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003A7C02" w:rsidR="009B5029" w:rsidRPr="0093131F" w:rsidRDefault="009B5029" w:rsidP="009B5029">
      <w:pPr>
        <w:spacing w:before="240" w:line="360" w:lineRule="auto"/>
        <w:jc w:val="both"/>
        <w:rPr>
          <w:rFonts w:ascii="Palatino Linotype" w:eastAsia="Times New Roman" w:hAnsi="Palatino Linotype" w:cs="Arial"/>
          <w:color w:val="000000"/>
          <w:sz w:val="24"/>
          <w:szCs w:val="24"/>
          <w:lang w:eastAsia="es-MX"/>
        </w:rPr>
      </w:pPr>
      <w:r w:rsidRPr="0093131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91FAA" w:rsidRPr="0093131F">
        <w:rPr>
          <w:rFonts w:ascii="Palatino Linotype" w:eastAsia="Times New Roman" w:hAnsi="Palatino Linotype" w:cs="Arial"/>
          <w:color w:val="000000"/>
          <w:sz w:val="24"/>
          <w:szCs w:val="24"/>
          <w:lang w:eastAsia="es-MX"/>
        </w:rPr>
        <w:t xml:space="preserve">catorce de febrero </w:t>
      </w:r>
      <w:r w:rsidR="00DA1429" w:rsidRPr="0093131F">
        <w:rPr>
          <w:rFonts w:ascii="Palatino Linotype" w:eastAsia="Times New Roman" w:hAnsi="Palatino Linotype" w:cs="Arial"/>
          <w:color w:val="000000"/>
          <w:sz w:val="24"/>
          <w:szCs w:val="24"/>
          <w:lang w:eastAsia="es-MX"/>
        </w:rPr>
        <w:t xml:space="preserve">de dos mil veinticuatro. </w:t>
      </w:r>
      <w:r w:rsidR="00795F57" w:rsidRPr="0093131F">
        <w:rPr>
          <w:rFonts w:ascii="Palatino Linotype" w:eastAsia="Times New Roman" w:hAnsi="Palatino Linotype" w:cs="Arial"/>
          <w:color w:val="000000"/>
          <w:sz w:val="24"/>
          <w:szCs w:val="24"/>
          <w:lang w:eastAsia="es-MX"/>
        </w:rPr>
        <w:t xml:space="preserve"> </w:t>
      </w:r>
      <w:r w:rsidR="0011113A" w:rsidRPr="0093131F">
        <w:rPr>
          <w:rFonts w:ascii="Palatino Linotype" w:eastAsia="Times New Roman" w:hAnsi="Palatino Linotype" w:cs="Arial"/>
          <w:color w:val="000000"/>
          <w:sz w:val="24"/>
          <w:szCs w:val="24"/>
          <w:lang w:eastAsia="es-MX"/>
        </w:rPr>
        <w:t xml:space="preserve"> </w:t>
      </w:r>
      <w:r w:rsidR="00FC2D20" w:rsidRPr="0093131F">
        <w:rPr>
          <w:rFonts w:ascii="Palatino Linotype" w:eastAsia="Times New Roman" w:hAnsi="Palatino Linotype" w:cs="Arial"/>
          <w:color w:val="000000"/>
          <w:sz w:val="24"/>
          <w:szCs w:val="24"/>
          <w:lang w:eastAsia="es-MX"/>
        </w:rPr>
        <w:t xml:space="preserve"> </w:t>
      </w:r>
      <w:r w:rsidR="00317C14" w:rsidRPr="0093131F">
        <w:rPr>
          <w:rFonts w:ascii="Palatino Linotype" w:eastAsia="Times New Roman" w:hAnsi="Palatino Linotype" w:cs="Arial"/>
          <w:color w:val="000000"/>
          <w:sz w:val="24"/>
          <w:szCs w:val="24"/>
          <w:lang w:eastAsia="es-MX"/>
        </w:rPr>
        <w:t xml:space="preserve"> </w:t>
      </w:r>
      <w:r w:rsidRPr="0093131F">
        <w:rPr>
          <w:rFonts w:ascii="Palatino Linotype" w:eastAsia="Times New Roman" w:hAnsi="Palatino Linotype" w:cs="Arial"/>
          <w:color w:val="000000"/>
          <w:sz w:val="24"/>
          <w:szCs w:val="24"/>
          <w:lang w:eastAsia="es-MX"/>
        </w:rPr>
        <w:t xml:space="preserve">               </w:t>
      </w:r>
    </w:p>
    <w:p w14:paraId="192C7925" w14:textId="7A2029C3" w:rsidR="0011113A" w:rsidRPr="0093131F" w:rsidRDefault="009B5029" w:rsidP="009B5029">
      <w:pPr>
        <w:tabs>
          <w:tab w:val="left" w:pos="1701"/>
        </w:tabs>
        <w:spacing w:before="240" w:line="360" w:lineRule="auto"/>
        <w:jc w:val="both"/>
        <w:rPr>
          <w:rFonts w:ascii="Palatino Linotype" w:hAnsi="Palatino Linotype" w:cs="Arial"/>
          <w:b/>
          <w:bCs/>
          <w:sz w:val="24"/>
        </w:rPr>
      </w:pPr>
      <w:r w:rsidRPr="0093131F">
        <w:rPr>
          <w:rFonts w:ascii="Palatino Linotype" w:hAnsi="Palatino Linotype" w:cs="Arial"/>
          <w:b/>
          <w:sz w:val="24"/>
        </w:rPr>
        <w:t>VISTO</w:t>
      </w:r>
      <w:r w:rsidRPr="0093131F">
        <w:rPr>
          <w:rFonts w:ascii="Palatino Linotype" w:hAnsi="Palatino Linotype" w:cs="Arial"/>
          <w:sz w:val="24"/>
        </w:rPr>
        <w:t xml:space="preserve"> el expediente electrónico formado con motivo del recurso de revisión número </w:t>
      </w:r>
      <w:r w:rsidR="00FC2D20" w:rsidRPr="0093131F">
        <w:rPr>
          <w:rFonts w:ascii="Palatino Linotype" w:hAnsi="Palatino Linotype" w:cs="Arial"/>
          <w:b/>
          <w:bCs/>
          <w:sz w:val="24"/>
        </w:rPr>
        <w:t>0</w:t>
      </w:r>
      <w:r w:rsidR="00FA5377" w:rsidRPr="0093131F">
        <w:rPr>
          <w:rFonts w:ascii="Palatino Linotype" w:hAnsi="Palatino Linotype" w:cs="Arial"/>
          <w:b/>
          <w:bCs/>
          <w:sz w:val="24"/>
        </w:rPr>
        <w:t>484</w:t>
      </w:r>
      <w:r w:rsidR="0011113A" w:rsidRPr="0093131F">
        <w:rPr>
          <w:rFonts w:ascii="Palatino Linotype" w:hAnsi="Palatino Linotype" w:cs="Arial"/>
          <w:b/>
          <w:bCs/>
          <w:sz w:val="24"/>
        </w:rPr>
        <w:t>0</w:t>
      </w:r>
      <w:r w:rsidRPr="0093131F">
        <w:rPr>
          <w:rFonts w:ascii="Palatino Linotype" w:hAnsi="Palatino Linotype" w:cs="Arial"/>
          <w:b/>
          <w:sz w:val="24"/>
        </w:rPr>
        <w:t xml:space="preserve">/INFOEM/IP/RR/2023, </w:t>
      </w:r>
      <w:r w:rsidRPr="0093131F">
        <w:rPr>
          <w:rFonts w:ascii="Palatino Linotype" w:hAnsi="Palatino Linotype" w:cs="Arial"/>
          <w:sz w:val="24"/>
        </w:rPr>
        <w:t xml:space="preserve">interpuesto por </w:t>
      </w:r>
      <w:r w:rsidR="0011113A" w:rsidRPr="0093131F">
        <w:rPr>
          <w:rFonts w:ascii="Palatino Linotype" w:hAnsi="Palatino Linotype" w:cs="Arial"/>
          <w:sz w:val="24"/>
        </w:rPr>
        <w:t>l</w:t>
      </w:r>
      <w:r w:rsidR="00FA5377" w:rsidRPr="0093131F">
        <w:rPr>
          <w:rFonts w:ascii="Palatino Linotype" w:hAnsi="Palatino Linotype" w:cs="Arial"/>
          <w:sz w:val="24"/>
        </w:rPr>
        <w:t>a</w:t>
      </w:r>
      <w:r w:rsidR="0011113A" w:rsidRPr="0093131F">
        <w:rPr>
          <w:rFonts w:ascii="Palatino Linotype" w:hAnsi="Palatino Linotype" w:cs="Arial"/>
          <w:sz w:val="24"/>
        </w:rPr>
        <w:t xml:space="preserve"> </w:t>
      </w:r>
      <w:r w:rsidR="0011113A" w:rsidRPr="0093131F">
        <w:rPr>
          <w:rFonts w:ascii="Palatino Linotype" w:hAnsi="Palatino Linotype" w:cs="Arial"/>
          <w:b/>
          <w:bCs/>
          <w:sz w:val="24"/>
        </w:rPr>
        <w:t xml:space="preserve">C. </w:t>
      </w:r>
      <w:r w:rsidR="00D43943" w:rsidRPr="0093131F">
        <w:rPr>
          <w:rFonts w:ascii="Palatino Linotype" w:hAnsi="Palatino Linotype" w:cs="Arial"/>
          <w:b/>
          <w:bCs/>
          <w:sz w:val="24"/>
        </w:rPr>
        <w:t>XXXXXXX</w:t>
      </w:r>
      <w:r w:rsidR="0011113A" w:rsidRPr="0093131F">
        <w:rPr>
          <w:rFonts w:ascii="Palatino Linotype" w:hAnsi="Palatino Linotype" w:cs="Arial"/>
          <w:b/>
          <w:bCs/>
          <w:sz w:val="24"/>
        </w:rPr>
        <w:t xml:space="preserve">, </w:t>
      </w:r>
      <w:r w:rsidR="0011113A" w:rsidRPr="0093131F">
        <w:rPr>
          <w:rFonts w:ascii="Palatino Linotype" w:hAnsi="Palatino Linotype" w:cs="Arial"/>
          <w:sz w:val="24"/>
        </w:rPr>
        <w:t xml:space="preserve">en lo sucesivo </w:t>
      </w:r>
      <w:r w:rsidR="0011113A" w:rsidRPr="0093131F">
        <w:rPr>
          <w:rFonts w:ascii="Palatino Linotype" w:hAnsi="Palatino Linotype" w:cs="Arial"/>
          <w:b/>
          <w:bCs/>
          <w:sz w:val="24"/>
        </w:rPr>
        <w:t xml:space="preserve">El Recurrente, </w:t>
      </w:r>
      <w:r w:rsidR="0011113A" w:rsidRPr="0093131F">
        <w:rPr>
          <w:rFonts w:ascii="Palatino Linotype" w:hAnsi="Palatino Linotype" w:cs="Arial"/>
          <w:sz w:val="24"/>
        </w:rPr>
        <w:t>en contra de la respuesta de</w:t>
      </w:r>
      <w:r w:rsidR="00FA5377" w:rsidRPr="0093131F">
        <w:rPr>
          <w:rFonts w:ascii="Palatino Linotype" w:hAnsi="Palatino Linotype" w:cs="Arial"/>
          <w:sz w:val="24"/>
        </w:rPr>
        <w:t>l</w:t>
      </w:r>
      <w:r w:rsidR="0011113A" w:rsidRPr="0093131F">
        <w:rPr>
          <w:rFonts w:ascii="Palatino Linotype" w:hAnsi="Palatino Linotype" w:cs="Arial"/>
          <w:sz w:val="24"/>
        </w:rPr>
        <w:t xml:space="preserve"> </w:t>
      </w:r>
      <w:r w:rsidR="00FA5377" w:rsidRPr="0093131F">
        <w:rPr>
          <w:rFonts w:ascii="Palatino Linotype" w:hAnsi="Palatino Linotype" w:cs="Arial"/>
          <w:b/>
          <w:bCs/>
          <w:sz w:val="24"/>
        </w:rPr>
        <w:t>Instituto Electoral del Estado de México</w:t>
      </w:r>
      <w:r w:rsidR="0011113A" w:rsidRPr="0093131F">
        <w:rPr>
          <w:rFonts w:ascii="Palatino Linotype" w:hAnsi="Palatino Linotype" w:cs="Arial"/>
          <w:b/>
          <w:bCs/>
          <w:sz w:val="24"/>
        </w:rPr>
        <w:t xml:space="preserve">, </w:t>
      </w:r>
      <w:r w:rsidR="0011113A" w:rsidRPr="0093131F">
        <w:rPr>
          <w:rFonts w:ascii="Palatino Linotype" w:hAnsi="Palatino Linotype" w:cs="Arial"/>
          <w:sz w:val="24"/>
        </w:rPr>
        <w:t xml:space="preserve">en lo sucesivo </w:t>
      </w:r>
      <w:r w:rsidR="0011113A" w:rsidRPr="0093131F">
        <w:rPr>
          <w:rFonts w:ascii="Palatino Linotype" w:hAnsi="Palatino Linotype" w:cs="Arial"/>
          <w:b/>
          <w:bCs/>
          <w:sz w:val="24"/>
        </w:rPr>
        <w:t xml:space="preserve">El Sujeto Obligado, </w:t>
      </w:r>
      <w:r w:rsidR="0011113A" w:rsidRPr="0093131F">
        <w:rPr>
          <w:rFonts w:ascii="Palatino Linotype" w:hAnsi="Palatino Linotype" w:cs="Arial"/>
          <w:sz w:val="24"/>
        </w:rPr>
        <w:t xml:space="preserve">se procede a dictar la presente resolución. </w:t>
      </w:r>
      <w:r w:rsidR="0011113A" w:rsidRPr="0093131F">
        <w:rPr>
          <w:rFonts w:ascii="Palatino Linotype" w:hAnsi="Palatino Linotype" w:cs="Arial"/>
          <w:b/>
          <w:bCs/>
          <w:sz w:val="24"/>
        </w:rPr>
        <w:t xml:space="preserve"> </w:t>
      </w:r>
    </w:p>
    <w:p w14:paraId="30CBAE1F" w14:textId="77777777" w:rsidR="00FC2D20" w:rsidRPr="0093131F" w:rsidRDefault="00FC2D20" w:rsidP="009B5029">
      <w:pPr>
        <w:tabs>
          <w:tab w:val="left" w:pos="1701"/>
        </w:tabs>
        <w:spacing w:before="240" w:line="360" w:lineRule="auto"/>
        <w:jc w:val="both"/>
        <w:rPr>
          <w:rFonts w:ascii="Palatino Linotype" w:hAnsi="Palatino Linotype" w:cs="Arial"/>
          <w:sz w:val="24"/>
        </w:rPr>
      </w:pPr>
    </w:p>
    <w:p w14:paraId="4BC4461B" w14:textId="4BE6C5A3" w:rsidR="009B5029" w:rsidRPr="0093131F" w:rsidRDefault="009B5029" w:rsidP="009B5029">
      <w:pPr>
        <w:pStyle w:val="infoemcitas"/>
        <w:jc w:val="center"/>
        <w:rPr>
          <w:b/>
          <w:bCs/>
          <w:i w:val="0"/>
          <w:iCs/>
          <w:sz w:val="28"/>
          <w:szCs w:val="28"/>
        </w:rPr>
      </w:pPr>
      <w:r w:rsidRPr="0093131F">
        <w:rPr>
          <w:b/>
          <w:bCs/>
          <w:i w:val="0"/>
          <w:iCs/>
          <w:sz w:val="28"/>
          <w:szCs w:val="28"/>
        </w:rPr>
        <w:t>A N T E C E D E N T E S   D E L   A S U N T O</w:t>
      </w:r>
    </w:p>
    <w:p w14:paraId="43C252D3" w14:textId="77777777" w:rsidR="009B5029" w:rsidRPr="0093131F" w:rsidRDefault="009B5029" w:rsidP="009B5029">
      <w:pPr>
        <w:spacing w:before="240" w:after="240" w:line="360" w:lineRule="auto"/>
        <w:jc w:val="both"/>
        <w:rPr>
          <w:rFonts w:ascii="Palatino Linotype" w:hAnsi="Palatino Linotype"/>
        </w:rPr>
      </w:pPr>
      <w:r w:rsidRPr="0093131F">
        <w:rPr>
          <w:rFonts w:ascii="Palatino Linotype" w:hAnsi="Palatino Linotype" w:cs="Arial"/>
          <w:b/>
          <w:sz w:val="28"/>
        </w:rPr>
        <w:t>PRIMERO.</w:t>
      </w:r>
      <w:r w:rsidRPr="0093131F">
        <w:rPr>
          <w:rFonts w:ascii="Palatino Linotype" w:hAnsi="Palatino Linotype" w:cs="Arial"/>
        </w:rPr>
        <w:t xml:space="preserve"> </w:t>
      </w:r>
      <w:r w:rsidRPr="0093131F">
        <w:rPr>
          <w:rFonts w:ascii="Palatino Linotype" w:hAnsi="Palatino Linotype"/>
          <w:b/>
          <w:sz w:val="28"/>
          <w:szCs w:val="28"/>
        </w:rPr>
        <w:t>De la Solicitud de Información.</w:t>
      </w:r>
    </w:p>
    <w:p w14:paraId="4EE404AA" w14:textId="2DE0D7CA" w:rsidR="0011113A" w:rsidRPr="0093131F" w:rsidRDefault="009B5029" w:rsidP="009B5029">
      <w:pPr>
        <w:spacing w:before="240" w:line="360" w:lineRule="auto"/>
        <w:jc w:val="both"/>
        <w:rPr>
          <w:rFonts w:ascii="Palatino Linotype" w:hAnsi="Palatino Linotype" w:cs="Arial"/>
          <w:sz w:val="24"/>
        </w:rPr>
      </w:pPr>
      <w:r w:rsidRPr="0093131F">
        <w:rPr>
          <w:rFonts w:ascii="Palatino Linotype" w:hAnsi="Palatino Linotype" w:cs="Arial"/>
          <w:sz w:val="24"/>
        </w:rPr>
        <w:t>Con fecha</w:t>
      </w:r>
      <w:r w:rsidR="00FC2D20" w:rsidRPr="0093131F">
        <w:rPr>
          <w:rFonts w:ascii="Palatino Linotype" w:hAnsi="Palatino Linotype" w:cs="Arial"/>
          <w:sz w:val="24"/>
        </w:rPr>
        <w:t xml:space="preserve"> </w:t>
      </w:r>
      <w:r w:rsidR="002816EC" w:rsidRPr="0093131F">
        <w:rPr>
          <w:rFonts w:ascii="Palatino Linotype" w:hAnsi="Palatino Linotype" w:cs="Arial"/>
          <w:b/>
          <w:bCs/>
          <w:sz w:val="24"/>
        </w:rPr>
        <w:t xml:space="preserve">treinta y uno de julio </w:t>
      </w:r>
      <w:r w:rsidR="0011113A" w:rsidRPr="0093131F">
        <w:rPr>
          <w:rFonts w:ascii="Palatino Linotype" w:hAnsi="Palatino Linotype" w:cs="Arial"/>
          <w:b/>
          <w:bCs/>
          <w:sz w:val="24"/>
        </w:rPr>
        <w:t xml:space="preserve">de dos mil veintitrés, EL Recurrente, </w:t>
      </w:r>
      <w:r w:rsidR="0011113A" w:rsidRPr="0093131F">
        <w:rPr>
          <w:rFonts w:ascii="Palatino Linotype" w:hAnsi="Palatino Linotype" w:cs="Arial"/>
          <w:sz w:val="24"/>
        </w:rPr>
        <w:t>presentó a través del Sistema de Acceso a la Información Mexiquense (</w:t>
      </w:r>
      <w:r w:rsidR="0011113A" w:rsidRPr="0093131F">
        <w:rPr>
          <w:rFonts w:ascii="Palatino Linotype" w:hAnsi="Palatino Linotype" w:cs="Arial"/>
          <w:b/>
          <w:sz w:val="24"/>
        </w:rPr>
        <w:t>SAIMEX)</w:t>
      </w:r>
      <w:r w:rsidR="0011113A" w:rsidRPr="0093131F">
        <w:rPr>
          <w:rFonts w:ascii="Palatino Linotype" w:hAnsi="Palatino Linotype" w:cs="Arial"/>
          <w:sz w:val="24"/>
        </w:rPr>
        <w:t xml:space="preserve"> ante </w:t>
      </w:r>
      <w:r w:rsidR="0011113A" w:rsidRPr="0093131F">
        <w:rPr>
          <w:rFonts w:ascii="Palatino Linotype" w:hAnsi="Palatino Linotype" w:cs="Arial"/>
          <w:b/>
          <w:sz w:val="24"/>
        </w:rPr>
        <w:t>El Sujeto Obligado</w:t>
      </w:r>
      <w:r w:rsidR="0011113A" w:rsidRPr="0093131F">
        <w:rPr>
          <w:rFonts w:ascii="Palatino Linotype" w:hAnsi="Palatino Linotype" w:cs="Arial"/>
          <w:sz w:val="24"/>
        </w:rPr>
        <w:t>, solicitud de acceso a la información pública, registrada bajo el número de expediente</w:t>
      </w:r>
      <w:r w:rsidR="002816EC" w:rsidRPr="0093131F">
        <w:rPr>
          <w:rFonts w:ascii="Palatino Linotype" w:hAnsi="Palatino Linotype" w:cs="Arial"/>
          <w:sz w:val="24"/>
        </w:rPr>
        <w:t xml:space="preserve"> </w:t>
      </w:r>
      <w:r w:rsidR="002816EC" w:rsidRPr="0093131F">
        <w:rPr>
          <w:rFonts w:ascii="Palatino Linotype" w:hAnsi="Palatino Linotype" w:cs="Arial"/>
          <w:b/>
          <w:bCs/>
          <w:sz w:val="24"/>
        </w:rPr>
        <w:t>00903/IEEM/IP/2023</w:t>
      </w:r>
      <w:r w:rsidR="0011113A" w:rsidRPr="0093131F">
        <w:rPr>
          <w:rFonts w:ascii="Palatino Linotype" w:hAnsi="Palatino Linotype" w:cs="Arial"/>
          <w:b/>
          <w:bCs/>
          <w:sz w:val="24"/>
        </w:rPr>
        <w:t xml:space="preserve">, </w:t>
      </w:r>
      <w:r w:rsidR="0011113A" w:rsidRPr="0093131F">
        <w:rPr>
          <w:rFonts w:ascii="Palatino Linotype" w:hAnsi="Palatino Linotype" w:cs="Arial"/>
          <w:sz w:val="24"/>
        </w:rPr>
        <w:t>mediante la cual solicitó información en el tenor siguiente:</w:t>
      </w:r>
    </w:p>
    <w:p w14:paraId="45B67E2B" w14:textId="3CD2108B" w:rsidR="00FC2D20" w:rsidRPr="0093131F" w:rsidRDefault="00FC2D20" w:rsidP="00FC2D20">
      <w:pPr>
        <w:pStyle w:val="Citas"/>
        <w:rPr>
          <w:b/>
          <w:sz w:val="24"/>
        </w:rPr>
      </w:pPr>
      <w:r w:rsidRPr="0093131F">
        <w:t>“</w:t>
      </w:r>
      <w:r w:rsidR="002816EC" w:rsidRPr="0093131F">
        <w:t>Buenas tardes, se requiere muy atentamente, los formatos “Asistencia por empleado” del servidor electoral Milton Carlos Cordova Martinez, adscrito a la 27 junta distrital, toda vez que en solicitudes anteriores se omitió entregar la información del referido.</w:t>
      </w:r>
      <w:r w:rsidRPr="0093131F">
        <w:t xml:space="preserve">” </w:t>
      </w:r>
      <w:r w:rsidRPr="0093131F">
        <w:rPr>
          <w:b/>
        </w:rPr>
        <w:t>(Sic)</w:t>
      </w:r>
    </w:p>
    <w:p w14:paraId="0FDD1B9D" w14:textId="77777777" w:rsidR="009B5029" w:rsidRPr="0093131F"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93131F">
        <w:rPr>
          <w:rFonts w:ascii="Palatino Linotype" w:eastAsia="Times New Roman" w:hAnsi="Palatino Linotype" w:cs="Times New Roman"/>
          <w:b/>
          <w:sz w:val="24"/>
          <w:szCs w:val="24"/>
          <w:lang w:val="es-ES_tradnl" w:eastAsia="es-ES"/>
        </w:rPr>
        <w:lastRenderedPageBreak/>
        <w:t>Modalidad de entrega:</w:t>
      </w:r>
      <w:r w:rsidRPr="0093131F">
        <w:rPr>
          <w:rFonts w:ascii="Palatino Linotype" w:eastAsia="Times New Roman" w:hAnsi="Palatino Linotype" w:cs="Times New Roman"/>
          <w:sz w:val="24"/>
          <w:szCs w:val="24"/>
          <w:lang w:val="es-ES_tradnl" w:eastAsia="es-ES"/>
        </w:rPr>
        <w:t xml:space="preserve"> A través del SAIMEX.</w:t>
      </w:r>
    </w:p>
    <w:p w14:paraId="5FBE22B9" w14:textId="77777777" w:rsidR="00317C14" w:rsidRPr="0093131F" w:rsidRDefault="00317C14" w:rsidP="002816EC">
      <w:pPr>
        <w:spacing w:after="0" w:line="360" w:lineRule="auto"/>
        <w:jc w:val="both"/>
        <w:rPr>
          <w:rFonts w:ascii="Palatino Linotype" w:hAnsi="Palatino Linotype" w:cs="Arial"/>
          <w:b/>
          <w:sz w:val="28"/>
        </w:rPr>
      </w:pPr>
    </w:p>
    <w:p w14:paraId="32234D96" w14:textId="57CC9D5F" w:rsidR="009B5029" w:rsidRPr="0093131F" w:rsidRDefault="009B5029" w:rsidP="009B5029">
      <w:pPr>
        <w:spacing w:before="240" w:line="360" w:lineRule="auto"/>
        <w:jc w:val="both"/>
        <w:rPr>
          <w:rFonts w:ascii="Palatino Linotype" w:hAnsi="Palatino Linotype" w:cs="Arial"/>
          <w:b/>
          <w:sz w:val="28"/>
        </w:rPr>
      </w:pPr>
      <w:r w:rsidRPr="0093131F">
        <w:rPr>
          <w:rFonts w:ascii="Palatino Linotype" w:hAnsi="Palatino Linotype" w:cs="Arial"/>
          <w:b/>
          <w:sz w:val="28"/>
        </w:rPr>
        <w:t xml:space="preserve">SEGUNDO. </w:t>
      </w:r>
      <w:r w:rsidRPr="0093131F">
        <w:rPr>
          <w:rFonts w:ascii="Palatino Linotype" w:hAnsi="Palatino Linotype" w:cs="Arial"/>
          <w:b/>
          <w:sz w:val="28"/>
          <w:szCs w:val="20"/>
        </w:rPr>
        <w:t>De la respuesta del Sujeto Obligado.</w:t>
      </w:r>
    </w:p>
    <w:p w14:paraId="384732EE" w14:textId="1D6AC1E3" w:rsidR="0011113A" w:rsidRPr="0093131F" w:rsidRDefault="009B5029" w:rsidP="009B5029">
      <w:pPr>
        <w:spacing w:before="240" w:line="360" w:lineRule="auto"/>
        <w:jc w:val="both"/>
        <w:rPr>
          <w:rFonts w:ascii="Palatino Linotype" w:hAnsi="Palatino Linotype" w:cs="Arial"/>
          <w:sz w:val="24"/>
          <w:szCs w:val="24"/>
        </w:rPr>
      </w:pPr>
      <w:r w:rsidRPr="0093131F">
        <w:rPr>
          <w:rFonts w:ascii="Palatino Linotype" w:hAnsi="Palatino Linotype" w:cs="Arial"/>
          <w:sz w:val="24"/>
          <w:szCs w:val="24"/>
        </w:rPr>
        <w:t xml:space="preserve">En el expediente electrónico </w:t>
      </w:r>
      <w:r w:rsidRPr="0093131F">
        <w:rPr>
          <w:rFonts w:ascii="Palatino Linotype" w:hAnsi="Palatino Linotype" w:cs="Arial"/>
          <w:b/>
          <w:sz w:val="24"/>
          <w:szCs w:val="24"/>
        </w:rPr>
        <w:t xml:space="preserve">SAIMEX, </w:t>
      </w:r>
      <w:r w:rsidRPr="0093131F">
        <w:rPr>
          <w:rFonts w:ascii="Palatino Linotype" w:hAnsi="Palatino Linotype" w:cs="Arial"/>
          <w:sz w:val="24"/>
          <w:szCs w:val="24"/>
        </w:rPr>
        <w:t xml:space="preserve">se aprecia que el </w:t>
      </w:r>
      <w:r w:rsidR="002816EC" w:rsidRPr="0093131F">
        <w:rPr>
          <w:rFonts w:ascii="Palatino Linotype" w:hAnsi="Palatino Linotype" w:cs="Arial"/>
          <w:b/>
          <w:bCs/>
          <w:sz w:val="24"/>
          <w:szCs w:val="24"/>
        </w:rPr>
        <w:t>veintiuno d</w:t>
      </w:r>
      <w:r w:rsidR="0011113A" w:rsidRPr="0093131F">
        <w:rPr>
          <w:rFonts w:ascii="Palatino Linotype" w:hAnsi="Palatino Linotype" w:cs="Arial"/>
          <w:b/>
          <w:bCs/>
          <w:sz w:val="24"/>
          <w:szCs w:val="24"/>
        </w:rPr>
        <w:t xml:space="preserve">e agosto de dos mil veintitrés, El Sujeto Obligado </w:t>
      </w:r>
      <w:r w:rsidR="0011113A" w:rsidRPr="0093131F">
        <w:rPr>
          <w:rFonts w:ascii="Palatino Linotype" w:hAnsi="Palatino Linotype" w:cs="Arial"/>
          <w:sz w:val="24"/>
          <w:szCs w:val="24"/>
        </w:rPr>
        <w:t xml:space="preserve">dio respuesta a la solicitud de información en los siguientes términos: </w:t>
      </w:r>
    </w:p>
    <w:p w14:paraId="4275C08B" w14:textId="77777777" w:rsidR="002816EC" w:rsidRPr="0093131F" w:rsidRDefault="0011113A" w:rsidP="002816EC">
      <w:pPr>
        <w:pStyle w:val="Citas"/>
      </w:pPr>
      <w:r w:rsidRPr="0093131F">
        <w:t>“</w:t>
      </w:r>
      <w:r w:rsidR="002816EC" w:rsidRPr="0093131F">
        <w:t>En respuesta a la solicitud recibida, nos permitimos hacer de su conocimiento que con fundamento en el artículo 53, Fracciones: II, V y VI de la Ley de Transparencia y Acceso a la Información Pública del Estado de México y Municipios, le contestamos que:</w:t>
      </w:r>
    </w:p>
    <w:p w14:paraId="3A68632C" w14:textId="77777777" w:rsidR="002816EC" w:rsidRPr="0093131F" w:rsidRDefault="002816EC" w:rsidP="002816EC">
      <w:pPr>
        <w:pStyle w:val="Citas"/>
      </w:pPr>
      <w:r w:rsidRPr="0093131F">
        <w:t>Se adjunta respuesta a su solicitud de información.</w:t>
      </w:r>
    </w:p>
    <w:p w14:paraId="51B15E2F" w14:textId="77777777" w:rsidR="002816EC" w:rsidRPr="0093131F" w:rsidRDefault="002816EC" w:rsidP="002816EC">
      <w:pPr>
        <w:pStyle w:val="Citas"/>
      </w:pPr>
      <w:r w:rsidRPr="0093131F">
        <w:t>ATENTAMENTE</w:t>
      </w:r>
    </w:p>
    <w:p w14:paraId="2D115A6B" w14:textId="1C770AB1" w:rsidR="0011113A" w:rsidRPr="0093131F" w:rsidRDefault="002816EC" w:rsidP="002816EC">
      <w:pPr>
        <w:pStyle w:val="Citas"/>
        <w:rPr>
          <w:b/>
          <w:bCs/>
          <w:sz w:val="24"/>
          <w:szCs w:val="24"/>
        </w:rPr>
      </w:pPr>
      <w:r w:rsidRPr="0093131F">
        <w:t>MAESTRA LILIBETH ÁLVAREZ RODRÍGUEZ</w:t>
      </w:r>
      <w:r w:rsidR="0011113A" w:rsidRPr="0093131F">
        <w:t xml:space="preserve">” </w:t>
      </w:r>
      <w:r w:rsidR="0011113A" w:rsidRPr="0093131F">
        <w:rPr>
          <w:b/>
          <w:bCs/>
        </w:rPr>
        <w:t>(Sic)</w:t>
      </w:r>
    </w:p>
    <w:p w14:paraId="33649E1E" w14:textId="148467F7" w:rsidR="0011113A" w:rsidRPr="0093131F" w:rsidRDefault="009B5029" w:rsidP="009B5029">
      <w:pPr>
        <w:spacing w:before="240" w:line="360" w:lineRule="auto"/>
        <w:jc w:val="both"/>
        <w:rPr>
          <w:rFonts w:ascii="Palatino Linotype" w:hAnsi="Palatino Linotype" w:cs="Arial"/>
          <w:sz w:val="24"/>
          <w:szCs w:val="24"/>
        </w:rPr>
      </w:pPr>
      <w:r w:rsidRPr="0093131F">
        <w:rPr>
          <w:rFonts w:ascii="Palatino Linotype" w:hAnsi="Palatino Linotype" w:cs="Arial"/>
          <w:sz w:val="24"/>
          <w:szCs w:val="24"/>
        </w:rPr>
        <w:t xml:space="preserve">Adicionalmente, </w:t>
      </w:r>
      <w:r w:rsidRPr="0093131F">
        <w:rPr>
          <w:rFonts w:ascii="Palatino Linotype" w:hAnsi="Palatino Linotype" w:cs="Arial"/>
          <w:b/>
          <w:bCs/>
          <w:sz w:val="24"/>
          <w:szCs w:val="24"/>
        </w:rPr>
        <w:t xml:space="preserve">El Sujeto Obligado </w:t>
      </w:r>
      <w:r w:rsidRPr="0093131F">
        <w:rPr>
          <w:rFonts w:ascii="Palatino Linotype" w:hAnsi="Palatino Linotype" w:cs="Arial"/>
          <w:sz w:val="24"/>
          <w:szCs w:val="24"/>
        </w:rPr>
        <w:t xml:space="preserve">adjuntó </w:t>
      </w:r>
      <w:r w:rsidR="00317C14" w:rsidRPr="0093131F">
        <w:rPr>
          <w:rFonts w:ascii="Palatino Linotype" w:hAnsi="Palatino Linotype" w:cs="Arial"/>
          <w:sz w:val="24"/>
          <w:szCs w:val="24"/>
        </w:rPr>
        <w:t>los</w:t>
      </w:r>
      <w:r w:rsidR="00DF6F34" w:rsidRPr="0093131F">
        <w:rPr>
          <w:rFonts w:ascii="Palatino Linotype" w:hAnsi="Palatino Linotype" w:cs="Arial"/>
          <w:sz w:val="24"/>
          <w:szCs w:val="24"/>
        </w:rPr>
        <w:t xml:space="preserve"> documento</w:t>
      </w:r>
      <w:r w:rsidR="00317C14" w:rsidRPr="0093131F">
        <w:rPr>
          <w:rFonts w:ascii="Palatino Linotype" w:hAnsi="Palatino Linotype" w:cs="Arial"/>
          <w:sz w:val="24"/>
          <w:szCs w:val="24"/>
        </w:rPr>
        <w:t>s</w:t>
      </w:r>
      <w:r w:rsidR="00DF6F34" w:rsidRPr="0093131F">
        <w:rPr>
          <w:rFonts w:ascii="Palatino Linotype" w:hAnsi="Palatino Linotype" w:cs="Arial"/>
          <w:sz w:val="24"/>
          <w:szCs w:val="24"/>
        </w:rPr>
        <w:t xml:space="preserve"> electrónico</w:t>
      </w:r>
      <w:r w:rsidR="00317C14" w:rsidRPr="0093131F">
        <w:rPr>
          <w:rFonts w:ascii="Palatino Linotype" w:hAnsi="Palatino Linotype" w:cs="Arial"/>
          <w:sz w:val="24"/>
          <w:szCs w:val="24"/>
        </w:rPr>
        <w:t xml:space="preserve">s </w:t>
      </w:r>
      <w:r w:rsidR="0011113A" w:rsidRPr="0093131F">
        <w:rPr>
          <w:rFonts w:ascii="Palatino Linotype" w:hAnsi="Palatino Linotype" w:cs="Arial"/>
          <w:b/>
          <w:bCs/>
          <w:sz w:val="24"/>
          <w:szCs w:val="24"/>
        </w:rPr>
        <w:t>“</w:t>
      </w:r>
      <w:r w:rsidR="002816EC" w:rsidRPr="0093131F">
        <w:rPr>
          <w:rFonts w:ascii="Palatino Linotype" w:hAnsi="Palatino Linotype" w:cs="Arial"/>
          <w:b/>
          <w:bCs/>
          <w:sz w:val="24"/>
          <w:szCs w:val="24"/>
        </w:rPr>
        <w:t>IEEM-DA-3657-2023.pdf</w:t>
      </w:r>
      <w:r w:rsidR="0011113A" w:rsidRPr="0093131F">
        <w:rPr>
          <w:rFonts w:ascii="Palatino Linotype" w:hAnsi="Palatino Linotype" w:cs="Arial"/>
          <w:b/>
          <w:bCs/>
          <w:sz w:val="24"/>
          <w:szCs w:val="24"/>
        </w:rPr>
        <w:t>”</w:t>
      </w:r>
      <w:r w:rsidR="002816EC" w:rsidRPr="0093131F">
        <w:rPr>
          <w:rFonts w:ascii="Palatino Linotype" w:hAnsi="Palatino Linotype" w:cs="Arial"/>
          <w:b/>
          <w:bCs/>
          <w:sz w:val="24"/>
          <w:szCs w:val="24"/>
        </w:rPr>
        <w:t>, “ANEXO.pdf”</w:t>
      </w:r>
      <w:r w:rsidR="0011113A" w:rsidRPr="0093131F">
        <w:rPr>
          <w:rFonts w:ascii="Palatino Linotype" w:hAnsi="Palatino Linotype" w:cs="Arial"/>
          <w:b/>
          <w:bCs/>
          <w:sz w:val="24"/>
          <w:szCs w:val="24"/>
        </w:rPr>
        <w:t xml:space="preserve"> </w:t>
      </w:r>
      <w:r w:rsidR="0011113A" w:rsidRPr="0093131F">
        <w:rPr>
          <w:rFonts w:ascii="Palatino Linotype" w:hAnsi="Palatino Linotype" w:cs="Arial"/>
          <w:sz w:val="24"/>
          <w:szCs w:val="24"/>
        </w:rPr>
        <w:t xml:space="preserve">y </w:t>
      </w:r>
      <w:r w:rsidR="0011113A" w:rsidRPr="0093131F">
        <w:rPr>
          <w:rFonts w:ascii="Palatino Linotype" w:hAnsi="Palatino Linotype" w:cs="Arial"/>
          <w:b/>
          <w:bCs/>
          <w:sz w:val="24"/>
          <w:szCs w:val="24"/>
        </w:rPr>
        <w:t>“</w:t>
      </w:r>
      <w:r w:rsidR="002816EC" w:rsidRPr="0093131F">
        <w:rPr>
          <w:rFonts w:ascii="Palatino Linotype" w:hAnsi="Palatino Linotype" w:cs="Arial"/>
          <w:b/>
          <w:bCs/>
          <w:sz w:val="24"/>
          <w:szCs w:val="24"/>
        </w:rPr>
        <w:t>OFICIO RESPUESTA 903-2023 UT.pdf</w:t>
      </w:r>
      <w:r w:rsidR="0011113A" w:rsidRPr="0093131F">
        <w:rPr>
          <w:rFonts w:ascii="Palatino Linotype" w:hAnsi="Palatino Linotype" w:cs="Arial"/>
          <w:b/>
          <w:bCs/>
          <w:sz w:val="24"/>
          <w:szCs w:val="24"/>
        </w:rPr>
        <w:t xml:space="preserve">”, </w:t>
      </w:r>
      <w:r w:rsidR="0011113A" w:rsidRPr="0093131F">
        <w:rPr>
          <w:rFonts w:ascii="Palatino Linotype" w:hAnsi="Palatino Linotype" w:cs="Arial"/>
          <w:sz w:val="24"/>
          <w:szCs w:val="24"/>
        </w:rPr>
        <w:t xml:space="preserve">cuyo contenido será materia de análisis en el considerando respectivo. </w:t>
      </w:r>
    </w:p>
    <w:p w14:paraId="531FF3CF" w14:textId="77777777" w:rsidR="00FC2D20" w:rsidRPr="0093131F" w:rsidRDefault="00FC2D20" w:rsidP="009B5029">
      <w:pPr>
        <w:spacing w:before="240" w:line="360" w:lineRule="auto"/>
        <w:jc w:val="both"/>
        <w:rPr>
          <w:rFonts w:ascii="Palatino Linotype" w:hAnsi="Palatino Linotype" w:cs="Arial"/>
          <w:sz w:val="24"/>
          <w:szCs w:val="24"/>
        </w:rPr>
      </w:pPr>
    </w:p>
    <w:p w14:paraId="2C824AC7" w14:textId="77777777" w:rsidR="009B5029" w:rsidRPr="0093131F" w:rsidRDefault="009B5029" w:rsidP="009B5029">
      <w:pPr>
        <w:spacing w:before="240" w:line="360" w:lineRule="auto"/>
        <w:rPr>
          <w:rFonts w:ascii="Palatino Linotype" w:hAnsi="Palatino Linotype" w:cs="Arial"/>
          <w:b/>
          <w:sz w:val="28"/>
        </w:rPr>
      </w:pPr>
      <w:r w:rsidRPr="0093131F">
        <w:rPr>
          <w:rFonts w:ascii="Palatino Linotype" w:hAnsi="Palatino Linotype" w:cs="Arial"/>
          <w:b/>
          <w:sz w:val="28"/>
        </w:rPr>
        <w:t xml:space="preserve">TERCERO. </w:t>
      </w:r>
      <w:r w:rsidRPr="0093131F">
        <w:rPr>
          <w:rFonts w:ascii="Palatino Linotype" w:hAnsi="Palatino Linotype"/>
          <w:b/>
          <w:sz w:val="28"/>
        </w:rPr>
        <w:t>Del recurso de revisión.</w:t>
      </w:r>
    </w:p>
    <w:p w14:paraId="6DE72380" w14:textId="159B051F" w:rsidR="0011113A" w:rsidRPr="0093131F" w:rsidRDefault="009B5029" w:rsidP="009B5029">
      <w:pPr>
        <w:spacing w:before="240" w:line="360" w:lineRule="auto"/>
        <w:jc w:val="both"/>
        <w:rPr>
          <w:rFonts w:ascii="Palatino Linotype" w:hAnsi="Palatino Linotype" w:cs="Arial"/>
          <w:sz w:val="24"/>
          <w:szCs w:val="24"/>
        </w:rPr>
      </w:pPr>
      <w:r w:rsidRPr="0093131F">
        <w:rPr>
          <w:rFonts w:ascii="Palatino Linotype" w:hAnsi="Palatino Linotype" w:cs="Arial"/>
          <w:sz w:val="24"/>
          <w:szCs w:val="24"/>
        </w:rPr>
        <w:lastRenderedPageBreak/>
        <w:t xml:space="preserve">Inconforme con la respuesta por </w:t>
      </w:r>
      <w:r w:rsidRPr="0093131F">
        <w:rPr>
          <w:rFonts w:ascii="Palatino Linotype" w:hAnsi="Palatino Linotype" w:cs="Arial"/>
          <w:b/>
          <w:sz w:val="24"/>
          <w:szCs w:val="24"/>
        </w:rPr>
        <w:t xml:space="preserve">El Sujeto Obligado, El Recurrente </w:t>
      </w:r>
      <w:r w:rsidRPr="0093131F">
        <w:rPr>
          <w:rFonts w:ascii="Palatino Linotype" w:hAnsi="Palatino Linotype" w:cs="Arial"/>
          <w:sz w:val="24"/>
          <w:szCs w:val="24"/>
        </w:rPr>
        <w:t>interpuso recurso de revisión, en fecha</w:t>
      </w:r>
      <w:r w:rsidR="00DF6F34" w:rsidRPr="0093131F">
        <w:rPr>
          <w:rFonts w:ascii="Palatino Linotype" w:hAnsi="Palatino Linotype" w:cs="Arial"/>
          <w:sz w:val="24"/>
          <w:szCs w:val="24"/>
        </w:rPr>
        <w:t xml:space="preserve"> </w:t>
      </w:r>
      <w:r w:rsidR="002816EC" w:rsidRPr="0093131F">
        <w:rPr>
          <w:rFonts w:ascii="Palatino Linotype" w:hAnsi="Palatino Linotype" w:cs="Arial"/>
          <w:b/>
          <w:bCs/>
          <w:sz w:val="24"/>
          <w:szCs w:val="24"/>
        </w:rPr>
        <w:t xml:space="preserve">veinticinco </w:t>
      </w:r>
      <w:r w:rsidR="0011113A" w:rsidRPr="0093131F">
        <w:rPr>
          <w:rFonts w:ascii="Palatino Linotype" w:hAnsi="Palatino Linotype" w:cs="Arial"/>
          <w:b/>
          <w:bCs/>
          <w:sz w:val="24"/>
          <w:szCs w:val="24"/>
        </w:rPr>
        <w:t xml:space="preserve">de agosto de dos mil veintitrés, </w:t>
      </w:r>
      <w:r w:rsidR="0011113A" w:rsidRPr="0093131F">
        <w:rPr>
          <w:rFonts w:ascii="Palatino Linotype" w:hAnsi="Palatino Linotype" w:cs="Arial"/>
          <w:sz w:val="24"/>
          <w:szCs w:val="24"/>
        </w:rPr>
        <w:t xml:space="preserve">el cual </w:t>
      </w:r>
      <w:r w:rsidR="004711D5" w:rsidRPr="0093131F">
        <w:rPr>
          <w:rFonts w:ascii="Palatino Linotype" w:hAnsi="Palatino Linotype" w:cs="Arial"/>
          <w:sz w:val="24"/>
          <w:szCs w:val="24"/>
        </w:rPr>
        <w:t xml:space="preserve">fue registrado en el sistema electrónico con el expediente </w:t>
      </w:r>
      <w:r w:rsidR="002816EC" w:rsidRPr="0093131F">
        <w:rPr>
          <w:rFonts w:ascii="Palatino Linotype" w:hAnsi="Palatino Linotype" w:cs="Arial"/>
          <w:b/>
          <w:bCs/>
          <w:sz w:val="24"/>
          <w:szCs w:val="24"/>
        </w:rPr>
        <w:t>0484</w:t>
      </w:r>
      <w:r w:rsidR="004711D5" w:rsidRPr="0093131F">
        <w:rPr>
          <w:rFonts w:ascii="Palatino Linotype" w:hAnsi="Palatino Linotype" w:cs="Arial"/>
          <w:b/>
          <w:bCs/>
          <w:sz w:val="24"/>
          <w:szCs w:val="24"/>
        </w:rPr>
        <w:t xml:space="preserve">0/INFOEM/IP/RR/2023, </w:t>
      </w:r>
      <w:r w:rsidR="004711D5" w:rsidRPr="0093131F">
        <w:rPr>
          <w:rFonts w:ascii="Palatino Linotype" w:hAnsi="Palatino Linotype" w:cs="Arial"/>
          <w:sz w:val="24"/>
          <w:szCs w:val="24"/>
        </w:rPr>
        <w:t xml:space="preserve">en el cual arguye las siguientes manifestaciones: </w:t>
      </w:r>
    </w:p>
    <w:p w14:paraId="26145687" w14:textId="77777777" w:rsidR="009B5029" w:rsidRPr="0093131F" w:rsidRDefault="009B5029" w:rsidP="009B5029">
      <w:pPr>
        <w:spacing w:before="240" w:line="360" w:lineRule="auto"/>
        <w:jc w:val="both"/>
        <w:rPr>
          <w:rFonts w:ascii="Palatino Linotype" w:hAnsi="Palatino Linotype" w:cs="Arial"/>
          <w:b/>
          <w:sz w:val="24"/>
        </w:rPr>
      </w:pPr>
      <w:r w:rsidRPr="0093131F">
        <w:rPr>
          <w:rFonts w:ascii="Palatino Linotype" w:hAnsi="Palatino Linotype" w:cs="Arial"/>
          <w:b/>
          <w:sz w:val="24"/>
        </w:rPr>
        <w:t>Acto Impugnado:</w:t>
      </w:r>
    </w:p>
    <w:p w14:paraId="643D150B" w14:textId="06491810" w:rsidR="00317C14" w:rsidRPr="0093131F" w:rsidRDefault="00FC2D20" w:rsidP="00CE3EB5">
      <w:pPr>
        <w:pStyle w:val="Citas"/>
        <w:rPr>
          <w:b/>
          <w:bCs/>
          <w:sz w:val="24"/>
        </w:rPr>
      </w:pPr>
      <w:r w:rsidRPr="0093131F">
        <w:t>“</w:t>
      </w:r>
      <w:r w:rsidR="002816EC" w:rsidRPr="0093131F">
        <w:t>Entrega de la información no corresponde con lo solicitado (fracción VI del artículo 179 de la Ley de Transparencia y Acceso a la Información Pública del Estado de México y Municipios).</w:t>
      </w:r>
      <w:r w:rsidR="00CE3EB5" w:rsidRPr="0093131F">
        <w:t xml:space="preserve">” </w:t>
      </w:r>
      <w:r w:rsidR="00CE3EB5" w:rsidRPr="0093131F">
        <w:rPr>
          <w:b/>
          <w:bCs/>
        </w:rPr>
        <w:t>(Sic)</w:t>
      </w:r>
    </w:p>
    <w:p w14:paraId="70C90EFB" w14:textId="77777777" w:rsidR="009B5029" w:rsidRPr="0093131F" w:rsidRDefault="009B5029" w:rsidP="009B5029">
      <w:pPr>
        <w:spacing w:before="240" w:line="360" w:lineRule="auto"/>
        <w:jc w:val="both"/>
        <w:rPr>
          <w:rFonts w:ascii="Palatino Linotype" w:hAnsi="Palatino Linotype" w:cs="Arial"/>
          <w:b/>
          <w:sz w:val="24"/>
        </w:rPr>
      </w:pPr>
      <w:r w:rsidRPr="0093131F">
        <w:rPr>
          <w:rFonts w:ascii="Palatino Linotype" w:hAnsi="Palatino Linotype" w:cs="Arial"/>
          <w:b/>
          <w:sz w:val="24"/>
        </w:rPr>
        <w:t>Razones o motivos de la inconformidad:</w:t>
      </w:r>
    </w:p>
    <w:p w14:paraId="6CBFC893" w14:textId="39DB5C6D" w:rsidR="009B5029" w:rsidRPr="0093131F" w:rsidRDefault="00CE3EB5" w:rsidP="002816EC">
      <w:pPr>
        <w:pStyle w:val="Citas"/>
        <w:spacing w:after="0"/>
        <w:rPr>
          <w:b/>
          <w:bCs/>
        </w:rPr>
      </w:pPr>
      <w:r w:rsidRPr="0093131F">
        <w:t>“</w:t>
      </w:r>
      <w:r w:rsidR="002816EC" w:rsidRPr="0093131F">
        <w:t xml:space="preserve">No se entregan los formatos “Asistencia por empleado” del servidor electoral Milton Carlos Cordova Martinez, adscrito a la 27 junta distrital de Valle de Chalco del proceso electoral 2023. En su lugar se proporcionan listas de asistencia que no fueron requeridas, toda vez que en el proceso electoral 2023, la Dirección de Administración se puso creativa y diseñó una aplicación para que por medio de un dispositivo móvil se registrará la puntualidad y asistencia de los servidores electorales en los órganos desconcentrados, por lo que se debió aplicar el mismo mecanismo para registrar la asistencia de este servidor electoral. En el indebido supuesto que el INFOEM conceda la razón al IEEM, se hace valer la fracción V del artículo 179 de la Ley de Transparencia y Acceso a la Información Pública del Estado de México y Municipios, esto por la Entrega incompleta de la información porque no pasa inadvertido que del documento “ANEXO.pdf”, en el oficio del 30 de abril de 2023 (página 11) se indica que se remiten las listas de asistencia del referido servidor electoral del 01 al 31 de marzo de 2023 y del 01 al 30 de abril de 2023, sin que dichas </w:t>
      </w:r>
      <w:r w:rsidR="002816EC" w:rsidRPr="0093131F">
        <w:lastRenderedPageBreak/>
        <w:t>listas se hayan incorporado. Por eso, ante la omisión de entregar la información requerida, en el ámbito de competencia del INFOEM según el artículo 190 de la Ley de Transparencia y Acceso a la Información Pública del Estado de México y Municipios se pide dar aviso al órgano de control interno del sujeto obligado para que éste inicie, el procedimiento de responsabilidad respectivo contra quienes resulten responsables.</w:t>
      </w:r>
      <w:r w:rsidRPr="0093131F">
        <w:t xml:space="preserve"> </w:t>
      </w:r>
      <w:r w:rsidRPr="0093131F">
        <w:rPr>
          <w:b/>
          <w:bCs/>
        </w:rPr>
        <w:t>(Sic)</w:t>
      </w:r>
    </w:p>
    <w:p w14:paraId="2F759D9C" w14:textId="77777777" w:rsidR="002816EC" w:rsidRPr="0093131F" w:rsidRDefault="002816EC" w:rsidP="002816EC">
      <w:pPr>
        <w:spacing w:after="0" w:line="360" w:lineRule="auto"/>
        <w:jc w:val="both"/>
        <w:rPr>
          <w:rFonts w:ascii="Palatino Linotype" w:hAnsi="Palatino Linotype" w:cs="Arial"/>
          <w:b/>
          <w:sz w:val="28"/>
        </w:rPr>
      </w:pPr>
    </w:p>
    <w:p w14:paraId="147EA26C" w14:textId="77777777" w:rsidR="009B5029" w:rsidRPr="0093131F" w:rsidRDefault="009B5029" w:rsidP="002816EC">
      <w:pPr>
        <w:spacing w:line="360" w:lineRule="auto"/>
        <w:jc w:val="both"/>
        <w:rPr>
          <w:rFonts w:ascii="Palatino Linotype" w:hAnsi="Palatino Linotype" w:cs="Arial"/>
          <w:b/>
          <w:sz w:val="24"/>
          <w:szCs w:val="24"/>
        </w:rPr>
      </w:pPr>
      <w:r w:rsidRPr="0093131F">
        <w:rPr>
          <w:rFonts w:ascii="Palatino Linotype" w:hAnsi="Palatino Linotype" w:cs="Arial"/>
          <w:b/>
          <w:sz w:val="28"/>
        </w:rPr>
        <w:t>CUARTO</w:t>
      </w:r>
      <w:r w:rsidRPr="0093131F">
        <w:rPr>
          <w:rFonts w:ascii="Palatino Linotype" w:hAnsi="Palatino Linotype" w:cs="Arial"/>
          <w:b/>
          <w:sz w:val="24"/>
          <w:szCs w:val="24"/>
        </w:rPr>
        <w:t xml:space="preserve">. </w:t>
      </w:r>
      <w:r w:rsidRPr="0093131F">
        <w:rPr>
          <w:rFonts w:ascii="Palatino Linotype" w:hAnsi="Palatino Linotype" w:cs="Arial"/>
          <w:b/>
          <w:sz w:val="28"/>
          <w:szCs w:val="28"/>
        </w:rPr>
        <w:t>Del turno del recurso de revisión.</w:t>
      </w:r>
    </w:p>
    <w:p w14:paraId="5929B5D1" w14:textId="610256DA" w:rsidR="009B5029" w:rsidRPr="0093131F" w:rsidRDefault="009B5029" w:rsidP="002816EC">
      <w:pPr>
        <w:spacing w:before="240" w:after="0" w:line="360" w:lineRule="auto"/>
        <w:jc w:val="both"/>
        <w:rPr>
          <w:rFonts w:ascii="Palatino Linotype" w:hAnsi="Palatino Linotype" w:cs="Arial"/>
          <w:sz w:val="24"/>
          <w:szCs w:val="24"/>
        </w:rPr>
      </w:pPr>
      <w:r w:rsidRPr="0093131F">
        <w:rPr>
          <w:rFonts w:ascii="Palatino Linotype" w:hAnsi="Palatino Linotype" w:cs="Arial"/>
          <w:sz w:val="24"/>
          <w:szCs w:val="24"/>
        </w:rPr>
        <w:t xml:space="preserve">Medio de impugnación que le fue turnado al Comisionado presidente </w:t>
      </w:r>
      <w:r w:rsidRPr="0093131F">
        <w:rPr>
          <w:rFonts w:ascii="Palatino Linotype" w:hAnsi="Palatino Linotype" w:cs="Arial"/>
          <w:b/>
          <w:sz w:val="24"/>
          <w:szCs w:val="24"/>
        </w:rPr>
        <w:t xml:space="preserve">José Martínez Vilchis, </w:t>
      </w:r>
      <w:r w:rsidRPr="0093131F">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2816EC" w:rsidRPr="0093131F">
        <w:rPr>
          <w:rFonts w:ascii="Palatino Linotype" w:hAnsi="Palatino Linotype" w:cs="Arial"/>
          <w:b/>
          <w:bCs/>
          <w:sz w:val="24"/>
          <w:szCs w:val="24"/>
        </w:rPr>
        <w:t>treinta y uno</w:t>
      </w:r>
      <w:r w:rsidR="004711D5" w:rsidRPr="0093131F">
        <w:rPr>
          <w:rFonts w:ascii="Palatino Linotype" w:hAnsi="Palatino Linotype" w:cs="Arial"/>
          <w:b/>
          <w:bCs/>
          <w:sz w:val="24"/>
          <w:szCs w:val="24"/>
        </w:rPr>
        <w:t xml:space="preserve"> de agosto de dos mil veintitrés, </w:t>
      </w:r>
      <w:r w:rsidRPr="0093131F">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Pr="0093131F" w:rsidRDefault="009B5029" w:rsidP="002816EC">
      <w:pPr>
        <w:spacing w:after="0" w:line="360" w:lineRule="auto"/>
        <w:jc w:val="both"/>
        <w:rPr>
          <w:rFonts w:ascii="Palatino Linotype" w:hAnsi="Palatino Linotype" w:cs="Arial"/>
          <w:sz w:val="24"/>
          <w:szCs w:val="24"/>
        </w:rPr>
      </w:pPr>
    </w:p>
    <w:p w14:paraId="743E3438" w14:textId="77777777" w:rsidR="002816EC" w:rsidRPr="0093131F" w:rsidRDefault="002816EC" w:rsidP="002816EC">
      <w:pPr>
        <w:pStyle w:val="Prrafodelista"/>
        <w:spacing w:line="360" w:lineRule="auto"/>
        <w:ind w:left="0"/>
        <w:jc w:val="both"/>
        <w:rPr>
          <w:rFonts w:ascii="Palatino Linotype" w:hAnsi="Palatino Linotype" w:cs="Arial"/>
          <w:b/>
          <w:sz w:val="28"/>
          <w:szCs w:val="28"/>
        </w:rPr>
      </w:pPr>
      <w:r w:rsidRPr="0093131F">
        <w:rPr>
          <w:rFonts w:ascii="Palatino Linotype" w:hAnsi="Palatino Linotype" w:cs="Arial"/>
          <w:b/>
          <w:sz w:val="28"/>
        </w:rPr>
        <w:t>QUINTO</w:t>
      </w:r>
      <w:r w:rsidRPr="0093131F">
        <w:rPr>
          <w:rFonts w:ascii="Palatino Linotype" w:hAnsi="Palatino Linotype" w:cs="Arial"/>
          <w:b/>
          <w:sz w:val="28"/>
          <w:szCs w:val="28"/>
        </w:rPr>
        <w:t>. De la etapa de instrucción.</w:t>
      </w:r>
    </w:p>
    <w:p w14:paraId="4E623C95" w14:textId="523BF2E9" w:rsidR="002816EC" w:rsidRPr="0093131F" w:rsidRDefault="002816EC" w:rsidP="005D66B1">
      <w:pPr>
        <w:spacing w:line="360" w:lineRule="auto"/>
        <w:jc w:val="both"/>
        <w:rPr>
          <w:rFonts w:ascii="Palatino Linotype" w:eastAsia="Palatino Linotype" w:hAnsi="Palatino Linotype" w:cs="Palatino Linotype"/>
          <w:color w:val="000000"/>
          <w:sz w:val="24"/>
          <w:szCs w:val="24"/>
          <w:lang w:val="es-ES_tradnl"/>
        </w:rPr>
      </w:pPr>
      <w:r w:rsidRPr="0093131F">
        <w:rPr>
          <w:rFonts w:ascii="Palatino Linotype" w:hAnsi="Palatino Linotype" w:cs="Arial"/>
          <w:sz w:val="24"/>
        </w:rPr>
        <w:t>De las constancias que obran en el expediente electrónico del SAIMEX, se advierte que el Sujeto Obligado rindió su informe justificado por medio de los archivos electrónicos “</w:t>
      </w:r>
      <w:r w:rsidRPr="0093131F">
        <w:rPr>
          <w:rFonts w:ascii="Palatino Linotype" w:hAnsi="Palatino Linotype" w:cs="Arial"/>
          <w:b/>
          <w:sz w:val="24"/>
        </w:rPr>
        <w:t>04840 formatos de asistencia QR.pdf”, “INFORME JUSTIFICADO RR 4840-2023 UT.pdf”, “INFORME JUSTIFICADO RR 4840-2023 DA.pdf”</w:t>
      </w:r>
      <w:r w:rsidRPr="0093131F">
        <w:rPr>
          <w:rFonts w:ascii="Palatino Linotype" w:hAnsi="Palatino Linotype" w:cs="Arial"/>
          <w:sz w:val="24"/>
        </w:rPr>
        <w:t xml:space="preserve">, </w:t>
      </w:r>
      <w:r w:rsidR="005D66B1" w:rsidRPr="0093131F">
        <w:rPr>
          <w:rFonts w:ascii="Palatino Linotype" w:eastAsia="Palatino Linotype" w:hAnsi="Palatino Linotype" w:cs="Palatino Linotype"/>
          <w:color w:val="000000"/>
          <w:sz w:val="24"/>
          <w:szCs w:val="24"/>
          <w:lang w:val="es-ES_tradnl"/>
        </w:rPr>
        <w:t xml:space="preserve">mismo que se puso a la vista de la </w:t>
      </w:r>
      <w:r w:rsidR="005D66B1" w:rsidRPr="0093131F">
        <w:rPr>
          <w:rFonts w:ascii="Palatino Linotype" w:eastAsia="Palatino Linotype" w:hAnsi="Palatino Linotype" w:cs="Palatino Linotype"/>
          <w:b/>
          <w:color w:val="000000"/>
          <w:sz w:val="24"/>
          <w:szCs w:val="24"/>
          <w:lang w:val="es-ES_tradnl"/>
        </w:rPr>
        <w:t>Recurrente</w:t>
      </w:r>
      <w:r w:rsidR="005D66B1" w:rsidRPr="0093131F">
        <w:rPr>
          <w:rFonts w:ascii="Palatino Linotype" w:eastAsia="Palatino Linotype" w:hAnsi="Palatino Linotype" w:cs="Palatino Linotype"/>
          <w:color w:val="000000"/>
          <w:sz w:val="24"/>
          <w:szCs w:val="24"/>
          <w:lang w:val="es-ES_tradnl"/>
        </w:rPr>
        <w:t xml:space="preserve"> el día once de octubre de dos mil veintitrés para que en el término de tres días realizara sus manifestaciones respecto de dicho informe, se hace constar que El </w:t>
      </w:r>
      <w:r w:rsidR="005D66B1" w:rsidRPr="0093131F">
        <w:rPr>
          <w:rFonts w:ascii="Palatino Linotype" w:eastAsia="Palatino Linotype" w:hAnsi="Palatino Linotype" w:cs="Palatino Linotype"/>
          <w:b/>
          <w:bCs/>
          <w:color w:val="000000"/>
          <w:sz w:val="24"/>
          <w:szCs w:val="24"/>
          <w:lang w:val="es-ES_tradnl"/>
        </w:rPr>
        <w:t>Recurrente</w:t>
      </w:r>
      <w:r w:rsidR="005D66B1" w:rsidRPr="0093131F">
        <w:rPr>
          <w:rFonts w:ascii="Palatino Linotype" w:eastAsia="Palatino Linotype" w:hAnsi="Palatino Linotype" w:cs="Palatino Linotype"/>
          <w:color w:val="000000"/>
          <w:sz w:val="24"/>
          <w:szCs w:val="24"/>
          <w:lang w:val="es-ES_tradnl"/>
        </w:rPr>
        <w:t xml:space="preserve"> fue omiso en presentar sus manifestaciones respecto al </w:t>
      </w:r>
      <w:r w:rsidR="005D66B1" w:rsidRPr="0093131F">
        <w:rPr>
          <w:rFonts w:ascii="Palatino Linotype" w:eastAsia="Palatino Linotype" w:hAnsi="Palatino Linotype" w:cs="Palatino Linotype"/>
          <w:color w:val="000000"/>
          <w:sz w:val="24"/>
          <w:szCs w:val="24"/>
          <w:lang w:val="es-ES_tradnl"/>
        </w:rPr>
        <w:lastRenderedPageBreak/>
        <w:t>informe justificado remitido por el Sujeto Obligado. Finalmente se advierte de las constancias que integran el presente expediente, que no existe prueba alguna que deba desahogarse.</w:t>
      </w:r>
    </w:p>
    <w:p w14:paraId="60E2AFD5" w14:textId="77777777" w:rsidR="005D66B1" w:rsidRPr="0093131F" w:rsidRDefault="005D66B1" w:rsidP="005D66B1">
      <w:pPr>
        <w:spacing w:line="360" w:lineRule="auto"/>
        <w:jc w:val="both"/>
        <w:rPr>
          <w:rFonts w:ascii="Palatino Linotype" w:eastAsia="Calibri" w:hAnsi="Palatino Linotype" w:cs="Arial"/>
          <w:b/>
          <w:sz w:val="28"/>
          <w:szCs w:val="28"/>
        </w:rPr>
      </w:pPr>
    </w:p>
    <w:p w14:paraId="53C9088B" w14:textId="77777777" w:rsidR="005D66B1" w:rsidRPr="0093131F" w:rsidRDefault="002816EC" w:rsidP="005D66B1">
      <w:pPr>
        <w:spacing w:line="360" w:lineRule="auto"/>
        <w:jc w:val="both"/>
        <w:rPr>
          <w:rFonts w:ascii="Palatino Linotype" w:eastAsia="Calibri" w:hAnsi="Palatino Linotype" w:cs="Arial"/>
          <w:b/>
          <w:sz w:val="28"/>
          <w:lang w:val="es-ES_tradnl"/>
        </w:rPr>
      </w:pPr>
      <w:r w:rsidRPr="0093131F">
        <w:rPr>
          <w:rFonts w:ascii="Palatino Linotype" w:hAnsi="Palatino Linotype" w:cs="Arial"/>
          <w:b/>
          <w:sz w:val="28"/>
          <w:szCs w:val="28"/>
        </w:rPr>
        <w:t xml:space="preserve">SEXTO. </w:t>
      </w:r>
      <w:r w:rsidR="005D66B1" w:rsidRPr="0093131F">
        <w:rPr>
          <w:rFonts w:ascii="Palatino Linotype" w:eastAsia="Calibri" w:hAnsi="Palatino Linotype" w:cs="Arial"/>
          <w:b/>
          <w:sz w:val="28"/>
          <w:lang w:val="es-ES_tradnl"/>
        </w:rPr>
        <w:t>De la ampliación del término para resolver.</w:t>
      </w:r>
    </w:p>
    <w:p w14:paraId="6259AEE9" w14:textId="23C27865" w:rsidR="005D66B1" w:rsidRPr="0093131F" w:rsidRDefault="005D66B1" w:rsidP="005D66B1">
      <w:pPr>
        <w:spacing w:after="0" w:line="360" w:lineRule="auto"/>
        <w:jc w:val="both"/>
        <w:rPr>
          <w:rFonts w:ascii="Palatino Linotype" w:eastAsia="Calibri" w:hAnsi="Palatino Linotype" w:cs="Arial"/>
          <w:sz w:val="24"/>
          <w:lang w:val="es-ES_tradnl"/>
        </w:rPr>
      </w:pPr>
      <w:r w:rsidRPr="0093131F">
        <w:rPr>
          <w:rFonts w:ascii="Palatino Linotype" w:eastAsia="Calibri" w:hAnsi="Palatino Linotype" w:cs="Arial"/>
          <w:sz w:val="24"/>
          <w:lang w:val="es-ES_tradnl"/>
        </w:rPr>
        <w:t xml:space="preserve">En fecha </w:t>
      </w:r>
      <w:r w:rsidRPr="0093131F">
        <w:rPr>
          <w:rFonts w:ascii="Palatino Linotype" w:eastAsia="Calibri" w:hAnsi="Palatino Linotype" w:cs="Arial"/>
          <w:b/>
          <w:sz w:val="24"/>
          <w:lang w:val="es-ES_tradnl"/>
        </w:rPr>
        <w:t>diez de octubre de dos mil veintitrés</w:t>
      </w:r>
      <w:r w:rsidRPr="0093131F">
        <w:rPr>
          <w:rFonts w:ascii="Palatino Linotype" w:eastAsia="Calibri" w:hAnsi="Palatino Linotype" w:cs="Arial"/>
          <w:sz w:val="24"/>
          <w:lang w:val="es-ES_tradnl"/>
        </w:rPr>
        <w:t>, se amplió el término para resolver el recurso de revisión en términos del artículo 181 párrafo tercero de la Ley de Transparencia y Acceso a la Información Pública del Estado de México y Municipios por un plazo de quince días hábiles.</w:t>
      </w:r>
    </w:p>
    <w:p w14:paraId="2598087F" w14:textId="77777777" w:rsidR="005D66B1" w:rsidRPr="0093131F" w:rsidRDefault="005D66B1" w:rsidP="005D66B1">
      <w:pPr>
        <w:spacing w:after="0" w:line="360" w:lineRule="auto"/>
        <w:jc w:val="both"/>
        <w:rPr>
          <w:rFonts w:ascii="Palatino Linotype" w:hAnsi="Palatino Linotype"/>
          <w:sz w:val="24"/>
          <w:szCs w:val="24"/>
          <w:lang w:val="es-ES_tradnl"/>
        </w:rPr>
      </w:pPr>
    </w:p>
    <w:p w14:paraId="548AC089"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 xml:space="preserve">Este organismo garante no pasa por alto justificar, </w:t>
      </w:r>
      <w:r w:rsidRPr="0093131F">
        <w:rPr>
          <w:rFonts w:ascii="Palatino Linotype" w:hAnsi="Palatino Linotype"/>
          <w:bCs/>
          <w:sz w:val="24"/>
          <w:szCs w:val="24"/>
          <w:lang w:val="es-ES_tradnl"/>
        </w:rPr>
        <w:t xml:space="preserve">que el plazo para emitir resolución en el presente asunto </w:t>
      </w:r>
      <w:r w:rsidRPr="0093131F">
        <w:rPr>
          <w:rFonts w:ascii="Palatino Linotype" w:hAnsi="Palatino Linotype"/>
          <w:sz w:val="24"/>
          <w:szCs w:val="24"/>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A091DC9"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 xml:space="preserve"> </w:t>
      </w:r>
    </w:p>
    <w:p w14:paraId="7AC895F0"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 xml:space="preserve">Por ello, es menester precisar que, si bien se ha excedido el plazo para resolver el presente medio de impugnación, de conformidad con la ley de la materia, </w:t>
      </w:r>
      <w:r w:rsidRPr="0093131F">
        <w:rPr>
          <w:rFonts w:ascii="Palatino Linotype" w:hAnsi="Palatino Linotype"/>
          <w:bCs/>
          <w:sz w:val="24"/>
          <w:szCs w:val="24"/>
          <w:lang w:val="es-ES_tradnl"/>
        </w:rPr>
        <w:t>el plazo para emitir resolución</w:t>
      </w:r>
      <w:r w:rsidRPr="0093131F">
        <w:rPr>
          <w:rFonts w:ascii="Palatino Linotype" w:hAnsi="Palatino Linotype"/>
          <w:sz w:val="24"/>
          <w:szCs w:val="24"/>
          <w:lang w:val="es-ES_tradnl"/>
        </w:rPr>
        <w:t xml:space="preserve"> se encuentra justificado en los elementos para medir su razonabilidad de asuntos conforme a los parámetros establecidos por diversos órganos </w:t>
      </w:r>
      <w:r w:rsidRPr="0093131F">
        <w:rPr>
          <w:rFonts w:ascii="Palatino Linotype" w:hAnsi="Palatino Linotype"/>
          <w:sz w:val="24"/>
          <w:szCs w:val="24"/>
          <w:lang w:val="es-ES_tradnl"/>
        </w:rPr>
        <w:lastRenderedPageBreak/>
        <w:t>jurisdiccionales federales, aplicables también en procedimientos análogos, como el que nos ocupa.</w:t>
      </w:r>
    </w:p>
    <w:p w14:paraId="7C2D03EE"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 xml:space="preserve"> </w:t>
      </w:r>
    </w:p>
    <w:p w14:paraId="65FCC974"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DC95B0E"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 xml:space="preserve"> </w:t>
      </w:r>
    </w:p>
    <w:p w14:paraId="20B701DA"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7CED2E7"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 xml:space="preserve"> </w:t>
      </w:r>
    </w:p>
    <w:p w14:paraId="447D9F11"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224C1D07"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5D0264D1" w14:textId="77777777" w:rsidR="005D66B1" w:rsidRPr="0093131F" w:rsidRDefault="005D66B1" w:rsidP="005D66B1">
      <w:pPr>
        <w:numPr>
          <w:ilvl w:val="0"/>
          <w:numId w:val="18"/>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b/>
          <w:sz w:val="24"/>
          <w:szCs w:val="24"/>
          <w:lang w:val="es-ES_tradnl"/>
        </w:rPr>
        <w:t>Complejidad del asunto:</w:t>
      </w:r>
      <w:r w:rsidRPr="0093131F">
        <w:rPr>
          <w:rFonts w:ascii="Palatino Linotype" w:hAnsi="Palatino Linotype"/>
          <w:sz w:val="24"/>
          <w:szCs w:val="24"/>
          <w:lang w:val="es-ES_tradnl"/>
        </w:rPr>
        <w:t xml:space="preserve"> La complejidad de la prueba, la pluralidad de sujetos procesales, el tiempo transcurrido, las características y contexto del recurso.</w:t>
      </w:r>
    </w:p>
    <w:p w14:paraId="3FE28682" w14:textId="77777777" w:rsidR="005D66B1" w:rsidRPr="0093131F" w:rsidRDefault="005D66B1" w:rsidP="005D66B1">
      <w:pPr>
        <w:numPr>
          <w:ilvl w:val="0"/>
          <w:numId w:val="18"/>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b/>
          <w:sz w:val="24"/>
          <w:szCs w:val="24"/>
          <w:lang w:val="es-ES_tradnl"/>
        </w:rPr>
        <w:t>Actividad Procesal del interesado:</w:t>
      </w:r>
      <w:r w:rsidRPr="0093131F">
        <w:rPr>
          <w:rFonts w:ascii="Palatino Linotype" w:hAnsi="Palatino Linotype"/>
          <w:sz w:val="24"/>
          <w:szCs w:val="24"/>
          <w:lang w:val="es-ES_tradnl"/>
        </w:rPr>
        <w:t xml:space="preserve"> Acciones u omisiones del interesado.</w:t>
      </w:r>
    </w:p>
    <w:p w14:paraId="704F083C" w14:textId="77777777" w:rsidR="005D66B1" w:rsidRPr="0093131F" w:rsidRDefault="005D66B1" w:rsidP="005D66B1">
      <w:pPr>
        <w:numPr>
          <w:ilvl w:val="0"/>
          <w:numId w:val="18"/>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b/>
          <w:sz w:val="24"/>
          <w:szCs w:val="24"/>
          <w:lang w:val="es-ES_tradnl"/>
        </w:rPr>
        <w:t>Conducta de la Autoridad:</w:t>
      </w:r>
      <w:r w:rsidRPr="0093131F">
        <w:rPr>
          <w:rFonts w:ascii="Palatino Linotype" w:hAnsi="Palatino Linotype"/>
          <w:sz w:val="24"/>
          <w:szCs w:val="24"/>
          <w:lang w:val="es-ES_tradnl"/>
        </w:rPr>
        <w:t xml:space="preserve"> Las Acciones u omisiones realizadas en el procedimiento. Así como si la autoridad actuó con la debida diligencia.</w:t>
      </w:r>
    </w:p>
    <w:p w14:paraId="22FBCBED" w14:textId="77777777" w:rsidR="005D66B1" w:rsidRPr="0093131F" w:rsidRDefault="005D66B1" w:rsidP="005D66B1">
      <w:pPr>
        <w:numPr>
          <w:ilvl w:val="0"/>
          <w:numId w:val="18"/>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b/>
          <w:sz w:val="24"/>
          <w:szCs w:val="24"/>
          <w:lang w:val="es-ES_tradnl"/>
        </w:rPr>
        <w:lastRenderedPageBreak/>
        <w:t>La afectación generada en la situación jurídica de la persona involucrada en el proceso:</w:t>
      </w:r>
      <w:r w:rsidRPr="0093131F">
        <w:rPr>
          <w:rFonts w:ascii="Palatino Linotype" w:hAnsi="Palatino Linotype"/>
          <w:sz w:val="24"/>
          <w:szCs w:val="24"/>
          <w:lang w:val="es-ES_tradnl"/>
        </w:rPr>
        <w:t xml:space="preserve"> Violación a sus derechos humanos.</w:t>
      </w:r>
    </w:p>
    <w:p w14:paraId="30CB0CC1"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78B510CA"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5521CED"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4A2CA091"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D18A6CE"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25C3F54B"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93131F">
        <w:rPr>
          <w:rFonts w:ascii="Palatino Linotype" w:hAnsi="Palatino Linotype"/>
          <w:sz w:val="24"/>
          <w:szCs w:val="24"/>
          <w:lang w:val="es-ES_tradnl"/>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69A60A85"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21EE8D13"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Al respecto, también son de considerar los criterios sostenidos por el Cuarto Tribunal Colegiado en Materia Administrativa del Primer Circuito, cuyos rubros y datos de identificación son los siguientes:</w:t>
      </w:r>
    </w:p>
    <w:p w14:paraId="57A6D5F0"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366A2F54"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w:t>
      </w:r>
      <w:r w:rsidRPr="0093131F">
        <w:rPr>
          <w:rFonts w:ascii="Palatino Linotype" w:hAnsi="Palatino Linotype"/>
          <w:b/>
          <w:sz w:val="24"/>
          <w:szCs w:val="24"/>
          <w:lang w:val="es-ES_tradnl"/>
        </w:rPr>
        <w:t>PLAZO RAZONABLE PARA RESOLVER. DIMENSIÓN Y EFECTOS DE ESTE CONCEPTO CUANDO SE ADUCE EXCESIVA CARGA DE TRABAJO.”</w:t>
      </w:r>
      <w:r w:rsidRPr="0093131F">
        <w:rPr>
          <w:rFonts w:ascii="Palatino Linotype" w:hAnsi="Palatino Linotype"/>
          <w:sz w:val="24"/>
          <w:szCs w:val="24"/>
          <w:lang w:val="es-ES_tradnl"/>
        </w:rPr>
        <w:t xml:space="preserve"> consultable en el Seminario Judicial de la Federación y su gaceta, con el registro digital 2002351.</w:t>
      </w:r>
    </w:p>
    <w:p w14:paraId="22A68CDF"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6A771B4E"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93131F">
        <w:rPr>
          <w:rFonts w:ascii="Palatino Linotype" w:hAnsi="Palatino Linotype"/>
          <w:sz w:val="24"/>
          <w:szCs w:val="24"/>
          <w:lang w:val="es-ES_tradnl"/>
        </w:rPr>
        <w:t>“</w:t>
      </w:r>
      <w:r w:rsidRPr="0093131F">
        <w:rPr>
          <w:rFonts w:ascii="Palatino Linotype" w:hAnsi="Palatino Linotype"/>
          <w:b/>
          <w:sz w:val="24"/>
          <w:szCs w:val="24"/>
          <w:lang w:val="es-ES_tradnl"/>
        </w:rPr>
        <w:t>PLAZO RAZONABLE PARA RESOLVER. CONCEPTO Y ELEMENTOS QUE LO INTEGRAN A LA LUZ DEL DERECHO INTERNACIONAL DE LOS DERECHOS HUMANOS.”,</w:t>
      </w:r>
      <w:r w:rsidRPr="0093131F">
        <w:rPr>
          <w:rFonts w:ascii="Palatino Linotype" w:hAnsi="Palatino Linotype"/>
          <w:sz w:val="24"/>
          <w:szCs w:val="24"/>
          <w:lang w:val="es-ES_tradnl"/>
        </w:rPr>
        <w:t xml:space="preserve"> visible en el Seminario Judicial de la Federación y su gaceta, con el registro digital 2002350.</w:t>
      </w:r>
    </w:p>
    <w:p w14:paraId="765F666F" w14:textId="77777777" w:rsidR="005D66B1" w:rsidRPr="0093131F" w:rsidRDefault="005D66B1" w:rsidP="005D66B1">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29BB0522" w14:textId="44E9AE21" w:rsidR="005D66B1" w:rsidRPr="0093131F" w:rsidRDefault="005D66B1" w:rsidP="005D66B1">
      <w:pPr>
        <w:spacing w:after="0" w:line="360" w:lineRule="auto"/>
        <w:jc w:val="both"/>
        <w:rPr>
          <w:rFonts w:ascii="Palatino Linotype" w:hAnsi="Palatino Linotype" w:cs="Arial"/>
          <w:sz w:val="24"/>
          <w:szCs w:val="24"/>
        </w:rPr>
      </w:pPr>
      <w:r w:rsidRPr="0093131F">
        <w:rPr>
          <w:rFonts w:ascii="Palatino Linotype" w:hAnsi="Palatino Linotype"/>
          <w:bCs/>
          <w:sz w:val="24"/>
          <w:szCs w:val="24"/>
          <w:lang w:val="es-ES_tradnl"/>
        </w:rPr>
        <w:t>Por ello, este organismo garante comprometido con la tutela de los derechos humanos confiados señala que este exceso del plazo legal para resolver el presente asunto resulta de carácter excepcional.</w:t>
      </w:r>
    </w:p>
    <w:p w14:paraId="2B328A4E" w14:textId="77777777" w:rsidR="002816EC" w:rsidRPr="0093131F" w:rsidRDefault="002816EC" w:rsidP="002816EC">
      <w:pPr>
        <w:spacing w:line="360" w:lineRule="auto"/>
        <w:jc w:val="both"/>
        <w:rPr>
          <w:rFonts w:ascii="Palatino Linotype" w:eastAsia="Calibri" w:hAnsi="Palatino Linotype" w:cs="Arial"/>
          <w:b/>
          <w:sz w:val="28"/>
          <w:lang w:val="es-ES_tradnl"/>
        </w:rPr>
      </w:pPr>
    </w:p>
    <w:p w14:paraId="6AC1FDE6" w14:textId="77777777" w:rsidR="005D66B1" w:rsidRPr="0093131F" w:rsidRDefault="002816EC" w:rsidP="005D66B1">
      <w:pPr>
        <w:spacing w:after="0" w:line="360" w:lineRule="auto"/>
        <w:jc w:val="both"/>
        <w:rPr>
          <w:rFonts w:ascii="Palatino Linotype" w:hAnsi="Palatino Linotype" w:cs="Arial"/>
          <w:b/>
          <w:sz w:val="28"/>
          <w:szCs w:val="28"/>
        </w:rPr>
      </w:pPr>
      <w:r w:rsidRPr="0093131F">
        <w:rPr>
          <w:rFonts w:ascii="Palatino Linotype" w:eastAsia="Calibri" w:hAnsi="Palatino Linotype" w:cs="Arial"/>
          <w:b/>
          <w:sz w:val="28"/>
          <w:lang w:val="es-ES_tradnl"/>
        </w:rPr>
        <w:lastRenderedPageBreak/>
        <w:t xml:space="preserve">SÉPTIMO. </w:t>
      </w:r>
      <w:r w:rsidR="005D66B1" w:rsidRPr="0093131F">
        <w:rPr>
          <w:rFonts w:ascii="Palatino Linotype" w:hAnsi="Palatino Linotype" w:cs="Arial"/>
          <w:b/>
          <w:sz w:val="28"/>
          <w:szCs w:val="28"/>
        </w:rPr>
        <w:t>Del Cierre de Instrucción.</w:t>
      </w:r>
    </w:p>
    <w:p w14:paraId="0F5B4A3E" w14:textId="1C3F162B" w:rsidR="00A14C82" w:rsidRPr="0093131F" w:rsidRDefault="005D66B1" w:rsidP="005D66B1">
      <w:pPr>
        <w:spacing w:after="0" w:line="360" w:lineRule="auto"/>
        <w:jc w:val="both"/>
        <w:rPr>
          <w:rFonts w:ascii="Palatino Linotype" w:hAnsi="Palatino Linotype" w:cs="Arial"/>
          <w:sz w:val="24"/>
          <w:szCs w:val="24"/>
        </w:rPr>
      </w:pPr>
      <w:r w:rsidRPr="0093131F">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93131F">
        <w:rPr>
          <w:rFonts w:ascii="Palatino Linotype" w:hAnsi="Palatino Linotype" w:cs="Arial"/>
          <w:b/>
          <w:sz w:val="24"/>
          <w:szCs w:val="24"/>
        </w:rPr>
        <w:t>diecinueve de octubre de dos mil veintitrés</w:t>
      </w:r>
      <w:r w:rsidRPr="0093131F">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75C06F8C" w14:textId="77777777" w:rsidR="00321484" w:rsidRPr="0093131F" w:rsidRDefault="00321484" w:rsidP="005D66B1">
      <w:pPr>
        <w:spacing w:after="0" w:line="360" w:lineRule="auto"/>
        <w:jc w:val="center"/>
        <w:rPr>
          <w:rFonts w:ascii="Palatino Linotype" w:hAnsi="Palatino Linotype" w:cs="Arial"/>
          <w:b/>
          <w:sz w:val="24"/>
        </w:rPr>
      </w:pPr>
    </w:p>
    <w:p w14:paraId="1EBA35FA" w14:textId="563EFF0D" w:rsidR="006168E4" w:rsidRPr="0093131F" w:rsidRDefault="006168E4" w:rsidP="005D66B1">
      <w:pPr>
        <w:spacing w:before="240" w:after="0" w:line="360" w:lineRule="auto"/>
        <w:jc w:val="center"/>
        <w:rPr>
          <w:rFonts w:ascii="Palatino Linotype" w:hAnsi="Palatino Linotype" w:cs="Arial"/>
          <w:b/>
          <w:sz w:val="24"/>
        </w:rPr>
      </w:pPr>
      <w:r w:rsidRPr="0093131F">
        <w:rPr>
          <w:rFonts w:ascii="Palatino Linotype" w:hAnsi="Palatino Linotype" w:cs="Arial"/>
          <w:b/>
          <w:sz w:val="24"/>
        </w:rPr>
        <w:t xml:space="preserve">C O N S I D E R A N D O </w:t>
      </w:r>
    </w:p>
    <w:p w14:paraId="3B423EBF" w14:textId="77777777" w:rsidR="005D66B1" w:rsidRPr="0093131F" w:rsidRDefault="005D66B1" w:rsidP="005D66B1">
      <w:pPr>
        <w:spacing w:after="0" w:line="360" w:lineRule="auto"/>
        <w:jc w:val="center"/>
        <w:rPr>
          <w:rFonts w:ascii="Palatino Linotype" w:hAnsi="Palatino Linotype" w:cs="Arial"/>
          <w:b/>
          <w:sz w:val="24"/>
        </w:rPr>
      </w:pPr>
    </w:p>
    <w:p w14:paraId="68B57F26" w14:textId="77777777" w:rsidR="006168E4" w:rsidRPr="0093131F" w:rsidRDefault="006168E4" w:rsidP="00844569">
      <w:pPr>
        <w:spacing w:before="240" w:line="360" w:lineRule="auto"/>
        <w:jc w:val="both"/>
        <w:rPr>
          <w:rFonts w:ascii="Palatino Linotype" w:hAnsi="Palatino Linotype" w:cs="Arial"/>
          <w:sz w:val="24"/>
        </w:rPr>
      </w:pPr>
      <w:r w:rsidRPr="0093131F">
        <w:rPr>
          <w:rFonts w:ascii="Palatino Linotype" w:hAnsi="Palatino Linotype" w:cs="Arial"/>
          <w:b/>
          <w:sz w:val="28"/>
        </w:rPr>
        <w:t>PRIMERO.</w:t>
      </w:r>
      <w:r w:rsidRPr="0093131F">
        <w:rPr>
          <w:rFonts w:ascii="Palatino Linotype" w:hAnsi="Palatino Linotype" w:cs="Arial"/>
          <w:b/>
        </w:rPr>
        <w:t xml:space="preserve"> </w:t>
      </w:r>
      <w:r w:rsidRPr="0093131F">
        <w:rPr>
          <w:rFonts w:ascii="Palatino Linotype" w:hAnsi="Palatino Linotype" w:cs="Arial"/>
          <w:b/>
          <w:sz w:val="28"/>
          <w:szCs w:val="28"/>
        </w:rPr>
        <w:t>De la competencia</w:t>
      </w:r>
      <w:r w:rsidRPr="0093131F">
        <w:rPr>
          <w:rFonts w:ascii="Palatino Linotype" w:hAnsi="Palatino Linotype" w:cs="Arial"/>
          <w:sz w:val="28"/>
          <w:szCs w:val="28"/>
        </w:rPr>
        <w:t>.</w:t>
      </w:r>
    </w:p>
    <w:p w14:paraId="2206594A" w14:textId="77777777" w:rsidR="00CF43A2" w:rsidRPr="0093131F" w:rsidRDefault="00CF43A2" w:rsidP="00CF43A2">
      <w:pPr>
        <w:spacing w:before="240" w:line="360" w:lineRule="auto"/>
        <w:jc w:val="both"/>
        <w:rPr>
          <w:rFonts w:ascii="Palatino Linotype" w:eastAsia="Calibri" w:hAnsi="Palatino Linotype" w:cs="Arial"/>
          <w:bCs/>
          <w:color w:val="000000" w:themeColor="text1"/>
          <w:sz w:val="24"/>
          <w:szCs w:val="24"/>
        </w:rPr>
      </w:pPr>
      <w:r w:rsidRPr="0093131F">
        <w:rPr>
          <w:rFonts w:ascii="Palatino Linotype" w:eastAsia="Calibri" w:hAnsi="Palatino Linotype" w:cs="Arial"/>
          <w:bCs/>
          <w:color w:val="000000" w:themeColor="text1"/>
          <w:sz w:val="24"/>
          <w:szCs w:val="24"/>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93131F">
        <w:rPr>
          <w:rFonts w:ascii="Palatino Linotype" w:eastAsia="Calibri" w:hAnsi="Palatino Linotype" w:cs="Arial"/>
          <w:bCs/>
          <w:color w:val="000000" w:themeColor="text1"/>
          <w:sz w:val="24"/>
          <w:szCs w:val="24"/>
        </w:rPr>
        <w:lastRenderedPageBreak/>
        <w:t>Transparencia, Acceso a la Información Pública y Protección de Datos Personales del Estado de México y Municipios.</w:t>
      </w:r>
    </w:p>
    <w:p w14:paraId="451A6E4D" w14:textId="77777777" w:rsidR="00CF43A2" w:rsidRPr="0093131F" w:rsidRDefault="00CF43A2" w:rsidP="0070748D">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p>
    <w:p w14:paraId="072EB9D2" w14:textId="77777777" w:rsidR="006168E4" w:rsidRPr="0093131F"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93131F">
        <w:rPr>
          <w:rFonts w:ascii="Palatino Linotype" w:hAnsi="Palatino Linotype" w:cs="Arial"/>
          <w:b/>
          <w:sz w:val="28"/>
        </w:rPr>
        <w:t>SEGUNDO</w:t>
      </w:r>
      <w:r w:rsidRPr="0093131F">
        <w:rPr>
          <w:rFonts w:ascii="Palatino Linotype" w:hAnsi="Palatino Linotype" w:cs="Arial"/>
          <w:b/>
        </w:rPr>
        <w:t xml:space="preserve">. </w:t>
      </w:r>
      <w:r w:rsidRPr="0093131F">
        <w:rPr>
          <w:rFonts w:ascii="Palatino Linotype" w:hAnsi="Palatino Linotype" w:cs="Arial"/>
          <w:b/>
          <w:sz w:val="28"/>
          <w:szCs w:val="28"/>
        </w:rPr>
        <w:t>Sobre los alcances del recurso de revisión.</w:t>
      </w:r>
      <w:r w:rsidRPr="0093131F">
        <w:rPr>
          <w:rFonts w:ascii="Palatino Linotype" w:hAnsi="Palatino Linotype" w:cs="Arial"/>
          <w:b/>
        </w:rPr>
        <w:t xml:space="preserve"> </w:t>
      </w:r>
    </w:p>
    <w:p w14:paraId="269B6C88" w14:textId="77777777" w:rsidR="006168E4" w:rsidRPr="0093131F"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sidRPr="0093131F">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DECD263" w14:textId="77777777" w:rsidR="004F3393" w:rsidRPr="0093131F" w:rsidRDefault="004F3393"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5F7415D5" w14:textId="77777777" w:rsidR="00A14C82" w:rsidRPr="0093131F" w:rsidRDefault="00A14C82" w:rsidP="00A14C82">
      <w:pPr>
        <w:tabs>
          <w:tab w:val="left" w:pos="709"/>
        </w:tabs>
        <w:spacing w:before="240" w:line="360" w:lineRule="auto"/>
        <w:ind w:right="51"/>
        <w:jc w:val="both"/>
        <w:rPr>
          <w:rFonts w:ascii="Palatino Linotype" w:hAnsi="Palatino Linotype"/>
          <w:b/>
          <w:sz w:val="28"/>
          <w:szCs w:val="28"/>
        </w:rPr>
      </w:pPr>
      <w:r w:rsidRPr="0093131F">
        <w:rPr>
          <w:rFonts w:ascii="Palatino Linotype" w:hAnsi="Palatino Linotype"/>
          <w:b/>
          <w:sz w:val="28"/>
          <w:szCs w:val="28"/>
        </w:rPr>
        <w:t xml:space="preserve">TERCERO. </w:t>
      </w:r>
      <w:r w:rsidRPr="0093131F">
        <w:rPr>
          <w:rFonts w:ascii="Palatino Linotype" w:hAnsi="Palatino Linotype" w:cs="Arial"/>
          <w:b/>
          <w:sz w:val="28"/>
          <w:szCs w:val="28"/>
        </w:rPr>
        <w:t>Del estudio de las causas de improcedencia y sobreseimiento</w:t>
      </w:r>
    </w:p>
    <w:p w14:paraId="03767129" w14:textId="77777777" w:rsidR="00A14C82" w:rsidRPr="0093131F" w:rsidRDefault="00A14C82" w:rsidP="00A14C82">
      <w:pPr>
        <w:pStyle w:val="Prrafodelista"/>
        <w:autoSpaceDE w:val="0"/>
        <w:autoSpaceDN w:val="0"/>
        <w:adjustRightInd w:val="0"/>
        <w:spacing w:line="360" w:lineRule="auto"/>
        <w:ind w:left="0"/>
        <w:jc w:val="both"/>
        <w:rPr>
          <w:rFonts w:ascii="Palatino Linotype" w:hAnsi="Palatino Linotype" w:cs="Arial"/>
        </w:rPr>
      </w:pPr>
      <w:r w:rsidRPr="0093131F">
        <w:rPr>
          <w:rFonts w:ascii="Palatino Linotype" w:hAnsi="Palatino Linotype" w:cs="Arial"/>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w:t>
      </w:r>
      <w:r w:rsidRPr="0093131F">
        <w:rPr>
          <w:rFonts w:ascii="Palatino Linotype" w:hAnsi="Palatino Linotype" w:cs="Arial"/>
        </w:rPr>
        <w:lastRenderedPageBreak/>
        <w:t>y Acceso a la Información Pública del Estado de México y Municipios, en correlación con la seguridad jurídica que debe generar lo actuado ante este Organismo garante.</w:t>
      </w:r>
    </w:p>
    <w:p w14:paraId="71DFF122" w14:textId="77777777" w:rsidR="00A14C82" w:rsidRPr="0093131F" w:rsidRDefault="00A14C82" w:rsidP="00A14C82">
      <w:pPr>
        <w:pStyle w:val="Prrafodelista"/>
        <w:autoSpaceDE w:val="0"/>
        <w:autoSpaceDN w:val="0"/>
        <w:adjustRightInd w:val="0"/>
        <w:spacing w:line="360" w:lineRule="auto"/>
        <w:ind w:left="0"/>
        <w:jc w:val="both"/>
        <w:rPr>
          <w:rFonts w:ascii="Palatino Linotype" w:hAnsi="Palatino Linotype" w:cs="Arial"/>
        </w:rPr>
      </w:pPr>
      <w:r w:rsidRPr="0093131F">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 resolución emitida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93131F">
        <w:rPr>
          <w:rStyle w:val="Refdenotaalpie"/>
          <w:rFonts w:ascii="Palatino Linotype" w:hAnsi="Palatino Linotype" w:cs="Arial"/>
        </w:rPr>
        <w:footnoteReference w:id="1"/>
      </w:r>
      <w:r w:rsidRPr="0093131F">
        <w:rPr>
          <w:rFonts w:ascii="Palatino Linotype" w:hAnsi="Palatino Linotype" w:cs="Arial"/>
        </w:rPr>
        <w:t>.</w:t>
      </w:r>
    </w:p>
    <w:p w14:paraId="37328AE1" w14:textId="77777777" w:rsidR="00A14C82" w:rsidRPr="0093131F" w:rsidRDefault="00A14C82" w:rsidP="00A14C82">
      <w:pPr>
        <w:autoSpaceDE w:val="0"/>
        <w:autoSpaceDN w:val="0"/>
        <w:adjustRightInd w:val="0"/>
        <w:spacing w:line="360" w:lineRule="auto"/>
        <w:jc w:val="both"/>
        <w:rPr>
          <w:rFonts w:ascii="Palatino Linotype" w:hAnsi="Palatino Linotype" w:cs="Arial"/>
          <w:sz w:val="24"/>
          <w:szCs w:val="24"/>
        </w:rPr>
      </w:pPr>
      <w:r w:rsidRPr="0093131F">
        <w:rPr>
          <w:rFonts w:ascii="Palatino Linotype" w:hAnsi="Palatino Linotype" w:cs="Arial"/>
          <w:sz w:val="24"/>
          <w:szCs w:val="24"/>
        </w:rPr>
        <w:t xml:space="preserve">En primer término es necesario hacer alusión a la solicitud de información ya que de ella deriva por un lado el procedimiento de acceso a la información ante </w:t>
      </w:r>
      <w:r w:rsidRPr="0093131F">
        <w:rPr>
          <w:rFonts w:ascii="Palatino Linotype" w:hAnsi="Palatino Linotype" w:cs="Arial"/>
          <w:b/>
          <w:sz w:val="24"/>
          <w:szCs w:val="24"/>
        </w:rPr>
        <w:t>El Sujeto Obligado</w:t>
      </w:r>
      <w:r w:rsidRPr="0093131F">
        <w:rPr>
          <w:rFonts w:ascii="Palatino Linotype" w:hAnsi="Palatino Linotype" w:cs="Arial"/>
          <w:sz w:val="24"/>
          <w:szCs w:val="24"/>
        </w:rPr>
        <w:t xml:space="preserve">, y por otro lado la materia sobre la que versara el recurso de revisión ante </w:t>
      </w:r>
      <w:r w:rsidRPr="0093131F">
        <w:rPr>
          <w:rFonts w:ascii="Palatino Linotype" w:hAnsi="Palatino Linotype" w:cs="Arial"/>
          <w:sz w:val="24"/>
          <w:szCs w:val="24"/>
        </w:rPr>
        <w:lastRenderedPageBreak/>
        <w:t>este Órgano Garante; se resalta la innegable necesidad de interpretar el texto de las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2906B860" w14:textId="6C33231F" w:rsidR="00A14C82" w:rsidRPr="0093131F" w:rsidRDefault="00A14C82" w:rsidP="00A14C82">
      <w:pPr>
        <w:autoSpaceDE w:val="0"/>
        <w:autoSpaceDN w:val="0"/>
        <w:adjustRightInd w:val="0"/>
        <w:spacing w:line="360" w:lineRule="auto"/>
        <w:jc w:val="both"/>
        <w:rPr>
          <w:rFonts w:ascii="Palatino Linotype" w:hAnsi="Palatino Linotype" w:cs="Arial"/>
          <w:sz w:val="24"/>
          <w:szCs w:val="24"/>
        </w:rPr>
      </w:pPr>
      <w:r w:rsidRPr="0093131F">
        <w:rPr>
          <w:rFonts w:ascii="Palatino Linotype" w:hAnsi="Palatino Linotype" w:cs="Arial"/>
          <w:sz w:val="24"/>
          <w:szCs w:val="24"/>
        </w:rPr>
        <w:t>Ya que el planteamiento del problema es de toral importancia, a efecto de determinar la intención o voluntad del</w:t>
      </w:r>
      <w:r w:rsidRPr="0093131F">
        <w:rPr>
          <w:rFonts w:ascii="Palatino Linotype" w:hAnsi="Palatino Linotype" w:cs="Arial"/>
          <w:b/>
          <w:sz w:val="24"/>
          <w:szCs w:val="24"/>
        </w:rPr>
        <w:t xml:space="preserve"> Recurrente</w:t>
      </w:r>
      <w:r w:rsidRPr="0093131F">
        <w:rPr>
          <w:rFonts w:ascii="Palatino Linotype" w:hAnsi="Palatino Linotype" w:cs="Arial"/>
          <w:sz w:val="24"/>
          <w:szCs w:val="24"/>
        </w:rPr>
        <w:t xml:space="preserve"> a la luz de la interpretación de la solicitud de información, y que puede generar de forma objetiva y material </w:t>
      </w:r>
      <w:r w:rsidRPr="0093131F">
        <w:rPr>
          <w:rFonts w:ascii="Palatino Linotype" w:hAnsi="Palatino Linotype" w:cs="Arial"/>
          <w:b/>
          <w:sz w:val="24"/>
          <w:szCs w:val="24"/>
        </w:rPr>
        <w:t>El Sujeto Obligado</w:t>
      </w:r>
      <w:r w:rsidRPr="0093131F">
        <w:rPr>
          <w:rFonts w:ascii="Palatino Linotype" w:hAnsi="Palatino Linotype" w:cs="Arial"/>
          <w:sz w:val="24"/>
          <w:szCs w:val="24"/>
        </w:rPr>
        <w:t xml:space="preserve"> que se relacione con esa intención, respecto del presente asunto se realiza a continuación.</w:t>
      </w:r>
    </w:p>
    <w:p w14:paraId="194B9EE2" w14:textId="3293C9CC" w:rsidR="000A62C4" w:rsidRPr="0093131F" w:rsidRDefault="008028E9" w:rsidP="00A71379">
      <w:pPr>
        <w:autoSpaceDE w:val="0"/>
        <w:autoSpaceDN w:val="0"/>
        <w:adjustRightInd w:val="0"/>
        <w:spacing w:before="240" w:line="360" w:lineRule="auto"/>
        <w:jc w:val="both"/>
        <w:rPr>
          <w:rFonts w:ascii="Palatino Linotype" w:hAnsi="Palatino Linotype" w:cs="Arial"/>
          <w:b/>
          <w:bCs/>
          <w:iCs/>
          <w:sz w:val="24"/>
          <w:szCs w:val="24"/>
        </w:rPr>
      </w:pPr>
      <w:r w:rsidRPr="0093131F">
        <w:rPr>
          <w:rFonts w:ascii="Palatino Linotype" w:hAnsi="Palatino Linotype" w:cs="Arial"/>
          <w:sz w:val="24"/>
          <w:szCs w:val="24"/>
        </w:rPr>
        <w:t>En</w:t>
      </w:r>
      <w:r w:rsidR="005D66B1" w:rsidRPr="0093131F">
        <w:rPr>
          <w:rFonts w:ascii="Palatino Linotype" w:hAnsi="Palatino Linotype" w:cs="Arial"/>
          <w:sz w:val="24"/>
          <w:szCs w:val="24"/>
        </w:rPr>
        <w:t xml:space="preserve"> primer lugar</w:t>
      </w:r>
      <w:r w:rsidRPr="0093131F">
        <w:rPr>
          <w:rFonts w:ascii="Palatino Linotype" w:hAnsi="Palatino Linotype" w:cs="Arial"/>
          <w:sz w:val="24"/>
          <w:szCs w:val="24"/>
        </w:rPr>
        <w:t xml:space="preserve">, con relación </w:t>
      </w:r>
      <w:r w:rsidR="00A71379" w:rsidRPr="0093131F">
        <w:rPr>
          <w:rFonts w:ascii="Palatino Linotype" w:hAnsi="Palatino Linotype" w:cs="Arial"/>
          <w:sz w:val="24"/>
          <w:szCs w:val="24"/>
        </w:rPr>
        <w:t xml:space="preserve">al requerimiento formulado, se refiere que no fue señalado </w:t>
      </w:r>
      <w:r w:rsidR="00321484" w:rsidRPr="0093131F">
        <w:rPr>
          <w:rFonts w:ascii="Palatino Linotype" w:hAnsi="Palatino Linotype" w:cs="Arial"/>
          <w:sz w:val="24"/>
          <w:szCs w:val="24"/>
        </w:rPr>
        <w:t xml:space="preserve">elemento temporal, debiendo de ser fijado a la fecha en que se ejerció el derecho de acceso a la información pública, es decir, al </w:t>
      </w:r>
      <w:r w:rsidR="00A71379" w:rsidRPr="0093131F">
        <w:rPr>
          <w:rFonts w:ascii="Palatino Linotype" w:hAnsi="Palatino Linotype" w:cs="Arial"/>
          <w:sz w:val="24"/>
          <w:szCs w:val="24"/>
        </w:rPr>
        <w:t>treinta y uno de julio</w:t>
      </w:r>
      <w:r w:rsidR="009C2170" w:rsidRPr="0093131F">
        <w:rPr>
          <w:rFonts w:ascii="Palatino Linotype" w:hAnsi="Palatino Linotype" w:cs="Arial"/>
          <w:sz w:val="24"/>
          <w:szCs w:val="24"/>
        </w:rPr>
        <w:t xml:space="preserve"> de dos mil veintitrés. </w:t>
      </w:r>
    </w:p>
    <w:p w14:paraId="5C2A02B1" w14:textId="0E0CBA16" w:rsidR="001534CF" w:rsidRPr="0093131F" w:rsidRDefault="001534CF" w:rsidP="001534CF">
      <w:pPr>
        <w:spacing w:before="240" w:line="360" w:lineRule="auto"/>
        <w:jc w:val="both"/>
        <w:rPr>
          <w:rFonts w:ascii="Palatino Linotype" w:hAnsi="Palatino Linotype"/>
          <w:sz w:val="24"/>
          <w:szCs w:val="24"/>
        </w:rPr>
      </w:pPr>
      <w:r w:rsidRPr="0093131F">
        <w:rPr>
          <w:rFonts w:ascii="Palatino Linotype" w:hAnsi="Palatino Linotype"/>
          <w:sz w:val="24"/>
          <w:szCs w:val="24"/>
        </w:rPr>
        <w:t xml:space="preserve">Dichas precisiones, con fundamento en los artículos 13 y 181 cuarto párrafo de la Ley en materia, los cuales a la letra rezan: </w:t>
      </w:r>
    </w:p>
    <w:p w14:paraId="52B63351" w14:textId="77777777" w:rsidR="001534CF" w:rsidRPr="0093131F" w:rsidRDefault="001534CF" w:rsidP="001534CF">
      <w:pPr>
        <w:pStyle w:val="Citas"/>
      </w:pPr>
      <w:r w:rsidRPr="0093131F">
        <w:rPr>
          <w:b/>
          <w:bCs/>
        </w:rPr>
        <w:t xml:space="preserve">“Artículo 13. </w:t>
      </w:r>
      <w:r w:rsidRPr="0093131F">
        <w:t>El Instituto, en el ámbito de sus atribuciones, deberá suplir cualquier deficiencia para garantizar el ejercicio del derecho de acceso a la información.</w:t>
      </w:r>
    </w:p>
    <w:p w14:paraId="32DB7D4C" w14:textId="77777777" w:rsidR="001534CF" w:rsidRPr="0093131F" w:rsidRDefault="001534CF" w:rsidP="001534CF">
      <w:pPr>
        <w:pStyle w:val="Citas"/>
        <w:rPr>
          <w:b/>
        </w:rPr>
      </w:pPr>
      <w:r w:rsidRPr="0093131F">
        <w:rPr>
          <w:b/>
        </w:rPr>
        <w:lastRenderedPageBreak/>
        <w:t xml:space="preserve">Artículo 181. … </w:t>
      </w:r>
    </w:p>
    <w:p w14:paraId="2962A267" w14:textId="77777777" w:rsidR="001534CF" w:rsidRPr="0093131F" w:rsidRDefault="001534CF" w:rsidP="001534CF">
      <w:pPr>
        <w:pStyle w:val="Citas"/>
        <w:rPr>
          <w:b/>
        </w:rPr>
      </w:pPr>
      <w:r w:rsidRPr="0093131F">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93131F">
        <w:rPr>
          <w:b/>
        </w:rPr>
        <w:t>[Sic]</w:t>
      </w:r>
    </w:p>
    <w:p w14:paraId="7581141B" w14:textId="77777777" w:rsidR="009979A2" w:rsidRPr="0093131F" w:rsidRDefault="009979A2" w:rsidP="001534CF">
      <w:pPr>
        <w:spacing w:before="240" w:line="360" w:lineRule="auto"/>
        <w:jc w:val="both"/>
        <w:rPr>
          <w:rFonts w:ascii="Palatino Linotype" w:hAnsi="Palatino Linotype"/>
          <w:sz w:val="24"/>
          <w:szCs w:val="24"/>
        </w:rPr>
      </w:pPr>
    </w:p>
    <w:p w14:paraId="551ECE12" w14:textId="1BE9DAF1" w:rsidR="001534CF" w:rsidRPr="0093131F" w:rsidRDefault="001534CF" w:rsidP="001534CF">
      <w:pPr>
        <w:spacing w:before="240" w:line="360" w:lineRule="auto"/>
        <w:jc w:val="both"/>
        <w:rPr>
          <w:rFonts w:ascii="Palatino Linotype" w:hAnsi="Palatino Linotype"/>
          <w:sz w:val="24"/>
          <w:szCs w:val="24"/>
        </w:rPr>
      </w:pPr>
      <w:r w:rsidRPr="0093131F">
        <w:rPr>
          <w:rFonts w:ascii="Palatino Linotype" w:hAnsi="Palatino Linotype"/>
          <w:sz w:val="24"/>
          <w:szCs w:val="24"/>
        </w:rPr>
        <w:t xml:space="preserve">Bajo estas líneas argumentativas, al retomar y delimitar los requerimientos formulados por el ahora </w:t>
      </w:r>
      <w:r w:rsidRPr="0093131F">
        <w:rPr>
          <w:rFonts w:ascii="Palatino Linotype" w:hAnsi="Palatino Linotype"/>
          <w:b/>
          <w:bCs/>
          <w:sz w:val="24"/>
          <w:szCs w:val="24"/>
        </w:rPr>
        <w:t xml:space="preserve">Recurrente, </w:t>
      </w:r>
      <w:r w:rsidRPr="0093131F">
        <w:rPr>
          <w:rFonts w:ascii="Palatino Linotype" w:hAnsi="Palatino Linotype"/>
          <w:sz w:val="24"/>
          <w:szCs w:val="24"/>
        </w:rPr>
        <w:t xml:space="preserve">de manera objetiva se precisa que versa en conocer la siguiente información: </w:t>
      </w:r>
    </w:p>
    <w:p w14:paraId="45213BFD" w14:textId="1A6F048D" w:rsidR="00DF3F6B" w:rsidRPr="0093131F" w:rsidRDefault="00A71379" w:rsidP="00FA5377">
      <w:pPr>
        <w:pStyle w:val="Prrafodelista"/>
        <w:numPr>
          <w:ilvl w:val="0"/>
          <w:numId w:val="3"/>
        </w:numPr>
        <w:autoSpaceDE w:val="0"/>
        <w:autoSpaceDN w:val="0"/>
        <w:adjustRightInd w:val="0"/>
        <w:spacing w:before="240" w:line="360" w:lineRule="auto"/>
        <w:jc w:val="both"/>
        <w:rPr>
          <w:rFonts w:ascii="Palatino Linotype" w:hAnsi="Palatino Linotype" w:cs="Arial"/>
        </w:rPr>
      </w:pPr>
      <w:r w:rsidRPr="0093131F">
        <w:rPr>
          <w:rFonts w:ascii="Palatino Linotype" w:hAnsi="Palatino Linotype" w:cs="Arial"/>
        </w:rPr>
        <w:t>Los formatos “Asistencia por empleado” del Servidor Electoral Milton Carlos Córdova Martínez, adscrito a la 27 junta distrital, al treinta y uno de julio de dos mil veintitrés</w:t>
      </w:r>
      <w:r w:rsidR="009C2170" w:rsidRPr="0093131F">
        <w:rPr>
          <w:rFonts w:ascii="Palatino Linotype" w:hAnsi="Palatino Linotype" w:cs="Arial"/>
        </w:rPr>
        <w:t xml:space="preserve">. </w:t>
      </w:r>
    </w:p>
    <w:p w14:paraId="5F7FA7E2" w14:textId="77777777" w:rsidR="00CE3EB5" w:rsidRPr="0093131F" w:rsidRDefault="00CE3EB5" w:rsidP="00E04DB7">
      <w:pPr>
        <w:spacing w:after="0" w:line="360" w:lineRule="auto"/>
        <w:jc w:val="both"/>
        <w:rPr>
          <w:rFonts w:ascii="Palatino Linotype" w:hAnsi="Palatino Linotype" w:cs="Arial"/>
          <w:sz w:val="24"/>
          <w:szCs w:val="24"/>
        </w:rPr>
      </w:pPr>
    </w:p>
    <w:p w14:paraId="7FEA2B3A" w14:textId="5700EAFF" w:rsidR="00A71379" w:rsidRPr="0093131F" w:rsidRDefault="009C2170" w:rsidP="009C2170">
      <w:pPr>
        <w:autoSpaceDE w:val="0"/>
        <w:autoSpaceDN w:val="0"/>
        <w:adjustRightInd w:val="0"/>
        <w:spacing w:line="360" w:lineRule="auto"/>
        <w:jc w:val="both"/>
        <w:rPr>
          <w:rFonts w:ascii="Palatino Linotype" w:hAnsi="Palatino Linotype" w:cs="Arial"/>
          <w:sz w:val="24"/>
          <w:szCs w:val="24"/>
        </w:rPr>
      </w:pPr>
      <w:r w:rsidRPr="0093131F">
        <w:rPr>
          <w:rFonts w:ascii="Palatino Linotype" w:hAnsi="Palatino Linotype" w:cs="Arial"/>
          <w:sz w:val="24"/>
          <w:szCs w:val="24"/>
        </w:rPr>
        <w:t xml:space="preserve">Una vez precisado lo anterior y con el propósito de realizar un análisis exhaustivo de la información requerida, resulta oportuno desentrañar la naturaleza de la </w:t>
      </w:r>
      <w:r w:rsidR="005C300C" w:rsidRPr="0093131F">
        <w:rPr>
          <w:rFonts w:ascii="Palatino Linotype" w:hAnsi="Palatino Linotype" w:cs="Arial"/>
          <w:sz w:val="24"/>
          <w:szCs w:val="24"/>
        </w:rPr>
        <w:t>fiscalía general</w:t>
      </w:r>
      <w:r w:rsidRPr="0093131F">
        <w:rPr>
          <w:rFonts w:ascii="Palatino Linotype" w:hAnsi="Palatino Linotype" w:cs="Arial"/>
          <w:sz w:val="24"/>
          <w:szCs w:val="24"/>
        </w:rPr>
        <w:t xml:space="preserve"> de Justicia del Estado de México. </w:t>
      </w:r>
    </w:p>
    <w:p w14:paraId="3FD121A6" w14:textId="77777777" w:rsidR="009C2170" w:rsidRPr="0093131F" w:rsidRDefault="009C2170" w:rsidP="009C2170">
      <w:pPr>
        <w:autoSpaceDE w:val="0"/>
        <w:autoSpaceDN w:val="0"/>
        <w:adjustRightInd w:val="0"/>
        <w:spacing w:before="240" w:line="360" w:lineRule="auto"/>
        <w:jc w:val="both"/>
        <w:rPr>
          <w:rFonts w:ascii="Palatino Linotype" w:hAnsi="Palatino Linotype" w:cs="Arial"/>
          <w:sz w:val="24"/>
          <w:szCs w:val="24"/>
        </w:rPr>
      </w:pPr>
      <w:r w:rsidRPr="0093131F">
        <w:rPr>
          <w:rFonts w:ascii="Palatino Linotype" w:hAnsi="Palatino Linotype" w:cs="Arial"/>
          <w:sz w:val="24"/>
          <w:szCs w:val="24"/>
        </w:rPr>
        <w:t xml:space="preserve">Una vez sentado lo anterior, en alusión al requerimiento formulado por el particular, resulta oportuno traer a colación los artículos 24, fracción XII y 92, fracción II de la Ley de Transparencia y Acceso a la Información Pública del Estado de México y Municipios, dispositivos jurídicos que disponen a la literalidad lo siguiente: </w:t>
      </w:r>
    </w:p>
    <w:p w14:paraId="5504C501" w14:textId="77777777" w:rsidR="009C2170" w:rsidRPr="0093131F" w:rsidRDefault="009C2170" w:rsidP="009C2170">
      <w:pPr>
        <w:autoSpaceDE w:val="0"/>
        <w:autoSpaceDN w:val="0"/>
        <w:adjustRightInd w:val="0"/>
        <w:spacing w:before="240" w:line="360" w:lineRule="auto"/>
        <w:ind w:left="851" w:right="851"/>
        <w:jc w:val="both"/>
        <w:rPr>
          <w:rFonts w:ascii="Palatino Linotype" w:hAnsi="Palatino Linotype"/>
          <w:i/>
          <w:iCs/>
        </w:rPr>
      </w:pPr>
      <w:r w:rsidRPr="0093131F">
        <w:rPr>
          <w:rFonts w:ascii="Palatino Linotype" w:hAnsi="Palatino Linotype"/>
          <w:i/>
          <w:iCs/>
        </w:rPr>
        <w:lastRenderedPageBreak/>
        <w:t>“Artículo 24. Para el cumplimiento de los objetivos de esta Ley, los sujetos obligados deberán cumplir con las siguientes obligaciones, según corresponda, de acuerdo a su naturaleza:</w:t>
      </w:r>
    </w:p>
    <w:p w14:paraId="3306A030" w14:textId="77777777" w:rsidR="009C2170" w:rsidRPr="0093131F" w:rsidRDefault="009C2170" w:rsidP="009C2170">
      <w:pPr>
        <w:autoSpaceDE w:val="0"/>
        <w:autoSpaceDN w:val="0"/>
        <w:adjustRightInd w:val="0"/>
        <w:spacing w:before="240" w:line="360" w:lineRule="auto"/>
        <w:ind w:left="851" w:right="851"/>
        <w:jc w:val="both"/>
        <w:rPr>
          <w:rFonts w:ascii="Palatino Linotype" w:hAnsi="Palatino Linotype"/>
          <w:i/>
          <w:iCs/>
        </w:rPr>
      </w:pPr>
      <w:r w:rsidRPr="0093131F">
        <w:rPr>
          <w:rFonts w:ascii="Palatino Linotype" w:hAnsi="Palatino Linotype"/>
          <w:i/>
          <w:iCs/>
        </w:rPr>
        <w:t>(…)</w:t>
      </w:r>
    </w:p>
    <w:p w14:paraId="203C2FB3" w14:textId="77777777" w:rsidR="009C2170" w:rsidRPr="0093131F" w:rsidRDefault="009C2170" w:rsidP="009C2170">
      <w:pPr>
        <w:autoSpaceDE w:val="0"/>
        <w:autoSpaceDN w:val="0"/>
        <w:adjustRightInd w:val="0"/>
        <w:spacing w:before="240" w:line="360" w:lineRule="auto"/>
        <w:ind w:left="851" w:right="851"/>
        <w:jc w:val="both"/>
        <w:rPr>
          <w:rFonts w:ascii="Palatino Linotype" w:hAnsi="Palatino Linotype"/>
          <w:i/>
          <w:iCs/>
        </w:rPr>
      </w:pPr>
      <w:r w:rsidRPr="0093131F">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3FFEACD6" w14:textId="77777777" w:rsidR="009C2170" w:rsidRPr="0093131F" w:rsidRDefault="009C2170" w:rsidP="009C2170">
      <w:pPr>
        <w:autoSpaceDE w:val="0"/>
        <w:autoSpaceDN w:val="0"/>
        <w:adjustRightInd w:val="0"/>
        <w:spacing w:before="240" w:line="360" w:lineRule="auto"/>
        <w:ind w:left="851" w:right="851"/>
        <w:jc w:val="both"/>
        <w:rPr>
          <w:rFonts w:ascii="Palatino Linotype" w:hAnsi="Palatino Linotype" w:cs="Arial"/>
          <w:i/>
          <w:iCs/>
        </w:rPr>
      </w:pPr>
      <w:r w:rsidRPr="0093131F">
        <w:rPr>
          <w:rFonts w:ascii="Palatino Linotype" w:hAnsi="Palatino Linotype"/>
          <w:i/>
          <w:iCs/>
        </w:rPr>
        <w:t>(…)</w:t>
      </w:r>
    </w:p>
    <w:p w14:paraId="28395A2C" w14:textId="77777777" w:rsidR="009C2170" w:rsidRPr="0093131F" w:rsidRDefault="009C2170" w:rsidP="009C2170">
      <w:pPr>
        <w:autoSpaceDE w:val="0"/>
        <w:autoSpaceDN w:val="0"/>
        <w:adjustRightInd w:val="0"/>
        <w:spacing w:before="240" w:line="360" w:lineRule="auto"/>
        <w:ind w:left="851" w:right="851"/>
        <w:jc w:val="both"/>
        <w:rPr>
          <w:rFonts w:ascii="Palatino Linotype" w:hAnsi="Palatino Linotype"/>
          <w:i/>
          <w:iCs/>
        </w:rPr>
      </w:pPr>
      <w:r w:rsidRPr="0093131F">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B4507F3" w14:textId="77777777" w:rsidR="009C2170" w:rsidRPr="0093131F" w:rsidRDefault="009C2170" w:rsidP="009C2170">
      <w:pPr>
        <w:autoSpaceDE w:val="0"/>
        <w:autoSpaceDN w:val="0"/>
        <w:adjustRightInd w:val="0"/>
        <w:spacing w:before="240" w:line="360" w:lineRule="auto"/>
        <w:ind w:left="851" w:right="851"/>
        <w:jc w:val="both"/>
        <w:rPr>
          <w:rFonts w:ascii="Palatino Linotype" w:hAnsi="Palatino Linotype"/>
          <w:i/>
          <w:iCs/>
        </w:rPr>
      </w:pPr>
      <w:r w:rsidRPr="0093131F">
        <w:rPr>
          <w:rFonts w:ascii="Palatino Linotype" w:hAnsi="Palatino Linotype"/>
          <w:i/>
          <w:iCs/>
        </w:rPr>
        <w:t>(…)</w:t>
      </w:r>
    </w:p>
    <w:p w14:paraId="624ED76E" w14:textId="77777777" w:rsidR="009C2170" w:rsidRPr="0093131F" w:rsidRDefault="009C2170" w:rsidP="009C2170">
      <w:pPr>
        <w:autoSpaceDE w:val="0"/>
        <w:autoSpaceDN w:val="0"/>
        <w:adjustRightInd w:val="0"/>
        <w:spacing w:before="240" w:line="360" w:lineRule="auto"/>
        <w:ind w:left="851" w:right="851"/>
        <w:jc w:val="both"/>
        <w:rPr>
          <w:rFonts w:ascii="Palatino Linotype" w:hAnsi="Palatino Linotype"/>
          <w:b/>
          <w:bCs/>
          <w:i/>
          <w:iCs/>
          <w:u w:val="single"/>
        </w:rPr>
      </w:pPr>
      <w:r w:rsidRPr="0093131F">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05AB9538" w14:textId="77777777" w:rsidR="009C2170" w:rsidRPr="0093131F" w:rsidRDefault="009C2170" w:rsidP="009C2170">
      <w:pPr>
        <w:autoSpaceDE w:val="0"/>
        <w:autoSpaceDN w:val="0"/>
        <w:adjustRightInd w:val="0"/>
        <w:spacing w:before="240" w:line="360" w:lineRule="auto"/>
        <w:ind w:left="851" w:right="851"/>
        <w:jc w:val="both"/>
        <w:rPr>
          <w:rFonts w:ascii="Palatino Linotype" w:hAnsi="Palatino Linotype"/>
          <w:b/>
          <w:bCs/>
          <w:i/>
          <w:iCs/>
        </w:rPr>
      </w:pPr>
      <w:r w:rsidRPr="0093131F">
        <w:rPr>
          <w:rFonts w:ascii="Palatino Linotype" w:hAnsi="Palatino Linotype"/>
          <w:i/>
          <w:iCs/>
        </w:rPr>
        <w:t xml:space="preserve">(…)” </w:t>
      </w:r>
      <w:r w:rsidRPr="0093131F">
        <w:rPr>
          <w:rFonts w:ascii="Palatino Linotype" w:hAnsi="Palatino Linotype"/>
          <w:b/>
          <w:bCs/>
          <w:i/>
          <w:iCs/>
        </w:rPr>
        <w:t xml:space="preserve">[Sic] </w:t>
      </w:r>
    </w:p>
    <w:p w14:paraId="22883B4B" w14:textId="77777777" w:rsidR="009C2170" w:rsidRPr="0093131F" w:rsidRDefault="009C2170" w:rsidP="009C2170">
      <w:pPr>
        <w:autoSpaceDE w:val="0"/>
        <w:autoSpaceDN w:val="0"/>
        <w:adjustRightInd w:val="0"/>
        <w:spacing w:before="240" w:line="360" w:lineRule="auto"/>
        <w:ind w:left="851" w:right="851"/>
        <w:jc w:val="both"/>
        <w:rPr>
          <w:rFonts w:ascii="Palatino Linotype" w:hAnsi="Palatino Linotype"/>
          <w:b/>
          <w:bCs/>
          <w:i/>
          <w:iCs/>
        </w:rPr>
      </w:pPr>
    </w:p>
    <w:p w14:paraId="4A3E89C4" w14:textId="0D49FCAB" w:rsidR="009C2170" w:rsidRPr="0093131F" w:rsidRDefault="009C2170" w:rsidP="00E04DB7">
      <w:pPr>
        <w:spacing w:after="0" w:line="360" w:lineRule="auto"/>
        <w:jc w:val="both"/>
        <w:rPr>
          <w:rFonts w:ascii="Palatino Linotype" w:hAnsi="Palatino Linotype" w:cs="Arial"/>
          <w:sz w:val="24"/>
          <w:szCs w:val="24"/>
        </w:rPr>
      </w:pPr>
      <w:r w:rsidRPr="0093131F">
        <w:rPr>
          <w:rFonts w:ascii="Palatino Linotype" w:hAnsi="Palatino Linotype" w:cs="Arial"/>
          <w:sz w:val="24"/>
          <w:szCs w:val="24"/>
        </w:rPr>
        <w:lastRenderedPageBreak/>
        <w:t xml:space="preserve">Bajo este contexto, en alusión a la normatividad previamente plasmada, sirven de sustento las siguientes imágenes ilustrativas, correspondientes al organigrama del </w:t>
      </w:r>
      <w:r w:rsidRPr="0093131F">
        <w:rPr>
          <w:rFonts w:ascii="Palatino Linotype" w:hAnsi="Palatino Linotype" w:cs="Arial"/>
          <w:b/>
          <w:bCs/>
          <w:sz w:val="24"/>
          <w:szCs w:val="24"/>
        </w:rPr>
        <w:t>Sujeto Obligado:</w:t>
      </w:r>
      <w:r w:rsidRPr="0093131F">
        <w:rPr>
          <w:rFonts w:ascii="Palatino Linotype" w:hAnsi="Palatino Linotype" w:cs="Arial"/>
          <w:sz w:val="24"/>
          <w:szCs w:val="24"/>
        </w:rPr>
        <w:t xml:space="preserve"> </w:t>
      </w:r>
    </w:p>
    <w:p w14:paraId="0D478658" w14:textId="2E9A0829" w:rsidR="000A62C4" w:rsidRPr="0093131F" w:rsidRDefault="00A71379" w:rsidP="00A71379">
      <w:pPr>
        <w:spacing w:after="0" w:line="360" w:lineRule="auto"/>
        <w:jc w:val="both"/>
        <w:rPr>
          <w:rFonts w:ascii="Palatino Linotype" w:hAnsi="Palatino Linotype" w:cs="Arial"/>
          <w:sz w:val="24"/>
          <w:szCs w:val="24"/>
        </w:rPr>
      </w:pPr>
      <w:r w:rsidRPr="0093131F">
        <w:rPr>
          <w:rFonts w:ascii="Palatino Linotype" w:hAnsi="Palatino Linotype" w:cs="Arial"/>
          <w:noProof/>
          <w:sz w:val="24"/>
          <w:szCs w:val="24"/>
          <w:lang w:eastAsia="es-MX"/>
        </w:rPr>
        <w:drawing>
          <wp:inline distT="0" distB="0" distL="0" distR="0" wp14:anchorId="1516E6F3" wp14:editId="0A052D1B">
            <wp:extent cx="5762625" cy="6210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210300"/>
                    </a:xfrm>
                    <a:prstGeom prst="rect">
                      <a:avLst/>
                    </a:prstGeom>
                    <a:noFill/>
                    <a:ln>
                      <a:noFill/>
                    </a:ln>
                  </pic:spPr>
                </pic:pic>
              </a:graphicData>
            </a:graphic>
          </wp:inline>
        </w:drawing>
      </w:r>
    </w:p>
    <w:p w14:paraId="58238630" w14:textId="4B67B02B" w:rsidR="008F4A26" w:rsidRPr="0093131F" w:rsidRDefault="008F4A26" w:rsidP="008F4A26">
      <w:pPr>
        <w:autoSpaceDE w:val="0"/>
        <w:autoSpaceDN w:val="0"/>
        <w:adjustRightInd w:val="0"/>
        <w:spacing w:before="240" w:line="360" w:lineRule="auto"/>
        <w:jc w:val="both"/>
        <w:rPr>
          <w:rFonts w:ascii="Palatino Linotype" w:hAnsi="Palatino Linotype" w:cs="Arial"/>
          <w:sz w:val="24"/>
          <w:szCs w:val="24"/>
        </w:rPr>
      </w:pPr>
      <w:r w:rsidRPr="0093131F">
        <w:rPr>
          <w:rFonts w:ascii="Palatino Linotype" w:hAnsi="Palatino Linotype" w:cs="Arial"/>
          <w:sz w:val="24"/>
          <w:szCs w:val="24"/>
        </w:rPr>
        <w:lastRenderedPageBreak/>
        <w:t xml:space="preserve">De lo expuesto con anterioridad, se desprende que </w:t>
      </w:r>
      <w:r w:rsidRPr="0093131F">
        <w:rPr>
          <w:rFonts w:ascii="Palatino Linotype" w:hAnsi="Palatino Linotype" w:cs="Arial"/>
          <w:b/>
          <w:sz w:val="24"/>
          <w:szCs w:val="24"/>
        </w:rPr>
        <w:t xml:space="preserve">El Sujeto Obligado </w:t>
      </w:r>
      <w:r w:rsidRPr="0093131F">
        <w:rPr>
          <w:rFonts w:ascii="Palatino Linotype" w:hAnsi="Palatino Linotype" w:cs="Arial"/>
          <w:sz w:val="24"/>
          <w:szCs w:val="24"/>
        </w:rPr>
        <w:t xml:space="preserve">se auxilia de diversas Direcciones, Subdirecciones, Departamentos y Unidades Administrativas para cumplir con sus fines y objetivos, resultando de nuestro más amplio interés la </w:t>
      </w:r>
      <w:r w:rsidR="00A71379" w:rsidRPr="0093131F">
        <w:rPr>
          <w:rFonts w:ascii="Palatino Linotype" w:hAnsi="Palatino Linotype" w:cs="Arial"/>
          <w:sz w:val="24"/>
          <w:szCs w:val="24"/>
        </w:rPr>
        <w:t>Dirección de Administración</w:t>
      </w:r>
      <w:r w:rsidRPr="0093131F">
        <w:rPr>
          <w:rFonts w:ascii="Palatino Linotype" w:hAnsi="Palatino Linotype" w:cs="Arial"/>
          <w:sz w:val="24"/>
          <w:szCs w:val="24"/>
        </w:rPr>
        <w:t xml:space="preserve">. </w:t>
      </w:r>
    </w:p>
    <w:p w14:paraId="4A35424A" w14:textId="77777777" w:rsidR="00A71379" w:rsidRPr="0093131F" w:rsidRDefault="00A71379" w:rsidP="00A71379">
      <w:pPr>
        <w:autoSpaceDE w:val="0"/>
        <w:autoSpaceDN w:val="0"/>
        <w:adjustRightInd w:val="0"/>
        <w:spacing w:before="240" w:line="360" w:lineRule="auto"/>
        <w:jc w:val="both"/>
        <w:rPr>
          <w:rFonts w:ascii="Palatino Linotype" w:hAnsi="Palatino Linotype"/>
          <w:sz w:val="24"/>
          <w:szCs w:val="24"/>
        </w:rPr>
      </w:pPr>
      <w:r w:rsidRPr="0093131F">
        <w:rPr>
          <w:rFonts w:ascii="Palatino Linotype" w:hAnsi="Palatino Linotype"/>
          <w:sz w:val="24"/>
          <w:szCs w:val="24"/>
        </w:rPr>
        <w:t>En este tenor, para delimitar las fronteras competenciales de las unidades administrativas en cita, resulta oportuno traer a colación el numeral 16 del Manual de Organización del Instituto Electoral del Estado de México, porciones normativas que disponen a la literalidad lo siguiente:</w:t>
      </w:r>
    </w:p>
    <w:p w14:paraId="783CED0B" w14:textId="77777777" w:rsidR="00A71379" w:rsidRPr="0093131F" w:rsidRDefault="00A71379" w:rsidP="00A71379">
      <w:pPr>
        <w:pStyle w:val="Citas"/>
        <w:spacing w:line="276" w:lineRule="auto"/>
        <w:jc w:val="center"/>
        <w:rPr>
          <w:b/>
          <w:bCs/>
          <w:sz w:val="24"/>
        </w:rPr>
      </w:pPr>
      <w:r w:rsidRPr="0093131F">
        <w:rPr>
          <w:b/>
          <w:bCs/>
          <w:sz w:val="24"/>
        </w:rPr>
        <w:t>“Manual de Organización del Instituto Electoral del Estado de México.</w:t>
      </w:r>
    </w:p>
    <w:p w14:paraId="545EA8DE" w14:textId="77777777" w:rsidR="00A71379" w:rsidRPr="0093131F" w:rsidRDefault="00A71379" w:rsidP="00A71379">
      <w:pPr>
        <w:pStyle w:val="Citas"/>
        <w:spacing w:line="276" w:lineRule="auto"/>
        <w:jc w:val="center"/>
      </w:pPr>
      <w:r w:rsidRPr="0093131F">
        <w:rPr>
          <w:b/>
        </w:rPr>
        <w:t>16.- Dirección de Administración</w:t>
      </w:r>
    </w:p>
    <w:p w14:paraId="4E813FD0" w14:textId="77777777" w:rsidR="00A71379" w:rsidRPr="0093131F" w:rsidRDefault="00A71379" w:rsidP="00A71379">
      <w:pPr>
        <w:pStyle w:val="Citas"/>
        <w:spacing w:line="276" w:lineRule="auto"/>
      </w:pPr>
      <w:r w:rsidRPr="0093131F">
        <w:rPr>
          <w:b/>
        </w:rPr>
        <w:t xml:space="preserve">Objetivo: </w:t>
      </w:r>
      <w:r w:rsidRPr="0093131F">
        <w:t>Organizar y dirigir la administración de los recursos humanos, financieros, materiales, así como la prestación de los servicios generales en el IEEM, optimizando el uso de los mismos y atendiendo las necesidades administrativas de los órganos que lo conforman.</w:t>
      </w:r>
    </w:p>
    <w:p w14:paraId="4F79EF5F" w14:textId="77777777" w:rsidR="00A71379" w:rsidRPr="0093131F" w:rsidRDefault="00A71379" w:rsidP="00A71379">
      <w:pPr>
        <w:pStyle w:val="Citas"/>
        <w:spacing w:line="276" w:lineRule="auto"/>
        <w:rPr>
          <w:b/>
        </w:rPr>
      </w:pPr>
      <w:r w:rsidRPr="0093131F">
        <w:rPr>
          <w:b/>
        </w:rPr>
        <w:t>Funciones:</w:t>
      </w:r>
    </w:p>
    <w:p w14:paraId="13E0DD11" w14:textId="77777777" w:rsidR="00A71379" w:rsidRPr="0093131F" w:rsidRDefault="00A71379" w:rsidP="00A71379">
      <w:pPr>
        <w:pStyle w:val="Citas"/>
        <w:numPr>
          <w:ilvl w:val="0"/>
          <w:numId w:val="19"/>
        </w:numPr>
        <w:spacing w:line="276" w:lineRule="auto"/>
        <w:ind w:left="1276"/>
      </w:pPr>
      <w:r w:rsidRPr="0093131F">
        <w:t>Aplicar las políticas, normas y procedimientos para la administración de los recursos humanos, financieros, materiales y servicios.</w:t>
      </w:r>
    </w:p>
    <w:p w14:paraId="348D8894" w14:textId="77777777" w:rsidR="00A71379" w:rsidRPr="0093131F" w:rsidRDefault="00A71379" w:rsidP="00A71379">
      <w:pPr>
        <w:pStyle w:val="Citas"/>
        <w:numPr>
          <w:ilvl w:val="0"/>
          <w:numId w:val="19"/>
        </w:numPr>
        <w:spacing w:line="276" w:lineRule="auto"/>
        <w:ind w:left="1276"/>
      </w:pPr>
      <w:r w:rsidRPr="0093131F">
        <w:rPr>
          <w:b/>
          <w:u w:val="single"/>
        </w:rPr>
        <w:t>Planear, organizar, dirigir y controlar los recursos humanos, financieros, materiales y servicios cumpliendo con las normas, políticas y procedimientos que garanticen y aseguren su mejor aplicación, uso y canalización</w:t>
      </w:r>
      <w:r w:rsidRPr="0093131F">
        <w:t>.</w:t>
      </w:r>
    </w:p>
    <w:p w14:paraId="34BD6078" w14:textId="77777777" w:rsidR="00A71379" w:rsidRPr="0093131F" w:rsidRDefault="00A71379" w:rsidP="00A71379">
      <w:pPr>
        <w:pStyle w:val="Citas"/>
        <w:numPr>
          <w:ilvl w:val="0"/>
          <w:numId w:val="19"/>
        </w:numPr>
        <w:spacing w:line="276" w:lineRule="auto"/>
        <w:ind w:left="1276"/>
      </w:pPr>
      <w:r w:rsidRPr="0093131F">
        <w:t>Conducir la política de administración de salarios.</w:t>
      </w:r>
    </w:p>
    <w:p w14:paraId="602AB91A" w14:textId="77777777" w:rsidR="00A71379" w:rsidRPr="0093131F" w:rsidRDefault="00A71379" w:rsidP="00A71379">
      <w:pPr>
        <w:pStyle w:val="Citas"/>
        <w:numPr>
          <w:ilvl w:val="0"/>
          <w:numId w:val="19"/>
        </w:numPr>
        <w:spacing w:line="276" w:lineRule="auto"/>
        <w:ind w:left="1276"/>
      </w:pPr>
      <w:r w:rsidRPr="0093131F">
        <w:rPr>
          <w:b/>
          <w:u w:val="single"/>
        </w:rPr>
        <w:lastRenderedPageBreak/>
        <w:t xml:space="preserve">Dirigir la actualización </w:t>
      </w:r>
      <w:r w:rsidRPr="0093131F">
        <w:t xml:space="preserve">del tabulador de sueldos y la </w:t>
      </w:r>
      <w:r w:rsidRPr="0093131F">
        <w:rPr>
          <w:b/>
          <w:u w:val="single"/>
        </w:rPr>
        <w:t>plantilla de personal del IEEM</w:t>
      </w:r>
      <w:r w:rsidRPr="0093131F">
        <w:t>.</w:t>
      </w:r>
    </w:p>
    <w:p w14:paraId="620C0EA8" w14:textId="77777777" w:rsidR="00A71379" w:rsidRPr="0093131F" w:rsidRDefault="00A71379" w:rsidP="00A71379">
      <w:pPr>
        <w:pStyle w:val="Citas"/>
        <w:numPr>
          <w:ilvl w:val="0"/>
          <w:numId w:val="19"/>
        </w:numPr>
        <w:spacing w:line="276" w:lineRule="auto"/>
        <w:ind w:left="1276"/>
      </w:pPr>
      <w:r w:rsidRPr="0093131F">
        <w:t>Dirigir y coordinar la elaboración del anteproyecto anual de presupuesto del IEEM.</w:t>
      </w:r>
    </w:p>
    <w:p w14:paraId="039B38AC" w14:textId="77777777" w:rsidR="00A71379" w:rsidRPr="0093131F" w:rsidRDefault="00A71379" w:rsidP="00A71379">
      <w:pPr>
        <w:pStyle w:val="Citas"/>
        <w:numPr>
          <w:ilvl w:val="0"/>
          <w:numId w:val="19"/>
        </w:numPr>
        <w:spacing w:line="276" w:lineRule="auto"/>
        <w:ind w:left="1276"/>
      </w:pPr>
      <w:r w:rsidRPr="0093131F">
        <w:t>Dirigir y coordinar la elaboración del proyecto de Manual de Organización y el Catálogo de cargos y puestos del IEEM, y someterlo para su aprobación a la Junta General, con excepción de los puestos relacionados con el SPEN.</w:t>
      </w:r>
    </w:p>
    <w:p w14:paraId="74D9D8B3" w14:textId="77777777" w:rsidR="00A71379" w:rsidRPr="0093131F" w:rsidRDefault="00A71379" w:rsidP="00A71379">
      <w:pPr>
        <w:pStyle w:val="Citas"/>
        <w:numPr>
          <w:ilvl w:val="0"/>
          <w:numId w:val="19"/>
        </w:numPr>
        <w:spacing w:line="276" w:lineRule="auto"/>
        <w:ind w:left="1276"/>
      </w:pPr>
      <w:r w:rsidRPr="0093131F">
        <w:t>Coordinar el suministro a los partidos políticos nacionales o locales, coaliciones y candidaturas independientes con registro, del financiamiento público al que tienen derecho.</w:t>
      </w:r>
    </w:p>
    <w:p w14:paraId="645B5066" w14:textId="77777777" w:rsidR="00A71379" w:rsidRPr="0093131F" w:rsidRDefault="00A71379" w:rsidP="00A71379">
      <w:pPr>
        <w:pStyle w:val="Citas"/>
        <w:numPr>
          <w:ilvl w:val="0"/>
          <w:numId w:val="19"/>
        </w:numPr>
        <w:spacing w:line="276" w:lineRule="auto"/>
        <w:ind w:left="1276"/>
      </w:pPr>
      <w:r w:rsidRPr="0093131F">
        <w:t>Presidir y vigilar el funcionamiento del Comité de Adquisiciones, Enajenaciones, Arrendamientos y Contratación de Servicios del IEEM.</w:t>
      </w:r>
    </w:p>
    <w:p w14:paraId="1E283F2F" w14:textId="77777777" w:rsidR="00A71379" w:rsidRPr="0093131F" w:rsidRDefault="00A71379" w:rsidP="00A71379">
      <w:pPr>
        <w:pStyle w:val="Citas"/>
        <w:numPr>
          <w:ilvl w:val="0"/>
          <w:numId w:val="19"/>
        </w:numPr>
        <w:spacing w:line="276" w:lineRule="auto"/>
        <w:ind w:left="1276"/>
      </w:pPr>
      <w:r w:rsidRPr="0093131F">
        <w:t>Supervisar el manejo y operación de los recursos financieros, materiales y servicios generales del IEEM.</w:t>
      </w:r>
    </w:p>
    <w:p w14:paraId="090CB7A8" w14:textId="77777777" w:rsidR="00A71379" w:rsidRPr="0093131F" w:rsidRDefault="00A71379" w:rsidP="00A71379">
      <w:pPr>
        <w:pStyle w:val="Citas"/>
        <w:numPr>
          <w:ilvl w:val="0"/>
          <w:numId w:val="19"/>
        </w:numPr>
        <w:spacing w:line="276" w:lineRule="auto"/>
        <w:ind w:left="1276"/>
      </w:pPr>
      <w:r w:rsidRPr="0093131F">
        <w:t>Establecer, controlar y evaluar a la Unidad Interna de Protección Civil y el Programa Específico de Protección Civil para el personal, instalaciones, bienes e información del IEEM, así como emitir las normas necesarias para la operación, desarrollo y vigilancia en la materia que ordene y establezca la autoridad competente del Estado.</w:t>
      </w:r>
    </w:p>
    <w:p w14:paraId="47EE69BE" w14:textId="77777777" w:rsidR="00A71379" w:rsidRPr="0093131F" w:rsidRDefault="00A71379" w:rsidP="00A71379">
      <w:pPr>
        <w:pStyle w:val="Citas"/>
        <w:numPr>
          <w:ilvl w:val="0"/>
          <w:numId w:val="19"/>
        </w:numPr>
        <w:spacing w:line="276" w:lineRule="auto"/>
        <w:ind w:left="1276"/>
      </w:pPr>
      <w:r w:rsidRPr="0093131F">
        <w:t>Establecer el programa de seguridad y vigilancia de los inmuebles que ocupe el IEEM, así como de los bienes muebles que forman parte del patrimonio del IEEM.</w:t>
      </w:r>
    </w:p>
    <w:p w14:paraId="205B8354" w14:textId="77777777" w:rsidR="00A71379" w:rsidRPr="0093131F" w:rsidRDefault="00A71379" w:rsidP="00A71379">
      <w:pPr>
        <w:pStyle w:val="Citas"/>
        <w:numPr>
          <w:ilvl w:val="0"/>
          <w:numId w:val="19"/>
        </w:numPr>
        <w:spacing w:line="276" w:lineRule="auto"/>
        <w:ind w:left="1276"/>
      </w:pPr>
      <w:r w:rsidRPr="0093131F">
        <w:t>Establecer los mecanismos de coordinación con las áreas administrativas para el logro de objetivos concurrentes.</w:t>
      </w:r>
    </w:p>
    <w:p w14:paraId="71C9F72B" w14:textId="77777777" w:rsidR="00A71379" w:rsidRPr="0093131F" w:rsidRDefault="00A71379" w:rsidP="00A71379">
      <w:pPr>
        <w:pStyle w:val="Citas"/>
        <w:numPr>
          <w:ilvl w:val="0"/>
          <w:numId w:val="19"/>
        </w:numPr>
        <w:spacing w:line="276" w:lineRule="auto"/>
        <w:ind w:left="1276"/>
      </w:pPr>
      <w:r w:rsidRPr="0093131F">
        <w:rPr>
          <w:bCs/>
        </w:rPr>
        <w:t xml:space="preserve">Proponer al Secretario Ejecutivo mecanismos para simplificar y mejorar las disposiciones administrativas en materia de planeación, presupuestación y </w:t>
      </w:r>
      <w:r w:rsidRPr="0093131F">
        <w:rPr>
          <w:bCs/>
        </w:rPr>
        <w:lastRenderedPageBreak/>
        <w:t>administración de recursos humanos, financieros, materiales y servicios generales que regulan la operación y funcionamiento interno del IEEM.</w:t>
      </w:r>
    </w:p>
    <w:p w14:paraId="6C1C1BAA" w14:textId="77777777" w:rsidR="00A71379" w:rsidRPr="0093131F" w:rsidRDefault="00A71379" w:rsidP="00A71379">
      <w:pPr>
        <w:pStyle w:val="Citas"/>
        <w:numPr>
          <w:ilvl w:val="0"/>
          <w:numId w:val="19"/>
        </w:numPr>
        <w:spacing w:line="276" w:lineRule="auto"/>
        <w:ind w:left="1276"/>
      </w:pPr>
      <w:r w:rsidRPr="0093131F">
        <w:rPr>
          <w:bCs/>
        </w:rPr>
        <w:t>Participar en el Comité de Tecnologías de la Información y Comunicaciones.</w:t>
      </w:r>
    </w:p>
    <w:p w14:paraId="0D5E2A18" w14:textId="77777777" w:rsidR="00A71379" w:rsidRPr="0093131F" w:rsidRDefault="00A71379" w:rsidP="00A71379">
      <w:pPr>
        <w:pStyle w:val="Citas"/>
        <w:numPr>
          <w:ilvl w:val="0"/>
          <w:numId w:val="19"/>
        </w:numPr>
        <w:spacing w:line="276" w:lineRule="auto"/>
        <w:ind w:left="1276"/>
      </w:pPr>
      <w:r w:rsidRPr="0093131F">
        <w:rPr>
          <w:bCs/>
        </w:rPr>
        <w:t>Evaluar el avance y desarrollo de los programas de trabajo de la DA.</w:t>
      </w:r>
    </w:p>
    <w:p w14:paraId="70818C65" w14:textId="77777777" w:rsidR="00A71379" w:rsidRPr="0093131F" w:rsidRDefault="00A71379" w:rsidP="00A71379">
      <w:pPr>
        <w:pStyle w:val="Citas"/>
        <w:numPr>
          <w:ilvl w:val="0"/>
          <w:numId w:val="19"/>
        </w:numPr>
        <w:spacing w:line="276" w:lineRule="auto"/>
        <w:ind w:left="1276"/>
        <w:rPr>
          <w:bCs/>
        </w:rPr>
      </w:pPr>
      <w:r w:rsidRPr="0093131F">
        <w:rPr>
          <w:bCs/>
        </w:rPr>
        <w:t>Coordinar, asesorar, supervisar y controlar la operación y funcionamiento de los Órganos Desconcentrados del IEEM, en las materias competencia de la DA.</w:t>
      </w:r>
    </w:p>
    <w:p w14:paraId="34F3E8F1" w14:textId="77777777" w:rsidR="00A71379" w:rsidRPr="0093131F" w:rsidRDefault="00A71379" w:rsidP="00A71379">
      <w:pPr>
        <w:pStyle w:val="Citas"/>
        <w:numPr>
          <w:ilvl w:val="0"/>
          <w:numId w:val="19"/>
        </w:numPr>
        <w:spacing w:line="276" w:lineRule="auto"/>
        <w:ind w:left="1276"/>
        <w:rPr>
          <w:bCs/>
        </w:rPr>
      </w:pPr>
      <w:r w:rsidRPr="0093131F">
        <w:rPr>
          <w:bCs/>
        </w:rPr>
        <w:t>Presentar los informes de actividades que debe rendir la DA, así como vigilar el cumplimiento de los sistemas institucionales de control, seguimiento y evaluación de las actividades de la DA.</w:t>
      </w:r>
    </w:p>
    <w:p w14:paraId="0C3C2EE9" w14:textId="77777777" w:rsidR="00A71379" w:rsidRPr="0093131F" w:rsidRDefault="00A71379" w:rsidP="00A71379">
      <w:pPr>
        <w:pStyle w:val="Citas"/>
        <w:numPr>
          <w:ilvl w:val="0"/>
          <w:numId w:val="19"/>
        </w:numPr>
        <w:spacing w:line="276" w:lineRule="auto"/>
        <w:ind w:left="1276"/>
        <w:rPr>
          <w:bCs/>
        </w:rPr>
      </w:pPr>
      <w:r w:rsidRPr="0093131F">
        <w:rPr>
          <w:bCs/>
        </w:rPr>
        <w:t>Mantener actualizada la información pública, correspondiente a las obligaciones de transparencia, en el ámbito de su competencia.</w:t>
      </w:r>
    </w:p>
    <w:p w14:paraId="7BE04D73" w14:textId="77777777" w:rsidR="00A71379" w:rsidRPr="0093131F" w:rsidRDefault="00A71379" w:rsidP="00A71379">
      <w:pPr>
        <w:pStyle w:val="Citas"/>
        <w:numPr>
          <w:ilvl w:val="0"/>
          <w:numId w:val="19"/>
        </w:numPr>
        <w:spacing w:line="276" w:lineRule="auto"/>
        <w:ind w:left="1276"/>
        <w:rPr>
          <w:bCs/>
        </w:rPr>
      </w:pPr>
      <w:r w:rsidRPr="0093131F">
        <w:rPr>
          <w:bCs/>
        </w:rPr>
        <w:t xml:space="preserve"> Preparar y remitir la información y documentación requeridas por la UT para dar contestación a las solicitudes en materia de acceso a la información pública, así como en materia de acceso, rectificación, cancelación, y oposición de datos personales.</w:t>
      </w:r>
    </w:p>
    <w:p w14:paraId="67082671" w14:textId="77777777" w:rsidR="00A71379" w:rsidRPr="0093131F" w:rsidRDefault="00A71379" w:rsidP="00A71379">
      <w:pPr>
        <w:pStyle w:val="Citas"/>
        <w:numPr>
          <w:ilvl w:val="0"/>
          <w:numId w:val="19"/>
        </w:numPr>
        <w:spacing w:line="276" w:lineRule="auto"/>
        <w:ind w:left="1276"/>
        <w:rPr>
          <w:bCs/>
        </w:rPr>
      </w:pPr>
      <w:r w:rsidRPr="0093131F">
        <w:rPr>
          <w:bCs/>
        </w:rPr>
        <w:t>Organizar y conservar la documentación generada, atendiendo a la normatividad aplicable.</w:t>
      </w:r>
    </w:p>
    <w:p w14:paraId="3EB7AC05" w14:textId="77777777" w:rsidR="00A71379" w:rsidRPr="0093131F" w:rsidRDefault="00A71379" w:rsidP="00A71379">
      <w:pPr>
        <w:pStyle w:val="Citas"/>
        <w:numPr>
          <w:ilvl w:val="0"/>
          <w:numId w:val="19"/>
        </w:numPr>
        <w:spacing w:line="276" w:lineRule="auto"/>
        <w:ind w:left="1276"/>
        <w:rPr>
          <w:bCs/>
        </w:rPr>
      </w:pPr>
      <w:r w:rsidRPr="0093131F">
        <w:rPr>
          <w:bCs/>
        </w:rPr>
        <w:t>Ejecutar las políticas internas y líneas estratégicas determinadas por el Comité de Tecnologías para el uso de tecnologías de la información y comunicaciones.</w:t>
      </w:r>
    </w:p>
    <w:p w14:paraId="274F1608" w14:textId="77777777" w:rsidR="00A71379" w:rsidRPr="0093131F" w:rsidRDefault="00A71379" w:rsidP="00A71379">
      <w:pPr>
        <w:pStyle w:val="Citas"/>
        <w:numPr>
          <w:ilvl w:val="0"/>
          <w:numId w:val="19"/>
        </w:numPr>
        <w:spacing w:line="276" w:lineRule="auto"/>
        <w:ind w:left="1276"/>
        <w:rPr>
          <w:bCs/>
        </w:rPr>
      </w:pPr>
      <w:r w:rsidRPr="0093131F">
        <w:rPr>
          <w:bCs/>
        </w:rPr>
        <w:t>Garantizar la protección de los datos personales, proporcionados por las personas para los trámites y servicios realizados por el área en el ámbito de su competencia.</w:t>
      </w:r>
    </w:p>
    <w:p w14:paraId="200CFF0F" w14:textId="77777777" w:rsidR="00A71379" w:rsidRPr="0093131F" w:rsidRDefault="00A71379" w:rsidP="00A71379">
      <w:pPr>
        <w:pStyle w:val="Citas"/>
        <w:numPr>
          <w:ilvl w:val="0"/>
          <w:numId w:val="19"/>
        </w:numPr>
        <w:spacing w:line="276" w:lineRule="auto"/>
        <w:ind w:left="1276"/>
        <w:rPr>
          <w:bCs/>
        </w:rPr>
      </w:pPr>
      <w:r w:rsidRPr="0093131F">
        <w:rPr>
          <w:bCs/>
        </w:rPr>
        <w:t>Designar a las personas responsables de correspondencia interna y del archivo de trámite en el área administrativa a su cargo, del Sistema Institucional de Archivos.</w:t>
      </w:r>
    </w:p>
    <w:p w14:paraId="2DA1A73C" w14:textId="77777777" w:rsidR="00A71379" w:rsidRPr="0093131F" w:rsidRDefault="00A71379" w:rsidP="00A71379">
      <w:pPr>
        <w:pStyle w:val="Citas"/>
        <w:numPr>
          <w:ilvl w:val="0"/>
          <w:numId w:val="19"/>
        </w:numPr>
        <w:spacing w:line="276" w:lineRule="auto"/>
        <w:ind w:left="1276"/>
        <w:rPr>
          <w:bCs/>
        </w:rPr>
      </w:pPr>
      <w:r w:rsidRPr="0093131F">
        <w:rPr>
          <w:bCs/>
        </w:rPr>
        <w:lastRenderedPageBreak/>
        <w:t>Desarrollar las demás funciones que le confiere el CEEM y la normatividad aplicable, así como aquellas que le encomienden el Consejo General y la Secretaría Ejecutiva en el ámbito de sus competencias.</w:t>
      </w:r>
      <w:r w:rsidRPr="0093131F">
        <w:t xml:space="preserve">” </w:t>
      </w:r>
      <w:r w:rsidRPr="0093131F">
        <w:rPr>
          <w:b/>
          <w:bCs/>
        </w:rPr>
        <w:t>(Sic)</w:t>
      </w:r>
    </w:p>
    <w:p w14:paraId="2D9978E6" w14:textId="77777777" w:rsidR="00A71379" w:rsidRPr="0093131F" w:rsidRDefault="00A71379" w:rsidP="00A71379">
      <w:pPr>
        <w:pStyle w:val="Citas"/>
        <w:spacing w:after="0"/>
      </w:pPr>
    </w:p>
    <w:p w14:paraId="73BFC9B2" w14:textId="1F66F64A" w:rsidR="00A71379" w:rsidRPr="0093131F" w:rsidRDefault="00A71379" w:rsidP="00A71379">
      <w:pPr>
        <w:autoSpaceDE w:val="0"/>
        <w:autoSpaceDN w:val="0"/>
        <w:adjustRightInd w:val="0"/>
        <w:spacing w:before="240" w:line="360" w:lineRule="auto"/>
        <w:jc w:val="both"/>
        <w:rPr>
          <w:rFonts w:ascii="Palatino Linotype" w:hAnsi="Palatino Linotype" w:cs="Arial"/>
          <w:sz w:val="24"/>
          <w:szCs w:val="24"/>
        </w:rPr>
      </w:pPr>
      <w:r w:rsidRPr="0093131F">
        <w:rPr>
          <w:rFonts w:ascii="Palatino Linotype" w:hAnsi="Palatino Linotype" w:cs="Arial"/>
          <w:sz w:val="24"/>
          <w:szCs w:val="24"/>
        </w:rPr>
        <w:t>Del análisis sistemático y armónico de la normatividad previamente plasmada se desprende que la Dirección de Administración y sus unidades administrativas cuentan con facultades para conocer de las listas de asistencia solicitadas.</w:t>
      </w:r>
    </w:p>
    <w:p w14:paraId="1FA9B012" w14:textId="77777777" w:rsidR="00A71379" w:rsidRPr="0093131F" w:rsidRDefault="00A71379" w:rsidP="00A71379">
      <w:pPr>
        <w:spacing w:after="0" w:line="360" w:lineRule="auto"/>
        <w:jc w:val="both"/>
        <w:rPr>
          <w:rFonts w:ascii="Palatino Linotype" w:hAnsi="Palatino Linotype" w:cs="Arial"/>
          <w:color w:val="000000"/>
          <w:sz w:val="24"/>
          <w:lang w:val="es-ES_tradnl"/>
        </w:rPr>
      </w:pPr>
    </w:p>
    <w:p w14:paraId="61D4FE0F" w14:textId="522F8397" w:rsidR="00797F7C" w:rsidRPr="0093131F" w:rsidRDefault="00797F7C" w:rsidP="00797F7C">
      <w:pPr>
        <w:spacing w:after="240" w:line="360" w:lineRule="auto"/>
        <w:jc w:val="both"/>
        <w:rPr>
          <w:rFonts w:ascii="Palatino Linotype" w:hAnsi="Palatino Linotype" w:cs="Arial"/>
          <w:color w:val="000000"/>
          <w:sz w:val="24"/>
          <w:lang w:val="es-ES_tradnl"/>
        </w:rPr>
      </w:pPr>
      <w:r w:rsidRPr="0093131F">
        <w:rPr>
          <w:rFonts w:ascii="Palatino Linotype" w:hAnsi="Palatino Linotype" w:cs="Arial"/>
          <w:color w:val="000000"/>
          <w:sz w:val="24"/>
          <w:lang w:val="es-ES_tradnl"/>
        </w:rPr>
        <w:t xml:space="preserve">Una vez sentado lo anterior, como se mencionó en el antecedente segundo, </w:t>
      </w:r>
      <w:r w:rsidRPr="0093131F">
        <w:rPr>
          <w:rFonts w:ascii="Palatino Linotype" w:hAnsi="Palatino Linotype" w:cs="Arial"/>
          <w:b/>
          <w:color w:val="000000"/>
          <w:sz w:val="24"/>
          <w:lang w:val="es-ES_tradnl"/>
        </w:rPr>
        <w:t>El Sujeto Obligado</w:t>
      </w:r>
      <w:r w:rsidRPr="0093131F">
        <w:rPr>
          <w:rFonts w:ascii="Palatino Linotype" w:hAnsi="Palatino Linotype" w:cs="Arial"/>
          <w:b/>
          <w:bCs/>
          <w:color w:val="000000"/>
          <w:sz w:val="24"/>
          <w:lang w:val="es-ES_tradnl"/>
        </w:rPr>
        <w:t xml:space="preserve"> </w:t>
      </w:r>
      <w:r w:rsidRPr="0093131F">
        <w:rPr>
          <w:rFonts w:ascii="Palatino Linotype" w:hAnsi="Palatino Linotype" w:cs="Arial"/>
          <w:color w:val="000000"/>
          <w:sz w:val="24"/>
          <w:lang w:val="es-ES_tradnl"/>
        </w:rPr>
        <w:t>rindió su respuesta a la solicitud de información formulada por el particular, adjuntando para tal efecto lo siguiente:</w:t>
      </w:r>
    </w:p>
    <w:p w14:paraId="49EEE032" w14:textId="0C2CFD09" w:rsidR="00B72E36" w:rsidRPr="0093131F" w:rsidRDefault="00B72E36" w:rsidP="001C324A">
      <w:pPr>
        <w:pStyle w:val="Prrafodelista"/>
        <w:numPr>
          <w:ilvl w:val="0"/>
          <w:numId w:val="11"/>
        </w:numPr>
        <w:spacing w:after="240" w:line="360" w:lineRule="auto"/>
        <w:jc w:val="both"/>
        <w:rPr>
          <w:rFonts w:ascii="Palatino Linotype" w:hAnsi="Palatino Linotype" w:cs="Arial"/>
          <w:b/>
          <w:bCs/>
          <w:color w:val="000000"/>
          <w:lang w:val="es-ES_tradnl"/>
        </w:rPr>
      </w:pPr>
      <w:r w:rsidRPr="0093131F">
        <w:rPr>
          <w:rFonts w:ascii="Palatino Linotype" w:hAnsi="Palatino Linotype" w:cs="Arial"/>
          <w:b/>
          <w:bCs/>
        </w:rPr>
        <w:t>“</w:t>
      </w:r>
      <w:r w:rsidR="00E5775A" w:rsidRPr="0093131F">
        <w:rPr>
          <w:rFonts w:ascii="Palatino Linotype" w:hAnsi="Palatino Linotype" w:cs="Arial"/>
          <w:b/>
          <w:bCs/>
        </w:rPr>
        <w:t>IEEM-DA-3657-2023.pdf</w:t>
      </w:r>
      <w:r w:rsidRPr="0093131F">
        <w:rPr>
          <w:rFonts w:ascii="Palatino Linotype" w:hAnsi="Palatino Linotype" w:cs="Arial"/>
          <w:b/>
          <w:bCs/>
        </w:rPr>
        <w:t xml:space="preserve">”: </w:t>
      </w:r>
      <w:r w:rsidRPr="0093131F">
        <w:rPr>
          <w:rFonts w:ascii="Palatino Linotype" w:hAnsi="Palatino Linotype" w:cs="Arial"/>
        </w:rPr>
        <w:t xml:space="preserve">Oficio número </w:t>
      </w:r>
      <w:r w:rsidR="00E5775A" w:rsidRPr="0093131F">
        <w:rPr>
          <w:rFonts w:ascii="Palatino Linotype" w:hAnsi="Palatino Linotype" w:cs="Arial"/>
          <w:b/>
          <w:bCs/>
        </w:rPr>
        <w:t>IEEM/DA/3657/2023</w:t>
      </w:r>
      <w:r w:rsidRPr="0093131F">
        <w:rPr>
          <w:rFonts w:ascii="Palatino Linotype" w:hAnsi="Palatino Linotype" w:cs="Arial"/>
          <w:b/>
          <w:bCs/>
        </w:rPr>
        <w:t xml:space="preserve"> </w:t>
      </w:r>
      <w:r w:rsidRPr="0093131F">
        <w:rPr>
          <w:rFonts w:ascii="Palatino Linotype" w:hAnsi="Palatino Linotype" w:cs="Arial"/>
        </w:rPr>
        <w:t xml:space="preserve">signado por </w:t>
      </w:r>
      <w:r w:rsidR="00E5775A" w:rsidRPr="0093131F">
        <w:rPr>
          <w:rFonts w:ascii="Palatino Linotype" w:hAnsi="Palatino Linotype" w:cs="Arial"/>
        </w:rPr>
        <w:t>el Encargado de Despacho de la Dirección de Administración</w:t>
      </w:r>
      <w:r w:rsidRPr="0093131F">
        <w:rPr>
          <w:rFonts w:ascii="Palatino Linotype" w:hAnsi="Palatino Linotype" w:cs="Arial"/>
        </w:rPr>
        <w:t xml:space="preserve">, de fecha </w:t>
      </w:r>
      <w:r w:rsidR="00E5775A" w:rsidRPr="0093131F">
        <w:rPr>
          <w:rFonts w:ascii="Palatino Linotype" w:hAnsi="Palatino Linotype" w:cs="Arial"/>
        </w:rPr>
        <w:t>dieciocho</w:t>
      </w:r>
      <w:r w:rsidRPr="0093131F">
        <w:rPr>
          <w:rFonts w:ascii="Palatino Linotype" w:hAnsi="Palatino Linotype" w:cs="Arial"/>
        </w:rPr>
        <w:t xml:space="preserve"> de agosto de dos mil veintitrés, en lo medular refiere que</w:t>
      </w:r>
      <w:r w:rsidR="00E5775A" w:rsidRPr="0093131F">
        <w:rPr>
          <w:rFonts w:ascii="Palatino Linotype" w:hAnsi="Palatino Linotype" w:cs="Arial"/>
        </w:rPr>
        <w:t xml:space="preserve"> </w:t>
      </w:r>
      <w:r w:rsidR="001C324A" w:rsidRPr="0093131F">
        <w:rPr>
          <w:rFonts w:ascii="Palatino Linotype" w:hAnsi="Palatino Linotype" w:cs="Arial"/>
        </w:rPr>
        <w:t>después de una búsqueda exhaustiva, minuciosa y razonable en los archivos de la Dirección, se localizaron listas de asistencia del Servidor Público mencionado en la solicitud de información, de los meses de febrero, marzo, abril, mayo y junio de dos mil veintitrés, mismas que se adjuntan mediante archivo en formato PDF, aunado a lo anterior, se menciona que el Servidor Público ingresó el dieciséis de febrero de dos mil veintitrés y concluyó la relación laboral el treinta de junio de dos mil veintitrés.</w:t>
      </w:r>
    </w:p>
    <w:p w14:paraId="6577C0BD" w14:textId="6EFC007C" w:rsidR="00B72E36" w:rsidRPr="0093131F" w:rsidRDefault="00B72E36" w:rsidP="00E5775A">
      <w:pPr>
        <w:pStyle w:val="Prrafodelista"/>
        <w:numPr>
          <w:ilvl w:val="0"/>
          <w:numId w:val="11"/>
        </w:numPr>
        <w:spacing w:after="240" w:line="360" w:lineRule="auto"/>
        <w:jc w:val="both"/>
        <w:rPr>
          <w:rFonts w:ascii="Palatino Linotype" w:hAnsi="Palatino Linotype" w:cs="Arial"/>
          <w:b/>
          <w:bCs/>
          <w:color w:val="000000"/>
          <w:lang w:val="es-ES_tradnl"/>
        </w:rPr>
      </w:pPr>
      <w:r w:rsidRPr="0093131F">
        <w:rPr>
          <w:rFonts w:ascii="Palatino Linotype" w:hAnsi="Palatino Linotype" w:cs="Arial"/>
          <w:b/>
          <w:bCs/>
        </w:rPr>
        <w:lastRenderedPageBreak/>
        <w:t>“</w:t>
      </w:r>
      <w:r w:rsidR="00E5775A" w:rsidRPr="0093131F">
        <w:rPr>
          <w:rFonts w:ascii="Palatino Linotype" w:hAnsi="Palatino Linotype" w:cs="Arial"/>
          <w:b/>
          <w:bCs/>
        </w:rPr>
        <w:t>ANEXO.pdf</w:t>
      </w:r>
      <w:r w:rsidRPr="0093131F">
        <w:rPr>
          <w:rFonts w:ascii="Palatino Linotype" w:hAnsi="Palatino Linotype" w:cs="Arial"/>
          <w:b/>
          <w:bCs/>
        </w:rPr>
        <w:t>”</w:t>
      </w:r>
      <w:r w:rsidR="002F0D85" w:rsidRPr="0093131F">
        <w:rPr>
          <w:rFonts w:ascii="Palatino Linotype" w:hAnsi="Palatino Linotype" w:cs="Arial"/>
          <w:b/>
          <w:bCs/>
        </w:rPr>
        <w:t xml:space="preserve">: </w:t>
      </w:r>
      <w:r w:rsidR="001C324A" w:rsidRPr="0093131F">
        <w:rPr>
          <w:rFonts w:ascii="Palatino Linotype" w:hAnsi="Palatino Linotype" w:cs="Arial"/>
        </w:rPr>
        <w:t xml:space="preserve">Consta de un documento en formato PDF de 58 fojas, en las cuales se adjunta el oficio IEEM/JDE27/0446/2023, signado por la Vocal Ejecutiva y por el Enlace Administrativo mediante el cual refieren </w:t>
      </w:r>
      <w:r w:rsidR="00482827" w:rsidRPr="0093131F">
        <w:rPr>
          <w:rFonts w:ascii="Palatino Linotype" w:hAnsi="Palatino Linotype" w:cs="Arial"/>
        </w:rPr>
        <w:t xml:space="preserve">que se entregan las listas de asistencia de los Servidores Públicos que laboran en la Junta Distrital Electoral Número 27 del Municipio de Valle de Chalco Solidaridad, correspondientes al período comprendido del 16 al 28 de febrero del 2023, para lo cual se anexan 8 fojas útiles que contienen las listas de asistencia del personal eventual. Del mismo modo, se adjunta el oficio IEEM/JDE027/241/2023 de fecha once de julio de dos mil veintitrés, </w:t>
      </w:r>
      <w:r w:rsidR="008F0CF4" w:rsidRPr="0093131F">
        <w:rPr>
          <w:rFonts w:ascii="Palatino Linotype" w:hAnsi="Palatino Linotype" w:cs="Arial"/>
        </w:rPr>
        <w:t>mediante el cual la Vocal Ejecutiva y el Enlace Administrativo refirieron que remiten las listas de asistencia del Servidor Público, el cual se desempeñó como Coordinador de Logística en la Junta Distrital Electoral Número 27 del Municipio de Valle de Chalco Solidaridad, correspondientes al período comprendido del 01 al 31 de mayo y del 01 al 30 de junio de la presente anualidad, se anexan 45 fojas útiles que contienen el registro del Servidor Público señalado con antelación.</w:t>
      </w:r>
      <w:r w:rsidR="002F0D85" w:rsidRPr="0093131F">
        <w:rPr>
          <w:rFonts w:ascii="Palatino Linotype" w:hAnsi="Palatino Linotype" w:cs="Arial"/>
        </w:rPr>
        <w:t xml:space="preserve"> </w:t>
      </w:r>
    </w:p>
    <w:p w14:paraId="7331183F" w14:textId="456AD093" w:rsidR="00E5775A" w:rsidRPr="0093131F" w:rsidRDefault="00E5775A" w:rsidP="00E5775A">
      <w:pPr>
        <w:pStyle w:val="Prrafodelista"/>
        <w:numPr>
          <w:ilvl w:val="0"/>
          <w:numId w:val="11"/>
        </w:numPr>
        <w:spacing w:after="240" w:line="360" w:lineRule="auto"/>
        <w:jc w:val="both"/>
        <w:rPr>
          <w:rFonts w:ascii="Palatino Linotype" w:hAnsi="Palatino Linotype" w:cs="Arial"/>
          <w:b/>
          <w:bCs/>
          <w:color w:val="000000"/>
          <w:lang w:val="es-ES_tradnl"/>
        </w:rPr>
      </w:pPr>
      <w:r w:rsidRPr="0093131F">
        <w:rPr>
          <w:rFonts w:ascii="Palatino Linotype" w:hAnsi="Palatino Linotype" w:cs="Arial"/>
          <w:b/>
          <w:bCs/>
        </w:rPr>
        <w:t xml:space="preserve">“OFICIO RESPUESTA 903-2023 UT.pdf”: </w:t>
      </w:r>
      <w:r w:rsidR="008F0CF4" w:rsidRPr="0093131F">
        <w:rPr>
          <w:rFonts w:ascii="Palatino Linotype" w:hAnsi="Palatino Linotype" w:cs="Arial"/>
          <w:bCs/>
        </w:rPr>
        <w:t>Consta del oficio IEEM/UT/2001/2023, signado por la Jefa de la Unidad de Transparencia, mediante el cual refiere que se da respuesta a la solicitud de información en tiempo y forma.</w:t>
      </w:r>
    </w:p>
    <w:p w14:paraId="4A33B972" w14:textId="7B2ADCAA" w:rsidR="005027B5" w:rsidRPr="0093131F" w:rsidRDefault="005027B5" w:rsidP="00723C12">
      <w:pPr>
        <w:spacing w:before="240" w:line="360" w:lineRule="auto"/>
        <w:jc w:val="both"/>
        <w:rPr>
          <w:rFonts w:ascii="Palatino Linotype" w:hAnsi="Palatino Linotype"/>
          <w:color w:val="FF0000"/>
          <w:sz w:val="24"/>
          <w:szCs w:val="24"/>
        </w:rPr>
      </w:pPr>
      <w:r w:rsidRPr="0093131F">
        <w:rPr>
          <w:rFonts w:ascii="Palatino Linotype" w:hAnsi="Palatino Linotype" w:cs="Arial"/>
          <w:color w:val="FF0000"/>
          <w:sz w:val="24"/>
        </w:rPr>
        <w:t xml:space="preserve"> </w:t>
      </w:r>
    </w:p>
    <w:p w14:paraId="720B3091" w14:textId="3DFF8053" w:rsidR="002F0D85" w:rsidRPr="0093131F" w:rsidRDefault="002F0D85" w:rsidP="002F0D85">
      <w:pPr>
        <w:spacing w:after="240" w:line="360" w:lineRule="auto"/>
        <w:jc w:val="both"/>
        <w:rPr>
          <w:rFonts w:ascii="Palatino Linotype" w:hAnsi="Palatino Linotype" w:cs="Arial"/>
          <w:color w:val="000000"/>
          <w:sz w:val="24"/>
          <w:lang w:val="es-ES_tradnl"/>
        </w:rPr>
      </w:pPr>
      <w:r w:rsidRPr="0093131F">
        <w:rPr>
          <w:rFonts w:ascii="Palatino Linotype" w:hAnsi="Palatino Linotype" w:cs="Arial"/>
          <w:color w:val="000000"/>
          <w:sz w:val="24"/>
          <w:lang w:val="es-ES_tradnl"/>
        </w:rPr>
        <w:lastRenderedPageBreak/>
        <w:t xml:space="preserve">Inconforme con la respuesta rendida por </w:t>
      </w:r>
      <w:r w:rsidR="008F0CF4" w:rsidRPr="0093131F">
        <w:rPr>
          <w:rFonts w:ascii="Palatino Linotype" w:hAnsi="Palatino Linotype" w:cs="Arial"/>
          <w:b/>
          <w:bCs/>
          <w:color w:val="000000"/>
          <w:sz w:val="24"/>
          <w:lang w:val="es-ES_tradnl"/>
        </w:rPr>
        <w:t>El Sujeto Obligado, La</w:t>
      </w:r>
      <w:r w:rsidRPr="0093131F">
        <w:rPr>
          <w:rFonts w:ascii="Palatino Linotype" w:hAnsi="Palatino Linotype" w:cs="Arial"/>
          <w:b/>
          <w:bCs/>
          <w:color w:val="000000"/>
          <w:sz w:val="24"/>
          <w:lang w:val="es-ES_tradnl"/>
        </w:rPr>
        <w:t xml:space="preserve"> Recurrente </w:t>
      </w:r>
      <w:r w:rsidRPr="0093131F">
        <w:rPr>
          <w:rFonts w:ascii="Palatino Linotype" w:hAnsi="Palatino Linotype" w:cs="Arial"/>
          <w:color w:val="000000"/>
          <w:sz w:val="24"/>
          <w:lang w:val="es-ES_tradnl"/>
        </w:rPr>
        <w:t>interpuso recurso de revisión</w:t>
      </w:r>
      <w:r w:rsidR="008F0CF4" w:rsidRPr="0093131F">
        <w:rPr>
          <w:rFonts w:ascii="Palatino Linotype" w:hAnsi="Palatino Linotype" w:cs="Arial"/>
          <w:color w:val="000000"/>
          <w:sz w:val="24"/>
          <w:lang w:val="es-ES_tradnl"/>
        </w:rPr>
        <w:t>, s</w:t>
      </w:r>
      <w:r w:rsidRPr="0093131F">
        <w:rPr>
          <w:rFonts w:ascii="Palatino Linotype" w:hAnsi="Palatino Linotype" w:cs="Arial"/>
          <w:color w:val="000000"/>
          <w:sz w:val="24"/>
          <w:lang w:val="es-ES_tradnl"/>
        </w:rPr>
        <w:t xml:space="preserve">eñalando como razones o motivos de inconformidad: </w:t>
      </w:r>
    </w:p>
    <w:p w14:paraId="4CB44B34" w14:textId="6BB340F2" w:rsidR="00A54B16" w:rsidRPr="0093131F" w:rsidRDefault="002F0D85" w:rsidP="00757C81">
      <w:pPr>
        <w:pStyle w:val="Citas"/>
        <w:spacing w:line="480" w:lineRule="auto"/>
        <w:rPr>
          <w:b/>
          <w:bCs/>
        </w:rPr>
      </w:pPr>
      <w:r w:rsidRPr="0093131F">
        <w:rPr>
          <w:b/>
          <w:bCs/>
        </w:rPr>
        <w:t>“</w:t>
      </w:r>
      <w:r w:rsidR="008F0CF4" w:rsidRPr="0093131F">
        <w:rPr>
          <w:bCs/>
        </w:rPr>
        <w:t xml:space="preserve">No se entregan los formatos “Asistencia por empleado” del servidor electoral Milton Carlos Cordova Martinez, adscrito a la 27 junta distrital de Valle de Chalco del proceso electoral 2023. En su lugar se proporcionan listas de asistencia que no fueron requeridas, toda vez que en el proceso electoral 2023, la Dirección de Administración se puso creativa y diseñó una aplicación para que por medio de un dispositivo móvil se registrará la puntualidad y asistencia de los servidores electorales en los órganos desconcentrados, por lo que se debió aplicar el mismo mecanismo para registrar la asistencia de este servidor electoral. En el indebido supuesto que el INFOEM conceda la razón al IEEM, se hace valer la fracción V del artículo 179 de la Ley de Transparencia y Acceso a la Información Pública del Estado de México y Municipios, esto por la Entrega incompleta de la información porque no pasa inadvertido que del documento “ANEXO.pdf”, en el oficio del 30 de abril de 2023 (página 11) se indica que se remiten las listas de asistencia del referido servidor electoral del 01 al 31 de marzo de 2023 y del 01 al 30 de abril de 2023, sin que dichas listas se hayan incorporado. Por eso, ante la omisión de entregar la información requerida, en el ámbito de competencia del INFOEM según el artículo 190 de la Ley de Transparencia y Acceso a la Información Pública del Estado de México y </w:t>
      </w:r>
      <w:r w:rsidR="008F0CF4" w:rsidRPr="0093131F">
        <w:rPr>
          <w:bCs/>
        </w:rPr>
        <w:lastRenderedPageBreak/>
        <w:t>Municipios se pide dar aviso al órgano de control interno del sujeto obligado para que éste inicie, el procedimiento de responsabilidad respectivo contra quienes resulten responsables.</w:t>
      </w:r>
      <w:r w:rsidRPr="0093131F">
        <w:t xml:space="preserve">” </w:t>
      </w:r>
      <w:r w:rsidRPr="0093131F">
        <w:rPr>
          <w:b/>
          <w:bCs/>
        </w:rPr>
        <w:t>(Sic)</w:t>
      </w:r>
    </w:p>
    <w:p w14:paraId="512F391B" w14:textId="3691E617" w:rsidR="00723C12" w:rsidRPr="0093131F" w:rsidRDefault="00757C81" w:rsidP="00723C12">
      <w:pPr>
        <w:pStyle w:val="infoemcitas"/>
        <w:tabs>
          <w:tab w:val="left" w:pos="7655"/>
        </w:tabs>
        <w:ind w:left="0" w:right="0"/>
        <w:rPr>
          <w:i w:val="0"/>
          <w:sz w:val="24"/>
          <w:szCs w:val="24"/>
        </w:rPr>
      </w:pPr>
      <w:r w:rsidRPr="0093131F">
        <w:rPr>
          <w:i w:val="0"/>
          <w:sz w:val="24"/>
          <w:szCs w:val="24"/>
        </w:rPr>
        <w:t xml:space="preserve">Es así </w:t>
      </w:r>
      <w:r w:rsidR="00723C12" w:rsidRPr="0093131F">
        <w:rPr>
          <w:i w:val="0"/>
          <w:sz w:val="24"/>
          <w:szCs w:val="24"/>
        </w:rPr>
        <w:t xml:space="preserve">que los motivos de inconformidad </w:t>
      </w:r>
      <w:r w:rsidR="00AC55B8" w:rsidRPr="0093131F">
        <w:rPr>
          <w:i w:val="0"/>
          <w:sz w:val="24"/>
          <w:szCs w:val="24"/>
        </w:rPr>
        <w:t xml:space="preserve">expuestos por </w:t>
      </w:r>
      <w:r w:rsidR="00AC55B8" w:rsidRPr="0093131F">
        <w:rPr>
          <w:b/>
          <w:bCs/>
          <w:i w:val="0"/>
          <w:sz w:val="24"/>
          <w:szCs w:val="24"/>
        </w:rPr>
        <w:t>l</w:t>
      </w:r>
      <w:r w:rsidRPr="0093131F">
        <w:rPr>
          <w:b/>
          <w:bCs/>
          <w:i w:val="0"/>
          <w:sz w:val="24"/>
          <w:szCs w:val="24"/>
        </w:rPr>
        <w:t>a</w:t>
      </w:r>
      <w:r w:rsidR="00AC55B8" w:rsidRPr="0093131F">
        <w:rPr>
          <w:b/>
          <w:bCs/>
          <w:i w:val="0"/>
          <w:sz w:val="24"/>
          <w:szCs w:val="24"/>
        </w:rPr>
        <w:t xml:space="preserve"> Recurrente, </w:t>
      </w:r>
      <w:r w:rsidR="00AC55B8" w:rsidRPr="0093131F">
        <w:rPr>
          <w:i w:val="0"/>
          <w:sz w:val="24"/>
          <w:szCs w:val="24"/>
        </w:rPr>
        <w:t>son susceptibles de actualizar las causales de procedencia previstas en el artículo 179, fracci</w:t>
      </w:r>
      <w:r w:rsidR="00324B17" w:rsidRPr="0093131F">
        <w:rPr>
          <w:i w:val="0"/>
          <w:sz w:val="24"/>
          <w:szCs w:val="24"/>
        </w:rPr>
        <w:t>ón</w:t>
      </w:r>
      <w:r w:rsidR="00AC55B8" w:rsidRPr="0093131F">
        <w:rPr>
          <w:i w:val="0"/>
          <w:sz w:val="24"/>
          <w:szCs w:val="24"/>
        </w:rPr>
        <w:t xml:space="preserve"> I</w:t>
      </w:r>
      <w:r w:rsidR="00324B17" w:rsidRPr="0093131F">
        <w:rPr>
          <w:i w:val="0"/>
          <w:sz w:val="24"/>
          <w:szCs w:val="24"/>
        </w:rPr>
        <w:t>,</w:t>
      </w:r>
      <w:r w:rsidR="00AC55B8" w:rsidRPr="0093131F">
        <w:rPr>
          <w:i w:val="0"/>
          <w:sz w:val="24"/>
          <w:szCs w:val="24"/>
        </w:rPr>
        <w:t xml:space="preserve"> de la Ley de Transparencia y Acceso a la Información Pública del Estado de México y Municipios, porciones normativas que disponen a la literalidad lo siguiente:</w:t>
      </w:r>
    </w:p>
    <w:p w14:paraId="5F0FC087" w14:textId="71B4D90F" w:rsidR="00723C12" w:rsidRPr="0093131F" w:rsidRDefault="00723C12" w:rsidP="00723C12">
      <w:pPr>
        <w:pStyle w:val="Citas"/>
      </w:pPr>
      <w:r w:rsidRPr="0093131F">
        <w:t>“Artículo 179. El recurso de revisión es un medio de protección que la Ley otorga a los particulares, para hacer valer su derecho de acceso a la información pública, y procederá en contra de las siguientes causas:</w:t>
      </w:r>
    </w:p>
    <w:p w14:paraId="7A59F46C" w14:textId="77777777" w:rsidR="00723C12" w:rsidRPr="0093131F" w:rsidRDefault="00723C12" w:rsidP="00723C12">
      <w:pPr>
        <w:pStyle w:val="Citas"/>
      </w:pPr>
      <w:r w:rsidRPr="0093131F">
        <w:t>I. La negativa a la información solicitada;</w:t>
      </w:r>
    </w:p>
    <w:p w14:paraId="6307B93F" w14:textId="0777212A" w:rsidR="00723C12" w:rsidRPr="0093131F" w:rsidRDefault="00C2471B" w:rsidP="00723C12">
      <w:pPr>
        <w:pStyle w:val="Citas"/>
        <w:rPr>
          <w:b/>
          <w:bCs/>
          <w:noProof/>
          <w:color w:val="000000"/>
          <w:sz w:val="24"/>
          <w:lang w:eastAsia="es-MX"/>
        </w:rPr>
      </w:pPr>
      <w:r w:rsidRPr="0093131F">
        <w:rPr>
          <w:noProof/>
          <w:color w:val="000000"/>
          <w:sz w:val="24"/>
          <w:lang w:eastAsia="es-MX"/>
        </w:rPr>
        <w:t xml:space="preserve"> </w:t>
      </w:r>
      <w:r w:rsidR="00723C12" w:rsidRPr="0093131F">
        <w:rPr>
          <w:noProof/>
          <w:color w:val="000000"/>
          <w:sz w:val="24"/>
          <w:lang w:eastAsia="es-MX"/>
        </w:rPr>
        <w:t xml:space="preserve">(…)” </w:t>
      </w:r>
      <w:r w:rsidR="00723C12" w:rsidRPr="0093131F">
        <w:rPr>
          <w:b/>
          <w:bCs/>
          <w:noProof/>
          <w:color w:val="000000"/>
          <w:sz w:val="24"/>
          <w:lang w:eastAsia="es-MX"/>
        </w:rPr>
        <w:t>[Sic]</w:t>
      </w:r>
    </w:p>
    <w:p w14:paraId="75AB9041" w14:textId="77777777" w:rsidR="00723C12" w:rsidRPr="0093131F" w:rsidRDefault="00723C12" w:rsidP="00B40BA1">
      <w:pPr>
        <w:spacing w:after="0" w:line="360" w:lineRule="auto"/>
        <w:jc w:val="both"/>
        <w:rPr>
          <w:rFonts w:ascii="Palatino Linotype" w:hAnsi="Palatino Linotype" w:cs="Arial"/>
          <w:sz w:val="24"/>
          <w:szCs w:val="24"/>
        </w:rPr>
      </w:pPr>
    </w:p>
    <w:p w14:paraId="73898DDE" w14:textId="15D5E0D0" w:rsidR="00AC55B8" w:rsidRPr="0093131F" w:rsidRDefault="00AC55B8" w:rsidP="00AC55B8">
      <w:pPr>
        <w:spacing w:before="240" w:line="360" w:lineRule="auto"/>
        <w:jc w:val="both"/>
        <w:rPr>
          <w:rFonts w:ascii="Palatino Linotype" w:hAnsi="Palatino Linotype"/>
          <w:sz w:val="24"/>
          <w:szCs w:val="24"/>
        </w:rPr>
      </w:pPr>
      <w:r w:rsidRPr="0093131F">
        <w:rPr>
          <w:rFonts w:ascii="Palatino Linotype" w:hAnsi="Palatino Linotype"/>
          <w:sz w:val="24"/>
          <w:szCs w:val="24"/>
        </w:rPr>
        <w:t xml:space="preserve">Por otra parte, en etapa de manifestaciones, </w:t>
      </w:r>
      <w:r w:rsidRPr="0093131F">
        <w:rPr>
          <w:rFonts w:ascii="Palatino Linotype" w:hAnsi="Palatino Linotype"/>
          <w:b/>
          <w:bCs/>
          <w:sz w:val="24"/>
          <w:szCs w:val="24"/>
        </w:rPr>
        <w:t xml:space="preserve">El Sujeto Obligado </w:t>
      </w:r>
      <w:r w:rsidRPr="0093131F">
        <w:rPr>
          <w:rFonts w:ascii="Palatino Linotype" w:hAnsi="Palatino Linotype"/>
          <w:sz w:val="24"/>
          <w:szCs w:val="24"/>
        </w:rPr>
        <w:t>rindió su informe justificado</w:t>
      </w:r>
      <w:r w:rsidR="00FC7A08" w:rsidRPr="0093131F">
        <w:rPr>
          <w:rFonts w:ascii="Palatino Linotype" w:hAnsi="Palatino Linotype"/>
          <w:sz w:val="24"/>
          <w:szCs w:val="24"/>
        </w:rPr>
        <w:t>, mismo que fue puesto a la vista parcialmente, el cual se nutre</w:t>
      </w:r>
      <w:r w:rsidRPr="0093131F">
        <w:rPr>
          <w:rFonts w:ascii="Palatino Linotype" w:hAnsi="Palatino Linotype"/>
          <w:sz w:val="24"/>
          <w:szCs w:val="24"/>
        </w:rPr>
        <w:t xml:space="preserve"> en los siguientes términos: </w:t>
      </w:r>
    </w:p>
    <w:p w14:paraId="4E1C6CB5" w14:textId="0D777859" w:rsidR="00723C12" w:rsidRPr="0093131F" w:rsidRDefault="00AC55B8" w:rsidP="00C525BD">
      <w:pPr>
        <w:pStyle w:val="Prrafodelista"/>
        <w:numPr>
          <w:ilvl w:val="0"/>
          <w:numId w:val="13"/>
        </w:numPr>
        <w:spacing w:line="360" w:lineRule="auto"/>
        <w:jc w:val="both"/>
        <w:rPr>
          <w:rFonts w:ascii="Palatino Linotype" w:hAnsi="Palatino Linotype" w:cs="Arial"/>
          <w:b/>
          <w:bCs/>
        </w:rPr>
      </w:pPr>
      <w:r w:rsidRPr="0093131F">
        <w:rPr>
          <w:rFonts w:ascii="Palatino Linotype" w:hAnsi="Palatino Linotype" w:cs="Arial"/>
          <w:b/>
          <w:bCs/>
        </w:rPr>
        <w:t>“</w:t>
      </w:r>
      <w:r w:rsidR="00C525BD" w:rsidRPr="0093131F">
        <w:rPr>
          <w:rFonts w:ascii="Palatino Linotype" w:hAnsi="Palatino Linotype" w:cs="Arial"/>
          <w:b/>
          <w:bCs/>
        </w:rPr>
        <w:t>04840 formatos de asistencia QR.pdf</w:t>
      </w:r>
      <w:r w:rsidRPr="0093131F">
        <w:rPr>
          <w:rFonts w:ascii="Palatino Linotype" w:hAnsi="Palatino Linotype" w:cs="Arial"/>
          <w:b/>
          <w:bCs/>
        </w:rPr>
        <w:t xml:space="preserve">”: </w:t>
      </w:r>
      <w:r w:rsidR="00C525BD" w:rsidRPr="0093131F">
        <w:rPr>
          <w:rFonts w:ascii="Palatino Linotype" w:hAnsi="Palatino Linotype" w:cs="Arial"/>
        </w:rPr>
        <w:t>Contiene los formatos de asistencia por emple</w:t>
      </w:r>
      <w:r w:rsidR="002E3FF0" w:rsidRPr="0093131F">
        <w:rPr>
          <w:rFonts w:ascii="Palatino Linotype" w:hAnsi="Palatino Linotype" w:cs="Arial"/>
        </w:rPr>
        <w:t xml:space="preserve">ado del dieciséis de febrero al </w:t>
      </w:r>
      <w:r w:rsidR="00042B89" w:rsidRPr="0093131F">
        <w:rPr>
          <w:rFonts w:ascii="Palatino Linotype" w:hAnsi="Palatino Linotype" w:cs="Arial"/>
        </w:rPr>
        <w:t>treinta de junio de dos mil veintitrés</w:t>
      </w:r>
      <w:r w:rsidRPr="0093131F">
        <w:rPr>
          <w:rFonts w:ascii="Palatino Linotype" w:hAnsi="Palatino Linotype" w:cs="Arial"/>
        </w:rPr>
        <w:t xml:space="preserve">. </w:t>
      </w:r>
    </w:p>
    <w:p w14:paraId="51E46951" w14:textId="6E93FB14" w:rsidR="00AC55B8" w:rsidRPr="0093131F" w:rsidRDefault="00AC55B8" w:rsidP="00C525BD">
      <w:pPr>
        <w:pStyle w:val="Prrafodelista"/>
        <w:numPr>
          <w:ilvl w:val="0"/>
          <w:numId w:val="13"/>
        </w:numPr>
        <w:spacing w:line="360" w:lineRule="auto"/>
        <w:jc w:val="both"/>
        <w:rPr>
          <w:rFonts w:ascii="Palatino Linotype" w:hAnsi="Palatino Linotype" w:cs="Arial"/>
          <w:b/>
          <w:bCs/>
        </w:rPr>
      </w:pPr>
      <w:r w:rsidRPr="0093131F">
        <w:rPr>
          <w:rFonts w:ascii="Palatino Linotype" w:hAnsi="Palatino Linotype" w:cs="Arial"/>
          <w:b/>
          <w:bCs/>
        </w:rPr>
        <w:t>“</w:t>
      </w:r>
      <w:r w:rsidR="00C525BD" w:rsidRPr="0093131F">
        <w:rPr>
          <w:rFonts w:ascii="Palatino Linotype" w:hAnsi="Palatino Linotype" w:cs="Arial"/>
          <w:b/>
          <w:bCs/>
        </w:rPr>
        <w:t>INFORME JUSTIFICADO RR 4840-2023 UT.pdf</w:t>
      </w:r>
      <w:r w:rsidRPr="0093131F">
        <w:rPr>
          <w:rFonts w:ascii="Palatino Linotype" w:hAnsi="Palatino Linotype" w:cs="Arial"/>
          <w:b/>
          <w:bCs/>
        </w:rPr>
        <w:t xml:space="preserve">”: </w:t>
      </w:r>
      <w:r w:rsidR="00042B89" w:rsidRPr="0093131F">
        <w:rPr>
          <w:rFonts w:ascii="Palatino Linotype" w:hAnsi="Palatino Linotype" w:cs="Arial"/>
        </w:rPr>
        <w:t xml:space="preserve">Contiene el Informe Justificado remitido por la Jefa de la Unidad de Transparencia por medio del </w:t>
      </w:r>
      <w:r w:rsidR="00042B89" w:rsidRPr="0093131F">
        <w:rPr>
          <w:rFonts w:ascii="Palatino Linotype" w:hAnsi="Palatino Linotype" w:cs="Arial"/>
        </w:rPr>
        <w:lastRenderedPageBreak/>
        <w:t xml:space="preserve">cual refiere que derivado de una nueva </w:t>
      </w:r>
      <w:r w:rsidR="00C847CB" w:rsidRPr="0093131F">
        <w:rPr>
          <w:rFonts w:ascii="Palatino Linotype" w:hAnsi="Palatino Linotype" w:cs="Arial"/>
        </w:rPr>
        <w:t>búsqueda se identificaron los documentos denominados “Asistencia por empleado”, por lo que solicita sea sobreseído el recurso de revisión.</w:t>
      </w:r>
      <w:r w:rsidR="00366BCD" w:rsidRPr="0093131F">
        <w:rPr>
          <w:rFonts w:ascii="Palatino Linotype" w:hAnsi="Palatino Linotype" w:cs="Arial"/>
        </w:rPr>
        <w:t xml:space="preserve"> </w:t>
      </w:r>
    </w:p>
    <w:p w14:paraId="6F931EA7" w14:textId="77777777" w:rsidR="00FC7A08" w:rsidRPr="0093131F" w:rsidRDefault="00FC7A08" w:rsidP="00FC7A08">
      <w:pPr>
        <w:pStyle w:val="Prrafodelista"/>
        <w:spacing w:line="360" w:lineRule="auto"/>
        <w:ind w:left="720"/>
        <w:jc w:val="both"/>
        <w:rPr>
          <w:rFonts w:ascii="Palatino Linotype" w:hAnsi="Palatino Linotype" w:cs="Arial"/>
          <w:b/>
          <w:bCs/>
        </w:rPr>
      </w:pPr>
    </w:p>
    <w:p w14:paraId="7421460B" w14:textId="02080836" w:rsidR="00E22B94" w:rsidRPr="0093131F" w:rsidRDefault="00AC55B8" w:rsidP="00C847CB">
      <w:pPr>
        <w:pStyle w:val="Prrafodelista"/>
        <w:numPr>
          <w:ilvl w:val="0"/>
          <w:numId w:val="13"/>
        </w:numPr>
        <w:spacing w:line="360" w:lineRule="auto"/>
        <w:jc w:val="both"/>
        <w:rPr>
          <w:rFonts w:ascii="Palatino Linotype" w:hAnsi="Palatino Linotype" w:cs="Arial"/>
          <w:i/>
          <w:iCs/>
        </w:rPr>
      </w:pPr>
      <w:r w:rsidRPr="0093131F">
        <w:rPr>
          <w:rFonts w:ascii="Palatino Linotype" w:hAnsi="Palatino Linotype" w:cs="Arial"/>
          <w:b/>
          <w:bCs/>
        </w:rPr>
        <w:t>“</w:t>
      </w:r>
      <w:r w:rsidR="00C525BD" w:rsidRPr="0093131F">
        <w:rPr>
          <w:rFonts w:ascii="Palatino Linotype" w:hAnsi="Palatino Linotype" w:cs="Arial"/>
          <w:b/>
          <w:bCs/>
        </w:rPr>
        <w:t>INFORME JUSTIFICADO RR 4840-2023 DA.pdf</w:t>
      </w:r>
      <w:r w:rsidRPr="0093131F">
        <w:rPr>
          <w:rFonts w:ascii="Palatino Linotype" w:hAnsi="Palatino Linotype" w:cs="Arial"/>
          <w:b/>
          <w:bCs/>
        </w:rPr>
        <w:t>”</w:t>
      </w:r>
      <w:r w:rsidR="00366BCD" w:rsidRPr="0093131F">
        <w:rPr>
          <w:rFonts w:ascii="Palatino Linotype" w:hAnsi="Palatino Linotype" w:cs="Arial"/>
          <w:b/>
          <w:bCs/>
        </w:rPr>
        <w:t xml:space="preserve">: </w:t>
      </w:r>
      <w:r w:rsidR="00C847CB" w:rsidRPr="0093131F">
        <w:rPr>
          <w:rFonts w:ascii="Palatino Linotype" w:hAnsi="Palatino Linotype" w:cs="Arial"/>
        </w:rPr>
        <w:t>Contiene el oficio IEEM/DA/3881/2023 mediante el cual</w:t>
      </w:r>
      <w:r w:rsidR="00291FAA" w:rsidRPr="0093131F">
        <w:rPr>
          <w:rFonts w:ascii="Palatino Linotype" w:hAnsi="Palatino Linotype" w:cs="Arial"/>
        </w:rPr>
        <w:t xml:space="preserve"> el Encargado de Despacho de la Dirección de Administración refiere que derivado de una nueva búsqueda, se identificaron los documentos denominados “Asistencia por Empleado” del servidor público referido en la solicitud de información, del periodo comprendido del primero al treinta y uno de marzo y del primero al treinta de abril </w:t>
      </w:r>
      <w:r w:rsidR="00AD2F4A" w:rsidRPr="0093131F">
        <w:rPr>
          <w:rFonts w:ascii="Palatino Linotype" w:hAnsi="Palatino Linotype" w:cs="Arial"/>
        </w:rPr>
        <w:t>de dos mil veintitrés, mismos que se adjuntan, así mismo,</w:t>
      </w:r>
      <w:r w:rsidR="00C847CB" w:rsidRPr="0093131F">
        <w:rPr>
          <w:rFonts w:ascii="Palatino Linotype" w:hAnsi="Palatino Linotype" w:cs="Arial"/>
        </w:rPr>
        <w:t xml:space="preserve"> ratifica su respuesta, por las razones y consideraciones ya señaladas.</w:t>
      </w:r>
    </w:p>
    <w:p w14:paraId="2EB27FC4" w14:textId="40561674" w:rsidR="00E22B94" w:rsidRPr="0093131F" w:rsidRDefault="00E22B94" w:rsidP="00E22B94">
      <w:pPr>
        <w:pStyle w:val="Prrafodelista"/>
        <w:spacing w:line="360" w:lineRule="auto"/>
        <w:ind w:left="720"/>
        <w:jc w:val="both"/>
        <w:rPr>
          <w:rFonts w:ascii="Palatino Linotype" w:hAnsi="Palatino Linotype" w:cs="Arial"/>
          <w:b/>
          <w:bCs/>
          <w:i/>
          <w:iCs/>
        </w:rPr>
      </w:pPr>
    </w:p>
    <w:p w14:paraId="7FB9AE4C" w14:textId="33382F41" w:rsidR="00C84DEB" w:rsidRPr="0093131F" w:rsidRDefault="00C84DEB" w:rsidP="00A14C82">
      <w:pPr>
        <w:tabs>
          <w:tab w:val="left" w:pos="709"/>
        </w:tabs>
        <w:spacing w:before="240" w:line="360" w:lineRule="auto"/>
        <w:ind w:right="51"/>
        <w:jc w:val="both"/>
        <w:rPr>
          <w:rFonts w:ascii="Palatino Linotype" w:hAnsi="Palatino Linotype" w:cs="Arial"/>
          <w:sz w:val="24"/>
          <w:szCs w:val="24"/>
        </w:rPr>
      </w:pPr>
      <w:r w:rsidRPr="0093131F">
        <w:rPr>
          <w:rFonts w:ascii="Palatino Linotype" w:hAnsi="Palatino Linotype" w:cs="Arial"/>
          <w:sz w:val="24"/>
          <w:szCs w:val="24"/>
        </w:rPr>
        <w:t>Es así que</w:t>
      </w:r>
      <w:r w:rsidR="00101E2F" w:rsidRPr="0093131F">
        <w:rPr>
          <w:rFonts w:ascii="Palatino Linotype" w:hAnsi="Palatino Linotype" w:cs="Arial"/>
          <w:sz w:val="24"/>
          <w:szCs w:val="24"/>
        </w:rPr>
        <w:t xml:space="preserve"> en relación al</w:t>
      </w:r>
      <w:r w:rsidR="001A70AD" w:rsidRPr="0093131F">
        <w:rPr>
          <w:rFonts w:ascii="Palatino Linotype" w:hAnsi="Palatino Linotype" w:cs="Arial"/>
          <w:sz w:val="24"/>
          <w:szCs w:val="24"/>
        </w:rPr>
        <w:t xml:space="preserve"> requerimiento de la solicitud de información, referente a los formatos “Asistencia por empleado” del servidor público referido en la solicitud de información; una vez analizada la información que proporcionó el Sujeto Obligado en Informe Justificado, se estima que colmó los requerimientos originales formulados por el solicitante, en donde la Dirección de Administración amplía su respuesta, adjuntando </w:t>
      </w:r>
      <w:r w:rsidR="00291FAA" w:rsidRPr="0093131F">
        <w:rPr>
          <w:rFonts w:ascii="Palatino Linotype" w:hAnsi="Palatino Linotype" w:cs="Arial"/>
          <w:sz w:val="24"/>
          <w:szCs w:val="24"/>
        </w:rPr>
        <w:t>los documentos denominados “Asistencia por empleado” correspondientes al periodo del primero al treinta y uno de marzo y del primero al treinta de abril de dos mil veintitrés</w:t>
      </w:r>
      <w:r w:rsidR="002C4A9E" w:rsidRPr="0093131F">
        <w:rPr>
          <w:rFonts w:ascii="Palatino Linotype" w:hAnsi="Palatino Linotype" w:cs="Arial"/>
          <w:sz w:val="24"/>
          <w:szCs w:val="24"/>
        </w:rPr>
        <w:t>.</w:t>
      </w:r>
    </w:p>
    <w:p w14:paraId="44786E61" w14:textId="5A5956A8" w:rsidR="00A14C82" w:rsidRPr="0093131F" w:rsidRDefault="00A14C82" w:rsidP="00A14C82">
      <w:pPr>
        <w:tabs>
          <w:tab w:val="left" w:pos="709"/>
        </w:tabs>
        <w:spacing w:before="240" w:line="360" w:lineRule="auto"/>
        <w:ind w:right="51"/>
        <w:jc w:val="both"/>
        <w:rPr>
          <w:rFonts w:ascii="Palatino Linotype" w:hAnsi="Palatino Linotype" w:cs="Arial"/>
          <w:sz w:val="24"/>
          <w:szCs w:val="24"/>
        </w:rPr>
      </w:pPr>
      <w:r w:rsidRPr="0093131F">
        <w:rPr>
          <w:rFonts w:ascii="Palatino Linotype" w:hAnsi="Palatino Linotype" w:cs="Arial"/>
          <w:sz w:val="24"/>
          <w:szCs w:val="24"/>
        </w:rPr>
        <w:lastRenderedPageBreak/>
        <w:t>En este sentid</w:t>
      </w:r>
      <w:r w:rsidR="00291FAA" w:rsidRPr="0093131F">
        <w:rPr>
          <w:rFonts w:ascii="Palatino Linotype" w:hAnsi="Palatino Linotype" w:cs="Arial"/>
          <w:sz w:val="24"/>
          <w:szCs w:val="24"/>
        </w:rPr>
        <w:t>o,</w:t>
      </w:r>
      <w:r w:rsidRPr="0093131F">
        <w:rPr>
          <w:rFonts w:ascii="Palatino Linotype" w:hAnsi="Palatino Linotype" w:cs="Arial"/>
          <w:sz w:val="24"/>
          <w:szCs w:val="24"/>
        </w:rPr>
        <w:t xml:space="preserve"> por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sidRPr="0093131F">
        <w:rPr>
          <w:rFonts w:ascii="Palatino Linotype" w:hAnsi="Palatino Linotype" w:cs="Arial"/>
          <w:b/>
          <w:sz w:val="24"/>
          <w:szCs w:val="24"/>
        </w:rPr>
        <w:t xml:space="preserve"> Recurrente </w:t>
      </w:r>
      <w:r w:rsidRPr="0093131F">
        <w:rPr>
          <w:rFonts w:ascii="Palatino Linotype" w:hAnsi="Palatino Linotype" w:cs="Arial"/>
          <w:sz w:val="24"/>
          <w:szCs w:val="24"/>
        </w:rPr>
        <w:t xml:space="preserve">o que el </w:t>
      </w:r>
      <w:r w:rsidRPr="0093131F">
        <w:rPr>
          <w:rFonts w:ascii="Palatino Linotype" w:hAnsi="Palatino Linotype" w:cs="Arial"/>
          <w:b/>
          <w:sz w:val="24"/>
          <w:szCs w:val="24"/>
        </w:rPr>
        <w:t xml:space="preserve">Sujeto Obligado </w:t>
      </w:r>
      <w:r w:rsidRPr="0093131F">
        <w:rPr>
          <w:rFonts w:ascii="Palatino Linotype" w:hAnsi="Palatino Linotype" w:cs="Arial"/>
          <w:b/>
          <w:sz w:val="24"/>
          <w:szCs w:val="24"/>
          <w:u w:val="single"/>
        </w:rPr>
        <w:t xml:space="preserve">modifique el acto; </w:t>
      </w:r>
      <w:r w:rsidRPr="0093131F">
        <w:rPr>
          <w:rFonts w:ascii="Palatino Linotype" w:hAnsi="Palatino Linotype" w:cs="Arial"/>
          <w:sz w:val="24"/>
          <w:szCs w:val="24"/>
        </w:rPr>
        <w:t xml:space="preserve">de ahí que la actualización de alguno de éstos trae como consecuencia que el medio de impugnación se concluya sin que se analice el objeto de estudio planteado, es decir se sobresea. </w:t>
      </w:r>
    </w:p>
    <w:p w14:paraId="5B2F4AEA" w14:textId="77777777" w:rsidR="00A14C82" w:rsidRPr="0093131F" w:rsidRDefault="00A14C82" w:rsidP="00A14C82">
      <w:pPr>
        <w:spacing w:line="360" w:lineRule="auto"/>
        <w:jc w:val="both"/>
        <w:rPr>
          <w:rFonts w:ascii="Palatino Linotype" w:hAnsi="Palatino Linotype" w:cs="Arial"/>
          <w:sz w:val="24"/>
          <w:szCs w:val="24"/>
        </w:rPr>
      </w:pPr>
      <w:r w:rsidRPr="0093131F">
        <w:rPr>
          <w:rFonts w:ascii="Palatino Linotype" w:hAnsi="Palatino Linotype" w:cs="Arial"/>
          <w:sz w:val="24"/>
          <w:szCs w:val="24"/>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4059DE61" w14:textId="77777777" w:rsidR="00A14C82" w:rsidRPr="0093131F" w:rsidRDefault="00A14C82" w:rsidP="00A14C82">
      <w:pPr>
        <w:spacing w:line="360" w:lineRule="auto"/>
        <w:ind w:left="851" w:right="851"/>
        <w:jc w:val="both"/>
        <w:rPr>
          <w:rFonts w:ascii="Palatino Linotype" w:hAnsi="Palatino Linotype" w:cs="Arial"/>
          <w:b/>
          <w:i/>
        </w:rPr>
      </w:pPr>
      <w:r w:rsidRPr="0093131F">
        <w:rPr>
          <w:rFonts w:ascii="Palatino Linotype" w:hAnsi="Palatino Linotype" w:cs="Arial"/>
          <w:b/>
          <w:i/>
        </w:rPr>
        <w:t>“SOBRESEIMIENTO EN EL JUICIO DE AMPARO DIRECTO. IMPIDE EL ESTUDIO DE LAS VIOLACIONES PROCESALES PLANTEADAS EN LOS CONCEPTOS DE VIOLACIÓN.</w:t>
      </w:r>
    </w:p>
    <w:p w14:paraId="52B5143E" w14:textId="77777777" w:rsidR="00A14C82" w:rsidRPr="0093131F" w:rsidRDefault="00A14C82" w:rsidP="00A14C82">
      <w:pPr>
        <w:spacing w:line="360" w:lineRule="auto"/>
        <w:ind w:left="851" w:right="851"/>
        <w:jc w:val="both"/>
        <w:rPr>
          <w:rFonts w:ascii="Palatino Linotype" w:hAnsi="Palatino Linotype"/>
          <w:i/>
          <w:color w:val="000000"/>
        </w:rPr>
      </w:pPr>
      <w:r w:rsidRPr="0093131F">
        <w:rPr>
          <w:rFonts w:ascii="Palatino Linotype" w:hAnsi="Palatino Linotype" w:cs="Arial"/>
          <w:b/>
          <w:i/>
          <w:u w:val="single"/>
        </w:rPr>
        <w:t>El sobreseimiento</w:t>
      </w:r>
      <w:r w:rsidRPr="0093131F">
        <w:rPr>
          <w:rFonts w:ascii="Palatino Linotype" w:hAnsi="Palatino Linotype" w:cs="Arial"/>
          <w:b/>
          <w:i/>
        </w:rPr>
        <w:t xml:space="preserve"> </w:t>
      </w:r>
      <w:r w:rsidRPr="0093131F">
        <w:rPr>
          <w:rFonts w:ascii="Palatino Linotype" w:hAnsi="Palatino Linotype" w:cs="Arial"/>
          <w:i/>
        </w:rPr>
        <w:t xml:space="preserve">en el juicio de amparo directo </w:t>
      </w:r>
      <w:r w:rsidRPr="0093131F">
        <w:rPr>
          <w:rFonts w:ascii="Palatino Linotype" w:hAnsi="Palatino Linotype" w:cs="Arial"/>
          <w:b/>
          <w:i/>
          <w:u w:val="single"/>
        </w:rPr>
        <w:t>provoca la terminación de la controversia planteada</w:t>
      </w:r>
      <w:r w:rsidRPr="0093131F">
        <w:rPr>
          <w:rFonts w:ascii="Palatino Linotype" w:hAnsi="Palatino Linotype" w:cs="Arial"/>
          <w:b/>
          <w:i/>
        </w:rPr>
        <w:t xml:space="preserve"> </w:t>
      </w:r>
      <w:r w:rsidRPr="0093131F">
        <w:rPr>
          <w:rFonts w:ascii="Palatino Linotype" w:hAnsi="Palatino Linotype" w:cs="Arial"/>
          <w:i/>
        </w:rPr>
        <w:t>por el quejoso en la demanda de amparo</w:t>
      </w:r>
      <w:r w:rsidRPr="0093131F">
        <w:rPr>
          <w:rFonts w:ascii="Calibri" w:hAnsi="Calibri"/>
          <w:color w:val="000000"/>
          <w:sz w:val="26"/>
          <w:szCs w:val="26"/>
        </w:rPr>
        <w:t xml:space="preserve"> </w:t>
      </w:r>
      <w:r w:rsidRPr="0093131F">
        <w:rPr>
          <w:rFonts w:ascii="Palatino Linotype" w:hAnsi="Palatino Linotype"/>
          <w:i/>
          <w:color w:val="000000"/>
        </w:rPr>
        <w:t xml:space="preserve">provoca la terminación de la controversia planteada por el quejoso en la demanda de </w:t>
      </w:r>
      <w:r w:rsidRPr="0093131F">
        <w:rPr>
          <w:rFonts w:ascii="Palatino Linotype" w:hAnsi="Palatino Linotype"/>
          <w:b/>
          <w:i/>
          <w:color w:val="000000"/>
        </w:rPr>
        <w:t>amparo</w:t>
      </w:r>
      <w:r w:rsidRPr="0093131F">
        <w:rPr>
          <w:rFonts w:ascii="Palatino Linotype" w:hAnsi="Palatino Linotype"/>
          <w:i/>
          <w:color w:val="000000"/>
        </w:rPr>
        <w:t>, sin hacer un pronunciamiento de fondo sobre la legalidad o ilegalidad de la sentencia reclamada. Por consiguiente, si al sobreseerse en el</w:t>
      </w:r>
      <w:r w:rsidRPr="0093131F">
        <w:rPr>
          <w:rFonts w:ascii="Palatino Linotype" w:hAnsi="Palatino Linotype"/>
          <w:b/>
          <w:i/>
          <w:color w:val="000000"/>
        </w:rPr>
        <w:t xml:space="preserve"> juicio </w:t>
      </w:r>
      <w:r w:rsidRPr="0093131F">
        <w:rPr>
          <w:rFonts w:ascii="Palatino Linotype" w:hAnsi="Palatino Linotype"/>
          <w:i/>
          <w:color w:val="000000"/>
        </w:rPr>
        <w:t xml:space="preserve">de </w:t>
      </w:r>
      <w:r w:rsidRPr="0093131F">
        <w:rPr>
          <w:rFonts w:ascii="Palatino Linotype" w:hAnsi="Palatino Linotype"/>
          <w:b/>
          <w:i/>
          <w:color w:val="000000"/>
        </w:rPr>
        <w:t>amparo</w:t>
      </w:r>
      <w:r w:rsidRPr="0093131F">
        <w:rPr>
          <w:rFonts w:ascii="Palatino Linotype" w:hAnsi="Palatino Linotype"/>
          <w:i/>
          <w:color w:val="000000"/>
        </w:rPr>
        <w:t xml:space="preserve"> no se pueden estudiar los planteamientos que se hacen valer en contra del fallo reclamado, tampoco se deben analizar las</w:t>
      </w:r>
      <w:r w:rsidRPr="0093131F">
        <w:rPr>
          <w:rFonts w:ascii="Palatino Linotype" w:hAnsi="Palatino Linotype"/>
          <w:b/>
          <w:i/>
          <w:color w:val="000000"/>
        </w:rPr>
        <w:t xml:space="preserve"> violaciones procesales</w:t>
      </w:r>
      <w:r w:rsidRPr="0093131F">
        <w:rPr>
          <w:rFonts w:ascii="Palatino Linotype" w:hAnsi="Palatino Linotype"/>
          <w:i/>
          <w:color w:val="000000"/>
        </w:rPr>
        <w:t xml:space="preserve"> propuestas en los </w:t>
      </w:r>
      <w:r w:rsidRPr="0093131F">
        <w:rPr>
          <w:rFonts w:ascii="Palatino Linotype" w:hAnsi="Palatino Linotype"/>
          <w:b/>
          <w:i/>
          <w:color w:val="000000"/>
        </w:rPr>
        <w:t xml:space="preserve">conceptos </w:t>
      </w:r>
      <w:r w:rsidRPr="0093131F">
        <w:rPr>
          <w:rFonts w:ascii="Palatino Linotype" w:hAnsi="Palatino Linotype"/>
          <w:i/>
          <w:color w:val="000000"/>
        </w:rPr>
        <w:t xml:space="preserve">de </w:t>
      </w:r>
      <w:r w:rsidRPr="0093131F">
        <w:rPr>
          <w:rFonts w:ascii="Palatino Linotype" w:hAnsi="Palatino Linotype"/>
          <w:b/>
          <w:i/>
          <w:color w:val="000000"/>
        </w:rPr>
        <w:lastRenderedPageBreak/>
        <w:t>violación</w:t>
      </w:r>
      <w:r w:rsidRPr="0093131F">
        <w:rPr>
          <w:rFonts w:ascii="Palatino Linotype" w:hAnsi="Palatino Linotype"/>
          <w:i/>
          <w:color w:val="000000"/>
        </w:rPr>
        <w:t xml:space="preserve">, dado que, la principal consecuencia del </w:t>
      </w:r>
      <w:r w:rsidRPr="0093131F">
        <w:rPr>
          <w:rFonts w:ascii="Palatino Linotype" w:hAnsi="Palatino Linotype"/>
          <w:b/>
          <w:i/>
          <w:color w:val="000000"/>
        </w:rPr>
        <w:t>sobreseimiento</w:t>
      </w:r>
      <w:r w:rsidRPr="0093131F">
        <w:rPr>
          <w:rFonts w:ascii="Palatino Linotype" w:hAnsi="Palatino Linotype"/>
          <w:i/>
          <w:color w:val="000000"/>
        </w:rPr>
        <w:t xml:space="preserve"> es poner fin al </w:t>
      </w:r>
      <w:r w:rsidRPr="0093131F">
        <w:rPr>
          <w:rFonts w:ascii="Palatino Linotype" w:hAnsi="Palatino Linotype"/>
          <w:b/>
          <w:i/>
          <w:color w:val="000000"/>
        </w:rPr>
        <w:t xml:space="preserve">juicio </w:t>
      </w:r>
      <w:r w:rsidRPr="0093131F">
        <w:rPr>
          <w:rFonts w:ascii="Palatino Linotype" w:hAnsi="Palatino Linotype"/>
          <w:i/>
          <w:color w:val="000000"/>
        </w:rPr>
        <w:t xml:space="preserve">de </w:t>
      </w:r>
      <w:r w:rsidRPr="0093131F">
        <w:rPr>
          <w:rFonts w:ascii="Palatino Linotype" w:hAnsi="Palatino Linotype"/>
          <w:b/>
          <w:i/>
          <w:color w:val="000000"/>
        </w:rPr>
        <w:t xml:space="preserve">amparo </w:t>
      </w:r>
      <w:r w:rsidRPr="0093131F">
        <w:rPr>
          <w:rFonts w:ascii="Palatino Linotype" w:hAnsi="Palatino Linotype"/>
          <w:i/>
          <w:color w:val="000000"/>
        </w:rPr>
        <w:t>sin resolver la controversia en sus méritos.  </w:t>
      </w:r>
    </w:p>
    <w:p w14:paraId="07D662AC" w14:textId="77777777" w:rsidR="00A14C82" w:rsidRPr="0093131F" w:rsidRDefault="00A14C82" w:rsidP="00A14C82">
      <w:pPr>
        <w:spacing w:line="360" w:lineRule="auto"/>
        <w:ind w:left="851" w:right="851"/>
        <w:jc w:val="both"/>
        <w:rPr>
          <w:rFonts w:ascii="Palatino Linotype" w:hAnsi="Palatino Linotype" w:cs="Arial"/>
          <w:b/>
          <w:i/>
        </w:rPr>
      </w:pPr>
      <w:r w:rsidRPr="0093131F">
        <w:rPr>
          <w:rFonts w:ascii="Palatino Linotype" w:hAnsi="Palatino Linotype" w:cs="Arial"/>
          <w:b/>
          <w:i/>
        </w:rPr>
        <w:t>SÉPTIMO TRIBUNAL COLEGIADO EN MATERIA CIVIL DEL PRIMER CIRCUITO.</w:t>
      </w:r>
    </w:p>
    <w:p w14:paraId="46941349" w14:textId="77777777" w:rsidR="00A14C82" w:rsidRPr="0093131F" w:rsidRDefault="00A14C82" w:rsidP="00A14C82">
      <w:pPr>
        <w:spacing w:line="360" w:lineRule="auto"/>
        <w:ind w:left="851" w:right="851"/>
        <w:jc w:val="both"/>
        <w:rPr>
          <w:rFonts w:ascii="Palatino Linotype" w:hAnsi="Palatino Linotype" w:cs="Arial"/>
          <w:i/>
        </w:rPr>
      </w:pPr>
      <w:r w:rsidRPr="0093131F">
        <w:rPr>
          <w:rFonts w:ascii="Palatino Linotype" w:hAnsi="Palatino Linotype" w:cs="Arial"/>
          <w:i/>
        </w:rPr>
        <w:t>Amparo directo 699/2008. Mariana Leticia González Steele. 13 de noviembre de 2008. Unanimidad de votos. Ponente: Sara Judith Montalvo Trejo. Secretario: Arnulfo Mateos García.”</w:t>
      </w:r>
      <w:r w:rsidRPr="0093131F">
        <w:rPr>
          <w:rFonts w:ascii="Palatino Linotype" w:eastAsia="Times New Roman" w:hAnsi="Palatino Linotype" w:cs="Times New Roman"/>
          <w:b/>
          <w:i/>
          <w:lang w:val="es-ES_tradnl" w:eastAsia="es-ES"/>
        </w:rPr>
        <w:t xml:space="preserve"> [Sic]</w:t>
      </w:r>
    </w:p>
    <w:p w14:paraId="39B4B734" w14:textId="77777777" w:rsidR="00A14C82" w:rsidRPr="0093131F" w:rsidRDefault="00A14C82" w:rsidP="00A14C82">
      <w:pPr>
        <w:ind w:right="141"/>
        <w:jc w:val="both"/>
        <w:rPr>
          <w:rFonts w:ascii="Palatino Linotype" w:hAnsi="Palatino Linotype" w:cs="Arial"/>
        </w:rPr>
      </w:pPr>
    </w:p>
    <w:p w14:paraId="64E51E01" w14:textId="77777777" w:rsidR="00A14C82" w:rsidRPr="0093131F" w:rsidRDefault="00A14C82" w:rsidP="00A14C82">
      <w:pPr>
        <w:spacing w:line="360" w:lineRule="auto"/>
        <w:jc w:val="both"/>
        <w:rPr>
          <w:rFonts w:ascii="Palatino Linotype" w:hAnsi="Palatino Linotype" w:cs="Arial"/>
          <w:sz w:val="24"/>
          <w:szCs w:val="24"/>
        </w:rPr>
      </w:pPr>
      <w:r w:rsidRPr="0093131F">
        <w:rPr>
          <w:rFonts w:ascii="Palatino Linotype" w:hAnsi="Palatino Linotype" w:cs="Arial"/>
          <w:sz w:val="24"/>
          <w:szCs w:val="24"/>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93131F">
        <w:rPr>
          <w:rFonts w:ascii="Palatino Linotype" w:hAnsi="Palatino Linotype" w:cs="Arial"/>
          <w:b/>
          <w:sz w:val="24"/>
          <w:szCs w:val="24"/>
        </w:rPr>
        <w:t xml:space="preserve">artículo 192 </w:t>
      </w:r>
      <w:r w:rsidRPr="0093131F">
        <w:rPr>
          <w:rFonts w:ascii="Palatino Linotype" w:hAnsi="Palatino Linotype" w:cs="Arial"/>
          <w:sz w:val="24"/>
          <w:szCs w:val="24"/>
        </w:rPr>
        <w:t xml:space="preserve">de la </w:t>
      </w:r>
      <w:r w:rsidRPr="0093131F">
        <w:rPr>
          <w:rFonts w:ascii="Palatino Linotype" w:hAnsi="Palatino Linotype" w:cs="Arial"/>
          <w:b/>
          <w:sz w:val="24"/>
          <w:szCs w:val="24"/>
        </w:rPr>
        <w:t xml:space="preserve">Ley de Transparencia y Acceso a la Información Pública del Estado de México y Municipios, </w:t>
      </w:r>
      <w:r w:rsidRPr="0093131F">
        <w:rPr>
          <w:rFonts w:ascii="Palatino Linotype" w:hAnsi="Palatino Linotype" w:cs="Arial"/>
          <w:sz w:val="24"/>
          <w:szCs w:val="24"/>
        </w:rPr>
        <w:t xml:space="preserve">nos encontramos ante un sobreseimiento definitivo toda vez que pone fin al procedimiento sin entrar al estudio de fondo del mismo. </w:t>
      </w:r>
    </w:p>
    <w:p w14:paraId="44BCFD94" w14:textId="77777777" w:rsidR="00A14C82" w:rsidRPr="0093131F" w:rsidRDefault="00A14C82" w:rsidP="00A14C82">
      <w:pPr>
        <w:spacing w:line="360" w:lineRule="auto"/>
        <w:jc w:val="both"/>
        <w:rPr>
          <w:rFonts w:ascii="Palatino Linotype" w:hAnsi="Palatino Linotype" w:cs="Arial"/>
          <w:b/>
          <w:sz w:val="24"/>
          <w:szCs w:val="24"/>
        </w:rPr>
      </w:pPr>
      <w:r w:rsidRPr="0093131F">
        <w:rPr>
          <w:rFonts w:ascii="Palatino Linotype" w:hAnsi="Palatino Linotype" w:cs="Arial"/>
          <w:sz w:val="24"/>
          <w:szCs w:val="24"/>
        </w:rPr>
        <w:t xml:space="preserve">Para los efectos de esta resolución, resulta oportuno precisar los alcances jurídicos de la </w:t>
      </w:r>
      <w:r w:rsidRPr="0093131F">
        <w:rPr>
          <w:rFonts w:ascii="Palatino Linotype" w:hAnsi="Palatino Linotype" w:cs="Arial"/>
          <w:b/>
          <w:sz w:val="24"/>
          <w:szCs w:val="24"/>
        </w:rPr>
        <w:t xml:space="preserve">fracción III </w:t>
      </w:r>
      <w:r w:rsidRPr="0093131F">
        <w:rPr>
          <w:rFonts w:ascii="Palatino Linotype" w:hAnsi="Palatino Linotype" w:cs="Arial"/>
          <w:sz w:val="24"/>
          <w:szCs w:val="24"/>
        </w:rPr>
        <w:t xml:space="preserve">de la disposición legal transcrita. Así, procede el sobreseimiento del recurso de revisión cuando el </w:t>
      </w:r>
      <w:r w:rsidRPr="0093131F">
        <w:rPr>
          <w:rFonts w:ascii="Palatino Linotype" w:hAnsi="Palatino Linotype" w:cs="Arial"/>
          <w:b/>
          <w:sz w:val="24"/>
          <w:szCs w:val="24"/>
        </w:rPr>
        <w:t xml:space="preserve">Sujeto Obligado: </w:t>
      </w:r>
    </w:p>
    <w:p w14:paraId="21590237" w14:textId="77777777" w:rsidR="00A14C82" w:rsidRPr="0093131F" w:rsidRDefault="00A14C82" w:rsidP="00FA5377">
      <w:pPr>
        <w:pStyle w:val="Prrafodelista"/>
        <w:numPr>
          <w:ilvl w:val="0"/>
          <w:numId w:val="14"/>
        </w:numPr>
        <w:spacing w:line="360" w:lineRule="auto"/>
        <w:ind w:right="851"/>
        <w:jc w:val="both"/>
        <w:rPr>
          <w:rFonts w:ascii="Palatino Linotype" w:hAnsi="Palatino Linotype" w:cs="Arial"/>
          <w:b/>
        </w:rPr>
      </w:pPr>
      <w:r w:rsidRPr="0093131F">
        <w:rPr>
          <w:rFonts w:ascii="Palatino Linotype" w:hAnsi="Palatino Linotype" w:cs="Arial"/>
          <w:b/>
        </w:rPr>
        <w:t xml:space="preserve">Modifique el acto impugnado: </w:t>
      </w:r>
      <w:r w:rsidRPr="0093131F">
        <w:rPr>
          <w:rFonts w:ascii="Palatino Linotype" w:hAnsi="Palatino Linotype" w:cs="Arial"/>
        </w:rPr>
        <w:t xml:space="preserve">Se actualiza cuando el </w:t>
      </w:r>
      <w:r w:rsidRPr="0093131F">
        <w:rPr>
          <w:rFonts w:ascii="Palatino Linotype" w:hAnsi="Palatino Linotype" w:cs="Arial"/>
          <w:b/>
        </w:rPr>
        <w:t xml:space="preserve">Sujeto Obligado </w:t>
      </w:r>
      <w:r w:rsidRPr="0093131F">
        <w:rPr>
          <w:rFonts w:ascii="Palatino Linotype" w:hAnsi="Palatino Linotype" w:cs="Arial"/>
        </w:rPr>
        <w:t xml:space="preserve">después de haber otorgado una respuesta y hasta antes de dictada la resolución del recurso de revisión, emite una diversa en la que subsane las deficiencias que hubiere tenido. </w:t>
      </w:r>
    </w:p>
    <w:p w14:paraId="6EB6BD96" w14:textId="77777777" w:rsidR="00A14C82" w:rsidRPr="0093131F" w:rsidRDefault="00A14C82" w:rsidP="00A14C82">
      <w:pPr>
        <w:pStyle w:val="Prrafodelista"/>
        <w:spacing w:line="360" w:lineRule="auto"/>
        <w:ind w:left="720" w:right="851"/>
        <w:jc w:val="both"/>
        <w:rPr>
          <w:rFonts w:ascii="Palatino Linotype" w:hAnsi="Palatino Linotype" w:cs="Arial"/>
          <w:b/>
        </w:rPr>
      </w:pPr>
    </w:p>
    <w:p w14:paraId="739419E0" w14:textId="77777777" w:rsidR="00A14C82" w:rsidRPr="0093131F" w:rsidRDefault="00A14C82" w:rsidP="00A14C82">
      <w:pPr>
        <w:spacing w:line="360" w:lineRule="auto"/>
        <w:jc w:val="both"/>
        <w:rPr>
          <w:rFonts w:ascii="Palatino Linotype" w:hAnsi="Palatino Linotype" w:cs="Arial"/>
          <w:sz w:val="24"/>
          <w:szCs w:val="24"/>
          <w:u w:val="single"/>
        </w:rPr>
      </w:pPr>
      <w:r w:rsidRPr="0093131F">
        <w:rPr>
          <w:rFonts w:ascii="Palatino Linotype" w:hAnsi="Palatino Linotype" w:cs="Arial"/>
          <w:sz w:val="24"/>
          <w:szCs w:val="24"/>
        </w:rPr>
        <w:lastRenderedPageBreak/>
        <w:t xml:space="preserve">Las consecuencias jurídicas de esta modificación es que el recurso de revisión interpuesto quede sin efectos o sin materia y se procure la debida tutela del Derecho de Acceso a la Información Pública. Un acto impugnado queda sin efectos, cuando aun existiendo jurídicamente, no genera consecuencia legal alguna; queda sin materia, </w:t>
      </w:r>
      <w:r w:rsidRPr="0093131F">
        <w:rPr>
          <w:rFonts w:ascii="Palatino Linotype" w:hAnsi="Palatino Linotype" w:cs="Arial"/>
          <w:b/>
          <w:sz w:val="24"/>
          <w:szCs w:val="24"/>
          <w:u w:val="single"/>
        </w:rPr>
        <w:t xml:space="preserve">cuando ha sido satisfecha la pretensión del particular, </w:t>
      </w:r>
      <w:r w:rsidRPr="0093131F">
        <w:rPr>
          <w:rFonts w:ascii="Palatino Linotype" w:hAnsi="Palatino Linotype" w:cs="Arial"/>
          <w:sz w:val="24"/>
          <w:szCs w:val="24"/>
        </w:rPr>
        <w:t>ya sea porque se hizo la entrega de la información solicitada o porque se completó la misma.</w:t>
      </w:r>
      <w:r w:rsidRPr="0093131F">
        <w:rPr>
          <w:rFonts w:ascii="Palatino Linotype" w:hAnsi="Palatino Linotype" w:cs="Arial"/>
          <w:sz w:val="24"/>
          <w:szCs w:val="24"/>
          <w:u w:val="single"/>
        </w:rPr>
        <w:t xml:space="preserve"> </w:t>
      </w:r>
    </w:p>
    <w:p w14:paraId="13B1A648" w14:textId="77777777" w:rsidR="00A14C82" w:rsidRPr="0093131F" w:rsidRDefault="00A14C82" w:rsidP="00A14C82">
      <w:pPr>
        <w:spacing w:line="360" w:lineRule="auto"/>
        <w:jc w:val="both"/>
        <w:rPr>
          <w:rFonts w:ascii="Palatino Linotype" w:hAnsi="Palatino Linotype" w:cs="Arial"/>
          <w:sz w:val="24"/>
          <w:szCs w:val="24"/>
        </w:rPr>
      </w:pPr>
      <w:r w:rsidRPr="0093131F">
        <w:rPr>
          <w:rFonts w:ascii="Palatino Linotype" w:hAnsi="Palatino Linotype" w:cs="Arial"/>
          <w:sz w:val="24"/>
          <w:szCs w:val="24"/>
        </w:rPr>
        <w:t xml:space="preserve">En este tenor, se advierte que </w:t>
      </w:r>
      <w:r w:rsidRPr="0093131F">
        <w:rPr>
          <w:rFonts w:ascii="Palatino Linotype" w:hAnsi="Palatino Linotype" w:cs="Arial"/>
          <w:b/>
          <w:sz w:val="24"/>
          <w:szCs w:val="24"/>
        </w:rPr>
        <w:t>El</w:t>
      </w:r>
      <w:r w:rsidRPr="0093131F">
        <w:rPr>
          <w:rFonts w:ascii="Palatino Linotype" w:hAnsi="Palatino Linotype" w:cs="Arial"/>
          <w:sz w:val="24"/>
          <w:szCs w:val="24"/>
        </w:rPr>
        <w:t xml:space="preserve"> </w:t>
      </w:r>
      <w:r w:rsidRPr="0093131F">
        <w:rPr>
          <w:rFonts w:ascii="Palatino Linotype" w:hAnsi="Palatino Linotype" w:cs="Arial"/>
          <w:b/>
          <w:sz w:val="24"/>
          <w:szCs w:val="24"/>
        </w:rPr>
        <w:t xml:space="preserve">Sujeto Obligado </w:t>
      </w:r>
      <w:r w:rsidRPr="0093131F">
        <w:rPr>
          <w:rFonts w:ascii="Palatino Linotype" w:hAnsi="Palatino Linotype" w:cs="Arial"/>
          <w:sz w:val="24"/>
          <w:szCs w:val="24"/>
        </w:rPr>
        <w:t xml:space="preserve">con la información enviada a este Órgano Garante, </w:t>
      </w:r>
      <w:r w:rsidRPr="0093131F">
        <w:rPr>
          <w:rFonts w:ascii="Palatino Linotype" w:hAnsi="Palatino Linotype" w:cs="Arial"/>
          <w:b/>
          <w:sz w:val="24"/>
          <w:szCs w:val="24"/>
        </w:rPr>
        <w:t xml:space="preserve">modifica </w:t>
      </w:r>
      <w:r w:rsidRPr="0093131F">
        <w:rPr>
          <w:rFonts w:ascii="Palatino Linotype" w:hAnsi="Palatino Linotype" w:cs="Arial"/>
          <w:sz w:val="24"/>
          <w:szCs w:val="24"/>
        </w:rPr>
        <w:t xml:space="preserve">el acto que le dio origen al recurso de revisión, </w:t>
      </w:r>
      <w:r w:rsidRPr="0093131F">
        <w:rPr>
          <w:rFonts w:ascii="Palatino Linotype" w:hAnsi="Palatino Linotype" w:cs="Arial"/>
          <w:b/>
          <w:sz w:val="24"/>
          <w:szCs w:val="24"/>
        </w:rPr>
        <w:t xml:space="preserve">por lo que trae como consecuencia que el mismo quede sin materia, </w:t>
      </w:r>
      <w:r w:rsidRPr="0093131F">
        <w:rPr>
          <w:rFonts w:ascii="Palatino Linotype" w:hAnsi="Palatino Linotype" w:cs="Arial"/>
          <w:sz w:val="24"/>
          <w:szCs w:val="24"/>
        </w:rPr>
        <w:t xml:space="preserve">actualizándose de este modo, la hipótesis jurídica contenida en la fracción III del artículo 192. </w:t>
      </w:r>
    </w:p>
    <w:p w14:paraId="2144CE08" w14:textId="77777777" w:rsidR="00A14C82" w:rsidRPr="0093131F" w:rsidRDefault="00A14C82" w:rsidP="00A14C82">
      <w:pPr>
        <w:spacing w:line="360" w:lineRule="auto"/>
        <w:jc w:val="both"/>
        <w:rPr>
          <w:rFonts w:ascii="Palatino Linotype" w:hAnsi="Palatino Linotype" w:cs="Arial"/>
          <w:sz w:val="24"/>
          <w:szCs w:val="24"/>
        </w:rPr>
      </w:pPr>
      <w:r w:rsidRPr="0093131F">
        <w:rPr>
          <w:rFonts w:ascii="Palatino Linotype" w:hAnsi="Palatino Linotype" w:cs="Arial"/>
          <w:sz w:val="24"/>
          <w:szCs w:val="24"/>
        </w:rPr>
        <w:t xml:space="preserve">De este modo, cuando </w:t>
      </w:r>
      <w:r w:rsidRPr="0093131F">
        <w:rPr>
          <w:rFonts w:ascii="Palatino Linotype" w:hAnsi="Palatino Linotype" w:cs="Arial"/>
          <w:b/>
          <w:sz w:val="24"/>
          <w:szCs w:val="24"/>
        </w:rPr>
        <w:t>El</w:t>
      </w:r>
      <w:r w:rsidRPr="0093131F">
        <w:rPr>
          <w:rFonts w:ascii="Palatino Linotype" w:hAnsi="Palatino Linotype" w:cs="Arial"/>
          <w:sz w:val="24"/>
          <w:szCs w:val="24"/>
        </w:rPr>
        <w:t xml:space="preserve"> </w:t>
      </w:r>
      <w:r w:rsidRPr="0093131F">
        <w:rPr>
          <w:rFonts w:ascii="Palatino Linotype" w:hAnsi="Palatino Linotype" w:cs="Arial"/>
          <w:b/>
          <w:sz w:val="24"/>
          <w:szCs w:val="24"/>
        </w:rPr>
        <w:t>Sujeto Obligado</w:t>
      </w:r>
      <w:r w:rsidRPr="0093131F">
        <w:rPr>
          <w:rFonts w:ascii="Palatino Linotype" w:hAnsi="Palatino Linotype" w:cs="Arial"/>
          <w:sz w:val="24"/>
          <w:szCs w:val="24"/>
        </w:rPr>
        <w:t xml:space="preserve">, antes de que se dicte resolución definitiva, entrega la información solicitada o completa la respuesta que en un momento fue incompleta o no correspondió con lo solicitado; el recurso de revisión que al efecto se haya interpuesto queda sin materia lo que imposibilita el estudio de fondo de la </w:t>
      </w:r>
      <w:r w:rsidRPr="0093131F">
        <w:rPr>
          <w:rFonts w:ascii="Palatino Linotype" w:hAnsi="Palatino Linotype" w:cs="Arial"/>
          <w:b/>
          <w:i/>
          <w:sz w:val="24"/>
          <w:szCs w:val="24"/>
        </w:rPr>
        <w:t xml:space="preserve">litis </w:t>
      </w:r>
      <w:r w:rsidRPr="0093131F">
        <w:rPr>
          <w:rFonts w:ascii="Palatino Linotype" w:hAnsi="Palatino Linotype" w:cs="Arial"/>
          <w:sz w:val="24"/>
          <w:szCs w:val="24"/>
        </w:rPr>
        <w:t xml:space="preserve">planteada, debido a que la afectación en su esfera de derechos fue restituida por la propia autoridad que emitió el acto de impugnación. </w:t>
      </w:r>
    </w:p>
    <w:p w14:paraId="67A0D362" w14:textId="77777777" w:rsidR="00A14C82" w:rsidRPr="0093131F" w:rsidRDefault="00A14C82" w:rsidP="00A14C82">
      <w:pPr>
        <w:tabs>
          <w:tab w:val="left" w:pos="7797"/>
        </w:tabs>
        <w:spacing w:line="360" w:lineRule="auto"/>
        <w:jc w:val="both"/>
        <w:rPr>
          <w:rFonts w:ascii="Palatino Linotype" w:hAnsi="Palatino Linotype" w:cs="Arial"/>
          <w:sz w:val="24"/>
          <w:szCs w:val="24"/>
        </w:rPr>
      </w:pPr>
      <w:r w:rsidRPr="0093131F">
        <w:rPr>
          <w:rFonts w:ascii="Palatino Linotype" w:hAnsi="Palatino Linotype" w:cs="Arial"/>
          <w:sz w:val="24"/>
          <w:szCs w:val="24"/>
        </w:rPr>
        <w:t xml:space="preserve">Por lo tanto, para que se actualice el sobreseimiento de un recurso de revisión, </w:t>
      </w:r>
      <w:r w:rsidRPr="0093131F">
        <w:rPr>
          <w:rFonts w:ascii="Palatino Linotype" w:hAnsi="Palatino Linotype" w:cs="Arial"/>
          <w:b/>
          <w:sz w:val="24"/>
          <w:szCs w:val="24"/>
        </w:rPr>
        <w:t>El</w:t>
      </w:r>
      <w:r w:rsidRPr="0093131F">
        <w:rPr>
          <w:rFonts w:ascii="Palatino Linotype" w:hAnsi="Palatino Linotype" w:cs="Arial"/>
          <w:sz w:val="24"/>
          <w:szCs w:val="24"/>
        </w:rPr>
        <w:t xml:space="preserve"> </w:t>
      </w:r>
      <w:r w:rsidRPr="0093131F">
        <w:rPr>
          <w:rFonts w:ascii="Palatino Linotype" w:hAnsi="Palatino Linotype" w:cs="Arial"/>
          <w:b/>
          <w:sz w:val="24"/>
          <w:szCs w:val="24"/>
        </w:rPr>
        <w:t xml:space="preserve">Sujeto Obligado </w:t>
      </w:r>
      <w:r w:rsidRPr="0093131F">
        <w:rPr>
          <w:rFonts w:ascii="Palatino Linotype" w:hAnsi="Palatino Linotype" w:cs="Arial"/>
          <w:sz w:val="24"/>
          <w:szCs w:val="24"/>
        </w:rPr>
        <w:t xml:space="preserve">puede entregar o completar la información al momento de rendir su </w:t>
      </w:r>
      <w:r w:rsidRPr="0093131F">
        <w:rPr>
          <w:rFonts w:ascii="Palatino Linotype" w:hAnsi="Palatino Linotype" w:cs="Arial"/>
          <w:b/>
          <w:sz w:val="24"/>
          <w:szCs w:val="24"/>
          <w:u w:val="single"/>
        </w:rPr>
        <w:t>informe de justificación dentro de los siete días</w:t>
      </w:r>
      <w:r w:rsidRPr="0093131F">
        <w:rPr>
          <w:rFonts w:ascii="Palatino Linotype" w:hAnsi="Palatino Linotype" w:cs="Arial"/>
          <w:b/>
          <w:sz w:val="24"/>
          <w:szCs w:val="24"/>
        </w:rPr>
        <w:t xml:space="preserve"> </w:t>
      </w:r>
      <w:r w:rsidRPr="0093131F">
        <w:rPr>
          <w:rFonts w:ascii="Palatino Linotype" w:hAnsi="Palatino Linotype" w:cs="Arial"/>
          <w:sz w:val="24"/>
          <w:szCs w:val="24"/>
        </w:rPr>
        <w:t>previstos para manifestar lo que a su derecho convenga.</w:t>
      </w:r>
    </w:p>
    <w:p w14:paraId="59464F3F" w14:textId="77777777" w:rsidR="002513E6" w:rsidRPr="0093131F" w:rsidRDefault="002513E6" w:rsidP="00A14C82">
      <w:pPr>
        <w:tabs>
          <w:tab w:val="left" w:pos="7797"/>
        </w:tabs>
        <w:spacing w:line="360" w:lineRule="auto"/>
        <w:jc w:val="both"/>
        <w:rPr>
          <w:rFonts w:ascii="Palatino Linotype" w:hAnsi="Palatino Linotype" w:cs="Arial"/>
          <w:sz w:val="24"/>
          <w:szCs w:val="24"/>
        </w:rPr>
      </w:pPr>
    </w:p>
    <w:p w14:paraId="0E04CE88" w14:textId="245B2FD2" w:rsidR="00757C81" w:rsidRPr="0093131F" w:rsidRDefault="00757C81" w:rsidP="00A14C82">
      <w:pPr>
        <w:tabs>
          <w:tab w:val="left" w:pos="7797"/>
        </w:tabs>
        <w:spacing w:line="360" w:lineRule="auto"/>
        <w:jc w:val="both"/>
        <w:rPr>
          <w:rFonts w:ascii="Palatino Linotype" w:hAnsi="Palatino Linotype" w:cs="Arial"/>
          <w:sz w:val="24"/>
          <w:szCs w:val="24"/>
        </w:rPr>
      </w:pPr>
      <w:r w:rsidRPr="0093131F">
        <w:rPr>
          <w:rFonts w:ascii="Palatino Linotype" w:hAnsi="Palatino Linotype" w:cs="Arial"/>
          <w:sz w:val="24"/>
          <w:szCs w:val="24"/>
        </w:rPr>
        <w:lastRenderedPageBreak/>
        <w:t xml:space="preserve">Por último, respecto de las manifestaciones realizadas por el Recurrente como razones o motivos de inconformidad, consistentes en </w:t>
      </w:r>
      <w:r w:rsidRPr="0093131F">
        <w:rPr>
          <w:rFonts w:ascii="Palatino Linotype" w:hAnsi="Palatino Linotype" w:cs="Arial"/>
          <w:i/>
          <w:sz w:val="24"/>
          <w:szCs w:val="24"/>
        </w:rPr>
        <w:t>“…</w:t>
      </w:r>
      <w:r w:rsidR="002513E6" w:rsidRPr="0093131F">
        <w:rPr>
          <w:rFonts w:ascii="Palatino Linotype" w:hAnsi="Palatino Linotype" w:cs="Arial"/>
          <w:i/>
          <w:sz w:val="24"/>
          <w:szCs w:val="24"/>
        </w:rPr>
        <w:t>ante la omisión de entregar la información requerida, en el ámbito de competencia del INFOEM según el artículo 190 de la Ley de Transparencia y Acceso a la Información Pública del Estado de México y Municipios se pide dar aviso al órgano de control interno del sujeto obligado para que éste inicie, el procedimiento de responsabilidad respectivo contra quienes resulten responsables</w:t>
      </w:r>
      <w:r w:rsidRPr="0093131F">
        <w:rPr>
          <w:rFonts w:ascii="Palatino Linotype" w:hAnsi="Palatino Linotype" w:cs="Arial"/>
          <w:i/>
          <w:sz w:val="24"/>
          <w:szCs w:val="24"/>
        </w:rPr>
        <w:t>…”</w:t>
      </w:r>
      <w:r w:rsidRPr="0093131F">
        <w:rPr>
          <w:rFonts w:ascii="Palatino Linotype" w:hAnsi="Palatino Linotype" w:cs="Arial"/>
          <w:sz w:val="24"/>
          <w:szCs w:val="24"/>
        </w:rPr>
        <w:t>; y derivado que el Recurso de Revisión no es el medio para sancionar, este Órgano Garante sugiere al solicitante, interponer su queja o denuncia ante la autoridad competente.</w:t>
      </w:r>
    </w:p>
    <w:p w14:paraId="795B1A6C" w14:textId="77777777" w:rsidR="002513E6" w:rsidRPr="0093131F" w:rsidRDefault="002513E6" w:rsidP="00A14C82">
      <w:pPr>
        <w:tabs>
          <w:tab w:val="left" w:pos="8080"/>
        </w:tabs>
        <w:spacing w:line="360" w:lineRule="auto"/>
        <w:jc w:val="both"/>
        <w:rPr>
          <w:rFonts w:ascii="Palatino Linotype" w:hAnsi="Palatino Linotype" w:cs="Arial"/>
          <w:sz w:val="24"/>
          <w:szCs w:val="24"/>
        </w:rPr>
      </w:pPr>
    </w:p>
    <w:p w14:paraId="1FDA4593" w14:textId="36B6821D" w:rsidR="00A14C82" w:rsidRPr="0093131F" w:rsidRDefault="00A14C82" w:rsidP="00A14C82">
      <w:pPr>
        <w:tabs>
          <w:tab w:val="left" w:pos="8080"/>
        </w:tabs>
        <w:spacing w:line="360" w:lineRule="auto"/>
        <w:jc w:val="both"/>
        <w:rPr>
          <w:rFonts w:ascii="Palatino Linotype" w:hAnsi="Palatino Linotype" w:cs="Arial"/>
          <w:sz w:val="24"/>
          <w:szCs w:val="24"/>
        </w:rPr>
      </w:pPr>
      <w:r w:rsidRPr="0093131F">
        <w:rPr>
          <w:rFonts w:ascii="Palatino Linotype" w:hAnsi="Palatino Linotype" w:cs="Arial"/>
          <w:sz w:val="24"/>
          <w:szCs w:val="24"/>
        </w:rPr>
        <w:t xml:space="preserve">En mérito de lo expuesto en líneas anteriores, resultan fundados los motivos de inconformidad que arguye </w:t>
      </w:r>
      <w:r w:rsidRPr="0093131F">
        <w:rPr>
          <w:rFonts w:ascii="Palatino Linotype" w:hAnsi="Palatino Linotype" w:cs="Arial"/>
          <w:b/>
          <w:sz w:val="24"/>
          <w:szCs w:val="24"/>
        </w:rPr>
        <w:t xml:space="preserve">El Recurrente </w:t>
      </w:r>
      <w:r w:rsidRPr="0093131F">
        <w:rPr>
          <w:rFonts w:ascii="Palatino Linotype" w:hAnsi="Palatino Linotype" w:cs="Arial"/>
          <w:sz w:val="24"/>
          <w:szCs w:val="24"/>
        </w:rPr>
        <w:t xml:space="preserve">en su medio de impugnación que fue materia de estudio, por ello </w:t>
      </w:r>
      <w:r w:rsidRPr="0093131F">
        <w:rPr>
          <w:rFonts w:ascii="Palatino Linotype" w:hAnsi="Palatino Linotype" w:cs="Arial"/>
          <w:b/>
          <w:sz w:val="24"/>
          <w:szCs w:val="24"/>
        </w:rPr>
        <w:t xml:space="preserve">con fundamento en el artículo 186 fracción I, en concordancia con el 192 fracción III de la Ley de Transparencia y Acceso a la Información Pública del Estado de México y Municipios, </w:t>
      </w:r>
      <w:r w:rsidRPr="0093131F">
        <w:rPr>
          <w:rFonts w:ascii="Palatino Linotype" w:hAnsi="Palatino Linotype" w:cs="Arial"/>
          <w:sz w:val="24"/>
          <w:szCs w:val="24"/>
        </w:rPr>
        <w:t xml:space="preserve">se </w:t>
      </w:r>
      <w:r w:rsidRPr="0093131F">
        <w:rPr>
          <w:rFonts w:ascii="Palatino Linotype" w:hAnsi="Palatino Linotype" w:cs="Arial"/>
          <w:b/>
          <w:sz w:val="24"/>
          <w:szCs w:val="24"/>
        </w:rPr>
        <w:t xml:space="preserve">SOBRESEE </w:t>
      </w:r>
      <w:r w:rsidRPr="0093131F">
        <w:rPr>
          <w:rFonts w:ascii="Palatino Linotype" w:hAnsi="Palatino Linotype" w:cs="Arial"/>
          <w:sz w:val="24"/>
          <w:szCs w:val="24"/>
        </w:rPr>
        <w:t xml:space="preserve">el recurso de revisión </w:t>
      </w:r>
      <w:r w:rsidR="002513E6" w:rsidRPr="0093131F">
        <w:rPr>
          <w:rFonts w:ascii="Palatino Linotype" w:hAnsi="Palatino Linotype" w:cs="Arial"/>
          <w:b/>
          <w:sz w:val="24"/>
          <w:szCs w:val="24"/>
        </w:rPr>
        <w:t>04840</w:t>
      </w:r>
      <w:r w:rsidRPr="0093131F">
        <w:rPr>
          <w:rFonts w:ascii="Palatino Linotype" w:hAnsi="Palatino Linotype" w:cs="Arial"/>
          <w:b/>
          <w:sz w:val="24"/>
          <w:szCs w:val="24"/>
        </w:rPr>
        <w:t>/INFOEM/IP/RR/2023</w:t>
      </w:r>
      <w:r w:rsidRPr="0093131F">
        <w:rPr>
          <w:rFonts w:ascii="Palatino Linotype" w:hAnsi="Palatino Linotype" w:cs="Arial"/>
          <w:b/>
          <w:sz w:val="24"/>
          <w:szCs w:val="24"/>
          <w:lang w:val="es-ES_tradnl"/>
        </w:rPr>
        <w:t xml:space="preserve">, </w:t>
      </w:r>
      <w:r w:rsidRPr="0093131F">
        <w:rPr>
          <w:rFonts w:ascii="Palatino Linotype" w:hAnsi="Palatino Linotype" w:cs="Arial"/>
          <w:sz w:val="24"/>
          <w:szCs w:val="24"/>
          <w:lang w:val="es-ES_tradnl"/>
        </w:rPr>
        <w:t xml:space="preserve">que ha sido materia del presente fallo. </w:t>
      </w:r>
    </w:p>
    <w:p w14:paraId="13ABCC41" w14:textId="77777777" w:rsidR="00A14C82" w:rsidRPr="0093131F" w:rsidRDefault="00A14C82" w:rsidP="00A14C82">
      <w:pPr>
        <w:tabs>
          <w:tab w:val="left" w:pos="8080"/>
        </w:tabs>
        <w:spacing w:line="360" w:lineRule="auto"/>
        <w:jc w:val="both"/>
        <w:rPr>
          <w:rFonts w:ascii="Palatino Linotype" w:hAnsi="Palatino Linotype" w:cs="Arial"/>
          <w:bCs/>
          <w:sz w:val="24"/>
          <w:szCs w:val="24"/>
        </w:rPr>
      </w:pPr>
      <w:r w:rsidRPr="0093131F">
        <w:rPr>
          <w:rFonts w:ascii="Palatino Linotype" w:hAnsi="Palatino Linotype" w:cs="Arial"/>
          <w:bCs/>
          <w:sz w:val="24"/>
          <w:szCs w:val="24"/>
        </w:rPr>
        <w:t>Por lo antes expuesto y fundado es de resolverse y,</w:t>
      </w:r>
    </w:p>
    <w:p w14:paraId="16C09003" w14:textId="77777777" w:rsidR="00A14C82" w:rsidRPr="0093131F" w:rsidRDefault="00A14C82" w:rsidP="00A14C82">
      <w:pPr>
        <w:spacing w:after="0" w:line="360" w:lineRule="auto"/>
        <w:jc w:val="center"/>
        <w:rPr>
          <w:rFonts w:ascii="Palatino Linotype" w:eastAsia="Times New Roman" w:hAnsi="Palatino Linotype" w:cs="Times New Roman"/>
          <w:b/>
          <w:bCs/>
          <w:spacing w:val="60"/>
          <w:sz w:val="28"/>
          <w:szCs w:val="24"/>
          <w:lang w:val="es-ES_tradnl" w:eastAsia="es-ES"/>
        </w:rPr>
      </w:pPr>
    </w:p>
    <w:p w14:paraId="5B0E3ED6" w14:textId="77777777" w:rsidR="00A14C82" w:rsidRPr="0093131F" w:rsidRDefault="00A14C82" w:rsidP="00A14C82">
      <w:pPr>
        <w:spacing w:after="0" w:line="360" w:lineRule="auto"/>
        <w:jc w:val="center"/>
        <w:rPr>
          <w:rFonts w:ascii="Palatino Linotype" w:eastAsia="Times New Roman" w:hAnsi="Palatino Linotype" w:cs="Times New Roman"/>
          <w:b/>
          <w:bCs/>
          <w:spacing w:val="60"/>
          <w:sz w:val="28"/>
          <w:szCs w:val="24"/>
          <w:lang w:val="es-ES_tradnl" w:eastAsia="es-ES"/>
        </w:rPr>
      </w:pPr>
      <w:r w:rsidRPr="0093131F">
        <w:rPr>
          <w:rFonts w:ascii="Palatino Linotype" w:eastAsia="Times New Roman" w:hAnsi="Palatino Linotype" w:cs="Times New Roman"/>
          <w:b/>
          <w:bCs/>
          <w:spacing w:val="60"/>
          <w:sz w:val="28"/>
          <w:szCs w:val="24"/>
          <w:lang w:val="es-ES_tradnl" w:eastAsia="es-ES"/>
        </w:rPr>
        <w:t>SE    RESUELVE</w:t>
      </w:r>
    </w:p>
    <w:p w14:paraId="4C8D8211" w14:textId="77777777" w:rsidR="00A14C82" w:rsidRPr="0093131F" w:rsidRDefault="00A14C82" w:rsidP="00A14C82">
      <w:pPr>
        <w:spacing w:after="0" w:line="360" w:lineRule="auto"/>
        <w:jc w:val="center"/>
        <w:rPr>
          <w:rFonts w:ascii="Palatino Linotype" w:eastAsia="Times New Roman" w:hAnsi="Palatino Linotype" w:cs="Times New Roman"/>
          <w:bCs/>
          <w:spacing w:val="60"/>
          <w:sz w:val="24"/>
          <w:szCs w:val="24"/>
          <w:lang w:val="es-ES_tradnl" w:eastAsia="es-ES"/>
        </w:rPr>
      </w:pPr>
    </w:p>
    <w:p w14:paraId="6BC39659" w14:textId="2CDBE9C4" w:rsidR="00A14C82" w:rsidRPr="0093131F" w:rsidRDefault="00A14C82" w:rsidP="00A14C82">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93131F">
        <w:rPr>
          <w:rFonts w:ascii="Palatino Linotype" w:eastAsiaTheme="minorEastAsia" w:hAnsi="Palatino Linotype" w:cs="Arial"/>
          <w:b/>
          <w:sz w:val="28"/>
          <w:szCs w:val="24"/>
          <w:lang w:val="es-ES_tradnl" w:eastAsia="es-ES"/>
        </w:rPr>
        <w:t>PRIMERO.</w:t>
      </w:r>
      <w:r w:rsidRPr="0093131F">
        <w:rPr>
          <w:rFonts w:ascii="Palatino Linotype" w:eastAsiaTheme="minorEastAsia" w:hAnsi="Palatino Linotype" w:cs="Arial"/>
          <w:sz w:val="24"/>
          <w:szCs w:val="24"/>
          <w:lang w:val="es-ES_tradnl" w:eastAsia="es-ES"/>
        </w:rPr>
        <w:t xml:space="preserve"> Se </w:t>
      </w:r>
      <w:r w:rsidRPr="0093131F">
        <w:rPr>
          <w:rFonts w:ascii="Palatino Linotype" w:eastAsiaTheme="minorEastAsia" w:hAnsi="Palatino Linotype" w:cs="Arial"/>
          <w:b/>
          <w:sz w:val="24"/>
          <w:szCs w:val="24"/>
          <w:lang w:val="es-ES_tradnl" w:eastAsia="es-ES"/>
        </w:rPr>
        <w:t>SOBRESEE</w:t>
      </w:r>
      <w:r w:rsidRPr="0093131F">
        <w:rPr>
          <w:rFonts w:ascii="Palatino Linotype" w:eastAsiaTheme="minorEastAsia" w:hAnsi="Palatino Linotype" w:cs="Arial"/>
          <w:sz w:val="24"/>
          <w:szCs w:val="24"/>
          <w:lang w:val="es-ES_tradnl" w:eastAsia="es-ES"/>
        </w:rPr>
        <w:t xml:space="preserve"> el recurso de revisión número </w:t>
      </w:r>
      <w:r w:rsidR="002513E6" w:rsidRPr="0093131F">
        <w:rPr>
          <w:rFonts w:ascii="Palatino Linotype" w:hAnsi="Palatino Linotype" w:cs="Arial"/>
          <w:b/>
          <w:sz w:val="24"/>
          <w:szCs w:val="24"/>
        </w:rPr>
        <w:t>0484</w:t>
      </w:r>
      <w:r w:rsidRPr="0093131F">
        <w:rPr>
          <w:rFonts w:ascii="Palatino Linotype" w:hAnsi="Palatino Linotype" w:cs="Arial"/>
          <w:b/>
          <w:sz w:val="24"/>
          <w:szCs w:val="24"/>
        </w:rPr>
        <w:t>0/INFOEM/IP/RR/2023</w:t>
      </w:r>
      <w:r w:rsidRPr="0093131F">
        <w:rPr>
          <w:rFonts w:ascii="Palatino Linotype" w:eastAsiaTheme="minorEastAsia" w:hAnsi="Palatino Linotype" w:cs="Arial"/>
          <w:sz w:val="24"/>
          <w:szCs w:val="24"/>
          <w:lang w:val="es-ES_tradnl" w:eastAsia="es-ES"/>
        </w:rPr>
        <w:t xml:space="preserve">, porque </w:t>
      </w:r>
      <w:r w:rsidRPr="0093131F">
        <w:rPr>
          <w:rFonts w:ascii="Palatino Linotype" w:eastAsiaTheme="minorEastAsia" w:hAnsi="Palatino Linotype" w:cs="Arial"/>
          <w:b/>
          <w:bCs/>
          <w:sz w:val="24"/>
          <w:szCs w:val="24"/>
          <w:lang w:val="es-ES_tradnl" w:eastAsia="es-ES"/>
        </w:rPr>
        <w:t>EL SUJETO OBLIGADO</w:t>
      </w:r>
      <w:r w:rsidRPr="0093131F">
        <w:rPr>
          <w:rFonts w:ascii="Palatino Linotype" w:eastAsiaTheme="minorEastAsia" w:hAnsi="Palatino Linotype" w:cs="Arial"/>
          <w:sz w:val="24"/>
          <w:szCs w:val="24"/>
          <w:lang w:val="es-ES_tradnl" w:eastAsia="es-ES"/>
        </w:rPr>
        <w:t xml:space="preserve"> al modificar su respuesta, el recurso de revisión quedó sin materia, en términos del artículo 192 </w:t>
      </w:r>
      <w:r w:rsidRPr="0093131F">
        <w:rPr>
          <w:rFonts w:ascii="Palatino Linotype" w:eastAsiaTheme="minorEastAsia" w:hAnsi="Palatino Linotype" w:cs="Arial"/>
          <w:sz w:val="24"/>
          <w:szCs w:val="24"/>
          <w:lang w:val="es-ES_tradnl" w:eastAsia="es-ES"/>
        </w:rPr>
        <w:lastRenderedPageBreak/>
        <w:t xml:space="preserve">fracción III de la Ley de Transparencia y Acceso a la Información Pública del Estado de México y Municipios, en términos del Considerando </w:t>
      </w:r>
      <w:r w:rsidRPr="0093131F">
        <w:rPr>
          <w:rFonts w:ascii="Palatino Linotype" w:eastAsiaTheme="minorEastAsia" w:hAnsi="Palatino Linotype" w:cs="Arial"/>
          <w:b/>
          <w:sz w:val="24"/>
          <w:szCs w:val="24"/>
          <w:lang w:val="es-ES_tradnl" w:eastAsia="es-ES"/>
        </w:rPr>
        <w:t>TERCERO</w:t>
      </w:r>
      <w:r w:rsidRPr="0093131F">
        <w:rPr>
          <w:rFonts w:ascii="Palatino Linotype" w:eastAsiaTheme="minorEastAsia" w:hAnsi="Palatino Linotype" w:cs="Arial"/>
          <w:sz w:val="24"/>
          <w:szCs w:val="24"/>
          <w:lang w:val="es-ES_tradnl" w:eastAsia="es-ES"/>
        </w:rPr>
        <w:t xml:space="preserve"> de la presente resolución.</w:t>
      </w:r>
    </w:p>
    <w:p w14:paraId="0BA3DB93" w14:textId="77777777" w:rsidR="002513E6" w:rsidRPr="0093131F" w:rsidRDefault="002513E6" w:rsidP="00A14C82">
      <w:pPr>
        <w:tabs>
          <w:tab w:val="left" w:pos="8647"/>
        </w:tabs>
        <w:spacing w:after="0" w:line="360" w:lineRule="auto"/>
        <w:ind w:right="51"/>
        <w:jc w:val="both"/>
        <w:rPr>
          <w:rFonts w:ascii="Palatino Linotype" w:eastAsiaTheme="minorEastAsia" w:hAnsi="Palatino Linotype" w:cs="Arial"/>
          <w:b/>
          <w:sz w:val="28"/>
          <w:szCs w:val="24"/>
          <w:lang w:val="es-ES_tradnl" w:eastAsia="es-ES"/>
        </w:rPr>
      </w:pPr>
    </w:p>
    <w:p w14:paraId="4510C832" w14:textId="6A3EDE8F" w:rsidR="00A14C82" w:rsidRPr="0093131F" w:rsidRDefault="00A14C82" w:rsidP="00A14C82">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93131F">
        <w:rPr>
          <w:rFonts w:ascii="Palatino Linotype" w:eastAsiaTheme="minorEastAsia" w:hAnsi="Palatino Linotype" w:cs="Arial"/>
          <w:b/>
          <w:sz w:val="28"/>
          <w:szCs w:val="24"/>
          <w:lang w:val="es-ES_tradnl" w:eastAsia="es-ES"/>
        </w:rPr>
        <w:t>SEGUNDO</w:t>
      </w:r>
      <w:r w:rsidRPr="0093131F">
        <w:rPr>
          <w:rFonts w:ascii="Palatino Linotype" w:eastAsiaTheme="minorEastAsia" w:hAnsi="Palatino Linotype" w:cs="Arial"/>
          <w:b/>
          <w:sz w:val="24"/>
          <w:szCs w:val="24"/>
          <w:lang w:val="es-ES_tradnl" w:eastAsia="es-ES"/>
        </w:rPr>
        <w:t>.</w:t>
      </w:r>
      <w:r w:rsidRPr="0093131F">
        <w:rPr>
          <w:rFonts w:ascii="Palatino Linotype" w:eastAsiaTheme="minorEastAsia" w:hAnsi="Palatino Linotype" w:cs="Arial"/>
          <w:sz w:val="24"/>
          <w:szCs w:val="24"/>
          <w:lang w:val="es-ES_tradnl" w:eastAsia="es-ES"/>
        </w:rPr>
        <w:t xml:space="preserve"> </w:t>
      </w:r>
      <w:r w:rsidRPr="0093131F">
        <w:rPr>
          <w:rFonts w:ascii="Palatino Linotype" w:eastAsiaTheme="minorEastAsia" w:hAnsi="Palatino Linotype" w:cs="Arial"/>
          <w:b/>
          <w:sz w:val="24"/>
          <w:szCs w:val="24"/>
          <w:lang w:val="es-ES_tradnl" w:eastAsia="es-ES"/>
        </w:rPr>
        <w:t>NOTIFÍQUESE</w:t>
      </w:r>
      <w:r w:rsidRPr="0093131F">
        <w:rPr>
          <w:rFonts w:ascii="Palatino Linotype" w:eastAsiaTheme="minorEastAsia" w:hAnsi="Palatino Linotype" w:cs="Arial"/>
          <w:sz w:val="24"/>
          <w:szCs w:val="24"/>
          <w:lang w:val="es-ES_tradnl" w:eastAsia="es-ES"/>
        </w:rPr>
        <w:t xml:space="preserve"> vía </w:t>
      </w:r>
      <w:r w:rsidRPr="0093131F">
        <w:rPr>
          <w:rFonts w:ascii="Palatino Linotype" w:eastAsia="Times New Roman" w:hAnsi="Palatino Linotype" w:cs="Times New Roman"/>
          <w:sz w:val="24"/>
          <w:szCs w:val="24"/>
          <w:lang w:val="es-ES" w:eastAsia="es-ES"/>
        </w:rPr>
        <w:t>Sistema de Acceso a la Información Mexiquense</w:t>
      </w:r>
      <w:r w:rsidRPr="0093131F">
        <w:rPr>
          <w:rFonts w:ascii="Palatino Linotype" w:eastAsiaTheme="minorEastAsia" w:hAnsi="Palatino Linotype" w:cs="Arial"/>
          <w:b/>
          <w:bCs/>
          <w:sz w:val="24"/>
          <w:szCs w:val="24"/>
          <w:lang w:val="es-ES_tradnl" w:eastAsia="es-ES"/>
        </w:rPr>
        <w:t xml:space="preserve"> (SAIMEX)</w:t>
      </w:r>
      <w:r w:rsidRPr="0093131F">
        <w:rPr>
          <w:rFonts w:ascii="Palatino Linotype" w:eastAsiaTheme="minorEastAsia" w:hAnsi="Palatino Linotype" w:cs="Arial"/>
          <w:sz w:val="24"/>
          <w:szCs w:val="24"/>
          <w:lang w:val="es-ES_tradnl" w:eastAsia="es-ES"/>
        </w:rPr>
        <w:t xml:space="preserve"> la presente resolución al Titular de la Unidad de Transparencia del </w:t>
      </w:r>
      <w:r w:rsidRPr="0093131F">
        <w:rPr>
          <w:rFonts w:ascii="Palatino Linotype" w:eastAsiaTheme="minorEastAsia" w:hAnsi="Palatino Linotype" w:cs="Arial"/>
          <w:b/>
          <w:sz w:val="24"/>
          <w:szCs w:val="24"/>
          <w:lang w:val="es-ES_tradnl" w:eastAsia="es-ES"/>
        </w:rPr>
        <w:t>Sujeto Obligado</w:t>
      </w:r>
      <w:r w:rsidRPr="0093131F">
        <w:rPr>
          <w:rFonts w:ascii="Palatino Linotype" w:eastAsiaTheme="minorEastAsia" w:hAnsi="Palatino Linotype" w:cs="Arial"/>
          <w:sz w:val="24"/>
          <w:szCs w:val="24"/>
          <w:lang w:val="es-ES_tradnl" w:eastAsia="es-ES"/>
        </w:rPr>
        <w:t>.</w:t>
      </w:r>
    </w:p>
    <w:p w14:paraId="2FDCF165" w14:textId="77777777" w:rsidR="00A14C82" w:rsidRPr="0093131F" w:rsidRDefault="00A14C82" w:rsidP="00A14C82">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A257141" w14:textId="1E38EB00" w:rsidR="00A14C82" w:rsidRPr="0093131F" w:rsidRDefault="00291FAA" w:rsidP="00A14C82">
      <w:pPr>
        <w:spacing w:after="0" w:line="360" w:lineRule="auto"/>
        <w:jc w:val="both"/>
        <w:rPr>
          <w:rFonts w:ascii="Palatino Linotype" w:eastAsia="Times New Roman" w:hAnsi="Palatino Linotype" w:cs="Arial"/>
          <w:sz w:val="24"/>
          <w:szCs w:val="24"/>
          <w:lang w:val="es-ES" w:eastAsia="es-ES"/>
        </w:rPr>
      </w:pPr>
      <w:r w:rsidRPr="0093131F">
        <w:rPr>
          <w:rFonts w:ascii="Palatino Linotype" w:eastAsia="Times New Roman" w:hAnsi="Palatino Linotype" w:cs="Arial"/>
          <w:b/>
          <w:noProof/>
          <w:sz w:val="28"/>
          <w:szCs w:val="24"/>
          <w:lang w:eastAsia="es-MX"/>
        </w:rPr>
        <mc:AlternateContent>
          <mc:Choice Requires="wps">
            <w:drawing>
              <wp:anchor distT="0" distB="0" distL="114300" distR="114300" simplePos="0" relativeHeight="251659264" behindDoc="0" locked="0" layoutInCell="1" allowOverlap="1" wp14:anchorId="089C17F3" wp14:editId="534BE44F">
                <wp:simplePos x="0" y="0"/>
                <wp:positionH relativeFrom="column">
                  <wp:posOffset>15240</wp:posOffset>
                </wp:positionH>
                <wp:positionV relativeFrom="paragraph">
                  <wp:posOffset>1868805</wp:posOffset>
                </wp:positionV>
                <wp:extent cx="5676900" cy="302895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3028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84EE8"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47.15pt" to="448.2pt,3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" strokecolor="#5b9bd5 [3204]" strokeweight=".5pt">
                <v:stroke joinstyle="miter"/>
              </v:line>
            </w:pict>
          </mc:Fallback>
        </mc:AlternateContent>
      </w:r>
      <w:r w:rsidR="00A14C82" w:rsidRPr="0093131F">
        <w:rPr>
          <w:rFonts w:ascii="Palatino Linotype" w:eastAsia="Times New Roman" w:hAnsi="Palatino Linotype" w:cs="Arial"/>
          <w:b/>
          <w:sz w:val="28"/>
          <w:szCs w:val="24"/>
          <w:lang w:val="es-ES" w:eastAsia="es-ES"/>
        </w:rPr>
        <w:t>TERCERO</w:t>
      </w:r>
      <w:r w:rsidR="00A14C82" w:rsidRPr="0093131F">
        <w:rPr>
          <w:rFonts w:ascii="Palatino Linotype" w:eastAsia="Times New Roman" w:hAnsi="Palatino Linotype" w:cs="Arial"/>
          <w:b/>
          <w:sz w:val="24"/>
          <w:szCs w:val="24"/>
          <w:lang w:val="es-ES" w:eastAsia="es-ES"/>
        </w:rPr>
        <w:t>.</w:t>
      </w:r>
      <w:r w:rsidR="00A14C82" w:rsidRPr="0093131F">
        <w:rPr>
          <w:rFonts w:ascii="Palatino Linotype" w:eastAsia="Times New Roman" w:hAnsi="Palatino Linotype" w:cs="Arial"/>
          <w:sz w:val="24"/>
          <w:szCs w:val="24"/>
          <w:lang w:val="es-ES" w:eastAsia="es-ES"/>
        </w:rPr>
        <w:t xml:space="preserve"> </w:t>
      </w:r>
      <w:r w:rsidR="00A14C82" w:rsidRPr="0093131F">
        <w:rPr>
          <w:rFonts w:ascii="Palatino Linotype" w:eastAsia="Times New Roman" w:hAnsi="Palatino Linotype" w:cs="Arial"/>
          <w:b/>
          <w:sz w:val="24"/>
          <w:szCs w:val="24"/>
          <w:lang w:val="es-ES" w:eastAsia="es-ES"/>
        </w:rPr>
        <w:t>NOTIFÍQUESE</w:t>
      </w:r>
      <w:r w:rsidR="00A14C82" w:rsidRPr="0093131F">
        <w:rPr>
          <w:rFonts w:ascii="Palatino Linotype" w:eastAsia="Times New Roman" w:hAnsi="Palatino Linotype" w:cs="Arial"/>
          <w:sz w:val="24"/>
          <w:szCs w:val="24"/>
          <w:lang w:val="es-ES" w:eastAsia="es-ES"/>
        </w:rPr>
        <w:t xml:space="preserve"> a través del</w:t>
      </w:r>
      <w:r w:rsidR="00A14C82" w:rsidRPr="0093131F">
        <w:rPr>
          <w:rFonts w:ascii="Palatino Linotype" w:eastAsia="Times New Roman" w:hAnsi="Palatino Linotype" w:cs="Times New Roman"/>
          <w:sz w:val="24"/>
          <w:szCs w:val="24"/>
          <w:lang w:val="es-ES" w:eastAsia="es-ES"/>
        </w:rPr>
        <w:t xml:space="preserve"> Sistema de Acceso a la Información Mexiquense </w:t>
      </w:r>
      <w:r w:rsidR="00A14C82" w:rsidRPr="0093131F">
        <w:rPr>
          <w:rFonts w:ascii="Palatino Linotype" w:eastAsia="Times New Roman" w:hAnsi="Palatino Linotype" w:cs="Times New Roman"/>
          <w:b/>
          <w:bCs/>
          <w:sz w:val="24"/>
          <w:szCs w:val="24"/>
          <w:lang w:val="es-ES" w:eastAsia="es-ES"/>
        </w:rPr>
        <w:t>(SAIMEX)</w:t>
      </w:r>
      <w:r w:rsidR="00A14C82" w:rsidRPr="0093131F">
        <w:rPr>
          <w:rFonts w:ascii="Palatino Linotype" w:eastAsia="Times New Roman" w:hAnsi="Palatino Linotype" w:cs="Arial"/>
          <w:b/>
          <w:bCs/>
          <w:sz w:val="24"/>
          <w:szCs w:val="24"/>
          <w:lang w:val="es-ES" w:eastAsia="es-ES"/>
        </w:rPr>
        <w:t>,</w:t>
      </w:r>
      <w:r w:rsidR="00A14C82" w:rsidRPr="0093131F">
        <w:rPr>
          <w:rFonts w:ascii="Palatino Linotype" w:eastAsia="Times New Roman" w:hAnsi="Palatino Linotype" w:cs="Arial"/>
          <w:sz w:val="24"/>
          <w:szCs w:val="24"/>
          <w:lang w:val="es-ES" w:eastAsia="es-ES"/>
        </w:rPr>
        <w:t xml:space="preserve"> al </w:t>
      </w:r>
      <w:r w:rsidR="00A14C82" w:rsidRPr="0093131F">
        <w:rPr>
          <w:rFonts w:ascii="Palatino Linotype" w:eastAsia="Times New Roman" w:hAnsi="Palatino Linotype" w:cs="Arial"/>
          <w:b/>
          <w:sz w:val="24"/>
          <w:szCs w:val="24"/>
          <w:lang w:val="es-ES" w:eastAsia="es-ES"/>
        </w:rPr>
        <w:t xml:space="preserve">RECURRENTE </w:t>
      </w:r>
      <w:r w:rsidR="00A14C82" w:rsidRPr="0093131F">
        <w:rPr>
          <w:rFonts w:ascii="Palatino Linotype" w:eastAsia="Times New Roman" w:hAnsi="Palatino Linotype" w:cs="Arial"/>
          <w:sz w:val="24"/>
          <w:szCs w:val="24"/>
          <w:lang w:val="es-ES" w:eastAsia="es-ES"/>
        </w:rPr>
        <w:t>la presente resolución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1976A1FB" w14:textId="77777777" w:rsidR="00A14C82" w:rsidRPr="0093131F" w:rsidRDefault="00A14C82" w:rsidP="00A14C82">
      <w:pPr>
        <w:spacing w:after="0" w:line="360" w:lineRule="auto"/>
        <w:jc w:val="both"/>
        <w:rPr>
          <w:rFonts w:ascii="Palatino Linotype" w:hAnsi="Palatino Linotype"/>
          <w:sz w:val="24"/>
          <w:szCs w:val="24"/>
          <w:lang w:val="es-ES"/>
        </w:rPr>
      </w:pPr>
    </w:p>
    <w:p w14:paraId="6C3DECC2" w14:textId="77777777" w:rsidR="00291FAA" w:rsidRPr="0093131F" w:rsidRDefault="00291FAA" w:rsidP="00A14C82">
      <w:pPr>
        <w:spacing w:after="0" w:line="360" w:lineRule="auto"/>
        <w:jc w:val="both"/>
        <w:rPr>
          <w:rFonts w:ascii="Palatino Linotype" w:hAnsi="Palatino Linotype"/>
          <w:sz w:val="24"/>
          <w:szCs w:val="24"/>
          <w:lang w:val="es-ES"/>
        </w:rPr>
      </w:pPr>
    </w:p>
    <w:p w14:paraId="1EB0BA3A" w14:textId="77777777" w:rsidR="00291FAA" w:rsidRPr="0093131F" w:rsidRDefault="00291FAA" w:rsidP="00A14C82">
      <w:pPr>
        <w:spacing w:after="0" w:line="360" w:lineRule="auto"/>
        <w:jc w:val="both"/>
        <w:rPr>
          <w:rFonts w:ascii="Palatino Linotype" w:hAnsi="Palatino Linotype"/>
          <w:sz w:val="24"/>
          <w:szCs w:val="24"/>
          <w:lang w:val="es-ES"/>
        </w:rPr>
      </w:pPr>
    </w:p>
    <w:p w14:paraId="7CE4FE56" w14:textId="77777777" w:rsidR="00291FAA" w:rsidRPr="0093131F" w:rsidRDefault="00291FAA" w:rsidP="00A14C82">
      <w:pPr>
        <w:spacing w:after="0" w:line="360" w:lineRule="auto"/>
        <w:jc w:val="both"/>
        <w:rPr>
          <w:rFonts w:ascii="Palatino Linotype" w:hAnsi="Palatino Linotype"/>
          <w:sz w:val="24"/>
          <w:szCs w:val="24"/>
          <w:lang w:val="es-ES"/>
        </w:rPr>
      </w:pPr>
    </w:p>
    <w:p w14:paraId="77FE1D14" w14:textId="77777777" w:rsidR="00291FAA" w:rsidRPr="0093131F" w:rsidRDefault="00291FAA" w:rsidP="00A14C82">
      <w:pPr>
        <w:spacing w:after="0" w:line="360" w:lineRule="auto"/>
        <w:jc w:val="both"/>
        <w:rPr>
          <w:rFonts w:ascii="Palatino Linotype" w:hAnsi="Palatino Linotype"/>
          <w:sz w:val="24"/>
          <w:szCs w:val="24"/>
          <w:lang w:val="es-ES"/>
        </w:rPr>
      </w:pPr>
    </w:p>
    <w:p w14:paraId="6AAE8192" w14:textId="77777777" w:rsidR="00291FAA" w:rsidRPr="0093131F" w:rsidRDefault="00291FAA" w:rsidP="00A14C82">
      <w:pPr>
        <w:spacing w:after="0" w:line="360" w:lineRule="auto"/>
        <w:jc w:val="both"/>
        <w:rPr>
          <w:rFonts w:ascii="Palatino Linotype" w:hAnsi="Palatino Linotype"/>
          <w:sz w:val="24"/>
          <w:szCs w:val="24"/>
          <w:lang w:val="es-ES"/>
        </w:rPr>
      </w:pPr>
    </w:p>
    <w:p w14:paraId="43ADC13D" w14:textId="77777777" w:rsidR="00291FAA" w:rsidRPr="0093131F" w:rsidRDefault="00291FAA" w:rsidP="00A14C82">
      <w:pPr>
        <w:spacing w:after="0" w:line="360" w:lineRule="auto"/>
        <w:jc w:val="both"/>
        <w:rPr>
          <w:rFonts w:ascii="Palatino Linotype" w:hAnsi="Palatino Linotype"/>
          <w:sz w:val="24"/>
          <w:szCs w:val="24"/>
          <w:lang w:val="es-ES"/>
        </w:rPr>
      </w:pPr>
    </w:p>
    <w:p w14:paraId="7BDB1D05" w14:textId="77777777" w:rsidR="00291FAA" w:rsidRPr="0093131F" w:rsidRDefault="00291FAA" w:rsidP="00A14C82">
      <w:pPr>
        <w:spacing w:after="0" w:line="360" w:lineRule="auto"/>
        <w:jc w:val="both"/>
        <w:rPr>
          <w:rFonts w:ascii="Palatino Linotype" w:hAnsi="Palatino Linotype"/>
          <w:sz w:val="24"/>
          <w:szCs w:val="24"/>
          <w:lang w:val="es-ES"/>
        </w:rPr>
      </w:pPr>
    </w:p>
    <w:p w14:paraId="75B52CFA" w14:textId="76EF19FD" w:rsidR="00291FAA" w:rsidRPr="0093131F" w:rsidRDefault="00A14C82" w:rsidP="002513E6">
      <w:pPr>
        <w:pStyle w:val="Prrafodelista"/>
        <w:autoSpaceDE w:val="0"/>
        <w:autoSpaceDN w:val="0"/>
        <w:adjustRightInd w:val="0"/>
        <w:spacing w:line="360" w:lineRule="auto"/>
        <w:ind w:left="0"/>
        <w:jc w:val="both"/>
        <w:rPr>
          <w:rFonts w:ascii="Palatino Linotype" w:hAnsi="Palatino Linotype" w:cs="Arial"/>
          <w:sz w:val="23"/>
          <w:szCs w:val="23"/>
        </w:rPr>
      </w:pPr>
      <w:r w:rsidRPr="0093131F">
        <w:rPr>
          <w:rFonts w:ascii="Palatino Linotype" w:hAnsi="Palatino Linotype" w:cs="Arial"/>
        </w:rPr>
        <w:lastRenderedPageBreak/>
        <w:t>ASÍ LO ACORDÓ, POR UNANIMIDAD DE VOTOS, EL PLENO DEL</w:t>
      </w:r>
      <w:r w:rsidRPr="0093131F">
        <w:rPr>
          <w:rFonts w:ascii="Palatino Linotype" w:eastAsia="Arial Unicode MS" w:hAnsi="Palatino Linotype" w:cs="Arial"/>
        </w:rPr>
        <w:t xml:space="preserve"> INSTITUTO DE TRANSPARENCIA, ACCESO A LA INFORMACIÓN PÚBLICA Y PROTECCIÓN DE DATOS PERSONALES DEL ESTADO DE MÉXICO Y MUNICIPIOS</w:t>
      </w:r>
      <w:r w:rsidRPr="0093131F">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8608EA" w:rsidRPr="0093131F">
        <w:rPr>
          <w:rFonts w:ascii="Palatino Linotype" w:hAnsi="Palatino Linotype" w:cs="Arial"/>
        </w:rPr>
        <w:t>QUINTA</w:t>
      </w:r>
      <w:r w:rsidRPr="0093131F">
        <w:rPr>
          <w:rFonts w:ascii="Palatino Linotype" w:hAnsi="Palatino Linotype" w:cs="Arial"/>
        </w:rPr>
        <w:t xml:space="preserve"> SESIÓN ORDINARIA CELEBRADA EL </w:t>
      </w:r>
      <w:r w:rsidR="00291FAA" w:rsidRPr="0093131F">
        <w:rPr>
          <w:rFonts w:ascii="Palatino Linotype" w:hAnsi="Palatino Linotype" w:cs="Arial"/>
        </w:rPr>
        <w:t xml:space="preserve">CATORCE DE FEBRERO </w:t>
      </w:r>
      <w:r w:rsidR="00DA1429" w:rsidRPr="0093131F">
        <w:rPr>
          <w:rFonts w:ascii="Palatino Linotype" w:hAnsi="Palatino Linotype" w:cs="Arial"/>
        </w:rPr>
        <w:t>DE DOS MIL VEINTICUATRO</w:t>
      </w:r>
      <w:r w:rsidRPr="0093131F">
        <w:rPr>
          <w:rFonts w:ascii="Palatino Linotype" w:hAnsi="Palatino Linotype" w:cs="Arial"/>
        </w:rPr>
        <w:t xml:space="preserve">, ANTE EL SECRETARIO </w:t>
      </w:r>
      <w:r w:rsidRPr="0093131F">
        <w:rPr>
          <w:rFonts w:ascii="Palatino Linotype" w:hAnsi="Palatino Linotype" w:cs="Arial"/>
          <w:szCs w:val="23"/>
        </w:rPr>
        <w:t>TÉCNICO D</w:t>
      </w:r>
      <w:r w:rsidR="002513E6" w:rsidRPr="0093131F">
        <w:rPr>
          <w:rFonts w:ascii="Palatino Linotype" w:hAnsi="Palatino Linotype" w:cs="Arial"/>
          <w:szCs w:val="23"/>
        </w:rPr>
        <w:t>EL PLENO, ALEXIS TAPIA RAMÍREZ</w:t>
      </w:r>
      <w:r w:rsidR="002513E6" w:rsidRPr="0093131F">
        <w:rPr>
          <w:rFonts w:ascii="Palatino Linotype" w:hAnsi="Palatino Linotype" w:cs="Arial"/>
          <w:sz w:val="23"/>
          <w:szCs w:val="23"/>
        </w:rPr>
        <w:t>.----------------------------------------------------------------------------------------------------------------------------------------------------------------------------------------------------------------------------- --------------------------------------------------------------------------------------------------------------------------------------------------------------------------------------------------------------------------------------------------------------------------------------------------------------------------------------------------------------------------------------------------------------------------------------------------------------------------------------------------------------------------------------------------------------------------------------------------------------------------------------------------------------------------------------------------------------------------------------------------------------------------------------------------------------------------------------------------------------------------------------------------------------------------------------------------------------------------------</w:t>
      </w:r>
      <w:r w:rsidR="00291FAA" w:rsidRPr="0093131F">
        <w:rPr>
          <w:rFonts w:ascii="Palatino Linotype" w:hAnsi="Palatino Linotype" w:cs="Arial"/>
          <w:sz w:val="23"/>
          <w:szCs w:val="23"/>
        </w:rPr>
        <w:t>--------------------------------------------------------------------------------------------------------------------------------------------------------------------------------------------------------------------------------------------------------------------------------------------------------------------------------------------------------------------------------------------------------------------------------------------------------------------------------------------------------------------------------------------------------------------------------------------------------------</w:t>
      </w:r>
    </w:p>
    <w:p w14:paraId="2ADDA990" w14:textId="2FDA7EC4" w:rsidR="00A14C82" w:rsidRDefault="00291FAA" w:rsidP="002513E6">
      <w:pPr>
        <w:pStyle w:val="Prrafodelista"/>
        <w:autoSpaceDE w:val="0"/>
        <w:autoSpaceDN w:val="0"/>
        <w:adjustRightInd w:val="0"/>
        <w:spacing w:line="360" w:lineRule="auto"/>
        <w:ind w:left="0"/>
        <w:jc w:val="both"/>
        <w:rPr>
          <w:rFonts w:ascii="Palatino Linotype" w:hAnsi="Palatino Linotype"/>
          <w:bCs/>
          <w:sz w:val="18"/>
          <w:szCs w:val="18"/>
        </w:rPr>
      </w:pPr>
      <w:r w:rsidRPr="0093131F">
        <w:rPr>
          <w:rFonts w:ascii="Palatino Linotype" w:hAnsi="Palatino Linotype"/>
          <w:bCs/>
          <w:sz w:val="18"/>
          <w:szCs w:val="18"/>
        </w:rPr>
        <w:t>CCR/</w:t>
      </w:r>
      <w:bookmarkStart w:id="0" w:name="_GoBack"/>
      <w:bookmarkEnd w:id="0"/>
    </w:p>
    <w:p w14:paraId="40DB1C41" w14:textId="3901B080" w:rsidR="00A14C82" w:rsidRDefault="00A14C82" w:rsidP="00454CB9">
      <w:pPr>
        <w:spacing w:after="0" w:line="360" w:lineRule="auto"/>
        <w:jc w:val="both"/>
        <w:rPr>
          <w:rFonts w:ascii="Palatino Linotype" w:hAnsi="Palatino Linotype" w:cs="Arial"/>
          <w:sz w:val="24"/>
          <w:szCs w:val="24"/>
        </w:rPr>
      </w:pPr>
    </w:p>
    <w:p w14:paraId="7FD1CE0B" w14:textId="45EB3B90" w:rsidR="00A14C82" w:rsidRPr="00A14C82" w:rsidRDefault="00A14C82" w:rsidP="00454CB9">
      <w:pPr>
        <w:spacing w:after="0" w:line="360" w:lineRule="auto"/>
        <w:jc w:val="both"/>
        <w:rPr>
          <w:rFonts w:ascii="Palatino Linotype" w:hAnsi="Palatino Linotype" w:cs="Arial"/>
          <w:sz w:val="24"/>
          <w:szCs w:val="24"/>
        </w:rPr>
      </w:pPr>
    </w:p>
    <w:p w14:paraId="57CD1B65" w14:textId="72A0C7D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D202F6C" w14:textId="22B0A064"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A3B738E" w14:textId="77777777" w:rsidR="00EC76FA" w:rsidRDefault="00EC76FA"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3929187" w14:textId="77777777" w:rsidR="00EC76FA" w:rsidRDefault="00EC76FA"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D29FC5E" w14:textId="77777777" w:rsidR="00EC76FA" w:rsidRDefault="00EC76FA"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9BB0A23" w14:textId="77777777" w:rsidR="00EC76FA" w:rsidRDefault="00EC76FA"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AC9DCF" w14:textId="77777777" w:rsidR="00EC76FA" w:rsidRDefault="00EC76FA"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F802533" w14:textId="77777777" w:rsidR="00EC76FA" w:rsidRDefault="00EC76FA"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33680F5" w14:textId="77777777" w:rsidR="00EC76FA" w:rsidRDefault="00EC76FA"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A1DFD09" w14:textId="77777777" w:rsidR="00EC76FA" w:rsidRDefault="00EC76FA"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581946D" w14:textId="77777777" w:rsidR="00EC76FA" w:rsidRDefault="00EC76FA"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3EF1321" w14:textId="20A0E5B0" w:rsidR="00EC76FA" w:rsidRDefault="00EC76FA"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sectPr w:rsidR="00EC76FA" w:rsidSect="005E1E00">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E1CDD" w16cex:dateUtc="2024-02-07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D8B6D4" w16cid:durableId="296E1C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E09C2" w14:textId="77777777" w:rsidR="005E1E00" w:rsidRDefault="005E1E00" w:rsidP="006168E4">
      <w:pPr>
        <w:spacing w:after="0" w:line="240" w:lineRule="auto"/>
      </w:pPr>
      <w:r>
        <w:separator/>
      </w:r>
    </w:p>
  </w:endnote>
  <w:endnote w:type="continuationSeparator" w:id="0">
    <w:p w14:paraId="5E914DE2" w14:textId="77777777" w:rsidR="005E1E00" w:rsidRDefault="005E1E00"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3131F">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3131F">
      <w:rPr>
        <w:rFonts w:ascii="Palatino Linotype" w:hAnsi="Palatino Linotype"/>
        <w:bCs/>
        <w:noProof/>
        <w:sz w:val="20"/>
      </w:rPr>
      <w:t>30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3131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3131F">
      <w:rPr>
        <w:rFonts w:ascii="Palatino Linotype" w:hAnsi="Palatino Linotype"/>
        <w:bCs/>
        <w:noProof/>
        <w:sz w:val="20"/>
      </w:rPr>
      <w:t>30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E73C9" w14:textId="77777777" w:rsidR="005E1E00" w:rsidRDefault="005E1E00" w:rsidP="006168E4">
      <w:pPr>
        <w:spacing w:after="0" w:line="240" w:lineRule="auto"/>
      </w:pPr>
      <w:r>
        <w:separator/>
      </w:r>
    </w:p>
  </w:footnote>
  <w:footnote w:type="continuationSeparator" w:id="0">
    <w:p w14:paraId="3BC534C2" w14:textId="77777777" w:rsidR="005E1E00" w:rsidRDefault="005E1E00" w:rsidP="006168E4">
      <w:pPr>
        <w:spacing w:after="0" w:line="240" w:lineRule="auto"/>
      </w:pPr>
      <w:r>
        <w:continuationSeparator/>
      </w:r>
    </w:p>
  </w:footnote>
  <w:footnote w:id="1">
    <w:p w14:paraId="01DBFE2A" w14:textId="77777777" w:rsidR="00A14C82" w:rsidRPr="00911081" w:rsidRDefault="00A14C82" w:rsidP="00A14C82">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FB24914" w14:textId="77777777" w:rsidR="00A14C82" w:rsidRPr="00911081" w:rsidRDefault="00A14C82" w:rsidP="00A14C82">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6B272551"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FA5377">
            <w:rPr>
              <w:rFonts w:ascii="Palatino Linotype" w:hAnsi="Palatino Linotype" w:cs="Arial"/>
              <w:bCs/>
              <w:sz w:val="24"/>
              <w:lang w:eastAsia="es-MX"/>
            </w:rPr>
            <w:t>4840</w:t>
          </w:r>
          <w:r>
            <w:rPr>
              <w:rFonts w:ascii="Palatino Linotype" w:hAnsi="Palatino Linotype" w:cs="Arial"/>
              <w:bCs/>
              <w:sz w:val="24"/>
              <w:lang w:eastAsia="es-MX"/>
            </w:rPr>
            <w:t>/INFOEM/IP/RR/2023</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7EE084D1" w:rsidR="00FC2D20" w:rsidRPr="00F06FED" w:rsidRDefault="00FA5377" w:rsidP="001B1CE0">
          <w:pPr>
            <w:spacing w:after="120" w:line="256" w:lineRule="auto"/>
            <w:ind w:left="639" w:right="214"/>
            <w:jc w:val="both"/>
            <w:rPr>
              <w:rFonts w:ascii="Palatino Linotype" w:hAnsi="Palatino Linotype" w:cs="Arial"/>
            </w:rPr>
          </w:pPr>
          <w:r w:rsidRPr="00FA5377">
            <w:rPr>
              <w:rFonts w:ascii="Palatino Linotype" w:hAnsi="Palatino Linotype" w:cs="Arial"/>
            </w:rPr>
            <w:t>Instituto Electoral del Estado de México</w:t>
          </w:r>
          <w:r w:rsidR="0011113A">
            <w:rPr>
              <w:rFonts w:ascii="Palatino Linotype" w:hAnsi="Palatino Linotype" w:cs="Arial"/>
            </w:rPr>
            <w:t xml:space="preserve"> </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2CD8F88A"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FA5377">
            <w:rPr>
              <w:rFonts w:ascii="Palatino Linotype" w:hAnsi="Palatino Linotype" w:cs="Arial"/>
              <w:bCs/>
              <w:sz w:val="24"/>
              <w:lang w:eastAsia="es-MX"/>
            </w:rPr>
            <w:t>4840</w:t>
          </w:r>
          <w:r>
            <w:rPr>
              <w:rFonts w:ascii="Palatino Linotype" w:hAnsi="Palatino Linotype" w:cs="Arial"/>
              <w:bCs/>
              <w:sz w:val="24"/>
              <w:lang w:eastAsia="es-MX"/>
            </w:rPr>
            <w:t xml:space="preserve">/INFOEM/IP/RR/2023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60F2FC63" w:rsidR="00FC2D20" w:rsidRPr="00E93E68" w:rsidRDefault="00FC2D20" w:rsidP="00D43943">
          <w:pPr>
            <w:spacing w:after="120" w:line="256" w:lineRule="auto"/>
            <w:ind w:left="634" w:right="1209" w:hanging="634"/>
            <w:jc w:val="both"/>
            <w:rPr>
              <w:rFonts w:ascii="Palatino Linotype" w:hAnsi="Palatino Linotype" w:cs="Arial"/>
            </w:rPr>
          </w:pPr>
          <w:r>
            <w:rPr>
              <w:rFonts w:ascii="Palatino Linotype" w:hAnsi="Palatino Linotype" w:cs="Arial"/>
            </w:rPr>
            <w:t xml:space="preserve">            </w:t>
          </w:r>
          <w:r w:rsidR="00D43943">
            <w:rPr>
              <w:rFonts w:ascii="Palatino Linotype" w:hAnsi="Palatino Linotype" w:cs="Arial"/>
            </w:rPr>
            <w:t>XXXXXXXX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5D9C87BD" w:rsidR="00FC2D20" w:rsidRDefault="00FA5377" w:rsidP="001B1CE0">
          <w:pPr>
            <w:spacing w:after="120" w:line="256" w:lineRule="auto"/>
            <w:ind w:left="639" w:right="214"/>
            <w:jc w:val="both"/>
            <w:rPr>
              <w:rFonts w:ascii="Palatino Linotype" w:hAnsi="Palatino Linotype" w:cs="Arial"/>
              <w:szCs w:val="20"/>
            </w:rPr>
          </w:pPr>
          <w:r w:rsidRPr="00FA5377">
            <w:rPr>
              <w:rFonts w:ascii="Palatino Linotype" w:hAnsi="Palatino Linotype" w:cs="Arial"/>
              <w:szCs w:val="20"/>
            </w:rPr>
            <w:t>Instituto Electoral del Estado de México</w:t>
          </w:r>
          <w:r w:rsidR="0011113A">
            <w:rPr>
              <w:rFonts w:ascii="Palatino Linotype" w:hAnsi="Palatino Linotype" w:cs="Arial"/>
              <w:szCs w:val="20"/>
            </w:rPr>
            <w:t xml:space="preserve"> </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4EE"/>
    <w:multiLevelType w:val="hybridMultilevel"/>
    <w:tmpl w:val="3208E6C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10037667"/>
    <w:multiLevelType w:val="hybridMultilevel"/>
    <w:tmpl w:val="560EC3C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0371D95"/>
    <w:multiLevelType w:val="hybridMultilevel"/>
    <w:tmpl w:val="125E0F1C"/>
    <w:lvl w:ilvl="0" w:tplc="0AEEB928">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34C06D41"/>
    <w:multiLevelType w:val="hybridMultilevel"/>
    <w:tmpl w:val="475C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61B00"/>
    <w:multiLevelType w:val="hybridMultilevel"/>
    <w:tmpl w:val="4DF89D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6CE6D85"/>
    <w:multiLevelType w:val="hybridMultilevel"/>
    <w:tmpl w:val="C9DEE274"/>
    <w:lvl w:ilvl="0" w:tplc="1D22E9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9D132B5"/>
    <w:multiLevelType w:val="hybridMultilevel"/>
    <w:tmpl w:val="805EFF20"/>
    <w:lvl w:ilvl="0" w:tplc="6A465F0A">
      <w:start w:val="3"/>
      <w:numFmt w:val="bullet"/>
      <w:lvlText w:val="-"/>
      <w:lvlJc w:val="left"/>
      <w:pPr>
        <w:ind w:left="1428" w:hanging="360"/>
      </w:pPr>
      <w:rPr>
        <w:rFonts w:ascii="Palatino Linotype" w:eastAsia="Times New Roman" w:hAnsi="Palatino Linotype" w:cs="Times New Roman"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6DD12F65"/>
    <w:multiLevelType w:val="hybridMultilevel"/>
    <w:tmpl w:val="026A1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0CB593B"/>
    <w:multiLevelType w:val="hybridMultilevel"/>
    <w:tmpl w:val="F794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951F65"/>
    <w:multiLevelType w:val="hybridMultilevel"/>
    <w:tmpl w:val="7FCC47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17"/>
  </w:num>
  <w:num w:numId="5">
    <w:abstractNumId w:val="4"/>
  </w:num>
  <w:num w:numId="6">
    <w:abstractNumId w:val="11"/>
  </w:num>
  <w:num w:numId="7">
    <w:abstractNumId w:val="16"/>
  </w:num>
  <w:num w:numId="8">
    <w:abstractNumId w:val="0"/>
  </w:num>
  <w:num w:numId="9">
    <w:abstractNumId w:val="14"/>
  </w:num>
  <w:num w:numId="10">
    <w:abstractNumId w:val="15"/>
  </w:num>
  <w:num w:numId="11">
    <w:abstractNumId w:val="18"/>
  </w:num>
  <w:num w:numId="12">
    <w:abstractNumId w:val="13"/>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10"/>
  </w:num>
  <w:num w:numId="18">
    <w:abstractNumId w:val="7"/>
  </w:num>
  <w:num w:numId="1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2B89"/>
    <w:rsid w:val="00044314"/>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E86"/>
    <w:rsid w:val="00070E99"/>
    <w:rsid w:val="000720CA"/>
    <w:rsid w:val="00073E78"/>
    <w:rsid w:val="00073FC2"/>
    <w:rsid w:val="000740DB"/>
    <w:rsid w:val="00076AE0"/>
    <w:rsid w:val="0007756F"/>
    <w:rsid w:val="0008151E"/>
    <w:rsid w:val="000821BF"/>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62C4"/>
    <w:rsid w:val="000A79DA"/>
    <w:rsid w:val="000B03E0"/>
    <w:rsid w:val="000B1C4F"/>
    <w:rsid w:val="000B43A0"/>
    <w:rsid w:val="000B4B51"/>
    <w:rsid w:val="000B5864"/>
    <w:rsid w:val="000B6250"/>
    <w:rsid w:val="000B6D61"/>
    <w:rsid w:val="000B7158"/>
    <w:rsid w:val="000C0B33"/>
    <w:rsid w:val="000C2602"/>
    <w:rsid w:val="000C2A35"/>
    <w:rsid w:val="000C48B5"/>
    <w:rsid w:val="000C5B8B"/>
    <w:rsid w:val="000C7ED3"/>
    <w:rsid w:val="000D0F48"/>
    <w:rsid w:val="000D1A4E"/>
    <w:rsid w:val="000D1B50"/>
    <w:rsid w:val="000D1B55"/>
    <w:rsid w:val="000D20C9"/>
    <w:rsid w:val="000D24CD"/>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1E2F"/>
    <w:rsid w:val="00104A18"/>
    <w:rsid w:val="00104B9D"/>
    <w:rsid w:val="00105B75"/>
    <w:rsid w:val="00105F91"/>
    <w:rsid w:val="00106372"/>
    <w:rsid w:val="001108D8"/>
    <w:rsid w:val="00110EF0"/>
    <w:rsid w:val="0011113A"/>
    <w:rsid w:val="00111DCD"/>
    <w:rsid w:val="00112C29"/>
    <w:rsid w:val="00114965"/>
    <w:rsid w:val="00114CF9"/>
    <w:rsid w:val="00116FA7"/>
    <w:rsid w:val="00120642"/>
    <w:rsid w:val="001228AB"/>
    <w:rsid w:val="001233A3"/>
    <w:rsid w:val="001235C3"/>
    <w:rsid w:val="00124807"/>
    <w:rsid w:val="00124855"/>
    <w:rsid w:val="001254F5"/>
    <w:rsid w:val="00125561"/>
    <w:rsid w:val="001272C6"/>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659C"/>
    <w:rsid w:val="001A70AD"/>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24A"/>
    <w:rsid w:val="001C3EE0"/>
    <w:rsid w:val="001C50EE"/>
    <w:rsid w:val="001C588A"/>
    <w:rsid w:val="001C5B6E"/>
    <w:rsid w:val="001C64DF"/>
    <w:rsid w:val="001C7319"/>
    <w:rsid w:val="001C7D87"/>
    <w:rsid w:val="001D0109"/>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F7C"/>
    <w:rsid w:val="002315A1"/>
    <w:rsid w:val="002317D3"/>
    <w:rsid w:val="0023373D"/>
    <w:rsid w:val="00233904"/>
    <w:rsid w:val="0023423C"/>
    <w:rsid w:val="002363F6"/>
    <w:rsid w:val="00241038"/>
    <w:rsid w:val="002417A0"/>
    <w:rsid w:val="002420E3"/>
    <w:rsid w:val="002432D3"/>
    <w:rsid w:val="002448CB"/>
    <w:rsid w:val="00245C21"/>
    <w:rsid w:val="0024633A"/>
    <w:rsid w:val="0024703B"/>
    <w:rsid w:val="002513E6"/>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16EC"/>
    <w:rsid w:val="0028588E"/>
    <w:rsid w:val="00286325"/>
    <w:rsid w:val="00286784"/>
    <w:rsid w:val="00287C02"/>
    <w:rsid w:val="002905AA"/>
    <w:rsid w:val="00290BC9"/>
    <w:rsid w:val="00290E6E"/>
    <w:rsid w:val="00291FAA"/>
    <w:rsid w:val="0029431D"/>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A9E"/>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3FF0"/>
    <w:rsid w:val="002E54CE"/>
    <w:rsid w:val="002E588D"/>
    <w:rsid w:val="002E5E6A"/>
    <w:rsid w:val="002E6E6D"/>
    <w:rsid w:val="002F0742"/>
    <w:rsid w:val="002F098B"/>
    <w:rsid w:val="002F0D85"/>
    <w:rsid w:val="002F14AA"/>
    <w:rsid w:val="002F2198"/>
    <w:rsid w:val="002F37BE"/>
    <w:rsid w:val="002F3F85"/>
    <w:rsid w:val="002F4577"/>
    <w:rsid w:val="002F4E06"/>
    <w:rsid w:val="002F6424"/>
    <w:rsid w:val="00300966"/>
    <w:rsid w:val="00300D0B"/>
    <w:rsid w:val="00303522"/>
    <w:rsid w:val="00304D88"/>
    <w:rsid w:val="003056A2"/>
    <w:rsid w:val="00306096"/>
    <w:rsid w:val="00306FB6"/>
    <w:rsid w:val="003072AF"/>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4B17"/>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618D7"/>
    <w:rsid w:val="00361B9C"/>
    <w:rsid w:val="003622D5"/>
    <w:rsid w:val="00363737"/>
    <w:rsid w:val="003640B1"/>
    <w:rsid w:val="00365C45"/>
    <w:rsid w:val="00366BCD"/>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632"/>
    <w:rsid w:val="003C2A7C"/>
    <w:rsid w:val="003C2A8E"/>
    <w:rsid w:val="003C7873"/>
    <w:rsid w:val="003C78F7"/>
    <w:rsid w:val="003C7C12"/>
    <w:rsid w:val="003D153C"/>
    <w:rsid w:val="003D3594"/>
    <w:rsid w:val="003D65C9"/>
    <w:rsid w:val="003D70D4"/>
    <w:rsid w:val="003E0BC5"/>
    <w:rsid w:val="003E16E1"/>
    <w:rsid w:val="003E2624"/>
    <w:rsid w:val="003E34C9"/>
    <w:rsid w:val="003E4B54"/>
    <w:rsid w:val="003E53AC"/>
    <w:rsid w:val="003E55DB"/>
    <w:rsid w:val="003E7555"/>
    <w:rsid w:val="003E7FD3"/>
    <w:rsid w:val="003F0EB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B9"/>
    <w:rsid w:val="00454CE6"/>
    <w:rsid w:val="00456FFF"/>
    <w:rsid w:val="00457A9F"/>
    <w:rsid w:val="00460632"/>
    <w:rsid w:val="0046133D"/>
    <w:rsid w:val="00462881"/>
    <w:rsid w:val="00462B0D"/>
    <w:rsid w:val="004642A1"/>
    <w:rsid w:val="0046475C"/>
    <w:rsid w:val="004653BB"/>
    <w:rsid w:val="004702BF"/>
    <w:rsid w:val="00470F88"/>
    <w:rsid w:val="004711D5"/>
    <w:rsid w:val="00472649"/>
    <w:rsid w:val="00474273"/>
    <w:rsid w:val="00475574"/>
    <w:rsid w:val="00475F48"/>
    <w:rsid w:val="00477430"/>
    <w:rsid w:val="00477CC2"/>
    <w:rsid w:val="0048180A"/>
    <w:rsid w:val="00481C7A"/>
    <w:rsid w:val="004821D4"/>
    <w:rsid w:val="00482827"/>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3393"/>
    <w:rsid w:val="004F402B"/>
    <w:rsid w:val="004F41DA"/>
    <w:rsid w:val="004F4792"/>
    <w:rsid w:val="004F4DF1"/>
    <w:rsid w:val="004F6476"/>
    <w:rsid w:val="004F698D"/>
    <w:rsid w:val="004F76FC"/>
    <w:rsid w:val="00500601"/>
    <w:rsid w:val="00500BA6"/>
    <w:rsid w:val="0050182F"/>
    <w:rsid w:val="00501EFE"/>
    <w:rsid w:val="005027B5"/>
    <w:rsid w:val="00502F50"/>
    <w:rsid w:val="00503655"/>
    <w:rsid w:val="0050375C"/>
    <w:rsid w:val="00503CA0"/>
    <w:rsid w:val="00504408"/>
    <w:rsid w:val="00505759"/>
    <w:rsid w:val="0050578D"/>
    <w:rsid w:val="00510BCE"/>
    <w:rsid w:val="0051107C"/>
    <w:rsid w:val="005115C9"/>
    <w:rsid w:val="0051235E"/>
    <w:rsid w:val="005124EC"/>
    <w:rsid w:val="0051313D"/>
    <w:rsid w:val="00513CB3"/>
    <w:rsid w:val="00513DE2"/>
    <w:rsid w:val="00514187"/>
    <w:rsid w:val="00515090"/>
    <w:rsid w:val="00517889"/>
    <w:rsid w:val="005178ED"/>
    <w:rsid w:val="00521E57"/>
    <w:rsid w:val="00521F80"/>
    <w:rsid w:val="00523DDF"/>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2999"/>
    <w:rsid w:val="005C300C"/>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6B1"/>
    <w:rsid w:val="005D68F0"/>
    <w:rsid w:val="005D73DA"/>
    <w:rsid w:val="005E161D"/>
    <w:rsid w:val="005E1E00"/>
    <w:rsid w:val="005E482F"/>
    <w:rsid w:val="005E4D7C"/>
    <w:rsid w:val="005E4EB4"/>
    <w:rsid w:val="005E4ED7"/>
    <w:rsid w:val="005E7A49"/>
    <w:rsid w:val="005F048E"/>
    <w:rsid w:val="005F1408"/>
    <w:rsid w:val="005F18FF"/>
    <w:rsid w:val="005F1E0B"/>
    <w:rsid w:val="005F4648"/>
    <w:rsid w:val="005F4E5A"/>
    <w:rsid w:val="005F57F0"/>
    <w:rsid w:val="005F661E"/>
    <w:rsid w:val="005F7424"/>
    <w:rsid w:val="005F7D10"/>
    <w:rsid w:val="00600FB9"/>
    <w:rsid w:val="00602223"/>
    <w:rsid w:val="0060242C"/>
    <w:rsid w:val="00603C36"/>
    <w:rsid w:val="00603FB8"/>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48D"/>
    <w:rsid w:val="007078A3"/>
    <w:rsid w:val="00711536"/>
    <w:rsid w:val="00712203"/>
    <w:rsid w:val="007129C0"/>
    <w:rsid w:val="007142B5"/>
    <w:rsid w:val="00714663"/>
    <w:rsid w:val="00714C96"/>
    <w:rsid w:val="00716BFE"/>
    <w:rsid w:val="0072048E"/>
    <w:rsid w:val="007234D1"/>
    <w:rsid w:val="00723C12"/>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992"/>
    <w:rsid w:val="00757C81"/>
    <w:rsid w:val="007608F0"/>
    <w:rsid w:val="00761B5E"/>
    <w:rsid w:val="007622D6"/>
    <w:rsid w:val="00763998"/>
    <w:rsid w:val="00763FEE"/>
    <w:rsid w:val="0076467C"/>
    <w:rsid w:val="007658D5"/>
    <w:rsid w:val="00767724"/>
    <w:rsid w:val="00772BA8"/>
    <w:rsid w:val="007736D6"/>
    <w:rsid w:val="00774266"/>
    <w:rsid w:val="00775E28"/>
    <w:rsid w:val="00776FEB"/>
    <w:rsid w:val="007773E6"/>
    <w:rsid w:val="0078028A"/>
    <w:rsid w:val="00780302"/>
    <w:rsid w:val="007806CB"/>
    <w:rsid w:val="007816FD"/>
    <w:rsid w:val="00781C64"/>
    <w:rsid w:val="007829AF"/>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5F57"/>
    <w:rsid w:val="0079620D"/>
    <w:rsid w:val="0079666D"/>
    <w:rsid w:val="00796CA6"/>
    <w:rsid w:val="00797118"/>
    <w:rsid w:val="00797B4F"/>
    <w:rsid w:val="00797F7C"/>
    <w:rsid w:val="007A006A"/>
    <w:rsid w:val="007A139A"/>
    <w:rsid w:val="007A1C9E"/>
    <w:rsid w:val="007A21C7"/>
    <w:rsid w:val="007A312D"/>
    <w:rsid w:val="007A3B58"/>
    <w:rsid w:val="007A3BB5"/>
    <w:rsid w:val="007A4967"/>
    <w:rsid w:val="007A7354"/>
    <w:rsid w:val="007B2C77"/>
    <w:rsid w:val="007B34C6"/>
    <w:rsid w:val="007B7A6F"/>
    <w:rsid w:val="007C2C6B"/>
    <w:rsid w:val="007C368A"/>
    <w:rsid w:val="007C57D3"/>
    <w:rsid w:val="007C7FF1"/>
    <w:rsid w:val="007D15EF"/>
    <w:rsid w:val="007D1A27"/>
    <w:rsid w:val="007D1B24"/>
    <w:rsid w:val="007D1F15"/>
    <w:rsid w:val="007D25B1"/>
    <w:rsid w:val="007D2878"/>
    <w:rsid w:val="007D300A"/>
    <w:rsid w:val="007D57D2"/>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682C"/>
    <w:rsid w:val="008170EF"/>
    <w:rsid w:val="00817BFB"/>
    <w:rsid w:val="008230AE"/>
    <w:rsid w:val="00823267"/>
    <w:rsid w:val="0082382A"/>
    <w:rsid w:val="00824DCD"/>
    <w:rsid w:val="00824DDB"/>
    <w:rsid w:val="008257A6"/>
    <w:rsid w:val="008277BE"/>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D23"/>
    <w:rsid w:val="00851545"/>
    <w:rsid w:val="00855544"/>
    <w:rsid w:val="00856D15"/>
    <w:rsid w:val="0086020D"/>
    <w:rsid w:val="008608EA"/>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4BE6"/>
    <w:rsid w:val="00886712"/>
    <w:rsid w:val="008868B6"/>
    <w:rsid w:val="00890452"/>
    <w:rsid w:val="00891715"/>
    <w:rsid w:val="00893C5F"/>
    <w:rsid w:val="00895089"/>
    <w:rsid w:val="008951CB"/>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6E0"/>
    <w:rsid w:val="008D1DFF"/>
    <w:rsid w:val="008D24AA"/>
    <w:rsid w:val="008D6165"/>
    <w:rsid w:val="008E0AFD"/>
    <w:rsid w:val="008E15BF"/>
    <w:rsid w:val="008E19C1"/>
    <w:rsid w:val="008E6308"/>
    <w:rsid w:val="008E6375"/>
    <w:rsid w:val="008F0CF4"/>
    <w:rsid w:val="008F16D2"/>
    <w:rsid w:val="008F1EF4"/>
    <w:rsid w:val="008F3674"/>
    <w:rsid w:val="008F42F4"/>
    <w:rsid w:val="008F4A26"/>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30D7A"/>
    <w:rsid w:val="0093131F"/>
    <w:rsid w:val="00932888"/>
    <w:rsid w:val="009331C2"/>
    <w:rsid w:val="00936DCF"/>
    <w:rsid w:val="009402DB"/>
    <w:rsid w:val="0094145F"/>
    <w:rsid w:val="0094160B"/>
    <w:rsid w:val="00943910"/>
    <w:rsid w:val="00943EC7"/>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72A0"/>
    <w:rsid w:val="00980B3A"/>
    <w:rsid w:val="0098182D"/>
    <w:rsid w:val="009845ED"/>
    <w:rsid w:val="00985C4C"/>
    <w:rsid w:val="0098704B"/>
    <w:rsid w:val="0099059B"/>
    <w:rsid w:val="00991E43"/>
    <w:rsid w:val="00993821"/>
    <w:rsid w:val="00994280"/>
    <w:rsid w:val="0099517B"/>
    <w:rsid w:val="009970B5"/>
    <w:rsid w:val="009979A2"/>
    <w:rsid w:val="009A0D0A"/>
    <w:rsid w:val="009A0FAE"/>
    <w:rsid w:val="009A1D94"/>
    <w:rsid w:val="009A200B"/>
    <w:rsid w:val="009A2418"/>
    <w:rsid w:val="009A3184"/>
    <w:rsid w:val="009A3F82"/>
    <w:rsid w:val="009A5659"/>
    <w:rsid w:val="009A64BD"/>
    <w:rsid w:val="009A686F"/>
    <w:rsid w:val="009A6ACC"/>
    <w:rsid w:val="009B1636"/>
    <w:rsid w:val="009B33A8"/>
    <w:rsid w:val="009B3487"/>
    <w:rsid w:val="009B3978"/>
    <w:rsid w:val="009B4510"/>
    <w:rsid w:val="009B5029"/>
    <w:rsid w:val="009B5F5A"/>
    <w:rsid w:val="009B7C61"/>
    <w:rsid w:val="009C0DC9"/>
    <w:rsid w:val="009C1104"/>
    <w:rsid w:val="009C2170"/>
    <w:rsid w:val="009C3793"/>
    <w:rsid w:val="009C451F"/>
    <w:rsid w:val="009C5E96"/>
    <w:rsid w:val="009C726D"/>
    <w:rsid w:val="009D317E"/>
    <w:rsid w:val="009D3186"/>
    <w:rsid w:val="009D3697"/>
    <w:rsid w:val="009D5F9E"/>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5F49"/>
    <w:rsid w:val="00A06819"/>
    <w:rsid w:val="00A075FB"/>
    <w:rsid w:val="00A07627"/>
    <w:rsid w:val="00A10583"/>
    <w:rsid w:val="00A11AE6"/>
    <w:rsid w:val="00A12205"/>
    <w:rsid w:val="00A131EA"/>
    <w:rsid w:val="00A13253"/>
    <w:rsid w:val="00A14C82"/>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35E3"/>
    <w:rsid w:val="00A540E1"/>
    <w:rsid w:val="00A54B16"/>
    <w:rsid w:val="00A560C7"/>
    <w:rsid w:val="00A570A7"/>
    <w:rsid w:val="00A572E9"/>
    <w:rsid w:val="00A57B77"/>
    <w:rsid w:val="00A625E2"/>
    <w:rsid w:val="00A62AA3"/>
    <w:rsid w:val="00A62B55"/>
    <w:rsid w:val="00A64C80"/>
    <w:rsid w:val="00A65143"/>
    <w:rsid w:val="00A67EF9"/>
    <w:rsid w:val="00A70411"/>
    <w:rsid w:val="00A71379"/>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55B8"/>
    <w:rsid w:val="00AC7C82"/>
    <w:rsid w:val="00AD1553"/>
    <w:rsid w:val="00AD1580"/>
    <w:rsid w:val="00AD25F0"/>
    <w:rsid w:val="00AD2EBD"/>
    <w:rsid w:val="00AD2F4A"/>
    <w:rsid w:val="00AD3A1D"/>
    <w:rsid w:val="00AD4144"/>
    <w:rsid w:val="00AD41B6"/>
    <w:rsid w:val="00AD461A"/>
    <w:rsid w:val="00AD529C"/>
    <w:rsid w:val="00AD57A9"/>
    <w:rsid w:val="00AD6EAA"/>
    <w:rsid w:val="00AD78F8"/>
    <w:rsid w:val="00AE008F"/>
    <w:rsid w:val="00AE04E8"/>
    <w:rsid w:val="00AE0D01"/>
    <w:rsid w:val="00AE1B55"/>
    <w:rsid w:val="00AE2056"/>
    <w:rsid w:val="00AE3724"/>
    <w:rsid w:val="00AE3AAC"/>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46DA"/>
    <w:rsid w:val="00B25262"/>
    <w:rsid w:val="00B26532"/>
    <w:rsid w:val="00B272A6"/>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66D88"/>
    <w:rsid w:val="00B705ED"/>
    <w:rsid w:val="00B70E50"/>
    <w:rsid w:val="00B72E36"/>
    <w:rsid w:val="00B73C99"/>
    <w:rsid w:val="00B75A2C"/>
    <w:rsid w:val="00B75E7F"/>
    <w:rsid w:val="00B773ED"/>
    <w:rsid w:val="00B77811"/>
    <w:rsid w:val="00B80129"/>
    <w:rsid w:val="00B80734"/>
    <w:rsid w:val="00B813AC"/>
    <w:rsid w:val="00B8376C"/>
    <w:rsid w:val="00B84260"/>
    <w:rsid w:val="00B85778"/>
    <w:rsid w:val="00B8655B"/>
    <w:rsid w:val="00B86A15"/>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3536"/>
    <w:rsid w:val="00C03793"/>
    <w:rsid w:val="00C06E2B"/>
    <w:rsid w:val="00C07650"/>
    <w:rsid w:val="00C104DD"/>
    <w:rsid w:val="00C1331F"/>
    <w:rsid w:val="00C15275"/>
    <w:rsid w:val="00C15E31"/>
    <w:rsid w:val="00C16479"/>
    <w:rsid w:val="00C2058D"/>
    <w:rsid w:val="00C233EF"/>
    <w:rsid w:val="00C2471B"/>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25BD"/>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2277"/>
    <w:rsid w:val="00C82D1D"/>
    <w:rsid w:val="00C83209"/>
    <w:rsid w:val="00C83E62"/>
    <w:rsid w:val="00C847CB"/>
    <w:rsid w:val="00C84DEB"/>
    <w:rsid w:val="00C85259"/>
    <w:rsid w:val="00C85378"/>
    <w:rsid w:val="00C86808"/>
    <w:rsid w:val="00C87238"/>
    <w:rsid w:val="00C9240B"/>
    <w:rsid w:val="00C9297C"/>
    <w:rsid w:val="00C92FE0"/>
    <w:rsid w:val="00C9361E"/>
    <w:rsid w:val="00C961E8"/>
    <w:rsid w:val="00C967A3"/>
    <w:rsid w:val="00C96AB8"/>
    <w:rsid w:val="00CA00C0"/>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3A2"/>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F98"/>
    <w:rsid w:val="00D30750"/>
    <w:rsid w:val="00D32644"/>
    <w:rsid w:val="00D3357A"/>
    <w:rsid w:val="00D33619"/>
    <w:rsid w:val="00D3586F"/>
    <w:rsid w:val="00D40C02"/>
    <w:rsid w:val="00D427A6"/>
    <w:rsid w:val="00D42AFE"/>
    <w:rsid w:val="00D43943"/>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4D3"/>
    <w:rsid w:val="00D63705"/>
    <w:rsid w:val="00D64BD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429"/>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6F34"/>
    <w:rsid w:val="00DF7233"/>
    <w:rsid w:val="00DF7781"/>
    <w:rsid w:val="00DF78AE"/>
    <w:rsid w:val="00E02AE8"/>
    <w:rsid w:val="00E033F2"/>
    <w:rsid w:val="00E0462A"/>
    <w:rsid w:val="00E04A8B"/>
    <w:rsid w:val="00E04DB7"/>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2B94"/>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8D1"/>
    <w:rsid w:val="00E54816"/>
    <w:rsid w:val="00E5512E"/>
    <w:rsid w:val="00E55E60"/>
    <w:rsid w:val="00E56594"/>
    <w:rsid w:val="00E5750F"/>
    <w:rsid w:val="00E5775A"/>
    <w:rsid w:val="00E578DF"/>
    <w:rsid w:val="00E57D18"/>
    <w:rsid w:val="00E605C2"/>
    <w:rsid w:val="00E60761"/>
    <w:rsid w:val="00E6129C"/>
    <w:rsid w:val="00E62B95"/>
    <w:rsid w:val="00E635A7"/>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0720"/>
    <w:rsid w:val="00EC2174"/>
    <w:rsid w:val="00EC2525"/>
    <w:rsid w:val="00EC3E9E"/>
    <w:rsid w:val="00EC49A4"/>
    <w:rsid w:val="00EC76FA"/>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5ED4"/>
    <w:rsid w:val="00F974AA"/>
    <w:rsid w:val="00FA103A"/>
    <w:rsid w:val="00FA2545"/>
    <w:rsid w:val="00FA2729"/>
    <w:rsid w:val="00FA4C7E"/>
    <w:rsid w:val="00FA5377"/>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7A08"/>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top w:w="0" w:type="dxa"/>
        <w:left w:w="115" w:type="dxa"/>
        <w:bottom w:w="0" w:type="dxa"/>
        <w:right w:w="115" w:type="dxa"/>
      </w:tblCellMar>
    </w:tblPr>
  </w:style>
  <w:style w:type="table" w:customStyle="1" w:styleId="7">
    <w:name w:val="7"/>
    <w:basedOn w:val="TableNormal1"/>
    <w:rsid w:val="008B74DC"/>
    <w:tblPr>
      <w:tblStyleRowBandSize w:val="1"/>
      <w:tblStyleColBandSize w:val="1"/>
      <w:tblCellMar>
        <w:top w:w="0" w:type="dxa"/>
        <w:left w:w="115" w:type="dxa"/>
        <w:bottom w:w="0" w:type="dxa"/>
        <w:right w:w="115" w:type="dxa"/>
      </w:tblCellMar>
    </w:tblPr>
  </w:style>
  <w:style w:type="table" w:customStyle="1" w:styleId="6">
    <w:name w:val="6"/>
    <w:basedOn w:val="TableNormal1"/>
    <w:rsid w:val="008B74DC"/>
    <w:tblPr>
      <w:tblStyleRowBandSize w:val="1"/>
      <w:tblStyleColBandSize w:val="1"/>
      <w:tblCellMar>
        <w:top w:w="0" w:type="dxa"/>
        <w:left w:w="115" w:type="dxa"/>
        <w:bottom w:w="0" w:type="dxa"/>
        <w:right w:w="115" w:type="dxa"/>
      </w:tblCellMar>
    </w:tblPr>
  </w:style>
  <w:style w:type="table" w:customStyle="1" w:styleId="5">
    <w:name w:val="5"/>
    <w:basedOn w:val="TableNormal1"/>
    <w:rsid w:val="008B74DC"/>
    <w:tblPr>
      <w:tblStyleRowBandSize w:val="1"/>
      <w:tblStyleColBandSize w:val="1"/>
      <w:tblCellMar>
        <w:top w:w="0" w:type="dxa"/>
        <w:left w:w="115" w:type="dxa"/>
        <w:bottom w:w="0" w:type="dxa"/>
        <w:right w:w="115" w:type="dxa"/>
      </w:tblCellMar>
    </w:tblPr>
  </w:style>
  <w:style w:type="table" w:customStyle="1" w:styleId="4">
    <w:name w:val="4"/>
    <w:basedOn w:val="TableNormal1"/>
    <w:rsid w:val="008B74DC"/>
    <w:tblPr>
      <w:tblStyleRowBandSize w:val="1"/>
      <w:tblStyleColBandSize w:val="1"/>
      <w:tblCellMar>
        <w:top w:w="0" w:type="dxa"/>
        <w:left w:w="115" w:type="dxa"/>
        <w:bottom w:w="0" w:type="dxa"/>
        <w:right w:w="115" w:type="dxa"/>
      </w:tblCellMar>
    </w:tblPr>
  </w:style>
  <w:style w:type="table" w:customStyle="1" w:styleId="3">
    <w:name w:val="3"/>
    <w:basedOn w:val="TableNormal1"/>
    <w:rsid w:val="008B74DC"/>
    <w:tblPr>
      <w:tblStyleRowBandSize w:val="1"/>
      <w:tblStyleColBandSize w:val="1"/>
      <w:tblCellMar>
        <w:top w:w="0" w:type="dxa"/>
        <w:left w:w="115" w:type="dxa"/>
        <w:bottom w:w="0" w:type="dxa"/>
        <w:right w:w="115" w:type="dxa"/>
      </w:tblCellMar>
    </w:tblPr>
  </w:style>
  <w:style w:type="table" w:customStyle="1" w:styleId="2">
    <w:name w:val="2"/>
    <w:basedOn w:val="TableNormal1"/>
    <w:rsid w:val="008B74DC"/>
    <w:tblPr>
      <w:tblStyleRowBandSize w:val="1"/>
      <w:tblStyleColBandSize w:val="1"/>
      <w:tblCellMar>
        <w:top w:w="0" w:type="dxa"/>
        <w:left w:w="115" w:type="dxa"/>
        <w:bottom w:w="0" w:type="dxa"/>
        <w:right w:w="115" w:type="dxa"/>
      </w:tblCellMar>
    </w:tblPr>
  </w:style>
  <w:style w:type="table" w:customStyle="1" w:styleId="1">
    <w:name w:val="1"/>
    <w:basedOn w:val="TableNormal1"/>
    <w:rsid w:val="008B74DC"/>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top w:w="0" w:type="dxa"/>
        <w:left w:w="115" w:type="dxa"/>
        <w:bottom w:w="0" w:type="dxa"/>
        <w:right w:w="115" w:type="dxa"/>
      </w:tblCellMar>
    </w:tblPr>
  </w:style>
  <w:style w:type="table" w:customStyle="1" w:styleId="71">
    <w:name w:val="71"/>
    <w:basedOn w:val="TableNormal1"/>
    <w:rsid w:val="008B74DC"/>
    <w:tblPr>
      <w:tblStyleRowBandSize w:val="1"/>
      <w:tblStyleColBandSize w:val="1"/>
      <w:tblCellMar>
        <w:top w:w="0" w:type="dxa"/>
        <w:left w:w="115" w:type="dxa"/>
        <w:bottom w:w="0" w:type="dxa"/>
        <w:right w:w="115" w:type="dxa"/>
      </w:tblCellMar>
    </w:tblPr>
  </w:style>
  <w:style w:type="table" w:customStyle="1" w:styleId="61">
    <w:name w:val="61"/>
    <w:basedOn w:val="TableNormal1"/>
    <w:rsid w:val="008B74DC"/>
    <w:tblPr>
      <w:tblStyleRowBandSize w:val="1"/>
      <w:tblStyleColBandSize w:val="1"/>
      <w:tblCellMar>
        <w:top w:w="0" w:type="dxa"/>
        <w:left w:w="115" w:type="dxa"/>
        <w:bottom w:w="0" w:type="dxa"/>
        <w:right w:w="115" w:type="dxa"/>
      </w:tblCellMar>
    </w:tblPr>
  </w:style>
  <w:style w:type="table" w:customStyle="1" w:styleId="51">
    <w:name w:val="51"/>
    <w:basedOn w:val="TableNormal1"/>
    <w:rsid w:val="008B74DC"/>
    <w:tblPr>
      <w:tblStyleRowBandSize w:val="1"/>
      <w:tblStyleColBandSize w:val="1"/>
      <w:tblCellMar>
        <w:top w:w="0" w:type="dxa"/>
        <w:left w:w="115" w:type="dxa"/>
        <w:bottom w:w="0" w:type="dxa"/>
        <w:right w:w="115" w:type="dxa"/>
      </w:tblCellMar>
    </w:tblPr>
  </w:style>
  <w:style w:type="table" w:customStyle="1" w:styleId="41">
    <w:name w:val="41"/>
    <w:basedOn w:val="TableNormal1"/>
    <w:rsid w:val="008B74DC"/>
    <w:tblPr>
      <w:tblStyleRowBandSize w:val="1"/>
      <w:tblStyleColBandSize w:val="1"/>
      <w:tblCellMar>
        <w:top w:w="0" w:type="dxa"/>
        <w:left w:w="115" w:type="dxa"/>
        <w:bottom w:w="0" w:type="dxa"/>
        <w:right w:w="115" w:type="dxa"/>
      </w:tblCellMar>
    </w:tblPr>
  </w:style>
  <w:style w:type="table" w:customStyle="1" w:styleId="31">
    <w:name w:val="31"/>
    <w:basedOn w:val="TableNormal1"/>
    <w:rsid w:val="008B74DC"/>
    <w:tblPr>
      <w:tblStyleRowBandSize w:val="1"/>
      <w:tblStyleColBandSize w:val="1"/>
      <w:tblCellMar>
        <w:top w:w="0" w:type="dxa"/>
        <w:left w:w="115" w:type="dxa"/>
        <w:bottom w:w="0" w:type="dxa"/>
        <w:right w:w="115" w:type="dxa"/>
      </w:tblCellMar>
    </w:tblPr>
  </w:style>
  <w:style w:type="table" w:customStyle="1" w:styleId="21">
    <w:name w:val="21"/>
    <w:basedOn w:val="TableNormal1"/>
    <w:rsid w:val="008B74DC"/>
    <w:tblPr>
      <w:tblStyleRowBandSize w:val="1"/>
      <w:tblStyleColBandSize w:val="1"/>
      <w:tblCellMar>
        <w:top w:w="0" w:type="dxa"/>
        <w:left w:w="115" w:type="dxa"/>
        <w:bottom w:w="0" w:type="dxa"/>
        <w:right w:w="115" w:type="dxa"/>
      </w:tblCellMar>
    </w:tblPr>
  </w:style>
  <w:style w:type="table" w:customStyle="1" w:styleId="11">
    <w:name w:val="11"/>
    <w:basedOn w:val="TableNormal1"/>
    <w:rsid w:val="008B74DC"/>
    <w:tblPr>
      <w:tblStyleRowBandSize w:val="1"/>
      <w:tblStyleColBandSize w:val="1"/>
      <w:tblCellMar>
        <w:top w:w="0" w:type="dxa"/>
        <w:left w:w="115" w:type="dxa"/>
        <w:bottom w:w="0"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38815706">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6604502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43E0C-8776-49FC-B580-52892711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30</Pages>
  <Words>6017</Words>
  <Characters>33099</Characters>
  <Application>Microsoft Office Word</Application>
  <DocSecurity>0</DocSecurity>
  <Lines>275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8</cp:revision>
  <cp:lastPrinted>2018-12-04T20:35:00Z</cp:lastPrinted>
  <dcterms:created xsi:type="dcterms:W3CDTF">2024-02-07T23:42:00Z</dcterms:created>
  <dcterms:modified xsi:type="dcterms:W3CDTF">2024-04-11T19:35:00Z</dcterms:modified>
</cp:coreProperties>
</file>