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24329"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12364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12364D">
        <w:rPr>
          <w:rFonts w:ascii="Palatino Linotype" w:eastAsia="Palatino Linotype" w:hAnsi="Palatino Linotype" w:cs="Palatino Linotype"/>
          <w:b/>
          <w:sz w:val="22"/>
          <w:szCs w:val="22"/>
        </w:rPr>
        <w:t>once de septiembre de dos mil veinticuatro</w:t>
      </w:r>
      <w:r w:rsidRPr="0012364D">
        <w:rPr>
          <w:rFonts w:ascii="Palatino Linotype" w:eastAsia="Palatino Linotype" w:hAnsi="Palatino Linotype" w:cs="Palatino Linotype"/>
          <w:sz w:val="22"/>
          <w:szCs w:val="22"/>
        </w:rPr>
        <w:t xml:space="preserve">. </w:t>
      </w:r>
    </w:p>
    <w:p w14:paraId="57C4AC2E" w14:textId="2F0E50E1" w:rsidR="00864050" w:rsidRDefault="00A7108E" w:rsidP="00864050">
      <w:pPr>
        <w:ind w:left="-45"/>
        <w:jc w:val="both"/>
        <w:rPr>
          <w:rFonts w:ascii="Palatino Linotype" w:eastAsia="Palatino Linotype" w:hAnsi="Palatino Linotype" w:cs="Palatino Linotype"/>
          <w:b/>
          <w:sz w:val="22"/>
          <w:szCs w:val="22"/>
        </w:rPr>
      </w:pPr>
      <w:r w:rsidRPr="0012364D">
        <w:rPr>
          <w:rFonts w:ascii="Palatino Linotype" w:eastAsia="Palatino Linotype" w:hAnsi="Palatino Linotype" w:cs="Palatino Linotype"/>
          <w:b/>
          <w:sz w:val="22"/>
          <w:szCs w:val="22"/>
        </w:rPr>
        <w:t>Visto</w:t>
      </w:r>
      <w:r w:rsidRPr="0012364D">
        <w:rPr>
          <w:rFonts w:ascii="Palatino Linotype" w:eastAsia="Palatino Linotype" w:hAnsi="Palatino Linotype" w:cs="Palatino Linotype"/>
          <w:sz w:val="22"/>
          <w:szCs w:val="22"/>
        </w:rPr>
        <w:t xml:space="preserve"> el expediente formado con motivo del recurso de revisión </w:t>
      </w:r>
      <w:r w:rsidRPr="0012364D">
        <w:rPr>
          <w:rFonts w:ascii="Palatino Linotype" w:eastAsia="Palatino Linotype" w:hAnsi="Palatino Linotype" w:cs="Palatino Linotype"/>
          <w:b/>
          <w:sz w:val="22"/>
          <w:szCs w:val="22"/>
        </w:rPr>
        <w:t>03759/INFOEM/IP/RR/2024</w:t>
      </w:r>
      <w:r w:rsidRPr="0012364D">
        <w:rPr>
          <w:rFonts w:ascii="Palatino Linotype" w:eastAsia="Palatino Linotype" w:hAnsi="Palatino Linotype" w:cs="Palatino Linotype"/>
          <w:sz w:val="22"/>
          <w:szCs w:val="22"/>
        </w:rPr>
        <w:t>, interpuesto por</w:t>
      </w:r>
      <w:r w:rsidRPr="0012364D">
        <w:rPr>
          <w:rFonts w:ascii="Palatino Linotype" w:eastAsia="Palatino Linotype" w:hAnsi="Palatino Linotype" w:cs="Palatino Linotype"/>
          <w:b/>
          <w:sz w:val="22"/>
          <w:szCs w:val="22"/>
        </w:rPr>
        <w:t xml:space="preserve"> </w:t>
      </w:r>
      <w:r w:rsidR="00864050">
        <w:rPr>
          <w:rFonts w:ascii="Palatino Linotype" w:eastAsia="Palatino Linotype" w:hAnsi="Palatino Linotype" w:cs="Palatino Linotype"/>
          <w:b/>
          <w:sz w:val="22"/>
          <w:szCs w:val="22"/>
        </w:rPr>
        <w:t xml:space="preserve">XXX XXXXXXXXX </w:t>
      </w:r>
    </w:p>
    <w:p w14:paraId="6117422D" w14:textId="3993FBA9"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sz w:val="22"/>
          <w:szCs w:val="22"/>
        </w:rPr>
        <w:t>,</w:t>
      </w:r>
      <w:r w:rsidRPr="0012364D">
        <w:rPr>
          <w:rFonts w:ascii="Palatino Linotype" w:eastAsia="Palatino Linotype" w:hAnsi="Palatino Linotype" w:cs="Palatino Linotype"/>
          <w:sz w:val="22"/>
          <w:szCs w:val="22"/>
        </w:rPr>
        <w:t xml:space="preserve"> en lo sucesivo</w:t>
      </w:r>
      <w:r w:rsidRPr="0012364D">
        <w:rPr>
          <w:rFonts w:ascii="Palatino Linotype" w:eastAsia="Palatino Linotype" w:hAnsi="Palatino Linotype" w:cs="Palatino Linotype"/>
          <w:b/>
          <w:sz w:val="22"/>
          <w:szCs w:val="22"/>
        </w:rPr>
        <w:t xml:space="preserve"> la parte</w:t>
      </w: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sz w:val="22"/>
          <w:szCs w:val="22"/>
        </w:rPr>
        <w:t>Recurrente,</w:t>
      </w:r>
      <w:r w:rsidRPr="0012364D">
        <w:rPr>
          <w:rFonts w:ascii="Palatino Linotype" w:eastAsia="Palatino Linotype" w:hAnsi="Palatino Linotype" w:cs="Palatino Linotype"/>
          <w:sz w:val="22"/>
          <w:szCs w:val="22"/>
        </w:rPr>
        <w:t xml:space="preserve"> en contra de la respuesta a su solicitud por parte del </w:t>
      </w:r>
      <w:r w:rsidRPr="0012364D">
        <w:rPr>
          <w:rFonts w:ascii="Palatino Linotype" w:eastAsia="Palatino Linotype" w:hAnsi="Palatino Linotype" w:cs="Palatino Linotype"/>
          <w:b/>
          <w:sz w:val="22"/>
          <w:szCs w:val="22"/>
        </w:rPr>
        <w:t xml:space="preserve">Ayuntamiento de Naucalpan de Juárez, </w:t>
      </w:r>
      <w:r w:rsidRPr="0012364D">
        <w:rPr>
          <w:rFonts w:ascii="Palatino Linotype" w:eastAsia="Palatino Linotype" w:hAnsi="Palatino Linotype" w:cs="Palatino Linotype"/>
          <w:sz w:val="22"/>
          <w:szCs w:val="22"/>
        </w:rPr>
        <w:t xml:space="preserve">en lo sucesivo el </w:t>
      </w:r>
      <w:r w:rsidRPr="0012364D">
        <w:rPr>
          <w:rFonts w:ascii="Palatino Linotype" w:eastAsia="Palatino Linotype" w:hAnsi="Palatino Linotype" w:cs="Palatino Linotype"/>
          <w:b/>
          <w:sz w:val="22"/>
          <w:szCs w:val="22"/>
        </w:rPr>
        <w:t xml:space="preserve">Sujeto Obligado, </w:t>
      </w:r>
      <w:r w:rsidRPr="0012364D">
        <w:rPr>
          <w:rFonts w:ascii="Palatino Linotype" w:eastAsia="Palatino Linotype" w:hAnsi="Palatino Linotype" w:cs="Palatino Linotype"/>
          <w:sz w:val="22"/>
          <w:szCs w:val="22"/>
        </w:rPr>
        <w:t xml:space="preserve">se procede a dictar la presente resolución con base en los siguientes: </w:t>
      </w:r>
    </w:p>
    <w:p w14:paraId="5452A0B9" w14:textId="77777777" w:rsidR="004664DE" w:rsidRPr="0012364D" w:rsidRDefault="00A7108E">
      <w:pPr>
        <w:spacing w:before="240" w:after="240" w:line="360" w:lineRule="auto"/>
        <w:jc w:val="center"/>
        <w:rPr>
          <w:rFonts w:ascii="Palatino Linotype" w:eastAsia="Palatino Linotype" w:hAnsi="Palatino Linotype" w:cs="Palatino Linotype"/>
          <w:b/>
          <w:sz w:val="22"/>
          <w:szCs w:val="22"/>
        </w:rPr>
      </w:pPr>
      <w:r w:rsidRPr="0012364D">
        <w:rPr>
          <w:rFonts w:ascii="Palatino Linotype" w:eastAsia="Palatino Linotype" w:hAnsi="Palatino Linotype" w:cs="Palatino Linotype"/>
          <w:b/>
          <w:sz w:val="22"/>
          <w:szCs w:val="22"/>
        </w:rPr>
        <w:t>I. A N T E C E D E N T E S</w:t>
      </w:r>
    </w:p>
    <w:p w14:paraId="00ECB406"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sz w:val="22"/>
          <w:szCs w:val="22"/>
        </w:rPr>
        <w:t>1. Solicitud de acceso a la información.</w:t>
      </w:r>
      <w:r w:rsidRPr="0012364D">
        <w:rPr>
          <w:rFonts w:ascii="Palatino Linotype" w:eastAsia="Palatino Linotype" w:hAnsi="Palatino Linotype" w:cs="Palatino Linotype"/>
          <w:sz w:val="22"/>
          <w:szCs w:val="22"/>
        </w:rPr>
        <w:t xml:space="preserve"> El </w:t>
      </w:r>
      <w:r w:rsidRPr="0012364D">
        <w:rPr>
          <w:rFonts w:ascii="Palatino Linotype" w:eastAsia="Palatino Linotype" w:hAnsi="Palatino Linotype" w:cs="Palatino Linotype"/>
          <w:b/>
          <w:sz w:val="22"/>
          <w:szCs w:val="22"/>
        </w:rPr>
        <w:t>veintiocho de mayo de</w:t>
      </w: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sz w:val="22"/>
          <w:szCs w:val="22"/>
        </w:rPr>
        <w:t>dos mil veinticuatro,</w:t>
      </w: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sz w:val="22"/>
          <w:szCs w:val="22"/>
        </w:rPr>
        <w:t>la parte</w:t>
      </w: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sz w:val="22"/>
          <w:szCs w:val="22"/>
        </w:rPr>
        <w:t xml:space="preserve">Recurrente </w:t>
      </w:r>
      <w:r w:rsidRPr="0012364D">
        <w:rPr>
          <w:rFonts w:ascii="Palatino Linotype" w:eastAsia="Palatino Linotype" w:hAnsi="Palatino Linotype" w:cs="Palatino Linotype"/>
          <w:sz w:val="22"/>
          <w:szCs w:val="22"/>
        </w:rPr>
        <w:t xml:space="preserve">presentó, a través del Sistema de Acceso a la Información Mexiquense, en lo subsecuente el </w:t>
      </w:r>
      <w:r w:rsidRPr="0012364D">
        <w:rPr>
          <w:rFonts w:ascii="Palatino Linotype" w:eastAsia="Palatino Linotype" w:hAnsi="Palatino Linotype" w:cs="Palatino Linotype"/>
          <w:b/>
          <w:sz w:val="22"/>
          <w:szCs w:val="22"/>
        </w:rPr>
        <w:t>SAIMEX,</w:t>
      </w:r>
      <w:r w:rsidRPr="0012364D">
        <w:rPr>
          <w:rFonts w:ascii="Palatino Linotype" w:eastAsia="Palatino Linotype" w:hAnsi="Palatino Linotype" w:cs="Palatino Linotype"/>
          <w:sz w:val="22"/>
          <w:szCs w:val="22"/>
        </w:rPr>
        <w:t xml:space="preserve"> ante 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la solicitud de acceso a la información pública, a la que se le asignó el número</w:t>
      </w:r>
      <w:r w:rsidRPr="0012364D">
        <w:rPr>
          <w:rFonts w:ascii="Palatino Linotype" w:eastAsia="Palatino Linotype" w:hAnsi="Palatino Linotype" w:cs="Palatino Linotype"/>
          <w:b/>
          <w:sz w:val="22"/>
          <w:szCs w:val="22"/>
        </w:rPr>
        <w:t xml:space="preserve"> 00439/NAUCALPA/IP/2024, </w:t>
      </w:r>
      <w:r w:rsidRPr="0012364D">
        <w:rPr>
          <w:rFonts w:ascii="Palatino Linotype" w:eastAsia="Palatino Linotype" w:hAnsi="Palatino Linotype" w:cs="Palatino Linotype"/>
          <w:sz w:val="22"/>
          <w:szCs w:val="22"/>
        </w:rPr>
        <w:t xml:space="preserve">mediante la cual requirió la información siguiente: </w:t>
      </w:r>
    </w:p>
    <w:p w14:paraId="13C3035A" w14:textId="779F9AD6" w:rsidR="004664DE" w:rsidRPr="0012364D" w:rsidRDefault="00A7108E">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12364D">
        <w:rPr>
          <w:rFonts w:ascii="Palatino Linotype" w:eastAsia="Palatino Linotype" w:hAnsi="Palatino Linotype" w:cs="Palatino Linotype"/>
          <w:i/>
          <w:sz w:val="22"/>
          <w:szCs w:val="22"/>
        </w:rPr>
        <w:t xml:space="preserve">“Solicito del </w:t>
      </w:r>
      <w:r w:rsidRPr="0012364D">
        <w:rPr>
          <w:rFonts w:ascii="Palatino Linotype" w:eastAsia="Palatino Linotype" w:hAnsi="Palatino Linotype" w:cs="Palatino Linotype"/>
          <w:b/>
          <w:i/>
          <w:sz w:val="22"/>
          <w:szCs w:val="22"/>
          <w:u w:val="single"/>
        </w:rPr>
        <w:t xml:space="preserve">OAPAS NAUCALPAN Organismo Público Descentralizado para la Prestación de los Servicios de Agua Potable, Alcantarillado y Saneamiento del Municipio de </w:t>
      </w:r>
      <w:proofErr w:type="spellStart"/>
      <w:r w:rsidRPr="0012364D">
        <w:rPr>
          <w:rFonts w:ascii="Palatino Linotype" w:eastAsia="Palatino Linotype" w:hAnsi="Palatino Linotype" w:cs="Palatino Linotype"/>
          <w:b/>
          <w:i/>
          <w:sz w:val="22"/>
          <w:szCs w:val="22"/>
          <w:u w:val="single"/>
        </w:rPr>
        <w:t>Naualpan</w:t>
      </w:r>
      <w:proofErr w:type="spellEnd"/>
      <w:r w:rsidRPr="0012364D">
        <w:rPr>
          <w:rFonts w:ascii="Palatino Linotype" w:eastAsia="Palatino Linotype" w:hAnsi="Palatino Linotype" w:cs="Palatino Linotype"/>
          <w:i/>
          <w:sz w:val="22"/>
          <w:szCs w:val="22"/>
        </w:rPr>
        <w:t xml:space="preserve">, me proporcione el expediente completo en versión publica formulado respecto a la factibilidad otorgada al inmueble ubicado en el desarrollo inmobiliario que corresponde al DOMICILIO </w:t>
      </w:r>
      <w:r w:rsidR="00864050">
        <w:rPr>
          <w:rFonts w:ascii="Palatino Linotype" w:eastAsia="Palatino Linotype" w:hAnsi="Palatino Linotype" w:cs="Palatino Linotype"/>
          <w:i/>
          <w:sz w:val="22"/>
          <w:szCs w:val="22"/>
        </w:rPr>
        <w:t>XX.</w:t>
      </w:r>
      <w:r w:rsidRPr="0012364D">
        <w:rPr>
          <w:rFonts w:ascii="Palatino Linotype" w:eastAsia="Palatino Linotype" w:hAnsi="Palatino Linotype" w:cs="Palatino Linotype"/>
          <w:i/>
          <w:sz w:val="22"/>
          <w:szCs w:val="22"/>
        </w:rPr>
        <w:t xml:space="preserve"> </w:t>
      </w:r>
      <w:r w:rsidR="00864050">
        <w:rPr>
          <w:rFonts w:ascii="Palatino Linotype" w:eastAsia="Palatino Linotype" w:hAnsi="Palatino Linotype" w:cs="Palatino Linotype"/>
          <w:i/>
          <w:sz w:val="22"/>
          <w:szCs w:val="22"/>
        </w:rPr>
        <w:t>XXXXX XXXX</w:t>
      </w:r>
      <w:r w:rsidRPr="0012364D">
        <w:rPr>
          <w:rFonts w:ascii="Palatino Linotype" w:eastAsia="Palatino Linotype" w:hAnsi="Palatino Linotype" w:cs="Palatino Linotype"/>
          <w:i/>
          <w:sz w:val="22"/>
          <w:szCs w:val="22"/>
        </w:rPr>
        <w:t xml:space="preserve">, </w:t>
      </w:r>
      <w:r w:rsidR="00864050">
        <w:rPr>
          <w:rFonts w:ascii="Palatino Linotype" w:eastAsia="Palatino Linotype" w:hAnsi="Palatino Linotype" w:cs="Palatino Linotype"/>
          <w:i/>
          <w:sz w:val="22"/>
          <w:szCs w:val="22"/>
        </w:rPr>
        <w:t>XXXXXXXX XXXXX XXXX XXXXXXX</w:t>
      </w:r>
      <w:r w:rsidRPr="0012364D">
        <w:rPr>
          <w:rFonts w:ascii="Palatino Linotype" w:eastAsia="Palatino Linotype" w:hAnsi="Palatino Linotype" w:cs="Palatino Linotype"/>
          <w:i/>
          <w:sz w:val="22"/>
          <w:szCs w:val="22"/>
        </w:rPr>
        <w:t xml:space="preserve">, Naucalpan de Juárez, México., Naucalpan, México, cuyas coordenadas son </w:t>
      </w:r>
      <w:bookmarkStart w:id="2" w:name="_Hlk178073904"/>
      <w:proofErr w:type="gramStart"/>
      <w:r w:rsidR="00864050">
        <w:rPr>
          <w:rFonts w:ascii="Palatino Linotype" w:eastAsia="Palatino Linotype" w:hAnsi="Palatino Linotype" w:cs="Palatino Linotype"/>
          <w:i/>
          <w:sz w:val="22"/>
          <w:szCs w:val="22"/>
        </w:rPr>
        <w:t>XX</w:t>
      </w:r>
      <w:r w:rsidRPr="0012364D">
        <w:rPr>
          <w:rFonts w:ascii="Palatino Linotype" w:eastAsia="Palatino Linotype" w:hAnsi="Palatino Linotype" w:cs="Palatino Linotype"/>
          <w:i/>
          <w:sz w:val="22"/>
          <w:szCs w:val="22"/>
        </w:rPr>
        <w:t>.</w:t>
      </w:r>
      <w:r w:rsidR="00864050">
        <w:rPr>
          <w:rFonts w:ascii="Palatino Linotype" w:eastAsia="Palatino Linotype" w:hAnsi="Palatino Linotype" w:cs="Palatino Linotype"/>
          <w:i/>
          <w:sz w:val="22"/>
          <w:szCs w:val="22"/>
        </w:rPr>
        <w:t>XXXXXXXXXXXXXXX</w:t>
      </w:r>
      <w:proofErr w:type="gramEnd"/>
      <w:r w:rsidRPr="0012364D">
        <w:rPr>
          <w:rFonts w:ascii="Palatino Linotype" w:eastAsia="Palatino Linotype" w:hAnsi="Palatino Linotype" w:cs="Palatino Linotype"/>
          <w:i/>
          <w:sz w:val="22"/>
          <w:szCs w:val="22"/>
        </w:rPr>
        <w:t>, -</w:t>
      </w:r>
      <w:r w:rsidR="00864050">
        <w:rPr>
          <w:rFonts w:ascii="Palatino Linotype" w:eastAsia="Palatino Linotype" w:hAnsi="Palatino Linotype" w:cs="Palatino Linotype"/>
          <w:i/>
          <w:sz w:val="22"/>
          <w:szCs w:val="22"/>
        </w:rPr>
        <w:t>XX</w:t>
      </w:r>
      <w:r w:rsidRPr="0012364D">
        <w:rPr>
          <w:rFonts w:ascii="Palatino Linotype" w:eastAsia="Palatino Linotype" w:hAnsi="Palatino Linotype" w:cs="Palatino Linotype"/>
          <w:i/>
          <w:sz w:val="22"/>
          <w:szCs w:val="22"/>
        </w:rPr>
        <w:t>.</w:t>
      </w:r>
      <w:r w:rsidR="00864050">
        <w:rPr>
          <w:rFonts w:ascii="Palatino Linotype" w:eastAsia="Palatino Linotype" w:hAnsi="Palatino Linotype" w:cs="Palatino Linotype"/>
          <w:i/>
          <w:sz w:val="22"/>
          <w:szCs w:val="22"/>
        </w:rPr>
        <w:t>XXXXXXXXXXXXXX</w:t>
      </w:r>
      <w:bookmarkEnd w:id="2"/>
      <w:r w:rsidRPr="0012364D">
        <w:rPr>
          <w:rFonts w:ascii="Palatino Linotype" w:eastAsia="Palatino Linotype" w:hAnsi="Palatino Linotype" w:cs="Palatino Linotype"/>
          <w:i/>
          <w:sz w:val="22"/>
          <w:szCs w:val="22"/>
        </w:rPr>
        <w:t xml:space="preserve">, antes conocido como </w:t>
      </w:r>
      <w:r w:rsidR="00864050">
        <w:rPr>
          <w:rFonts w:ascii="Palatino Linotype" w:eastAsia="Palatino Linotype" w:hAnsi="Palatino Linotype" w:cs="Palatino Linotype"/>
          <w:i/>
          <w:sz w:val="22"/>
          <w:szCs w:val="22"/>
        </w:rPr>
        <w:t>XXXXX XXXX XXXXX</w:t>
      </w:r>
      <w:r w:rsidRPr="0012364D">
        <w:rPr>
          <w:rFonts w:ascii="Palatino Linotype" w:eastAsia="Palatino Linotype" w:hAnsi="Palatino Linotype" w:cs="Palatino Linotype"/>
          <w:i/>
          <w:sz w:val="22"/>
          <w:szCs w:val="22"/>
        </w:rPr>
        <w:t xml:space="preserve">, </w:t>
      </w:r>
      <w:proofErr w:type="spellStart"/>
      <w:r w:rsidRPr="0012364D">
        <w:rPr>
          <w:rFonts w:ascii="Palatino Linotype" w:eastAsia="Palatino Linotype" w:hAnsi="Palatino Linotype" w:cs="Palatino Linotype"/>
          <w:i/>
          <w:sz w:val="22"/>
          <w:szCs w:val="22"/>
        </w:rPr>
        <w:t>Asi</w:t>
      </w:r>
      <w:proofErr w:type="spellEnd"/>
      <w:r w:rsidRPr="0012364D">
        <w:rPr>
          <w:rFonts w:ascii="Palatino Linotype" w:eastAsia="Palatino Linotype" w:hAnsi="Palatino Linotype" w:cs="Palatino Linotype"/>
          <w:i/>
          <w:sz w:val="22"/>
          <w:szCs w:val="22"/>
        </w:rPr>
        <w:t xml:space="preserve"> mismo </w:t>
      </w:r>
      <w:r w:rsidRPr="0012364D">
        <w:rPr>
          <w:rFonts w:ascii="Palatino Linotype" w:eastAsia="Palatino Linotype" w:hAnsi="Palatino Linotype" w:cs="Palatino Linotype"/>
          <w:b/>
          <w:i/>
          <w:sz w:val="22"/>
          <w:szCs w:val="22"/>
          <w:u w:val="single"/>
        </w:rPr>
        <w:t>de la DIRECCIÓN GENERAL DE DESARROLLO URBANO DE NAUCALPAN</w:t>
      </w:r>
      <w:r w:rsidRPr="0012364D">
        <w:rPr>
          <w:rFonts w:ascii="Palatino Linotype" w:eastAsia="Palatino Linotype" w:hAnsi="Palatino Linotype" w:cs="Palatino Linotype"/>
          <w:i/>
          <w:sz w:val="22"/>
          <w:szCs w:val="22"/>
        </w:rPr>
        <w:t xml:space="preserve">, se me proporcione en versión publica los expedientes formados por concepto de licencias y/o autorizaciones en materia de desarrollo urbano, así como en </w:t>
      </w:r>
      <w:r w:rsidRPr="0012364D">
        <w:rPr>
          <w:rFonts w:ascii="Palatino Linotype" w:eastAsia="Palatino Linotype" w:hAnsi="Palatino Linotype" w:cs="Palatino Linotype"/>
          <w:i/>
          <w:sz w:val="22"/>
          <w:szCs w:val="22"/>
        </w:rPr>
        <w:lastRenderedPageBreak/>
        <w:t xml:space="preserve">caso de existir cambios de uso de suelo, también me sea proporcionados. </w:t>
      </w:r>
      <w:proofErr w:type="gramStart"/>
      <w:r w:rsidRPr="0012364D">
        <w:rPr>
          <w:rFonts w:ascii="Palatino Linotype" w:eastAsia="Palatino Linotype" w:hAnsi="Palatino Linotype" w:cs="Palatino Linotype"/>
          <w:i/>
          <w:sz w:val="22"/>
          <w:szCs w:val="22"/>
        </w:rPr>
        <w:t>Todos el expediente abierto</w:t>
      </w:r>
      <w:proofErr w:type="gramEnd"/>
      <w:r w:rsidRPr="0012364D">
        <w:rPr>
          <w:rFonts w:ascii="Palatino Linotype" w:eastAsia="Palatino Linotype" w:hAnsi="Palatino Linotype" w:cs="Palatino Linotype"/>
          <w:i/>
          <w:sz w:val="22"/>
          <w:szCs w:val="22"/>
        </w:rPr>
        <w:t xml:space="preserve"> con motivo de licencias en versión </w:t>
      </w:r>
      <w:proofErr w:type="spellStart"/>
      <w:r w:rsidRPr="0012364D">
        <w:rPr>
          <w:rFonts w:ascii="Palatino Linotype" w:eastAsia="Palatino Linotype" w:hAnsi="Palatino Linotype" w:cs="Palatino Linotype"/>
          <w:i/>
          <w:sz w:val="22"/>
          <w:szCs w:val="22"/>
        </w:rPr>
        <w:t>publica</w:t>
      </w:r>
      <w:proofErr w:type="spellEnd"/>
      <w:r w:rsidRPr="0012364D">
        <w:rPr>
          <w:rFonts w:ascii="Palatino Linotype" w:eastAsia="Palatino Linotype" w:hAnsi="Palatino Linotype" w:cs="Palatino Linotype"/>
          <w:i/>
          <w:sz w:val="22"/>
          <w:szCs w:val="22"/>
        </w:rPr>
        <w:t xml:space="preserve">.” (Sic) </w:t>
      </w:r>
    </w:p>
    <w:p w14:paraId="3B645DE0" w14:textId="77777777" w:rsidR="004664DE" w:rsidRPr="0012364D" w:rsidRDefault="00A7108E">
      <w:pPr>
        <w:spacing w:before="240" w:after="240" w:line="360" w:lineRule="auto"/>
        <w:ind w:right="49"/>
        <w:rPr>
          <w:rFonts w:ascii="Palatino Linotype" w:eastAsia="Palatino Linotype" w:hAnsi="Palatino Linotype" w:cs="Palatino Linotype"/>
          <w:b/>
          <w:sz w:val="22"/>
          <w:szCs w:val="22"/>
        </w:rPr>
      </w:pPr>
      <w:r w:rsidRPr="0012364D">
        <w:rPr>
          <w:rFonts w:ascii="Palatino Linotype" w:eastAsia="Palatino Linotype" w:hAnsi="Palatino Linotype" w:cs="Palatino Linotype"/>
          <w:b/>
          <w:sz w:val="22"/>
          <w:szCs w:val="22"/>
        </w:rPr>
        <w:t>Modalidad de Entrega:</w:t>
      </w:r>
      <w:r w:rsidRPr="0012364D">
        <w:rPr>
          <w:rFonts w:ascii="Palatino Linotype" w:eastAsia="Palatino Linotype" w:hAnsi="Palatino Linotype" w:cs="Palatino Linotype"/>
          <w:sz w:val="22"/>
          <w:szCs w:val="22"/>
        </w:rPr>
        <w:t xml:space="preserve"> A través </w:t>
      </w:r>
      <w:r w:rsidRPr="0012364D">
        <w:rPr>
          <w:rFonts w:ascii="Palatino Linotype" w:eastAsia="Palatino Linotype" w:hAnsi="Palatino Linotype" w:cs="Palatino Linotype"/>
          <w:b/>
          <w:sz w:val="22"/>
          <w:szCs w:val="22"/>
        </w:rPr>
        <w:t>del SAIMEX.</w:t>
      </w:r>
    </w:p>
    <w:p w14:paraId="147238FA" w14:textId="77777777" w:rsidR="004664DE" w:rsidRPr="0012364D" w:rsidRDefault="00A7108E">
      <w:pPr>
        <w:spacing w:before="240" w:after="240" w:line="360" w:lineRule="auto"/>
        <w:jc w:val="both"/>
        <w:rPr>
          <w:rFonts w:ascii="Palatino Linotype" w:eastAsia="Palatino Linotype" w:hAnsi="Palatino Linotype" w:cs="Palatino Linotype"/>
          <w:b/>
          <w:sz w:val="22"/>
          <w:szCs w:val="22"/>
        </w:rPr>
      </w:pPr>
      <w:bookmarkStart w:id="3" w:name="_heading=h.3dy6vkm" w:colFirst="0" w:colLast="0"/>
      <w:bookmarkEnd w:id="3"/>
      <w:r w:rsidRPr="0012364D">
        <w:rPr>
          <w:rFonts w:ascii="Palatino Linotype" w:eastAsia="Palatino Linotype" w:hAnsi="Palatino Linotype" w:cs="Palatino Linotype"/>
          <w:b/>
          <w:sz w:val="22"/>
          <w:szCs w:val="22"/>
        </w:rPr>
        <w:t xml:space="preserve">2. Respuesta. </w:t>
      </w:r>
      <w:r w:rsidRPr="0012364D">
        <w:rPr>
          <w:rFonts w:ascii="Palatino Linotype" w:eastAsia="Palatino Linotype" w:hAnsi="Palatino Linotype" w:cs="Palatino Linotype"/>
          <w:sz w:val="22"/>
          <w:szCs w:val="22"/>
        </w:rPr>
        <w:t xml:space="preserve">El </w:t>
      </w:r>
      <w:r w:rsidRPr="0012364D">
        <w:rPr>
          <w:rFonts w:ascii="Palatino Linotype" w:eastAsia="Palatino Linotype" w:hAnsi="Palatino Linotype" w:cs="Palatino Linotype"/>
          <w:b/>
          <w:sz w:val="22"/>
          <w:szCs w:val="22"/>
        </w:rPr>
        <w:t>dieciocho de junio de dos mil veinticuatro</w:t>
      </w:r>
      <w:r w:rsidRPr="0012364D">
        <w:rPr>
          <w:rFonts w:ascii="Palatino Linotype" w:eastAsia="Palatino Linotype" w:hAnsi="Palatino Linotype" w:cs="Palatino Linotype"/>
          <w:sz w:val="22"/>
          <w:szCs w:val="22"/>
        </w:rPr>
        <w:t xml:space="preserve">, el </w:t>
      </w:r>
      <w:r w:rsidRPr="0012364D">
        <w:rPr>
          <w:rFonts w:ascii="Palatino Linotype" w:eastAsia="Palatino Linotype" w:hAnsi="Palatino Linotype" w:cs="Palatino Linotype"/>
          <w:b/>
          <w:sz w:val="22"/>
          <w:szCs w:val="22"/>
        </w:rPr>
        <w:t xml:space="preserve">Sujeto Obligado </w:t>
      </w:r>
      <w:r w:rsidRPr="0012364D">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7D007B79" w14:textId="77777777" w:rsidR="004664DE" w:rsidRPr="0012364D" w:rsidRDefault="00A7108E">
      <w:pPr>
        <w:spacing w:before="240" w:after="240"/>
        <w:ind w:left="567" w:right="902"/>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8DDB0D" w14:textId="39E13765" w:rsidR="004664DE" w:rsidRPr="0012364D" w:rsidRDefault="00864050">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XXXXXXXX XXX XXXXXXX XXXXXXXXXXX</w:t>
      </w:r>
      <w:r w:rsidR="00A7108E" w:rsidRPr="0012364D">
        <w:rPr>
          <w:rFonts w:ascii="Palatino Linotype" w:eastAsia="Palatino Linotype" w:hAnsi="Palatino Linotype" w:cs="Palatino Linotype"/>
          <w:i/>
          <w:sz w:val="22"/>
          <w:szCs w:val="22"/>
        </w:rPr>
        <w:t>. PRESENTE. Me permito informarle que se solicitó a la Subdirección de Operación Urbana y la Subdirección de Planeación y Evaluación Urbana adscritas a la Dirección General de Desarrollo Urbano, de acuerdo a sus atribuciones y facultades puede generar y/o poseer la información solicitada. En relación a lo anterior, por este medio se hace entrega de los oficios DGDU/SPYEU/147/2024 y DGDU/SOU/IV/260/2024, que contienen la respuesta a su solicitud.</w:t>
      </w:r>
    </w:p>
    <w:p w14:paraId="5B195292" w14:textId="77777777" w:rsidR="004664DE" w:rsidRPr="0012364D" w:rsidRDefault="00A7108E">
      <w:pPr>
        <w:spacing w:before="240" w:after="240"/>
        <w:ind w:left="567" w:right="902"/>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ATENTAMENTE</w:t>
      </w:r>
    </w:p>
    <w:p w14:paraId="75818480" w14:textId="77777777" w:rsidR="004664DE" w:rsidRPr="0012364D" w:rsidRDefault="00A7108E">
      <w:pPr>
        <w:spacing w:before="240" w:after="240"/>
        <w:ind w:left="567" w:right="902"/>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MTRO. CARLOS MICHEL MOLINA HERRERA” (Sic)</w:t>
      </w:r>
    </w:p>
    <w:p w14:paraId="04C51E10" w14:textId="77777777" w:rsidR="004664DE" w:rsidRPr="0012364D" w:rsidRDefault="00A7108E">
      <w:pPr>
        <w:spacing w:before="240" w:after="240"/>
        <w:ind w:left="567" w:right="902"/>
        <w:jc w:val="both"/>
        <w:rPr>
          <w:rFonts w:ascii="Palatino Linotype" w:eastAsia="Palatino Linotype" w:hAnsi="Palatino Linotype" w:cs="Palatino Linotype"/>
          <w:b/>
          <w:sz w:val="22"/>
          <w:szCs w:val="22"/>
        </w:rPr>
      </w:pPr>
      <w:r w:rsidRPr="0012364D">
        <w:rPr>
          <w:rFonts w:ascii="Palatino Linotype" w:eastAsia="Palatino Linotype" w:hAnsi="Palatino Linotype" w:cs="Palatino Linotype"/>
          <w:b/>
          <w:sz w:val="22"/>
          <w:szCs w:val="22"/>
        </w:rPr>
        <w:t>Archivos adjuntos:</w:t>
      </w:r>
    </w:p>
    <w:p w14:paraId="191EED29" w14:textId="77777777" w:rsidR="004664DE" w:rsidRPr="0012364D" w:rsidRDefault="00A7108E">
      <w:pPr>
        <w:spacing w:before="240" w:after="240" w:line="360" w:lineRule="auto"/>
        <w:ind w:left="567" w:right="902"/>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i/>
          <w:sz w:val="22"/>
          <w:szCs w:val="22"/>
        </w:rPr>
        <w:t xml:space="preserve">“RS_43_24.pdf”: </w:t>
      </w:r>
      <w:r w:rsidRPr="0012364D">
        <w:rPr>
          <w:rFonts w:ascii="Palatino Linotype" w:eastAsia="Palatino Linotype" w:hAnsi="Palatino Linotype" w:cs="Palatino Linotype"/>
          <w:sz w:val="22"/>
          <w:szCs w:val="22"/>
        </w:rPr>
        <w:t>Documento que se compone de dos fojas y contiene lo siguiente:</w:t>
      </w:r>
    </w:p>
    <w:p w14:paraId="527CEADA" w14:textId="77777777" w:rsidR="004664DE" w:rsidRPr="0012364D" w:rsidRDefault="00A7108E">
      <w:pPr>
        <w:numPr>
          <w:ilvl w:val="0"/>
          <w:numId w:val="1"/>
        </w:numPr>
        <w:pBdr>
          <w:top w:val="nil"/>
          <w:left w:val="nil"/>
          <w:bottom w:val="nil"/>
          <w:right w:val="nil"/>
          <w:between w:val="nil"/>
        </w:pBdr>
        <w:spacing w:before="240" w:line="360" w:lineRule="auto"/>
        <w:ind w:right="902"/>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Oficio DGDU/SOU/IV/260/2024, suscrito por el Subdirector de Operación Urbana de la Dirección General de Desarrollo Urbano, quien refiere que se realizó una búsqueda exhaustiva y minuciosa en base de datos, archivos físicos con los que cuenta actualmente en posesión, los Departamentos de Licencias de Construcción y Uso y Control del Suelo, </w:t>
      </w:r>
      <w:r w:rsidRPr="0012364D">
        <w:rPr>
          <w:rFonts w:ascii="Palatino Linotype" w:eastAsia="Palatino Linotype" w:hAnsi="Palatino Linotype" w:cs="Palatino Linotype"/>
          <w:sz w:val="22"/>
          <w:szCs w:val="22"/>
        </w:rPr>
        <w:lastRenderedPageBreak/>
        <w:t>ambos a cargo de esta Subdirección de Operación Urbana, y no se localizó el registro de expediente, antecedente o solicitud para el predio que se indica en la petición de la plataforma.</w:t>
      </w:r>
    </w:p>
    <w:p w14:paraId="1D4A8670" w14:textId="77777777" w:rsidR="004664DE" w:rsidRPr="0012364D" w:rsidRDefault="00A7108E">
      <w:pPr>
        <w:numPr>
          <w:ilvl w:val="0"/>
          <w:numId w:val="1"/>
        </w:numPr>
        <w:pBdr>
          <w:top w:val="nil"/>
          <w:left w:val="nil"/>
          <w:bottom w:val="nil"/>
          <w:right w:val="nil"/>
          <w:between w:val="nil"/>
        </w:pBdr>
        <w:spacing w:after="240" w:line="360" w:lineRule="auto"/>
        <w:ind w:right="902"/>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Oficio DGDU/</w:t>
      </w:r>
      <w:proofErr w:type="spellStart"/>
      <w:r w:rsidRPr="0012364D">
        <w:rPr>
          <w:rFonts w:ascii="Palatino Linotype" w:eastAsia="Palatino Linotype" w:hAnsi="Palatino Linotype" w:cs="Palatino Linotype"/>
          <w:sz w:val="22"/>
          <w:szCs w:val="22"/>
        </w:rPr>
        <w:t>SPyEU</w:t>
      </w:r>
      <w:proofErr w:type="spellEnd"/>
      <w:r w:rsidRPr="0012364D">
        <w:rPr>
          <w:rFonts w:ascii="Palatino Linotype" w:eastAsia="Palatino Linotype" w:hAnsi="Palatino Linotype" w:cs="Palatino Linotype"/>
          <w:sz w:val="22"/>
          <w:szCs w:val="22"/>
        </w:rPr>
        <w:t xml:space="preserve">/147/2024, suscrito por el </w:t>
      </w:r>
      <w:proofErr w:type="gramStart"/>
      <w:r w:rsidRPr="0012364D">
        <w:rPr>
          <w:rFonts w:ascii="Palatino Linotype" w:eastAsia="Palatino Linotype" w:hAnsi="Palatino Linotype" w:cs="Palatino Linotype"/>
          <w:sz w:val="22"/>
          <w:szCs w:val="22"/>
        </w:rPr>
        <w:t>Director General</w:t>
      </w:r>
      <w:proofErr w:type="gramEnd"/>
      <w:r w:rsidRPr="0012364D">
        <w:rPr>
          <w:rFonts w:ascii="Palatino Linotype" w:eastAsia="Palatino Linotype" w:hAnsi="Palatino Linotype" w:cs="Palatino Linotype"/>
          <w:sz w:val="22"/>
          <w:szCs w:val="22"/>
        </w:rPr>
        <w:t xml:space="preserve"> de Desarrollo Urbano del Municipio de Naucalpan de Juárez, en el cual refiere que no se localizó ningún registro en los archivos de trámites, archivos electrónicos, acta entrega-recepción e inventarios de transferencias primarias al archivo de concentración. </w:t>
      </w:r>
    </w:p>
    <w:p w14:paraId="4F1436FA" w14:textId="77777777" w:rsidR="004664DE" w:rsidRPr="0012364D" w:rsidRDefault="00A7108E">
      <w:pPr>
        <w:spacing w:before="240" w:after="240" w:line="360" w:lineRule="auto"/>
        <w:ind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sz w:val="22"/>
          <w:szCs w:val="22"/>
        </w:rPr>
        <w:t xml:space="preserve">3. Interposición del recurso de revisión. </w:t>
      </w:r>
      <w:r w:rsidRPr="0012364D">
        <w:rPr>
          <w:rFonts w:ascii="Palatino Linotype" w:eastAsia="Palatino Linotype" w:hAnsi="Palatino Linotype" w:cs="Palatino Linotype"/>
          <w:sz w:val="22"/>
          <w:szCs w:val="22"/>
        </w:rPr>
        <w:t xml:space="preserve">Inconforme con los términos de la respuesta emitida por parte del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el</w:t>
      </w:r>
      <w:r w:rsidRPr="0012364D">
        <w:rPr>
          <w:rFonts w:ascii="Palatino Linotype" w:eastAsia="Palatino Linotype" w:hAnsi="Palatino Linotype" w:cs="Palatino Linotype"/>
          <w:b/>
          <w:sz w:val="22"/>
          <w:szCs w:val="22"/>
        </w:rPr>
        <w:t xml:space="preserve"> diecinueve de junio de dos mil veinticuatro,</w:t>
      </w: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sz w:val="22"/>
          <w:szCs w:val="22"/>
        </w:rPr>
        <w:t>la parte</w:t>
      </w: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sz w:val="22"/>
          <w:szCs w:val="22"/>
        </w:rPr>
        <w:t>Recurrente</w:t>
      </w:r>
      <w:r w:rsidRPr="0012364D">
        <w:rPr>
          <w:rFonts w:ascii="Palatino Linotype" w:eastAsia="Palatino Linotype" w:hAnsi="Palatino Linotype" w:cs="Palatino Linotype"/>
          <w:sz w:val="22"/>
          <w:szCs w:val="22"/>
        </w:rPr>
        <w:t xml:space="preserve"> interpuso el recurso de revisión a través de </w:t>
      </w:r>
      <w:r w:rsidRPr="0012364D">
        <w:rPr>
          <w:rFonts w:ascii="Palatino Linotype" w:eastAsia="Palatino Linotype" w:hAnsi="Palatino Linotype" w:cs="Palatino Linotype"/>
          <w:b/>
          <w:sz w:val="22"/>
          <w:szCs w:val="22"/>
        </w:rPr>
        <w:t xml:space="preserve">SAIMEX, </w:t>
      </w:r>
      <w:r w:rsidRPr="0012364D">
        <w:rPr>
          <w:rFonts w:ascii="Palatino Linotype" w:eastAsia="Palatino Linotype" w:hAnsi="Palatino Linotype" w:cs="Palatino Linotype"/>
          <w:sz w:val="22"/>
          <w:szCs w:val="22"/>
        </w:rPr>
        <w:t>en donde se manifestó de la siguiente manera:</w:t>
      </w:r>
    </w:p>
    <w:p w14:paraId="558DE8D0" w14:textId="77777777" w:rsidR="004664DE" w:rsidRPr="0012364D" w:rsidRDefault="00A7108E">
      <w:pPr>
        <w:tabs>
          <w:tab w:val="left" w:pos="2745"/>
        </w:tabs>
        <w:spacing w:before="240" w:after="240"/>
        <w:ind w:left="567" w:right="900"/>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sz w:val="22"/>
          <w:szCs w:val="22"/>
        </w:rPr>
        <w:t xml:space="preserve">a) Acto impugnado: </w:t>
      </w:r>
      <w:r w:rsidRPr="0012364D">
        <w:rPr>
          <w:rFonts w:ascii="Palatino Linotype" w:eastAsia="Palatino Linotype" w:hAnsi="Palatino Linotype" w:cs="Palatino Linotype"/>
          <w:i/>
          <w:sz w:val="22"/>
          <w:szCs w:val="22"/>
        </w:rPr>
        <w:t>“</w:t>
      </w:r>
      <w:r w:rsidRPr="0012364D">
        <w:rPr>
          <w:rFonts w:ascii="Palatino Linotype" w:eastAsia="Palatino Linotype" w:hAnsi="Palatino Linotype" w:cs="Palatino Linotype"/>
          <w:b/>
          <w:i/>
          <w:sz w:val="22"/>
          <w:szCs w:val="22"/>
          <w:u w:val="single"/>
        </w:rPr>
        <w:t>los oficios DGDU/SPYEU/147/2024 y DGDU/SOU/IV/260/2024, que contienen la respuesta a mi solicitud y con la cual se niega que esa información que tiene todos los elementos para verificar con un dato u otro que ahí existe una obra</w:t>
      </w:r>
      <w:r w:rsidRPr="0012364D">
        <w:rPr>
          <w:rFonts w:ascii="Palatino Linotype" w:eastAsia="Palatino Linotype" w:hAnsi="Palatino Linotype" w:cs="Palatino Linotype"/>
          <w:i/>
          <w:sz w:val="22"/>
          <w:szCs w:val="22"/>
        </w:rPr>
        <w:t xml:space="preserve">. y no es posible que digan que no existe. nada </w:t>
      </w:r>
      <w:r w:rsidRPr="0012364D">
        <w:rPr>
          <w:rFonts w:ascii="Palatino Linotype" w:eastAsia="Palatino Linotype" w:hAnsi="Palatino Linotype" w:cs="Palatino Linotype"/>
          <w:b/>
          <w:i/>
          <w:sz w:val="22"/>
          <w:szCs w:val="22"/>
          <w:u w:val="single"/>
        </w:rPr>
        <w:t>cuando solo como ciudadano se puede dar lo que aparece en las georreferenciales o en un dato que ya es conocido.19.486899710676497</w:t>
      </w:r>
      <w:r w:rsidRPr="0012364D">
        <w:rPr>
          <w:rFonts w:ascii="Palatino Linotype" w:eastAsia="Palatino Linotype" w:hAnsi="Palatino Linotype" w:cs="Palatino Linotype"/>
          <w:i/>
          <w:sz w:val="22"/>
          <w:szCs w:val="22"/>
        </w:rPr>
        <w:t xml:space="preserve">, -99.24052980873473, que son absolutamente fieles para que identifique que ahí están haciendo un montón de edificios, multifamiliares y no quieren entregar la información. </w:t>
      </w:r>
      <w:proofErr w:type="gramStart"/>
      <w:r w:rsidRPr="0012364D">
        <w:rPr>
          <w:rFonts w:ascii="Palatino Linotype" w:eastAsia="Palatino Linotype" w:hAnsi="Palatino Linotype" w:cs="Palatino Linotype"/>
          <w:b/>
          <w:i/>
          <w:sz w:val="22"/>
          <w:szCs w:val="22"/>
          <w:u w:val="single"/>
        </w:rPr>
        <w:t>además</w:t>
      </w:r>
      <w:proofErr w:type="gramEnd"/>
      <w:r w:rsidRPr="0012364D">
        <w:rPr>
          <w:rFonts w:ascii="Palatino Linotype" w:eastAsia="Palatino Linotype" w:hAnsi="Palatino Linotype" w:cs="Palatino Linotype"/>
          <w:b/>
          <w:i/>
          <w:sz w:val="22"/>
          <w:szCs w:val="22"/>
          <w:u w:val="single"/>
        </w:rPr>
        <w:t xml:space="preserve"> EL ORGANISMO DEL AGUA DEBERIA TAMBIEN EMITIDO LA RESPUESTA FIEL A LO SOLICITADO.</w:t>
      </w:r>
      <w:r w:rsidRPr="0012364D">
        <w:rPr>
          <w:rFonts w:ascii="Palatino Linotype" w:eastAsia="Palatino Linotype" w:hAnsi="Palatino Linotype" w:cs="Palatino Linotype"/>
          <w:i/>
          <w:sz w:val="22"/>
          <w:szCs w:val="22"/>
        </w:rPr>
        <w:t>” (Sic)</w:t>
      </w:r>
    </w:p>
    <w:p w14:paraId="40296527" w14:textId="178DD7A7" w:rsidR="004664DE" w:rsidRPr="0012364D" w:rsidRDefault="00A7108E">
      <w:pPr>
        <w:ind w:left="567" w:right="900"/>
        <w:jc w:val="both"/>
        <w:rPr>
          <w:rFonts w:ascii="Palatino Linotype" w:eastAsia="Palatino Linotype" w:hAnsi="Palatino Linotype" w:cs="Palatino Linotype"/>
          <w:i/>
          <w:sz w:val="22"/>
          <w:szCs w:val="22"/>
        </w:rPr>
      </w:pPr>
      <w:bookmarkStart w:id="4" w:name="_heading=h.30j0zll" w:colFirst="0" w:colLast="0"/>
      <w:bookmarkEnd w:id="4"/>
      <w:r w:rsidRPr="0012364D">
        <w:rPr>
          <w:rFonts w:ascii="Palatino Linotype" w:eastAsia="Palatino Linotype" w:hAnsi="Palatino Linotype" w:cs="Palatino Linotype"/>
          <w:b/>
          <w:sz w:val="22"/>
          <w:szCs w:val="22"/>
        </w:rPr>
        <w:t>b) Razones o motivos de inconformidad</w:t>
      </w: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i/>
          <w:sz w:val="22"/>
          <w:szCs w:val="22"/>
        </w:rPr>
        <w:t>“</w:t>
      </w:r>
      <w:proofErr w:type="spellStart"/>
      <w:r w:rsidRPr="0012364D">
        <w:rPr>
          <w:rFonts w:ascii="Palatino Linotype" w:eastAsia="Palatino Linotype" w:hAnsi="Palatino Linotype" w:cs="Palatino Linotype"/>
          <w:i/>
          <w:sz w:val="22"/>
          <w:szCs w:val="22"/>
        </w:rPr>
        <w:t>olicito</w:t>
      </w:r>
      <w:proofErr w:type="spellEnd"/>
      <w:r w:rsidRPr="0012364D">
        <w:rPr>
          <w:rFonts w:ascii="Palatino Linotype" w:eastAsia="Palatino Linotype" w:hAnsi="Palatino Linotype" w:cs="Palatino Linotype"/>
          <w:i/>
          <w:sz w:val="22"/>
          <w:szCs w:val="22"/>
        </w:rPr>
        <w:t xml:space="preserve"> del OAPAS NAUCALPAN Organismo Público Descentralizado para la Prestación de los Servicios de Agua Potable, Alcantarillado y Saneamiento del Municipio de </w:t>
      </w:r>
      <w:proofErr w:type="spellStart"/>
      <w:r w:rsidRPr="0012364D">
        <w:rPr>
          <w:rFonts w:ascii="Palatino Linotype" w:eastAsia="Palatino Linotype" w:hAnsi="Palatino Linotype" w:cs="Palatino Linotype"/>
          <w:i/>
          <w:sz w:val="22"/>
          <w:szCs w:val="22"/>
        </w:rPr>
        <w:t>Naualpan</w:t>
      </w:r>
      <w:proofErr w:type="spellEnd"/>
      <w:r w:rsidRPr="0012364D">
        <w:rPr>
          <w:rFonts w:ascii="Palatino Linotype" w:eastAsia="Palatino Linotype" w:hAnsi="Palatino Linotype" w:cs="Palatino Linotype"/>
          <w:i/>
          <w:sz w:val="22"/>
          <w:szCs w:val="22"/>
        </w:rPr>
        <w:t xml:space="preserve">, me proporcione el expediente completo en versión publica formulado respecto a la factibilidad otorgada al inmueble ubicado en el desarrollo inmobiliario que corresponde al DOMICILIO </w:t>
      </w:r>
      <w:r w:rsidR="00864050" w:rsidRPr="00864050">
        <w:rPr>
          <w:rFonts w:ascii="Palatino Linotype" w:eastAsia="Palatino Linotype" w:hAnsi="Palatino Linotype" w:cs="Palatino Linotype"/>
          <w:i/>
          <w:sz w:val="22"/>
          <w:szCs w:val="22"/>
        </w:rPr>
        <w:t>XX. XXXXX XXXX, XXXXXXXX XXXXX XXXX XXXXXXX</w:t>
      </w:r>
      <w:r w:rsidRPr="0012364D">
        <w:rPr>
          <w:rFonts w:ascii="Palatino Linotype" w:eastAsia="Palatino Linotype" w:hAnsi="Palatino Linotype" w:cs="Palatino Linotype"/>
          <w:i/>
          <w:sz w:val="22"/>
          <w:szCs w:val="22"/>
        </w:rPr>
        <w:t xml:space="preserve">, Naucalpan de Juárez, México., Naucalpan, México, cuyas coordenadas son </w:t>
      </w:r>
      <w:proofErr w:type="gramStart"/>
      <w:r w:rsidR="00864050" w:rsidRPr="00864050">
        <w:rPr>
          <w:rFonts w:ascii="Palatino Linotype" w:eastAsia="Palatino Linotype" w:hAnsi="Palatino Linotype" w:cs="Palatino Linotype"/>
          <w:i/>
          <w:sz w:val="22"/>
          <w:szCs w:val="22"/>
        </w:rPr>
        <w:t>XX.XXXXXXXXXXXXXXX</w:t>
      </w:r>
      <w:proofErr w:type="gramEnd"/>
      <w:r w:rsidR="00864050" w:rsidRPr="00864050">
        <w:rPr>
          <w:rFonts w:ascii="Palatino Linotype" w:eastAsia="Palatino Linotype" w:hAnsi="Palatino Linotype" w:cs="Palatino Linotype"/>
          <w:i/>
          <w:sz w:val="22"/>
          <w:szCs w:val="22"/>
        </w:rPr>
        <w:t>, -XX.XXXXXXXXXXXXXX</w:t>
      </w:r>
      <w:r w:rsidRPr="0012364D">
        <w:rPr>
          <w:rFonts w:ascii="Palatino Linotype" w:eastAsia="Palatino Linotype" w:hAnsi="Palatino Linotype" w:cs="Palatino Linotype"/>
          <w:i/>
          <w:sz w:val="22"/>
          <w:szCs w:val="22"/>
        </w:rPr>
        <w:t xml:space="preserve">, antes conocido </w:t>
      </w:r>
      <w:r w:rsidRPr="0012364D">
        <w:rPr>
          <w:rFonts w:ascii="Palatino Linotype" w:eastAsia="Palatino Linotype" w:hAnsi="Palatino Linotype" w:cs="Palatino Linotype"/>
          <w:i/>
          <w:sz w:val="22"/>
          <w:szCs w:val="22"/>
        </w:rPr>
        <w:lastRenderedPageBreak/>
        <w:t xml:space="preserve">como </w:t>
      </w:r>
      <w:r w:rsidR="00864050">
        <w:rPr>
          <w:rFonts w:ascii="Palatino Linotype" w:eastAsia="Palatino Linotype" w:hAnsi="Palatino Linotype" w:cs="Palatino Linotype"/>
          <w:i/>
          <w:sz w:val="22"/>
          <w:szCs w:val="22"/>
        </w:rPr>
        <w:t>XXXXX XXXX XXXXX</w:t>
      </w:r>
      <w:r w:rsidRPr="0012364D">
        <w:rPr>
          <w:rFonts w:ascii="Palatino Linotype" w:eastAsia="Palatino Linotype" w:hAnsi="Palatino Linotype" w:cs="Palatino Linotype"/>
          <w:i/>
          <w:sz w:val="22"/>
          <w:szCs w:val="22"/>
        </w:rPr>
        <w:t xml:space="preserve">, </w:t>
      </w:r>
      <w:proofErr w:type="spellStart"/>
      <w:r w:rsidRPr="0012364D">
        <w:rPr>
          <w:rFonts w:ascii="Palatino Linotype" w:eastAsia="Palatino Linotype" w:hAnsi="Palatino Linotype" w:cs="Palatino Linotype"/>
          <w:i/>
          <w:sz w:val="22"/>
          <w:szCs w:val="22"/>
        </w:rPr>
        <w:t>Asi</w:t>
      </w:r>
      <w:proofErr w:type="spellEnd"/>
      <w:r w:rsidRPr="0012364D">
        <w:rPr>
          <w:rFonts w:ascii="Palatino Linotype" w:eastAsia="Palatino Linotype" w:hAnsi="Palatino Linotype" w:cs="Palatino Linotype"/>
          <w:i/>
          <w:sz w:val="22"/>
          <w:szCs w:val="22"/>
        </w:rPr>
        <w:t xml:space="preserve"> mismo de la DIRECCIÓN GENERAL DE DESARROLLO URBANO DE NAUCALPAN, se me proporcione en versión publica los expedientes formados por concepto de licencias y/o autorizaciones en materia de desarrollo urbano, así como en caso de existir cambios de uso de suelo, también me sea proporcionados. </w:t>
      </w:r>
      <w:proofErr w:type="gramStart"/>
      <w:r w:rsidRPr="0012364D">
        <w:rPr>
          <w:rFonts w:ascii="Palatino Linotype" w:eastAsia="Palatino Linotype" w:hAnsi="Palatino Linotype" w:cs="Palatino Linotype"/>
          <w:i/>
          <w:sz w:val="22"/>
          <w:szCs w:val="22"/>
        </w:rPr>
        <w:t>Todos el expediente abierto</w:t>
      </w:r>
      <w:proofErr w:type="gramEnd"/>
      <w:r w:rsidRPr="0012364D">
        <w:rPr>
          <w:rFonts w:ascii="Palatino Linotype" w:eastAsia="Palatino Linotype" w:hAnsi="Palatino Linotype" w:cs="Palatino Linotype"/>
          <w:i/>
          <w:sz w:val="22"/>
          <w:szCs w:val="22"/>
        </w:rPr>
        <w:t xml:space="preserve"> con motivo de licencias en versión </w:t>
      </w:r>
      <w:proofErr w:type="spellStart"/>
      <w:r w:rsidRPr="0012364D">
        <w:rPr>
          <w:rFonts w:ascii="Palatino Linotype" w:eastAsia="Palatino Linotype" w:hAnsi="Palatino Linotype" w:cs="Palatino Linotype"/>
          <w:i/>
          <w:sz w:val="22"/>
          <w:szCs w:val="22"/>
        </w:rPr>
        <w:t>publica</w:t>
      </w:r>
      <w:proofErr w:type="spellEnd"/>
      <w:r w:rsidRPr="0012364D">
        <w:rPr>
          <w:rFonts w:ascii="Palatino Linotype" w:eastAsia="Palatino Linotype" w:hAnsi="Palatino Linotype" w:cs="Palatino Linotype"/>
          <w:i/>
          <w:sz w:val="22"/>
          <w:szCs w:val="22"/>
        </w:rPr>
        <w:t>.” (Sic)</w:t>
      </w:r>
    </w:p>
    <w:p w14:paraId="0F1A7119" w14:textId="77777777" w:rsidR="004664DE" w:rsidRPr="0012364D" w:rsidRDefault="004664DE">
      <w:pPr>
        <w:ind w:left="567" w:right="900"/>
        <w:jc w:val="both"/>
        <w:rPr>
          <w:rFonts w:ascii="Palatino Linotype" w:eastAsia="Palatino Linotype" w:hAnsi="Palatino Linotype" w:cs="Palatino Linotype"/>
          <w:sz w:val="22"/>
          <w:szCs w:val="22"/>
        </w:rPr>
      </w:pPr>
    </w:p>
    <w:p w14:paraId="04717D17" w14:textId="77777777" w:rsidR="004664DE" w:rsidRPr="0012364D" w:rsidRDefault="00A7108E">
      <w:pPr>
        <w:ind w:left="567" w:right="900"/>
        <w:jc w:val="both"/>
        <w:rPr>
          <w:rFonts w:ascii="Palatino Linotype" w:eastAsia="Palatino Linotype" w:hAnsi="Palatino Linotype" w:cs="Palatino Linotype"/>
          <w:b/>
          <w:sz w:val="22"/>
          <w:szCs w:val="22"/>
        </w:rPr>
      </w:pPr>
      <w:r w:rsidRPr="0012364D">
        <w:rPr>
          <w:rFonts w:ascii="Palatino Linotype" w:eastAsia="Palatino Linotype" w:hAnsi="Palatino Linotype" w:cs="Palatino Linotype"/>
          <w:b/>
          <w:sz w:val="22"/>
          <w:szCs w:val="22"/>
        </w:rPr>
        <w:t>Archivos adjuntos:</w:t>
      </w:r>
    </w:p>
    <w:p w14:paraId="10D886E4" w14:textId="77777777" w:rsidR="004664DE" w:rsidRPr="0012364D" w:rsidRDefault="004664DE">
      <w:pPr>
        <w:ind w:left="567" w:right="900"/>
        <w:jc w:val="both"/>
        <w:rPr>
          <w:rFonts w:ascii="Palatino Linotype" w:eastAsia="Palatino Linotype" w:hAnsi="Palatino Linotype" w:cs="Palatino Linotype"/>
          <w:sz w:val="22"/>
          <w:szCs w:val="22"/>
        </w:rPr>
      </w:pPr>
    </w:p>
    <w:p w14:paraId="5DBBA0C2" w14:textId="77777777" w:rsidR="004664DE" w:rsidRPr="0012364D" w:rsidRDefault="00A7108E">
      <w:pPr>
        <w:spacing w:line="360" w:lineRule="auto"/>
        <w:ind w:left="567" w:right="900"/>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i/>
          <w:sz w:val="22"/>
          <w:szCs w:val="22"/>
        </w:rPr>
        <w:t xml:space="preserve">“Proyecto multifamiliar en lomas verdes.docx”: </w:t>
      </w:r>
      <w:r w:rsidRPr="0012364D">
        <w:rPr>
          <w:rFonts w:ascii="Palatino Linotype" w:eastAsia="Palatino Linotype" w:hAnsi="Palatino Linotype" w:cs="Palatino Linotype"/>
          <w:sz w:val="22"/>
          <w:szCs w:val="22"/>
        </w:rPr>
        <w:t xml:space="preserve">Consiste en una foja en la que </w:t>
      </w:r>
      <w:r w:rsidRPr="0012364D">
        <w:rPr>
          <w:rFonts w:ascii="Palatino Linotype" w:eastAsia="Palatino Linotype" w:hAnsi="Palatino Linotype" w:cs="Palatino Linotype"/>
          <w:b/>
          <w:sz w:val="22"/>
          <w:szCs w:val="22"/>
        </w:rPr>
        <w:t>la parte Recurrente</w:t>
      </w:r>
      <w:r w:rsidRPr="0012364D">
        <w:rPr>
          <w:rFonts w:ascii="Palatino Linotype" w:eastAsia="Palatino Linotype" w:hAnsi="Palatino Linotype" w:cs="Palatino Linotype"/>
          <w:sz w:val="22"/>
          <w:szCs w:val="22"/>
        </w:rPr>
        <w:t xml:space="preserve"> proporciona una captura de pantalla obtenida de la aplicación </w:t>
      </w:r>
      <w:proofErr w:type="spellStart"/>
      <w:r w:rsidRPr="0012364D">
        <w:rPr>
          <w:rFonts w:ascii="Palatino Linotype" w:eastAsia="Palatino Linotype" w:hAnsi="Palatino Linotype" w:cs="Palatino Linotype"/>
          <w:sz w:val="22"/>
          <w:szCs w:val="22"/>
        </w:rPr>
        <w:t>google</w:t>
      </w:r>
      <w:proofErr w:type="spellEnd"/>
      <w:r w:rsidRPr="0012364D">
        <w:rPr>
          <w:rFonts w:ascii="Palatino Linotype" w:eastAsia="Palatino Linotype" w:hAnsi="Palatino Linotype" w:cs="Palatino Linotype"/>
          <w:sz w:val="22"/>
          <w:szCs w:val="22"/>
        </w:rPr>
        <w:t xml:space="preserve"> </w:t>
      </w:r>
      <w:proofErr w:type="spellStart"/>
      <w:r w:rsidRPr="0012364D">
        <w:rPr>
          <w:rFonts w:ascii="Palatino Linotype" w:eastAsia="Palatino Linotype" w:hAnsi="Palatino Linotype" w:cs="Palatino Linotype"/>
          <w:sz w:val="22"/>
          <w:szCs w:val="22"/>
        </w:rPr>
        <w:t>maps</w:t>
      </w:r>
      <w:proofErr w:type="spellEnd"/>
      <w:r w:rsidRPr="0012364D">
        <w:rPr>
          <w:rFonts w:ascii="Palatino Linotype" w:eastAsia="Palatino Linotype" w:hAnsi="Palatino Linotype" w:cs="Palatino Linotype"/>
          <w:sz w:val="22"/>
          <w:szCs w:val="22"/>
        </w:rPr>
        <w:t xml:space="preserve"> en la que refiere la actual ubicación del proyecto multifamiliar en lomas verdes, el cual es materia de la solicitud de información.</w:t>
      </w:r>
    </w:p>
    <w:p w14:paraId="02131AB5" w14:textId="77777777" w:rsidR="004664DE" w:rsidRPr="0012364D" w:rsidRDefault="004664DE">
      <w:pPr>
        <w:ind w:left="567" w:right="900"/>
        <w:jc w:val="both"/>
        <w:rPr>
          <w:rFonts w:ascii="Palatino Linotype" w:eastAsia="Palatino Linotype" w:hAnsi="Palatino Linotype" w:cs="Palatino Linotype"/>
          <w:sz w:val="22"/>
          <w:szCs w:val="22"/>
        </w:rPr>
      </w:pPr>
    </w:p>
    <w:p w14:paraId="31F43845" w14:textId="60FF382E" w:rsidR="004664DE" w:rsidRPr="0012364D" w:rsidRDefault="007E7745">
      <w:pPr>
        <w:ind w:left="567" w:right="900"/>
        <w:jc w:val="both"/>
        <w:rPr>
          <w:rFonts w:ascii="Palatino Linotype" w:eastAsia="Palatino Linotype" w:hAnsi="Palatino Linotype" w:cs="Palatino Linotype"/>
          <w:sz w:val="22"/>
          <w:szCs w:val="22"/>
        </w:rPr>
      </w:pPr>
      <w:r w:rsidRPr="007E7745">
        <w:rPr>
          <w:rFonts w:ascii="Palatino Linotype" w:eastAsia="Palatino Linotype" w:hAnsi="Palatino Linotype" w:cs="Palatino Linotype"/>
          <w:sz w:val="22"/>
          <w:szCs w:val="22"/>
        </w:rPr>
        <w:drawing>
          <wp:inline distT="0" distB="0" distL="0" distR="0" wp14:anchorId="3A1B1773" wp14:editId="074429E9">
            <wp:extent cx="4105222" cy="3663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7861" cy="3666306"/>
                    </a:xfrm>
                    <a:prstGeom prst="rect">
                      <a:avLst/>
                    </a:prstGeom>
                  </pic:spPr>
                </pic:pic>
              </a:graphicData>
            </a:graphic>
          </wp:inline>
        </w:drawing>
      </w:r>
    </w:p>
    <w:p w14:paraId="011F707C" w14:textId="77777777" w:rsidR="004664DE" w:rsidRPr="0012364D" w:rsidRDefault="00A7108E">
      <w:pPr>
        <w:spacing w:before="240" w:after="240" w:line="360" w:lineRule="auto"/>
        <w:ind w:right="51"/>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sz w:val="22"/>
          <w:szCs w:val="22"/>
        </w:rPr>
        <w:lastRenderedPageBreak/>
        <w:t xml:space="preserve">4. Turno. </w:t>
      </w:r>
      <w:r w:rsidRPr="0012364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2364D">
        <w:rPr>
          <w:rFonts w:ascii="Palatino Linotype" w:eastAsia="Palatino Linotype" w:hAnsi="Palatino Linotype" w:cs="Palatino Linotype"/>
          <w:b/>
          <w:sz w:val="22"/>
          <w:szCs w:val="22"/>
        </w:rPr>
        <w:t xml:space="preserve">Guadalupe Ramírez Peña, </w:t>
      </w:r>
      <w:r w:rsidRPr="0012364D">
        <w:rPr>
          <w:rFonts w:ascii="Palatino Linotype" w:eastAsia="Palatino Linotype" w:hAnsi="Palatino Linotype" w:cs="Palatino Linotype"/>
          <w:sz w:val="22"/>
          <w:szCs w:val="22"/>
        </w:rPr>
        <w:t xml:space="preserve">a efecto de que analizara sobre su admisión o su </w:t>
      </w:r>
      <w:proofErr w:type="spellStart"/>
      <w:r w:rsidRPr="0012364D">
        <w:rPr>
          <w:rFonts w:ascii="Palatino Linotype" w:eastAsia="Palatino Linotype" w:hAnsi="Palatino Linotype" w:cs="Palatino Linotype"/>
          <w:sz w:val="22"/>
          <w:szCs w:val="22"/>
        </w:rPr>
        <w:t>desechamiento</w:t>
      </w:r>
      <w:proofErr w:type="spellEnd"/>
      <w:r w:rsidRPr="0012364D">
        <w:rPr>
          <w:rFonts w:ascii="Palatino Linotype" w:eastAsia="Palatino Linotype" w:hAnsi="Palatino Linotype" w:cs="Palatino Linotype"/>
          <w:sz w:val="22"/>
          <w:szCs w:val="22"/>
        </w:rPr>
        <w:t>.</w:t>
      </w:r>
    </w:p>
    <w:p w14:paraId="2E2AFF1E"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sz w:val="22"/>
          <w:szCs w:val="22"/>
        </w:rPr>
        <w:t>5. Admisión del Recurso de revisión.</w:t>
      </w:r>
      <w:r w:rsidRPr="0012364D">
        <w:rPr>
          <w:rFonts w:ascii="Palatino Linotype" w:eastAsia="Palatino Linotype" w:hAnsi="Palatino Linotype" w:cs="Palatino Linotype"/>
          <w:sz w:val="22"/>
          <w:szCs w:val="22"/>
        </w:rPr>
        <w:t xml:space="preserve"> El </w:t>
      </w:r>
      <w:r w:rsidRPr="0012364D">
        <w:rPr>
          <w:rFonts w:ascii="Palatino Linotype" w:eastAsia="Palatino Linotype" w:hAnsi="Palatino Linotype" w:cs="Palatino Linotype"/>
          <w:b/>
          <w:sz w:val="22"/>
          <w:szCs w:val="22"/>
        </w:rPr>
        <w:t xml:space="preserve">veinticuatro de junio de dos mil veinticuatro, </w:t>
      </w:r>
      <w:r w:rsidRPr="0012364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2364D">
        <w:rPr>
          <w:rFonts w:ascii="Palatino Linotype" w:eastAsia="Palatino Linotype" w:hAnsi="Palatino Linotype" w:cs="Palatino Linotype"/>
          <w:b/>
          <w:sz w:val="22"/>
          <w:szCs w:val="22"/>
        </w:rPr>
        <w:t xml:space="preserve">Sujeto Obligado </w:t>
      </w:r>
      <w:r w:rsidRPr="0012364D">
        <w:rPr>
          <w:rFonts w:ascii="Palatino Linotype" w:eastAsia="Palatino Linotype" w:hAnsi="Palatino Linotype" w:cs="Palatino Linotype"/>
          <w:sz w:val="22"/>
          <w:szCs w:val="22"/>
        </w:rPr>
        <w:t>presentara su informe justificado.</w:t>
      </w:r>
    </w:p>
    <w:p w14:paraId="4289F2F9" w14:textId="77777777" w:rsidR="004664DE" w:rsidRPr="0012364D" w:rsidRDefault="00A7108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12364D">
        <w:rPr>
          <w:rFonts w:ascii="Palatino Linotype" w:eastAsia="Palatino Linotype" w:hAnsi="Palatino Linotype" w:cs="Palatino Linotype"/>
          <w:b/>
          <w:sz w:val="22"/>
          <w:szCs w:val="22"/>
        </w:rPr>
        <w:t>6. Manifestaciones e Informe Justificado</w:t>
      </w:r>
      <w:r w:rsidRPr="0012364D">
        <w:rPr>
          <w:rFonts w:ascii="Palatino Linotype" w:eastAsia="Palatino Linotype" w:hAnsi="Palatino Linotype" w:cs="Palatino Linotype"/>
          <w:sz w:val="22"/>
          <w:szCs w:val="22"/>
        </w:rPr>
        <w:t xml:space="preserve">. De las constancias que integran el expediente en que se actúa se advierte </w:t>
      </w:r>
      <w:proofErr w:type="gramStart"/>
      <w:r w:rsidRPr="0012364D">
        <w:rPr>
          <w:rFonts w:ascii="Palatino Linotype" w:eastAsia="Palatino Linotype" w:hAnsi="Palatino Linotype" w:cs="Palatino Linotype"/>
          <w:sz w:val="22"/>
          <w:szCs w:val="22"/>
        </w:rPr>
        <w:t>que</w:t>
      </w:r>
      <w:proofErr w:type="gramEnd"/>
      <w:r w:rsidRPr="0012364D">
        <w:rPr>
          <w:rFonts w:ascii="Palatino Linotype" w:eastAsia="Palatino Linotype" w:hAnsi="Palatino Linotype" w:cs="Palatino Linotype"/>
          <w:sz w:val="22"/>
          <w:szCs w:val="22"/>
        </w:rPr>
        <w:t xml:space="preserve"> durante el periodo de manifestaciones e informe justificado, el </w:t>
      </w:r>
      <w:r w:rsidRPr="0012364D">
        <w:rPr>
          <w:rFonts w:ascii="Palatino Linotype" w:eastAsia="Palatino Linotype" w:hAnsi="Palatino Linotype" w:cs="Palatino Linotype"/>
          <w:b/>
          <w:sz w:val="22"/>
          <w:szCs w:val="22"/>
        </w:rPr>
        <w:t>tres de julio de dos mil veinticuatro</w:t>
      </w:r>
      <w:r w:rsidRPr="0012364D">
        <w:rPr>
          <w:rFonts w:ascii="Palatino Linotype" w:eastAsia="Palatino Linotype" w:hAnsi="Palatino Linotype" w:cs="Palatino Linotype"/>
          <w:sz w:val="22"/>
          <w:szCs w:val="22"/>
        </w:rPr>
        <w:t xml:space="preserve">, 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adjuntó el archivo electrónico que se describe a continuación: </w:t>
      </w:r>
    </w:p>
    <w:p w14:paraId="413B0DF7" w14:textId="77777777" w:rsidR="004664DE" w:rsidRPr="0012364D" w:rsidRDefault="004664D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1939440" w14:textId="77777777" w:rsidR="004664DE" w:rsidRPr="0012364D" w:rsidRDefault="00A7108E">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i/>
          <w:sz w:val="22"/>
          <w:szCs w:val="22"/>
        </w:rPr>
        <w:t xml:space="preserve">“DGDU-SJ-III-1354-2024.pdf”: </w:t>
      </w:r>
      <w:r w:rsidRPr="0012364D">
        <w:rPr>
          <w:rFonts w:ascii="Palatino Linotype" w:eastAsia="Palatino Linotype" w:hAnsi="Palatino Linotype" w:cs="Palatino Linotype"/>
          <w:sz w:val="22"/>
          <w:szCs w:val="22"/>
        </w:rPr>
        <w:t xml:space="preserve">Oficio  signado por el Subdirector Jurídico adscrito a la Dirección General de Desarrollo Urbano, mediante el cual expresa que no se cuenta con la información solicitada ya que dicha autoridad no ha recibido solicitud alguna para la expedición de alguna licencia de construcción o uso de suelo para el predio referido en dicha solicitud; en razón de lo anterior, no se advierte obligación alguna del Sujeto Obligado para contar con la información, por lo que no será necesario que el </w:t>
      </w:r>
      <w:r w:rsidRPr="0012364D">
        <w:rPr>
          <w:rFonts w:ascii="Palatino Linotype" w:eastAsia="Palatino Linotype" w:hAnsi="Palatino Linotype" w:cs="Palatino Linotype"/>
          <w:sz w:val="22"/>
          <w:szCs w:val="22"/>
        </w:rPr>
        <w:lastRenderedPageBreak/>
        <w:t>Comité de Transparencia emita una resolución que confirme la inexistencia de la información.</w:t>
      </w:r>
    </w:p>
    <w:p w14:paraId="65AB14B8" w14:textId="77777777" w:rsidR="004664DE" w:rsidRPr="0012364D" w:rsidRDefault="004664D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F46BCE5" w14:textId="77777777" w:rsidR="004664DE" w:rsidRPr="0012364D" w:rsidRDefault="00A7108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Es de precisar </w:t>
      </w:r>
      <w:proofErr w:type="gramStart"/>
      <w:r w:rsidRPr="0012364D">
        <w:rPr>
          <w:rFonts w:ascii="Palatino Linotype" w:eastAsia="Palatino Linotype" w:hAnsi="Palatino Linotype" w:cs="Palatino Linotype"/>
          <w:sz w:val="22"/>
          <w:szCs w:val="22"/>
        </w:rPr>
        <w:t>que</w:t>
      </w:r>
      <w:proofErr w:type="gramEnd"/>
      <w:r w:rsidRPr="0012364D">
        <w:rPr>
          <w:rFonts w:ascii="Palatino Linotype" w:eastAsia="Palatino Linotype" w:hAnsi="Palatino Linotype" w:cs="Palatino Linotype"/>
          <w:sz w:val="22"/>
          <w:szCs w:val="22"/>
        </w:rPr>
        <w:t xml:space="preserve"> una vez analizada esta documentación, se determinó ponerla a disposición de </w:t>
      </w:r>
      <w:r w:rsidRPr="0012364D">
        <w:rPr>
          <w:rFonts w:ascii="Palatino Linotype" w:eastAsia="Palatino Linotype" w:hAnsi="Palatino Linotype" w:cs="Palatino Linotype"/>
          <w:b/>
          <w:sz w:val="22"/>
          <w:szCs w:val="22"/>
        </w:rPr>
        <w:t xml:space="preserve">la parte Recurrente, </w:t>
      </w:r>
      <w:r w:rsidRPr="0012364D">
        <w:rPr>
          <w:rFonts w:ascii="Palatino Linotype" w:eastAsia="Palatino Linotype" w:hAnsi="Palatino Linotype" w:cs="Palatino Linotype"/>
          <w:sz w:val="22"/>
          <w:szCs w:val="22"/>
        </w:rPr>
        <w:t>mediante acuerdo suscrito por la Comisionada Ponente, el cuatro de septiembre de dos mil veinticuatro,</w:t>
      </w:r>
      <w:r w:rsidRPr="0012364D">
        <w:rPr>
          <w:rFonts w:ascii="Palatino Linotype" w:eastAsia="Palatino Linotype" w:hAnsi="Palatino Linotype" w:cs="Palatino Linotype"/>
          <w:b/>
          <w:sz w:val="22"/>
          <w:szCs w:val="22"/>
        </w:rPr>
        <w:t xml:space="preserve"> </w:t>
      </w:r>
      <w:r w:rsidRPr="0012364D">
        <w:rPr>
          <w:rFonts w:ascii="Palatino Linotype" w:eastAsia="Palatino Linotype" w:hAnsi="Palatino Linotype" w:cs="Palatino Linotype"/>
          <w:sz w:val="22"/>
          <w:szCs w:val="22"/>
        </w:rPr>
        <w:t>teniendo así que</w:t>
      </w:r>
      <w:r w:rsidRPr="0012364D">
        <w:rPr>
          <w:rFonts w:ascii="Palatino Linotype" w:eastAsia="Palatino Linotype" w:hAnsi="Palatino Linotype" w:cs="Palatino Linotype"/>
          <w:b/>
          <w:sz w:val="22"/>
          <w:szCs w:val="22"/>
        </w:rPr>
        <w:t xml:space="preserve"> la parte Recurrente </w:t>
      </w:r>
      <w:r w:rsidRPr="0012364D">
        <w:rPr>
          <w:rFonts w:ascii="Palatino Linotype" w:eastAsia="Palatino Linotype" w:hAnsi="Palatino Linotype" w:cs="Palatino Linotype"/>
          <w:sz w:val="22"/>
          <w:szCs w:val="22"/>
        </w:rPr>
        <w:t>no adjuntó archivo alguno en esta etapa, por lo que se tiene por precluido su derecho y se procede a emitir la resolución que conforme a derecho corresponda.</w:t>
      </w:r>
    </w:p>
    <w:p w14:paraId="07C9862B" w14:textId="77777777" w:rsidR="004664DE" w:rsidRPr="0012364D" w:rsidRDefault="00A7108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12364D">
        <w:rPr>
          <w:rFonts w:ascii="Palatino Linotype" w:eastAsia="Palatino Linotype" w:hAnsi="Palatino Linotype" w:cs="Palatino Linotype"/>
          <w:b/>
          <w:noProof/>
          <w:sz w:val="22"/>
          <w:szCs w:val="22"/>
          <w:lang w:val="es-MX"/>
        </w:rPr>
        <w:drawing>
          <wp:inline distT="0" distB="0" distL="0" distR="0" wp14:anchorId="62F8B46D" wp14:editId="7A2EAA49">
            <wp:extent cx="5612130" cy="1885950"/>
            <wp:effectExtent l="0" t="0" r="0" b="0"/>
            <wp:docPr id="3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2130" cy="1885950"/>
                    </a:xfrm>
                    <a:prstGeom prst="rect">
                      <a:avLst/>
                    </a:prstGeom>
                    <a:ln/>
                  </pic:spPr>
                </pic:pic>
              </a:graphicData>
            </a:graphic>
          </wp:inline>
        </w:drawing>
      </w:r>
    </w:p>
    <w:p w14:paraId="592CE587" w14:textId="77777777" w:rsidR="004664DE" w:rsidRPr="0012364D" w:rsidRDefault="004664D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A6E57F1" w14:textId="77777777" w:rsidR="004664DE" w:rsidRPr="0012364D" w:rsidRDefault="00A7108E">
      <w:pPr>
        <w:spacing w:after="240" w:line="360" w:lineRule="auto"/>
        <w:jc w:val="both"/>
        <w:rPr>
          <w:rFonts w:ascii="Palatino Linotype" w:eastAsia="Palatino Linotype" w:hAnsi="Palatino Linotype" w:cs="Palatino Linotype"/>
          <w:b/>
          <w:sz w:val="22"/>
          <w:szCs w:val="22"/>
        </w:rPr>
      </w:pPr>
      <w:r w:rsidRPr="0012364D">
        <w:rPr>
          <w:rFonts w:ascii="Palatino Linotype" w:eastAsia="Palatino Linotype" w:hAnsi="Palatino Linotype" w:cs="Palatino Linotype"/>
          <w:b/>
          <w:sz w:val="22"/>
          <w:szCs w:val="22"/>
        </w:rPr>
        <w:t>7. Ampliación del término para resolver</w:t>
      </w:r>
      <w:r w:rsidRPr="0012364D">
        <w:rPr>
          <w:rFonts w:ascii="Palatino Linotype" w:eastAsia="Palatino Linotype" w:hAnsi="Palatino Linotype" w:cs="Palatino Linotype"/>
          <w:sz w:val="22"/>
          <w:szCs w:val="22"/>
        </w:rPr>
        <w:t xml:space="preserve">. El </w:t>
      </w:r>
      <w:r w:rsidRPr="0012364D">
        <w:rPr>
          <w:rFonts w:ascii="Palatino Linotype" w:eastAsia="Palatino Linotype" w:hAnsi="Palatino Linotype" w:cs="Palatino Linotype"/>
          <w:b/>
          <w:sz w:val="22"/>
          <w:szCs w:val="22"/>
        </w:rPr>
        <w:t>cuatro de septiembre de dos mil veinticuatro</w:t>
      </w:r>
      <w:r w:rsidRPr="0012364D">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6630819B"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DE8F4F7"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lastRenderedPageBreak/>
        <w:t xml:space="preserve">Por ello, es menester precisar </w:t>
      </w:r>
      <w:proofErr w:type="gramStart"/>
      <w:r w:rsidRPr="0012364D">
        <w:rPr>
          <w:rFonts w:ascii="Palatino Linotype" w:eastAsia="Palatino Linotype" w:hAnsi="Palatino Linotype" w:cs="Palatino Linotype"/>
          <w:sz w:val="22"/>
          <w:szCs w:val="22"/>
        </w:rPr>
        <w:t>que</w:t>
      </w:r>
      <w:proofErr w:type="gramEnd"/>
      <w:r w:rsidRPr="0012364D">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 en los elementos para medir la razonabilidad de asuntos conforme a los parámetros establecidos por diversos órganos jurisdiccionales federales, aplicables también en procedimientos análogos, como el que nos ocupa.</w:t>
      </w:r>
    </w:p>
    <w:p w14:paraId="1D0AA9E2"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D240A36"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AA87B8E" w14:textId="77777777" w:rsidR="004664DE" w:rsidRPr="0012364D" w:rsidRDefault="00A7108E">
      <w:pPr>
        <w:spacing w:before="240" w:after="240" w:line="360" w:lineRule="auto"/>
        <w:jc w:val="both"/>
        <w:rPr>
          <w:rFonts w:ascii="Palatino Linotype" w:eastAsia="Palatino Linotype" w:hAnsi="Palatino Linotype" w:cs="Palatino Linotype"/>
          <w:strike/>
          <w:sz w:val="22"/>
          <w:szCs w:val="22"/>
        </w:rPr>
      </w:pPr>
      <w:r w:rsidRPr="0012364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C98CA6F" w14:textId="77777777" w:rsidR="004664DE" w:rsidRPr="0012364D" w:rsidRDefault="00A7108E">
      <w:pPr>
        <w:numPr>
          <w:ilvl w:val="0"/>
          <w:numId w:val="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sz w:val="22"/>
          <w:szCs w:val="22"/>
        </w:rPr>
        <w:t>Complejidad del Asunto:</w:t>
      </w:r>
      <w:r w:rsidRPr="0012364D">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2C9AC19E" w14:textId="77777777" w:rsidR="004664DE" w:rsidRPr="0012364D" w:rsidRDefault="00A7108E">
      <w:pPr>
        <w:numPr>
          <w:ilvl w:val="0"/>
          <w:numId w:val="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sz w:val="22"/>
          <w:szCs w:val="22"/>
        </w:rPr>
        <w:t>Actividad Procesal del interesado</w:t>
      </w:r>
      <w:r w:rsidRPr="0012364D">
        <w:rPr>
          <w:rFonts w:ascii="Palatino Linotype" w:eastAsia="Palatino Linotype" w:hAnsi="Palatino Linotype" w:cs="Palatino Linotype"/>
          <w:sz w:val="22"/>
          <w:szCs w:val="22"/>
        </w:rPr>
        <w:t>. Acciones u omisiones del interesado.</w:t>
      </w:r>
    </w:p>
    <w:p w14:paraId="48029434" w14:textId="77777777" w:rsidR="004664DE" w:rsidRPr="0012364D" w:rsidRDefault="00A7108E">
      <w:pPr>
        <w:numPr>
          <w:ilvl w:val="0"/>
          <w:numId w:val="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sz w:val="22"/>
          <w:szCs w:val="22"/>
        </w:rPr>
        <w:t>Conducta de la Autoridad:</w:t>
      </w:r>
      <w:r w:rsidRPr="0012364D">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5FC6582" w14:textId="77777777" w:rsidR="004664DE" w:rsidRPr="0012364D" w:rsidRDefault="00A7108E">
      <w:pPr>
        <w:numPr>
          <w:ilvl w:val="0"/>
          <w:numId w:val="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sz w:val="22"/>
          <w:szCs w:val="22"/>
        </w:rPr>
        <w:lastRenderedPageBreak/>
        <w:t>La afectación generada en la situación jurídica de la persona involucrada en el proceso:</w:t>
      </w:r>
      <w:r w:rsidRPr="0012364D">
        <w:rPr>
          <w:rFonts w:ascii="Palatino Linotype" w:eastAsia="Palatino Linotype" w:hAnsi="Palatino Linotype" w:cs="Palatino Linotype"/>
          <w:sz w:val="22"/>
          <w:szCs w:val="22"/>
        </w:rPr>
        <w:t xml:space="preserve"> Violación a sus derechos humanos.</w:t>
      </w:r>
    </w:p>
    <w:p w14:paraId="5ECF052A"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060D66" w14:textId="77777777" w:rsidR="004664DE" w:rsidRPr="0012364D" w:rsidRDefault="00A7108E">
      <w:pPr>
        <w:spacing w:before="240" w:after="240" w:line="360" w:lineRule="auto"/>
        <w:jc w:val="both"/>
        <w:rPr>
          <w:rFonts w:ascii="Palatino Linotype" w:eastAsia="Palatino Linotype" w:hAnsi="Palatino Linotype" w:cs="Palatino Linotype"/>
          <w:b/>
          <w:sz w:val="22"/>
          <w:szCs w:val="22"/>
        </w:rPr>
      </w:pPr>
      <w:r w:rsidRPr="0012364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12364D">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12364D">
        <w:rPr>
          <w:rFonts w:ascii="Palatino Linotype" w:eastAsia="Palatino Linotype" w:hAnsi="Palatino Linotype" w:cs="Palatino Linotype"/>
          <w:sz w:val="22"/>
          <w:szCs w:val="22"/>
        </w:rPr>
        <w:t>, visible en la Gaceta del Seminario Judicial de la Federación con el registro digital 205635.</w:t>
      </w:r>
    </w:p>
    <w:p w14:paraId="4E3CE688"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164DF81"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lastRenderedPageBreak/>
        <w:t>Al respecto, también son de considerar los criterios sostenidos por el Cuarto Tribunal Colegiado en Materia Administrativa del Primer Circuito, cuyos rubros y datos de identificación son los siguientes:</w:t>
      </w:r>
    </w:p>
    <w:p w14:paraId="65DF0126" w14:textId="77777777" w:rsidR="004664DE" w:rsidRPr="0012364D" w:rsidRDefault="00A7108E">
      <w:pPr>
        <w:spacing w:before="240" w:after="240" w:line="360" w:lineRule="auto"/>
        <w:ind w:left="851" w:right="900"/>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i/>
          <w:sz w:val="22"/>
          <w:szCs w:val="22"/>
        </w:rPr>
        <w:t>“PLAZO RAZONABLE PARA RESOLVER. DIMENSIÓN Y EFECTOS DE ESTE CONCEPTO CUANDO SE ADUCE EXCESIVA CARGA DE TRABAJO</w:t>
      </w:r>
      <w:r w:rsidRPr="0012364D">
        <w:rPr>
          <w:rFonts w:ascii="Palatino Linotype" w:eastAsia="Palatino Linotype" w:hAnsi="Palatino Linotype" w:cs="Palatino Linotype"/>
          <w:i/>
          <w:sz w:val="22"/>
          <w:szCs w:val="22"/>
        </w:rPr>
        <w:t>.”</w:t>
      </w:r>
      <w:r w:rsidRPr="0012364D">
        <w:rPr>
          <w:rFonts w:ascii="Palatino Linotype" w:eastAsia="Palatino Linotype" w:hAnsi="Palatino Linotype" w:cs="Palatino Linotype"/>
          <w:sz w:val="22"/>
          <w:szCs w:val="22"/>
        </w:rPr>
        <w:t xml:space="preserve"> consultable en el Seminario Judicial de la Federación y su gaceta, con el registro digital 2002351.</w:t>
      </w:r>
    </w:p>
    <w:p w14:paraId="373BEBDE" w14:textId="77777777" w:rsidR="004664DE" w:rsidRPr="0012364D" w:rsidRDefault="00A7108E">
      <w:pPr>
        <w:spacing w:before="240" w:after="240" w:line="360" w:lineRule="auto"/>
        <w:ind w:left="851" w:right="900"/>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12364D">
        <w:rPr>
          <w:rFonts w:ascii="Palatino Linotype" w:eastAsia="Palatino Linotype" w:hAnsi="Palatino Linotype" w:cs="Palatino Linotype"/>
          <w:sz w:val="22"/>
          <w:szCs w:val="22"/>
        </w:rPr>
        <w:t>, visible en el Seminario Judicial de la Federación y su gaceta, con el registro digital 2002350.</w:t>
      </w:r>
    </w:p>
    <w:p w14:paraId="10D46E0E"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08ED0B9" w14:textId="77777777" w:rsidR="004664DE" w:rsidRPr="0012364D" w:rsidRDefault="00A7108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sz w:val="22"/>
          <w:szCs w:val="22"/>
        </w:rPr>
        <w:t xml:space="preserve">8. Cierre de instrucción. </w:t>
      </w:r>
      <w:r w:rsidRPr="0012364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12364D">
        <w:rPr>
          <w:rFonts w:ascii="Palatino Linotype" w:eastAsia="Palatino Linotype" w:hAnsi="Palatino Linotype" w:cs="Palatino Linotype"/>
          <w:b/>
          <w:sz w:val="22"/>
          <w:szCs w:val="22"/>
        </w:rPr>
        <w:t>diez de septiembre de dos mil veinticuatro,</w:t>
      </w:r>
      <w:r w:rsidRPr="0012364D">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41EA278B"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EFBCD45" w14:textId="77777777" w:rsidR="004664DE" w:rsidRPr="0012364D" w:rsidRDefault="00A7108E">
      <w:pPr>
        <w:widowControl w:val="0"/>
        <w:spacing w:before="240" w:after="240" w:line="360" w:lineRule="auto"/>
        <w:jc w:val="center"/>
        <w:rPr>
          <w:rFonts w:ascii="Palatino Linotype" w:eastAsia="Palatino Linotype" w:hAnsi="Palatino Linotype" w:cs="Palatino Linotype"/>
          <w:b/>
        </w:rPr>
      </w:pPr>
      <w:r w:rsidRPr="0012364D">
        <w:rPr>
          <w:rFonts w:ascii="Palatino Linotype" w:eastAsia="Palatino Linotype" w:hAnsi="Palatino Linotype" w:cs="Palatino Linotype"/>
          <w:b/>
        </w:rPr>
        <w:lastRenderedPageBreak/>
        <w:t>II. C O N S I D E R A N D O S</w:t>
      </w:r>
    </w:p>
    <w:p w14:paraId="2CFEBEBD"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sz w:val="22"/>
          <w:szCs w:val="22"/>
        </w:rPr>
        <w:t>Primero. Competencia.</w:t>
      </w:r>
      <w:r w:rsidRPr="0012364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3E81700"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12364D">
        <w:rPr>
          <w:rFonts w:ascii="Palatino Linotype" w:eastAsia="Palatino Linotype" w:hAnsi="Palatino Linotype" w:cs="Palatino Linotype"/>
          <w:b/>
          <w:sz w:val="22"/>
          <w:szCs w:val="22"/>
        </w:rPr>
        <w:t>Segundo. Oportunidad y Procedibilidad del Recurso de Revisión</w:t>
      </w:r>
      <w:r w:rsidRPr="0012364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9C739A3"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12364D">
        <w:rPr>
          <w:rFonts w:ascii="Palatino Linotype" w:eastAsia="Palatino Linotype" w:hAnsi="Palatino Linotype" w:cs="Palatino Linotype"/>
          <w:b/>
          <w:sz w:val="22"/>
          <w:szCs w:val="22"/>
        </w:rPr>
        <w:t xml:space="preserve">Sujeto Obligado </w:t>
      </w:r>
      <w:r w:rsidRPr="0012364D">
        <w:rPr>
          <w:rFonts w:ascii="Palatino Linotype" w:eastAsia="Palatino Linotype" w:hAnsi="Palatino Linotype" w:cs="Palatino Linotype"/>
          <w:sz w:val="22"/>
          <w:szCs w:val="22"/>
        </w:rPr>
        <w:t xml:space="preserve">remitió la respuesta a la solicitud de información el </w:t>
      </w:r>
      <w:r w:rsidRPr="0012364D">
        <w:rPr>
          <w:rFonts w:ascii="Palatino Linotype" w:eastAsia="Palatino Linotype" w:hAnsi="Palatino Linotype" w:cs="Palatino Linotype"/>
          <w:b/>
          <w:sz w:val="22"/>
          <w:szCs w:val="22"/>
        </w:rPr>
        <w:t>dieciocho de junio</w:t>
      </w: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sz w:val="22"/>
          <w:szCs w:val="22"/>
        </w:rPr>
        <w:t xml:space="preserve">de dos mil veinticuatro, </w:t>
      </w:r>
      <w:r w:rsidRPr="0012364D">
        <w:rPr>
          <w:rFonts w:ascii="Palatino Linotype" w:eastAsia="Palatino Linotype" w:hAnsi="Palatino Linotype" w:cs="Palatino Linotype"/>
          <w:sz w:val="22"/>
          <w:szCs w:val="22"/>
        </w:rPr>
        <w:t xml:space="preserve">mientras que el recurso de revisión interpuesto por </w:t>
      </w:r>
      <w:r w:rsidRPr="0012364D">
        <w:rPr>
          <w:rFonts w:ascii="Palatino Linotype" w:eastAsia="Palatino Linotype" w:hAnsi="Palatino Linotype" w:cs="Palatino Linotype"/>
          <w:b/>
          <w:sz w:val="22"/>
          <w:szCs w:val="22"/>
        </w:rPr>
        <w:t>la parte</w:t>
      </w: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sz w:val="22"/>
          <w:szCs w:val="22"/>
        </w:rPr>
        <w:t>Recurrente</w:t>
      </w:r>
      <w:r w:rsidRPr="0012364D">
        <w:rPr>
          <w:rFonts w:ascii="Palatino Linotype" w:eastAsia="Palatino Linotype" w:hAnsi="Palatino Linotype" w:cs="Palatino Linotype"/>
          <w:sz w:val="22"/>
          <w:szCs w:val="22"/>
        </w:rPr>
        <w:t xml:space="preserve">, se tuvo por presentado el día </w:t>
      </w:r>
      <w:r w:rsidRPr="0012364D">
        <w:rPr>
          <w:rFonts w:ascii="Palatino Linotype" w:eastAsia="Palatino Linotype" w:hAnsi="Palatino Linotype" w:cs="Palatino Linotype"/>
          <w:b/>
          <w:sz w:val="22"/>
          <w:szCs w:val="22"/>
        </w:rPr>
        <w:t>diecinueve de junio</w:t>
      </w: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sz w:val="22"/>
          <w:szCs w:val="22"/>
        </w:rPr>
        <w:t xml:space="preserve">de dos mil veinticuatro, </w:t>
      </w:r>
      <w:r w:rsidRPr="0012364D">
        <w:rPr>
          <w:rFonts w:ascii="Palatino Linotype" w:eastAsia="Palatino Linotype" w:hAnsi="Palatino Linotype" w:cs="Palatino Linotype"/>
          <w:sz w:val="22"/>
          <w:szCs w:val="22"/>
        </w:rPr>
        <w:t xml:space="preserve">esto es, el </w:t>
      </w:r>
      <w:r w:rsidRPr="0012364D">
        <w:rPr>
          <w:rFonts w:ascii="Palatino Linotype" w:eastAsia="Palatino Linotype" w:hAnsi="Palatino Linotype" w:cs="Palatino Linotype"/>
          <w:b/>
          <w:sz w:val="22"/>
          <w:szCs w:val="22"/>
        </w:rPr>
        <w:t>primer</w:t>
      </w: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sz w:val="22"/>
          <w:szCs w:val="22"/>
        </w:rPr>
        <w:t>día hábil en el que tuvo conocimiento de la respuesta impugnada.</w:t>
      </w:r>
      <w:r w:rsidRPr="0012364D">
        <w:rPr>
          <w:rFonts w:ascii="Palatino Linotype" w:eastAsia="Palatino Linotype" w:hAnsi="Palatino Linotype" w:cs="Palatino Linotype"/>
          <w:sz w:val="22"/>
          <w:szCs w:val="22"/>
        </w:rPr>
        <w:t xml:space="preserve"> </w:t>
      </w:r>
    </w:p>
    <w:p w14:paraId="2AFAE581"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76433DAF" w14:textId="77777777" w:rsidR="004664DE" w:rsidRPr="0012364D" w:rsidRDefault="00A7108E">
      <w:pPr>
        <w:tabs>
          <w:tab w:val="left" w:pos="7938"/>
        </w:tabs>
        <w:spacing w:before="240" w:after="240" w:line="360" w:lineRule="auto"/>
        <w:jc w:val="both"/>
        <w:rPr>
          <w:rFonts w:ascii="Palatino Linotype" w:eastAsia="Palatino Linotype" w:hAnsi="Palatino Linotype" w:cs="Palatino Linotype"/>
          <w:sz w:val="22"/>
          <w:szCs w:val="22"/>
        </w:rPr>
      </w:pPr>
      <w:bookmarkStart w:id="7" w:name="_heading=h.3znysh7" w:colFirst="0" w:colLast="0"/>
      <w:bookmarkEnd w:id="7"/>
      <w:r w:rsidRPr="0012364D">
        <w:rPr>
          <w:rFonts w:ascii="Palatino Linotype" w:eastAsia="Palatino Linotype" w:hAnsi="Palatino Linotype" w:cs="Palatino Linotype"/>
          <w:sz w:val="22"/>
          <w:szCs w:val="22"/>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CA248C8"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Finalmente, se advierte que resulta procedente la interposición del recurso, según lo manifestado por </w:t>
      </w:r>
      <w:r w:rsidRPr="0012364D">
        <w:rPr>
          <w:rFonts w:ascii="Palatino Linotype" w:eastAsia="Palatino Linotype" w:hAnsi="Palatino Linotype" w:cs="Palatino Linotype"/>
          <w:b/>
          <w:sz w:val="22"/>
          <w:szCs w:val="22"/>
        </w:rPr>
        <w:t>la parte</w:t>
      </w: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sz w:val="22"/>
          <w:szCs w:val="22"/>
        </w:rPr>
        <w:t>Recurrente</w:t>
      </w:r>
      <w:r w:rsidRPr="0012364D">
        <w:rPr>
          <w:rFonts w:ascii="Palatino Linotype" w:eastAsia="Palatino Linotype" w:hAnsi="Palatino Linotype" w:cs="Palatino Linotype"/>
          <w:sz w:val="22"/>
          <w:szCs w:val="22"/>
        </w:rPr>
        <w:t xml:space="preserve"> en sus motivos de inconformidad, de acuerdo al artículo 179, fracción </w:t>
      </w:r>
      <w:proofErr w:type="gramStart"/>
      <w:r w:rsidRPr="0012364D">
        <w:rPr>
          <w:rFonts w:ascii="Palatino Linotype" w:eastAsia="Palatino Linotype" w:hAnsi="Palatino Linotype" w:cs="Palatino Linotype"/>
          <w:sz w:val="22"/>
          <w:szCs w:val="22"/>
        </w:rPr>
        <w:t>I  del</w:t>
      </w:r>
      <w:proofErr w:type="gramEnd"/>
      <w:r w:rsidRPr="0012364D">
        <w:rPr>
          <w:rFonts w:ascii="Palatino Linotype" w:eastAsia="Palatino Linotype" w:hAnsi="Palatino Linotype" w:cs="Palatino Linotype"/>
          <w:sz w:val="22"/>
          <w:szCs w:val="22"/>
        </w:rPr>
        <w:t xml:space="preserve"> ordenamiento legal citado, que a la letra dice: </w:t>
      </w:r>
    </w:p>
    <w:p w14:paraId="48CECAD7" w14:textId="77777777" w:rsidR="004664DE" w:rsidRPr="0012364D" w:rsidRDefault="00A7108E">
      <w:pPr>
        <w:spacing w:before="120" w:after="120"/>
        <w:ind w:left="567" w:right="902"/>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w:t>
      </w:r>
      <w:r w:rsidRPr="0012364D">
        <w:rPr>
          <w:rFonts w:ascii="Palatino Linotype" w:eastAsia="Palatino Linotype" w:hAnsi="Palatino Linotype" w:cs="Palatino Linotype"/>
          <w:b/>
          <w:i/>
          <w:sz w:val="22"/>
          <w:szCs w:val="22"/>
        </w:rPr>
        <w:t>Artículo 179.</w:t>
      </w:r>
      <w:r w:rsidRPr="0012364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0487E0F" w14:textId="77777777" w:rsidR="004664DE" w:rsidRPr="0012364D" w:rsidRDefault="00A7108E">
      <w:pPr>
        <w:spacing w:before="120" w:after="120"/>
        <w:ind w:left="567"/>
        <w:rPr>
          <w:rFonts w:ascii="Palatino Linotype" w:eastAsia="Palatino Linotype" w:hAnsi="Palatino Linotype" w:cs="Palatino Linotype"/>
          <w:b/>
          <w:i/>
          <w:sz w:val="22"/>
          <w:szCs w:val="22"/>
        </w:rPr>
      </w:pPr>
      <w:r w:rsidRPr="0012364D">
        <w:rPr>
          <w:rFonts w:ascii="Palatino Linotype" w:eastAsia="Palatino Linotype" w:hAnsi="Palatino Linotype" w:cs="Palatino Linotype"/>
          <w:b/>
          <w:i/>
          <w:sz w:val="22"/>
          <w:szCs w:val="22"/>
        </w:rPr>
        <w:t xml:space="preserve">I. La negativa a la información solicitada;” </w:t>
      </w:r>
      <w:r w:rsidRPr="0012364D">
        <w:rPr>
          <w:rFonts w:ascii="Palatino Linotype" w:eastAsia="Palatino Linotype" w:hAnsi="Palatino Linotype" w:cs="Palatino Linotype"/>
          <w:i/>
          <w:sz w:val="22"/>
          <w:szCs w:val="22"/>
        </w:rPr>
        <w:t>(Énfasis añadido)</w:t>
      </w:r>
    </w:p>
    <w:p w14:paraId="3818EB21" w14:textId="77777777" w:rsidR="004664DE" w:rsidRPr="0012364D" w:rsidRDefault="00A7108E">
      <w:pPr>
        <w:spacing w:before="240" w:after="240" w:line="360" w:lineRule="auto"/>
        <w:jc w:val="both"/>
        <w:rPr>
          <w:rFonts w:ascii="Palatino Linotype" w:eastAsia="Palatino Linotype" w:hAnsi="Palatino Linotype" w:cs="Palatino Linotype"/>
          <w:b/>
          <w:sz w:val="20"/>
          <w:szCs w:val="20"/>
        </w:rPr>
      </w:pPr>
      <w:r w:rsidRPr="0012364D">
        <w:rPr>
          <w:rFonts w:ascii="Palatino Linotype" w:eastAsia="Palatino Linotype" w:hAnsi="Palatino Linotype" w:cs="Palatino Linotype"/>
          <w:b/>
          <w:sz w:val="22"/>
          <w:szCs w:val="22"/>
        </w:rPr>
        <w:t>Tercero. Análisis de las causales de sobreseimiento del recurso de revisión.</w:t>
      </w:r>
      <w:r w:rsidRPr="0012364D">
        <w:rPr>
          <w:sz w:val="22"/>
          <w:szCs w:val="22"/>
        </w:rPr>
        <w:t xml:space="preserve"> </w:t>
      </w:r>
      <w:r w:rsidRPr="0012364D">
        <w:rPr>
          <w:rFonts w:ascii="Palatino Linotype" w:eastAsia="Palatino Linotype" w:hAnsi="Palatino Linotype" w:cs="Palatino Linotype"/>
          <w:sz w:val="22"/>
          <w:szCs w:val="22"/>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F01171F" w14:textId="77777777" w:rsidR="004664DE" w:rsidRPr="0012364D" w:rsidRDefault="00A7108E">
      <w:pPr>
        <w:spacing w:before="240" w:after="240" w:line="360" w:lineRule="auto"/>
        <w:jc w:val="both"/>
        <w:rPr>
          <w:sz w:val="22"/>
          <w:szCs w:val="22"/>
        </w:rPr>
      </w:pPr>
      <w:r w:rsidRPr="0012364D">
        <w:rPr>
          <w:rFonts w:ascii="Palatino Linotype" w:eastAsia="Palatino Linotype" w:hAnsi="Palatino Linotype" w:cs="Palatino Linotype"/>
          <w:sz w:val="22"/>
          <w:szCs w:val="22"/>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w:t>
      </w:r>
      <w:r w:rsidRPr="0012364D">
        <w:rPr>
          <w:rFonts w:ascii="Palatino Linotype" w:eastAsia="Palatino Linotype" w:hAnsi="Palatino Linotype" w:cs="Palatino Linotype"/>
          <w:sz w:val="22"/>
          <w:szCs w:val="22"/>
        </w:rPr>
        <w:lastRenderedPageBreak/>
        <w:t>de improcedencia que permita sobreseerlo. Estudio de causales de improcedencia que no son incompatibles con el derecho de acceso a la justicia, ya que este no se coarta por regular causas de improcedencia y sobreseimiento con tales fines.</w:t>
      </w:r>
    </w:p>
    <w:p w14:paraId="57E0DAB3" w14:textId="77777777" w:rsidR="004664DE" w:rsidRPr="0012364D" w:rsidRDefault="00A7108E">
      <w:pPr>
        <w:spacing w:before="240" w:after="240" w:line="360" w:lineRule="auto"/>
        <w:ind w:right="51"/>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6832E815" w14:textId="77777777" w:rsidR="004664DE" w:rsidRPr="0012364D" w:rsidRDefault="00A7108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Ahora bien, para profundizar en el estudio del presente asunto, es conveniente recordar </w:t>
      </w:r>
      <w:proofErr w:type="gramStart"/>
      <w:r w:rsidRPr="0012364D">
        <w:rPr>
          <w:rFonts w:ascii="Palatino Linotype" w:eastAsia="Palatino Linotype" w:hAnsi="Palatino Linotype" w:cs="Palatino Linotype"/>
          <w:sz w:val="22"/>
          <w:szCs w:val="22"/>
        </w:rPr>
        <w:t>que</w:t>
      </w:r>
      <w:proofErr w:type="gramEnd"/>
      <w:r w:rsidRPr="0012364D">
        <w:rPr>
          <w:rFonts w:ascii="Palatino Linotype" w:eastAsia="Palatino Linotype" w:hAnsi="Palatino Linotype" w:cs="Palatino Linotype"/>
          <w:sz w:val="22"/>
          <w:szCs w:val="22"/>
        </w:rPr>
        <w:t xml:space="preserve"> de un análisis a la solicitud de información, se advierte que la parte solicitante requirió al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le proporcionara lo siguiente:</w:t>
      </w:r>
    </w:p>
    <w:p w14:paraId="03FE4C6B" w14:textId="6680B39E" w:rsidR="004664DE" w:rsidRPr="0012364D" w:rsidRDefault="00A7108E">
      <w:pPr>
        <w:numPr>
          <w:ilvl w:val="0"/>
          <w:numId w:val="2"/>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b/>
          <w:sz w:val="22"/>
          <w:szCs w:val="22"/>
        </w:rPr>
      </w:pPr>
      <w:r w:rsidRPr="0012364D">
        <w:rPr>
          <w:rFonts w:ascii="Palatino Linotype" w:eastAsia="Palatino Linotype" w:hAnsi="Palatino Linotype" w:cs="Palatino Linotype"/>
          <w:b/>
          <w:sz w:val="22"/>
          <w:szCs w:val="22"/>
        </w:rPr>
        <w:t xml:space="preserve">Del inmueble ubicado en el desarrollo inmobiliario que corresponde al Domicilio </w:t>
      </w:r>
      <w:r w:rsidR="007E7745">
        <w:rPr>
          <w:rFonts w:ascii="Palatino Linotype" w:eastAsia="Palatino Linotype" w:hAnsi="Palatino Linotype" w:cs="Palatino Linotype"/>
          <w:b/>
          <w:sz w:val="22"/>
          <w:szCs w:val="22"/>
        </w:rPr>
        <w:t>XX</w:t>
      </w:r>
      <w:r w:rsidRPr="0012364D">
        <w:rPr>
          <w:rFonts w:ascii="Palatino Linotype" w:eastAsia="Palatino Linotype" w:hAnsi="Palatino Linotype" w:cs="Palatino Linotype"/>
          <w:b/>
          <w:sz w:val="22"/>
          <w:szCs w:val="22"/>
        </w:rPr>
        <w:t xml:space="preserve">. </w:t>
      </w:r>
      <w:r w:rsidR="007E7745">
        <w:rPr>
          <w:rFonts w:ascii="Palatino Linotype" w:eastAsia="Palatino Linotype" w:hAnsi="Palatino Linotype" w:cs="Palatino Linotype"/>
          <w:b/>
          <w:sz w:val="22"/>
          <w:szCs w:val="22"/>
        </w:rPr>
        <w:t>XXXXX XXXX</w:t>
      </w:r>
      <w:r w:rsidRPr="0012364D">
        <w:rPr>
          <w:rFonts w:ascii="Palatino Linotype" w:eastAsia="Palatino Linotype" w:hAnsi="Palatino Linotype" w:cs="Palatino Linotype"/>
          <w:b/>
          <w:sz w:val="22"/>
          <w:szCs w:val="22"/>
        </w:rPr>
        <w:t xml:space="preserve">, </w:t>
      </w:r>
      <w:r w:rsidR="007E7745">
        <w:rPr>
          <w:rFonts w:ascii="Palatino Linotype" w:eastAsia="Palatino Linotype" w:hAnsi="Palatino Linotype" w:cs="Palatino Linotype"/>
          <w:b/>
          <w:sz w:val="22"/>
          <w:szCs w:val="22"/>
        </w:rPr>
        <w:t>XXXXXXX XXXXX XXXX XXXXXXX</w:t>
      </w:r>
      <w:r w:rsidRPr="0012364D">
        <w:rPr>
          <w:rFonts w:ascii="Palatino Linotype" w:eastAsia="Palatino Linotype" w:hAnsi="Palatino Linotype" w:cs="Palatino Linotype"/>
          <w:b/>
          <w:sz w:val="22"/>
          <w:szCs w:val="22"/>
        </w:rPr>
        <w:t xml:space="preserve">, Naucalpan de Juárez, México., Naucalpan, México, cuyas coordenadas son </w:t>
      </w:r>
      <w:r w:rsidR="00AD10E9">
        <w:rPr>
          <w:rFonts w:ascii="Palatino Linotype" w:eastAsia="Palatino Linotype" w:hAnsi="Palatino Linotype" w:cs="Palatino Linotype"/>
          <w:b/>
          <w:sz w:val="22"/>
          <w:szCs w:val="22"/>
        </w:rPr>
        <w:t>XX</w:t>
      </w:r>
      <w:r w:rsidRPr="0012364D">
        <w:rPr>
          <w:rFonts w:ascii="Palatino Linotype" w:eastAsia="Palatino Linotype" w:hAnsi="Palatino Linotype" w:cs="Palatino Linotype"/>
          <w:b/>
          <w:sz w:val="22"/>
          <w:szCs w:val="22"/>
        </w:rPr>
        <w:t>.</w:t>
      </w:r>
      <w:r w:rsidR="00684853">
        <w:rPr>
          <w:rFonts w:ascii="Palatino Linotype" w:eastAsia="Palatino Linotype" w:hAnsi="Palatino Linotype" w:cs="Palatino Linotype"/>
          <w:b/>
          <w:sz w:val="22"/>
          <w:szCs w:val="22"/>
        </w:rPr>
        <w:t>XXXXXXXXXXXXXXX</w:t>
      </w:r>
      <w:r w:rsidRPr="0012364D">
        <w:rPr>
          <w:rFonts w:ascii="Palatino Linotype" w:eastAsia="Palatino Linotype" w:hAnsi="Palatino Linotype" w:cs="Palatino Linotype"/>
          <w:b/>
          <w:sz w:val="22"/>
          <w:szCs w:val="22"/>
        </w:rPr>
        <w:t>, -</w:t>
      </w:r>
      <w:r w:rsidR="00684853">
        <w:rPr>
          <w:rFonts w:ascii="Palatino Linotype" w:eastAsia="Palatino Linotype" w:hAnsi="Palatino Linotype" w:cs="Palatino Linotype"/>
          <w:b/>
          <w:sz w:val="22"/>
          <w:szCs w:val="22"/>
        </w:rPr>
        <w:t>XX</w:t>
      </w:r>
      <w:r w:rsidRPr="0012364D">
        <w:rPr>
          <w:rFonts w:ascii="Palatino Linotype" w:eastAsia="Palatino Linotype" w:hAnsi="Palatino Linotype" w:cs="Palatino Linotype"/>
          <w:b/>
          <w:sz w:val="22"/>
          <w:szCs w:val="22"/>
        </w:rPr>
        <w:t>.</w:t>
      </w:r>
      <w:r w:rsidR="00684853">
        <w:rPr>
          <w:rFonts w:ascii="Palatino Linotype" w:eastAsia="Palatino Linotype" w:hAnsi="Palatino Linotype" w:cs="Palatino Linotype"/>
          <w:b/>
          <w:sz w:val="22"/>
          <w:szCs w:val="22"/>
        </w:rPr>
        <w:t>XXXXXXXXXXXXXX</w:t>
      </w:r>
      <w:r w:rsidRPr="0012364D">
        <w:rPr>
          <w:rFonts w:ascii="Palatino Linotype" w:eastAsia="Palatino Linotype" w:hAnsi="Palatino Linotype" w:cs="Palatino Linotype"/>
          <w:b/>
          <w:sz w:val="22"/>
          <w:szCs w:val="22"/>
        </w:rPr>
        <w:t xml:space="preserve">, antes conocido como bazar lomas verdes: </w:t>
      </w:r>
    </w:p>
    <w:p w14:paraId="4DC64FBB" w14:textId="77777777" w:rsidR="004664DE" w:rsidRPr="0012364D" w:rsidRDefault="00A7108E">
      <w:pPr>
        <w:numPr>
          <w:ilvl w:val="0"/>
          <w:numId w:val="3"/>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Solicita al </w:t>
      </w:r>
      <w:r w:rsidRPr="0012364D">
        <w:rPr>
          <w:rFonts w:ascii="Palatino Linotype" w:eastAsia="Palatino Linotype" w:hAnsi="Palatino Linotype" w:cs="Palatino Linotype"/>
          <w:b/>
          <w:sz w:val="22"/>
          <w:szCs w:val="22"/>
        </w:rPr>
        <w:t>Organismo Público Descentralizado para la Prestación de los Servicios de Agua Potable, Alcantarillado y Saneamiento del Municipio de Naucalpan</w:t>
      </w:r>
      <w:r w:rsidRPr="0012364D">
        <w:rPr>
          <w:rFonts w:ascii="Palatino Linotype" w:eastAsia="Palatino Linotype" w:hAnsi="Palatino Linotype" w:cs="Palatino Linotype"/>
          <w:sz w:val="22"/>
          <w:szCs w:val="22"/>
        </w:rPr>
        <w:t>, el expediente completo en versión publica formulado respecto a la factibilidad otorgada.</w:t>
      </w:r>
    </w:p>
    <w:p w14:paraId="4BED8EE0" w14:textId="77777777" w:rsidR="004664DE" w:rsidRPr="0012364D" w:rsidRDefault="004664DE">
      <w:pPr>
        <w:pBdr>
          <w:top w:val="nil"/>
          <w:left w:val="nil"/>
          <w:bottom w:val="nil"/>
          <w:right w:val="nil"/>
          <w:between w:val="nil"/>
        </w:pBdr>
        <w:spacing w:line="360" w:lineRule="auto"/>
        <w:ind w:left="567" w:right="900"/>
        <w:jc w:val="both"/>
        <w:rPr>
          <w:rFonts w:ascii="Palatino Linotype" w:eastAsia="Palatino Linotype" w:hAnsi="Palatino Linotype" w:cs="Palatino Linotype"/>
          <w:sz w:val="22"/>
          <w:szCs w:val="22"/>
        </w:rPr>
      </w:pPr>
    </w:p>
    <w:p w14:paraId="738F0E53" w14:textId="77777777" w:rsidR="004664DE" w:rsidRPr="0012364D" w:rsidRDefault="00A7108E">
      <w:pPr>
        <w:numPr>
          <w:ilvl w:val="0"/>
          <w:numId w:val="3"/>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Solicita a la </w:t>
      </w:r>
      <w:r w:rsidRPr="0012364D">
        <w:rPr>
          <w:rFonts w:ascii="Palatino Linotype" w:eastAsia="Palatino Linotype" w:hAnsi="Palatino Linotype" w:cs="Palatino Linotype"/>
          <w:b/>
          <w:sz w:val="22"/>
          <w:szCs w:val="22"/>
        </w:rPr>
        <w:t>Dirección General de Desarrollo Urbano de Naucalpan</w:t>
      </w:r>
      <w:r w:rsidRPr="0012364D">
        <w:rPr>
          <w:rFonts w:ascii="Palatino Linotype" w:eastAsia="Palatino Linotype" w:hAnsi="Palatino Linotype" w:cs="Palatino Linotype"/>
          <w:sz w:val="22"/>
          <w:szCs w:val="22"/>
        </w:rPr>
        <w:t xml:space="preserve">, en versión publica los expedientes formados por concepto de licencias y/o autorizaciones en materia de desarrollo urbano, así como cambios de uso de suelo, en caso de existir. </w:t>
      </w:r>
    </w:p>
    <w:p w14:paraId="52257605" w14:textId="77777777" w:rsidR="004664DE" w:rsidRPr="0012364D" w:rsidRDefault="004664DE">
      <w:pPr>
        <w:pBdr>
          <w:top w:val="nil"/>
          <w:left w:val="nil"/>
          <w:bottom w:val="nil"/>
          <w:right w:val="nil"/>
          <w:between w:val="nil"/>
        </w:pBdr>
        <w:ind w:left="720"/>
        <w:rPr>
          <w:rFonts w:ascii="Palatino Linotype" w:eastAsia="Palatino Linotype" w:hAnsi="Palatino Linotype" w:cs="Palatino Linotype"/>
          <w:sz w:val="22"/>
          <w:szCs w:val="22"/>
        </w:rPr>
      </w:pPr>
    </w:p>
    <w:p w14:paraId="022D7F01" w14:textId="77777777" w:rsidR="004664DE" w:rsidRPr="0012364D" w:rsidRDefault="00A7108E">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En respuesta, 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se pronunció por conducto del Subdirector de Operación Urbana de la Dirección General de Desarrollo Urbano, quien refiere que se realizó una </w:t>
      </w:r>
      <w:r w:rsidRPr="0012364D">
        <w:rPr>
          <w:rFonts w:ascii="Palatino Linotype" w:eastAsia="Palatino Linotype" w:hAnsi="Palatino Linotype" w:cs="Palatino Linotype"/>
          <w:sz w:val="22"/>
          <w:szCs w:val="22"/>
        </w:rPr>
        <w:lastRenderedPageBreak/>
        <w:t>búsqueda exhaustiva y minuciosa en base de datos, archivos físicos con los que cuenta actualmente en posesión, los Departamentos de Licencias de Construcción y Uso y Control del Suelo, ambos a cargo de esta Subdirección de Operación Urbana, y no se localizó el registro de expediente, antecedente o solicitud para el predio que se indica en la petición de la plataforma.</w:t>
      </w:r>
    </w:p>
    <w:p w14:paraId="266DED08" w14:textId="77777777" w:rsidR="004664DE" w:rsidRPr="0012364D" w:rsidRDefault="00A7108E">
      <w:pPr>
        <w:spacing w:before="240" w:after="240" w:line="360" w:lineRule="auto"/>
        <w:ind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Asimismo, obra el pronunciamiento del </w:t>
      </w:r>
      <w:proofErr w:type="gramStart"/>
      <w:r w:rsidRPr="0012364D">
        <w:rPr>
          <w:rFonts w:ascii="Palatino Linotype" w:eastAsia="Palatino Linotype" w:hAnsi="Palatino Linotype" w:cs="Palatino Linotype"/>
          <w:sz w:val="22"/>
          <w:szCs w:val="22"/>
        </w:rPr>
        <w:t>Director General</w:t>
      </w:r>
      <w:proofErr w:type="gramEnd"/>
      <w:r w:rsidRPr="0012364D">
        <w:rPr>
          <w:rFonts w:ascii="Palatino Linotype" w:eastAsia="Palatino Linotype" w:hAnsi="Palatino Linotype" w:cs="Palatino Linotype"/>
          <w:sz w:val="22"/>
          <w:szCs w:val="22"/>
        </w:rPr>
        <w:t xml:space="preserve"> de Desarrollo Urbano del Municipio de Naucalpan de Juárez, en el cual refiere que no se localizó ningún registro en los archivos de trámites, archivos electrónicos, acta entrega-recepción e inventarios de transferencias primarias al archivo de concentración. </w:t>
      </w:r>
    </w:p>
    <w:p w14:paraId="622B1111" w14:textId="77777777" w:rsidR="004664DE" w:rsidRPr="0012364D" w:rsidRDefault="00A7108E">
      <w:pPr>
        <w:spacing w:before="240" w:after="240" w:line="360" w:lineRule="auto"/>
        <w:ind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En esta tesitura, una vez conocida la respuesta emitida por 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w:t>
      </w:r>
      <w:r w:rsidRPr="0012364D">
        <w:rPr>
          <w:rFonts w:ascii="Palatino Linotype" w:eastAsia="Palatino Linotype" w:hAnsi="Palatino Linotype" w:cs="Palatino Linotype"/>
          <w:b/>
          <w:sz w:val="22"/>
          <w:szCs w:val="22"/>
        </w:rPr>
        <w:t>la parte Recurrente</w:t>
      </w:r>
      <w:r w:rsidRPr="0012364D">
        <w:rPr>
          <w:rFonts w:ascii="Palatino Linotype" w:eastAsia="Palatino Linotype" w:hAnsi="Palatino Linotype" w:cs="Palatino Linotype"/>
          <w:sz w:val="22"/>
          <w:szCs w:val="22"/>
        </w:rPr>
        <w:t xml:space="preserve">, al no estar conforme con los términos de la misma, interpuso el recurso de revisión que nos ocupa, inconformándose medularmente por la negativa a entregar la información, impugnando específicamente el contenido de los  oficios DGDU/SPYEU/147/2024 y DGDU/SOU/IV/260/2024, que contienen la respuesta a la solicitud pues a su consideración tiene todos los elementos para verificar con un dato u otro que en dicha ubicación existe una obra, asimismo impugna que el organismo de agua no le otorgó una respuesta a lo solicitado, adjuntando para tal efecto una captura de pantalla obtenida de la aplicación </w:t>
      </w:r>
      <w:proofErr w:type="spellStart"/>
      <w:r w:rsidRPr="0012364D">
        <w:rPr>
          <w:rFonts w:ascii="Palatino Linotype" w:eastAsia="Palatino Linotype" w:hAnsi="Palatino Linotype" w:cs="Palatino Linotype"/>
          <w:sz w:val="22"/>
          <w:szCs w:val="22"/>
        </w:rPr>
        <w:t>google</w:t>
      </w:r>
      <w:proofErr w:type="spellEnd"/>
      <w:r w:rsidRPr="0012364D">
        <w:rPr>
          <w:rFonts w:ascii="Palatino Linotype" w:eastAsia="Palatino Linotype" w:hAnsi="Palatino Linotype" w:cs="Palatino Linotype"/>
          <w:sz w:val="22"/>
          <w:szCs w:val="22"/>
        </w:rPr>
        <w:t xml:space="preserve"> </w:t>
      </w:r>
      <w:proofErr w:type="spellStart"/>
      <w:r w:rsidRPr="0012364D">
        <w:rPr>
          <w:rFonts w:ascii="Palatino Linotype" w:eastAsia="Palatino Linotype" w:hAnsi="Palatino Linotype" w:cs="Palatino Linotype"/>
          <w:sz w:val="22"/>
          <w:szCs w:val="22"/>
        </w:rPr>
        <w:t>maps</w:t>
      </w:r>
      <w:proofErr w:type="spellEnd"/>
      <w:r w:rsidRPr="0012364D">
        <w:rPr>
          <w:rFonts w:ascii="Palatino Linotype" w:eastAsia="Palatino Linotype" w:hAnsi="Palatino Linotype" w:cs="Palatino Linotype"/>
          <w:sz w:val="22"/>
          <w:szCs w:val="22"/>
        </w:rPr>
        <w:t xml:space="preserve"> en la que refiere la actual ubicación del proyecto multifamiliar en lomas verdes, el cual es materia de la solicitud de información.</w:t>
      </w:r>
    </w:p>
    <w:p w14:paraId="293A9CC2" w14:textId="77777777" w:rsidR="004664DE" w:rsidRPr="0012364D" w:rsidRDefault="00A7108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Así las cosas, durante la etapa de manifestaciones e informe justificado, se tiene que </w:t>
      </w:r>
      <w:r w:rsidRPr="0012364D">
        <w:rPr>
          <w:rFonts w:ascii="Palatino Linotype" w:eastAsia="Palatino Linotype" w:hAnsi="Palatino Linotype" w:cs="Palatino Linotype"/>
          <w:b/>
          <w:sz w:val="22"/>
          <w:szCs w:val="22"/>
        </w:rPr>
        <w:t>la parte Recurrente</w:t>
      </w:r>
      <w:r w:rsidRPr="0012364D">
        <w:rPr>
          <w:rFonts w:ascii="Palatino Linotype" w:eastAsia="Palatino Linotype" w:hAnsi="Palatino Linotype" w:cs="Palatino Linotype"/>
          <w:sz w:val="22"/>
          <w:szCs w:val="22"/>
        </w:rPr>
        <w:t xml:space="preserve"> fue omisa en pronunciarse en esta etapa, mientras que 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puntualizó por conducto del Subdirector Jurídico adscrito a la Dirección General de Desarrollo Urbano, </w:t>
      </w:r>
      <w:r w:rsidRPr="0012364D">
        <w:rPr>
          <w:rFonts w:ascii="Palatino Linotype" w:eastAsia="Palatino Linotype" w:hAnsi="Palatino Linotype" w:cs="Palatino Linotype"/>
          <w:b/>
          <w:sz w:val="22"/>
          <w:szCs w:val="22"/>
          <w:u w:val="single"/>
        </w:rPr>
        <w:t xml:space="preserve">que no se cuenta con la información solicitada ya que dicha autoridad no ha recibido solicitud alguna para la expedición de alguna licencia de construcción o </w:t>
      </w:r>
      <w:r w:rsidRPr="0012364D">
        <w:rPr>
          <w:rFonts w:ascii="Palatino Linotype" w:eastAsia="Palatino Linotype" w:hAnsi="Palatino Linotype" w:cs="Palatino Linotype"/>
          <w:b/>
          <w:sz w:val="22"/>
          <w:szCs w:val="22"/>
          <w:u w:val="single"/>
        </w:rPr>
        <w:lastRenderedPageBreak/>
        <w:t>uso de suelo para el predio referido en dicha solicitud; en razón de lo anterior, no se advierte obligación alguna del Sujeto Obligado para contar con la información</w:t>
      </w:r>
      <w:r w:rsidRPr="0012364D">
        <w:rPr>
          <w:rFonts w:ascii="Palatino Linotype" w:eastAsia="Palatino Linotype" w:hAnsi="Palatino Linotype" w:cs="Palatino Linotype"/>
          <w:sz w:val="22"/>
          <w:szCs w:val="22"/>
        </w:rPr>
        <w:t xml:space="preserve">, por lo que no será necesario que el Comité de Transparencia emita una resolución que confirme la inexistencia de la información, por lo que una vez desahogadas las etapas procesales correspondientes, se procede a emitir la resolución que conforme a derecho corresponda. </w:t>
      </w:r>
    </w:p>
    <w:p w14:paraId="489C8150" w14:textId="77777777" w:rsidR="004664DE" w:rsidRPr="0012364D" w:rsidRDefault="004664D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719B4CD" w14:textId="77777777" w:rsidR="004664DE" w:rsidRPr="0012364D" w:rsidRDefault="00A7108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Una vez expuestas las posturas de las partes, resulta necesario iniciar el presente análisis, con las consideraciones que se expondrán a continuación mediante los dos subapartados siguientes:</w:t>
      </w:r>
    </w:p>
    <w:p w14:paraId="7039F509" w14:textId="77777777" w:rsidR="004664DE" w:rsidRPr="0012364D" w:rsidRDefault="004664D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A7A4EEE" w14:textId="77777777" w:rsidR="004664DE" w:rsidRPr="0012364D" w:rsidRDefault="00A7108E">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b/>
          <w:sz w:val="22"/>
          <w:szCs w:val="22"/>
        </w:rPr>
      </w:pPr>
      <w:r w:rsidRPr="0012364D">
        <w:rPr>
          <w:rFonts w:ascii="Palatino Linotype" w:eastAsia="Palatino Linotype" w:hAnsi="Palatino Linotype" w:cs="Palatino Linotype"/>
          <w:b/>
          <w:sz w:val="22"/>
          <w:szCs w:val="22"/>
        </w:rPr>
        <w:t>1.- De los expedientes formados por concepto de licencias y/o autorizaciones en materia de desarrollo urbano, así como cambios de uso de suelo, del predio referido en la solicitud de información, requeridos a la Dirección General de Desarrollo Urbano de Naucalpan.</w:t>
      </w:r>
    </w:p>
    <w:p w14:paraId="4132F99F" w14:textId="77777777" w:rsidR="004664DE" w:rsidRPr="0012364D" w:rsidRDefault="004664DE">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b/>
          <w:sz w:val="22"/>
          <w:szCs w:val="22"/>
        </w:rPr>
      </w:pPr>
    </w:p>
    <w:p w14:paraId="5B9F17A9" w14:textId="77777777" w:rsidR="004664DE" w:rsidRPr="0012364D" w:rsidRDefault="00A7108E">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b/>
          <w:sz w:val="22"/>
          <w:szCs w:val="22"/>
        </w:rPr>
      </w:pPr>
      <w:r w:rsidRPr="0012364D">
        <w:rPr>
          <w:rFonts w:ascii="Palatino Linotype" w:eastAsia="Palatino Linotype" w:hAnsi="Palatino Linotype" w:cs="Palatino Linotype"/>
          <w:b/>
          <w:sz w:val="22"/>
          <w:szCs w:val="22"/>
        </w:rPr>
        <w:t>2.- Del expediente formulado respecto a la factibilidad otorgada al predio referido en la solicitud de información, requerido al Organismo Público Descentralizado para la Prestación de los Servicios de Agua Potable, Alcantarillado y Saneamiento del Municipio de Naucalpan.</w:t>
      </w:r>
    </w:p>
    <w:p w14:paraId="015B9281" w14:textId="77777777" w:rsidR="004664DE" w:rsidRPr="0012364D" w:rsidRDefault="004664D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11005C1" w14:textId="77777777" w:rsidR="004664DE" w:rsidRPr="0012364D" w:rsidRDefault="00A7108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12364D">
        <w:rPr>
          <w:rFonts w:ascii="Palatino Linotype" w:eastAsia="Palatino Linotype" w:hAnsi="Palatino Linotype" w:cs="Palatino Linotype"/>
          <w:b/>
          <w:sz w:val="22"/>
          <w:szCs w:val="22"/>
        </w:rPr>
        <w:t>1.- De los expedientes formados por concepto de licencias y/o autorizaciones en materia de desarrollo urbano, así como cambios de uso de suelo, del predio referido en la solicitud de información, requeridos a la Dirección General de Desarrollo Urbano de Naucalpan.</w:t>
      </w:r>
    </w:p>
    <w:p w14:paraId="4EB97B01" w14:textId="77777777" w:rsidR="004664DE" w:rsidRPr="0012364D" w:rsidRDefault="004664DE">
      <w:pPr>
        <w:pBdr>
          <w:top w:val="nil"/>
          <w:left w:val="nil"/>
          <w:bottom w:val="nil"/>
          <w:right w:val="nil"/>
          <w:between w:val="nil"/>
        </w:pBdr>
        <w:tabs>
          <w:tab w:val="left" w:pos="284"/>
        </w:tabs>
        <w:spacing w:line="360" w:lineRule="auto"/>
        <w:ind w:right="900"/>
        <w:jc w:val="both"/>
        <w:rPr>
          <w:rFonts w:ascii="Palatino Linotype" w:eastAsia="Palatino Linotype" w:hAnsi="Palatino Linotype" w:cs="Palatino Linotype"/>
          <w:b/>
          <w:sz w:val="22"/>
          <w:szCs w:val="22"/>
        </w:rPr>
      </w:pPr>
    </w:p>
    <w:p w14:paraId="3CB0BC0E" w14:textId="77777777" w:rsidR="004664DE" w:rsidRPr="0012364D" w:rsidRDefault="00A7108E">
      <w:pPr>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lastRenderedPageBreak/>
        <w:t xml:space="preserve">En primera instancia, es de advertirse que </w:t>
      </w:r>
      <w:proofErr w:type="gramStart"/>
      <w:r w:rsidRPr="0012364D">
        <w:rPr>
          <w:rFonts w:ascii="Palatino Linotype" w:eastAsia="Palatino Linotype" w:hAnsi="Palatino Linotype" w:cs="Palatino Linotype"/>
          <w:sz w:val="22"/>
          <w:szCs w:val="22"/>
        </w:rPr>
        <w:t>quien</w:t>
      </w:r>
      <w:proofErr w:type="gramEnd"/>
      <w:r w:rsidRPr="0012364D">
        <w:rPr>
          <w:rFonts w:ascii="Palatino Linotype" w:eastAsia="Palatino Linotype" w:hAnsi="Palatino Linotype" w:cs="Palatino Linotype"/>
          <w:sz w:val="22"/>
          <w:szCs w:val="22"/>
        </w:rPr>
        <w:t xml:space="preserve"> en las respuestas, 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señaló que se turnaron las solicitudes a la </w:t>
      </w:r>
      <w:r w:rsidRPr="0012364D">
        <w:rPr>
          <w:rFonts w:ascii="Palatino Linotype" w:eastAsia="Palatino Linotype" w:hAnsi="Palatino Linotype" w:cs="Palatino Linotype"/>
          <w:b/>
          <w:sz w:val="22"/>
          <w:szCs w:val="22"/>
        </w:rPr>
        <w:t>Dirección General de Desarrollo Urbano</w:t>
      </w:r>
      <w:r w:rsidRPr="0012364D">
        <w:rPr>
          <w:rFonts w:ascii="Palatino Linotype" w:eastAsia="Palatino Linotype" w:hAnsi="Palatino Linotype" w:cs="Palatino Linotype"/>
          <w:sz w:val="22"/>
          <w:szCs w:val="22"/>
        </w:rPr>
        <w:t>, la cual se pronunció a través de la Subdirección de Operación Urbana; en tal sentido, debe precisarse que conforme al Bando Municipal, dicha Dirección tiene las siguientes atribuciones:</w:t>
      </w:r>
    </w:p>
    <w:p w14:paraId="632B296B" w14:textId="77777777" w:rsidR="004664DE" w:rsidRPr="0012364D" w:rsidRDefault="004664DE">
      <w:pPr>
        <w:spacing w:line="360" w:lineRule="auto"/>
        <w:jc w:val="both"/>
        <w:rPr>
          <w:rFonts w:ascii="Palatino Linotype" w:eastAsia="Palatino Linotype" w:hAnsi="Palatino Linotype" w:cs="Palatino Linotype"/>
          <w:sz w:val="22"/>
          <w:szCs w:val="22"/>
        </w:rPr>
      </w:pPr>
    </w:p>
    <w:p w14:paraId="09E0E0E4" w14:textId="77777777" w:rsidR="004664DE" w:rsidRPr="0012364D" w:rsidRDefault="00A7108E">
      <w:pPr>
        <w:spacing w:line="276" w:lineRule="auto"/>
        <w:ind w:left="567" w:right="900"/>
        <w:jc w:val="both"/>
        <w:rPr>
          <w:rFonts w:ascii="Palatino Linotype" w:eastAsia="Palatino Linotype" w:hAnsi="Palatino Linotype" w:cs="Palatino Linotype"/>
          <w:b/>
          <w:i/>
          <w:sz w:val="22"/>
          <w:szCs w:val="22"/>
        </w:rPr>
      </w:pPr>
      <w:r w:rsidRPr="0012364D">
        <w:rPr>
          <w:rFonts w:ascii="Palatino Linotype" w:eastAsia="Palatino Linotype" w:hAnsi="Palatino Linotype" w:cs="Palatino Linotype"/>
          <w:b/>
          <w:i/>
          <w:sz w:val="22"/>
          <w:szCs w:val="22"/>
        </w:rPr>
        <w:t xml:space="preserve">“Artículo 83. </w:t>
      </w:r>
      <w:r w:rsidRPr="0012364D">
        <w:rPr>
          <w:rFonts w:ascii="Palatino Linotype" w:eastAsia="Palatino Linotype" w:hAnsi="Palatino Linotype" w:cs="Palatino Linotype"/>
          <w:b/>
          <w:i/>
          <w:sz w:val="22"/>
          <w:szCs w:val="22"/>
          <w:u w:val="single"/>
        </w:rPr>
        <w:t>La Dirección General de Desarrollo Urbano, es la Dependencia de la Administración Pública Municipal, encargada de planear, ordenar y regular, los asentamientos humanos en el territorio municipal</w:t>
      </w:r>
      <w:r w:rsidRPr="0012364D">
        <w:rPr>
          <w:rFonts w:ascii="Palatino Linotype" w:eastAsia="Palatino Linotype" w:hAnsi="Palatino Linotype" w:cs="Palatino Linotype"/>
          <w:b/>
          <w:i/>
          <w:sz w:val="22"/>
          <w:szCs w:val="22"/>
        </w:rPr>
        <w:t>, el desarrollo urbano, la infraestructura vial local a cargo del Municipio y los anuncios, para lo cual podrá</w:t>
      </w:r>
      <w:r w:rsidRPr="0012364D">
        <w:t xml:space="preserve"> </w:t>
      </w:r>
      <w:r w:rsidRPr="0012364D">
        <w:rPr>
          <w:rFonts w:ascii="Palatino Linotype" w:eastAsia="Palatino Linotype" w:hAnsi="Palatino Linotype" w:cs="Palatino Linotype"/>
          <w:b/>
          <w:i/>
          <w:sz w:val="22"/>
          <w:szCs w:val="22"/>
        </w:rPr>
        <w:t>concertar y acordar acciones con las autoridades de la Federación, de los Estados, de la Ciudad de México y sus Alcaldías u otros municipios, debiendo vigilar el cumplimiento de las disposiciones jurídicas que regulan esas materias</w:t>
      </w:r>
      <w:r w:rsidRPr="0012364D">
        <w:rPr>
          <w:rFonts w:ascii="Palatino Linotype" w:eastAsia="Palatino Linotype" w:hAnsi="Palatino Linotype" w:cs="Palatino Linotype"/>
          <w:i/>
          <w:sz w:val="22"/>
          <w:szCs w:val="22"/>
        </w:rPr>
        <w:t>”(Énfasis añadido)</w:t>
      </w:r>
    </w:p>
    <w:p w14:paraId="13203757" w14:textId="77777777" w:rsidR="004664DE" w:rsidRPr="0012364D" w:rsidRDefault="004664DE">
      <w:pPr>
        <w:spacing w:line="360" w:lineRule="auto"/>
        <w:jc w:val="both"/>
        <w:rPr>
          <w:rFonts w:ascii="Palatino Linotype" w:eastAsia="Palatino Linotype" w:hAnsi="Palatino Linotype" w:cs="Palatino Linotype"/>
          <w:sz w:val="22"/>
          <w:szCs w:val="22"/>
        </w:rPr>
      </w:pPr>
    </w:p>
    <w:p w14:paraId="55F7B409" w14:textId="77777777" w:rsidR="004664DE" w:rsidRPr="0012364D" w:rsidRDefault="00A7108E">
      <w:pPr>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Asimismo, el Reglamento Interior de la Dirección General de Desarrollo Urbano, la Dirección y las Subdirecciones en referencia cuentan con las siguientes atribuciones: </w:t>
      </w:r>
    </w:p>
    <w:p w14:paraId="1AC29649"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w:t>
      </w:r>
    </w:p>
    <w:p w14:paraId="360C4044"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Artículo 12.- La Dirección General, para el despacho de sus atribuciones, se auxiliará de las Unidades Administrativas siguientes:  </w:t>
      </w:r>
    </w:p>
    <w:p w14:paraId="0F0A5110"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I. Coordinación Administrativa; </w:t>
      </w:r>
    </w:p>
    <w:p w14:paraId="19D49CEB"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II. Subdirección de Planeación y Evaluación Urbana; </w:t>
      </w:r>
    </w:p>
    <w:p w14:paraId="0C94AF80" w14:textId="77777777" w:rsidR="004664DE" w:rsidRPr="0012364D" w:rsidRDefault="00A7108E">
      <w:pPr>
        <w:spacing w:line="276" w:lineRule="auto"/>
        <w:ind w:left="567" w:right="900"/>
        <w:jc w:val="both"/>
        <w:rPr>
          <w:rFonts w:ascii="Palatino Linotype" w:eastAsia="Palatino Linotype" w:hAnsi="Palatino Linotype" w:cs="Palatino Linotype"/>
          <w:b/>
          <w:i/>
          <w:sz w:val="22"/>
          <w:szCs w:val="22"/>
          <w:u w:val="single"/>
        </w:rPr>
      </w:pPr>
      <w:r w:rsidRPr="0012364D">
        <w:rPr>
          <w:rFonts w:ascii="Palatino Linotype" w:eastAsia="Palatino Linotype" w:hAnsi="Palatino Linotype" w:cs="Palatino Linotype"/>
          <w:b/>
          <w:i/>
          <w:sz w:val="22"/>
          <w:szCs w:val="22"/>
          <w:u w:val="single"/>
        </w:rPr>
        <w:t xml:space="preserve">III. Subdirección de Operación Urbana; </w:t>
      </w:r>
    </w:p>
    <w:p w14:paraId="3F1D89F5"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IV. Subdirección de Regularización de la Tenencia de la Tierra; </w:t>
      </w:r>
    </w:p>
    <w:p w14:paraId="6B424847"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V. Subdirección de Movilidad Territorial; y </w:t>
      </w:r>
    </w:p>
    <w:p w14:paraId="68DBC88C" w14:textId="77777777" w:rsidR="004664DE" w:rsidRPr="0012364D" w:rsidRDefault="00A7108E">
      <w:pPr>
        <w:spacing w:line="276" w:lineRule="auto"/>
        <w:ind w:left="567" w:right="900"/>
        <w:jc w:val="both"/>
        <w:rPr>
          <w:rFonts w:ascii="Palatino Linotype" w:eastAsia="Palatino Linotype" w:hAnsi="Palatino Linotype" w:cs="Palatino Linotype"/>
          <w:b/>
          <w:i/>
          <w:sz w:val="22"/>
          <w:szCs w:val="22"/>
          <w:u w:val="single"/>
        </w:rPr>
      </w:pPr>
      <w:r w:rsidRPr="0012364D">
        <w:rPr>
          <w:rFonts w:ascii="Palatino Linotype" w:eastAsia="Palatino Linotype" w:hAnsi="Palatino Linotype" w:cs="Palatino Linotype"/>
          <w:b/>
          <w:i/>
          <w:sz w:val="22"/>
          <w:szCs w:val="22"/>
          <w:u w:val="single"/>
        </w:rPr>
        <w:t>VI. Subdirección Jurídica.</w:t>
      </w:r>
    </w:p>
    <w:p w14:paraId="52A98D55"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w:t>
      </w:r>
    </w:p>
    <w:p w14:paraId="4D9FD3FD"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b/>
          <w:i/>
          <w:sz w:val="22"/>
          <w:szCs w:val="22"/>
        </w:rPr>
        <w:t>Artículo 21.- La Subdirección de Operación Urbana</w:t>
      </w:r>
      <w:r w:rsidRPr="0012364D">
        <w:rPr>
          <w:rFonts w:ascii="Palatino Linotype" w:eastAsia="Palatino Linotype" w:hAnsi="Palatino Linotype" w:cs="Palatino Linotype"/>
          <w:i/>
          <w:sz w:val="22"/>
          <w:szCs w:val="22"/>
        </w:rPr>
        <w:t xml:space="preserve">, para el despacho de sus atribuciones, se auxiliará de las unidades administrativas siguientes:  </w:t>
      </w:r>
    </w:p>
    <w:p w14:paraId="07947026" w14:textId="77777777" w:rsidR="004664DE" w:rsidRPr="0012364D" w:rsidRDefault="004664DE">
      <w:pPr>
        <w:spacing w:line="276" w:lineRule="auto"/>
        <w:ind w:left="567" w:right="900"/>
        <w:jc w:val="both"/>
        <w:rPr>
          <w:rFonts w:ascii="Palatino Linotype" w:eastAsia="Palatino Linotype" w:hAnsi="Palatino Linotype" w:cs="Palatino Linotype"/>
          <w:i/>
          <w:sz w:val="22"/>
          <w:szCs w:val="22"/>
        </w:rPr>
      </w:pPr>
    </w:p>
    <w:p w14:paraId="649F101C" w14:textId="77777777" w:rsidR="004664DE" w:rsidRPr="0012364D" w:rsidRDefault="00A7108E">
      <w:pPr>
        <w:spacing w:line="276" w:lineRule="auto"/>
        <w:ind w:left="567" w:right="900"/>
        <w:jc w:val="both"/>
        <w:rPr>
          <w:rFonts w:ascii="Palatino Linotype" w:eastAsia="Palatino Linotype" w:hAnsi="Palatino Linotype" w:cs="Palatino Linotype"/>
          <w:b/>
          <w:i/>
          <w:sz w:val="22"/>
          <w:szCs w:val="22"/>
        </w:rPr>
      </w:pPr>
      <w:r w:rsidRPr="0012364D">
        <w:rPr>
          <w:rFonts w:ascii="Palatino Linotype" w:eastAsia="Palatino Linotype" w:hAnsi="Palatino Linotype" w:cs="Palatino Linotype"/>
          <w:b/>
          <w:i/>
          <w:sz w:val="22"/>
          <w:szCs w:val="22"/>
        </w:rPr>
        <w:t xml:space="preserve">I. Departamento de Licencias de Construcción; </w:t>
      </w:r>
    </w:p>
    <w:p w14:paraId="4539E5C0"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lastRenderedPageBreak/>
        <w:t>…</w:t>
      </w:r>
    </w:p>
    <w:p w14:paraId="592FDFF3"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Artículo 22.- El Departamento de Licencias de Construcción, estará a cargo de un titular, que se denominará </w:t>
      </w:r>
      <w:proofErr w:type="gramStart"/>
      <w:r w:rsidRPr="0012364D">
        <w:rPr>
          <w:rFonts w:ascii="Palatino Linotype" w:eastAsia="Palatino Linotype" w:hAnsi="Palatino Linotype" w:cs="Palatino Linotype"/>
          <w:i/>
          <w:sz w:val="22"/>
          <w:szCs w:val="22"/>
        </w:rPr>
        <w:t>Jefe</w:t>
      </w:r>
      <w:proofErr w:type="gramEnd"/>
      <w:r w:rsidRPr="0012364D">
        <w:rPr>
          <w:rFonts w:ascii="Palatino Linotype" w:eastAsia="Palatino Linotype" w:hAnsi="Palatino Linotype" w:cs="Palatino Linotype"/>
          <w:i/>
          <w:sz w:val="22"/>
          <w:szCs w:val="22"/>
        </w:rPr>
        <w:t xml:space="preserve"> (a) del Departamento de Licencias de Construcción; y tendrá las atribuciones siguientes:  </w:t>
      </w:r>
    </w:p>
    <w:p w14:paraId="1CAF4805"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b/>
          <w:i/>
          <w:sz w:val="22"/>
          <w:szCs w:val="22"/>
          <w:u w:val="single"/>
        </w:rPr>
        <w:t>I. Integrar los expedientes relativos a las solicitudes de licencias de construcción en cualquiera de sus modalidades, así como, permisos, avisos, prórrogas, extemporaneidades de constancias de suspensión voluntaria de la licencia de construcción y de terminación de obra parcial o total, de la ocupación temporal de la vía pública cuando sea producto de una construcción previamente autorizada mediante licencia de construcción</w:t>
      </w:r>
      <w:r w:rsidRPr="0012364D">
        <w:rPr>
          <w:rFonts w:ascii="Palatino Linotype" w:eastAsia="Palatino Linotype" w:hAnsi="Palatino Linotype" w:cs="Palatino Linotype"/>
          <w:i/>
          <w:sz w:val="22"/>
          <w:szCs w:val="22"/>
        </w:rPr>
        <w:t>, y la construcción de obras de conexión de agua potable, drenaje y sus obras realizadas por particulares el visto bueno de la lona de identificación de obra y placa de normas de uso de suelo y aprovechamiento del inmueble y en general, sobre cualquier trámite relacionado con las autorizaciones de construcción,  asignándoles un número progresivo de identificación;</w:t>
      </w:r>
    </w:p>
    <w:p w14:paraId="0B6A9A06"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w:t>
      </w:r>
    </w:p>
    <w:p w14:paraId="13A3801F" w14:textId="77777777" w:rsidR="004664DE" w:rsidRPr="0012364D" w:rsidRDefault="00A7108E">
      <w:pPr>
        <w:spacing w:line="276" w:lineRule="auto"/>
        <w:ind w:left="567" w:right="900"/>
        <w:jc w:val="both"/>
        <w:rPr>
          <w:rFonts w:ascii="Palatino Linotype" w:eastAsia="Palatino Linotype" w:hAnsi="Palatino Linotype" w:cs="Palatino Linotype"/>
          <w:b/>
          <w:i/>
          <w:sz w:val="22"/>
          <w:szCs w:val="22"/>
        </w:rPr>
      </w:pPr>
      <w:r w:rsidRPr="0012364D">
        <w:rPr>
          <w:rFonts w:ascii="Palatino Linotype" w:eastAsia="Palatino Linotype" w:hAnsi="Palatino Linotype" w:cs="Palatino Linotype"/>
          <w:b/>
          <w:i/>
          <w:sz w:val="22"/>
          <w:szCs w:val="22"/>
        </w:rPr>
        <w:t>III. Dar trámite y realizar la revisión, análisis, estudios técnicos y legales de los expedientes turnados para su atención, en materia de construcción;</w:t>
      </w:r>
    </w:p>
    <w:p w14:paraId="0276D1A0" w14:textId="77777777" w:rsidR="004664DE" w:rsidRPr="0012364D" w:rsidRDefault="00A7108E">
      <w:pPr>
        <w:spacing w:line="276" w:lineRule="auto"/>
        <w:ind w:left="567" w:right="900"/>
        <w:jc w:val="both"/>
        <w:rPr>
          <w:rFonts w:ascii="Palatino Linotype" w:eastAsia="Palatino Linotype" w:hAnsi="Palatino Linotype" w:cs="Palatino Linotype"/>
          <w:b/>
          <w:i/>
          <w:sz w:val="22"/>
          <w:szCs w:val="22"/>
        </w:rPr>
      </w:pPr>
      <w:r w:rsidRPr="0012364D">
        <w:rPr>
          <w:rFonts w:ascii="Palatino Linotype" w:eastAsia="Palatino Linotype" w:hAnsi="Palatino Linotype" w:cs="Palatino Linotype"/>
          <w:b/>
          <w:i/>
          <w:sz w:val="22"/>
          <w:szCs w:val="22"/>
        </w:rPr>
        <w:t>…</w:t>
      </w:r>
    </w:p>
    <w:p w14:paraId="2354889F"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b/>
          <w:i/>
          <w:sz w:val="22"/>
          <w:szCs w:val="22"/>
        </w:rPr>
        <w:t xml:space="preserve">Artículo 36.- La Subdirección Jurídica, </w:t>
      </w:r>
      <w:r w:rsidRPr="0012364D">
        <w:rPr>
          <w:rFonts w:ascii="Palatino Linotype" w:eastAsia="Palatino Linotype" w:hAnsi="Palatino Linotype" w:cs="Palatino Linotype"/>
          <w:i/>
          <w:sz w:val="22"/>
          <w:szCs w:val="22"/>
        </w:rPr>
        <w:t xml:space="preserve">estará a cargo de un titular que se denominará, </w:t>
      </w:r>
      <w:proofErr w:type="gramStart"/>
      <w:r w:rsidRPr="0012364D">
        <w:rPr>
          <w:rFonts w:ascii="Palatino Linotype" w:eastAsia="Palatino Linotype" w:hAnsi="Palatino Linotype" w:cs="Palatino Linotype"/>
          <w:i/>
          <w:sz w:val="22"/>
          <w:szCs w:val="22"/>
        </w:rPr>
        <w:t>Subdirector</w:t>
      </w:r>
      <w:proofErr w:type="gramEnd"/>
      <w:r w:rsidRPr="0012364D">
        <w:rPr>
          <w:rFonts w:ascii="Palatino Linotype" w:eastAsia="Palatino Linotype" w:hAnsi="Palatino Linotype" w:cs="Palatino Linotype"/>
          <w:i/>
          <w:sz w:val="22"/>
          <w:szCs w:val="22"/>
        </w:rPr>
        <w:t xml:space="preserve"> (a) Jurídico (a); y tendrá las atribuciones siguientes:</w:t>
      </w:r>
    </w:p>
    <w:p w14:paraId="7D09F6A8" w14:textId="77777777" w:rsidR="004664DE" w:rsidRPr="0012364D" w:rsidRDefault="00A7108E">
      <w:pPr>
        <w:spacing w:line="276" w:lineRule="auto"/>
        <w:ind w:left="567" w:right="900"/>
        <w:jc w:val="both"/>
        <w:rPr>
          <w:rFonts w:ascii="Palatino Linotype" w:eastAsia="Palatino Linotype" w:hAnsi="Palatino Linotype" w:cs="Palatino Linotype"/>
          <w:b/>
          <w:i/>
          <w:sz w:val="22"/>
          <w:szCs w:val="22"/>
          <w:u w:val="single"/>
        </w:rPr>
      </w:pPr>
      <w:r w:rsidRPr="0012364D">
        <w:rPr>
          <w:rFonts w:ascii="Palatino Linotype" w:eastAsia="Palatino Linotype" w:hAnsi="Palatino Linotype" w:cs="Palatino Linotype"/>
          <w:b/>
          <w:i/>
          <w:sz w:val="22"/>
          <w:szCs w:val="22"/>
          <w:u w:val="single"/>
        </w:rPr>
        <w:t>II. Resolver los asuntos de su competencia y aquellos que le sean turnados por el (la) Director (a) General</w:t>
      </w:r>
      <w:proofErr w:type="gramStart"/>
      <w:r w:rsidRPr="0012364D">
        <w:rPr>
          <w:rFonts w:ascii="Palatino Linotype" w:eastAsia="Palatino Linotype" w:hAnsi="Palatino Linotype" w:cs="Palatino Linotype"/>
          <w:b/>
          <w:i/>
          <w:sz w:val="22"/>
          <w:szCs w:val="22"/>
          <w:u w:val="single"/>
        </w:rPr>
        <w:t>;</w:t>
      </w:r>
      <w:r w:rsidRPr="0012364D">
        <w:rPr>
          <w:rFonts w:ascii="Palatino Linotype" w:eastAsia="Palatino Linotype" w:hAnsi="Palatino Linotype" w:cs="Palatino Linotype"/>
          <w:b/>
          <w:i/>
          <w:sz w:val="22"/>
          <w:szCs w:val="22"/>
        </w:rPr>
        <w:t xml:space="preserve">”  </w:t>
      </w:r>
      <w:r w:rsidRPr="0012364D">
        <w:rPr>
          <w:rFonts w:ascii="Palatino Linotype" w:eastAsia="Palatino Linotype" w:hAnsi="Palatino Linotype" w:cs="Palatino Linotype"/>
          <w:i/>
          <w:sz w:val="22"/>
          <w:szCs w:val="22"/>
        </w:rPr>
        <w:t>(</w:t>
      </w:r>
      <w:proofErr w:type="gramEnd"/>
      <w:r w:rsidRPr="0012364D">
        <w:rPr>
          <w:rFonts w:ascii="Palatino Linotype" w:eastAsia="Palatino Linotype" w:hAnsi="Palatino Linotype" w:cs="Palatino Linotype"/>
          <w:i/>
          <w:sz w:val="22"/>
          <w:szCs w:val="22"/>
        </w:rPr>
        <w:t>Énfasis añadido)</w:t>
      </w:r>
    </w:p>
    <w:p w14:paraId="02487309" w14:textId="77777777" w:rsidR="004664DE" w:rsidRPr="0012364D" w:rsidRDefault="004664DE">
      <w:pPr>
        <w:spacing w:line="276" w:lineRule="auto"/>
        <w:ind w:left="567" w:right="900"/>
        <w:jc w:val="both"/>
        <w:rPr>
          <w:rFonts w:ascii="Palatino Linotype" w:eastAsia="Palatino Linotype" w:hAnsi="Palatino Linotype" w:cs="Palatino Linotype"/>
          <w:b/>
          <w:i/>
          <w:sz w:val="22"/>
          <w:szCs w:val="22"/>
        </w:rPr>
      </w:pPr>
    </w:p>
    <w:p w14:paraId="3071D83E" w14:textId="77777777" w:rsidR="004664DE" w:rsidRPr="0012364D" w:rsidRDefault="00A7108E">
      <w:pPr>
        <w:spacing w:line="360" w:lineRule="auto"/>
        <w:ind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De tal suerte que como se desprende de lo anteriormente citado, la Dirección General de Desarrollo Urbano es la encargada de otorgar las licencias de construcción, uso específico de suelo por ende,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1A81904E" w14:textId="77777777" w:rsidR="004664DE" w:rsidRPr="0012364D" w:rsidRDefault="004664DE">
      <w:pPr>
        <w:rPr>
          <w:sz w:val="22"/>
          <w:szCs w:val="22"/>
        </w:rPr>
      </w:pPr>
    </w:p>
    <w:p w14:paraId="7789B947" w14:textId="77777777" w:rsidR="004664DE" w:rsidRPr="0012364D" w:rsidRDefault="00A7108E">
      <w:pPr>
        <w:pBdr>
          <w:top w:val="nil"/>
          <w:left w:val="nil"/>
          <w:bottom w:val="nil"/>
          <w:right w:val="nil"/>
          <w:between w:val="nil"/>
        </w:pBdr>
        <w:ind w:left="864" w:right="864"/>
        <w:jc w:val="both"/>
        <w:rPr>
          <w:sz w:val="22"/>
          <w:szCs w:val="22"/>
        </w:rPr>
      </w:pPr>
      <w:r w:rsidRPr="0012364D">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995DACA" w14:textId="77777777" w:rsidR="004664DE" w:rsidRPr="0012364D" w:rsidRDefault="004664DE">
      <w:pPr>
        <w:rPr>
          <w:sz w:val="22"/>
          <w:szCs w:val="22"/>
        </w:rPr>
      </w:pPr>
    </w:p>
    <w:p w14:paraId="04F77D49" w14:textId="77777777" w:rsidR="004664DE" w:rsidRPr="0012364D" w:rsidRDefault="00A7108E">
      <w:pPr>
        <w:pBdr>
          <w:top w:val="nil"/>
          <w:left w:val="nil"/>
          <w:bottom w:val="nil"/>
          <w:right w:val="nil"/>
          <w:between w:val="nil"/>
        </w:pBdr>
        <w:shd w:val="clear" w:color="auto" w:fill="FFFFFF"/>
        <w:spacing w:line="360" w:lineRule="auto"/>
        <w:jc w:val="both"/>
        <w:rPr>
          <w:sz w:val="22"/>
          <w:szCs w:val="22"/>
        </w:rPr>
      </w:pPr>
      <w:r w:rsidRPr="0012364D">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258DFD6A" w14:textId="77777777" w:rsidR="004664DE" w:rsidRPr="0012364D" w:rsidRDefault="004664DE">
      <w:pPr>
        <w:rPr>
          <w:sz w:val="22"/>
          <w:szCs w:val="22"/>
        </w:rPr>
      </w:pPr>
    </w:p>
    <w:p w14:paraId="533F7F35" w14:textId="77777777" w:rsidR="004664DE" w:rsidRPr="0012364D" w:rsidRDefault="00A7108E">
      <w:pPr>
        <w:pBdr>
          <w:top w:val="nil"/>
          <w:left w:val="nil"/>
          <w:bottom w:val="nil"/>
          <w:right w:val="nil"/>
          <w:between w:val="nil"/>
        </w:pBdr>
        <w:ind w:left="864" w:right="864"/>
        <w:jc w:val="both"/>
        <w:rPr>
          <w:sz w:val="22"/>
          <w:szCs w:val="22"/>
        </w:rPr>
      </w:pPr>
      <w:r w:rsidRPr="0012364D">
        <w:rPr>
          <w:rFonts w:ascii="Palatino Linotype" w:eastAsia="Palatino Linotype" w:hAnsi="Palatino Linotype" w:cs="Palatino Linotype"/>
          <w:i/>
          <w:sz w:val="22"/>
          <w:szCs w:val="22"/>
        </w:rPr>
        <w:t xml:space="preserve">“Artículo 162. Las unidades de transparencia deberán garantizar que las solicitudes </w:t>
      </w:r>
      <w:r w:rsidRPr="0012364D">
        <w:rPr>
          <w:rFonts w:ascii="Palatino Linotype" w:eastAsia="Palatino Linotype" w:hAnsi="Palatino Linotype" w:cs="Palatino Linotype"/>
          <w:b/>
          <w:i/>
          <w:sz w:val="22"/>
          <w:szCs w:val="22"/>
        </w:rPr>
        <w:t xml:space="preserve">se turnen a todas las Áreas competentes </w:t>
      </w:r>
      <w:r w:rsidRPr="0012364D">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45FFFAD5" w14:textId="77777777" w:rsidR="004664DE" w:rsidRPr="0012364D" w:rsidRDefault="004664D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8468A69" w14:textId="77777777" w:rsidR="004664DE" w:rsidRPr="0012364D" w:rsidRDefault="00A7108E">
      <w:pPr>
        <w:pBdr>
          <w:top w:val="nil"/>
          <w:left w:val="nil"/>
          <w:bottom w:val="nil"/>
          <w:right w:val="nil"/>
          <w:between w:val="nil"/>
        </w:pBdr>
        <w:spacing w:line="360" w:lineRule="auto"/>
        <w:jc w:val="both"/>
        <w:rPr>
          <w:sz w:val="22"/>
          <w:szCs w:val="22"/>
        </w:rPr>
      </w:pPr>
      <w:r w:rsidRPr="0012364D">
        <w:rPr>
          <w:rFonts w:ascii="Palatino Linotype" w:eastAsia="Palatino Linotype" w:hAnsi="Palatino Linotype" w:cs="Palatino Linotype"/>
          <w:sz w:val="22"/>
          <w:szCs w:val="22"/>
        </w:rPr>
        <w:t xml:space="preserve">Ahora bien, respecto a los requerimientos de información, es necesario señalar que por cuanto hace a </w:t>
      </w:r>
      <w:r w:rsidRPr="0012364D">
        <w:rPr>
          <w:rFonts w:ascii="Palatino Linotype" w:eastAsia="Palatino Linotype" w:hAnsi="Palatino Linotype" w:cs="Palatino Linotype"/>
          <w:b/>
          <w:sz w:val="22"/>
          <w:szCs w:val="22"/>
        </w:rPr>
        <w:t>la licencia de construcción</w:t>
      </w:r>
      <w:r w:rsidRPr="0012364D">
        <w:rPr>
          <w:rFonts w:ascii="Palatino Linotype" w:eastAsia="Palatino Linotype" w:hAnsi="Palatino Linotype" w:cs="Palatino Linotype"/>
          <w:sz w:val="22"/>
          <w:szCs w:val="22"/>
        </w:rPr>
        <w:t>, el artículo 115 fracciones I, II y V de la Constitución Política de los Estados Unidos Mexicanos que establece en lo que nos interesa, lo siguiente: </w:t>
      </w:r>
    </w:p>
    <w:p w14:paraId="15388722" w14:textId="77777777" w:rsidR="004664DE" w:rsidRPr="0012364D" w:rsidRDefault="004664DE">
      <w:pPr>
        <w:rPr>
          <w:sz w:val="22"/>
          <w:szCs w:val="22"/>
        </w:rPr>
      </w:pPr>
    </w:p>
    <w:p w14:paraId="34A4E48A"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sz w:val="22"/>
          <w:szCs w:val="22"/>
        </w:rPr>
        <w:t>“</w:t>
      </w:r>
      <w:r w:rsidRPr="0012364D">
        <w:rPr>
          <w:rFonts w:ascii="Palatino Linotype" w:eastAsia="Palatino Linotype" w:hAnsi="Palatino Linotype" w:cs="Palatino Linotype"/>
          <w:i/>
          <w:sz w:val="22"/>
          <w:szCs w:val="22"/>
        </w:rPr>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34E05D06"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xml:space="preserve">I. Cada Municipio será gobernado por un Ayuntamiento de elección popular directa, integrado por un </w:t>
      </w:r>
      <w:proofErr w:type="gramStart"/>
      <w:r w:rsidRPr="0012364D">
        <w:rPr>
          <w:rFonts w:ascii="Palatino Linotype" w:eastAsia="Palatino Linotype" w:hAnsi="Palatino Linotype" w:cs="Palatino Linotype"/>
          <w:i/>
          <w:sz w:val="22"/>
          <w:szCs w:val="22"/>
        </w:rPr>
        <w:t>Presidente</w:t>
      </w:r>
      <w:proofErr w:type="gramEnd"/>
      <w:r w:rsidRPr="0012364D">
        <w:rPr>
          <w:rFonts w:ascii="Palatino Linotype" w:eastAsia="Palatino Linotype" w:hAnsi="Palatino Linotype" w:cs="Palatino Linotype"/>
          <w:i/>
          <w:sz w:val="22"/>
          <w:szCs w:val="22"/>
        </w:rPr>
        <w:t xml:space="preserv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1E5D6F52"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w:t>
      </w:r>
    </w:p>
    <w:p w14:paraId="018462DA"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xml:space="preserve">II. Los municipios estarán investidos de personalidad jurídica y manejarán su patrimonio conforme a la ley. Los ayuntamientos tendrán facultades para aprobar, de </w:t>
      </w:r>
      <w:r w:rsidRPr="0012364D">
        <w:rPr>
          <w:rFonts w:ascii="Palatino Linotype" w:eastAsia="Palatino Linotype" w:hAnsi="Palatino Linotype" w:cs="Palatino Linotype"/>
          <w:i/>
          <w:sz w:val="22"/>
          <w:szCs w:val="22"/>
        </w:rPr>
        <w:lastRenderedPageBreak/>
        <w:t>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4ED0F24D"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w:t>
      </w:r>
    </w:p>
    <w:p w14:paraId="40EC5B26" w14:textId="77777777" w:rsidR="004664DE" w:rsidRPr="0012364D" w:rsidRDefault="00A7108E">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V. Los Municipios, en los términos de las leyes federales y Estatales relativas, estarán facultados para: </w:t>
      </w:r>
    </w:p>
    <w:p w14:paraId="4671AAAE"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w:t>
      </w:r>
    </w:p>
    <w:p w14:paraId="11ADA1F1"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b/>
          <w:i/>
          <w:sz w:val="22"/>
          <w:szCs w:val="22"/>
          <w:u w:val="single"/>
        </w:rPr>
        <w:t>f) Otorgar licencias y permisos para construcciones</w:t>
      </w:r>
      <w:r w:rsidRPr="0012364D">
        <w:rPr>
          <w:rFonts w:ascii="Palatino Linotype" w:eastAsia="Palatino Linotype" w:hAnsi="Palatino Linotype" w:cs="Palatino Linotype"/>
          <w:i/>
          <w:sz w:val="22"/>
          <w:szCs w:val="22"/>
        </w:rPr>
        <w:t>; </w:t>
      </w:r>
    </w:p>
    <w:p w14:paraId="4D2A4E07" w14:textId="77777777" w:rsidR="004664DE" w:rsidRPr="0012364D" w:rsidRDefault="00A7108E">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(Énfasis añadido)</w:t>
      </w:r>
    </w:p>
    <w:p w14:paraId="6B003436" w14:textId="77777777" w:rsidR="004664DE" w:rsidRPr="0012364D" w:rsidRDefault="004664DE">
      <w:pPr>
        <w:rPr>
          <w:sz w:val="22"/>
          <w:szCs w:val="22"/>
        </w:rPr>
      </w:pPr>
    </w:p>
    <w:p w14:paraId="01DFFB60" w14:textId="77777777" w:rsidR="004664DE" w:rsidRPr="0012364D" w:rsidRDefault="00A7108E">
      <w:pPr>
        <w:pBdr>
          <w:top w:val="nil"/>
          <w:left w:val="nil"/>
          <w:bottom w:val="nil"/>
          <w:right w:val="nil"/>
          <w:between w:val="nil"/>
        </w:pBdr>
        <w:spacing w:line="360" w:lineRule="auto"/>
        <w:jc w:val="both"/>
        <w:rPr>
          <w:sz w:val="22"/>
          <w:szCs w:val="22"/>
        </w:rPr>
      </w:pPr>
      <w:r w:rsidRPr="0012364D">
        <w:rPr>
          <w:rFonts w:ascii="Palatino Linotype" w:eastAsia="Palatino Linotype" w:hAnsi="Palatino Linotype" w:cs="Palatino Linotype"/>
          <w:sz w:val="22"/>
          <w:szCs w:val="22"/>
        </w:rPr>
        <w:t>Así, del texto transcrito se advierte que los Municipios son la base de la división territorial de los Estados, mismos que serán gobernados por un Ayuntamiento de elección popular, compuesto por un Presidente Municipal y el número de regidores y síndicos que la ley determine, los cuales estarán investidos de personalidad jurídica y patrimonio propio, en este sentido tendrán la facultad de aprobar con acuerdo a las leyes su bando, reglamentos, circulares y disposiciones administrativas de observancia general dentro de su circunscripción.</w:t>
      </w:r>
    </w:p>
    <w:p w14:paraId="08BB39D1" w14:textId="77777777" w:rsidR="004664DE" w:rsidRPr="0012364D" w:rsidRDefault="004664DE">
      <w:pPr>
        <w:spacing w:line="360" w:lineRule="auto"/>
        <w:rPr>
          <w:sz w:val="22"/>
          <w:szCs w:val="22"/>
        </w:rPr>
      </w:pPr>
    </w:p>
    <w:p w14:paraId="11A5B34A" w14:textId="77777777" w:rsidR="004664DE" w:rsidRPr="0012364D" w:rsidRDefault="00A7108E">
      <w:pPr>
        <w:pBdr>
          <w:top w:val="nil"/>
          <w:left w:val="nil"/>
          <w:bottom w:val="nil"/>
          <w:right w:val="nil"/>
          <w:between w:val="nil"/>
        </w:pBdr>
        <w:spacing w:line="360" w:lineRule="auto"/>
        <w:jc w:val="both"/>
        <w:rPr>
          <w:sz w:val="22"/>
          <w:szCs w:val="22"/>
        </w:rPr>
      </w:pPr>
      <w:r w:rsidRPr="0012364D">
        <w:rPr>
          <w:rFonts w:ascii="Palatino Linotype" w:eastAsia="Palatino Linotype" w:hAnsi="Palatino Linotype" w:cs="Palatino Linotype"/>
          <w:sz w:val="22"/>
          <w:szCs w:val="22"/>
        </w:rPr>
        <w:t xml:space="preserve">Asimismo, que son responsables de formular los planes de desarrollo urbano municipal, así como de autorizar, controlar y vigilar la utilización del suelo, consecuentemente </w:t>
      </w:r>
      <w:r w:rsidRPr="0012364D">
        <w:rPr>
          <w:rFonts w:ascii="Palatino Linotype" w:eastAsia="Palatino Linotype" w:hAnsi="Palatino Linotype" w:cs="Palatino Linotype"/>
          <w:b/>
          <w:sz w:val="22"/>
          <w:szCs w:val="22"/>
          <w:u w:val="single"/>
        </w:rPr>
        <w:t>están facultados para otorgar licencias y permisos para construcciones. </w:t>
      </w:r>
    </w:p>
    <w:p w14:paraId="1CDBD65F" w14:textId="77777777" w:rsidR="004664DE" w:rsidRPr="0012364D" w:rsidRDefault="004664DE">
      <w:pPr>
        <w:spacing w:line="360" w:lineRule="auto"/>
        <w:rPr>
          <w:sz w:val="22"/>
          <w:szCs w:val="22"/>
        </w:rPr>
      </w:pPr>
    </w:p>
    <w:p w14:paraId="38BBC375" w14:textId="77777777" w:rsidR="004664DE" w:rsidRPr="0012364D" w:rsidRDefault="00A7108E">
      <w:pPr>
        <w:pBdr>
          <w:top w:val="nil"/>
          <w:left w:val="nil"/>
          <w:bottom w:val="nil"/>
          <w:right w:val="nil"/>
          <w:between w:val="nil"/>
        </w:pBdr>
        <w:spacing w:line="360" w:lineRule="auto"/>
        <w:jc w:val="both"/>
        <w:rPr>
          <w:sz w:val="22"/>
          <w:szCs w:val="22"/>
        </w:rPr>
      </w:pPr>
      <w:r w:rsidRPr="0012364D">
        <w:rPr>
          <w:rFonts w:ascii="Palatino Linotype" w:eastAsia="Palatino Linotype" w:hAnsi="Palatino Linotype" w:cs="Palatino Linotype"/>
          <w:sz w:val="22"/>
          <w:szCs w:val="22"/>
        </w:rPr>
        <w:t xml:space="preserve">Por su parte, la Ley Orgánica Municipal del Estado de México dispone en sus artículos 15, 27, 28, 31 fracción XXIV </w:t>
      </w:r>
      <w:proofErr w:type="spellStart"/>
      <w:r w:rsidRPr="0012364D">
        <w:rPr>
          <w:rFonts w:ascii="Palatino Linotype" w:eastAsia="Palatino Linotype" w:hAnsi="Palatino Linotype" w:cs="Palatino Linotype"/>
          <w:sz w:val="22"/>
          <w:szCs w:val="22"/>
        </w:rPr>
        <w:t>Quáter</w:t>
      </w:r>
      <w:proofErr w:type="spellEnd"/>
      <w:r w:rsidRPr="0012364D">
        <w:rPr>
          <w:rFonts w:ascii="Palatino Linotype" w:eastAsia="Palatino Linotype" w:hAnsi="Palatino Linotype" w:cs="Palatino Linotype"/>
          <w:sz w:val="22"/>
          <w:szCs w:val="22"/>
        </w:rPr>
        <w:t xml:space="preserve"> y 96 </w:t>
      </w:r>
      <w:proofErr w:type="spellStart"/>
      <w:r w:rsidRPr="0012364D">
        <w:rPr>
          <w:rFonts w:ascii="Palatino Linotype" w:eastAsia="Palatino Linotype" w:hAnsi="Palatino Linotype" w:cs="Palatino Linotype"/>
          <w:sz w:val="22"/>
          <w:szCs w:val="22"/>
        </w:rPr>
        <w:t>Sexies</w:t>
      </w:r>
      <w:proofErr w:type="spellEnd"/>
      <w:r w:rsidRPr="0012364D">
        <w:rPr>
          <w:rFonts w:ascii="Palatino Linotype" w:eastAsia="Palatino Linotype" w:hAnsi="Palatino Linotype" w:cs="Palatino Linotype"/>
          <w:sz w:val="22"/>
          <w:szCs w:val="22"/>
        </w:rPr>
        <w:t>, lo siguiente:</w:t>
      </w:r>
    </w:p>
    <w:p w14:paraId="16461F88" w14:textId="77777777" w:rsidR="004664DE" w:rsidRPr="0012364D" w:rsidRDefault="004664DE">
      <w:pPr>
        <w:rPr>
          <w:sz w:val="22"/>
          <w:szCs w:val="22"/>
        </w:rPr>
      </w:pPr>
    </w:p>
    <w:p w14:paraId="1B34733C"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“Artículo 15.- Cada municipio será gobernado por un ayuntamiento de elección popular directa y no habrá ninguna autoridad intermedia entre éste y el Gobierno del Estado… Artículo 27.- Los ayuntamientos como órganos deliberantes, deberán resolver colegiadamente los asuntos de su competencia… </w:t>
      </w:r>
    </w:p>
    <w:p w14:paraId="46357B92"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Artículo 31.- Son atribuciones de los ayuntamientos: </w:t>
      </w:r>
    </w:p>
    <w:p w14:paraId="0CD2616A"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lastRenderedPageBreak/>
        <w:t>(…) </w:t>
      </w:r>
    </w:p>
    <w:p w14:paraId="7DEFDD05"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xml:space="preserve">XXIV </w:t>
      </w:r>
      <w:proofErr w:type="spellStart"/>
      <w:r w:rsidRPr="0012364D">
        <w:rPr>
          <w:rFonts w:ascii="Palatino Linotype" w:eastAsia="Palatino Linotype" w:hAnsi="Palatino Linotype" w:cs="Palatino Linotype"/>
          <w:i/>
          <w:sz w:val="22"/>
          <w:szCs w:val="22"/>
        </w:rPr>
        <w:t>Quáter</w:t>
      </w:r>
      <w:proofErr w:type="spellEnd"/>
      <w:r w:rsidRPr="0012364D">
        <w:rPr>
          <w:rFonts w:ascii="Palatino Linotype" w:eastAsia="Palatino Linotype" w:hAnsi="Palatino Linotype" w:cs="Palatino Linotype"/>
          <w:i/>
          <w:sz w:val="22"/>
          <w:szCs w:val="22"/>
        </w:rPr>
        <w:t>. Otorgar licencias y permisos para construcciones privadas, para el funcionamiento de unidades económicas o establecimientos destinados a la enajenación, reparación o mantenimiento de vehículos automotores usados y autopartes nuevas y usadas, parques y desarrollos industriales, urbanos y de servicios. </w:t>
      </w:r>
    </w:p>
    <w:p w14:paraId="75FF0DE3"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xml:space="preserve">Artículo 96. </w:t>
      </w:r>
      <w:proofErr w:type="spellStart"/>
      <w:proofErr w:type="gramStart"/>
      <w:r w:rsidRPr="0012364D">
        <w:rPr>
          <w:rFonts w:ascii="Palatino Linotype" w:eastAsia="Palatino Linotype" w:hAnsi="Palatino Linotype" w:cs="Palatino Linotype"/>
          <w:i/>
          <w:sz w:val="22"/>
          <w:szCs w:val="22"/>
        </w:rPr>
        <w:t>Sexies</w:t>
      </w:r>
      <w:proofErr w:type="spellEnd"/>
      <w:r w:rsidRPr="0012364D">
        <w:rPr>
          <w:rFonts w:ascii="Palatino Linotype" w:eastAsia="Palatino Linotype" w:hAnsi="Palatino Linotype" w:cs="Palatino Linotype"/>
          <w:i/>
          <w:sz w:val="22"/>
          <w:szCs w:val="22"/>
        </w:rPr>
        <w:t>.-</w:t>
      </w:r>
      <w:proofErr w:type="gramEnd"/>
      <w:r w:rsidRPr="0012364D">
        <w:rPr>
          <w:rFonts w:ascii="Palatino Linotype" w:eastAsia="Palatino Linotype" w:hAnsi="Palatino Linotype" w:cs="Palatino Linotype"/>
          <w:i/>
          <w:sz w:val="22"/>
          <w:szCs w:val="22"/>
        </w:rPr>
        <w:t xml:space="preserve"> El Director de Desarrollo Urbano o el Titular de la Unidad Administrativa equivalente, tiene las atribuciones siguientes: </w:t>
      </w:r>
    </w:p>
    <w:p w14:paraId="54C4AE15" w14:textId="77777777" w:rsidR="004664DE" w:rsidRPr="0012364D" w:rsidRDefault="00A7108E">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w:t>
      </w:r>
    </w:p>
    <w:p w14:paraId="185735C5"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xml:space="preserve"> VI. Analizar las cédulas informativas de zonificación, licencias de uso de suelo y licencias de construcción; </w:t>
      </w:r>
    </w:p>
    <w:p w14:paraId="64B68DBF" w14:textId="77777777" w:rsidR="004664DE" w:rsidRPr="0012364D" w:rsidRDefault="00A7108E">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VII. Vigilar la utilización y aprovechamiento del suelo con fines urbanos, en su circunscripción territorial;</w:t>
      </w:r>
    </w:p>
    <w:p w14:paraId="4A68C7A8"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xml:space="preserve">…” </w:t>
      </w:r>
    </w:p>
    <w:p w14:paraId="30C047C2" w14:textId="77777777" w:rsidR="004664DE" w:rsidRPr="0012364D" w:rsidRDefault="004664DE">
      <w:pPr>
        <w:rPr>
          <w:sz w:val="22"/>
          <w:szCs w:val="22"/>
        </w:rPr>
      </w:pPr>
    </w:p>
    <w:p w14:paraId="5B8D9B24" w14:textId="77777777" w:rsidR="004664DE" w:rsidRPr="0012364D" w:rsidRDefault="00A7108E">
      <w:pPr>
        <w:pBdr>
          <w:top w:val="nil"/>
          <w:left w:val="nil"/>
          <w:bottom w:val="nil"/>
          <w:right w:val="nil"/>
          <w:between w:val="nil"/>
        </w:pBdr>
        <w:spacing w:line="360" w:lineRule="auto"/>
        <w:jc w:val="both"/>
        <w:rPr>
          <w:sz w:val="22"/>
          <w:szCs w:val="22"/>
        </w:rPr>
      </w:pPr>
      <w:r w:rsidRPr="0012364D">
        <w:rPr>
          <w:rFonts w:ascii="Palatino Linotype" w:eastAsia="Palatino Linotype" w:hAnsi="Palatino Linotype" w:cs="Palatino Linotype"/>
          <w:sz w:val="22"/>
          <w:szCs w:val="22"/>
        </w:rPr>
        <w:t xml:space="preserve">Luego entonces le corresponde al Ayuntamiento, el de otorgar licencias de construcción a través del </w:t>
      </w:r>
      <w:proofErr w:type="gramStart"/>
      <w:r w:rsidRPr="0012364D">
        <w:rPr>
          <w:rFonts w:ascii="Palatino Linotype" w:eastAsia="Palatino Linotype" w:hAnsi="Palatino Linotype" w:cs="Palatino Linotype"/>
          <w:sz w:val="22"/>
          <w:szCs w:val="22"/>
        </w:rPr>
        <w:t>Director</w:t>
      </w:r>
      <w:proofErr w:type="gramEnd"/>
      <w:r w:rsidRPr="0012364D">
        <w:rPr>
          <w:rFonts w:ascii="Palatino Linotype" w:eastAsia="Palatino Linotype" w:hAnsi="Palatino Linotype" w:cs="Palatino Linotype"/>
          <w:sz w:val="22"/>
          <w:szCs w:val="22"/>
        </w:rPr>
        <w:t xml:space="preserve"> de Desarrollo Urbano. </w:t>
      </w:r>
    </w:p>
    <w:p w14:paraId="6285A0B9" w14:textId="77777777" w:rsidR="004664DE" w:rsidRPr="0012364D" w:rsidRDefault="004664DE">
      <w:pPr>
        <w:spacing w:line="360" w:lineRule="auto"/>
        <w:rPr>
          <w:sz w:val="22"/>
          <w:szCs w:val="22"/>
        </w:rPr>
      </w:pPr>
    </w:p>
    <w:p w14:paraId="3B73C195" w14:textId="77777777" w:rsidR="004664DE" w:rsidRPr="0012364D" w:rsidRDefault="00A7108E">
      <w:pPr>
        <w:pBdr>
          <w:top w:val="nil"/>
          <w:left w:val="nil"/>
          <w:bottom w:val="nil"/>
          <w:right w:val="nil"/>
          <w:between w:val="nil"/>
        </w:pBdr>
        <w:spacing w:line="360" w:lineRule="auto"/>
        <w:jc w:val="both"/>
        <w:rPr>
          <w:sz w:val="22"/>
          <w:szCs w:val="22"/>
        </w:rPr>
      </w:pPr>
      <w:r w:rsidRPr="0012364D">
        <w:rPr>
          <w:rFonts w:ascii="Palatino Linotype" w:eastAsia="Palatino Linotype" w:hAnsi="Palatino Linotype" w:cs="Palatino Linotype"/>
          <w:sz w:val="22"/>
          <w:szCs w:val="22"/>
        </w:rPr>
        <w:t>En armonía con lo señalado anteriormente, el artículo 18.6, fracción II del Código Administrativo del Estado de México, dispone que son atribuciones de los Municipios, expedir licencias, permisos y constancias en materia de construcción, de conformidad con lo dispuesto por este Libro Décimo, las Normas Técnicas, los planes municipales de desarrollo urbano y demás normatividad aplicable; así como vigilar que las construcciones en proceso, terminadas o en demolición, se ajusten a las disposiciones de previstas, a los planes municipales de desarrollo urbano, entre otras. </w:t>
      </w:r>
    </w:p>
    <w:p w14:paraId="62D64BF1" w14:textId="77777777" w:rsidR="004664DE" w:rsidRPr="0012364D" w:rsidRDefault="004664DE">
      <w:pPr>
        <w:spacing w:line="360" w:lineRule="auto"/>
        <w:rPr>
          <w:sz w:val="22"/>
          <w:szCs w:val="22"/>
        </w:rPr>
      </w:pPr>
    </w:p>
    <w:p w14:paraId="522C3C15" w14:textId="77777777" w:rsidR="004664DE" w:rsidRPr="0012364D" w:rsidRDefault="00A7108E">
      <w:pPr>
        <w:pBdr>
          <w:top w:val="nil"/>
          <w:left w:val="nil"/>
          <w:bottom w:val="nil"/>
          <w:right w:val="nil"/>
          <w:between w:val="nil"/>
        </w:pBdr>
        <w:spacing w:line="360" w:lineRule="auto"/>
        <w:jc w:val="both"/>
        <w:rPr>
          <w:sz w:val="22"/>
          <w:szCs w:val="22"/>
        </w:rPr>
      </w:pPr>
      <w:r w:rsidRPr="0012364D">
        <w:rPr>
          <w:rFonts w:ascii="Palatino Linotype" w:eastAsia="Palatino Linotype" w:hAnsi="Palatino Linotype" w:cs="Palatino Linotype"/>
          <w:sz w:val="22"/>
          <w:szCs w:val="22"/>
        </w:rPr>
        <w:t>Por su parte el Libro Décimo Octavo del Código en referencia, tiene por objeto regular las construcciones privadas que se realicen en territorial con el fin de que satisfagan condiciones de seguridad, habitabilidad, calidad, higiene, funcionalidad, sustentabilidad e integración al contexto e imagen urbana, por lo que toda construcción debe sujetarse a lo siguiente:</w:t>
      </w:r>
    </w:p>
    <w:p w14:paraId="0609E22D" w14:textId="77777777" w:rsidR="004664DE" w:rsidRPr="0012364D" w:rsidRDefault="004664DE">
      <w:pPr>
        <w:rPr>
          <w:sz w:val="22"/>
          <w:szCs w:val="22"/>
        </w:rPr>
      </w:pPr>
    </w:p>
    <w:p w14:paraId="44368514"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“Artículo 18.3.- Toda construcción se sujetará a lo siguiente: </w:t>
      </w:r>
    </w:p>
    <w:p w14:paraId="7A9C3AF6"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lastRenderedPageBreak/>
        <w:t>I. A las disposiciones de este Libro, del Libro Quinto del Código y su Reglamento, a las Normas Técnicas y a las demás disposiciones jurídicas aplicables; </w:t>
      </w:r>
    </w:p>
    <w:p w14:paraId="568EE262"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b/>
          <w:i/>
          <w:sz w:val="22"/>
          <w:szCs w:val="22"/>
          <w:u w:val="single"/>
        </w:rPr>
        <w:t>II. Requerirán para su ejecución de la correspondiente licencia de construcción</w:t>
      </w:r>
      <w:r w:rsidRPr="0012364D">
        <w:rPr>
          <w:rFonts w:ascii="Palatino Linotype" w:eastAsia="Palatino Linotype" w:hAnsi="Palatino Linotype" w:cs="Palatino Linotype"/>
          <w:i/>
          <w:sz w:val="22"/>
          <w:szCs w:val="22"/>
        </w:rPr>
        <w:t>, salvo los casos de excepción que se establecen en este Libro; </w:t>
      </w:r>
    </w:p>
    <w:p w14:paraId="428F9C8C"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III. Requerirán de la respectiva constancia de terminación de obra; </w:t>
      </w:r>
    </w:p>
    <w:p w14:paraId="1A7583A0"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IV. Observarán la normatividad de uso y aprovechamiento del suelo contenida en los planes de desarrollo urbano correspondientes; </w:t>
      </w:r>
    </w:p>
    <w:p w14:paraId="29473FA8"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V. Contarán con los cajones de estacionamiento que establezca el plan municipal de desarrollo urbano correspondiente, atendiendo lo que al respecto determine la normatividad aplicable; </w:t>
      </w:r>
    </w:p>
    <w:p w14:paraId="2D61E227"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VI. Garantizarán su iluminación, ventilación y asoleamiento, la mitigación de efectos negativos que puedan causar a las construcciones vecinas; </w:t>
      </w:r>
    </w:p>
    <w:p w14:paraId="1F2DCF02"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VII. Cumplirán los requisitos de seguridad estructural que les permitan satisfacer los fines para los cuales fueron proyectadas; </w:t>
      </w:r>
    </w:p>
    <w:p w14:paraId="3B6B353A"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VIII. Estarán provistas de los servicios básicos de agua potable, desalojo de aguas residuales y energía eléctrica; </w:t>
      </w:r>
    </w:p>
    <w:p w14:paraId="1AE5C013"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IX. Dispondrán de espacios y muebles sanitarios de bajo consumo de agua, en número suficiente para los usuarios y de conformidad a las normas oficiales mexicanas; </w:t>
      </w:r>
    </w:p>
    <w:p w14:paraId="7B064FBF"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X. Cumplirán con las previsiones correspondientes a protección civil, ingeniería sanitaria y personas con discapacidad; </w:t>
      </w:r>
    </w:p>
    <w:p w14:paraId="3C2E5117"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XI. Las que se ubiquen en zonas de valor arqueológico, histórico, artístico y cultural, deberán sujetarse a las restricciones que señalen el Instituto Nacional de Antropología e Historia o el Instituto Nacional de Bellas Artes y Literatura según corresponda y cumplir con las normas que señalen los ordenamientos legales aplicables; </w:t>
      </w:r>
    </w:p>
    <w:p w14:paraId="57E9BF30"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XII. Las dedicadas a servicios de radiotelecomunicación o similares y anuncios publicitarios que requieran elementos estructurales, fomentarán su integración al contexto y se ajustarán a las disposiciones aplicables; y </w:t>
      </w:r>
    </w:p>
    <w:p w14:paraId="3D587A7E"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XIII. Procurarán la utilización de tecnologías a efecto de lograr un aprovechamiento sustentable de los recursos naturales y el cuidado de la biosfera.”</w:t>
      </w:r>
    </w:p>
    <w:p w14:paraId="065FF663" w14:textId="77777777" w:rsidR="004664DE" w:rsidRPr="0012364D" w:rsidRDefault="004664DE">
      <w:pPr>
        <w:rPr>
          <w:sz w:val="22"/>
          <w:szCs w:val="22"/>
        </w:rPr>
      </w:pPr>
    </w:p>
    <w:p w14:paraId="2A7BF9CD" w14:textId="77777777" w:rsidR="004664DE" w:rsidRPr="0012364D" w:rsidRDefault="00A7108E">
      <w:pPr>
        <w:pBdr>
          <w:top w:val="nil"/>
          <w:left w:val="nil"/>
          <w:bottom w:val="nil"/>
          <w:right w:val="nil"/>
          <w:between w:val="nil"/>
        </w:pBdr>
        <w:spacing w:line="360" w:lineRule="auto"/>
        <w:jc w:val="both"/>
        <w:rPr>
          <w:sz w:val="22"/>
          <w:szCs w:val="22"/>
        </w:rPr>
      </w:pPr>
      <w:r w:rsidRPr="0012364D">
        <w:rPr>
          <w:rFonts w:ascii="Palatino Linotype" w:eastAsia="Palatino Linotype" w:hAnsi="Palatino Linotype" w:cs="Palatino Linotype"/>
          <w:sz w:val="22"/>
          <w:szCs w:val="22"/>
        </w:rPr>
        <w:t xml:space="preserve">Ahora bien, en términos generales conviene precisar que la licencia de construcción tiene por objeto sujetar a las edificaciones que se realicen en territorio municipal a la normatividad contenida en los Planes de Desarrollo Urbano correspondientes, el Reglamento y demás ordenamientos legales aplicables, misma que sólo surte efectos respecto del inmueble a que la misma refiera, para efectos de obra nueva, ampliación de obra existente, modificación de la obra existente, modificación del proyecto de una obra </w:t>
      </w:r>
      <w:r w:rsidRPr="0012364D">
        <w:rPr>
          <w:rFonts w:ascii="Palatino Linotype" w:eastAsia="Palatino Linotype" w:hAnsi="Palatino Linotype" w:cs="Palatino Linotype"/>
          <w:sz w:val="22"/>
          <w:szCs w:val="22"/>
        </w:rPr>
        <w:lastRenderedPageBreak/>
        <w:t>autorizada, relación de una obra existente, demolición, excavación, relleno, construcción de bardas, construcción e instalación de antenas para radiocomunicaciones, construcción e instalación de anuncios publicitarios que requieran de elementos estructurales, cambio de la construcción a régimen de condominio, ocupación temporal de la vía pública, obras de conexión de agua potable, drenaje y sus obras realizadas por particulares, como así lo señala el artículo 18.20 del código administrativo del Estado de México, que señala:</w:t>
      </w:r>
    </w:p>
    <w:p w14:paraId="712AEC09" w14:textId="77777777" w:rsidR="004664DE" w:rsidRPr="0012364D" w:rsidRDefault="004664DE">
      <w:pPr>
        <w:rPr>
          <w:sz w:val="22"/>
          <w:szCs w:val="22"/>
        </w:rPr>
      </w:pPr>
    </w:p>
    <w:p w14:paraId="16AE08D0"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“Artículo 18.20.- La licencia de construcción tiene por objeto autorizar: </w:t>
      </w:r>
    </w:p>
    <w:p w14:paraId="2D94CA7D"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I. Obra nueva; </w:t>
      </w:r>
    </w:p>
    <w:p w14:paraId="4028D65B"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II. Ampliación, modificación o reparación que afecte elementos estructurales de la obra existente; </w:t>
      </w:r>
    </w:p>
    <w:p w14:paraId="79B43CB1"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III. Demolición parcial o total;</w:t>
      </w:r>
    </w:p>
    <w:p w14:paraId="12895820"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IV. Excavación o relleno; </w:t>
      </w:r>
    </w:p>
    <w:p w14:paraId="3A0686D6"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V. Construcción de bardas; </w:t>
      </w:r>
    </w:p>
    <w:p w14:paraId="276F96F6"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VI. Obras de conexión a las redes de agua potable y drenaje; </w:t>
      </w:r>
    </w:p>
    <w:p w14:paraId="7EFF1F53"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VII. Modificación del proyecto de una obra autorizada; </w:t>
      </w:r>
    </w:p>
    <w:p w14:paraId="1C61A9B1"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VIII. Construcción e instalación de estaciones repetidoras y antenas para radiotelecomunicaciones; </w:t>
      </w:r>
    </w:p>
    <w:p w14:paraId="69B7AC69"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IX. Anuncios publicitarios que requieran de elementos estructurales; y </w:t>
      </w:r>
    </w:p>
    <w:p w14:paraId="465E326D"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X. Instalaciones o modificaciones de ascensores para personas, montacargas, escaleras mecánicas o cualquier otro mecanismo de transporte electromecánico. </w:t>
      </w:r>
    </w:p>
    <w:p w14:paraId="26C16A39"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La licencia de construcción tendrá vigencia de un año y podrá autorizar, además del uso de la vía pública, uno o más de los rubros señalados, conforme a la solicitud que se presente. 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 </w:t>
      </w:r>
    </w:p>
    <w:p w14:paraId="6514D263"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Las licencias de construcción de inmuebles destinados a la actividad comercial o industrial de bajo impacto y que sean menores a 2,000 metros cuadrados, serán expedidas, en caso de proceder, en el plazo de un día hábil a partir de la recepción de la solicitud que reúna los requisitos de Ley. </w:t>
      </w:r>
    </w:p>
    <w:p w14:paraId="6AD81D51"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xml:space="preserve">Quedan exceptuadas de obtener la licencia de construcción a que se refiere el presente artículo, las obras que se ejecuten en bienes inmuebles que sean propiedad o posesión del Gobierno del Estado de México y destinados a la prestación de servicios públicos.” </w:t>
      </w:r>
    </w:p>
    <w:p w14:paraId="7FE9A834" w14:textId="77777777" w:rsidR="004664DE" w:rsidRPr="0012364D" w:rsidRDefault="004664DE">
      <w:pPr>
        <w:rPr>
          <w:sz w:val="22"/>
          <w:szCs w:val="22"/>
        </w:rPr>
      </w:pPr>
    </w:p>
    <w:p w14:paraId="41E6D5CA" w14:textId="77777777" w:rsidR="004664DE" w:rsidRPr="0012364D" w:rsidRDefault="00A7108E">
      <w:pPr>
        <w:pBdr>
          <w:top w:val="nil"/>
          <w:left w:val="nil"/>
          <w:bottom w:val="nil"/>
          <w:right w:val="nil"/>
          <w:between w:val="nil"/>
        </w:pBdr>
        <w:spacing w:line="360" w:lineRule="auto"/>
        <w:jc w:val="both"/>
        <w:rPr>
          <w:sz w:val="22"/>
          <w:szCs w:val="22"/>
        </w:rPr>
      </w:pPr>
      <w:r w:rsidRPr="0012364D">
        <w:rPr>
          <w:rFonts w:ascii="Palatino Linotype" w:eastAsia="Palatino Linotype" w:hAnsi="Palatino Linotype" w:cs="Palatino Linotype"/>
          <w:sz w:val="22"/>
          <w:szCs w:val="22"/>
        </w:rPr>
        <w:t>Bajo esa óptica, para solicitar una licencia de construcción se deberá acompañar como mínimo lo siguiente, en términos de lo señalado por el artículo 18.21 fracciones I, II y III, inciso A de código administrativo del Estado de México, que señala:</w:t>
      </w:r>
    </w:p>
    <w:p w14:paraId="4FA48CCF" w14:textId="77777777" w:rsidR="004664DE" w:rsidRPr="0012364D" w:rsidRDefault="004664DE">
      <w:pPr>
        <w:spacing w:line="360" w:lineRule="auto"/>
        <w:rPr>
          <w:sz w:val="22"/>
          <w:szCs w:val="22"/>
        </w:rPr>
      </w:pPr>
    </w:p>
    <w:p w14:paraId="76BAC6A6"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“Artículo 18.21. A la solicitud de licencia de construcción se acompañará como mínimo: I. Documento que acredite la personalidad del solicitante; </w:t>
      </w:r>
    </w:p>
    <w:p w14:paraId="7663CC42"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II. Documento que acredite la propiedad o la posesión en concepto de propietario del inmueble; </w:t>
      </w:r>
    </w:p>
    <w:p w14:paraId="6D9FE6DA"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III. De acuerdo al tipo de licencia de construcción que se solicite, adicionalmente se requerirá: </w:t>
      </w:r>
    </w:p>
    <w:p w14:paraId="2A68222C"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A). Para obra nueva, así como para la ampliación, modificación o reparación que afecte elementos estructurales de una obra existente: </w:t>
      </w:r>
    </w:p>
    <w:p w14:paraId="77F3B7E4"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1. Licencia de uso del suelo,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 y Obra. </w:t>
      </w:r>
    </w:p>
    <w:p w14:paraId="5BE291B9"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2. Constancia de alineamiento y número oficial;</w:t>
      </w:r>
    </w:p>
    <w:p w14:paraId="1DFD55A1"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xml:space="preserve">3. Planos arquitectónicos del proyecto, firmados por </w:t>
      </w:r>
      <w:proofErr w:type="gramStart"/>
      <w:r w:rsidRPr="0012364D">
        <w:rPr>
          <w:rFonts w:ascii="Palatino Linotype" w:eastAsia="Palatino Linotype" w:hAnsi="Palatino Linotype" w:cs="Palatino Linotype"/>
          <w:i/>
          <w:sz w:val="22"/>
          <w:szCs w:val="22"/>
        </w:rPr>
        <w:t>Director</w:t>
      </w:r>
      <w:proofErr w:type="gramEnd"/>
      <w:r w:rsidRPr="0012364D">
        <w:rPr>
          <w:rFonts w:ascii="Palatino Linotype" w:eastAsia="Palatino Linotype" w:hAnsi="Palatino Linotype" w:cs="Palatino Linotype"/>
          <w:i/>
          <w:sz w:val="22"/>
          <w:szCs w:val="22"/>
        </w:rPr>
        <w:t xml:space="preserve"> Responsable de Obra y/o Corresponsable de Obra. </w:t>
      </w:r>
    </w:p>
    <w:p w14:paraId="1ACAB8CA"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xml:space="preserve">4.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el </w:t>
      </w:r>
      <w:proofErr w:type="gramStart"/>
      <w:r w:rsidRPr="0012364D">
        <w:rPr>
          <w:rFonts w:ascii="Palatino Linotype" w:eastAsia="Palatino Linotype" w:hAnsi="Palatino Linotype" w:cs="Palatino Linotype"/>
          <w:i/>
          <w:sz w:val="22"/>
          <w:szCs w:val="22"/>
        </w:rPr>
        <w:t>Director</w:t>
      </w:r>
      <w:proofErr w:type="gramEnd"/>
      <w:r w:rsidRPr="0012364D">
        <w:rPr>
          <w:rFonts w:ascii="Palatino Linotype" w:eastAsia="Palatino Linotype" w:hAnsi="Palatino Linotype" w:cs="Palatino Linotype"/>
          <w:i/>
          <w:sz w:val="22"/>
          <w:szCs w:val="22"/>
        </w:rPr>
        <w:t xml:space="preserve"> Responsable de Obra y/o Corresponsable de Obra, en el caso de construcciones en régimen de propiedad en condominio. </w:t>
      </w:r>
    </w:p>
    <w:p w14:paraId="6E1FD2CE"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xml:space="preserve">5. Planos estructurales, firmados por el </w:t>
      </w:r>
      <w:proofErr w:type="gramStart"/>
      <w:r w:rsidRPr="0012364D">
        <w:rPr>
          <w:rFonts w:ascii="Palatino Linotype" w:eastAsia="Palatino Linotype" w:hAnsi="Palatino Linotype" w:cs="Palatino Linotype"/>
          <w:i/>
          <w:sz w:val="22"/>
          <w:szCs w:val="22"/>
        </w:rPr>
        <w:t>Director</w:t>
      </w:r>
      <w:proofErr w:type="gramEnd"/>
      <w:r w:rsidRPr="0012364D">
        <w:rPr>
          <w:rFonts w:ascii="Palatino Linotype" w:eastAsia="Palatino Linotype" w:hAnsi="Palatino Linotype" w:cs="Palatino Linotype"/>
          <w:i/>
          <w:sz w:val="22"/>
          <w:szCs w:val="22"/>
        </w:rPr>
        <w:t xml:space="preserve"> Responsable de Obra y/o Corresponsable de Obra. </w:t>
      </w:r>
    </w:p>
    <w:p w14:paraId="55E7163B"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xml:space="preserve">6. Planos de instalaciones hidráulicas, sanitarias, eléctricas y especiales, firmados por el </w:t>
      </w:r>
      <w:proofErr w:type="gramStart"/>
      <w:r w:rsidRPr="0012364D">
        <w:rPr>
          <w:rFonts w:ascii="Palatino Linotype" w:eastAsia="Palatino Linotype" w:hAnsi="Palatino Linotype" w:cs="Palatino Linotype"/>
          <w:i/>
          <w:sz w:val="22"/>
          <w:szCs w:val="22"/>
        </w:rPr>
        <w:t>Director</w:t>
      </w:r>
      <w:proofErr w:type="gramEnd"/>
      <w:r w:rsidRPr="0012364D">
        <w:rPr>
          <w:rFonts w:ascii="Palatino Linotype" w:eastAsia="Palatino Linotype" w:hAnsi="Palatino Linotype" w:cs="Palatino Linotype"/>
          <w:i/>
          <w:sz w:val="22"/>
          <w:szCs w:val="22"/>
        </w:rPr>
        <w:t xml:space="preserve"> Responsable de Obra y/o Corresponsable de Obra.</w:t>
      </w:r>
    </w:p>
    <w:p w14:paraId="1D4CB6C5"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b/>
          <w:i/>
          <w:sz w:val="22"/>
          <w:szCs w:val="22"/>
        </w:rPr>
        <w:t> </w:t>
      </w:r>
      <w:r w:rsidRPr="0012364D">
        <w:rPr>
          <w:rFonts w:ascii="Palatino Linotype" w:eastAsia="Palatino Linotype" w:hAnsi="Palatino Linotype" w:cs="Palatino Linotype"/>
          <w:i/>
          <w:sz w:val="22"/>
          <w:szCs w:val="22"/>
        </w:rPr>
        <w:t>7. Constancia de terminación de obra, en los casos de ampliación, modificación o reparación de la obra existente. </w:t>
      </w:r>
    </w:p>
    <w:p w14:paraId="230C552C"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xml:space="preserve">8. Evaluación técnica de impacto en materia de agua, drenaje, alcantarillado y tratamiento de aguas residuales o documento que acredite la existencia y dotación de agua potable para el desarrollo que se pretende, así como incorporación a los sistemas de </w:t>
      </w:r>
      <w:r w:rsidRPr="0012364D">
        <w:rPr>
          <w:rFonts w:ascii="Palatino Linotype" w:eastAsia="Palatino Linotype" w:hAnsi="Palatino Linotype" w:cs="Palatino Linotype"/>
          <w:i/>
          <w:sz w:val="22"/>
          <w:szCs w:val="22"/>
        </w:rPr>
        <w:lastRenderedPageBreak/>
        <w:t>agua potable y alcantarillado, el cual será emitido por la Comisión del Agua del Estado de México o autoridad competente, en su caso. </w:t>
      </w:r>
    </w:p>
    <w:p w14:paraId="2B2C35E7" w14:textId="77777777" w:rsidR="004664DE" w:rsidRPr="0012364D" w:rsidRDefault="00A7108E">
      <w:pPr>
        <w:pBdr>
          <w:top w:val="nil"/>
          <w:left w:val="nil"/>
          <w:bottom w:val="nil"/>
          <w:right w:val="nil"/>
          <w:between w:val="nil"/>
        </w:pBdr>
        <w:ind w:left="567" w:right="567"/>
        <w:jc w:val="both"/>
        <w:rPr>
          <w:sz w:val="22"/>
          <w:szCs w:val="22"/>
        </w:rPr>
      </w:pPr>
      <w:r w:rsidRPr="0012364D">
        <w:rPr>
          <w:rFonts w:ascii="Palatino Linotype" w:eastAsia="Palatino Linotype" w:hAnsi="Palatino Linotype" w:cs="Palatino Linotype"/>
          <w:i/>
          <w:sz w:val="22"/>
          <w:szCs w:val="22"/>
        </w:rPr>
        <w:t xml:space="preserve">9. Tratándose de conjuntos urbanos, condominios y lotificaciones de vivienda, industriales, comerciales, de servicios y mixtos, la evaluación técnica de impacto en materia de agua, drenaje, alcantarillado y tratamiento de aguas residuales será exigible para la asignación de obligaciones en materia de infraestructura, vinculantes a la autorización que emita la Secretaría de Desarrollo Urbano y Obra, conforme a lo dispuesto por el Libro Quinto del presente Código y su Reglamento, así como la Ley del Agua para el Estado de México y Municipios” </w:t>
      </w:r>
    </w:p>
    <w:p w14:paraId="5A1CAC3E" w14:textId="77777777" w:rsidR="004664DE" w:rsidRPr="0012364D" w:rsidRDefault="004664DE">
      <w:pPr>
        <w:rPr>
          <w:sz w:val="22"/>
          <w:szCs w:val="22"/>
        </w:rPr>
      </w:pPr>
    </w:p>
    <w:p w14:paraId="1908B1C0" w14:textId="77777777" w:rsidR="004664DE" w:rsidRPr="0012364D" w:rsidRDefault="00A7108E">
      <w:pPr>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Por otra parte, en lo tocante a </w:t>
      </w:r>
      <w:r w:rsidRPr="0012364D">
        <w:rPr>
          <w:rFonts w:ascii="Palatino Linotype" w:eastAsia="Palatino Linotype" w:hAnsi="Palatino Linotype" w:cs="Palatino Linotype"/>
          <w:b/>
          <w:sz w:val="22"/>
          <w:szCs w:val="22"/>
        </w:rPr>
        <w:t>las licencias de uso de suelo</w:t>
      </w:r>
      <w:r w:rsidRPr="0012364D">
        <w:rPr>
          <w:rFonts w:ascii="Palatino Linotype" w:eastAsia="Palatino Linotype" w:hAnsi="Palatino Linotype" w:cs="Palatino Linotype"/>
          <w:sz w:val="22"/>
          <w:szCs w:val="22"/>
        </w:rPr>
        <w:t xml:space="preserve">, es necesario señalar que el artículo 12 de la Ley Orgánica Municipal del Estado de México, faculta a los Ayuntamientos, entre ellos 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a la regularización de su suelo, en términos de los Planes de Desarrollo Urbano, el cual señala:</w:t>
      </w:r>
    </w:p>
    <w:p w14:paraId="7D97C373" w14:textId="77777777" w:rsidR="004664DE" w:rsidRPr="0012364D" w:rsidRDefault="004664DE">
      <w:pPr>
        <w:tabs>
          <w:tab w:val="left" w:pos="4962"/>
        </w:tabs>
        <w:spacing w:line="360" w:lineRule="auto"/>
        <w:jc w:val="both"/>
        <w:rPr>
          <w:rFonts w:ascii="Palatino Linotype" w:eastAsia="Palatino Linotype" w:hAnsi="Palatino Linotype" w:cs="Palatino Linotype"/>
          <w:sz w:val="22"/>
          <w:szCs w:val="22"/>
        </w:rPr>
      </w:pPr>
    </w:p>
    <w:p w14:paraId="42321587"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“Artículo 12.- Los municipios controlarán y vigilarán, coordinada y concurrentemente con el Gobierno del Estado, la utilización del suelo en sus jurisdicciones territoriales, en los términos de la ley de la materia y los Planes de Desarrollo Urbano correspondientes.” </w:t>
      </w:r>
    </w:p>
    <w:p w14:paraId="1670B489" w14:textId="77777777" w:rsidR="004664DE" w:rsidRPr="0012364D" w:rsidRDefault="004664DE">
      <w:pPr>
        <w:tabs>
          <w:tab w:val="left" w:pos="4962"/>
        </w:tabs>
        <w:spacing w:line="360" w:lineRule="auto"/>
        <w:jc w:val="both"/>
        <w:rPr>
          <w:rFonts w:ascii="Palatino Linotype" w:eastAsia="Palatino Linotype" w:hAnsi="Palatino Linotype" w:cs="Palatino Linotype"/>
          <w:sz w:val="22"/>
          <w:szCs w:val="22"/>
        </w:rPr>
      </w:pPr>
    </w:p>
    <w:p w14:paraId="7CCAB319" w14:textId="77777777" w:rsidR="004664DE" w:rsidRPr="0012364D" w:rsidRDefault="00A7108E">
      <w:pPr>
        <w:tabs>
          <w:tab w:val="left" w:pos="4962"/>
        </w:tabs>
        <w:spacing w:line="360" w:lineRule="auto"/>
        <w:jc w:val="both"/>
        <w:rPr>
          <w:rFonts w:ascii="Palatino Linotype" w:eastAsia="Palatino Linotype" w:hAnsi="Palatino Linotype" w:cs="Palatino Linotype"/>
          <w:sz w:val="22"/>
          <w:szCs w:val="22"/>
        </w:rPr>
      </w:pPr>
      <w:proofErr w:type="gramStart"/>
      <w:r w:rsidRPr="0012364D">
        <w:rPr>
          <w:rFonts w:ascii="Palatino Linotype" w:eastAsia="Palatino Linotype" w:hAnsi="Palatino Linotype" w:cs="Palatino Linotype"/>
          <w:sz w:val="22"/>
          <w:szCs w:val="22"/>
        </w:rPr>
        <w:t>Además</w:t>
      </w:r>
      <w:proofErr w:type="gramEnd"/>
      <w:r w:rsidRPr="0012364D">
        <w:rPr>
          <w:rFonts w:ascii="Palatino Linotype" w:eastAsia="Palatino Linotype" w:hAnsi="Palatino Linotype" w:cs="Palatino Linotype"/>
          <w:sz w:val="22"/>
          <w:szCs w:val="22"/>
        </w:rPr>
        <w:t xml:space="preserve"> el Código Administrativo del Estado de México en su artículo 5.10, fracción VI señala que los municipios tendrán la atribución de expedir </w:t>
      </w:r>
      <w:r w:rsidRPr="0012364D">
        <w:rPr>
          <w:rFonts w:ascii="Palatino Linotype" w:eastAsia="Palatino Linotype" w:hAnsi="Palatino Linotype" w:cs="Palatino Linotype"/>
          <w:sz w:val="22"/>
          <w:szCs w:val="22"/>
          <w:u w:val="single"/>
        </w:rPr>
        <w:t>licencias de uso de suelo, como se advierte a continuación:</w:t>
      </w:r>
    </w:p>
    <w:p w14:paraId="0745C34A" w14:textId="77777777" w:rsidR="004664DE" w:rsidRPr="0012364D" w:rsidRDefault="004664DE">
      <w:pPr>
        <w:tabs>
          <w:tab w:val="left" w:pos="4962"/>
        </w:tabs>
        <w:spacing w:line="360" w:lineRule="auto"/>
        <w:jc w:val="both"/>
        <w:rPr>
          <w:rFonts w:ascii="Palatino Linotype" w:eastAsia="Palatino Linotype" w:hAnsi="Palatino Linotype" w:cs="Palatino Linotype"/>
          <w:sz w:val="22"/>
          <w:szCs w:val="22"/>
        </w:rPr>
      </w:pPr>
    </w:p>
    <w:p w14:paraId="1A61B571"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“Artículo 5.10. Los municipios tendrán las atribuciones siguientes: </w:t>
      </w:r>
    </w:p>
    <w:p w14:paraId="317A7570"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w:t>
      </w:r>
    </w:p>
    <w:p w14:paraId="41F804CE"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VI. Expedir cédulas informativas de zonificación, </w:t>
      </w:r>
      <w:r w:rsidRPr="0012364D">
        <w:rPr>
          <w:rFonts w:ascii="Palatino Linotype" w:eastAsia="Palatino Linotype" w:hAnsi="Palatino Linotype" w:cs="Palatino Linotype"/>
          <w:b/>
          <w:i/>
          <w:sz w:val="22"/>
          <w:szCs w:val="22"/>
        </w:rPr>
        <w:t>licencias de uso de suelo</w:t>
      </w:r>
      <w:r w:rsidRPr="0012364D">
        <w:rPr>
          <w:rFonts w:ascii="Palatino Linotype" w:eastAsia="Palatino Linotype" w:hAnsi="Palatino Linotype" w:cs="Palatino Linotype"/>
          <w:i/>
          <w:sz w:val="22"/>
          <w:szCs w:val="22"/>
        </w:rPr>
        <w:t xml:space="preserve"> y licencias de construcción…” (Énfasis añadido)</w:t>
      </w:r>
    </w:p>
    <w:p w14:paraId="62DD38BD" w14:textId="77777777" w:rsidR="004664DE" w:rsidRPr="0012364D" w:rsidRDefault="004664DE">
      <w:pPr>
        <w:tabs>
          <w:tab w:val="left" w:pos="4962"/>
        </w:tabs>
        <w:spacing w:line="360" w:lineRule="auto"/>
        <w:jc w:val="both"/>
        <w:rPr>
          <w:rFonts w:ascii="Palatino Linotype" w:eastAsia="Palatino Linotype" w:hAnsi="Palatino Linotype" w:cs="Palatino Linotype"/>
          <w:sz w:val="22"/>
          <w:szCs w:val="22"/>
        </w:rPr>
      </w:pPr>
    </w:p>
    <w:p w14:paraId="5BD685B2" w14:textId="77777777" w:rsidR="004664DE" w:rsidRPr="0012364D" w:rsidRDefault="00A7108E">
      <w:pPr>
        <w:tabs>
          <w:tab w:val="left" w:pos="4962"/>
        </w:tabs>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Por su parte el Reglamento del Libro Quinto del Código Administrativo del Estado de México, sobre las licencias de uso de suelo señala lo siguiente:</w:t>
      </w:r>
    </w:p>
    <w:p w14:paraId="4FD3F21A" w14:textId="77777777" w:rsidR="004664DE" w:rsidRPr="0012364D" w:rsidRDefault="004664DE">
      <w:pPr>
        <w:tabs>
          <w:tab w:val="left" w:pos="4962"/>
        </w:tabs>
        <w:spacing w:line="360" w:lineRule="auto"/>
        <w:jc w:val="both"/>
        <w:rPr>
          <w:rFonts w:ascii="Palatino Linotype" w:eastAsia="Palatino Linotype" w:hAnsi="Palatino Linotype" w:cs="Palatino Linotype"/>
          <w:sz w:val="22"/>
          <w:szCs w:val="22"/>
        </w:rPr>
      </w:pPr>
    </w:p>
    <w:p w14:paraId="10FBB3A1"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lastRenderedPageBreak/>
        <w:t>DEL OBJETO DE LA LICENCIA DE USO DEL SUELO</w:t>
      </w:r>
    </w:p>
    <w:p w14:paraId="2326D559"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Artículo 135. La licencia de uso del suelo tendrá por objeto autorizar las normas para el uso y aprovechamiento de un determinado predio tales como: el coeficiente de ocupación del suelo, el coeficiente de utilización del suelo, la altura máxima de edificación, el número de cajones de estacionamiento, y en su caso el alineamiento y número oficial, además de señalar las restricciones correspondientes del Plan Municipal de Desarrollo Urbano correspondiente. A solicitud del interesado la licencia de uso del suelo podrá contener también el alineamiento y número oficial.</w:t>
      </w:r>
    </w:p>
    <w:p w14:paraId="23D3711B" w14:textId="77777777" w:rsidR="004664DE" w:rsidRPr="0012364D" w:rsidRDefault="004664DE">
      <w:pPr>
        <w:ind w:left="851" w:right="899"/>
        <w:jc w:val="both"/>
        <w:rPr>
          <w:rFonts w:ascii="Palatino Linotype" w:eastAsia="Palatino Linotype" w:hAnsi="Palatino Linotype" w:cs="Palatino Linotype"/>
          <w:i/>
          <w:sz w:val="22"/>
          <w:szCs w:val="22"/>
        </w:rPr>
      </w:pPr>
    </w:p>
    <w:p w14:paraId="01A6CE03"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DEL PROCEDIMIENTO PARA OBTENER LICENCIA DE USO DEL SUELO </w:t>
      </w:r>
    </w:p>
    <w:p w14:paraId="7739FB37"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Artículo 136. El procedimiento para obtener licencia de uso del suelo se sujetará a lo siguiente:</w:t>
      </w:r>
    </w:p>
    <w:p w14:paraId="06675AAE"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I. El interesado presentará solicitud ante la autoridad competente, en la que señalará lo siguiente:</w:t>
      </w:r>
    </w:p>
    <w:p w14:paraId="460E813A"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A) Uso actual y pretendido del suelo;</w:t>
      </w:r>
    </w:p>
    <w:p w14:paraId="35807ADE"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B) Superficie total del predio;</w:t>
      </w:r>
    </w:p>
    <w:p w14:paraId="1CF66699"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C) Superficie construida o por construir;</w:t>
      </w:r>
    </w:p>
    <w:p w14:paraId="33CACE27"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D) Clave catastral, si la hubiere;</w:t>
      </w:r>
    </w:p>
    <w:p w14:paraId="06538E74"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E) Localización del inmueble, a través de representación gráfica (croquis);</w:t>
      </w:r>
    </w:p>
    <w:p w14:paraId="4E8CBB47"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II. A la solicitud se acompañarán los documentos siguientes:</w:t>
      </w:r>
    </w:p>
    <w:p w14:paraId="07F9630B"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A) Título de propiedad y certificado de inscripción en el Instituto de la Función Registral del Estado de México;</w:t>
      </w:r>
    </w:p>
    <w:p w14:paraId="05596515"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B) En caso de posesión del inmueble o predio, podrá acreditarse con alguno de los documentos siguientes:</w:t>
      </w:r>
      <w:r w:rsidRPr="0012364D">
        <w:rPr>
          <w:rFonts w:ascii="Palatino Linotype" w:eastAsia="Palatino Linotype" w:hAnsi="Palatino Linotype" w:cs="Palatino Linotype"/>
          <w:i/>
          <w:sz w:val="22"/>
          <w:szCs w:val="22"/>
        </w:rPr>
        <w:br/>
        <w:t xml:space="preserve"> 1. Contrato de compra-venta, usufructo, comodato o arrendamiento vigente sobre el inmueble;</w:t>
      </w:r>
    </w:p>
    <w:p w14:paraId="51878010"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2. Resolución judicial firme que constituya o declare la propiedad o posesión o cualquier otro derecho real o personal vigente a favor del solicitante sobre el inmueble;</w:t>
      </w:r>
    </w:p>
    <w:p w14:paraId="5648D0CF"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3. Inmatriculación administrativa;</w:t>
      </w:r>
    </w:p>
    <w:p w14:paraId="427F7DB9"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4. Recibo de pago del impuesto sobre traslación de dominio;</w:t>
      </w:r>
    </w:p>
    <w:p w14:paraId="30070AF5"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5. Acta de entrega de la posesión, en caso de viviendas;</w:t>
      </w:r>
    </w:p>
    <w:p w14:paraId="193C304C"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6. Cédula de contratación con el Instituto;</w:t>
      </w:r>
    </w:p>
    <w:p w14:paraId="35159E8A"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7. En el caso de terrenos ejidales o comunales, certificado parcelario, certificado de derechos agrarios o resolución agraria, cédula de contratación con el Instituto de Suelo Sustentable, y</w:t>
      </w:r>
    </w:p>
    <w:p w14:paraId="196FE030"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C) Dictamen Único, en el caso de usos del suelo de impacto urbano a que se refiere el artículo 5.35 del Código.</w:t>
      </w:r>
    </w:p>
    <w:p w14:paraId="73F852EC"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lastRenderedPageBreak/>
        <w:t xml:space="preserve">La autoridad competente expedirá la licencia de uso del suelo dentro de los cinco días siguientes a la presentación de la solicitud y de los documentos que deben acompañarla, previo el pago de los derechos correspondientes, salvo que se solicite la opinión de la Secretaría, cuando no se cuente con plan de desarrollo urbano, en cuyo caso el plazo se extenderá hasta en cinco días </w:t>
      </w:r>
      <w:proofErr w:type="spellStart"/>
      <w:r w:rsidRPr="0012364D">
        <w:rPr>
          <w:rFonts w:ascii="Palatino Linotype" w:eastAsia="Palatino Linotype" w:hAnsi="Palatino Linotype" w:cs="Palatino Linotype"/>
          <w:i/>
          <w:sz w:val="22"/>
          <w:szCs w:val="22"/>
        </w:rPr>
        <w:t>mas</w:t>
      </w:r>
      <w:proofErr w:type="spellEnd"/>
      <w:r w:rsidRPr="0012364D">
        <w:rPr>
          <w:rFonts w:ascii="Palatino Linotype" w:eastAsia="Palatino Linotype" w:hAnsi="Palatino Linotype" w:cs="Palatino Linotype"/>
          <w:i/>
          <w:sz w:val="22"/>
          <w:szCs w:val="22"/>
        </w:rPr>
        <w:t>.</w:t>
      </w:r>
    </w:p>
    <w:p w14:paraId="18921E80" w14:textId="77777777" w:rsidR="004664DE" w:rsidRPr="0012364D" w:rsidRDefault="004664DE">
      <w:pPr>
        <w:ind w:left="851" w:right="899"/>
        <w:jc w:val="both"/>
        <w:rPr>
          <w:rFonts w:ascii="Palatino Linotype" w:eastAsia="Palatino Linotype" w:hAnsi="Palatino Linotype" w:cs="Palatino Linotype"/>
          <w:i/>
          <w:sz w:val="22"/>
          <w:szCs w:val="22"/>
        </w:rPr>
      </w:pPr>
    </w:p>
    <w:p w14:paraId="38A8C43B"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DEL CONTENIDO DE LA LICENCIA DE USO DEL SUELO</w:t>
      </w:r>
    </w:p>
    <w:p w14:paraId="3D7CD9F5"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Artículo 137. La licencia de uso del suelo deberá contener, cuando menos, lo siguiente:</w:t>
      </w:r>
    </w:p>
    <w:p w14:paraId="79C273A0"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I. Número de la licencia;</w:t>
      </w:r>
    </w:p>
    <w:p w14:paraId="33DAC958"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II. Ubicación del predio o inmueble y en su caso, clave catastral;</w:t>
      </w:r>
    </w:p>
    <w:p w14:paraId="6B6B1759"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III. Nombre y domicilio del solicitante;</w:t>
      </w:r>
    </w:p>
    <w:p w14:paraId="066B9E22"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IV. Uso o usos del suelo que se autorizan;</w:t>
      </w:r>
    </w:p>
    <w:p w14:paraId="699E27EF"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V. Densidad de vivienda, en su caso;</w:t>
      </w:r>
    </w:p>
    <w:p w14:paraId="736EF4C1"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VI. Coeficiente de ocupación del suelo y coeficiente de utilización del suelo;</w:t>
      </w:r>
    </w:p>
    <w:p w14:paraId="02B096C3"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VII. Altura máxima de edificación;</w:t>
      </w:r>
    </w:p>
    <w:p w14:paraId="4B947A0D"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VIII. Número obligatorio de cajones de estacionamiento;</w:t>
      </w:r>
    </w:p>
    <w:p w14:paraId="1A1B1BF2"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IX. Alineamiento y número oficial;</w:t>
      </w:r>
    </w:p>
    <w:p w14:paraId="1D0BC784"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X. La normatividad, y obligaciones que deriven del Dictamen Único y las Evaluaciones Técnicas de Factibilidad, en su caso;</w:t>
      </w:r>
    </w:p>
    <w:p w14:paraId="67F1DA0F"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XI. Restricciones federales, estatales y municipales;</w:t>
      </w:r>
    </w:p>
    <w:p w14:paraId="444759C0"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XII. La normatividad y obligaciones que deriven de los dictámenes en materia de conservación del patrimonio histórico, artístico y cultural, en su caso;</w:t>
      </w:r>
    </w:p>
    <w:p w14:paraId="004AEE99"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XIII. Vigencia de la licencia;</w:t>
      </w:r>
    </w:p>
    <w:p w14:paraId="55B020DF"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XIV. Lugar y fecha en que se expide, y</w:t>
      </w:r>
    </w:p>
    <w:p w14:paraId="60E9FB2E"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XV. Nombre, cargo y firma de quien la autoriza.</w:t>
      </w:r>
    </w:p>
    <w:p w14:paraId="0B55F8B8"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Cuando el interesado únicamente solicite alineamiento y número oficial, la licencia de uso de suelo solo contendrá los datos a que refieren las fracciones I, II, III y XI de este artículo.” </w:t>
      </w:r>
    </w:p>
    <w:p w14:paraId="7C33589F" w14:textId="77777777" w:rsidR="004664DE" w:rsidRPr="0012364D" w:rsidRDefault="004664DE">
      <w:pPr>
        <w:ind w:left="851" w:right="899"/>
        <w:jc w:val="both"/>
        <w:rPr>
          <w:rFonts w:ascii="Palatino Linotype" w:eastAsia="Palatino Linotype" w:hAnsi="Palatino Linotype" w:cs="Palatino Linotype"/>
          <w:sz w:val="22"/>
          <w:szCs w:val="22"/>
        </w:rPr>
      </w:pPr>
    </w:p>
    <w:p w14:paraId="58DBCB4A" w14:textId="77777777" w:rsidR="004664DE" w:rsidRPr="0012364D" w:rsidRDefault="00A7108E">
      <w:pPr>
        <w:spacing w:line="360" w:lineRule="auto"/>
        <w:ind w:right="-93"/>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También, es importante referir las atribuciones de área del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que dio respuesta, siendo la Dirección General de Desarrollo Urbano y Metropolitano del Ayuntamiento de Naucalpan de Juárez, las cuales se encuentran señaladas en el artículo 96 </w:t>
      </w:r>
      <w:proofErr w:type="spellStart"/>
      <w:r w:rsidRPr="0012364D">
        <w:rPr>
          <w:rFonts w:ascii="Palatino Linotype" w:eastAsia="Palatino Linotype" w:hAnsi="Palatino Linotype" w:cs="Palatino Linotype"/>
          <w:sz w:val="22"/>
          <w:szCs w:val="22"/>
        </w:rPr>
        <w:t>sexies</w:t>
      </w:r>
      <w:proofErr w:type="spellEnd"/>
      <w:r w:rsidRPr="0012364D">
        <w:rPr>
          <w:rFonts w:ascii="Palatino Linotype" w:eastAsia="Palatino Linotype" w:hAnsi="Palatino Linotype" w:cs="Palatino Linotype"/>
          <w:sz w:val="22"/>
          <w:szCs w:val="22"/>
        </w:rPr>
        <w:t xml:space="preserve"> en específico en la fracción VI de la Ley Orgánica Municipal del Estado de México, que señala:</w:t>
      </w:r>
    </w:p>
    <w:p w14:paraId="0312B592" w14:textId="77777777" w:rsidR="004664DE" w:rsidRPr="0012364D" w:rsidRDefault="004664DE">
      <w:pPr>
        <w:spacing w:line="360" w:lineRule="auto"/>
        <w:ind w:right="-93"/>
        <w:jc w:val="both"/>
        <w:rPr>
          <w:rFonts w:ascii="Palatino Linotype" w:eastAsia="Palatino Linotype" w:hAnsi="Palatino Linotype" w:cs="Palatino Linotype"/>
          <w:sz w:val="22"/>
          <w:szCs w:val="22"/>
        </w:rPr>
      </w:pPr>
    </w:p>
    <w:p w14:paraId="7FCC53CA"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lastRenderedPageBreak/>
        <w:t xml:space="preserve">“Artículo 96. </w:t>
      </w:r>
      <w:proofErr w:type="spellStart"/>
      <w:r w:rsidRPr="0012364D">
        <w:rPr>
          <w:rFonts w:ascii="Palatino Linotype" w:eastAsia="Palatino Linotype" w:hAnsi="Palatino Linotype" w:cs="Palatino Linotype"/>
          <w:i/>
          <w:sz w:val="22"/>
          <w:szCs w:val="22"/>
        </w:rPr>
        <w:t>Sexies</w:t>
      </w:r>
      <w:proofErr w:type="spellEnd"/>
      <w:r w:rsidRPr="0012364D">
        <w:rPr>
          <w:rFonts w:ascii="Palatino Linotype" w:eastAsia="Palatino Linotype" w:hAnsi="Palatino Linotype" w:cs="Palatino Linotype"/>
          <w:i/>
          <w:sz w:val="22"/>
          <w:szCs w:val="22"/>
        </w:rPr>
        <w:t xml:space="preserve">. El </w:t>
      </w:r>
      <w:proofErr w:type="gramStart"/>
      <w:r w:rsidRPr="0012364D">
        <w:rPr>
          <w:rFonts w:ascii="Palatino Linotype" w:eastAsia="Palatino Linotype" w:hAnsi="Palatino Linotype" w:cs="Palatino Linotype"/>
          <w:i/>
          <w:sz w:val="22"/>
          <w:szCs w:val="22"/>
        </w:rPr>
        <w:t>Director</w:t>
      </w:r>
      <w:proofErr w:type="gramEnd"/>
      <w:r w:rsidRPr="0012364D">
        <w:rPr>
          <w:rFonts w:ascii="Palatino Linotype" w:eastAsia="Palatino Linotype" w:hAnsi="Palatino Linotype" w:cs="Palatino Linotype"/>
          <w:i/>
          <w:sz w:val="22"/>
          <w:szCs w:val="22"/>
        </w:rPr>
        <w:t xml:space="preserve"> de Desarrollo Urbano o el Titular de la Unidad Administrativa equivalente, tiene las atribuciones siguientes: </w:t>
      </w:r>
    </w:p>
    <w:p w14:paraId="5CB75D9A"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VI. Analizar las cédulas informativas de zonificación, </w:t>
      </w:r>
      <w:r w:rsidRPr="0012364D">
        <w:rPr>
          <w:rFonts w:ascii="Palatino Linotype" w:eastAsia="Palatino Linotype" w:hAnsi="Palatino Linotype" w:cs="Palatino Linotype"/>
          <w:b/>
          <w:i/>
          <w:sz w:val="22"/>
          <w:szCs w:val="22"/>
          <w:u w:val="single"/>
        </w:rPr>
        <w:t>licencias de uso de suelo</w:t>
      </w:r>
      <w:r w:rsidRPr="0012364D">
        <w:rPr>
          <w:rFonts w:ascii="Palatino Linotype" w:eastAsia="Palatino Linotype" w:hAnsi="Palatino Linotype" w:cs="Palatino Linotype"/>
          <w:i/>
          <w:sz w:val="22"/>
          <w:szCs w:val="22"/>
        </w:rPr>
        <w:t xml:space="preserve"> y licencias de construcción…” (Énfasis añadido)</w:t>
      </w:r>
    </w:p>
    <w:p w14:paraId="018EB909" w14:textId="77777777" w:rsidR="004664DE" w:rsidRPr="0012364D" w:rsidRDefault="004664DE">
      <w:pPr>
        <w:spacing w:line="360" w:lineRule="auto"/>
        <w:ind w:right="-93"/>
        <w:jc w:val="both"/>
        <w:rPr>
          <w:rFonts w:ascii="Palatino Linotype" w:eastAsia="Palatino Linotype" w:hAnsi="Palatino Linotype" w:cs="Palatino Linotype"/>
          <w:sz w:val="22"/>
          <w:szCs w:val="22"/>
        </w:rPr>
      </w:pPr>
    </w:p>
    <w:p w14:paraId="5B5D4ACF" w14:textId="77777777" w:rsidR="004664DE" w:rsidRPr="0012364D" w:rsidRDefault="00A7108E">
      <w:pPr>
        <w:spacing w:line="360" w:lineRule="auto"/>
        <w:ind w:right="-93"/>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De la normatividad anteriormente mencionada se advierte que 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cuenta con atribuciones para emitir los documentos solicitados por </w:t>
      </w:r>
      <w:r w:rsidRPr="0012364D">
        <w:rPr>
          <w:rFonts w:ascii="Palatino Linotype" w:eastAsia="Palatino Linotype" w:hAnsi="Palatino Linotype" w:cs="Palatino Linotype"/>
          <w:b/>
          <w:sz w:val="22"/>
          <w:szCs w:val="22"/>
        </w:rPr>
        <w:t>la parte Recurrente</w:t>
      </w:r>
      <w:r w:rsidRPr="0012364D">
        <w:rPr>
          <w:rFonts w:ascii="Palatino Linotype" w:eastAsia="Palatino Linotype" w:hAnsi="Palatino Linotype" w:cs="Palatino Linotype"/>
          <w:sz w:val="22"/>
          <w:szCs w:val="22"/>
        </w:rPr>
        <w:t>, además de que la información requerida no sólo es información pública, sino que también una obligación de transparencia como se muestra a continuación:</w:t>
      </w:r>
    </w:p>
    <w:p w14:paraId="250BDE6A" w14:textId="77777777" w:rsidR="004664DE" w:rsidRPr="0012364D" w:rsidRDefault="004664DE">
      <w:pPr>
        <w:spacing w:line="360" w:lineRule="auto"/>
        <w:ind w:right="-93"/>
        <w:jc w:val="both"/>
        <w:rPr>
          <w:rFonts w:ascii="Palatino Linotype" w:eastAsia="Palatino Linotype" w:hAnsi="Palatino Linotype" w:cs="Palatino Linotype"/>
          <w:sz w:val="22"/>
          <w:szCs w:val="22"/>
        </w:rPr>
      </w:pPr>
    </w:p>
    <w:p w14:paraId="53604712"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2F937114"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I. En el caso del Poder Ejecutivo </w:t>
      </w:r>
      <w:r w:rsidRPr="0012364D">
        <w:rPr>
          <w:rFonts w:ascii="Palatino Linotype" w:eastAsia="Palatino Linotype" w:hAnsi="Palatino Linotype" w:cs="Palatino Linotype"/>
          <w:b/>
          <w:i/>
          <w:sz w:val="22"/>
          <w:szCs w:val="22"/>
        </w:rPr>
        <w:t>y los Municipios</w:t>
      </w:r>
      <w:r w:rsidRPr="0012364D">
        <w:rPr>
          <w:rFonts w:ascii="Palatino Linotype" w:eastAsia="Palatino Linotype" w:hAnsi="Palatino Linotype" w:cs="Palatino Linotype"/>
          <w:i/>
          <w:sz w:val="22"/>
          <w:szCs w:val="22"/>
        </w:rPr>
        <w:t>, en el ámbito de su competencia:</w:t>
      </w:r>
    </w:p>
    <w:p w14:paraId="4665E98D"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a) a </w:t>
      </w:r>
      <w:proofErr w:type="gramStart"/>
      <w:r w:rsidRPr="0012364D">
        <w:rPr>
          <w:rFonts w:ascii="Palatino Linotype" w:eastAsia="Palatino Linotype" w:hAnsi="Palatino Linotype" w:cs="Palatino Linotype"/>
          <w:i/>
          <w:sz w:val="22"/>
          <w:szCs w:val="22"/>
        </w:rPr>
        <w:t>e)…</w:t>
      </w:r>
      <w:proofErr w:type="gramEnd"/>
    </w:p>
    <w:p w14:paraId="4EBDA588" w14:textId="77777777" w:rsidR="004664DE" w:rsidRPr="0012364D" w:rsidRDefault="00A7108E">
      <w:pPr>
        <w:ind w:left="851" w:right="899"/>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f) La información detallada que contengan los planes de desarrollo urbano, ordenamiento territorial y ecológico, </w:t>
      </w:r>
      <w:r w:rsidRPr="0012364D">
        <w:rPr>
          <w:rFonts w:ascii="Palatino Linotype" w:eastAsia="Palatino Linotype" w:hAnsi="Palatino Linotype" w:cs="Palatino Linotype"/>
          <w:b/>
          <w:i/>
          <w:sz w:val="22"/>
          <w:szCs w:val="22"/>
          <w:u w:val="single"/>
        </w:rPr>
        <w:t>los tipos y usos de suelo</w:t>
      </w:r>
      <w:r w:rsidRPr="0012364D">
        <w:rPr>
          <w:rFonts w:ascii="Palatino Linotype" w:eastAsia="Palatino Linotype" w:hAnsi="Palatino Linotype" w:cs="Palatino Linotype"/>
          <w:i/>
          <w:sz w:val="22"/>
          <w:szCs w:val="22"/>
        </w:rPr>
        <w:t xml:space="preserve">, </w:t>
      </w:r>
      <w:r w:rsidRPr="0012364D">
        <w:rPr>
          <w:rFonts w:ascii="Palatino Linotype" w:eastAsia="Palatino Linotype" w:hAnsi="Palatino Linotype" w:cs="Palatino Linotype"/>
          <w:b/>
          <w:i/>
          <w:sz w:val="22"/>
          <w:szCs w:val="22"/>
          <w:u w:val="single"/>
        </w:rPr>
        <w:t>licencias de uso y construcción</w:t>
      </w:r>
      <w:r w:rsidRPr="0012364D">
        <w:rPr>
          <w:rFonts w:ascii="Palatino Linotype" w:eastAsia="Palatino Linotype" w:hAnsi="Palatino Linotype" w:cs="Palatino Linotype"/>
          <w:i/>
          <w:sz w:val="22"/>
          <w:szCs w:val="22"/>
        </w:rPr>
        <w:t xml:space="preserve"> otorgadas por los gobiernos municipales…” (Énfasis añadido)</w:t>
      </w:r>
    </w:p>
    <w:p w14:paraId="5C842E0B" w14:textId="77777777" w:rsidR="004664DE" w:rsidRPr="0012364D" w:rsidRDefault="004664DE">
      <w:pPr>
        <w:spacing w:after="240" w:line="360" w:lineRule="auto"/>
        <w:ind w:right="49"/>
        <w:jc w:val="both"/>
        <w:rPr>
          <w:rFonts w:ascii="Palatino Linotype" w:eastAsia="Palatino Linotype" w:hAnsi="Palatino Linotype" w:cs="Palatino Linotype"/>
          <w:sz w:val="22"/>
          <w:szCs w:val="22"/>
        </w:rPr>
      </w:pPr>
    </w:p>
    <w:p w14:paraId="55E73B74" w14:textId="77777777" w:rsidR="004664DE" w:rsidRPr="0012364D" w:rsidRDefault="00A7108E">
      <w:pPr>
        <w:spacing w:after="240" w:line="360" w:lineRule="auto"/>
        <w:ind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Es por lo anteriormente citado que se abordan a las siguientes conclusiones:</w:t>
      </w:r>
    </w:p>
    <w:p w14:paraId="22E0BAB7" w14:textId="77777777" w:rsidR="004664DE" w:rsidRPr="0012364D" w:rsidRDefault="00A7108E">
      <w:pPr>
        <w:numPr>
          <w:ilvl w:val="0"/>
          <w:numId w:val="4"/>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La Dirección General de Desarrollo Urbano es la unidad administrativa competente para emitir y aprobar las licencias, permisos, autorizaciones para </w:t>
      </w:r>
      <w:proofErr w:type="gramStart"/>
      <w:r w:rsidRPr="0012364D">
        <w:rPr>
          <w:rFonts w:ascii="Palatino Linotype" w:eastAsia="Palatino Linotype" w:hAnsi="Palatino Linotype" w:cs="Palatino Linotype"/>
          <w:sz w:val="22"/>
          <w:szCs w:val="22"/>
        </w:rPr>
        <w:t>la  construcción</w:t>
      </w:r>
      <w:proofErr w:type="gramEnd"/>
      <w:r w:rsidRPr="0012364D">
        <w:rPr>
          <w:rFonts w:ascii="Palatino Linotype" w:eastAsia="Palatino Linotype" w:hAnsi="Palatino Linotype" w:cs="Palatino Linotype"/>
          <w:sz w:val="22"/>
          <w:szCs w:val="22"/>
        </w:rPr>
        <w:t>, así como para el uso de suelo.</w:t>
      </w:r>
    </w:p>
    <w:p w14:paraId="2267D5B3" w14:textId="77777777" w:rsidR="004664DE" w:rsidRPr="0012364D" w:rsidRDefault="004664DE">
      <w:pPr>
        <w:pBdr>
          <w:top w:val="nil"/>
          <w:left w:val="nil"/>
          <w:bottom w:val="nil"/>
          <w:right w:val="nil"/>
          <w:between w:val="nil"/>
        </w:pBdr>
        <w:spacing w:line="360" w:lineRule="auto"/>
        <w:ind w:left="567" w:right="900"/>
        <w:jc w:val="both"/>
        <w:rPr>
          <w:rFonts w:ascii="Palatino Linotype" w:eastAsia="Palatino Linotype" w:hAnsi="Palatino Linotype" w:cs="Palatino Linotype"/>
          <w:sz w:val="22"/>
          <w:szCs w:val="22"/>
        </w:rPr>
      </w:pPr>
    </w:p>
    <w:p w14:paraId="047DF7FE" w14:textId="77777777" w:rsidR="004664DE" w:rsidRPr="0012364D" w:rsidRDefault="00A7108E">
      <w:pPr>
        <w:numPr>
          <w:ilvl w:val="0"/>
          <w:numId w:val="4"/>
        </w:numPr>
        <w:pBdr>
          <w:top w:val="nil"/>
          <w:left w:val="nil"/>
          <w:bottom w:val="nil"/>
          <w:right w:val="nil"/>
          <w:between w:val="nil"/>
        </w:pBdr>
        <w:spacing w:line="360" w:lineRule="auto"/>
        <w:ind w:right="900"/>
        <w:jc w:val="both"/>
        <w:rPr>
          <w:rFonts w:ascii="Palatino Linotype" w:eastAsia="Palatino Linotype" w:hAnsi="Palatino Linotype" w:cs="Palatino Linotype"/>
          <w:b/>
          <w:sz w:val="22"/>
          <w:szCs w:val="22"/>
          <w:u w:val="single"/>
        </w:rPr>
      </w:pPr>
      <w:r w:rsidRPr="0012364D">
        <w:rPr>
          <w:rFonts w:ascii="Palatino Linotype" w:eastAsia="Palatino Linotype" w:hAnsi="Palatino Linotype" w:cs="Palatino Linotype"/>
          <w:sz w:val="22"/>
          <w:szCs w:val="22"/>
        </w:rPr>
        <w:t xml:space="preserve">De tal suerte </w:t>
      </w:r>
      <w:proofErr w:type="gramStart"/>
      <w:r w:rsidRPr="0012364D">
        <w:rPr>
          <w:rFonts w:ascii="Palatino Linotype" w:eastAsia="Palatino Linotype" w:hAnsi="Palatino Linotype" w:cs="Palatino Linotype"/>
          <w:sz w:val="22"/>
          <w:szCs w:val="22"/>
        </w:rPr>
        <w:t>que</w:t>
      </w:r>
      <w:proofErr w:type="gramEnd"/>
      <w:r w:rsidRPr="0012364D">
        <w:rPr>
          <w:rFonts w:ascii="Palatino Linotype" w:eastAsia="Palatino Linotype" w:hAnsi="Palatino Linotype" w:cs="Palatino Linotype"/>
          <w:sz w:val="22"/>
          <w:szCs w:val="22"/>
        </w:rPr>
        <w:t xml:space="preserve"> si 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proporcionó en respuesta e informe justificado un pronunciamiento en el sentido de que </w:t>
      </w:r>
      <w:r w:rsidRPr="0012364D">
        <w:rPr>
          <w:rFonts w:ascii="Palatino Linotype" w:eastAsia="Palatino Linotype" w:hAnsi="Palatino Linotype" w:cs="Palatino Linotype"/>
          <w:b/>
          <w:sz w:val="22"/>
          <w:szCs w:val="22"/>
          <w:u w:val="single"/>
        </w:rPr>
        <w:t xml:space="preserve">no se tiene registro o antecedente alguno sobre las licencias de construcción o de uso de suelo, </w:t>
      </w:r>
      <w:r w:rsidRPr="0012364D">
        <w:rPr>
          <w:rFonts w:ascii="Palatino Linotype" w:eastAsia="Palatino Linotype" w:hAnsi="Palatino Linotype" w:cs="Palatino Linotype"/>
          <w:sz w:val="22"/>
          <w:szCs w:val="22"/>
        </w:rPr>
        <w:lastRenderedPageBreak/>
        <w:t xml:space="preserve">debemos entender que </w:t>
      </w:r>
      <w:r w:rsidRPr="0012364D">
        <w:rPr>
          <w:rFonts w:ascii="Palatino Linotype" w:eastAsia="Palatino Linotype" w:hAnsi="Palatino Linotype" w:cs="Palatino Linotype"/>
          <w:b/>
          <w:sz w:val="22"/>
          <w:szCs w:val="22"/>
          <w:u w:val="single"/>
        </w:rPr>
        <w:t>no se cuenta con los expedientes ni con las licencias generadas.</w:t>
      </w:r>
    </w:p>
    <w:p w14:paraId="6F9F7515" w14:textId="77777777" w:rsidR="004664DE" w:rsidRPr="0012364D" w:rsidRDefault="004664DE">
      <w:pPr>
        <w:pBdr>
          <w:top w:val="nil"/>
          <w:left w:val="nil"/>
          <w:bottom w:val="nil"/>
          <w:right w:val="nil"/>
          <w:between w:val="nil"/>
        </w:pBdr>
        <w:spacing w:line="360" w:lineRule="auto"/>
        <w:ind w:left="720" w:right="900"/>
        <w:jc w:val="both"/>
        <w:rPr>
          <w:rFonts w:ascii="Palatino Linotype" w:eastAsia="Palatino Linotype" w:hAnsi="Palatino Linotype" w:cs="Palatino Linotype"/>
          <w:b/>
          <w:sz w:val="22"/>
          <w:szCs w:val="22"/>
          <w:u w:val="single"/>
        </w:rPr>
      </w:pPr>
    </w:p>
    <w:p w14:paraId="535B8E1B" w14:textId="77777777" w:rsidR="004664DE" w:rsidRPr="0012364D" w:rsidRDefault="00A7108E">
      <w:pPr>
        <w:numPr>
          <w:ilvl w:val="0"/>
          <w:numId w:val="4"/>
        </w:numPr>
        <w:spacing w:line="360" w:lineRule="auto"/>
        <w:ind w:right="900"/>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Es de precisar que dichas documentales son susceptibles de generarse por un trámite que inicia a instancia de parte; por lo tanto, se refuerza lo señalado por 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en el informe justificado, en el sentido de que no se advierte obligación alguna atribuible al Ayuntamiento de Naucalpan de Juárez para contar con la información, para reforzar esta premisa, este Organismo Garante localizó los siguientes trámites que son iniciados a petición de los particulares en el portal del Ayuntamiento de Naucalpan de Juárez:</w:t>
      </w:r>
    </w:p>
    <w:p w14:paraId="7A6775CD" w14:textId="77777777" w:rsidR="004664DE" w:rsidRPr="0012364D" w:rsidRDefault="004664DE">
      <w:pPr>
        <w:ind w:left="720"/>
        <w:rPr>
          <w:rFonts w:ascii="Palatino Linotype" w:eastAsia="Palatino Linotype" w:hAnsi="Palatino Linotype" w:cs="Palatino Linotype"/>
          <w:sz w:val="22"/>
          <w:szCs w:val="22"/>
        </w:rPr>
      </w:pPr>
    </w:p>
    <w:p w14:paraId="6E1F2B10" w14:textId="77777777" w:rsidR="004664DE" w:rsidRPr="0012364D" w:rsidRDefault="00A7108E">
      <w:pPr>
        <w:spacing w:line="360" w:lineRule="auto"/>
        <w:ind w:left="720" w:right="900"/>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noProof/>
          <w:sz w:val="22"/>
          <w:szCs w:val="22"/>
          <w:lang w:val="es-MX"/>
        </w:rPr>
        <w:lastRenderedPageBreak/>
        <w:drawing>
          <wp:inline distT="0" distB="0" distL="0" distR="0" wp14:anchorId="6B47B9EA" wp14:editId="39B4288A">
            <wp:extent cx="4791545" cy="4677234"/>
            <wp:effectExtent l="0" t="0" r="0" b="0"/>
            <wp:docPr id="3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91545" cy="4677234"/>
                    </a:xfrm>
                    <a:prstGeom prst="rect">
                      <a:avLst/>
                    </a:prstGeom>
                    <a:ln/>
                  </pic:spPr>
                </pic:pic>
              </a:graphicData>
            </a:graphic>
          </wp:inline>
        </w:drawing>
      </w:r>
    </w:p>
    <w:p w14:paraId="3CC3ECBD" w14:textId="77777777" w:rsidR="004664DE" w:rsidRPr="0012364D" w:rsidRDefault="00A7108E">
      <w:pPr>
        <w:spacing w:line="360" w:lineRule="auto"/>
        <w:ind w:left="720" w:right="900"/>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noProof/>
          <w:sz w:val="22"/>
          <w:szCs w:val="22"/>
          <w:lang w:val="es-MX"/>
        </w:rPr>
        <w:drawing>
          <wp:inline distT="0" distB="0" distL="0" distR="0" wp14:anchorId="4F840A94" wp14:editId="17969E71">
            <wp:extent cx="5057956" cy="1828865"/>
            <wp:effectExtent l="0" t="0" r="0" b="0"/>
            <wp:docPr id="3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57956" cy="1828865"/>
                    </a:xfrm>
                    <a:prstGeom prst="rect">
                      <a:avLst/>
                    </a:prstGeom>
                    <a:ln/>
                  </pic:spPr>
                </pic:pic>
              </a:graphicData>
            </a:graphic>
          </wp:inline>
        </w:drawing>
      </w:r>
    </w:p>
    <w:p w14:paraId="435DE61A" w14:textId="77777777" w:rsidR="004664DE" w:rsidRPr="0012364D" w:rsidRDefault="00A7108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Por consiguiente, toda vez que no posee, administra ni genera la información requerida por el particular en virtud de que la parte interesada no ha desahogado dichos trámites, esto </w:t>
      </w:r>
      <w:r w:rsidRPr="0012364D">
        <w:rPr>
          <w:rFonts w:ascii="Palatino Linotype" w:eastAsia="Palatino Linotype" w:hAnsi="Palatino Linotype" w:cs="Palatino Linotype"/>
          <w:sz w:val="22"/>
          <w:szCs w:val="22"/>
        </w:rPr>
        <w:lastRenderedPageBreak/>
        <w:t xml:space="preserve">constituye un hecho negativo; entonces, si se considera el hecho negativo, es obvio que éste no puede fácticamente obrar en los archivos del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ya que no puede probarse por ser lógica y materialmente imposible.</w:t>
      </w:r>
    </w:p>
    <w:p w14:paraId="04514C50" w14:textId="77777777" w:rsidR="004664DE" w:rsidRPr="0012364D" w:rsidRDefault="00A7108E">
      <w:pPr>
        <w:pBdr>
          <w:top w:val="nil"/>
          <w:left w:val="nil"/>
          <w:bottom w:val="nil"/>
          <w:right w:val="nil"/>
          <w:between w:val="nil"/>
        </w:pBdr>
        <w:spacing w:before="240" w:after="240" w:line="360" w:lineRule="auto"/>
        <w:jc w:val="both"/>
      </w:pPr>
      <w:r w:rsidRPr="0012364D">
        <w:rPr>
          <w:rFonts w:ascii="Palatino Linotype" w:eastAsia="Palatino Linotype" w:hAnsi="Palatino Linotype" w:cs="Palatino Linotype"/>
          <w:sz w:val="22"/>
          <w:szCs w:val="22"/>
        </w:rPr>
        <w:t>Asimismo, no se trata de un caso por el cual la negación del hecho implique la afirmación del mismo, simplemente se está ante una notoria y evidente inexistencia fáctica de la información solicitada.</w:t>
      </w:r>
    </w:p>
    <w:p w14:paraId="3DE95CE0" w14:textId="77777777" w:rsidR="004664DE" w:rsidRPr="0012364D" w:rsidRDefault="00A7108E">
      <w:pPr>
        <w:pBdr>
          <w:top w:val="nil"/>
          <w:left w:val="nil"/>
          <w:bottom w:val="nil"/>
          <w:right w:val="nil"/>
          <w:between w:val="nil"/>
        </w:pBdr>
        <w:spacing w:before="240" w:after="240" w:line="360" w:lineRule="auto"/>
        <w:jc w:val="both"/>
      </w:pPr>
      <w:r w:rsidRPr="0012364D">
        <w:rPr>
          <w:rFonts w:ascii="Palatino Linotype" w:eastAsia="Palatino Linotype" w:hAnsi="Palatino Linotype" w:cs="Palatino Linotype"/>
          <w:sz w:val="22"/>
          <w:szCs w:val="22"/>
        </w:rPr>
        <w:t xml:space="preserve">Encontrándonos ante un hecho negativo, destacando entonces que el Pleno de este Organismo Garante, ha sostenido </w:t>
      </w:r>
      <w:proofErr w:type="gramStart"/>
      <w:r w:rsidRPr="0012364D">
        <w:rPr>
          <w:rFonts w:ascii="Palatino Linotype" w:eastAsia="Palatino Linotype" w:hAnsi="Palatino Linotype" w:cs="Palatino Linotype"/>
          <w:sz w:val="22"/>
          <w:szCs w:val="22"/>
        </w:rPr>
        <w:t>que</w:t>
      </w:r>
      <w:proofErr w:type="gramEnd"/>
      <w:r w:rsidRPr="0012364D">
        <w:rPr>
          <w:rFonts w:ascii="Palatino Linotype" w:eastAsia="Palatino Linotype" w:hAnsi="Palatino Linotype" w:cs="Palatino Linotype"/>
          <w:sz w:val="22"/>
          <w:szCs w:val="22"/>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3C9CBF9D" w14:textId="77777777" w:rsidR="004664DE" w:rsidRPr="0012364D" w:rsidRDefault="00A7108E">
      <w:pPr>
        <w:pBdr>
          <w:top w:val="nil"/>
          <w:left w:val="nil"/>
          <w:bottom w:val="nil"/>
          <w:right w:val="nil"/>
          <w:between w:val="nil"/>
        </w:pBdr>
        <w:ind w:left="860" w:right="560"/>
        <w:jc w:val="both"/>
      </w:pPr>
      <w:r w:rsidRPr="0012364D">
        <w:rPr>
          <w:rFonts w:ascii="Palatino Linotype" w:eastAsia="Palatino Linotype" w:hAnsi="Palatino Linotype" w:cs="Palatino Linotype"/>
          <w:b/>
          <w:i/>
          <w:sz w:val="22"/>
          <w:szCs w:val="22"/>
        </w:rPr>
        <w:t>HECHOS NEGATIVOS, NO SON SUSCEPTIBLES DE DEMOSTRACIÓN.</w:t>
      </w:r>
    </w:p>
    <w:p w14:paraId="646FB363" w14:textId="77777777" w:rsidR="004664DE" w:rsidRPr="0012364D" w:rsidRDefault="00A7108E">
      <w:pPr>
        <w:pBdr>
          <w:top w:val="nil"/>
          <w:left w:val="nil"/>
          <w:bottom w:val="nil"/>
          <w:right w:val="nil"/>
          <w:between w:val="nil"/>
        </w:pBdr>
        <w:ind w:left="860" w:right="560"/>
        <w:jc w:val="both"/>
      </w:pPr>
      <w:r w:rsidRPr="0012364D">
        <w:rPr>
          <w:rFonts w:ascii="Palatino Linotype" w:eastAsia="Palatino Linotype" w:hAnsi="Palatino Linotype" w:cs="Palatino Linotype"/>
          <w:i/>
          <w:sz w:val="22"/>
          <w:szCs w:val="22"/>
        </w:rPr>
        <w:t xml:space="preserve">Tratándose de un hecho negativo, el Juez no tiene </w:t>
      </w:r>
      <w:proofErr w:type="spellStart"/>
      <w:r w:rsidRPr="0012364D">
        <w:rPr>
          <w:rFonts w:ascii="Palatino Linotype" w:eastAsia="Palatino Linotype" w:hAnsi="Palatino Linotype" w:cs="Palatino Linotype"/>
          <w:i/>
          <w:sz w:val="22"/>
          <w:szCs w:val="22"/>
        </w:rPr>
        <w:t>por que</w:t>
      </w:r>
      <w:proofErr w:type="spellEnd"/>
      <w:r w:rsidRPr="0012364D">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2C41D680" w14:textId="77777777" w:rsidR="004664DE" w:rsidRPr="0012364D" w:rsidRDefault="00A7108E">
      <w:pPr>
        <w:pBdr>
          <w:top w:val="nil"/>
          <w:left w:val="nil"/>
          <w:bottom w:val="nil"/>
          <w:right w:val="nil"/>
          <w:between w:val="nil"/>
        </w:pBdr>
        <w:ind w:left="860" w:right="560"/>
        <w:jc w:val="both"/>
      </w:pPr>
      <w:r w:rsidRPr="0012364D">
        <w:rPr>
          <w:rFonts w:ascii="Palatino Linotype" w:eastAsia="Palatino Linotype" w:hAnsi="Palatino Linotype" w:cs="Palatino Linotype"/>
          <w:i/>
          <w:sz w:val="22"/>
          <w:szCs w:val="22"/>
        </w:rPr>
        <w:t xml:space="preserve">Amparo en revisión 2022/61. José García </w:t>
      </w:r>
      <w:proofErr w:type="gramStart"/>
      <w:r w:rsidRPr="0012364D">
        <w:rPr>
          <w:rFonts w:ascii="Palatino Linotype" w:eastAsia="Palatino Linotype" w:hAnsi="Palatino Linotype" w:cs="Palatino Linotype"/>
          <w:i/>
          <w:sz w:val="22"/>
          <w:szCs w:val="22"/>
        </w:rPr>
        <w:t>Florín</w:t>
      </w:r>
      <w:proofErr w:type="gramEnd"/>
      <w:r w:rsidRPr="0012364D">
        <w:rPr>
          <w:rFonts w:ascii="Palatino Linotype" w:eastAsia="Palatino Linotype" w:hAnsi="Palatino Linotype" w:cs="Palatino Linotype"/>
          <w:i/>
          <w:sz w:val="22"/>
          <w:szCs w:val="22"/>
        </w:rPr>
        <w:t xml:space="preserve"> (Menor). 9 de octubre de 1961. Cinco votos. Ponente: José Rivera Pérez Campos.”</w:t>
      </w:r>
    </w:p>
    <w:p w14:paraId="74CEB7CD" w14:textId="77777777" w:rsidR="004664DE" w:rsidRPr="0012364D" w:rsidRDefault="00A7108E">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12364D">
        <w:rPr>
          <w:rFonts w:ascii="Palatino Linotype" w:eastAsia="Palatino Linotype" w:hAnsi="Palatino Linotype" w:cs="Palatino Linotype"/>
          <w:sz w:val="22"/>
          <w:szCs w:val="22"/>
        </w:rPr>
        <w:t xml:space="preserve">Además, y de conformidad con lo establecido en el artículo 12 de la Ley de Transparencia y Acceso a la Información Pública del Estado de México y Municipios, anteriormente invocado 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sólo proporcionará la información que obra en sus archivos, lo que a</w:t>
      </w:r>
      <w:r w:rsidRPr="0012364D">
        <w:rPr>
          <w:rFonts w:ascii="Palatino Linotype" w:eastAsia="Palatino Linotype" w:hAnsi="Palatino Linotype" w:cs="Palatino Linotype"/>
          <w:i/>
          <w:sz w:val="22"/>
          <w:szCs w:val="22"/>
        </w:rPr>
        <w:t xml:space="preserve"> contrario sensu</w:t>
      </w:r>
      <w:r w:rsidRPr="0012364D">
        <w:rPr>
          <w:rFonts w:ascii="Palatino Linotype" w:eastAsia="Palatino Linotype" w:hAnsi="Palatino Linotype" w:cs="Palatino Linotype"/>
          <w:sz w:val="22"/>
          <w:szCs w:val="22"/>
        </w:rPr>
        <w:t xml:space="preserve"> significa que no se está obligado a proporcionar lo que no obre en sus archivos; por ende, </w:t>
      </w:r>
      <w:r w:rsidRPr="0012364D">
        <w:rPr>
          <w:rFonts w:ascii="Palatino Linotype" w:eastAsia="Palatino Linotype" w:hAnsi="Palatino Linotype" w:cs="Palatino Linotype"/>
          <w:b/>
          <w:sz w:val="22"/>
          <w:szCs w:val="22"/>
          <w:u w:val="single"/>
        </w:rPr>
        <w:t>este punto de la solicitud no puede ser atendido por el Sujeto Obligado, pues se insiste que la generación de la documentación se debe al inicio de un trámite realizado por la parte interesada, por lo que si la persona que se encuentra realizando la obra no ha desahogado dicho trámite, en consecuencia no se contará con dicha información dentro del patrimonio documental del Sujeto Obligado.</w:t>
      </w:r>
    </w:p>
    <w:p w14:paraId="396E225E" w14:textId="77777777" w:rsidR="004664DE" w:rsidRPr="0012364D" w:rsidRDefault="00A7108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12364D">
        <w:rPr>
          <w:rFonts w:ascii="Palatino Linotype" w:eastAsia="Palatino Linotype" w:hAnsi="Palatino Linotype" w:cs="Palatino Linotype"/>
          <w:b/>
          <w:sz w:val="22"/>
          <w:szCs w:val="22"/>
        </w:rPr>
        <w:lastRenderedPageBreak/>
        <w:t>2.- Del expediente formulado respecto a la factibilidad otorgada</w:t>
      </w:r>
      <w:r w:rsidRPr="0012364D">
        <w:t xml:space="preserve"> </w:t>
      </w:r>
      <w:r w:rsidRPr="0012364D">
        <w:rPr>
          <w:rFonts w:ascii="Palatino Linotype" w:eastAsia="Palatino Linotype" w:hAnsi="Palatino Linotype" w:cs="Palatino Linotype"/>
          <w:b/>
          <w:sz w:val="22"/>
          <w:szCs w:val="22"/>
        </w:rPr>
        <w:t>al predio referido en la solicitud de información, requerido al Organismo Público Descentralizado para la Prestación de los Servicios de Agua Potable, Alcantarillado y Saneamiento del Municipio de Naucalpan.</w:t>
      </w:r>
    </w:p>
    <w:p w14:paraId="51294365" w14:textId="77777777" w:rsidR="004664DE" w:rsidRPr="0012364D" w:rsidRDefault="004664D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p>
    <w:p w14:paraId="370B4BF7" w14:textId="77777777" w:rsidR="004664DE" w:rsidRPr="0012364D" w:rsidRDefault="00A7108E">
      <w:pPr>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Para iniciar el estudio de este punto, debemos recordar que 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fue omiso en pronunciarse sobre este punto, por lo que queda de manifiesto que el </w:t>
      </w:r>
      <w:r w:rsidRPr="0012364D">
        <w:rPr>
          <w:rFonts w:ascii="Palatino Linotype" w:eastAsia="Palatino Linotype" w:hAnsi="Palatino Linotype" w:cs="Palatino Linotype"/>
          <w:b/>
          <w:sz w:val="22"/>
          <w:szCs w:val="22"/>
        </w:rPr>
        <w:t>Ayuntamiento de Naucalpan de Juárez</w:t>
      </w:r>
      <w:r w:rsidRPr="0012364D">
        <w:rPr>
          <w:rFonts w:ascii="Palatino Linotype" w:eastAsia="Palatino Linotype" w:hAnsi="Palatino Linotype" w:cs="Palatino Linotype"/>
          <w:sz w:val="22"/>
          <w:szCs w:val="22"/>
        </w:rPr>
        <w:t xml:space="preserve"> no observó lo que dispone el Criterio 02/2017 emitido por el Instituto Nacional de Transparencia, Acceso a la Información y Protección de Datos Personales se establece que: </w:t>
      </w:r>
    </w:p>
    <w:p w14:paraId="476E0724" w14:textId="77777777" w:rsidR="004664DE" w:rsidRPr="0012364D" w:rsidRDefault="004664DE">
      <w:pPr>
        <w:pBdr>
          <w:top w:val="nil"/>
          <w:left w:val="nil"/>
          <w:bottom w:val="nil"/>
          <w:right w:val="nil"/>
          <w:between w:val="nil"/>
        </w:pBdr>
        <w:shd w:val="clear" w:color="auto" w:fill="FFFFFF"/>
        <w:jc w:val="both"/>
      </w:pPr>
    </w:p>
    <w:p w14:paraId="6314C3B2" w14:textId="77777777" w:rsidR="004664DE" w:rsidRPr="0012364D" w:rsidRDefault="00A7108E">
      <w:pPr>
        <w:pBdr>
          <w:top w:val="nil"/>
          <w:left w:val="nil"/>
          <w:bottom w:val="nil"/>
          <w:right w:val="nil"/>
          <w:between w:val="nil"/>
        </w:pBdr>
        <w:shd w:val="clear" w:color="auto" w:fill="FFFFFF"/>
        <w:spacing w:line="276" w:lineRule="auto"/>
        <w:ind w:left="567" w:right="567"/>
        <w:jc w:val="both"/>
      </w:pPr>
      <w:r w:rsidRPr="0012364D">
        <w:rPr>
          <w:rFonts w:ascii="Palatino Linotype" w:eastAsia="Palatino Linotype" w:hAnsi="Palatino Linotype" w:cs="Palatino Linotype"/>
          <w:b/>
          <w:i/>
          <w:sz w:val="22"/>
          <w:szCs w:val="22"/>
        </w:rPr>
        <w:t xml:space="preserve">“Congruencia y exhaustividad. Sus alcances para garantizar el derecho de acceso a la información. </w:t>
      </w:r>
      <w:r w:rsidRPr="0012364D">
        <w:rPr>
          <w:rFonts w:ascii="Palatino Linotype" w:eastAsia="Palatino Linotype" w:hAnsi="Palatino Linotype" w:cs="Palatino Linotype"/>
          <w:i/>
          <w:sz w:val="22"/>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EA478C7" w14:textId="77777777" w:rsidR="004664DE" w:rsidRPr="0012364D" w:rsidRDefault="004664DE">
      <w:pPr>
        <w:pBdr>
          <w:top w:val="nil"/>
          <w:left w:val="nil"/>
          <w:bottom w:val="nil"/>
          <w:right w:val="nil"/>
          <w:between w:val="nil"/>
        </w:pBdr>
        <w:shd w:val="clear" w:color="auto" w:fill="FFFFFF"/>
        <w:ind w:right="49"/>
        <w:jc w:val="both"/>
      </w:pPr>
    </w:p>
    <w:p w14:paraId="76BA4075" w14:textId="77777777" w:rsidR="004664DE" w:rsidRPr="0012364D" w:rsidRDefault="00A7108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12364D">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12364D">
        <w:rPr>
          <w:rFonts w:ascii="Palatino Linotype" w:eastAsia="Palatino Linotype" w:hAnsi="Palatino Linotype" w:cs="Palatino Linotype"/>
          <w:sz w:val="22"/>
          <w:szCs w:val="22"/>
        </w:rPr>
        <w:t xml:space="preserve">, mientras que la exhaustividad establece que el sujeto obligado </w:t>
      </w:r>
      <w:r w:rsidRPr="0012364D">
        <w:rPr>
          <w:rFonts w:ascii="Palatino Linotype" w:eastAsia="Palatino Linotype" w:hAnsi="Palatino Linotype" w:cs="Palatino Linotype"/>
          <w:b/>
          <w:sz w:val="22"/>
          <w:szCs w:val="22"/>
        </w:rPr>
        <w:t>deberá atender de manera expresa cada uno de los puntos solicitados</w:t>
      </w:r>
      <w:r w:rsidRPr="0012364D">
        <w:rPr>
          <w:rFonts w:ascii="Palatino Linotype" w:eastAsia="Palatino Linotype" w:hAnsi="Palatino Linotype" w:cs="Palatino Linotype"/>
          <w:sz w:val="22"/>
          <w:szCs w:val="22"/>
        </w:rPr>
        <w:t xml:space="preserve">, situación que en el presente caso </w:t>
      </w:r>
      <w:r w:rsidRPr="0012364D">
        <w:rPr>
          <w:rFonts w:ascii="Palatino Linotype" w:eastAsia="Palatino Linotype" w:hAnsi="Palatino Linotype" w:cs="Palatino Linotype"/>
          <w:b/>
          <w:sz w:val="22"/>
          <w:szCs w:val="22"/>
          <w:u w:val="single"/>
        </w:rPr>
        <w:t>no aconteció</w:t>
      </w:r>
      <w:r w:rsidRPr="0012364D">
        <w:rPr>
          <w:rFonts w:ascii="Palatino Linotype" w:eastAsia="Palatino Linotype" w:hAnsi="Palatino Linotype" w:cs="Palatino Linotype"/>
          <w:sz w:val="22"/>
          <w:szCs w:val="22"/>
        </w:rPr>
        <w:t xml:space="preserve">, pues el </w:t>
      </w:r>
      <w:r w:rsidRPr="0012364D">
        <w:rPr>
          <w:rFonts w:ascii="Palatino Linotype" w:eastAsia="Palatino Linotype" w:hAnsi="Palatino Linotype" w:cs="Palatino Linotype"/>
          <w:b/>
          <w:sz w:val="22"/>
          <w:szCs w:val="22"/>
        </w:rPr>
        <w:t xml:space="preserve">Sujeto </w:t>
      </w:r>
      <w:r w:rsidRPr="0012364D">
        <w:rPr>
          <w:rFonts w:ascii="Palatino Linotype" w:eastAsia="Palatino Linotype" w:hAnsi="Palatino Linotype" w:cs="Palatino Linotype"/>
          <w:b/>
          <w:sz w:val="22"/>
          <w:szCs w:val="22"/>
        </w:rPr>
        <w:lastRenderedPageBreak/>
        <w:t>Obligado</w:t>
      </w:r>
      <w:r w:rsidRPr="0012364D">
        <w:rPr>
          <w:rFonts w:ascii="Palatino Linotype" w:eastAsia="Palatino Linotype" w:hAnsi="Palatino Linotype" w:cs="Palatino Linotype"/>
          <w:sz w:val="22"/>
          <w:szCs w:val="22"/>
        </w:rPr>
        <w:t xml:space="preserve"> no fue congruente en proporcionar la información que requirió específicamente </w:t>
      </w:r>
      <w:r w:rsidRPr="0012364D">
        <w:rPr>
          <w:rFonts w:ascii="Palatino Linotype" w:eastAsia="Palatino Linotype" w:hAnsi="Palatino Linotype" w:cs="Palatino Linotype"/>
          <w:b/>
          <w:sz w:val="22"/>
          <w:szCs w:val="22"/>
        </w:rPr>
        <w:t>la parte Recurrente</w:t>
      </w:r>
      <w:r w:rsidRPr="0012364D">
        <w:rPr>
          <w:rFonts w:ascii="Palatino Linotype" w:eastAsia="Palatino Linotype" w:hAnsi="Palatino Linotype" w:cs="Palatino Linotype"/>
          <w:sz w:val="22"/>
          <w:szCs w:val="22"/>
        </w:rPr>
        <w:t>. </w:t>
      </w:r>
    </w:p>
    <w:p w14:paraId="6247C45C" w14:textId="77777777" w:rsidR="004664DE" w:rsidRPr="0012364D" w:rsidRDefault="004664D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sz w:val="22"/>
          <w:szCs w:val="22"/>
        </w:rPr>
      </w:pPr>
    </w:p>
    <w:p w14:paraId="7644E100" w14:textId="77777777" w:rsidR="004664DE" w:rsidRPr="0012364D" w:rsidRDefault="00A7108E">
      <w:pPr>
        <w:tabs>
          <w:tab w:val="left" w:pos="142"/>
          <w:tab w:val="left" w:pos="284"/>
        </w:tabs>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Ahora bien, debemos tener en cuenta que por cuanto hace a la Declaración de Incompetencia la Ley de Transparencia y Acceso a la Información Pública del Estado de México, establece, en los artículos 49, fracción II y 167, lo siguiente: </w:t>
      </w:r>
    </w:p>
    <w:p w14:paraId="4B78A633" w14:textId="77777777" w:rsidR="004664DE" w:rsidRPr="0012364D" w:rsidRDefault="004664DE">
      <w:pPr>
        <w:tabs>
          <w:tab w:val="left" w:pos="142"/>
          <w:tab w:val="left" w:pos="284"/>
        </w:tabs>
        <w:spacing w:after="160" w:line="360" w:lineRule="auto"/>
        <w:jc w:val="both"/>
        <w:rPr>
          <w:rFonts w:ascii="Palatino Linotype" w:eastAsia="Palatino Linotype" w:hAnsi="Palatino Linotype" w:cs="Palatino Linotype"/>
          <w:sz w:val="22"/>
          <w:szCs w:val="22"/>
        </w:rPr>
      </w:pPr>
    </w:p>
    <w:p w14:paraId="6E8CCD43" w14:textId="77777777" w:rsidR="004664DE" w:rsidRPr="0012364D" w:rsidRDefault="00A7108E">
      <w:pPr>
        <w:tabs>
          <w:tab w:val="left" w:pos="142"/>
          <w:tab w:val="left" w:pos="284"/>
        </w:tabs>
        <w:spacing w:after="160" w:line="276" w:lineRule="auto"/>
        <w:ind w:left="567" w:right="99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w:t>
      </w:r>
      <w:r w:rsidRPr="0012364D">
        <w:rPr>
          <w:rFonts w:ascii="Palatino Linotype" w:eastAsia="Palatino Linotype" w:hAnsi="Palatino Linotype" w:cs="Palatino Linotype"/>
          <w:b/>
          <w:i/>
          <w:sz w:val="22"/>
          <w:szCs w:val="22"/>
        </w:rPr>
        <w:t>Artículo 49.</w:t>
      </w:r>
      <w:r w:rsidRPr="0012364D">
        <w:rPr>
          <w:rFonts w:ascii="Palatino Linotype" w:eastAsia="Palatino Linotype" w:hAnsi="Palatino Linotype" w:cs="Palatino Linotype"/>
          <w:i/>
          <w:sz w:val="22"/>
          <w:szCs w:val="22"/>
        </w:rPr>
        <w:t xml:space="preserve"> </w:t>
      </w:r>
      <w:r w:rsidRPr="0012364D">
        <w:rPr>
          <w:rFonts w:ascii="Palatino Linotype" w:eastAsia="Palatino Linotype" w:hAnsi="Palatino Linotype" w:cs="Palatino Linotype"/>
          <w:b/>
          <w:i/>
          <w:sz w:val="22"/>
          <w:szCs w:val="22"/>
        </w:rPr>
        <w:t>Los Comités de Transparencia</w:t>
      </w:r>
      <w:r w:rsidRPr="0012364D">
        <w:rPr>
          <w:rFonts w:ascii="Palatino Linotype" w:eastAsia="Palatino Linotype" w:hAnsi="Palatino Linotype" w:cs="Palatino Linotype"/>
          <w:i/>
          <w:sz w:val="22"/>
          <w:szCs w:val="22"/>
        </w:rPr>
        <w:t xml:space="preserve"> tendrán las siguientes atribuciones:</w:t>
      </w:r>
    </w:p>
    <w:p w14:paraId="2AAB8245" w14:textId="77777777" w:rsidR="004664DE" w:rsidRPr="0012364D" w:rsidRDefault="00A7108E">
      <w:pPr>
        <w:tabs>
          <w:tab w:val="left" w:pos="142"/>
          <w:tab w:val="left" w:pos="284"/>
        </w:tabs>
        <w:spacing w:after="160" w:line="276" w:lineRule="auto"/>
        <w:ind w:left="567" w:right="990"/>
        <w:jc w:val="both"/>
        <w:rPr>
          <w:rFonts w:ascii="Palatino Linotype" w:eastAsia="Palatino Linotype" w:hAnsi="Palatino Linotype" w:cs="Palatino Linotype"/>
          <w:b/>
          <w:i/>
          <w:sz w:val="22"/>
          <w:szCs w:val="22"/>
        </w:rPr>
      </w:pPr>
      <w:r w:rsidRPr="0012364D">
        <w:rPr>
          <w:rFonts w:ascii="Palatino Linotype" w:eastAsia="Palatino Linotype" w:hAnsi="Palatino Linotype" w:cs="Palatino Linotype"/>
          <w:b/>
          <w:i/>
          <w:sz w:val="22"/>
          <w:szCs w:val="22"/>
        </w:rPr>
        <w:t>...</w:t>
      </w:r>
    </w:p>
    <w:p w14:paraId="10B15F5F" w14:textId="77777777" w:rsidR="004664DE" w:rsidRPr="0012364D" w:rsidRDefault="00A7108E">
      <w:pPr>
        <w:tabs>
          <w:tab w:val="left" w:pos="142"/>
          <w:tab w:val="left" w:pos="284"/>
        </w:tabs>
        <w:spacing w:after="160" w:line="276" w:lineRule="auto"/>
        <w:ind w:left="567" w:right="990"/>
        <w:jc w:val="both"/>
        <w:rPr>
          <w:rFonts w:ascii="Palatino Linotype" w:eastAsia="Palatino Linotype" w:hAnsi="Palatino Linotype" w:cs="Palatino Linotype"/>
          <w:b/>
          <w:i/>
          <w:sz w:val="22"/>
          <w:szCs w:val="22"/>
          <w:u w:val="single"/>
        </w:rPr>
      </w:pPr>
      <w:r w:rsidRPr="0012364D">
        <w:rPr>
          <w:rFonts w:ascii="Palatino Linotype" w:eastAsia="Palatino Linotype" w:hAnsi="Palatino Linotype" w:cs="Palatino Linotype"/>
          <w:b/>
          <w:i/>
          <w:sz w:val="22"/>
          <w:szCs w:val="22"/>
        </w:rPr>
        <w:t>II.</w:t>
      </w:r>
      <w:r w:rsidRPr="0012364D">
        <w:rPr>
          <w:rFonts w:ascii="Calibri" w:eastAsia="Calibri" w:hAnsi="Calibri" w:cs="Calibri"/>
          <w:sz w:val="22"/>
          <w:szCs w:val="22"/>
        </w:rPr>
        <w:t xml:space="preserve"> </w:t>
      </w:r>
      <w:r w:rsidRPr="0012364D">
        <w:rPr>
          <w:rFonts w:ascii="Palatino Linotype" w:eastAsia="Palatino Linotype" w:hAnsi="Palatino Linotype" w:cs="Palatino Linotype"/>
          <w:b/>
          <w:i/>
          <w:sz w:val="22"/>
          <w:szCs w:val="22"/>
        </w:rPr>
        <w:t>Confirmar, modificar o revocar</w:t>
      </w:r>
      <w:r w:rsidRPr="0012364D">
        <w:rPr>
          <w:rFonts w:ascii="Palatino Linotype" w:eastAsia="Palatino Linotype" w:hAnsi="Palatino Linotype" w:cs="Palatino Linotype"/>
          <w:i/>
          <w:sz w:val="22"/>
          <w:szCs w:val="22"/>
        </w:rPr>
        <w:t xml:space="preserve"> las determinaciones </w:t>
      </w:r>
      <w:proofErr w:type="gramStart"/>
      <w:r w:rsidRPr="0012364D">
        <w:rPr>
          <w:rFonts w:ascii="Palatino Linotype" w:eastAsia="Palatino Linotype" w:hAnsi="Palatino Linotype" w:cs="Palatino Linotype"/>
          <w:i/>
          <w:sz w:val="22"/>
          <w:szCs w:val="22"/>
        </w:rPr>
        <w:t>que</w:t>
      </w:r>
      <w:proofErr w:type="gramEnd"/>
      <w:r w:rsidRPr="0012364D">
        <w:rPr>
          <w:rFonts w:ascii="Palatino Linotype" w:eastAsia="Palatino Linotype" w:hAnsi="Palatino Linotype" w:cs="Palatino Linotype"/>
          <w:i/>
          <w:sz w:val="22"/>
          <w:szCs w:val="22"/>
        </w:rPr>
        <w:t xml:space="preserve"> en materia de ampliación del plazo de respuesta, clasificación de la información </w:t>
      </w:r>
      <w:r w:rsidRPr="0012364D">
        <w:rPr>
          <w:rFonts w:ascii="Palatino Linotype" w:eastAsia="Palatino Linotype" w:hAnsi="Palatino Linotype" w:cs="Palatino Linotype"/>
          <w:b/>
          <w:i/>
          <w:sz w:val="22"/>
          <w:szCs w:val="22"/>
        </w:rPr>
        <w:t>y declaración</w:t>
      </w:r>
      <w:r w:rsidRPr="0012364D">
        <w:rPr>
          <w:rFonts w:ascii="Palatino Linotype" w:eastAsia="Palatino Linotype" w:hAnsi="Palatino Linotype" w:cs="Palatino Linotype"/>
          <w:i/>
          <w:sz w:val="22"/>
          <w:szCs w:val="22"/>
        </w:rPr>
        <w:t xml:space="preserve"> de inexistencia o </w:t>
      </w:r>
      <w:r w:rsidRPr="0012364D">
        <w:rPr>
          <w:rFonts w:ascii="Palatino Linotype" w:eastAsia="Palatino Linotype" w:hAnsi="Palatino Linotype" w:cs="Palatino Linotype"/>
          <w:b/>
          <w:i/>
          <w:sz w:val="22"/>
          <w:szCs w:val="22"/>
        </w:rPr>
        <w:t>de incompetencia realicen los titulares de las áreas de los sujetos obligados;</w:t>
      </w:r>
    </w:p>
    <w:p w14:paraId="7FA46BDE" w14:textId="77777777" w:rsidR="004664DE" w:rsidRPr="0012364D" w:rsidRDefault="00A7108E">
      <w:pPr>
        <w:tabs>
          <w:tab w:val="left" w:pos="142"/>
          <w:tab w:val="left" w:pos="284"/>
        </w:tabs>
        <w:spacing w:after="160" w:line="276" w:lineRule="auto"/>
        <w:ind w:left="567" w:right="990"/>
        <w:jc w:val="both"/>
        <w:rPr>
          <w:rFonts w:ascii="Palatino Linotype" w:eastAsia="Palatino Linotype" w:hAnsi="Palatino Linotype" w:cs="Palatino Linotype"/>
          <w:b/>
          <w:i/>
          <w:sz w:val="22"/>
          <w:szCs w:val="22"/>
        </w:rPr>
      </w:pPr>
      <w:r w:rsidRPr="0012364D">
        <w:rPr>
          <w:rFonts w:ascii="Palatino Linotype" w:eastAsia="Palatino Linotype" w:hAnsi="Palatino Linotype" w:cs="Palatino Linotype"/>
          <w:b/>
          <w:i/>
          <w:sz w:val="22"/>
          <w:szCs w:val="22"/>
        </w:rPr>
        <w:t>...</w:t>
      </w:r>
    </w:p>
    <w:p w14:paraId="61CB11DE" w14:textId="77777777" w:rsidR="004664DE" w:rsidRPr="0012364D" w:rsidRDefault="00A7108E">
      <w:pPr>
        <w:tabs>
          <w:tab w:val="left" w:pos="142"/>
          <w:tab w:val="left" w:pos="284"/>
        </w:tabs>
        <w:spacing w:after="160" w:line="276" w:lineRule="auto"/>
        <w:ind w:left="567" w:right="990"/>
        <w:jc w:val="both"/>
        <w:rPr>
          <w:rFonts w:ascii="Palatino Linotype" w:eastAsia="Palatino Linotype" w:hAnsi="Palatino Linotype" w:cs="Palatino Linotype"/>
          <w:b/>
          <w:i/>
          <w:sz w:val="22"/>
          <w:szCs w:val="22"/>
        </w:rPr>
      </w:pPr>
      <w:r w:rsidRPr="0012364D">
        <w:rPr>
          <w:rFonts w:ascii="Palatino Linotype" w:eastAsia="Palatino Linotype" w:hAnsi="Palatino Linotype" w:cs="Palatino Linotype"/>
          <w:b/>
          <w:i/>
          <w:sz w:val="22"/>
          <w:szCs w:val="22"/>
        </w:rPr>
        <w:t>Artículo 167</w:t>
      </w:r>
      <w:r w:rsidRPr="0012364D">
        <w:rPr>
          <w:rFonts w:ascii="Palatino Linotype" w:eastAsia="Palatino Linotype" w:hAnsi="Palatino Linotype" w:cs="Palatino Linotype"/>
          <w:i/>
          <w:sz w:val="22"/>
          <w:szCs w:val="22"/>
        </w:rPr>
        <w:t xml:space="preserve">. </w:t>
      </w:r>
      <w:r w:rsidRPr="0012364D">
        <w:rPr>
          <w:rFonts w:ascii="Palatino Linotype" w:eastAsia="Palatino Linotype" w:hAnsi="Palatino Linotype" w:cs="Palatino Linotype"/>
          <w:b/>
          <w:i/>
          <w:sz w:val="22"/>
          <w:szCs w:val="22"/>
        </w:rPr>
        <w:t>Cuando las unidades de transparencia determinen la notoria incompetencia</w:t>
      </w:r>
      <w:r w:rsidRPr="0012364D">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12364D">
        <w:rPr>
          <w:rFonts w:ascii="Palatino Linotype" w:eastAsia="Palatino Linotype" w:hAnsi="Palatino Linotype" w:cs="Palatino Linotype"/>
          <w:b/>
          <w:i/>
          <w:sz w:val="22"/>
          <w:szCs w:val="22"/>
        </w:rPr>
        <w:t>deberán comunicarlo al solicitante, dentro de los tres días hábiles posteriores a la recepción de la solicitud</w:t>
      </w:r>
      <w:r w:rsidRPr="0012364D">
        <w:rPr>
          <w:rFonts w:ascii="Palatino Linotype" w:eastAsia="Palatino Linotype" w:hAnsi="Palatino Linotype" w:cs="Palatino Linotype"/>
          <w:i/>
          <w:sz w:val="22"/>
          <w:szCs w:val="22"/>
        </w:rPr>
        <w:t xml:space="preserve"> y, </w:t>
      </w:r>
      <w:r w:rsidRPr="0012364D">
        <w:rPr>
          <w:rFonts w:ascii="Palatino Linotype" w:eastAsia="Palatino Linotype" w:hAnsi="Palatino Linotype" w:cs="Palatino Linotype"/>
          <w:b/>
          <w:i/>
          <w:sz w:val="22"/>
          <w:szCs w:val="22"/>
        </w:rPr>
        <w:t>en su caso orientar al solicitante, el o los sujetos obligados competentes.</w:t>
      </w:r>
    </w:p>
    <w:p w14:paraId="467952FB" w14:textId="77777777" w:rsidR="004664DE" w:rsidRPr="0012364D" w:rsidRDefault="004664DE">
      <w:pPr>
        <w:tabs>
          <w:tab w:val="left" w:pos="142"/>
          <w:tab w:val="left" w:pos="284"/>
        </w:tabs>
        <w:spacing w:line="360" w:lineRule="auto"/>
        <w:ind w:left="567" w:right="990"/>
        <w:jc w:val="both"/>
        <w:rPr>
          <w:rFonts w:ascii="Palatino Linotype" w:eastAsia="Palatino Linotype" w:hAnsi="Palatino Linotype" w:cs="Palatino Linotype"/>
          <w:b/>
          <w:i/>
          <w:sz w:val="22"/>
          <w:szCs w:val="22"/>
        </w:rPr>
      </w:pPr>
    </w:p>
    <w:p w14:paraId="37713F26" w14:textId="77777777" w:rsidR="004664DE" w:rsidRPr="0012364D" w:rsidRDefault="00A7108E">
      <w:pPr>
        <w:tabs>
          <w:tab w:val="left" w:pos="142"/>
          <w:tab w:val="left" w:pos="284"/>
        </w:tabs>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De los preceptos citados se desprende que es atribución del Comité de Transparencia confirmar, modificar o revocar, en su caso, la declaración de incompetencia, en aquellos casos en los que no se trate de una notoria incompetencia, para lo cual deberán comunicarlo dentro de los tres días hábiles posteriores a la recepción de la solicitud y, en su caso, orientar al solicitante respecto de los sujetos obligados competentes. </w:t>
      </w:r>
    </w:p>
    <w:p w14:paraId="0E907817" w14:textId="77777777" w:rsidR="004664DE" w:rsidRPr="0012364D" w:rsidRDefault="004664DE">
      <w:pPr>
        <w:tabs>
          <w:tab w:val="left" w:pos="142"/>
          <w:tab w:val="left" w:pos="284"/>
        </w:tabs>
        <w:spacing w:line="360" w:lineRule="auto"/>
        <w:jc w:val="both"/>
        <w:rPr>
          <w:rFonts w:ascii="Palatino Linotype" w:eastAsia="Palatino Linotype" w:hAnsi="Palatino Linotype" w:cs="Palatino Linotype"/>
          <w:sz w:val="22"/>
          <w:szCs w:val="22"/>
        </w:rPr>
      </w:pPr>
    </w:p>
    <w:p w14:paraId="575BB151" w14:textId="77777777" w:rsidR="004664DE" w:rsidRPr="0012364D" w:rsidRDefault="00A7108E">
      <w:pPr>
        <w:spacing w:line="360" w:lineRule="auto"/>
        <w:ind w:right="18"/>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Como sustento de lo anterior, resulta aplicable el Criterio 20/20, emitido por el Instituto Nacional de Transparencia, Acceso a la Información, y Protección de Datos Personales, INAI, que lleva por rubro y texto los siguientes:  </w:t>
      </w:r>
    </w:p>
    <w:p w14:paraId="73AE5BA5" w14:textId="77777777" w:rsidR="004664DE" w:rsidRPr="0012364D" w:rsidRDefault="004664DE">
      <w:pPr>
        <w:spacing w:line="360" w:lineRule="auto"/>
        <w:ind w:left="851" w:right="900"/>
        <w:jc w:val="both"/>
        <w:rPr>
          <w:rFonts w:ascii="Palatino Linotype" w:eastAsia="Palatino Linotype" w:hAnsi="Palatino Linotype" w:cs="Palatino Linotype"/>
          <w:b/>
          <w:i/>
          <w:sz w:val="22"/>
          <w:szCs w:val="22"/>
        </w:rPr>
      </w:pPr>
    </w:p>
    <w:p w14:paraId="02FEC660" w14:textId="77777777" w:rsidR="004664DE" w:rsidRPr="0012364D" w:rsidRDefault="00A7108E">
      <w:pPr>
        <w:spacing w:after="160"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b/>
          <w:i/>
          <w:sz w:val="22"/>
          <w:szCs w:val="22"/>
        </w:rPr>
        <w:t>“Declaración de incompetencia por parte del Comité, cuando no sea notoria o manifiesta.</w:t>
      </w:r>
      <w:r w:rsidRPr="0012364D">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030D06E7" w14:textId="77777777" w:rsidR="004664DE" w:rsidRPr="0012364D" w:rsidRDefault="004664DE">
      <w:pPr>
        <w:spacing w:after="160" w:line="276" w:lineRule="auto"/>
        <w:ind w:left="567" w:right="900"/>
        <w:jc w:val="both"/>
        <w:rPr>
          <w:rFonts w:ascii="Palatino Linotype" w:eastAsia="Palatino Linotype" w:hAnsi="Palatino Linotype" w:cs="Palatino Linotype"/>
          <w:i/>
          <w:sz w:val="22"/>
          <w:szCs w:val="22"/>
        </w:rPr>
      </w:pPr>
    </w:p>
    <w:p w14:paraId="25CE7DF9" w14:textId="77777777" w:rsidR="004664DE" w:rsidRPr="0012364D" w:rsidRDefault="00A7108E">
      <w:pPr>
        <w:tabs>
          <w:tab w:val="left" w:pos="142"/>
          <w:tab w:val="left" w:pos="284"/>
        </w:tabs>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12364D">
        <w:rPr>
          <w:rFonts w:ascii="Palatino Linotype" w:eastAsia="Palatino Linotype" w:hAnsi="Palatino Linotype" w:cs="Palatino Linotype"/>
          <w:b/>
          <w:sz w:val="22"/>
          <w:szCs w:val="22"/>
        </w:rPr>
        <w:t xml:space="preserve"> </w:t>
      </w:r>
      <w:r w:rsidRPr="0012364D">
        <w:rPr>
          <w:rFonts w:ascii="Palatino Linotype" w:eastAsia="Palatino Linotype" w:hAnsi="Palatino Linotype" w:cs="Palatino Linotype"/>
          <w:sz w:val="22"/>
          <w:szCs w:val="22"/>
        </w:rPr>
        <w:t>duda razonable sobre la administración del documento materia de la solicitud de información, como se lee enseguida:</w:t>
      </w:r>
    </w:p>
    <w:p w14:paraId="7DC390D1" w14:textId="77777777" w:rsidR="004664DE" w:rsidRPr="0012364D" w:rsidRDefault="004664DE">
      <w:pPr>
        <w:tabs>
          <w:tab w:val="left" w:pos="142"/>
          <w:tab w:val="left" w:pos="284"/>
        </w:tabs>
        <w:spacing w:line="360" w:lineRule="auto"/>
        <w:jc w:val="both"/>
        <w:rPr>
          <w:rFonts w:ascii="Palatino Linotype" w:eastAsia="Palatino Linotype" w:hAnsi="Palatino Linotype" w:cs="Palatino Linotype"/>
          <w:sz w:val="22"/>
          <w:szCs w:val="22"/>
        </w:rPr>
      </w:pPr>
    </w:p>
    <w:p w14:paraId="5297928B" w14:textId="77777777" w:rsidR="004664DE" w:rsidRPr="0012364D" w:rsidRDefault="00A7108E">
      <w:pPr>
        <w:spacing w:line="276" w:lineRule="auto"/>
        <w:ind w:left="567" w:right="618"/>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12364D">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12364D">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12364D">
        <w:rPr>
          <w:rFonts w:ascii="Palatino Linotype" w:eastAsia="Palatino Linotype" w:hAnsi="Palatino Linotype" w:cs="Palatino Linotype"/>
          <w:b/>
          <w:i/>
          <w:sz w:val="22"/>
          <w:szCs w:val="22"/>
          <w:u w:val="single"/>
        </w:rPr>
        <w:t>impiden determinar dentro del término legal de tres días hábiles</w:t>
      </w:r>
      <w:r w:rsidRPr="0012364D">
        <w:rPr>
          <w:rFonts w:ascii="Palatino Linotype" w:eastAsia="Palatino Linotype" w:hAnsi="Palatino Linotype" w:cs="Palatino Linotype"/>
          <w:b/>
          <w:i/>
          <w:sz w:val="22"/>
          <w:szCs w:val="22"/>
        </w:rPr>
        <w:t xml:space="preserve">, si se posee o no la </w:t>
      </w:r>
      <w:r w:rsidRPr="0012364D">
        <w:rPr>
          <w:rFonts w:ascii="Palatino Linotype" w:eastAsia="Palatino Linotype" w:hAnsi="Palatino Linotype" w:cs="Palatino Linotype"/>
          <w:b/>
          <w:i/>
          <w:sz w:val="22"/>
          <w:szCs w:val="22"/>
        </w:rPr>
        <w:lastRenderedPageBreak/>
        <w:t>información por el Sujeto Obligado requerid</w:t>
      </w:r>
      <w:r w:rsidRPr="0012364D">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1BDDB8A3" w14:textId="77777777" w:rsidR="004664DE" w:rsidRPr="0012364D" w:rsidRDefault="004664DE">
      <w:pPr>
        <w:spacing w:line="360" w:lineRule="auto"/>
        <w:jc w:val="both"/>
        <w:rPr>
          <w:rFonts w:ascii="Palatino Linotype" w:eastAsia="Palatino Linotype" w:hAnsi="Palatino Linotype" w:cs="Palatino Linotype"/>
          <w:sz w:val="22"/>
          <w:szCs w:val="22"/>
        </w:rPr>
      </w:pPr>
    </w:p>
    <w:p w14:paraId="24010C66" w14:textId="77777777" w:rsidR="004664DE" w:rsidRPr="0012364D" w:rsidRDefault="00A7108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En esta consecución de ideas, si bien es </w:t>
      </w:r>
      <w:proofErr w:type="gramStart"/>
      <w:r w:rsidRPr="0012364D">
        <w:rPr>
          <w:rFonts w:ascii="Palatino Linotype" w:eastAsia="Palatino Linotype" w:hAnsi="Palatino Linotype" w:cs="Palatino Linotype"/>
          <w:sz w:val="22"/>
          <w:szCs w:val="22"/>
        </w:rPr>
        <w:t>cierto,  la</w:t>
      </w:r>
      <w:proofErr w:type="gramEnd"/>
      <w:r w:rsidRPr="0012364D">
        <w:rPr>
          <w:rFonts w:ascii="Palatino Linotype" w:eastAsia="Palatino Linotype" w:hAnsi="Palatino Linotype" w:cs="Palatino Linotype"/>
          <w:sz w:val="22"/>
          <w:szCs w:val="22"/>
        </w:rPr>
        <w:t xml:space="preserve"> Ley de la materia, prevé el supuesto de incompetencia para que los sujetos obligados den atención a solitudes de información, también lo es, que no se precisa en que consiste dicho concepto; al respecto, Cabanellas, Guillermo (1993), en el “Diccionario Jurídico Elemental” (p. 32 y 161), precisó los siguientes conceptos:</w:t>
      </w:r>
    </w:p>
    <w:p w14:paraId="57456DF5" w14:textId="77777777" w:rsidR="004664DE" w:rsidRPr="0012364D" w:rsidRDefault="004664D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1D984618" w14:textId="77777777" w:rsidR="004664DE" w:rsidRPr="0012364D" w:rsidRDefault="00A7108E">
      <w:pPr>
        <w:pBdr>
          <w:top w:val="nil"/>
          <w:left w:val="nil"/>
          <w:bottom w:val="nil"/>
          <w:right w:val="nil"/>
          <w:between w:val="nil"/>
        </w:pBdr>
        <w:tabs>
          <w:tab w:val="left" w:pos="567"/>
          <w:tab w:val="left" w:pos="851"/>
        </w:tabs>
        <w:spacing w:line="360" w:lineRule="auto"/>
        <w:ind w:left="284"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w:t>
      </w:r>
      <w:r w:rsidRPr="0012364D">
        <w:rPr>
          <w:rFonts w:ascii="Palatino Linotype" w:eastAsia="Palatino Linotype" w:hAnsi="Palatino Linotype" w:cs="Palatino Linotype"/>
          <w:sz w:val="22"/>
          <w:szCs w:val="22"/>
        </w:rPr>
        <w:tab/>
        <w:t>Competencia: La capacidad de una autoridad para conocer sobre una materia o asunto.</w:t>
      </w:r>
    </w:p>
    <w:p w14:paraId="75C5C462" w14:textId="77777777" w:rsidR="004664DE" w:rsidRPr="0012364D" w:rsidRDefault="00A7108E">
      <w:pPr>
        <w:pBdr>
          <w:top w:val="nil"/>
          <w:left w:val="nil"/>
          <w:bottom w:val="nil"/>
          <w:right w:val="nil"/>
          <w:between w:val="nil"/>
        </w:pBdr>
        <w:tabs>
          <w:tab w:val="left" w:pos="567"/>
          <w:tab w:val="left" w:pos="851"/>
        </w:tabs>
        <w:spacing w:line="360" w:lineRule="auto"/>
        <w:ind w:left="284"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w:t>
      </w:r>
      <w:r w:rsidRPr="0012364D">
        <w:rPr>
          <w:rFonts w:ascii="Palatino Linotype" w:eastAsia="Palatino Linotype" w:hAnsi="Palatino Linotype" w:cs="Palatino Linotype"/>
          <w:sz w:val="22"/>
          <w:szCs w:val="22"/>
        </w:rPr>
        <w:tab/>
        <w:t>Incompetencia: Falta de Competencia.</w:t>
      </w:r>
    </w:p>
    <w:p w14:paraId="3F0BD03F" w14:textId="77777777" w:rsidR="004664DE" w:rsidRPr="0012364D" w:rsidRDefault="004664DE">
      <w:pPr>
        <w:pBdr>
          <w:top w:val="nil"/>
          <w:left w:val="nil"/>
          <w:bottom w:val="nil"/>
          <w:right w:val="nil"/>
          <w:between w:val="nil"/>
        </w:pBdr>
        <w:tabs>
          <w:tab w:val="left" w:pos="567"/>
          <w:tab w:val="left" w:pos="851"/>
        </w:tabs>
        <w:spacing w:line="360" w:lineRule="auto"/>
        <w:ind w:left="284" w:right="49"/>
        <w:jc w:val="both"/>
        <w:rPr>
          <w:rFonts w:ascii="Palatino Linotype" w:eastAsia="Palatino Linotype" w:hAnsi="Palatino Linotype" w:cs="Palatino Linotype"/>
          <w:sz w:val="22"/>
          <w:szCs w:val="22"/>
        </w:rPr>
      </w:pPr>
    </w:p>
    <w:p w14:paraId="4340E943" w14:textId="77777777" w:rsidR="004664DE" w:rsidRPr="0012364D" w:rsidRDefault="00A7108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Por lo que, la incompetencia radica en la incapacidad de una autoridad para conocer de un tema o asunto; en el mismo sentido, conviene traer a cuenta tesis aislada número III.2o.P.11 K, publicada en el Semanario Judicial de la Federación y su Gaceta, Novena Época, Tomo XV, </w:t>
      </w:r>
      <w:proofErr w:type="gramStart"/>
      <w:r w:rsidRPr="0012364D">
        <w:rPr>
          <w:rFonts w:ascii="Palatino Linotype" w:eastAsia="Palatino Linotype" w:hAnsi="Palatino Linotype" w:cs="Palatino Linotype"/>
          <w:sz w:val="22"/>
          <w:szCs w:val="22"/>
        </w:rPr>
        <w:t>Mayo</w:t>
      </w:r>
      <w:proofErr w:type="gramEnd"/>
      <w:r w:rsidRPr="0012364D">
        <w:rPr>
          <w:rFonts w:ascii="Palatino Linotype" w:eastAsia="Palatino Linotype" w:hAnsi="Palatino Linotype" w:cs="Palatino Linotype"/>
          <w:sz w:val="22"/>
          <w:szCs w:val="22"/>
        </w:rPr>
        <w:t xml:space="preserve"> de 2002, Pág. 1243, ya que precisa lo siguiente: </w:t>
      </w:r>
    </w:p>
    <w:p w14:paraId="2C418A28" w14:textId="77777777" w:rsidR="004664DE" w:rsidRPr="0012364D" w:rsidRDefault="004664D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95DD9B3" w14:textId="77777777" w:rsidR="004664DE" w:rsidRPr="0012364D" w:rsidRDefault="00A7108E">
      <w:pPr>
        <w:pBdr>
          <w:top w:val="nil"/>
          <w:left w:val="nil"/>
          <w:bottom w:val="nil"/>
          <w:right w:val="nil"/>
          <w:between w:val="nil"/>
        </w:pBdr>
        <w:spacing w:after="120" w:line="259" w:lineRule="auto"/>
        <w:ind w:left="851" w:right="851"/>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w:t>
      </w:r>
      <w:r w:rsidRPr="0012364D">
        <w:rPr>
          <w:rFonts w:ascii="Palatino Linotype" w:eastAsia="Palatino Linotype" w:hAnsi="Palatino Linotype" w:cs="Palatino Linotype"/>
          <w:b/>
          <w:i/>
          <w:sz w:val="22"/>
          <w:szCs w:val="22"/>
        </w:rPr>
        <w:t>LEGITIMACIÓN DE FUNCIONARIOS PÚBLICOS. LOS TRIBUNALES DE AMPARO, POR ESTAR VINCULADOS CON EL CONCEPTO DE COMPETENCIA A QUE SE REFIERE EL ARTÍCULO 16 CONSTITUCIONAL, NO PUEDEN CONOCER DE AQUÉLLA.</w:t>
      </w:r>
      <w:r w:rsidRPr="0012364D">
        <w:rPr>
          <w:rFonts w:ascii="Palatino Linotype" w:eastAsia="Palatino Linotype" w:hAnsi="Palatino Linotype" w:cs="Palatino Linotype"/>
          <w:i/>
          <w:sz w:val="22"/>
          <w:szCs w:val="22"/>
        </w:rPr>
        <w:t xml:space="preserve"> 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50759892" w14:textId="77777777" w:rsidR="004664DE" w:rsidRPr="0012364D" w:rsidRDefault="004664DE">
      <w:pPr>
        <w:pBdr>
          <w:top w:val="nil"/>
          <w:left w:val="nil"/>
          <w:bottom w:val="nil"/>
          <w:right w:val="nil"/>
          <w:between w:val="nil"/>
        </w:pBdr>
        <w:spacing w:before="120" w:after="120" w:line="259" w:lineRule="auto"/>
        <w:ind w:left="851" w:right="851"/>
        <w:jc w:val="both"/>
        <w:rPr>
          <w:rFonts w:ascii="Palatino Linotype" w:eastAsia="Palatino Linotype" w:hAnsi="Palatino Linotype" w:cs="Palatino Linotype"/>
          <w:i/>
          <w:sz w:val="22"/>
          <w:szCs w:val="22"/>
        </w:rPr>
      </w:pPr>
    </w:p>
    <w:p w14:paraId="4A6AEC22" w14:textId="77777777" w:rsidR="004664DE" w:rsidRPr="0012364D" w:rsidRDefault="00A7108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Asimismo, resulta necesario traer a colación, el Criterio 13/17, emitido por el Instituto Nacional de Transparencia, Acceso a la Información y Protección de Datos Personales, que dispone lo siguiente: </w:t>
      </w:r>
    </w:p>
    <w:p w14:paraId="02F1BF0E" w14:textId="77777777" w:rsidR="004664DE" w:rsidRPr="0012364D" w:rsidRDefault="004664DE">
      <w:pPr>
        <w:spacing w:line="360" w:lineRule="auto"/>
        <w:jc w:val="both"/>
        <w:rPr>
          <w:rFonts w:ascii="Palatino Linotype" w:eastAsia="Palatino Linotype" w:hAnsi="Palatino Linotype" w:cs="Palatino Linotype"/>
          <w:sz w:val="22"/>
          <w:szCs w:val="22"/>
        </w:rPr>
      </w:pPr>
    </w:p>
    <w:p w14:paraId="0F3B2261" w14:textId="77777777" w:rsidR="004664DE" w:rsidRPr="0012364D" w:rsidRDefault="00A7108E">
      <w:pPr>
        <w:spacing w:line="276" w:lineRule="auto"/>
        <w:ind w:left="851" w:right="851"/>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b/>
          <w:i/>
          <w:sz w:val="22"/>
          <w:szCs w:val="22"/>
        </w:rPr>
        <w:t>“Incompetencia.</w:t>
      </w:r>
      <w:r w:rsidRPr="0012364D">
        <w:rPr>
          <w:rFonts w:ascii="Palatino Linotype" w:eastAsia="Palatino Linotype" w:hAnsi="Palatino Linotype" w:cs="Palatino Linotype"/>
          <w:i/>
          <w:sz w:val="22"/>
          <w:szCs w:val="22"/>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6AA28FBF" w14:textId="77777777" w:rsidR="004664DE" w:rsidRPr="0012364D" w:rsidRDefault="004664DE">
      <w:pPr>
        <w:widowControl w:val="0"/>
        <w:tabs>
          <w:tab w:val="left" w:pos="1276"/>
        </w:tabs>
        <w:spacing w:line="360" w:lineRule="auto"/>
        <w:jc w:val="both"/>
        <w:rPr>
          <w:rFonts w:ascii="Palatino Linotype" w:eastAsia="Palatino Linotype" w:hAnsi="Palatino Linotype" w:cs="Palatino Linotype"/>
          <w:sz w:val="22"/>
          <w:szCs w:val="22"/>
        </w:rPr>
      </w:pPr>
    </w:p>
    <w:p w14:paraId="79717F2E" w14:textId="77777777" w:rsidR="004664DE" w:rsidRPr="0012364D" w:rsidRDefault="00A7108E">
      <w:pPr>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En tal virtud, la </w:t>
      </w:r>
      <w:r w:rsidRPr="0012364D">
        <w:rPr>
          <w:rFonts w:ascii="Palatino Linotype" w:eastAsia="Palatino Linotype" w:hAnsi="Palatino Linotype" w:cs="Palatino Linotype"/>
          <w:b/>
          <w:sz w:val="22"/>
          <w:szCs w:val="22"/>
        </w:rPr>
        <w:t xml:space="preserve">incompetencia </w:t>
      </w:r>
      <w:r w:rsidRPr="0012364D">
        <w:rPr>
          <w:rFonts w:ascii="Palatino Linotype" w:eastAsia="Palatino Linotype" w:hAnsi="Palatino Linotype" w:cs="Palatino Linotype"/>
          <w:sz w:val="22"/>
          <w:szCs w:val="22"/>
        </w:rPr>
        <w:t>implica que, de conformidad con las atribuciones conferidas al sujeto obligado, no habría razón por la cual este deba contar con la información solicitada, en cuyo caso, tendría que orientar al particular para que acuda a la instancia competente.</w:t>
      </w:r>
    </w:p>
    <w:p w14:paraId="1228FE07"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lastRenderedPageBreak/>
        <w:t xml:space="preserve">Continuando con nuestro análisis, debemos recordar que en las razones o motivos de inconformidad, </w:t>
      </w:r>
      <w:r w:rsidRPr="0012364D">
        <w:rPr>
          <w:rFonts w:ascii="Palatino Linotype" w:eastAsia="Palatino Linotype" w:hAnsi="Palatino Linotype" w:cs="Palatino Linotype"/>
          <w:b/>
          <w:sz w:val="22"/>
          <w:szCs w:val="22"/>
        </w:rPr>
        <w:t>la parte Recurrente</w:t>
      </w:r>
      <w:r w:rsidRPr="0012364D">
        <w:rPr>
          <w:rFonts w:ascii="Palatino Linotype" w:eastAsia="Palatino Linotype" w:hAnsi="Palatino Linotype" w:cs="Palatino Linotype"/>
          <w:sz w:val="22"/>
          <w:szCs w:val="22"/>
        </w:rPr>
        <w:t xml:space="preserve"> impugna que el Organismo Público Descentralizado para la Prestación de los Servicios de Agua Potable, Alcantarillado y Saneamiento del Municipio de Naucalpan no atendió el requerimiento de información de </w:t>
      </w:r>
      <w:r w:rsidRPr="0012364D">
        <w:rPr>
          <w:rFonts w:ascii="Palatino Linotype" w:eastAsia="Palatino Linotype" w:hAnsi="Palatino Linotype" w:cs="Palatino Linotype"/>
          <w:b/>
          <w:sz w:val="22"/>
          <w:szCs w:val="22"/>
        </w:rPr>
        <w:t xml:space="preserve">la parte Recurrente, </w:t>
      </w:r>
      <w:r w:rsidRPr="0012364D">
        <w:rPr>
          <w:rFonts w:ascii="Palatino Linotype" w:eastAsia="Palatino Linotype" w:hAnsi="Palatino Linotype" w:cs="Palatino Linotype"/>
          <w:sz w:val="22"/>
          <w:szCs w:val="22"/>
        </w:rPr>
        <w:t>sin embargo, de</w:t>
      </w:r>
      <w:r w:rsidRPr="0012364D">
        <w:rPr>
          <w:rFonts w:ascii="Palatino Linotype" w:eastAsia="Palatino Linotype" w:hAnsi="Palatino Linotype" w:cs="Palatino Linotype"/>
          <w:b/>
          <w:sz w:val="22"/>
          <w:szCs w:val="22"/>
        </w:rPr>
        <w:t xml:space="preserve"> </w:t>
      </w:r>
      <w:r w:rsidRPr="0012364D">
        <w:rPr>
          <w:rFonts w:ascii="Palatino Linotype" w:eastAsia="Palatino Linotype" w:hAnsi="Palatino Linotype" w:cs="Palatino Linotype"/>
          <w:sz w:val="22"/>
          <w:szCs w:val="22"/>
        </w:rPr>
        <w:t>una consulta realizada por este Instituto al padrón de sujetos obligados, se observa que el Ayuntamiento de Naucalpan de Juárez y el Organismo Público Descentralizado para la Prestación de los Servicios de Agua Potable, Alcantarillado y Saneamiento del Municipio de Naucalpan son sujetos obligados diversos:</w:t>
      </w:r>
    </w:p>
    <w:p w14:paraId="49A5FED3"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noProof/>
          <w:sz w:val="22"/>
          <w:szCs w:val="22"/>
          <w:lang w:val="es-MX"/>
        </w:rPr>
        <w:drawing>
          <wp:inline distT="0" distB="0" distL="0" distR="0" wp14:anchorId="08492441" wp14:editId="790084DC">
            <wp:extent cx="5612130" cy="347980"/>
            <wp:effectExtent l="0" t="0" r="0" b="0"/>
            <wp:docPr id="3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612130" cy="347980"/>
                    </a:xfrm>
                    <a:prstGeom prst="rect">
                      <a:avLst/>
                    </a:prstGeom>
                    <a:ln/>
                  </pic:spPr>
                </pic:pic>
              </a:graphicData>
            </a:graphic>
          </wp:inline>
        </w:drawing>
      </w:r>
    </w:p>
    <w:p w14:paraId="002DCBE8"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noProof/>
          <w:sz w:val="22"/>
          <w:szCs w:val="22"/>
          <w:lang w:val="es-MX"/>
        </w:rPr>
        <w:drawing>
          <wp:inline distT="0" distB="0" distL="0" distR="0" wp14:anchorId="23F5F56B" wp14:editId="2DD4C956">
            <wp:extent cx="5612130" cy="412750"/>
            <wp:effectExtent l="0" t="0" r="0" b="0"/>
            <wp:docPr id="3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612130" cy="412750"/>
                    </a:xfrm>
                    <a:prstGeom prst="rect">
                      <a:avLst/>
                    </a:prstGeom>
                    <a:ln/>
                  </pic:spPr>
                </pic:pic>
              </a:graphicData>
            </a:graphic>
          </wp:inline>
        </w:drawing>
      </w:r>
    </w:p>
    <w:p w14:paraId="77F4424B"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noProof/>
          <w:sz w:val="22"/>
          <w:szCs w:val="22"/>
          <w:lang w:val="es-MX"/>
        </w:rPr>
        <w:drawing>
          <wp:inline distT="0" distB="0" distL="0" distR="0" wp14:anchorId="573CBC50" wp14:editId="50111B42">
            <wp:extent cx="5612130" cy="488950"/>
            <wp:effectExtent l="0" t="0" r="0" b="0"/>
            <wp:docPr id="3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2130" cy="488950"/>
                    </a:xfrm>
                    <a:prstGeom prst="rect">
                      <a:avLst/>
                    </a:prstGeom>
                    <a:ln/>
                  </pic:spPr>
                </pic:pic>
              </a:graphicData>
            </a:graphic>
          </wp:inline>
        </w:drawing>
      </w:r>
    </w:p>
    <w:p w14:paraId="70A02E3B" w14:textId="77777777" w:rsidR="004664DE" w:rsidRPr="0012364D" w:rsidRDefault="00A7108E">
      <w:pPr>
        <w:spacing w:line="360" w:lineRule="auto"/>
        <w:ind w:right="-147"/>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Conforme a lo anterior, se advierte que </w:t>
      </w:r>
      <w:r w:rsidRPr="0012364D">
        <w:rPr>
          <w:rFonts w:ascii="Palatino Linotype" w:eastAsia="Palatino Linotype" w:hAnsi="Palatino Linotype" w:cs="Palatino Linotype"/>
          <w:b/>
          <w:sz w:val="22"/>
          <w:szCs w:val="22"/>
        </w:rPr>
        <w:t>el Sujeto Obligado</w:t>
      </w:r>
      <w:r w:rsidRPr="0012364D">
        <w:rPr>
          <w:rFonts w:ascii="Palatino Linotype" w:eastAsia="Palatino Linotype" w:hAnsi="Palatino Linotype" w:cs="Palatino Linotype"/>
          <w:sz w:val="22"/>
          <w:szCs w:val="22"/>
        </w:rPr>
        <w:t xml:space="preserve"> no tiene atribuciones para contar con la información peticionada, toda vez que es información de un sujeto obligado diverso es decir del Organismo Público Descentralizado para la Prestación de los Servicios de Agua Potable, Alcantarillado y Saneamiento del Municipio de Naucalpan.</w:t>
      </w:r>
    </w:p>
    <w:p w14:paraId="4C1A86BE"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Bajo este orden de ideas, debemos recordar que 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no declaró su incompetencia para atender la solicitud de información fuera de los plazos establecidos por la normatividad, por lo tanto, </w:t>
      </w:r>
      <w:r w:rsidRPr="0012364D">
        <w:rPr>
          <w:rFonts w:ascii="Palatino Linotype" w:eastAsia="Palatino Linotype" w:hAnsi="Palatino Linotype" w:cs="Palatino Linotype"/>
          <w:b/>
          <w:sz w:val="22"/>
          <w:szCs w:val="22"/>
        </w:rPr>
        <w:t>no observó el plazo para declarar la incompetencia</w:t>
      </w:r>
      <w:r w:rsidRPr="0012364D">
        <w:rPr>
          <w:rFonts w:ascii="Palatino Linotype" w:eastAsia="Palatino Linotype" w:hAnsi="Palatino Linotype" w:cs="Palatino Linotype"/>
          <w:sz w:val="22"/>
          <w:szCs w:val="22"/>
        </w:rPr>
        <w:t xml:space="preserve"> en términos del artículo 167 de la Ley de Transparencia Local, tal como se observa a continuación: </w:t>
      </w:r>
    </w:p>
    <w:p w14:paraId="30B003DC" w14:textId="77777777" w:rsidR="004664DE" w:rsidRPr="0012364D" w:rsidRDefault="00A7108E">
      <w:pPr>
        <w:spacing w:before="240" w:after="240" w:line="360" w:lineRule="auto"/>
        <w:jc w:val="center"/>
        <w:rPr>
          <w:rFonts w:ascii="Palatino Linotype" w:eastAsia="Palatino Linotype" w:hAnsi="Palatino Linotype" w:cs="Palatino Linotype"/>
        </w:rPr>
      </w:pPr>
      <w:r w:rsidRPr="0012364D">
        <w:rPr>
          <w:rFonts w:ascii="Palatino Linotype" w:eastAsia="Palatino Linotype" w:hAnsi="Palatino Linotype" w:cs="Palatino Linotype"/>
          <w:noProof/>
          <w:lang w:val="es-MX"/>
        </w:rPr>
        <w:lastRenderedPageBreak/>
        <w:drawing>
          <wp:inline distT="0" distB="0" distL="0" distR="0" wp14:anchorId="3B4F96C8" wp14:editId="77584E65">
            <wp:extent cx="2934109" cy="1038370"/>
            <wp:effectExtent l="0" t="0" r="0" b="0"/>
            <wp:docPr id="3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934109" cy="1038370"/>
                    </a:xfrm>
                    <a:prstGeom prst="rect">
                      <a:avLst/>
                    </a:prstGeom>
                    <a:ln/>
                  </pic:spPr>
                </pic:pic>
              </a:graphicData>
            </a:graphic>
          </wp:inline>
        </w:drawing>
      </w:r>
    </w:p>
    <w:p w14:paraId="6B90EAC8" w14:textId="77777777" w:rsidR="004664DE" w:rsidRPr="0012364D" w:rsidRDefault="00A7108E">
      <w:pPr>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Así las cosas, en el presente caso, el </w:t>
      </w:r>
      <w:r w:rsidRPr="0012364D">
        <w:rPr>
          <w:rFonts w:ascii="Palatino Linotype" w:eastAsia="Palatino Linotype" w:hAnsi="Palatino Linotype" w:cs="Palatino Linotype"/>
          <w:b/>
          <w:sz w:val="22"/>
          <w:szCs w:val="22"/>
        </w:rPr>
        <w:t xml:space="preserve">Sujeto Obligado no manifestó la incompetencia </w:t>
      </w:r>
      <w:r w:rsidRPr="0012364D">
        <w:rPr>
          <w:rFonts w:ascii="Palatino Linotype" w:eastAsia="Palatino Linotype" w:hAnsi="Palatino Linotype" w:cs="Palatino Linotype"/>
          <w:sz w:val="22"/>
          <w:szCs w:val="22"/>
        </w:rPr>
        <w:t xml:space="preserve">para atender la solicitud dentro del plazo establecido para ello, en este sentido, resulta aplicable lo dispuesto por los artículos 49, fracción II, 53, fracción III y 167 de la Ley de Transparencia y Acceso a la Información Pública del Estado de México y Municipios, de los cuales se desprende que las </w:t>
      </w:r>
      <w:r w:rsidRPr="0012364D">
        <w:rPr>
          <w:rFonts w:ascii="Palatino Linotype" w:eastAsia="Palatino Linotype" w:hAnsi="Palatino Linotype" w:cs="Palatino Linotype"/>
          <w:b/>
          <w:sz w:val="22"/>
          <w:szCs w:val="22"/>
        </w:rPr>
        <w:t>Unidades de Transparencia son responsables de orientar a los particulares respecto de la dependencia, entidad u órgano que pudiera tener la información requerida, cuando la misma no sea competencia del sujeto obligado ante el cual se formule la solicitud de acceso</w:t>
      </w:r>
      <w:r w:rsidRPr="0012364D">
        <w:rPr>
          <w:rFonts w:ascii="Palatino Linotype" w:eastAsia="Palatino Linotype" w:hAnsi="Palatino Linotype" w:cs="Palatino Linotype"/>
          <w:sz w:val="22"/>
          <w:szCs w:val="22"/>
        </w:rPr>
        <w:t>.</w:t>
      </w:r>
    </w:p>
    <w:p w14:paraId="318BEF05" w14:textId="77777777" w:rsidR="004664DE" w:rsidRPr="0012364D" w:rsidRDefault="004664DE">
      <w:pPr>
        <w:spacing w:line="360" w:lineRule="auto"/>
        <w:jc w:val="both"/>
        <w:rPr>
          <w:rFonts w:ascii="Palatino Linotype" w:eastAsia="Palatino Linotype" w:hAnsi="Palatino Linotype" w:cs="Palatino Linotype"/>
          <w:sz w:val="22"/>
          <w:szCs w:val="22"/>
        </w:rPr>
      </w:pPr>
    </w:p>
    <w:p w14:paraId="605D701A" w14:textId="77777777" w:rsidR="004664DE" w:rsidRPr="0012364D" w:rsidRDefault="00A7108E">
      <w:pPr>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No </w:t>
      </w:r>
      <w:proofErr w:type="gramStart"/>
      <w:r w:rsidRPr="0012364D">
        <w:rPr>
          <w:rFonts w:ascii="Palatino Linotype" w:eastAsia="Palatino Linotype" w:hAnsi="Palatino Linotype" w:cs="Palatino Linotype"/>
          <w:sz w:val="22"/>
          <w:szCs w:val="22"/>
        </w:rPr>
        <w:t>obstante</w:t>
      </w:r>
      <w:proofErr w:type="gramEnd"/>
      <w:r w:rsidRPr="0012364D">
        <w:rPr>
          <w:rFonts w:ascii="Palatino Linotype" w:eastAsia="Palatino Linotype" w:hAnsi="Palatino Linotype" w:cs="Palatino Linotype"/>
          <w:sz w:val="22"/>
          <w:szCs w:val="22"/>
        </w:rPr>
        <w:t xml:space="preserve"> lo anterior, de la revisión al Reglamento Orgánico del Organismo Público Descentralizado para la Prestación de los Servicios de Agua Potable, Alcantarillado y Saneamiento del Municipio de Naucalpan, se advierte la competencia expresa para generar, poseer y/o administrar la información relativa a la factibilidad otorgada al predio referido, ello mediante un área denominada Subgerencia de Factibilidades, tal como se acredita en la siguiente cita:</w:t>
      </w:r>
    </w:p>
    <w:p w14:paraId="7BA274C0" w14:textId="77777777" w:rsidR="004664DE" w:rsidRPr="0012364D" w:rsidRDefault="004664DE">
      <w:pPr>
        <w:spacing w:line="360" w:lineRule="auto"/>
        <w:jc w:val="both"/>
        <w:rPr>
          <w:rFonts w:ascii="Palatino Linotype" w:eastAsia="Palatino Linotype" w:hAnsi="Palatino Linotype" w:cs="Palatino Linotype"/>
          <w:sz w:val="22"/>
          <w:szCs w:val="22"/>
        </w:rPr>
      </w:pPr>
    </w:p>
    <w:p w14:paraId="2265EBC1" w14:textId="77777777" w:rsidR="004664DE" w:rsidRPr="0012364D" w:rsidRDefault="00A7108E">
      <w:pPr>
        <w:spacing w:line="276" w:lineRule="auto"/>
        <w:ind w:left="567"/>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“CAPÍTULO QUINTO</w:t>
      </w:r>
    </w:p>
    <w:p w14:paraId="3B120449" w14:textId="77777777" w:rsidR="004664DE" w:rsidRPr="0012364D" w:rsidRDefault="00A7108E">
      <w:pPr>
        <w:spacing w:line="276" w:lineRule="auto"/>
        <w:ind w:left="567"/>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DE LA SUBGERENCIA DE FACTIBILIDADES.</w:t>
      </w:r>
    </w:p>
    <w:p w14:paraId="3D3B2EB3" w14:textId="77777777" w:rsidR="004664DE" w:rsidRPr="0012364D" w:rsidRDefault="00A7108E">
      <w:pPr>
        <w:spacing w:line="276" w:lineRule="auto"/>
        <w:ind w:left="567" w:right="900"/>
        <w:jc w:val="both"/>
        <w:rPr>
          <w:rFonts w:ascii="Palatino Linotype" w:eastAsia="Palatino Linotype" w:hAnsi="Palatino Linotype" w:cs="Palatino Linotype"/>
          <w:b/>
          <w:i/>
          <w:sz w:val="22"/>
          <w:szCs w:val="22"/>
        </w:rPr>
      </w:pPr>
      <w:r w:rsidRPr="0012364D">
        <w:rPr>
          <w:rFonts w:ascii="Palatino Linotype" w:eastAsia="Palatino Linotype" w:hAnsi="Palatino Linotype" w:cs="Palatino Linotype"/>
          <w:b/>
          <w:i/>
          <w:sz w:val="22"/>
          <w:szCs w:val="22"/>
        </w:rPr>
        <w:t xml:space="preserve">Artículo 33.- La Subgerencia de Factibilidades, será encargada de determinar y proponer al comité de Factibilidades la Factibilidad Única de Servicios (FUS) para el otorgamiento del servicio a nuevos fraccionamientos y conjuntos habitacionales, subdivisiones, cambios de uso de suelo, comerciales, industriales, servicios o mixtos, considerando la </w:t>
      </w:r>
      <w:r w:rsidRPr="0012364D">
        <w:rPr>
          <w:rFonts w:ascii="Palatino Linotype" w:eastAsia="Palatino Linotype" w:hAnsi="Palatino Linotype" w:cs="Palatino Linotype"/>
          <w:b/>
          <w:i/>
          <w:sz w:val="22"/>
          <w:szCs w:val="22"/>
        </w:rPr>
        <w:lastRenderedPageBreak/>
        <w:t>disponibilidad del agua y de la existencia de infraestructura hidráulica y sanitaria para su prestación, quien cuidará en todo momento el interés general.</w:t>
      </w:r>
    </w:p>
    <w:p w14:paraId="227B5C20" w14:textId="77777777" w:rsidR="004664DE" w:rsidRPr="0012364D" w:rsidRDefault="004664DE">
      <w:pPr>
        <w:spacing w:line="276" w:lineRule="auto"/>
        <w:ind w:left="567" w:right="900"/>
        <w:jc w:val="both"/>
        <w:rPr>
          <w:rFonts w:ascii="Palatino Linotype" w:eastAsia="Palatino Linotype" w:hAnsi="Palatino Linotype" w:cs="Palatino Linotype"/>
          <w:b/>
          <w:i/>
          <w:sz w:val="22"/>
          <w:szCs w:val="22"/>
        </w:rPr>
      </w:pPr>
    </w:p>
    <w:p w14:paraId="7189FBF5" w14:textId="77777777" w:rsidR="004664DE" w:rsidRPr="0012364D" w:rsidRDefault="00A7108E">
      <w:pPr>
        <w:spacing w:line="276" w:lineRule="auto"/>
        <w:ind w:left="567" w:right="900"/>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Estará a cargo de un Titular cuyo puesto se denominará Subgerente de Factibilidades, quien responderá directamente del desempeño de sus funciones ante el </w:t>
      </w:r>
      <w:proofErr w:type="gramStart"/>
      <w:r w:rsidRPr="0012364D">
        <w:rPr>
          <w:rFonts w:ascii="Palatino Linotype" w:eastAsia="Palatino Linotype" w:hAnsi="Palatino Linotype" w:cs="Palatino Linotype"/>
          <w:i/>
          <w:sz w:val="22"/>
          <w:szCs w:val="22"/>
        </w:rPr>
        <w:t>Director General</w:t>
      </w:r>
      <w:proofErr w:type="gramEnd"/>
      <w:r w:rsidRPr="0012364D">
        <w:rPr>
          <w:rFonts w:ascii="Palatino Linotype" w:eastAsia="Palatino Linotype" w:hAnsi="Palatino Linotype" w:cs="Palatino Linotype"/>
          <w:i/>
          <w:sz w:val="22"/>
          <w:szCs w:val="22"/>
        </w:rPr>
        <w:t>, quien para el ejercicio de sus funciones contará con las atribuciones siguientes:</w:t>
      </w:r>
    </w:p>
    <w:p w14:paraId="5593D905" w14:textId="77777777" w:rsidR="004664DE" w:rsidRPr="0012364D" w:rsidRDefault="00A7108E">
      <w:pPr>
        <w:spacing w:line="276" w:lineRule="auto"/>
        <w:ind w:left="567" w:right="900"/>
        <w:jc w:val="both"/>
        <w:rPr>
          <w:rFonts w:ascii="Palatino Linotype" w:eastAsia="Palatino Linotype" w:hAnsi="Palatino Linotype" w:cs="Palatino Linotype"/>
          <w:b/>
          <w:i/>
          <w:sz w:val="22"/>
          <w:szCs w:val="22"/>
        </w:rPr>
      </w:pPr>
      <w:r w:rsidRPr="0012364D">
        <w:rPr>
          <w:rFonts w:ascii="Palatino Linotype" w:eastAsia="Palatino Linotype" w:hAnsi="Palatino Linotype" w:cs="Palatino Linotype"/>
          <w:b/>
          <w:i/>
          <w:sz w:val="22"/>
          <w:szCs w:val="22"/>
        </w:rPr>
        <w:t>I. Atender las solicitudes de factibilidad única de servicios (FUS), cédula informativa, hidráulica y sanitaria y visto bueno para el tendido de redes, previa verificación la documentación respectiva y llenado del formato correspondiente;</w:t>
      </w:r>
    </w:p>
    <w:p w14:paraId="23F967C4" w14:textId="77777777" w:rsidR="004664DE" w:rsidRPr="0012364D" w:rsidRDefault="00A7108E">
      <w:pPr>
        <w:spacing w:line="276" w:lineRule="auto"/>
        <w:ind w:left="567" w:right="900"/>
        <w:jc w:val="both"/>
        <w:rPr>
          <w:rFonts w:ascii="Palatino Linotype" w:eastAsia="Palatino Linotype" w:hAnsi="Palatino Linotype" w:cs="Palatino Linotype"/>
          <w:b/>
          <w:i/>
          <w:sz w:val="22"/>
          <w:szCs w:val="22"/>
        </w:rPr>
      </w:pPr>
      <w:r w:rsidRPr="0012364D">
        <w:rPr>
          <w:rFonts w:ascii="Palatino Linotype" w:eastAsia="Palatino Linotype" w:hAnsi="Palatino Linotype" w:cs="Palatino Linotype"/>
          <w:b/>
          <w:i/>
          <w:sz w:val="22"/>
          <w:szCs w:val="22"/>
        </w:rPr>
        <w:t>…</w:t>
      </w:r>
    </w:p>
    <w:p w14:paraId="320E809A" w14:textId="77777777" w:rsidR="004664DE" w:rsidRPr="0012364D" w:rsidRDefault="00A7108E">
      <w:pPr>
        <w:spacing w:line="276" w:lineRule="auto"/>
        <w:ind w:left="567" w:right="900"/>
        <w:jc w:val="both"/>
        <w:rPr>
          <w:rFonts w:ascii="Palatino Linotype" w:eastAsia="Palatino Linotype" w:hAnsi="Palatino Linotype" w:cs="Palatino Linotype"/>
          <w:b/>
          <w:i/>
          <w:sz w:val="22"/>
          <w:szCs w:val="22"/>
        </w:rPr>
      </w:pPr>
      <w:r w:rsidRPr="0012364D">
        <w:rPr>
          <w:rFonts w:ascii="Palatino Linotype" w:eastAsia="Palatino Linotype" w:hAnsi="Palatino Linotype" w:cs="Palatino Linotype"/>
          <w:b/>
          <w:i/>
          <w:sz w:val="22"/>
          <w:szCs w:val="22"/>
        </w:rPr>
        <w:t xml:space="preserve">VI. Emitir la Factibilidad Única de Servicios (FUS), con las observaciones que resulten procedentes del análisis realizado al pleno del Comité de Factibilidades, previo pago de conformidad con la legislación y normatividad aplicable;” </w:t>
      </w:r>
      <w:r w:rsidRPr="0012364D">
        <w:rPr>
          <w:rFonts w:ascii="Palatino Linotype" w:eastAsia="Palatino Linotype" w:hAnsi="Palatino Linotype" w:cs="Palatino Linotype"/>
          <w:i/>
          <w:sz w:val="22"/>
          <w:szCs w:val="22"/>
        </w:rPr>
        <w:t>(Énfasis añadido)</w:t>
      </w:r>
    </w:p>
    <w:p w14:paraId="716868D6" w14:textId="77777777" w:rsidR="004664DE" w:rsidRPr="0012364D" w:rsidRDefault="004664DE">
      <w:pPr>
        <w:spacing w:line="360" w:lineRule="auto"/>
        <w:jc w:val="both"/>
        <w:rPr>
          <w:rFonts w:ascii="Palatino Linotype" w:eastAsia="Palatino Linotype" w:hAnsi="Palatino Linotype" w:cs="Palatino Linotype"/>
          <w:sz w:val="22"/>
          <w:szCs w:val="22"/>
        </w:rPr>
      </w:pPr>
    </w:p>
    <w:p w14:paraId="4D8AD23A" w14:textId="77777777" w:rsidR="004664DE" w:rsidRPr="0012364D" w:rsidRDefault="00A7108E">
      <w:pPr>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t xml:space="preserve">Cabe resaltar </w:t>
      </w:r>
      <w:proofErr w:type="gramStart"/>
      <w:r w:rsidRPr="0012364D">
        <w:rPr>
          <w:rFonts w:ascii="Palatino Linotype" w:eastAsia="Palatino Linotype" w:hAnsi="Palatino Linotype" w:cs="Palatino Linotype"/>
          <w:sz w:val="22"/>
          <w:szCs w:val="22"/>
        </w:rPr>
        <w:t>que</w:t>
      </w:r>
      <w:proofErr w:type="gramEnd"/>
      <w:r w:rsidRPr="0012364D">
        <w:rPr>
          <w:rFonts w:ascii="Palatino Linotype" w:eastAsia="Palatino Linotype" w:hAnsi="Palatino Linotype" w:cs="Palatino Linotype"/>
          <w:sz w:val="22"/>
          <w:szCs w:val="22"/>
        </w:rPr>
        <w:t xml:space="preserve"> para obtener dicha factibilidad, la persona interesada deberá desahogar el siguiente trámite ante la Subgerencia de Factibilidades del Organismo Público Descentralizado para la Prestación de los Servicios de Agua Potable, Alcantarillado y Saneamiento del Municipio de Naucalpan: </w:t>
      </w:r>
    </w:p>
    <w:p w14:paraId="61AFD7E8" w14:textId="77777777" w:rsidR="004664DE" w:rsidRPr="0012364D" w:rsidRDefault="00A7108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noProof/>
          <w:sz w:val="22"/>
          <w:szCs w:val="22"/>
          <w:lang w:val="es-MX"/>
        </w:rPr>
        <w:lastRenderedPageBreak/>
        <w:drawing>
          <wp:inline distT="0" distB="0" distL="0" distR="0" wp14:anchorId="11C46D6F" wp14:editId="37A6EEA7">
            <wp:extent cx="5376430" cy="4661479"/>
            <wp:effectExtent l="9525" t="9525" r="9525" b="9525"/>
            <wp:docPr id="3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1408" t="7390" r="-610" b="12304"/>
                    <a:stretch>
                      <a:fillRect/>
                    </a:stretch>
                  </pic:blipFill>
                  <pic:spPr>
                    <a:xfrm>
                      <a:off x="0" y="0"/>
                      <a:ext cx="5376430" cy="4661479"/>
                    </a:xfrm>
                    <a:prstGeom prst="rect">
                      <a:avLst/>
                    </a:prstGeom>
                    <a:ln w="9525">
                      <a:solidFill>
                        <a:srgbClr val="000000"/>
                      </a:solidFill>
                      <a:prstDash val="solid"/>
                    </a:ln>
                  </pic:spPr>
                </pic:pic>
              </a:graphicData>
            </a:graphic>
          </wp:inline>
        </w:drawing>
      </w:r>
      <w:r w:rsidRPr="0012364D">
        <w:rPr>
          <w:noProof/>
          <w:lang w:val="es-MX"/>
        </w:rPr>
        <mc:AlternateContent>
          <mc:Choice Requires="wps">
            <w:drawing>
              <wp:anchor distT="0" distB="0" distL="114300" distR="114300" simplePos="0" relativeHeight="251658240" behindDoc="0" locked="0" layoutInCell="1" hidden="0" allowOverlap="1" wp14:anchorId="1A1E4068" wp14:editId="1599910D">
                <wp:simplePos x="0" y="0"/>
                <wp:positionH relativeFrom="column">
                  <wp:posOffset>-698499</wp:posOffset>
                </wp:positionH>
                <wp:positionV relativeFrom="paragraph">
                  <wp:posOffset>4254500</wp:posOffset>
                </wp:positionV>
                <wp:extent cx="927681" cy="850525"/>
                <wp:effectExtent l="0" t="0" r="0" b="0"/>
                <wp:wrapNone/>
                <wp:docPr id="372" name="Flecha derecha 372"/>
                <wp:cNvGraphicFramePr/>
                <a:graphic xmlns:a="http://schemas.openxmlformats.org/drawingml/2006/main">
                  <a:graphicData uri="http://schemas.microsoft.com/office/word/2010/wordprocessingShape">
                    <wps:wsp>
                      <wps:cNvSpPr/>
                      <wps:spPr>
                        <a:xfrm rot="2286385">
                          <a:off x="4922138" y="3579975"/>
                          <a:ext cx="847725" cy="400050"/>
                        </a:xfrm>
                        <a:prstGeom prst="rightArrow">
                          <a:avLst>
                            <a:gd name="adj1" fmla="val 50000"/>
                            <a:gd name="adj2" fmla="val 50000"/>
                          </a:avLst>
                        </a:prstGeom>
                        <a:solidFill>
                          <a:srgbClr val="3333FF"/>
                        </a:solidFill>
                        <a:ln w="9525" cap="flat" cmpd="sng">
                          <a:solidFill>
                            <a:srgbClr val="3333FF"/>
                          </a:solidFill>
                          <a:prstDash val="solid"/>
                          <a:round/>
                          <a:headEnd type="none" w="sm" len="sm"/>
                          <a:tailEnd type="none" w="sm" len="sm"/>
                        </a:ln>
                      </wps:spPr>
                      <wps:txbx>
                        <w:txbxContent>
                          <w:p w14:paraId="7222EBE1" w14:textId="77777777" w:rsidR="004664DE" w:rsidRDefault="004664DE">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xmlns:oel="http://schemas.microsoft.com/office/2019/extlst">
            <w:pict>
              <v:shapetype w14:anchorId="1A1E40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2" o:spid="_x0000_s1026" type="#_x0000_t13" style="position:absolute;left:0;text-align:left;margin-left:-55pt;margin-top:335pt;width:73.05pt;height:66.95pt;rotation:2497342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" adj="16503" fillcolor="#33f" strokecolor="#33f">
                <v:stroke startarrowwidth="narrow" startarrowlength="short" endarrowwidth="narrow" endarrowlength="short" joinstyle="round"/>
                <v:textbox inset="2.53958mm,2.53958mm,2.53958mm,2.53958mm">
                  <w:txbxContent>
                    <w:p w14:paraId="7222EBE1" w14:textId="77777777" w:rsidR="004664DE" w:rsidRDefault="004664DE">
                      <w:pPr>
                        <w:textDirection w:val="btLr"/>
                      </w:pPr>
                    </w:p>
                  </w:txbxContent>
                </v:textbox>
              </v:shape>
            </w:pict>
          </mc:Fallback>
        </mc:AlternateContent>
      </w:r>
    </w:p>
    <w:p w14:paraId="31FABB25" w14:textId="77777777" w:rsidR="004664DE" w:rsidRPr="0012364D" w:rsidRDefault="00A7108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noProof/>
          <w:sz w:val="22"/>
          <w:szCs w:val="22"/>
          <w:lang w:val="es-MX"/>
        </w:rPr>
        <w:drawing>
          <wp:inline distT="0" distB="0" distL="0" distR="0" wp14:anchorId="3F5E6D33" wp14:editId="24901053">
            <wp:extent cx="5612130" cy="1892300"/>
            <wp:effectExtent l="0" t="0" r="0" b="0"/>
            <wp:docPr id="3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612130" cy="1892300"/>
                    </a:xfrm>
                    <a:prstGeom prst="rect">
                      <a:avLst/>
                    </a:prstGeom>
                    <a:ln/>
                  </pic:spPr>
                </pic:pic>
              </a:graphicData>
            </a:graphic>
          </wp:inline>
        </w:drawing>
      </w:r>
    </w:p>
    <w:p w14:paraId="7AEA4870" w14:textId="77777777" w:rsidR="004664DE" w:rsidRPr="0012364D" w:rsidRDefault="004664D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08E9F444" w14:textId="77777777" w:rsidR="004664DE" w:rsidRPr="0012364D" w:rsidRDefault="004664DE">
      <w:pPr>
        <w:spacing w:line="360" w:lineRule="auto"/>
        <w:jc w:val="both"/>
        <w:rPr>
          <w:rFonts w:ascii="Palatino Linotype" w:eastAsia="Palatino Linotype" w:hAnsi="Palatino Linotype" w:cs="Palatino Linotype"/>
          <w:sz w:val="22"/>
          <w:szCs w:val="22"/>
        </w:rPr>
      </w:pPr>
    </w:p>
    <w:p w14:paraId="124C86AF" w14:textId="77777777" w:rsidR="004664DE" w:rsidRPr="0012364D" w:rsidRDefault="00A7108E">
      <w:pPr>
        <w:spacing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lastRenderedPageBreak/>
        <w:t>De lo anteriormente citado podemos advertir que normativamente el Ayuntamiento de Naucalpan de Juárez no es competente para generar, poseer y/o administrar la información solicitada respecto a la emisión del dictamen de factibilidad que genera el Organismo Público Descentralizado para la Prestación de los Servicios de Agua Potable, Alcantarillado y Saneamiento del Municipio de Naucalpan pues se reitera, dicho documento lo genera el Organismo en comento previa solicitud de la parte interesada, por lo tanto, en el supuesto de que el predio en comento cuente con un dictamen de factibilidad, este deberá obrar en los archivos del Organismo Público Descentralizado para la Prestación de los Servicios de Agua Potable, Alcantarillado y Saneamiento del Municipio de Naucalpan, por lo que en caso de que esta información sea del interés de la persona solicitante de información, se dejan a salvo sus derechos para que acuda ante el Organismo previamente referido y presente su solicitud correspondiente.</w:t>
      </w:r>
    </w:p>
    <w:p w14:paraId="1CD7A0F9" w14:textId="77777777" w:rsidR="004664DE" w:rsidRPr="0012364D" w:rsidRDefault="004664DE">
      <w:pPr>
        <w:spacing w:line="360" w:lineRule="auto"/>
        <w:jc w:val="both"/>
        <w:rPr>
          <w:rFonts w:ascii="Palatino Linotype" w:eastAsia="Palatino Linotype" w:hAnsi="Palatino Linotype" w:cs="Palatino Linotype"/>
          <w:sz w:val="22"/>
          <w:szCs w:val="22"/>
        </w:rPr>
      </w:pPr>
    </w:p>
    <w:p w14:paraId="1747292E" w14:textId="77777777" w:rsidR="004664DE" w:rsidRPr="0012364D" w:rsidRDefault="00A7108E">
      <w:pPr>
        <w:spacing w:line="360" w:lineRule="auto"/>
        <w:jc w:val="both"/>
        <w:rPr>
          <w:rFonts w:ascii="Palatino Linotype" w:eastAsia="Palatino Linotype" w:hAnsi="Palatino Linotype" w:cs="Palatino Linotype"/>
          <w:sz w:val="22"/>
          <w:szCs w:val="22"/>
        </w:rPr>
      </w:pPr>
      <w:bookmarkStart w:id="8" w:name="_heading=h.35nkun2" w:colFirst="0" w:colLast="0"/>
      <w:bookmarkEnd w:id="8"/>
      <w:r w:rsidRPr="0012364D">
        <w:rPr>
          <w:rFonts w:ascii="Palatino Linotype" w:eastAsia="Palatino Linotype" w:hAnsi="Palatino Linotype" w:cs="Palatino Linotype"/>
          <w:sz w:val="22"/>
          <w:szCs w:val="22"/>
        </w:rPr>
        <w:t xml:space="preserve">Por lo anteriormente expuesto, al determinar que si bien es cierto, no obra un pronunciamiento expreso de la incompetencia del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no menos cierto es que al determinar que existe una incompetencia normativa atribuible al Ayuntamiento de Naucalpan de Juárez, no resulta procedente ordenar el acuerdo de incompetencia pues en el caso particular al advertir este Organismo Garante que nos encontramos ante el supuesto de incompetencia, ordenar al Comité de Transparencia del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que sesione para que emita un acuerdo en el que confirme la declaratoria de incompetencia para garantizar el derecho de </w:t>
      </w:r>
      <w:r w:rsidRPr="0012364D">
        <w:rPr>
          <w:rFonts w:ascii="Palatino Linotype" w:eastAsia="Palatino Linotype" w:hAnsi="Palatino Linotype" w:cs="Palatino Linotype"/>
          <w:b/>
          <w:sz w:val="22"/>
          <w:szCs w:val="22"/>
        </w:rPr>
        <w:t>la parte Recurrente</w:t>
      </w:r>
      <w:r w:rsidRPr="0012364D">
        <w:rPr>
          <w:rFonts w:ascii="Palatino Linotype" w:eastAsia="Palatino Linotype" w:hAnsi="Palatino Linotype" w:cs="Palatino Linotype"/>
          <w:sz w:val="22"/>
          <w:szCs w:val="22"/>
        </w:rPr>
        <w:t xml:space="preserve"> dilata los plazos del procedimiento, genera una carga adicional al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y ello no modifica el hecho de que </w:t>
      </w:r>
      <w:r w:rsidRPr="0012364D">
        <w:rPr>
          <w:rFonts w:ascii="Palatino Linotype" w:eastAsia="Palatino Linotype" w:hAnsi="Palatino Linotype" w:cs="Palatino Linotype"/>
          <w:b/>
          <w:sz w:val="22"/>
          <w:szCs w:val="22"/>
        </w:rPr>
        <w:t xml:space="preserve">la parte Recurrente </w:t>
      </w:r>
      <w:r w:rsidRPr="0012364D">
        <w:rPr>
          <w:rFonts w:ascii="Palatino Linotype" w:eastAsia="Palatino Linotype" w:hAnsi="Palatino Linotype" w:cs="Palatino Linotype"/>
          <w:sz w:val="22"/>
          <w:szCs w:val="22"/>
        </w:rPr>
        <w:t>no obtendrá la información que es de su interés por ésta vía.</w:t>
      </w:r>
    </w:p>
    <w:p w14:paraId="20039072" w14:textId="77777777" w:rsidR="004664DE" w:rsidRPr="0012364D" w:rsidRDefault="004664DE">
      <w:pPr>
        <w:spacing w:line="360" w:lineRule="auto"/>
        <w:jc w:val="both"/>
        <w:rPr>
          <w:rFonts w:ascii="Palatino Linotype" w:eastAsia="Palatino Linotype" w:hAnsi="Palatino Linotype" w:cs="Palatino Linotype"/>
          <w:sz w:val="22"/>
          <w:szCs w:val="22"/>
        </w:rPr>
      </w:pPr>
      <w:bookmarkStart w:id="9" w:name="_heading=h.duhnr0aunfe6" w:colFirst="0" w:colLast="0"/>
      <w:bookmarkEnd w:id="9"/>
    </w:p>
    <w:p w14:paraId="43C92ADF" w14:textId="77777777" w:rsidR="004664DE" w:rsidRPr="0012364D" w:rsidRDefault="00A7108E">
      <w:pPr>
        <w:spacing w:line="360" w:lineRule="auto"/>
        <w:jc w:val="both"/>
        <w:rPr>
          <w:rFonts w:ascii="Palatino Linotype" w:eastAsia="Palatino Linotype" w:hAnsi="Palatino Linotype" w:cs="Palatino Linotype"/>
          <w:sz w:val="22"/>
          <w:szCs w:val="22"/>
        </w:rPr>
      </w:pPr>
      <w:bookmarkStart w:id="10" w:name="_heading=h.at8zjtek0q59" w:colFirst="0" w:colLast="0"/>
      <w:bookmarkEnd w:id="10"/>
      <w:r w:rsidRPr="0012364D">
        <w:rPr>
          <w:rFonts w:ascii="Palatino Linotype" w:eastAsia="Palatino Linotype" w:hAnsi="Palatino Linotype" w:cs="Palatino Linotype"/>
          <w:sz w:val="22"/>
          <w:szCs w:val="22"/>
        </w:rPr>
        <w:t xml:space="preserve">Por ello, instruir al Comité de Transparencia para que sesione y emita una resolución en la que se confirme una notoria incompetencia analizada por este Organismo Garante, se aparta </w:t>
      </w:r>
      <w:r w:rsidRPr="0012364D">
        <w:rPr>
          <w:rFonts w:ascii="Palatino Linotype" w:eastAsia="Palatino Linotype" w:hAnsi="Palatino Linotype" w:cs="Palatino Linotype"/>
          <w:sz w:val="22"/>
          <w:szCs w:val="22"/>
        </w:rPr>
        <w:lastRenderedPageBreak/>
        <w:t>de los principios de sencillez y rapidez establecidos por la Ley de Transparencia y Acceso a la Información Pública del Estado de México y Municipios, en sus artículos 2, fracciones II y III, 21 y 150, por ende, resulta pertinente sobreseer el recurso de revisión materia de la presente resolución en términos del artículo 186 fracción I de la de la Ley de Transparencia y Acceso a la Información Pública del Estado de México y Municipios y 192, fracción V del mismo ordenamiento legal, que señala:</w:t>
      </w:r>
    </w:p>
    <w:p w14:paraId="177E9577" w14:textId="77777777" w:rsidR="004664DE" w:rsidRPr="0012364D" w:rsidRDefault="004664DE">
      <w:pPr>
        <w:spacing w:line="360" w:lineRule="auto"/>
        <w:ind w:left="567" w:right="567"/>
        <w:jc w:val="both"/>
        <w:rPr>
          <w:rFonts w:ascii="Palatino Linotype" w:eastAsia="Palatino Linotype" w:hAnsi="Palatino Linotype" w:cs="Palatino Linotype"/>
          <w:i/>
          <w:sz w:val="22"/>
          <w:szCs w:val="22"/>
        </w:rPr>
      </w:pPr>
    </w:p>
    <w:p w14:paraId="6E38B1A5" w14:textId="77777777" w:rsidR="004664DE" w:rsidRPr="0012364D" w:rsidRDefault="00A7108E">
      <w:pPr>
        <w:spacing w:line="276" w:lineRule="auto"/>
        <w:ind w:left="567" w:right="567"/>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“Artículo 192. El recurso será sobreseído, en todo o en parte, cuando una vez admitido, se actualicen alguno de los siguientes supuestos:</w:t>
      </w:r>
    </w:p>
    <w:p w14:paraId="100408B8" w14:textId="77777777" w:rsidR="004664DE" w:rsidRPr="0012364D" w:rsidRDefault="00A7108E">
      <w:pPr>
        <w:spacing w:line="276" w:lineRule="auto"/>
        <w:ind w:left="567" w:right="567"/>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I. El recurrente se desista expresamente del recurso; </w:t>
      </w:r>
    </w:p>
    <w:p w14:paraId="05CF4567" w14:textId="77777777" w:rsidR="004664DE" w:rsidRPr="0012364D" w:rsidRDefault="00A7108E">
      <w:pPr>
        <w:spacing w:line="276" w:lineRule="auto"/>
        <w:ind w:left="567" w:right="567"/>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II. El recurrente fallezca o, tratándose de personas jurídicas colectivas, se disuelva; </w:t>
      </w:r>
    </w:p>
    <w:p w14:paraId="7BA629A0" w14:textId="77777777" w:rsidR="004664DE" w:rsidRPr="0012364D" w:rsidRDefault="00A7108E">
      <w:pPr>
        <w:spacing w:line="276" w:lineRule="auto"/>
        <w:ind w:left="567" w:right="567"/>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III. El sujeto obligado responsable del acto lo modifique o revoque de tal manera que el recurso de revisión quede sin materia; </w:t>
      </w:r>
    </w:p>
    <w:p w14:paraId="3097DB95" w14:textId="77777777" w:rsidR="004664DE" w:rsidRPr="0012364D" w:rsidRDefault="00A7108E">
      <w:pPr>
        <w:spacing w:line="276" w:lineRule="auto"/>
        <w:ind w:left="567" w:right="567"/>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i/>
          <w:sz w:val="22"/>
          <w:szCs w:val="22"/>
        </w:rPr>
        <w:t xml:space="preserve">IV. Admitido el recurso de revisión, aparezca alguna causal de improcedencia en los términos de la presente Ley; y </w:t>
      </w:r>
    </w:p>
    <w:p w14:paraId="4CCFB1BA" w14:textId="77777777" w:rsidR="004664DE" w:rsidRPr="0012364D" w:rsidRDefault="00A7108E">
      <w:pPr>
        <w:spacing w:line="276" w:lineRule="auto"/>
        <w:ind w:left="567" w:right="567"/>
        <w:jc w:val="both"/>
        <w:rPr>
          <w:rFonts w:ascii="Palatino Linotype" w:eastAsia="Palatino Linotype" w:hAnsi="Palatino Linotype" w:cs="Palatino Linotype"/>
          <w:i/>
          <w:sz w:val="22"/>
          <w:szCs w:val="22"/>
        </w:rPr>
      </w:pPr>
      <w:r w:rsidRPr="0012364D">
        <w:rPr>
          <w:rFonts w:ascii="Palatino Linotype" w:eastAsia="Palatino Linotype" w:hAnsi="Palatino Linotype" w:cs="Palatino Linotype"/>
          <w:b/>
          <w:i/>
          <w:sz w:val="22"/>
          <w:szCs w:val="22"/>
          <w:u w:val="single"/>
        </w:rPr>
        <w:t>V. Cuando por cualquier motivo quede sin materia el recurso</w:t>
      </w:r>
      <w:r w:rsidRPr="0012364D">
        <w:rPr>
          <w:rFonts w:ascii="Palatino Linotype" w:eastAsia="Palatino Linotype" w:hAnsi="Palatino Linotype" w:cs="Palatino Linotype"/>
          <w:i/>
          <w:sz w:val="22"/>
          <w:szCs w:val="22"/>
        </w:rPr>
        <w:t>.” (Énfasis añadido)</w:t>
      </w:r>
    </w:p>
    <w:p w14:paraId="56E21B2A" w14:textId="77777777" w:rsidR="004664DE" w:rsidRPr="0012364D" w:rsidRDefault="00A7108E">
      <w:pPr>
        <w:spacing w:before="240" w:after="240" w:line="360" w:lineRule="auto"/>
        <w:jc w:val="both"/>
        <w:rPr>
          <w:rFonts w:ascii="Palatino Linotype" w:eastAsia="Palatino Linotype" w:hAnsi="Palatino Linotype" w:cs="Palatino Linotype"/>
          <w:b/>
          <w:sz w:val="22"/>
          <w:szCs w:val="22"/>
        </w:rPr>
      </w:pPr>
      <w:r w:rsidRPr="0012364D">
        <w:rPr>
          <w:rFonts w:ascii="Palatino Linotype" w:eastAsia="Palatino Linotype" w:hAnsi="Palatino Linotype" w:cs="Palatino Linotype"/>
          <w:sz w:val="22"/>
          <w:szCs w:val="22"/>
        </w:rPr>
        <w:t xml:space="preserve">Atento a los razonamientos lógico jurídicos que han quedado precisados y toda vez que el  </w:t>
      </w:r>
      <w:r w:rsidRPr="0012364D">
        <w:rPr>
          <w:rFonts w:ascii="Palatino Linotype" w:eastAsia="Palatino Linotype" w:hAnsi="Palatino Linotype" w:cs="Palatino Linotype"/>
          <w:i/>
          <w:sz w:val="22"/>
          <w:szCs w:val="22"/>
        </w:rPr>
        <w:t xml:space="preserve">sobreseimiento </w:t>
      </w:r>
      <w:r w:rsidRPr="0012364D">
        <w:rPr>
          <w:rFonts w:ascii="Palatino Linotype" w:eastAsia="Palatino Linotype" w:hAnsi="Palatino Linotype" w:cs="Palatino Linotype"/>
          <w:sz w:val="22"/>
          <w:szCs w:val="22"/>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12364D">
        <w:rPr>
          <w:rFonts w:ascii="Palatino Linotype" w:eastAsia="Palatino Linotype" w:hAnsi="Palatino Linotype" w:cs="Palatino Linotype"/>
          <w:b/>
          <w:sz w:val="22"/>
          <w:szCs w:val="22"/>
        </w:rPr>
        <w:t>SOBRESEIMIENTO, NO PERMITE ENTRAR AL ESTUDIO DE LAS CUESTIONES DE FONDO</w:t>
      </w:r>
      <w:r w:rsidRPr="0012364D">
        <w:rPr>
          <w:rFonts w:ascii="Palatino Linotype" w:eastAsia="Palatino Linotype" w:hAnsi="Palatino Linotype" w:cs="Palatino Linotype"/>
          <w:sz w:val="22"/>
          <w:szCs w:val="22"/>
          <w:vertAlign w:val="superscript"/>
        </w:rPr>
        <w:footnoteReference w:id="1"/>
      </w:r>
      <w:r w:rsidRPr="0012364D">
        <w:rPr>
          <w:rFonts w:ascii="Palatino Linotype" w:eastAsia="Palatino Linotype" w:hAnsi="Palatino Linotype" w:cs="Palatino Linotype"/>
          <w:b/>
          <w:sz w:val="22"/>
          <w:szCs w:val="22"/>
        </w:rPr>
        <w:t>.</w:t>
      </w:r>
    </w:p>
    <w:p w14:paraId="3B38F7FE"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sz w:val="22"/>
          <w:szCs w:val="22"/>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138EAE08" w14:textId="77777777" w:rsidR="004664DE" w:rsidRPr="0012364D" w:rsidRDefault="00A7108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bookmarkStart w:id="11" w:name="_heading=h.ijv98pntcd5s" w:colFirst="0" w:colLast="0"/>
      <w:bookmarkEnd w:id="11"/>
      <w:r w:rsidRPr="0012364D">
        <w:rPr>
          <w:rFonts w:ascii="Palatino Linotype" w:eastAsia="Palatino Linotype" w:hAnsi="Palatino Linotype" w:cs="Palatino Linotype"/>
          <w:b/>
        </w:rPr>
        <w:t>III. R E S U E L V E</w:t>
      </w:r>
    </w:p>
    <w:p w14:paraId="63B72BD1" w14:textId="77777777" w:rsidR="004664DE" w:rsidRPr="0012364D" w:rsidRDefault="00A7108E">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sz w:val="22"/>
          <w:szCs w:val="22"/>
        </w:rPr>
      </w:pPr>
      <w:bookmarkStart w:id="12" w:name="_heading=h.26in1rg" w:colFirst="0" w:colLast="0"/>
      <w:bookmarkEnd w:id="12"/>
      <w:r w:rsidRPr="0012364D">
        <w:rPr>
          <w:rFonts w:ascii="Palatino Linotype" w:eastAsia="Palatino Linotype" w:hAnsi="Palatino Linotype" w:cs="Palatino Linotype"/>
          <w:b/>
          <w:sz w:val="22"/>
          <w:szCs w:val="22"/>
        </w:rPr>
        <w:t xml:space="preserve">Primero. </w:t>
      </w:r>
      <w:r w:rsidRPr="0012364D">
        <w:rPr>
          <w:rFonts w:ascii="Palatino Linotype" w:eastAsia="Palatino Linotype" w:hAnsi="Palatino Linotype" w:cs="Palatino Linotype"/>
          <w:sz w:val="22"/>
          <w:szCs w:val="22"/>
        </w:rPr>
        <w:t>Se</w:t>
      </w:r>
      <w:r w:rsidRPr="0012364D">
        <w:rPr>
          <w:rFonts w:ascii="Palatino Linotype" w:eastAsia="Palatino Linotype" w:hAnsi="Palatino Linotype" w:cs="Palatino Linotype"/>
          <w:b/>
          <w:sz w:val="22"/>
          <w:szCs w:val="22"/>
        </w:rPr>
        <w:t xml:space="preserve"> Sobresee </w:t>
      </w:r>
      <w:r w:rsidRPr="0012364D">
        <w:rPr>
          <w:rFonts w:ascii="Palatino Linotype" w:eastAsia="Palatino Linotype" w:hAnsi="Palatino Linotype" w:cs="Palatino Linotype"/>
          <w:sz w:val="22"/>
          <w:szCs w:val="22"/>
        </w:rPr>
        <w:t xml:space="preserve">el recurso de revisión número </w:t>
      </w:r>
      <w:r w:rsidRPr="0012364D">
        <w:rPr>
          <w:rFonts w:ascii="Palatino Linotype" w:eastAsia="Palatino Linotype" w:hAnsi="Palatino Linotype" w:cs="Palatino Linotype"/>
          <w:b/>
          <w:sz w:val="22"/>
          <w:szCs w:val="22"/>
        </w:rPr>
        <w:t xml:space="preserve">03759/INFOEM/IP/RR/2024, </w:t>
      </w:r>
      <w:r w:rsidRPr="0012364D">
        <w:rPr>
          <w:rFonts w:ascii="Palatino Linotype" w:eastAsia="Palatino Linotype" w:hAnsi="Palatino Linotype" w:cs="Palatino Linotype"/>
          <w:sz w:val="22"/>
          <w:szCs w:val="22"/>
        </w:rPr>
        <w:t xml:space="preserve">en términos del </w:t>
      </w:r>
      <w:r w:rsidRPr="0012364D">
        <w:rPr>
          <w:rFonts w:ascii="Palatino Linotype" w:eastAsia="Palatino Linotype" w:hAnsi="Palatino Linotype" w:cs="Palatino Linotype"/>
          <w:b/>
          <w:sz w:val="22"/>
          <w:szCs w:val="22"/>
        </w:rPr>
        <w:t xml:space="preserve">Considerando Tercero </w:t>
      </w:r>
      <w:r w:rsidRPr="0012364D">
        <w:rPr>
          <w:rFonts w:ascii="Palatino Linotype" w:eastAsia="Palatino Linotype" w:hAnsi="Palatino Linotype" w:cs="Palatino Linotype"/>
          <w:sz w:val="22"/>
          <w:szCs w:val="22"/>
        </w:rPr>
        <w:t xml:space="preserve">de la presente resolución, de conformidad con el artículo 192, fracción V, de la Ley de Transparencia y Acceso a la Información Pública del Estado de México y Municipios. </w:t>
      </w:r>
    </w:p>
    <w:p w14:paraId="0518D2A3" w14:textId="77777777" w:rsidR="004664DE" w:rsidRPr="0012364D" w:rsidRDefault="00A7108E">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sz w:val="22"/>
          <w:szCs w:val="22"/>
        </w:rPr>
        <w:t xml:space="preserve">Segundo. Notifíquese vía SAIMEX, </w:t>
      </w:r>
      <w:r w:rsidRPr="0012364D">
        <w:rPr>
          <w:rFonts w:ascii="Palatino Linotype" w:eastAsia="Palatino Linotype" w:hAnsi="Palatino Linotype" w:cs="Palatino Linotype"/>
          <w:sz w:val="22"/>
          <w:szCs w:val="22"/>
        </w:rPr>
        <w:t xml:space="preserve">al Titular de la Unidad de Transparencia del </w:t>
      </w:r>
      <w:r w:rsidRPr="0012364D">
        <w:rPr>
          <w:rFonts w:ascii="Palatino Linotype" w:eastAsia="Palatino Linotype" w:hAnsi="Palatino Linotype" w:cs="Palatino Linotype"/>
          <w:b/>
          <w:sz w:val="22"/>
          <w:szCs w:val="22"/>
        </w:rPr>
        <w:t>Sujeto Obligado</w:t>
      </w:r>
      <w:r w:rsidRPr="0012364D">
        <w:rPr>
          <w:rFonts w:ascii="Palatino Linotype" w:eastAsia="Palatino Linotype" w:hAnsi="Palatino Linotype" w:cs="Palatino Linotype"/>
          <w:sz w:val="22"/>
          <w:szCs w:val="22"/>
        </w:rPr>
        <w:t xml:space="preserve"> la presente resolución, para su conocimiento.</w:t>
      </w:r>
    </w:p>
    <w:p w14:paraId="2455654C" w14:textId="77777777" w:rsidR="004664DE" w:rsidRPr="0012364D" w:rsidRDefault="00A7108E">
      <w:pPr>
        <w:spacing w:before="240" w:after="240" w:line="360" w:lineRule="auto"/>
        <w:jc w:val="both"/>
        <w:rPr>
          <w:rFonts w:ascii="Palatino Linotype" w:eastAsia="Palatino Linotype" w:hAnsi="Palatino Linotype" w:cs="Palatino Linotype"/>
          <w:sz w:val="22"/>
          <w:szCs w:val="22"/>
        </w:rPr>
      </w:pPr>
      <w:r w:rsidRPr="0012364D">
        <w:rPr>
          <w:rFonts w:ascii="Palatino Linotype" w:eastAsia="Palatino Linotype" w:hAnsi="Palatino Linotype" w:cs="Palatino Linotype"/>
          <w:b/>
          <w:sz w:val="22"/>
          <w:szCs w:val="22"/>
        </w:rPr>
        <w:t xml:space="preserve">Tercero. Notifíquese, </w:t>
      </w:r>
      <w:r w:rsidRPr="0012364D">
        <w:rPr>
          <w:rFonts w:ascii="Palatino Linotype" w:eastAsia="Palatino Linotype" w:hAnsi="Palatino Linotype" w:cs="Palatino Linotype"/>
          <w:sz w:val="22"/>
          <w:szCs w:val="22"/>
        </w:rPr>
        <w:t>vía</w:t>
      </w:r>
      <w:r w:rsidRPr="0012364D">
        <w:rPr>
          <w:rFonts w:ascii="Palatino Linotype" w:eastAsia="Palatino Linotype" w:hAnsi="Palatino Linotype" w:cs="Palatino Linotype"/>
          <w:b/>
          <w:sz w:val="22"/>
          <w:szCs w:val="22"/>
        </w:rPr>
        <w:t xml:space="preserve"> SAIMEX</w:t>
      </w:r>
      <w:r w:rsidRPr="0012364D">
        <w:rPr>
          <w:rFonts w:ascii="Palatino Linotype" w:eastAsia="Palatino Linotype" w:hAnsi="Palatino Linotype" w:cs="Palatino Linotype"/>
          <w:sz w:val="22"/>
          <w:szCs w:val="22"/>
        </w:rPr>
        <w:t>, a</w:t>
      </w:r>
      <w:r w:rsidRPr="0012364D">
        <w:rPr>
          <w:rFonts w:ascii="Palatino Linotype" w:eastAsia="Palatino Linotype" w:hAnsi="Palatino Linotype" w:cs="Palatino Linotype"/>
          <w:b/>
          <w:sz w:val="22"/>
          <w:szCs w:val="22"/>
        </w:rPr>
        <w:t xml:space="preserve"> la parte Recurrente</w:t>
      </w:r>
      <w:r w:rsidRPr="0012364D">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B1BE348" w14:textId="77777777" w:rsidR="004664DE" w:rsidRPr="0012364D" w:rsidRDefault="00A7108E">
      <w:pPr>
        <w:spacing w:line="360" w:lineRule="auto"/>
        <w:jc w:val="both"/>
        <w:rPr>
          <w:rFonts w:ascii="Palatino Linotype" w:eastAsia="Palatino Linotype" w:hAnsi="Palatino Linotype" w:cs="Palatino Linotype"/>
        </w:rPr>
      </w:pPr>
      <w:r w:rsidRPr="0012364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w:t>
      </w:r>
      <w:r w:rsidRPr="0012364D">
        <w:rPr>
          <w:rFonts w:ascii="Palatino Linotype" w:eastAsia="Palatino Linotype" w:hAnsi="Palatino Linotype" w:cs="Palatino Linotype"/>
        </w:rPr>
        <w:lastRenderedPageBreak/>
        <w:t xml:space="preserve">CELEBRADA EL ONCE DE SEPTIEMBRE DE DOS MIL VEINTICUATRO, ANTE EL SECRETARIO TÉCNICO DEL PLENO ALEXIS TAPIA RAMÍREZ. </w:t>
      </w:r>
    </w:p>
    <w:p w14:paraId="77EB36B7" w14:textId="77777777" w:rsidR="004664DE" w:rsidRPr="0012364D" w:rsidRDefault="004664DE">
      <w:pPr>
        <w:rPr>
          <w:rFonts w:ascii="Palatino Linotype" w:eastAsia="Palatino Linotype" w:hAnsi="Palatino Linotype" w:cs="Palatino Linotype"/>
        </w:rPr>
      </w:pPr>
    </w:p>
    <w:p w14:paraId="159F0A89" w14:textId="77777777" w:rsidR="004664DE" w:rsidRPr="0012364D" w:rsidRDefault="004664DE">
      <w:pPr>
        <w:rPr>
          <w:rFonts w:ascii="Palatino Linotype" w:eastAsia="Palatino Linotype" w:hAnsi="Palatino Linotype" w:cs="Palatino Linotype"/>
        </w:rPr>
      </w:pPr>
    </w:p>
    <w:p w14:paraId="1163ED95" w14:textId="77777777" w:rsidR="004664DE" w:rsidRPr="0012364D" w:rsidRDefault="004664DE">
      <w:pPr>
        <w:spacing w:line="360" w:lineRule="auto"/>
        <w:jc w:val="both"/>
        <w:rPr>
          <w:rFonts w:ascii="Palatino Linotype" w:eastAsia="Palatino Linotype" w:hAnsi="Palatino Linotype" w:cs="Palatino Linotype"/>
        </w:rPr>
      </w:pPr>
      <w:bookmarkStart w:id="13" w:name="_heading=h.3rdcrjn" w:colFirst="0" w:colLast="0"/>
      <w:bookmarkEnd w:id="13"/>
    </w:p>
    <w:p w14:paraId="419E2F5E" w14:textId="77777777" w:rsidR="004664DE" w:rsidRPr="0012364D" w:rsidRDefault="004664DE">
      <w:pPr>
        <w:spacing w:line="360" w:lineRule="auto"/>
        <w:jc w:val="both"/>
        <w:rPr>
          <w:rFonts w:ascii="Palatino Linotype" w:eastAsia="Palatino Linotype" w:hAnsi="Palatino Linotype" w:cs="Palatino Linotype"/>
        </w:rPr>
      </w:pPr>
    </w:p>
    <w:p w14:paraId="6C8BF280" w14:textId="77777777" w:rsidR="004664DE" w:rsidRPr="0012364D" w:rsidRDefault="004664DE">
      <w:pPr>
        <w:spacing w:line="360" w:lineRule="auto"/>
        <w:jc w:val="both"/>
        <w:rPr>
          <w:rFonts w:ascii="Palatino Linotype" w:eastAsia="Palatino Linotype" w:hAnsi="Palatino Linotype" w:cs="Palatino Linotype"/>
        </w:rPr>
      </w:pPr>
    </w:p>
    <w:p w14:paraId="4FE31208" w14:textId="77777777" w:rsidR="004664DE" w:rsidRPr="0012364D" w:rsidRDefault="004664DE">
      <w:pPr>
        <w:spacing w:line="360" w:lineRule="auto"/>
        <w:jc w:val="both"/>
        <w:rPr>
          <w:rFonts w:ascii="Palatino Linotype" w:eastAsia="Palatino Linotype" w:hAnsi="Palatino Linotype" w:cs="Palatino Linotype"/>
        </w:rPr>
      </w:pPr>
      <w:bookmarkStart w:id="14" w:name="_heading=h.1t3h5sf" w:colFirst="0" w:colLast="0"/>
      <w:bookmarkEnd w:id="14"/>
    </w:p>
    <w:p w14:paraId="5537AE92" w14:textId="77777777" w:rsidR="004664DE" w:rsidRPr="0012364D" w:rsidRDefault="004664DE">
      <w:pPr>
        <w:spacing w:line="360" w:lineRule="auto"/>
        <w:jc w:val="both"/>
        <w:rPr>
          <w:rFonts w:ascii="Palatino Linotype" w:eastAsia="Palatino Linotype" w:hAnsi="Palatino Linotype" w:cs="Palatino Linotype"/>
        </w:rPr>
      </w:pPr>
    </w:p>
    <w:p w14:paraId="543105EF" w14:textId="77777777" w:rsidR="004664DE" w:rsidRPr="0012364D" w:rsidRDefault="004664DE">
      <w:pPr>
        <w:spacing w:line="360" w:lineRule="auto"/>
        <w:jc w:val="both"/>
        <w:rPr>
          <w:rFonts w:ascii="Palatino Linotype" w:eastAsia="Palatino Linotype" w:hAnsi="Palatino Linotype" w:cs="Palatino Linotype"/>
        </w:rPr>
      </w:pPr>
    </w:p>
    <w:p w14:paraId="77BD7511" w14:textId="77777777" w:rsidR="004664DE" w:rsidRPr="0012364D" w:rsidRDefault="004664DE">
      <w:pPr>
        <w:spacing w:line="360" w:lineRule="auto"/>
        <w:jc w:val="both"/>
        <w:rPr>
          <w:rFonts w:ascii="Palatino Linotype" w:eastAsia="Palatino Linotype" w:hAnsi="Palatino Linotype" w:cs="Palatino Linotype"/>
        </w:rPr>
      </w:pPr>
    </w:p>
    <w:p w14:paraId="3A4105D0" w14:textId="77777777" w:rsidR="004664DE" w:rsidRPr="0012364D" w:rsidRDefault="004664DE">
      <w:pPr>
        <w:spacing w:line="360" w:lineRule="auto"/>
        <w:jc w:val="both"/>
        <w:rPr>
          <w:rFonts w:ascii="Palatino Linotype" w:eastAsia="Palatino Linotype" w:hAnsi="Palatino Linotype" w:cs="Palatino Linotype"/>
        </w:rPr>
      </w:pPr>
    </w:p>
    <w:p w14:paraId="6B88C0F8" w14:textId="77777777" w:rsidR="004664DE" w:rsidRPr="0012364D" w:rsidRDefault="004664DE">
      <w:pPr>
        <w:spacing w:line="360" w:lineRule="auto"/>
        <w:jc w:val="both"/>
        <w:rPr>
          <w:rFonts w:ascii="Palatino Linotype" w:eastAsia="Palatino Linotype" w:hAnsi="Palatino Linotype" w:cs="Palatino Linotype"/>
        </w:rPr>
      </w:pPr>
    </w:p>
    <w:p w14:paraId="785FE413" w14:textId="77777777" w:rsidR="004664DE" w:rsidRPr="0012364D" w:rsidRDefault="004664DE">
      <w:pPr>
        <w:spacing w:line="360" w:lineRule="auto"/>
        <w:jc w:val="both"/>
        <w:rPr>
          <w:rFonts w:ascii="Palatino Linotype" w:eastAsia="Palatino Linotype" w:hAnsi="Palatino Linotype" w:cs="Palatino Linotype"/>
        </w:rPr>
      </w:pPr>
    </w:p>
    <w:p w14:paraId="11BDA205" w14:textId="77777777" w:rsidR="004664DE" w:rsidRPr="0012364D" w:rsidRDefault="004664DE">
      <w:pPr>
        <w:spacing w:line="360" w:lineRule="auto"/>
        <w:jc w:val="both"/>
        <w:rPr>
          <w:rFonts w:ascii="Palatino Linotype" w:eastAsia="Palatino Linotype" w:hAnsi="Palatino Linotype" w:cs="Palatino Linotype"/>
        </w:rPr>
      </w:pPr>
    </w:p>
    <w:p w14:paraId="32FD49B2" w14:textId="77777777" w:rsidR="004664DE" w:rsidRPr="0012364D" w:rsidRDefault="004664DE">
      <w:pPr>
        <w:spacing w:line="360" w:lineRule="auto"/>
        <w:jc w:val="both"/>
        <w:rPr>
          <w:rFonts w:ascii="Palatino Linotype" w:eastAsia="Palatino Linotype" w:hAnsi="Palatino Linotype" w:cs="Palatino Linotype"/>
        </w:rPr>
      </w:pPr>
    </w:p>
    <w:p w14:paraId="3A010E20" w14:textId="77777777" w:rsidR="004664DE" w:rsidRPr="0012364D" w:rsidRDefault="004664DE">
      <w:pPr>
        <w:spacing w:line="360" w:lineRule="auto"/>
        <w:jc w:val="both"/>
        <w:rPr>
          <w:rFonts w:ascii="Palatino Linotype" w:eastAsia="Palatino Linotype" w:hAnsi="Palatino Linotype" w:cs="Palatino Linotype"/>
        </w:rPr>
      </w:pPr>
    </w:p>
    <w:p w14:paraId="5587C102" w14:textId="77777777" w:rsidR="004664DE" w:rsidRPr="0012364D" w:rsidRDefault="004664DE">
      <w:pPr>
        <w:spacing w:line="360" w:lineRule="auto"/>
        <w:jc w:val="both"/>
        <w:rPr>
          <w:rFonts w:ascii="Palatino Linotype" w:eastAsia="Palatino Linotype" w:hAnsi="Palatino Linotype" w:cs="Palatino Linotype"/>
        </w:rPr>
      </w:pPr>
    </w:p>
    <w:p w14:paraId="54044C55" w14:textId="77777777" w:rsidR="004664DE" w:rsidRPr="0012364D" w:rsidRDefault="004664DE">
      <w:pPr>
        <w:spacing w:line="360" w:lineRule="auto"/>
        <w:jc w:val="both"/>
        <w:rPr>
          <w:rFonts w:ascii="Palatino Linotype" w:eastAsia="Palatino Linotype" w:hAnsi="Palatino Linotype" w:cs="Palatino Linotype"/>
        </w:rPr>
      </w:pPr>
    </w:p>
    <w:p w14:paraId="43F13437" w14:textId="77777777" w:rsidR="004664DE" w:rsidRPr="0012364D" w:rsidRDefault="004664DE">
      <w:pPr>
        <w:spacing w:line="360" w:lineRule="auto"/>
        <w:jc w:val="both"/>
        <w:rPr>
          <w:rFonts w:ascii="Palatino Linotype" w:eastAsia="Palatino Linotype" w:hAnsi="Palatino Linotype" w:cs="Palatino Linotype"/>
        </w:rPr>
      </w:pPr>
    </w:p>
    <w:p w14:paraId="176D0BEF" w14:textId="77777777" w:rsidR="004664DE" w:rsidRPr="0012364D" w:rsidRDefault="004664DE">
      <w:pPr>
        <w:spacing w:line="360" w:lineRule="auto"/>
        <w:jc w:val="both"/>
        <w:rPr>
          <w:rFonts w:ascii="Palatino Linotype" w:eastAsia="Palatino Linotype" w:hAnsi="Palatino Linotype" w:cs="Palatino Linotype"/>
        </w:rPr>
      </w:pPr>
    </w:p>
    <w:p w14:paraId="4D6F7D28" w14:textId="77777777" w:rsidR="004664DE" w:rsidRPr="0012364D" w:rsidRDefault="004664DE">
      <w:pPr>
        <w:spacing w:line="360" w:lineRule="auto"/>
        <w:jc w:val="both"/>
        <w:rPr>
          <w:rFonts w:ascii="Palatino Linotype" w:eastAsia="Palatino Linotype" w:hAnsi="Palatino Linotype" w:cs="Palatino Linotype"/>
        </w:rPr>
      </w:pPr>
    </w:p>
    <w:p w14:paraId="49213D40" w14:textId="77777777" w:rsidR="004664DE" w:rsidRPr="0012364D" w:rsidRDefault="004664DE">
      <w:pPr>
        <w:spacing w:line="360" w:lineRule="auto"/>
        <w:jc w:val="both"/>
        <w:rPr>
          <w:rFonts w:ascii="Palatino Linotype" w:eastAsia="Palatino Linotype" w:hAnsi="Palatino Linotype" w:cs="Palatino Linotype"/>
        </w:rPr>
      </w:pPr>
    </w:p>
    <w:p w14:paraId="1B37924D" w14:textId="77777777" w:rsidR="004664DE" w:rsidRPr="0012364D" w:rsidRDefault="004664DE">
      <w:pPr>
        <w:spacing w:line="360" w:lineRule="auto"/>
        <w:jc w:val="both"/>
        <w:rPr>
          <w:rFonts w:ascii="Palatino Linotype" w:eastAsia="Palatino Linotype" w:hAnsi="Palatino Linotype" w:cs="Palatino Linotype"/>
        </w:rPr>
      </w:pPr>
    </w:p>
    <w:p w14:paraId="3DF4437A" w14:textId="77777777" w:rsidR="004664DE" w:rsidRPr="0012364D" w:rsidRDefault="004664DE">
      <w:pPr>
        <w:spacing w:line="360" w:lineRule="auto"/>
        <w:jc w:val="both"/>
        <w:rPr>
          <w:rFonts w:ascii="Palatino Linotype" w:eastAsia="Palatino Linotype" w:hAnsi="Palatino Linotype" w:cs="Palatino Linotype"/>
        </w:rPr>
      </w:pPr>
    </w:p>
    <w:p w14:paraId="5ECD7F4D" w14:textId="77777777" w:rsidR="004664DE" w:rsidRPr="0012364D" w:rsidRDefault="004664DE">
      <w:pPr>
        <w:spacing w:line="360" w:lineRule="auto"/>
        <w:jc w:val="both"/>
        <w:rPr>
          <w:rFonts w:ascii="Palatino Linotype" w:eastAsia="Palatino Linotype" w:hAnsi="Palatino Linotype" w:cs="Palatino Linotype"/>
        </w:rPr>
      </w:pPr>
    </w:p>
    <w:p w14:paraId="0C99A0F7" w14:textId="77777777" w:rsidR="004664DE" w:rsidRPr="0012364D" w:rsidRDefault="004664DE">
      <w:pPr>
        <w:spacing w:line="360" w:lineRule="auto"/>
        <w:jc w:val="both"/>
        <w:rPr>
          <w:rFonts w:ascii="Palatino Linotype" w:eastAsia="Palatino Linotype" w:hAnsi="Palatino Linotype" w:cs="Palatino Linotype"/>
        </w:rPr>
      </w:pPr>
    </w:p>
    <w:sectPr w:rsidR="004664DE" w:rsidRPr="0012364D">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BB8A0" w14:textId="77777777" w:rsidR="006A6476" w:rsidRDefault="006A6476">
      <w:r>
        <w:separator/>
      </w:r>
    </w:p>
  </w:endnote>
  <w:endnote w:type="continuationSeparator" w:id="0">
    <w:p w14:paraId="4CFFBA3D" w14:textId="77777777" w:rsidR="006A6476" w:rsidRDefault="006A6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DA38" w14:textId="77777777" w:rsidR="004664DE" w:rsidRDefault="00A7108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2364D">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2364D">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15A57A87" w14:textId="77777777" w:rsidR="004664DE" w:rsidRDefault="004664D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B2CA" w14:textId="77777777" w:rsidR="004664DE" w:rsidRDefault="00A7108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2364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2364D">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4D8BA63B" w14:textId="77777777" w:rsidR="004664DE" w:rsidRDefault="004664D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27691" w14:textId="77777777" w:rsidR="006A6476" w:rsidRDefault="006A6476">
      <w:r>
        <w:separator/>
      </w:r>
    </w:p>
  </w:footnote>
  <w:footnote w:type="continuationSeparator" w:id="0">
    <w:p w14:paraId="2650EEEF" w14:textId="77777777" w:rsidR="006A6476" w:rsidRDefault="006A6476">
      <w:r>
        <w:continuationSeparator/>
      </w:r>
    </w:p>
  </w:footnote>
  <w:footnote w:id="1">
    <w:p w14:paraId="3ACFDA8D" w14:textId="77777777" w:rsidR="004664DE" w:rsidRDefault="00A7108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53001A41" w14:textId="77777777" w:rsidR="004664DE" w:rsidRDefault="00A7108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4BAF" w14:textId="77777777" w:rsidR="004664DE" w:rsidRDefault="00A7108E">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0E16307" wp14:editId="31A0AF6A">
          <wp:simplePos x="0" y="0"/>
          <wp:positionH relativeFrom="column">
            <wp:posOffset>-1080111</wp:posOffset>
          </wp:positionH>
          <wp:positionV relativeFrom="paragraph">
            <wp:posOffset>-488286</wp:posOffset>
          </wp:positionV>
          <wp:extent cx="7809865" cy="10165715"/>
          <wp:effectExtent l="0" t="0" r="0" b="0"/>
          <wp:wrapNone/>
          <wp:docPr id="3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7087" w:type="dxa"/>
      <w:tblInd w:w="3261" w:type="dxa"/>
      <w:tblLayout w:type="fixed"/>
      <w:tblLook w:val="0400" w:firstRow="0" w:lastRow="0" w:firstColumn="0" w:lastColumn="0" w:noHBand="0" w:noVBand="1"/>
    </w:tblPr>
    <w:tblGrid>
      <w:gridCol w:w="2489"/>
      <w:gridCol w:w="4598"/>
    </w:tblGrid>
    <w:tr w:rsidR="004664DE" w14:paraId="202B761C" w14:textId="77777777">
      <w:tc>
        <w:tcPr>
          <w:tcW w:w="2489" w:type="dxa"/>
          <w:shd w:val="clear" w:color="auto" w:fill="auto"/>
        </w:tcPr>
        <w:p w14:paraId="00DB5C02" w14:textId="77777777" w:rsidR="004664DE" w:rsidRDefault="00A7108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7A656D9F" w14:textId="77777777" w:rsidR="004664DE" w:rsidRDefault="00A7108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03759/INFOEM/IP/RR/2024</w:t>
          </w:r>
        </w:p>
      </w:tc>
    </w:tr>
    <w:tr w:rsidR="004664DE" w14:paraId="422FD66F" w14:textId="77777777">
      <w:trPr>
        <w:trHeight w:val="228"/>
      </w:trPr>
      <w:tc>
        <w:tcPr>
          <w:tcW w:w="2489" w:type="dxa"/>
          <w:shd w:val="clear" w:color="auto" w:fill="auto"/>
          <w:vAlign w:val="center"/>
        </w:tcPr>
        <w:p w14:paraId="3E5ECD17" w14:textId="77777777" w:rsidR="004664DE" w:rsidRDefault="00A7108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55EEB8AE" w14:textId="77777777" w:rsidR="004664DE" w:rsidRDefault="00A7108E">
          <w:pPr>
            <w:ind w:left="-45" w:right="116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4664DE" w14:paraId="75EDEBE5" w14:textId="77777777">
      <w:tc>
        <w:tcPr>
          <w:tcW w:w="2489" w:type="dxa"/>
          <w:shd w:val="clear" w:color="auto" w:fill="auto"/>
          <w:vAlign w:val="center"/>
        </w:tcPr>
        <w:p w14:paraId="40423764" w14:textId="77777777" w:rsidR="004664DE" w:rsidRDefault="00A7108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4753D3B7" w14:textId="77777777" w:rsidR="004664DE" w:rsidRDefault="00A7108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7F96EB" w14:textId="77777777" w:rsidR="004664DE" w:rsidRDefault="00A7108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269B1" w14:textId="77777777" w:rsidR="004664DE" w:rsidRDefault="00A7108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7C76357E" wp14:editId="5DEF279F">
          <wp:simplePos x="0" y="0"/>
          <wp:positionH relativeFrom="column">
            <wp:posOffset>-1079489</wp:posOffset>
          </wp:positionH>
          <wp:positionV relativeFrom="paragraph">
            <wp:posOffset>-328919</wp:posOffset>
          </wp:positionV>
          <wp:extent cx="7809865" cy="10165715"/>
          <wp:effectExtent l="0" t="0" r="0" b="0"/>
          <wp:wrapNone/>
          <wp:docPr id="3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6945" w:type="dxa"/>
      <w:tblInd w:w="3261" w:type="dxa"/>
      <w:tblLayout w:type="fixed"/>
      <w:tblLook w:val="0400" w:firstRow="0" w:lastRow="0" w:firstColumn="0" w:lastColumn="0" w:noHBand="0" w:noVBand="1"/>
    </w:tblPr>
    <w:tblGrid>
      <w:gridCol w:w="2551"/>
      <w:gridCol w:w="4394"/>
    </w:tblGrid>
    <w:tr w:rsidR="004664DE" w14:paraId="1BF965AF" w14:textId="77777777">
      <w:tc>
        <w:tcPr>
          <w:tcW w:w="2551" w:type="dxa"/>
          <w:shd w:val="clear" w:color="auto" w:fill="auto"/>
          <w:vAlign w:val="center"/>
        </w:tcPr>
        <w:p w14:paraId="73ED607F" w14:textId="77777777" w:rsidR="004664DE" w:rsidRDefault="00A7108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749BE6FD" w14:textId="77777777" w:rsidR="004664DE" w:rsidRDefault="00A7108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03759/INFOEM/IP/RR/2024</w:t>
          </w:r>
        </w:p>
      </w:tc>
    </w:tr>
    <w:tr w:rsidR="004664DE" w14:paraId="66BB942D" w14:textId="77777777">
      <w:trPr>
        <w:trHeight w:val="130"/>
      </w:trPr>
      <w:tc>
        <w:tcPr>
          <w:tcW w:w="2551" w:type="dxa"/>
          <w:shd w:val="clear" w:color="auto" w:fill="auto"/>
          <w:vAlign w:val="center"/>
        </w:tcPr>
        <w:p w14:paraId="49BEA219" w14:textId="77777777" w:rsidR="004664DE" w:rsidRDefault="00A7108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15D636A" w14:textId="0D538352" w:rsidR="004664DE" w:rsidRDefault="00864050">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 XXXXXXXXX </w:t>
          </w:r>
        </w:p>
      </w:tc>
    </w:tr>
    <w:tr w:rsidR="004664DE" w14:paraId="1E4DEFFD" w14:textId="77777777">
      <w:trPr>
        <w:trHeight w:val="228"/>
      </w:trPr>
      <w:tc>
        <w:tcPr>
          <w:tcW w:w="2551" w:type="dxa"/>
          <w:shd w:val="clear" w:color="auto" w:fill="auto"/>
          <w:vAlign w:val="center"/>
        </w:tcPr>
        <w:p w14:paraId="453064CE" w14:textId="77777777" w:rsidR="004664DE" w:rsidRDefault="00A7108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6C98003C" w14:textId="77777777" w:rsidR="004664DE" w:rsidRDefault="00A7108E">
          <w:pPr>
            <w:ind w:left="-4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4664DE" w14:paraId="4D649BAF" w14:textId="77777777">
      <w:tc>
        <w:tcPr>
          <w:tcW w:w="2551" w:type="dxa"/>
          <w:shd w:val="clear" w:color="auto" w:fill="auto"/>
          <w:vAlign w:val="center"/>
        </w:tcPr>
        <w:p w14:paraId="2EFC8FDB" w14:textId="77777777" w:rsidR="004664DE" w:rsidRDefault="00A7108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2A27A152" w14:textId="77777777" w:rsidR="004664DE" w:rsidRDefault="00A7108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7B55AB3" w14:textId="77777777" w:rsidR="004664DE" w:rsidRDefault="004664DE">
    <w:pPr>
      <w:pBdr>
        <w:top w:val="nil"/>
        <w:left w:val="nil"/>
        <w:bottom w:val="nil"/>
        <w:right w:val="nil"/>
        <w:between w:val="nil"/>
      </w:pBdr>
      <w:tabs>
        <w:tab w:val="center" w:pos="4252"/>
        <w:tab w:val="right" w:pos="8504"/>
      </w:tabs>
      <w:rPr>
        <w:rFonts w:ascii="Cambria" w:eastAsia="Cambria" w:hAnsi="Cambria" w:cs="Cambria"/>
        <w:color w:val="000000"/>
      </w:rPr>
    </w:pPr>
  </w:p>
  <w:p w14:paraId="73653B7F" w14:textId="77777777" w:rsidR="004664DE" w:rsidRDefault="004664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B6CC5"/>
    <w:multiLevelType w:val="multilevel"/>
    <w:tmpl w:val="459248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9924B0"/>
    <w:multiLevelType w:val="multilevel"/>
    <w:tmpl w:val="5B86A7D6"/>
    <w:lvl w:ilvl="0">
      <w:start w:val="3"/>
      <w:numFmt w:val="bullet"/>
      <w:lvlText w:val="-"/>
      <w:lvlJc w:val="left"/>
      <w:pPr>
        <w:ind w:left="927" w:hanging="360"/>
      </w:pPr>
      <w:rPr>
        <w:rFonts w:ascii="Palatino Linotype" w:eastAsia="Palatino Linotype" w:hAnsi="Palatino Linotype" w:cs="Palatino Linotype"/>
        <w:b/>
        <w:i/>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23430518"/>
    <w:multiLevelType w:val="multilevel"/>
    <w:tmpl w:val="57D85466"/>
    <w:lvl w:ilvl="0">
      <w:start w:val="3"/>
      <w:numFmt w:val="bullet"/>
      <w:lvlText w:val="-"/>
      <w:lvlJc w:val="left"/>
      <w:pPr>
        <w:ind w:left="927" w:hanging="360"/>
      </w:pPr>
      <w:rPr>
        <w:rFonts w:ascii="Palatino Linotype" w:eastAsia="Palatino Linotype" w:hAnsi="Palatino Linotype" w:cs="Palatino Linotype"/>
        <w:b/>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F31641"/>
    <w:multiLevelType w:val="multilevel"/>
    <w:tmpl w:val="CB9A7E0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1D753EB"/>
    <w:multiLevelType w:val="multilevel"/>
    <w:tmpl w:val="64E8921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4DE"/>
    <w:rsid w:val="0012364D"/>
    <w:rsid w:val="004664DE"/>
    <w:rsid w:val="005D0323"/>
    <w:rsid w:val="00684853"/>
    <w:rsid w:val="006A6476"/>
    <w:rsid w:val="007B7F65"/>
    <w:rsid w:val="007E7745"/>
    <w:rsid w:val="00864050"/>
    <w:rsid w:val="008B3540"/>
    <w:rsid w:val="00A7108E"/>
    <w:rsid w:val="00AD10E9"/>
    <w:rsid w:val="00DE61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271EE"/>
  <w15:docId w15:val="{AD839587-779E-40AC-92B9-884AFE76C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422"/>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character" w:styleId="Hipervnculo">
    <w:name w:val="Hyperlink"/>
    <w:basedOn w:val="Fuentedeprrafopredeter"/>
    <w:uiPriority w:val="99"/>
    <w:semiHidden/>
    <w:unhideWhenUsed/>
    <w:rsid w:val="009C2C49"/>
    <w:rPr>
      <w:color w:val="0000FF"/>
      <w:u w:val="single"/>
    </w:r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2d7SmTM/inS9N/LjlMu+XesgbQ==">CgMxLjAyCWguMWZvYjl0ZTIIaC5namRneHMyCWguM2R5NnZrbTIJaC4zMGowemxsMgloLjJzOGV5bzEyCGgudHlqY3d0MgloLjN6bnlzaDcyCWguMzVua3VuMjIOaC5kdWhucjBhdW5mZTYyDmguYXQ4emp0ZWswcTU5Mg5oLmlqdjk4cG50Y2Q1czIJaC4yNmluMXJnMgloLjNyZGNyam4yCWguMXQzaDVzZjgAciExb2EweWMxM2tmUkVnZEdmZ3RReW1CMEtLQ2JuVlFvO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43</Pages>
  <Words>10656</Words>
  <Characters>58610</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2024-09-13T17:02:00Z</cp:lastPrinted>
  <dcterms:created xsi:type="dcterms:W3CDTF">2024-09-24T20:09:00Z</dcterms:created>
  <dcterms:modified xsi:type="dcterms:W3CDTF">2024-09-24T20:09:00Z</dcterms:modified>
</cp:coreProperties>
</file>