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0695" w14:textId="09F77BFB" w:rsidR="00710AB2" w:rsidRDefault="00391A68">
      <w:pPr>
        <w:spacing w:before="240" w:after="240"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Pr>
          <w:rFonts w:ascii="Palatino Linotype" w:eastAsia="Palatino Linotype" w:hAnsi="Palatino Linotype" w:cs="Palatino Linotype"/>
          <w:color w:val="000000"/>
          <w:sz w:val="22"/>
          <w:szCs w:val="22"/>
        </w:rPr>
        <w:t xml:space="preserve">a </w:t>
      </w:r>
      <w:r w:rsidR="002A3648">
        <w:rPr>
          <w:rFonts w:ascii="Palatino Linotype" w:eastAsia="Palatino Linotype" w:hAnsi="Palatino Linotype" w:cs="Palatino Linotype"/>
          <w:b/>
          <w:color w:val="000000"/>
          <w:sz w:val="22"/>
          <w:szCs w:val="22"/>
        </w:rPr>
        <w:t>cuatro de diciembre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sz w:val="22"/>
          <w:szCs w:val="22"/>
        </w:rPr>
        <w:t>de dos mil veinticuatro</w:t>
      </w:r>
      <w:r>
        <w:rPr>
          <w:rFonts w:ascii="Palatino Linotype" w:eastAsia="Palatino Linotype" w:hAnsi="Palatino Linotype" w:cs="Palatino Linotype"/>
          <w:sz w:val="22"/>
          <w:szCs w:val="22"/>
        </w:rPr>
        <w:t xml:space="preserve">. </w:t>
      </w:r>
    </w:p>
    <w:p w14:paraId="12B05F91" w14:textId="4E3E85B7" w:rsidR="00710AB2" w:rsidRDefault="00391A68">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Vistos</w:t>
      </w:r>
      <w:r>
        <w:rPr>
          <w:rFonts w:ascii="Palatino Linotype" w:eastAsia="Palatino Linotype" w:hAnsi="Palatino Linotype" w:cs="Palatino Linotype"/>
          <w:sz w:val="22"/>
          <w:szCs w:val="22"/>
        </w:rPr>
        <w:t xml:space="preserve"> los expedientes formados con motivo de los recursos de revisión </w:t>
      </w:r>
      <w:r>
        <w:rPr>
          <w:rFonts w:ascii="Palatino Linotype" w:eastAsia="Palatino Linotype" w:hAnsi="Palatino Linotype" w:cs="Palatino Linotype"/>
          <w:b/>
          <w:sz w:val="22"/>
          <w:szCs w:val="22"/>
        </w:rPr>
        <w:t xml:space="preserve">06874/INFOEM/IP/RR/2024, 06875/INFOEM/IP/RR/2024, 06876/INFOEM/IP/RR/2024, 06877/INFOEM/IP/RR/2024, 06878/INFOEM/IP/RR/2024 y 06879/INFOEM/IP/RR/2024 acumulados, </w:t>
      </w:r>
      <w:r>
        <w:rPr>
          <w:rFonts w:ascii="Palatino Linotype" w:eastAsia="Palatino Linotype" w:hAnsi="Palatino Linotype" w:cs="Palatino Linotype"/>
          <w:sz w:val="22"/>
          <w:szCs w:val="22"/>
        </w:rPr>
        <w:t>interpuestos por</w:t>
      </w:r>
      <w:r>
        <w:rPr>
          <w:rFonts w:ascii="Palatino Linotype" w:eastAsia="Palatino Linotype" w:hAnsi="Palatino Linotype" w:cs="Palatino Linotype"/>
          <w:b/>
          <w:sz w:val="22"/>
          <w:szCs w:val="22"/>
        </w:rPr>
        <w:t xml:space="preserve"> un particular de manera anónima, </w:t>
      </w:r>
      <w:r>
        <w:rPr>
          <w:rFonts w:ascii="Palatino Linotype" w:eastAsia="Palatino Linotype" w:hAnsi="Palatino Linotype" w:cs="Palatino Linotype"/>
          <w:sz w:val="22"/>
          <w:szCs w:val="22"/>
        </w:rPr>
        <w:t>quien en lo sucesivo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será identificado como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en contra de las respuestas en las solicitudes de información con número de folio </w:t>
      </w:r>
      <w:r>
        <w:rPr>
          <w:rFonts w:ascii="Palatino Linotype" w:eastAsia="Palatino Linotype" w:hAnsi="Palatino Linotype" w:cs="Palatino Linotype"/>
          <w:b/>
          <w:sz w:val="22"/>
          <w:szCs w:val="22"/>
        </w:rPr>
        <w:t xml:space="preserve">00674/TEMAMATL/IP/2024, 00673/TEMAMATL/IP/2024, 00672/TEMAMATL/IP/2024, 00671/TEMAMATL/IP/2024, 00670/TEMAMATL/IP/2024 y 00669/TEMAMATL/IP/2024, </w:t>
      </w:r>
      <w:r>
        <w:rPr>
          <w:rFonts w:ascii="Palatino Linotype" w:eastAsia="Palatino Linotype" w:hAnsi="Palatino Linotype" w:cs="Palatino Linotype"/>
          <w:sz w:val="22"/>
          <w:szCs w:val="22"/>
        </w:rPr>
        <w:t>por parte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 xml:space="preserve">Ayuntamiento de Temamatla,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r w:rsidR="002F1C48">
        <w:rPr>
          <w:rFonts w:ascii="Palatino Linotype" w:eastAsia="Palatino Linotype" w:hAnsi="Palatino Linotype" w:cs="Palatino Linotype"/>
          <w:sz w:val="22"/>
          <w:szCs w:val="22"/>
        </w:rPr>
        <w:t xml:space="preserve">     </w:t>
      </w:r>
    </w:p>
    <w:p w14:paraId="134F0490" w14:textId="77777777" w:rsidR="00710AB2" w:rsidRDefault="00391A68">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596EB558" w14:textId="77777777" w:rsidR="00710AB2" w:rsidRDefault="00391A68">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b/>
          <w:sz w:val="22"/>
          <w:szCs w:val="22"/>
        </w:rPr>
        <w:t>1. Solicitudes de acceso a la información.</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ocho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 xml:space="preserve">de octubre </w:t>
      </w:r>
      <w:r>
        <w:rPr>
          <w:rFonts w:ascii="Palatino Linotype" w:eastAsia="Palatino Linotype" w:hAnsi="Palatino Linotype" w:cs="Palatino Linotype"/>
          <w:b/>
          <w:sz w:val="22"/>
          <w:szCs w:val="22"/>
        </w:rPr>
        <w:t>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formuló solicitudes de acceso a información pública a través del Sistema de Acceso a la Información Mexiquense (SAIMEX)</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en las que requirió lo siguiente:</w:t>
      </w:r>
    </w:p>
    <w:tbl>
      <w:tblPr>
        <w:tblStyle w:val="af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710AB2" w14:paraId="3BE7C51C" w14:textId="77777777">
        <w:tc>
          <w:tcPr>
            <w:tcW w:w="3823" w:type="dxa"/>
            <w:shd w:val="clear" w:color="auto" w:fill="F9EC9D"/>
          </w:tcPr>
          <w:p w14:paraId="072FD12E" w14:textId="77777777" w:rsidR="00710AB2" w:rsidRDefault="00391A68">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Número de solicitud y recurso de revisión</w:t>
            </w:r>
          </w:p>
        </w:tc>
        <w:tc>
          <w:tcPr>
            <w:tcW w:w="5098" w:type="dxa"/>
            <w:shd w:val="clear" w:color="auto" w:fill="F9EC9D"/>
          </w:tcPr>
          <w:p w14:paraId="50788DE1" w14:textId="77777777" w:rsidR="00710AB2" w:rsidRDefault="00391A68">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Información requerida</w:t>
            </w:r>
          </w:p>
        </w:tc>
      </w:tr>
      <w:tr w:rsidR="00710AB2" w14:paraId="0F30F1B1" w14:textId="77777777">
        <w:tc>
          <w:tcPr>
            <w:tcW w:w="3823" w:type="dxa"/>
          </w:tcPr>
          <w:p w14:paraId="45818AE1"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00674/TEMAMATL/IP/2024,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06874/INFOEM/IP/RR/2024</w:t>
            </w:r>
          </w:p>
        </w:tc>
        <w:tc>
          <w:tcPr>
            <w:tcW w:w="5098" w:type="dxa"/>
          </w:tcPr>
          <w:p w14:paraId="15B9AD10"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LA </w:t>
            </w:r>
            <w:r>
              <w:rPr>
                <w:rFonts w:ascii="Palatino Linotype" w:eastAsia="Palatino Linotype" w:hAnsi="Palatino Linotype" w:cs="Palatino Linotype"/>
                <w:b/>
                <w:i/>
                <w:sz w:val="20"/>
                <w:szCs w:val="20"/>
                <w:u w:val="single"/>
              </w:rPr>
              <w:t>CUANTIFICACION DEL GASTO POR CONCEPTO DE LOS APOYOS ECONOMICOS Y EN ESPECIE OTORGADOS O DESTINADOS</w:t>
            </w:r>
            <w:r>
              <w:rPr>
                <w:rFonts w:ascii="Palatino Linotype" w:eastAsia="Palatino Linotype" w:hAnsi="Palatino Linotype" w:cs="Palatino Linotype"/>
                <w:i/>
                <w:sz w:val="20"/>
                <w:szCs w:val="20"/>
              </w:rPr>
              <w:t xml:space="preserve"> A ACTIVIDADES CIVICO - CULTURALES Y DEPORTIVAS POR EL PRESIENTE MUNICIPAL EN </w:t>
            </w:r>
            <w:r>
              <w:rPr>
                <w:rFonts w:ascii="Palatino Linotype" w:eastAsia="Palatino Linotype" w:hAnsi="Palatino Linotype" w:cs="Palatino Linotype"/>
                <w:i/>
                <w:sz w:val="20"/>
                <w:szCs w:val="20"/>
              </w:rPr>
              <w:lastRenderedPageBreak/>
              <w:t xml:space="preserve">LA CABECERA MUNICIPAL Y DELEGACIONES, FAVOR DE AJUNTAR POLIZAS DE EGRESOS DE LOS GASTOS REALIZADOS CON FACTURA Y RESPALDO DEL MISMO DURANTE LOS AÑOS 2022, 2023 Y 2024” (Sic) </w:t>
            </w:r>
          </w:p>
        </w:tc>
      </w:tr>
      <w:tr w:rsidR="00710AB2" w14:paraId="7007456C" w14:textId="77777777">
        <w:tc>
          <w:tcPr>
            <w:tcW w:w="3823" w:type="dxa"/>
          </w:tcPr>
          <w:p w14:paraId="63B4D396" w14:textId="77777777" w:rsidR="00710AB2" w:rsidRDefault="00391A68">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lastRenderedPageBreak/>
              <w:t xml:space="preserve">00673/TEMAMATL/IP/2024,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06875/INFOEM/IP/RR/2024</w:t>
            </w:r>
          </w:p>
        </w:tc>
        <w:tc>
          <w:tcPr>
            <w:tcW w:w="5098" w:type="dxa"/>
          </w:tcPr>
          <w:p w14:paraId="2B261BDA"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LA </w:t>
            </w:r>
            <w:r>
              <w:rPr>
                <w:rFonts w:ascii="Palatino Linotype" w:eastAsia="Palatino Linotype" w:hAnsi="Palatino Linotype" w:cs="Palatino Linotype"/>
                <w:b/>
                <w:i/>
                <w:sz w:val="20"/>
                <w:szCs w:val="20"/>
                <w:u w:val="single"/>
              </w:rPr>
              <w:t>CUANTIFICACION DEL GASTO POR CONCEPTO DE LOS APOYOS ECONOMICOS OTORGADOS POR EL PRESIENTE MUNICIPAL EN LA CABECERA MUNICIPAL Y DELEGACIONES</w:t>
            </w:r>
            <w:r>
              <w:rPr>
                <w:rFonts w:ascii="Palatino Linotype" w:eastAsia="Palatino Linotype" w:hAnsi="Palatino Linotype" w:cs="Palatino Linotype"/>
                <w:i/>
                <w:sz w:val="20"/>
                <w:szCs w:val="20"/>
              </w:rPr>
              <w:t xml:space="preserve">, FAVOR DE AJUNTAR POLIZAS DE EGRESOS DE LOS GASTOS REALIZADOS CON FACTURA Y RESPALDO DEL MISMO DURANTE LOS AÑOS 2022, 2023 Y 2024” (Sic) </w:t>
            </w:r>
          </w:p>
        </w:tc>
      </w:tr>
      <w:tr w:rsidR="00710AB2" w14:paraId="6C45B01B" w14:textId="77777777">
        <w:tc>
          <w:tcPr>
            <w:tcW w:w="3823" w:type="dxa"/>
          </w:tcPr>
          <w:p w14:paraId="61FF2828"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00672/TEMAMATL/IP/2024,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06876/INFOEM/IP/RR/2024</w:t>
            </w:r>
          </w:p>
        </w:tc>
        <w:tc>
          <w:tcPr>
            <w:tcW w:w="5098" w:type="dxa"/>
          </w:tcPr>
          <w:p w14:paraId="14B48457"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LA </w:t>
            </w:r>
            <w:r>
              <w:rPr>
                <w:rFonts w:ascii="Palatino Linotype" w:eastAsia="Palatino Linotype" w:hAnsi="Palatino Linotype" w:cs="Palatino Linotype"/>
                <w:b/>
                <w:i/>
                <w:sz w:val="20"/>
                <w:szCs w:val="20"/>
                <w:u w:val="single"/>
              </w:rPr>
              <w:t>CUANTIFICACION DEL GASTO POR CONCEPTO DE LOS APOYOS EN ESPECIE OTORGADOS A GRUPOS VOLUNTARIOS, GRUPOS RELIGIOSOS Y MAYORDOMIAS</w:t>
            </w:r>
            <w:r>
              <w:rPr>
                <w:rFonts w:ascii="Palatino Linotype" w:eastAsia="Palatino Linotype" w:hAnsi="Palatino Linotype" w:cs="Palatino Linotype"/>
                <w:i/>
                <w:sz w:val="20"/>
                <w:szCs w:val="20"/>
              </w:rPr>
              <w:t xml:space="preserve"> POR EL PRESIENTE MUNICIPAL EN LA CABECERA MUNICIPAL Y DELEGACIONES, FAVOR DE AJUNTAR POLIZAS DE EGRESOS DE LOS GASTOS REALIZADOS CON FACTURA Y RESPALDO DEL MISMO DURANTE LOS AÑOS 2022, 2023 Y </w:t>
            </w:r>
            <w:proofErr w:type="gramStart"/>
            <w:r>
              <w:rPr>
                <w:rFonts w:ascii="Palatino Linotype" w:eastAsia="Palatino Linotype" w:hAnsi="Palatino Linotype" w:cs="Palatino Linotype"/>
                <w:i/>
                <w:sz w:val="20"/>
                <w:szCs w:val="20"/>
              </w:rPr>
              <w:t>2024”(</w:t>
            </w:r>
            <w:proofErr w:type="gramEnd"/>
            <w:r>
              <w:rPr>
                <w:rFonts w:ascii="Palatino Linotype" w:eastAsia="Palatino Linotype" w:hAnsi="Palatino Linotype" w:cs="Palatino Linotype"/>
                <w:i/>
                <w:sz w:val="20"/>
                <w:szCs w:val="20"/>
              </w:rPr>
              <w:t>Sic)</w:t>
            </w:r>
          </w:p>
        </w:tc>
      </w:tr>
      <w:tr w:rsidR="00710AB2" w14:paraId="2B53E63F" w14:textId="77777777">
        <w:tc>
          <w:tcPr>
            <w:tcW w:w="3823" w:type="dxa"/>
          </w:tcPr>
          <w:p w14:paraId="4881E5FB"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00671/TEMAMATL/IP/2024,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06877/INFOEM/IP/RR/2024</w:t>
            </w:r>
          </w:p>
        </w:tc>
        <w:tc>
          <w:tcPr>
            <w:tcW w:w="5098" w:type="dxa"/>
          </w:tcPr>
          <w:p w14:paraId="3A60B6DC"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LA </w:t>
            </w:r>
            <w:r>
              <w:rPr>
                <w:rFonts w:ascii="Palatino Linotype" w:eastAsia="Palatino Linotype" w:hAnsi="Palatino Linotype" w:cs="Palatino Linotype"/>
                <w:b/>
                <w:i/>
                <w:sz w:val="20"/>
                <w:szCs w:val="20"/>
                <w:u w:val="single"/>
              </w:rPr>
              <w:t>CUANTIFICACION DEL GASTO POR CONCEPTO DE LOS APOYOS A MAYORDOMIAS, GRUPOS VOLUNTARIOS Y GRUPOS RELIGIOSOS</w:t>
            </w:r>
            <w:r>
              <w:rPr>
                <w:rFonts w:ascii="Palatino Linotype" w:eastAsia="Palatino Linotype" w:hAnsi="Palatino Linotype" w:cs="Palatino Linotype"/>
                <w:i/>
                <w:sz w:val="20"/>
                <w:szCs w:val="20"/>
              </w:rPr>
              <w:t xml:space="preserve"> OTORGADOS POR EL PRESIENTE MUNICIPAL EN LA CABECERA MUNICIPAL Y DELEGACIONES, FAVOR DE AJUNTAR POLIZAS DE EGRESOS DE LOS GASTOS REALIZADOS CON FACTURA Y RESPALDO DEL MISMO DURANTE LOS AÑOS 2022, 2023 Y </w:t>
            </w:r>
            <w:proofErr w:type="gramStart"/>
            <w:r>
              <w:rPr>
                <w:rFonts w:ascii="Palatino Linotype" w:eastAsia="Palatino Linotype" w:hAnsi="Palatino Linotype" w:cs="Palatino Linotype"/>
                <w:i/>
                <w:sz w:val="20"/>
                <w:szCs w:val="20"/>
              </w:rPr>
              <w:t>2024”(</w:t>
            </w:r>
            <w:proofErr w:type="gramEnd"/>
            <w:r>
              <w:rPr>
                <w:rFonts w:ascii="Palatino Linotype" w:eastAsia="Palatino Linotype" w:hAnsi="Palatino Linotype" w:cs="Palatino Linotype"/>
                <w:i/>
                <w:sz w:val="20"/>
                <w:szCs w:val="20"/>
              </w:rPr>
              <w:t>Sic)</w:t>
            </w:r>
          </w:p>
        </w:tc>
      </w:tr>
      <w:tr w:rsidR="00710AB2" w14:paraId="60FE78A8" w14:textId="77777777">
        <w:tc>
          <w:tcPr>
            <w:tcW w:w="3823" w:type="dxa"/>
          </w:tcPr>
          <w:p w14:paraId="4CB4CDF0"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00670/TEMAMATL/IP/2024,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06878/INFOEM/IP/RR/2024</w:t>
            </w:r>
          </w:p>
        </w:tc>
        <w:tc>
          <w:tcPr>
            <w:tcW w:w="5098" w:type="dxa"/>
          </w:tcPr>
          <w:p w14:paraId="4F4D3BDD"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LA </w:t>
            </w:r>
            <w:r>
              <w:rPr>
                <w:rFonts w:ascii="Palatino Linotype" w:eastAsia="Palatino Linotype" w:hAnsi="Palatino Linotype" w:cs="Palatino Linotype"/>
                <w:b/>
                <w:i/>
                <w:sz w:val="20"/>
                <w:szCs w:val="20"/>
                <w:u w:val="single"/>
              </w:rPr>
              <w:t>CUANTIFICACION DEL GASTO POR CONCEPTO DE LOS APOYOS EN ESPECIE OTORGADOS POR EL PRESIENTE MUNICIPAL EN LA CABECERA MUNICIPAL Y DELEGACIONES</w:t>
            </w:r>
            <w:r>
              <w:rPr>
                <w:rFonts w:ascii="Palatino Linotype" w:eastAsia="Palatino Linotype" w:hAnsi="Palatino Linotype" w:cs="Palatino Linotype"/>
                <w:i/>
                <w:sz w:val="20"/>
                <w:szCs w:val="20"/>
              </w:rPr>
              <w:t>, FAVOR DE AJUNTAR POLIZAS DE EGRESOS DE LOS GASTOS REALIZADOS CON FACTURA Y RESPALDO DEL MISMO DURANTE LOS AÑOS 2022, 2023 Y 2024” (Sic)</w:t>
            </w:r>
          </w:p>
        </w:tc>
      </w:tr>
      <w:tr w:rsidR="00710AB2" w14:paraId="7ED78EAB" w14:textId="77777777">
        <w:tc>
          <w:tcPr>
            <w:tcW w:w="3823" w:type="dxa"/>
          </w:tcPr>
          <w:p w14:paraId="1D67AA09"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00669/TEMAMATL/IP/2024,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06879/INFOEM/IP/RR/2024</w:t>
            </w:r>
          </w:p>
        </w:tc>
        <w:tc>
          <w:tcPr>
            <w:tcW w:w="5098" w:type="dxa"/>
          </w:tcPr>
          <w:p w14:paraId="2CF2EF6A" w14:textId="77777777" w:rsidR="00710AB2" w:rsidRDefault="00391A68">
            <w:pPr>
              <w:spacing w:before="240" w:after="24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“SOLICITO LA CUANTIFICACION DEL GASTO POR CONCEPTO DE LOS APOYOS ECONOMICOS OTORGADOS POR EL PRESIENTE MUNICIPAL EN LA CABECERA MUNICIPAL Y DELEGACIONES, FAVOR DE AJUNTAR POLIZAS DE EGRESOS DE LOS GASTOS REALIZADOS CON FACTURA Y RESPALDO DEL MISMO DURANTE LOS AÑOS 2022, 2023 Y 2024” (Sic)</w:t>
            </w:r>
          </w:p>
        </w:tc>
      </w:tr>
    </w:tbl>
    <w:p w14:paraId="2E893C2B" w14:textId="77777777" w:rsidR="00710AB2" w:rsidRDefault="00391A68">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 xml:space="preserve">A través del </w:t>
      </w:r>
      <w:r>
        <w:rPr>
          <w:rFonts w:ascii="Palatino Linotype" w:eastAsia="Palatino Linotype" w:hAnsi="Palatino Linotype" w:cs="Palatino Linotype"/>
          <w:b/>
          <w:sz w:val="22"/>
          <w:szCs w:val="22"/>
        </w:rPr>
        <w:t xml:space="preserve">SAIMEX </w:t>
      </w:r>
    </w:p>
    <w:p w14:paraId="61D615C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Respuestas. </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veinticinco de octubre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notificó a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f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710AB2" w14:paraId="1762FC86" w14:textId="77777777">
        <w:tc>
          <w:tcPr>
            <w:tcW w:w="3823" w:type="dxa"/>
            <w:shd w:val="clear" w:color="auto" w:fill="F9EC9D"/>
          </w:tcPr>
          <w:p w14:paraId="6D0F9E62" w14:textId="77777777" w:rsidR="00710AB2" w:rsidRDefault="00391A68">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Número de solicitud y recurso de revisión</w:t>
            </w:r>
          </w:p>
        </w:tc>
        <w:tc>
          <w:tcPr>
            <w:tcW w:w="5098" w:type="dxa"/>
            <w:shd w:val="clear" w:color="auto" w:fill="F9EC9D"/>
          </w:tcPr>
          <w:p w14:paraId="0B3BFCEE" w14:textId="77777777" w:rsidR="00710AB2" w:rsidRDefault="00391A68">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t>Respuesta</w:t>
            </w:r>
          </w:p>
        </w:tc>
      </w:tr>
      <w:tr w:rsidR="00710AB2" w14:paraId="3BEB98FD" w14:textId="77777777">
        <w:tc>
          <w:tcPr>
            <w:tcW w:w="3823" w:type="dxa"/>
          </w:tcPr>
          <w:p w14:paraId="4B7E4DC9"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00674/TEMAMATL/IP/2024,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06874/INFOEM/IP/RR/2024</w:t>
            </w:r>
          </w:p>
        </w:tc>
        <w:tc>
          <w:tcPr>
            <w:tcW w:w="5098" w:type="dxa"/>
          </w:tcPr>
          <w:p w14:paraId="477AFF32" w14:textId="77777777" w:rsidR="00710AB2" w:rsidRPr="001E07F4" w:rsidRDefault="00391A68">
            <w:pPr>
              <w:spacing w:before="240" w:after="240"/>
              <w:jc w:val="both"/>
              <w:rPr>
                <w:rFonts w:ascii="Palatino Linotype" w:eastAsia="Palatino Linotype" w:hAnsi="Palatino Linotype" w:cs="Palatino Linotype"/>
                <w:b/>
                <w:sz w:val="18"/>
                <w:szCs w:val="20"/>
              </w:rPr>
            </w:pPr>
            <w:r w:rsidRPr="001E07F4">
              <w:rPr>
                <w:rFonts w:ascii="Palatino Linotype" w:eastAsia="Palatino Linotype" w:hAnsi="Palatino Linotype" w:cs="Palatino Linotype"/>
                <w:b/>
                <w:sz w:val="18"/>
                <w:szCs w:val="20"/>
              </w:rPr>
              <w:t>Archivos adjuntos:</w:t>
            </w:r>
          </w:p>
          <w:p w14:paraId="549CFF93"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“SOL_00674.pdf”: </w:t>
            </w:r>
            <w:r w:rsidRPr="001E07F4">
              <w:rPr>
                <w:rFonts w:ascii="Palatino Linotype" w:eastAsia="Palatino Linotype" w:hAnsi="Palatino Linotype" w:cs="Palatino Linotype"/>
                <w:sz w:val="18"/>
                <w:szCs w:val="20"/>
              </w:rPr>
              <w:t xml:space="preserve">Oficio MT/TESORERIAMPAL/OI/530/2024, suscrito por la Tesorera Municipal, por el cual propone el cambio de modalidad a consulta directa, derivado de la cantidad, volumen, recursos </w:t>
            </w:r>
            <w:r w:rsidRPr="001E07F4">
              <w:rPr>
                <w:rFonts w:ascii="Palatino Linotype" w:eastAsia="Palatino Linotype" w:hAnsi="Palatino Linotype" w:cs="Palatino Linotype"/>
                <w:sz w:val="18"/>
                <w:szCs w:val="20"/>
              </w:rPr>
              <w:lastRenderedPageBreak/>
              <w:t xml:space="preserve">materiales y humanos con los que cuenta dicha dirección son limitados. </w:t>
            </w:r>
          </w:p>
          <w:p w14:paraId="26057F26"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r w:rsidR="00710AB2" w14:paraId="028F24C5" w14:textId="77777777">
        <w:tc>
          <w:tcPr>
            <w:tcW w:w="3823" w:type="dxa"/>
          </w:tcPr>
          <w:p w14:paraId="585906FD" w14:textId="77777777" w:rsidR="00710AB2" w:rsidRDefault="00391A68">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sz w:val="20"/>
                <w:szCs w:val="20"/>
              </w:rPr>
              <w:lastRenderedPageBreak/>
              <w:t xml:space="preserve">00673/TEMAMATL/IP/2024,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06875/INFOEM/IP/RR/2024</w:t>
            </w:r>
          </w:p>
        </w:tc>
        <w:tc>
          <w:tcPr>
            <w:tcW w:w="5098" w:type="dxa"/>
          </w:tcPr>
          <w:p w14:paraId="6A6DF305"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“SOL_00673.pdf”: </w:t>
            </w:r>
            <w:r w:rsidRPr="001E07F4">
              <w:rPr>
                <w:rFonts w:ascii="Palatino Linotype" w:eastAsia="Palatino Linotype" w:hAnsi="Palatino Linotype" w:cs="Palatino Linotype"/>
                <w:sz w:val="18"/>
                <w:szCs w:val="20"/>
              </w:rPr>
              <w:t xml:space="preserve">Oficio MT/TESORERIAMPAL/OI/529/2024, suscrito por la Tesorera Municipal, por el cual propone el cambio de modalidad a consulta directa, derivado de la cantidad, volumen, recursos materiales y humanos con los que cuenta dicha dirección son limitados. </w:t>
            </w:r>
          </w:p>
          <w:p w14:paraId="1711023A" w14:textId="77777777" w:rsidR="00710AB2" w:rsidRPr="001E07F4" w:rsidRDefault="00391A68">
            <w:pPr>
              <w:spacing w:before="240" w:after="240"/>
              <w:jc w:val="both"/>
              <w:rPr>
                <w:rFonts w:ascii="Palatino Linotype" w:eastAsia="Palatino Linotype" w:hAnsi="Palatino Linotype" w:cs="Palatino Linotype"/>
                <w:i/>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r w:rsidR="00710AB2" w14:paraId="2D8EDEEB" w14:textId="77777777">
        <w:tc>
          <w:tcPr>
            <w:tcW w:w="3823" w:type="dxa"/>
          </w:tcPr>
          <w:p w14:paraId="488247CC"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00672/TEMAMATL/IP/2024,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06876/INFOEM/IP/RR/2024</w:t>
            </w:r>
          </w:p>
        </w:tc>
        <w:tc>
          <w:tcPr>
            <w:tcW w:w="5098" w:type="dxa"/>
          </w:tcPr>
          <w:p w14:paraId="490939B9"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“SOL_00672.pdf”: </w:t>
            </w:r>
            <w:r w:rsidRPr="001E07F4">
              <w:rPr>
                <w:rFonts w:ascii="Palatino Linotype" w:eastAsia="Palatino Linotype" w:hAnsi="Palatino Linotype" w:cs="Palatino Linotype"/>
                <w:sz w:val="18"/>
                <w:szCs w:val="20"/>
              </w:rPr>
              <w:t xml:space="preserve">Oficio MT/TESORERIAMPAL/OI/528/2024, suscrito por la Tesorera Municipal, por el cual propone el cambio de modalidad a consulta directa, derivado de la cantidad, volumen, recursos materiales y humanos con los que cuenta dicha dirección son limitados. </w:t>
            </w:r>
          </w:p>
          <w:p w14:paraId="01F84C2C" w14:textId="77777777" w:rsidR="00710AB2" w:rsidRPr="001E07F4" w:rsidRDefault="00391A68">
            <w:pPr>
              <w:spacing w:before="240" w:after="240"/>
              <w:jc w:val="both"/>
              <w:rPr>
                <w:rFonts w:ascii="Palatino Linotype" w:eastAsia="Palatino Linotype" w:hAnsi="Palatino Linotype" w:cs="Palatino Linotype"/>
                <w:i/>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r w:rsidR="00710AB2" w14:paraId="55B0D47A" w14:textId="77777777">
        <w:tc>
          <w:tcPr>
            <w:tcW w:w="3823" w:type="dxa"/>
          </w:tcPr>
          <w:p w14:paraId="5D0ABA48"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00671/TEMAMATL/IP/2024,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06877/INFOEM/IP/RR/2024</w:t>
            </w:r>
          </w:p>
        </w:tc>
        <w:tc>
          <w:tcPr>
            <w:tcW w:w="5098" w:type="dxa"/>
          </w:tcPr>
          <w:p w14:paraId="7F9955FC"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“SOL_00671.pdf”: </w:t>
            </w:r>
            <w:r w:rsidRPr="001E07F4">
              <w:rPr>
                <w:rFonts w:ascii="Palatino Linotype" w:eastAsia="Palatino Linotype" w:hAnsi="Palatino Linotype" w:cs="Palatino Linotype"/>
                <w:sz w:val="18"/>
                <w:szCs w:val="20"/>
              </w:rPr>
              <w:t xml:space="preserve">Oficio MT/TESORERIAMPAL/OI/527/2024, suscrito por la Tesorera Municipal, por el cual propone el cambio de modalidad a consulta directa, derivado de la cantidad, volumen, recursos materiales y humanos con los que cuenta dicha dirección son limitados. </w:t>
            </w:r>
          </w:p>
          <w:p w14:paraId="3884B216" w14:textId="77777777" w:rsidR="00710AB2" w:rsidRPr="001E07F4" w:rsidRDefault="00391A68">
            <w:pPr>
              <w:spacing w:before="240" w:after="240"/>
              <w:jc w:val="both"/>
              <w:rPr>
                <w:rFonts w:ascii="Palatino Linotype" w:eastAsia="Palatino Linotype" w:hAnsi="Palatino Linotype" w:cs="Palatino Linotype"/>
                <w:i/>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r w:rsidR="00710AB2" w14:paraId="3163B758" w14:textId="77777777">
        <w:tc>
          <w:tcPr>
            <w:tcW w:w="3823" w:type="dxa"/>
          </w:tcPr>
          <w:p w14:paraId="7BD42807"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 xml:space="preserve">00670/TEMAMATL/IP/2024,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06878/INFOEM/IP/RR/2024</w:t>
            </w:r>
          </w:p>
        </w:tc>
        <w:tc>
          <w:tcPr>
            <w:tcW w:w="5098" w:type="dxa"/>
          </w:tcPr>
          <w:p w14:paraId="1510A156"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“SOL_00670.pdf”: </w:t>
            </w:r>
            <w:r w:rsidRPr="001E07F4">
              <w:rPr>
                <w:rFonts w:ascii="Palatino Linotype" w:eastAsia="Palatino Linotype" w:hAnsi="Palatino Linotype" w:cs="Palatino Linotype"/>
                <w:sz w:val="18"/>
                <w:szCs w:val="20"/>
              </w:rPr>
              <w:t xml:space="preserve">Oficio MT/TESORERIAMPAL/OI/526/2024, suscrito por la Tesorera Municipal, por el cual propone el cambio de modalidad a consulta directa, derivado de la cantidad, volumen, recursos materiales y humanos con los que cuenta dicha dirección son limitados. </w:t>
            </w:r>
          </w:p>
          <w:p w14:paraId="3A0A1F68" w14:textId="77777777" w:rsidR="00710AB2" w:rsidRPr="001E07F4" w:rsidRDefault="00391A68">
            <w:pPr>
              <w:spacing w:before="240" w:after="240"/>
              <w:jc w:val="both"/>
              <w:rPr>
                <w:rFonts w:ascii="Palatino Linotype" w:eastAsia="Palatino Linotype" w:hAnsi="Palatino Linotype" w:cs="Palatino Linotype"/>
                <w:i/>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r w:rsidR="00710AB2" w14:paraId="3C8C1BC1" w14:textId="77777777">
        <w:tc>
          <w:tcPr>
            <w:tcW w:w="3823" w:type="dxa"/>
          </w:tcPr>
          <w:p w14:paraId="597D6749" w14:textId="77777777" w:rsidR="00710AB2" w:rsidRDefault="00391A68">
            <w:pPr>
              <w:spacing w:before="240" w:after="240"/>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00669/TEMAMATL/IP/2024, </w:t>
            </w:r>
            <w:r>
              <w:rPr>
                <w:rFonts w:ascii="Palatino Linotype" w:eastAsia="Palatino Linotype" w:hAnsi="Palatino Linotype" w:cs="Palatino Linotype"/>
                <w:sz w:val="20"/>
                <w:szCs w:val="20"/>
              </w:rPr>
              <w:t>correspondiente al Recurso de Revisión</w:t>
            </w:r>
            <w:r>
              <w:rPr>
                <w:rFonts w:ascii="Palatino Linotype" w:eastAsia="Palatino Linotype" w:hAnsi="Palatino Linotype" w:cs="Palatino Linotype"/>
                <w:b/>
                <w:sz w:val="20"/>
                <w:szCs w:val="20"/>
              </w:rPr>
              <w:t xml:space="preserve">      06879/INFOEM/IP/RR/2024</w:t>
            </w:r>
          </w:p>
        </w:tc>
        <w:tc>
          <w:tcPr>
            <w:tcW w:w="5098" w:type="dxa"/>
          </w:tcPr>
          <w:p w14:paraId="3AF03DD3" w14:textId="77777777" w:rsidR="00710AB2" w:rsidRPr="001E07F4" w:rsidRDefault="00391A68">
            <w:pPr>
              <w:spacing w:before="240" w:after="240"/>
              <w:jc w:val="both"/>
              <w:rPr>
                <w:rFonts w:ascii="Palatino Linotype" w:eastAsia="Palatino Linotype" w:hAnsi="Palatino Linotype" w:cs="Palatino Linotype"/>
                <w:sz w:val="18"/>
                <w:szCs w:val="20"/>
              </w:rPr>
            </w:pPr>
            <w:r w:rsidRPr="001E07F4">
              <w:rPr>
                <w:rFonts w:ascii="Palatino Linotype" w:eastAsia="Palatino Linotype" w:hAnsi="Palatino Linotype" w:cs="Palatino Linotype"/>
                <w:b/>
                <w:i/>
                <w:sz w:val="18"/>
                <w:szCs w:val="20"/>
              </w:rPr>
              <w:t xml:space="preserve">“SOL_00669.pdf”: </w:t>
            </w:r>
            <w:r w:rsidRPr="001E07F4">
              <w:rPr>
                <w:rFonts w:ascii="Palatino Linotype" w:eastAsia="Palatino Linotype" w:hAnsi="Palatino Linotype" w:cs="Palatino Linotype"/>
                <w:sz w:val="18"/>
                <w:szCs w:val="20"/>
              </w:rPr>
              <w:t xml:space="preserve">Oficio MT/TESORERIAMPAL/OI/525/2024, suscrito por la Tesorera Municipal, por el cual propone el cambio de modalidad a consulta directa, derivado de la cantidad, volumen, recursos materiales y humanos con los que cuenta dicha dirección son limitados. </w:t>
            </w:r>
          </w:p>
          <w:p w14:paraId="2D80AD7B" w14:textId="77777777" w:rsidR="00710AB2" w:rsidRPr="001E07F4" w:rsidRDefault="00391A68">
            <w:pPr>
              <w:spacing w:before="240" w:after="240"/>
              <w:jc w:val="both"/>
              <w:rPr>
                <w:rFonts w:ascii="Palatino Linotype" w:eastAsia="Palatino Linotype" w:hAnsi="Palatino Linotype" w:cs="Palatino Linotype"/>
                <w:i/>
                <w:sz w:val="18"/>
                <w:szCs w:val="20"/>
              </w:rPr>
            </w:pPr>
            <w:r w:rsidRPr="001E07F4">
              <w:rPr>
                <w:rFonts w:ascii="Palatino Linotype" w:eastAsia="Palatino Linotype" w:hAnsi="Palatino Linotype" w:cs="Palatino Linotype"/>
                <w:b/>
                <w:i/>
                <w:sz w:val="18"/>
                <w:szCs w:val="20"/>
              </w:rPr>
              <w:t xml:space="preserve">“ACTA 85.pdf”: </w:t>
            </w:r>
            <w:r w:rsidRPr="001E07F4">
              <w:rPr>
                <w:rFonts w:ascii="Palatino Linotype" w:eastAsia="Palatino Linotype" w:hAnsi="Palatino Linotype" w:cs="Palatino Linotype"/>
                <w:sz w:val="18"/>
                <w:szCs w:val="20"/>
              </w:rPr>
              <w:t>Acta de la Octagésima Quinta Sesión Ordinaria del Comité de Transparencia, por la cual se aprueba el cambio de modalidad a consulta directa.</w:t>
            </w:r>
          </w:p>
        </w:tc>
      </w:tr>
    </w:tbl>
    <w:p w14:paraId="66118D4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Interposición de los recursos de revisión.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treinta de octubre de dos mil veinticuatro, la parte Recurrente, </w:t>
      </w:r>
      <w:r>
        <w:rPr>
          <w:rFonts w:ascii="Palatino Linotype" w:eastAsia="Palatino Linotype" w:hAnsi="Palatino Linotype" w:cs="Palatino Linotype"/>
          <w:sz w:val="22"/>
          <w:szCs w:val="22"/>
        </w:rPr>
        <w:t xml:space="preserve">inconforme con las respuestas, interpuso los recursos de revisión que nos ocupan, expresando en la totalidad de los </w:t>
      </w:r>
      <w:r>
        <w:rPr>
          <w:rFonts w:ascii="Palatino Linotype" w:eastAsia="Palatino Linotype" w:hAnsi="Palatino Linotype" w:cs="Palatino Linotype"/>
          <w:color w:val="000000"/>
          <w:sz w:val="22"/>
          <w:szCs w:val="22"/>
        </w:rPr>
        <w:t xml:space="preserve">expedientes, lo </w:t>
      </w:r>
      <w:r>
        <w:rPr>
          <w:rFonts w:ascii="Palatino Linotype" w:eastAsia="Palatino Linotype" w:hAnsi="Palatino Linotype" w:cs="Palatino Linotype"/>
          <w:sz w:val="22"/>
          <w:szCs w:val="22"/>
        </w:rPr>
        <w:t>siguiente:</w:t>
      </w:r>
    </w:p>
    <w:p w14:paraId="4A66F381"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 Acto impugnado:</w:t>
      </w:r>
      <w: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RESPUESTA OTORGADA”</w:t>
      </w:r>
    </w:p>
    <w:p w14:paraId="6A98739A"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b) Razones o Motivos de Inconformidad:</w:t>
      </w:r>
      <w: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w:t>
      </w:r>
      <w:r>
        <w:rPr>
          <w:rFonts w:ascii="Palatino Linotype" w:eastAsia="Palatino Linotype" w:hAnsi="Palatino Linotype" w:cs="Palatino Linotype"/>
          <w:i/>
          <w:sz w:val="22"/>
          <w:szCs w:val="22"/>
        </w:rPr>
        <w:lastRenderedPageBreak/>
        <w:t xml:space="preserve">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w:t>
      </w:r>
      <w:proofErr w:type="gramStart"/>
      <w:r>
        <w:rPr>
          <w:rFonts w:ascii="Palatino Linotype" w:eastAsia="Palatino Linotype" w:hAnsi="Palatino Linotype" w:cs="Palatino Linotype"/>
          <w:i/>
          <w:sz w:val="22"/>
          <w:szCs w:val="22"/>
        </w:rPr>
        <w:t>Enero</w:t>
      </w:r>
      <w:proofErr w:type="gramEnd"/>
      <w:r>
        <w:rPr>
          <w:rFonts w:ascii="Palatino Linotype" w:eastAsia="Palatino Linotype" w:hAnsi="Palatino Linotype" w:cs="Palatino Linotype"/>
          <w:i/>
          <w:sz w:val="22"/>
          <w:szCs w:val="22"/>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w:t>
      </w:r>
      <w:r>
        <w:rPr>
          <w:rFonts w:ascii="Palatino Linotype" w:eastAsia="Palatino Linotype" w:hAnsi="Palatino Linotype" w:cs="Palatino Linotype"/>
          <w:i/>
          <w:sz w:val="22"/>
          <w:szCs w:val="22"/>
        </w:rPr>
        <w:lastRenderedPageBreak/>
        <w:t>el modo de entrega que elija el interesado, por ser su derecho de acceder y disponer de la información de la forma que le permita de mejor manera su manejo y disposición. DÉCIMO OCTAVO TRIBUNAL COLEGIADO EN MATERIA ADMINISTRATIVA DEL PRIMER CIRCUITO.”</w:t>
      </w:r>
    </w:p>
    <w:p w14:paraId="7597CFAE"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Turnos. </w:t>
      </w:r>
      <w:r>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f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710AB2" w14:paraId="35132431" w14:textId="77777777">
        <w:tc>
          <w:tcPr>
            <w:tcW w:w="4460" w:type="dxa"/>
            <w:shd w:val="clear" w:color="auto" w:fill="F9EC9D"/>
          </w:tcPr>
          <w:p w14:paraId="5C074643" w14:textId="77777777" w:rsidR="00710AB2" w:rsidRDefault="00391A68">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Recurso de Revisión</w:t>
            </w:r>
          </w:p>
        </w:tc>
        <w:tc>
          <w:tcPr>
            <w:tcW w:w="4461" w:type="dxa"/>
            <w:shd w:val="clear" w:color="auto" w:fill="F9EC9D"/>
          </w:tcPr>
          <w:p w14:paraId="1E1F6284" w14:textId="77777777" w:rsidR="00710AB2" w:rsidRDefault="00391A68">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Comisionada/o</w:t>
            </w:r>
          </w:p>
        </w:tc>
      </w:tr>
      <w:tr w:rsidR="00710AB2" w14:paraId="23AE4EB2" w14:textId="77777777">
        <w:tc>
          <w:tcPr>
            <w:tcW w:w="4460" w:type="dxa"/>
          </w:tcPr>
          <w:p w14:paraId="3A603528" w14:textId="77777777" w:rsidR="00710AB2" w:rsidRDefault="00391A68">
            <w:pPr>
              <w:jc w:val="center"/>
              <w:rPr>
                <w:sz w:val="18"/>
                <w:szCs w:val="18"/>
              </w:rPr>
            </w:pPr>
            <w:r>
              <w:rPr>
                <w:rFonts w:ascii="Palatino Linotype" w:eastAsia="Palatino Linotype" w:hAnsi="Palatino Linotype" w:cs="Palatino Linotype"/>
                <w:b/>
                <w:sz w:val="18"/>
                <w:szCs w:val="18"/>
              </w:rPr>
              <w:t>06874/INFOEM/IP/RR/2024 y 06879/INFOEM/IP/RR/2024</w:t>
            </w:r>
          </w:p>
        </w:tc>
        <w:tc>
          <w:tcPr>
            <w:tcW w:w="4461" w:type="dxa"/>
          </w:tcPr>
          <w:p w14:paraId="17E412B4" w14:textId="77777777" w:rsidR="00710AB2" w:rsidRDefault="00391A68">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Comisionada Guadalupe Ramírez Peña</w:t>
            </w:r>
          </w:p>
        </w:tc>
      </w:tr>
      <w:tr w:rsidR="00710AB2" w14:paraId="5D375E7D" w14:textId="77777777">
        <w:tc>
          <w:tcPr>
            <w:tcW w:w="4460" w:type="dxa"/>
          </w:tcPr>
          <w:p w14:paraId="710DCB31" w14:textId="77777777" w:rsidR="00710AB2" w:rsidRDefault="00391A68">
            <w:pPr>
              <w:jc w:val="center"/>
              <w:rPr>
                <w:sz w:val="18"/>
                <w:szCs w:val="18"/>
              </w:rPr>
            </w:pPr>
            <w:r>
              <w:rPr>
                <w:rFonts w:ascii="Palatino Linotype" w:eastAsia="Palatino Linotype" w:hAnsi="Palatino Linotype" w:cs="Palatino Linotype"/>
                <w:b/>
                <w:sz w:val="18"/>
                <w:szCs w:val="18"/>
              </w:rPr>
              <w:t>06875/INFOEM/IP/RR/2024</w:t>
            </w:r>
          </w:p>
        </w:tc>
        <w:tc>
          <w:tcPr>
            <w:tcW w:w="4461" w:type="dxa"/>
          </w:tcPr>
          <w:p w14:paraId="39391069" w14:textId="77777777" w:rsidR="00710AB2" w:rsidRDefault="00391A68">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Comisionado </w:t>
            </w:r>
            <w:proofErr w:type="gramStart"/>
            <w:r>
              <w:rPr>
                <w:rFonts w:ascii="Palatino Linotype" w:eastAsia="Palatino Linotype" w:hAnsi="Palatino Linotype" w:cs="Palatino Linotype"/>
                <w:b/>
                <w:sz w:val="18"/>
                <w:szCs w:val="18"/>
              </w:rPr>
              <w:t>Presidente</w:t>
            </w:r>
            <w:proofErr w:type="gramEnd"/>
            <w:r>
              <w:rPr>
                <w:rFonts w:ascii="Palatino Linotype" w:eastAsia="Palatino Linotype" w:hAnsi="Palatino Linotype" w:cs="Palatino Linotype"/>
                <w:b/>
                <w:sz w:val="18"/>
                <w:szCs w:val="18"/>
              </w:rPr>
              <w:t xml:space="preserve"> José Martínez Vilchis</w:t>
            </w:r>
          </w:p>
        </w:tc>
      </w:tr>
      <w:tr w:rsidR="00710AB2" w14:paraId="04D3C540" w14:textId="77777777">
        <w:tc>
          <w:tcPr>
            <w:tcW w:w="4460" w:type="dxa"/>
          </w:tcPr>
          <w:p w14:paraId="3030D327" w14:textId="77777777" w:rsidR="00710AB2" w:rsidRDefault="00391A6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06876/INFOEM/IP/RR/2024</w:t>
            </w:r>
          </w:p>
        </w:tc>
        <w:tc>
          <w:tcPr>
            <w:tcW w:w="4461" w:type="dxa"/>
          </w:tcPr>
          <w:p w14:paraId="5C214EAA" w14:textId="77777777" w:rsidR="00710AB2" w:rsidRDefault="00391A68">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Comisionado Luis Gustavo Parra Noriega</w:t>
            </w:r>
          </w:p>
        </w:tc>
      </w:tr>
      <w:tr w:rsidR="00710AB2" w14:paraId="00E9AE6A" w14:textId="77777777">
        <w:tc>
          <w:tcPr>
            <w:tcW w:w="4460" w:type="dxa"/>
          </w:tcPr>
          <w:p w14:paraId="4B42D488" w14:textId="77777777" w:rsidR="00710AB2" w:rsidRDefault="00391A6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06877/INFOEM/IP/RR/2024</w:t>
            </w:r>
          </w:p>
        </w:tc>
        <w:tc>
          <w:tcPr>
            <w:tcW w:w="4461" w:type="dxa"/>
          </w:tcPr>
          <w:p w14:paraId="5DE04CA8" w14:textId="77777777" w:rsidR="00710AB2" w:rsidRDefault="00391A68">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Comisionada Sharon Cristina Morales Martínez</w:t>
            </w:r>
          </w:p>
        </w:tc>
      </w:tr>
      <w:tr w:rsidR="00710AB2" w14:paraId="0FB0ECB0" w14:textId="77777777">
        <w:tc>
          <w:tcPr>
            <w:tcW w:w="4460" w:type="dxa"/>
          </w:tcPr>
          <w:p w14:paraId="1FD4C2C5" w14:textId="77777777" w:rsidR="00710AB2" w:rsidRDefault="00391A68">
            <w:pPr>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06878/INFOEM/IP/RR/2024</w:t>
            </w:r>
          </w:p>
        </w:tc>
        <w:tc>
          <w:tcPr>
            <w:tcW w:w="4461" w:type="dxa"/>
          </w:tcPr>
          <w:p w14:paraId="4040C421" w14:textId="77777777" w:rsidR="00710AB2" w:rsidRDefault="00391A68">
            <w:pPr>
              <w:spacing w:before="240" w:after="240"/>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Comisionada María del Rosario Mejía Ayala</w:t>
            </w:r>
          </w:p>
        </w:tc>
      </w:tr>
    </w:tbl>
    <w:p w14:paraId="1174CAB2"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Admisiones. </w:t>
      </w:r>
      <w:r>
        <w:rPr>
          <w:rFonts w:ascii="Palatino Linotype" w:eastAsia="Palatino Linotype" w:hAnsi="Palatino Linotype" w:cs="Palatino Linotype"/>
          <w:sz w:val="22"/>
          <w:szCs w:val="22"/>
        </w:rPr>
        <w:t xml:space="preserve">Los días </w:t>
      </w:r>
      <w:r>
        <w:rPr>
          <w:rFonts w:ascii="Palatino Linotype" w:eastAsia="Palatino Linotype" w:hAnsi="Palatino Linotype" w:cs="Palatino Linotype"/>
          <w:b/>
          <w:sz w:val="22"/>
          <w:szCs w:val="22"/>
        </w:rPr>
        <w:t>cuatro y cinco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 xml:space="preserve">de noviembre de </w:t>
      </w:r>
      <w:r>
        <w:rPr>
          <w:rFonts w:ascii="Palatino Linotype" w:eastAsia="Palatino Linotype" w:hAnsi="Palatino Linotype" w:cs="Palatino Linotype"/>
          <w:b/>
          <w:sz w:val="22"/>
          <w:szCs w:val="22"/>
        </w:rPr>
        <w:t>dos mil veinticuatro,</w:t>
      </w:r>
      <w:r>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4890CF54" w14:textId="77777777" w:rsidR="00710AB2" w:rsidRDefault="00391A68">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6. Acumulación. </w:t>
      </w:r>
      <w:r>
        <w:rPr>
          <w:rFonts w:ascii="Palatino Linotype" w:eastAsia="Palatino Linotype" w:hAnsi="Palatino Linotype" w:cs="Palatino Linotype"/>
          <w:sz w:val="22"/>
          <w:szCs w:val="22"/>
        </w:rPr>
        <w:t xml:space="preserve">En </w:t>
      </w: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b/>
          <w:color w:val="000000"/>
          <w:sz w:val="22"/>
          <w:szCs w:val="22"/>
        </w:rPr>
        <w:t xml:space="preserve">Cuadragésima Sesión Ordinaria </w:t>
      </w:r>
      <w:r>
        <w:rPr>
          <w:rFonts w:ascii="Palatino Linotype" w:eastAsia="Palatino Linotype" w:hAnsi="Palatino Linotype" w:cs="Palatino Linotype"/>
          <w:sz w:val="22"/>
          <w:szCs w:val="22"/>
        </w:rPr>
        <w:t xml:space="preserve">celebrada el </w:t>
      </w:r>
      <w:r>
        <w:rPr>
          <w:rFonts w:ascii="Palatino Linotype" w:eastAsia="Palatino Linotype" w:hAnsi="Palatino Linotype" w:cs="Palatino Linotype"/>
          <w:b/>
          <w:sz w:val="22"/>
          <w:szCs w:val="22"/>
        </w:rPr>
        <w:t>veintiuno de noviembre de dos mil veinticuatro</w:t>
      </w:r>
      <w:r>
        <w:rPr>
          <w:rFonts w:ascii="Palatino Linotype" w:eastAsia="Palatino Linotype" w:hAnsi="Palatino Linotype" w:cs="Palatino Linotype"/>
          <w:sz w:val="22"/>
          <w:szCs w:val="22"/>
        </w:rPr>
        <w:t xml:space="preserve">, al advertir la conexidad de causa y con la finalidad de </w:t>
      </w:r>
      <w:r>
        <w:rPr>
          <w:rFonts w:ascii="Palatino Linotype" w:eastAsia="Palatino Linotype" w:hAnsi="Palatino Linotype" w:cs="Palatino Linotype"/>
          <w:sz w:val="22"/>
          <w:szCs w:val="22"/>
        </w:rPr>
        <w:lastRenderedPageBreak/>
        <w:t xml:space="preserve">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xml:space="preserve">; es de precisar que dicha situación se notificó a las partes mediante acuerdo vía SAIMEX. </w:t>
      </w:r>
    </w:p>
    <w:p w14:paraId="766E99FC"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Manifestaciones e Informe Justificado. </w:t>
      </w:r>
      <w:r>
        <w:rPr>
          <w:rFonts w:ascii="Palatino Linotype" w:eastAsia="Palatino Linotype" w:hAnsi="Palatino Linotype" w:cs="Palatino Linotype"/>
          <w:sz w:val="22"/>
          <w:szCs w:val="22"/>
        </w:rPr>
        <w:t>De las constancias que obran en los expedientes electrónicos del SAIMEX se desprende que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las partes fueron omisas en remitir sus informes justificados y manifestaciones, por lo que se tuvo por precluido su derecho para tal efecto y se procede a emitir la resolución que conforme a derecho corresponda. </w:t>
      </w:r>
    </w:p>
    <w:p w14:paraId="0C165BE6"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Requerimientos de Información Adicional. </w:t>
      </w:r>
      <w:r>
        <w:rPr>
          <w:rFonts w:ascii="Palatino Linotype" w:eastAsia="Palatino Linotype" w:hAnsi="Palatino Linotype" w:cs="Palatino Linotype"/>
          <w:sz w:val="22"/>
          <w:szCs w:val="22"/>
        </w:rPr>
        <w:t>Con el objeto de contar con los elementos necesarios para la elaboración del proyecto de resolución correspondiente y, contar con la incidencia respectiva, se le hizo llegar al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 xml:space="preserve">un requerimiento de información adicional, en el que se le solicitó lo siguiente: </w:t>
      </w:r>
    </w:p>
    <w:p w14:paraId="50D04A10"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Detalle cuáles fueron las actividades cívico - culturales y deportivas que llevó a cabo el presidente municipal en la cabecera municipal y delegaciones, del 01 de enero de 2022 al 08 de octubre de 2024.</w:t>
      </w:r>
    </w:p>
    <w:p w14:paraId="61B63AE7"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2.-Señale, el monto erogado por concepto de los apoyos económicos y en especie otorgados o destinados específicamente a actividades cívico - culturales y deportivas por el presidente municipal en la cabecera municipal y delegaciones, del 01 de enero de 2022 al 08 de octubre de 2024.</w:t>
      </w:r>
    </w:p>
    <w:p w14:paraId="26FE89C2" w14:textId="77777777" w:rsidR="00710AB2" w:rsidRDefault="00710AB2">
      <w:pPr>
        <w:spacing w:before="240" w:after="240" w:line="276" w:lineRule="auto"/>
        <w:ind w:left="567" w:right="900"/>
        <w:jc w:val="both"/>
        <w:rPr>
          <w:rFonts w:ascii="Palatino Linotype" w:eastAsia="Palatino Linotype" w:hAnsi="Palatino Linotype" w:cs="Palatino Linotype"/>
          <w:i/>
          <w:sz w:val="22"/>
          <w:szCs w:val="22"/>
        </w:rPr>
      </w:pPr>
    </w:p>
    <w:p w14:paraId="0DF7A927"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3.- Señale, el monto erogado por concepto de apoyos económicos otorgados por el presiente municipal en la cabecera municipal y delegaciones, del 01 de enero de 2022 al 08 de octubre de 2024.</w:t>
      </w:r>
    </w:p>
    <w:p w14:paraId="7120F031"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Señale, el monto erogado por concepto de los apoyos en especie y económicos otorgados a grupos voluntarios, grupos religiosos y </w:t>
      </w:r>
      <w:proofErr w:type="spellStart"/>
      <w:r>
        <w:rPr>
          <w:rFonts w:ascii="Palatino Linotype" w:eastAsia="Palatino Linotype" w:hAnsi="Palatino Linotype" w:cs="Palatino Linotype"/>
          <w:i/>
          <w:sz w:val="22"/>
          <w:szCs w:val="22"/>
        </w:rPr>
        <w:t>mayordomias</w:t>
      </w:r>
      <w:proofErr w:type="spellEnd"/>
      <w:r>
        <w:rPr>
          <w:rFonts w:ascii="Palatino Linotype" w:eastAsia="Palatino Linotype" w:hAnsi="Palatino Linotype" w:cs="Palatino Linotype"/>
          <w:i/>
          <w:sz w:val="22"/>
          <w:szCs w:val="22"/>
        </w:rPr>
        <w:t xml:space="preserve"> por el presiente municipal en la cabecera municipal y delegaciones, del 01 de enero de 2022 al 08 de octubre de 2024.</w:t>
      </w:r>
    </w:p>
    <w:p w14:paraId="17AB7C64"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Precise el número de pólizas de egresos que soportan los siguientes montos erogados, con las que cuenta, del 01 de enero de 2022 al 08 de octubre de 2024.</w:t>
      </w:r>
    </w:p>
    <w:p w14:paraId="28CFD415"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Por concepto de los apoyos económicos y en especie otorgados o destinados a actividades cívico - culturales y deportivas por el presidente municipal en la cabecera municipal y delegaciones.</w:t>
      </w:r>
    </w:p>
    <w:p w14:paraId="4807F59B"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Por concepto de apoyos económicos otorgados por el presiente municipal en la cabecera municipal y delegaciones.</w:t>
      </w:r>
    </w:p>
    <w:p w14:paraId="74661C30"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Por concepto de los apoyos en especie y económicos otorgados a grupos voluntarios, grupos religiosos y </w:t>
      </w:r>
      <w:proofErr w:type="spellStart"/>
      <w:r>
        <w:rPr>
          <w:rFonts w:ascii="Palatino Linotype" w:eastAsia="Palatino Linotype" w:hAnsi="Palatino Linotype" w:cs="Palatino Linotype"/>
          <w:i/>
          <w:sz w:val="22"/>
          <w:szCs w:val="22"/>
        </w:rPr>
        <w:t>mayordomias</w:t>
      </w:r>
      <w:proofErr w:type="spellEnd"/>
      <w:r>
        <w:rPr>
          <w:rFonts w:ascii="Palatino Linotype" w:eastAsia="Palatino Linotype" w:hAnsi="Palatino Linotype" w:cs="Palatino Linotype"/>
          <w:i/>
          <w:sz w:val="22"/>
          <w:szCs w:val="22"/>
        </w:rPr>
        <w:t xml:space="preserve"> por el presiente municipal en la cabecera municipal y delegaciones</w:t>
      </w:r>
    </w:p>
    <w:p w14:paraId="0C545853"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6.- Indique, de manera pormenorizada el número de fojas que componen las pólizas referidas en el numeral cinco.</w:t>
      </w:r>
    </w:p>
    <w:p w14:paraId="1ACD176F"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 Precise el número de facturas que soportan los siguientes montos erogados, con las que cuenta, del 01 de enero de 2022 al 08 de octubre de 2024.</w:t>
      </w:r>
    </w:p>
    <w:p w14:paraId="4908C867"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Por concepto de los apoyos económicos y en especie otorgados o destinados a actividades cívico - culturales y deportivas por el presidente municipal en la cabecera municipal y delegaciones.</w:t>
      </w:r>
    </w:p>
    <w:p w14:paraId="70FCF167" w14:textId="77777777" w:rsidR="00710AB2" w:rsidRDefault="00710AB2">
      <w:pPr>
        <w:spacing w:before="240" w:after="240" w:line="276" w:lineRule="auto"/>
        <w:ind w:left="567" w:right="900"/>
        <w:jc w:val="both"/>
        <w:rPr>
          <w:rFonts w:ascii="Palatino Linotype" w:eastAsia="Palatino Linotype" w:hAnsi="Palatino Linotype" w:cs="Palatino Linotype"/>
          <w:i/>
          <w:sz w:val="22"/>
          <w:szCs w:val="22"/>
        </w:rPr>
      </w:pPr>
    </w:p>
    <w:p w14:paraId="32C60264"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b) Por concepto de apoyos económicos otorgados por el presiente municipal en la cabecera municipal y delegaciones.</w:t>
      </w:r>
    </w:p>
    <w:p w14:paraId="71568779"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Por concepto de los apoyos en especie y económicos otorgados a grupos voluntarios, grupos religiosos y </w:t>
      </w:r>
      <w:proofErr w:type="spellStart"/>
      <w:r>
        <w:rPr>
          <w:rFonts w:ascii="Palatino Linotype" w:eastAsia="Palatino Linotype" w:hAnsi="Palatino Linotype" w:cs="Palatino Linotype"/>
          <w:i/>
          <w:sz w:val="22"/>
          <w:szCs w:val="22"/>
        </w:rPr>
        <w:t>mayordomias</w:t>
      </w:r>
      <w:proofErr w:type="spellEnd"/>
      <w:r>
        <w:rPr>
          <w:rFonts w:ascii="Palatino Linotype" w:eastAsia="Palatino Linotype" w:hAnsi="Palatino Linotype" w:cs="Palatino Linotype"/>
          <w:i/>
          <w:sz w:val="22"/>
          <w:szCs w:val="22"/>
        </w:rPr>
        <w:t xml:space="preserve"> por el presiente municipal en la cabecera municipal y delegaciones</w:t>
      </w:r>
    </w:p>
    <w:p w14:paraId="1F98224C"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8.- Indique, el número de fojas que componen las facturas referidas en el numeral siete.</w:t>
      </w:r>
    </w:p>
    <w:p w14:paraId="2A688278"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9.- Dentro de sus archivos, ¿obra otro tipo de documentos soportan el monto erogado por los conceptos descritos en el numeral siete? De ser afirmativa la respuesta, precise la denominación de dicho documento y proporcione el número de fojas que compone esta información.</w:t>
      </w:r>
    </w:p>
    <w:p w14:paraId="06620CAA"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Señale, si emplea los parámetros de escaneo recomendados por este Instituto, los cuales consisten en una resolución alta de 150 </w:t>
      </w:r>
      <w:proofErr w:type="spellStart"/>
      <w:r>
        <w:rPr>
          <w:rFonts w:ascii="Palatino Linotype" w:eastAsia="Palatino Linotype" w:hAnsi="Palatino Linotype" w:cs="Palatino Linotype"/>
          <w:i/>
          <w:sz w:val="22"/>
          <w:szCs w:val="22"/>
        </w:rPr>
        <w:t>Dpi's</w:t>
      </w:r>
      <w:proofErr w:type="spellEnd"/>
      <w:r>
        <w:rPr>
          <w:rFonts w:ascii="Palatino Linotype" w:eastAsia="Palatino Linotype" w:hAnsi="Palatino Linotype" w:cs="Palatino Linotype"/>
          <w:i/>
          <w:sz w:val="22"/>
          <w:szCs w:val="22"/>
        </w:rPr>
        <w:t>, en escala de grises y formato "PDF"; extraído directamente del escáner.</w:t>
      </w:r>
    </w:p>
    <w:p w14:paraId="7A8C8BC7"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11.- Proporcione una foja escaneada de alguna de las pólizas de egresos y facturas referidas.</w:t>
      </w:r>
    </w:p>
    <w:p w14:paraId="7CDB5011"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12.- Indique si, presentó la incidencia ante la Dirección General de Informática de este Instituto o al correo </w:t>
      </w:r>
      <w:hyperlink r:id="rId8">
        <w:r>
          <w:rPr>
            <w:rFonts w:ascii="Palatino Linotype" w:eastAsia="Palatino Linotype" w:hAnsi="Palatino Linotype" w:cs="Palatino Linotype"/>
            <w:i/>
            <w:color w:val="0000FF"/>
            <w:sz w:val="22"/>
            <w:szCs w:val="22"/>
            <w:u w:val="single"/>
          </w:rPr>
          <w:t>nelson.correa@infoem.org.mx</w:t>
        </w:r>
      </w:hyperlink>
      <w:r>
        <w:rPr>
          <w:rFonts w:ascii="Palatino Linotype" w:eastAsia="Palatino Linotype" w:hAnsi="Palatino Linotype" w:cs="Palatino Linotype"/>
          <w:i/>
          <w:sz w:val="22"/>
          <w:szCs w:val="22"/>
        </w:rPr>
        <w:t>”</w:t>
      </w:r>
    </w:p>
    <w:p w14:paraId="049BA945" w14:textId="77777777" w:rsidR="00710AB2" w:rsidRDefault="00391A68">
      <w:pPr>
        <w:spacing w:before="240" w:after="240"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Cabe señalar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fue omiso en atender el presente requerimiento de información adicional.</w:t>
      </w:r>
      <w:r>
        <w:rPr>
          <w:rFonts w:ascii="Palatino Linotype" w:eastAsia="Palatino Linotype" w:hAnsi="Palatino Linotype" w:cs="Palatino Linotype"/>
          <w:i/>
          <w:sz w:val="22"/>
          <w:szCs w:val="22"/>
        </w:rPr>
        <w:t xml:space="preserve">   </w:t>
      </w:r>
    </w:p>
    <w:p w14:paraId="62B970BD" w14:textId="77777777" w:rsidR="00710AB2" w:rsidRDefault="00391A68">
      <w:pPr>
        <w:spacing w:line="360" w:lineRule="auto"/>
        <w:jc w:val="both"/>
        <w:rPr>
          <w:rFonts w:ascii="Palatino Linotype" w:eastAsia="Palatino Linotype" w:hAnsi="Palatino Linotype" w:cs="Palatino Linotype"/>
          <w:sz w:val="22"/>
          <w:szCs w:val="22"/>
          <w:highlight w:val="yellow"/>
        </w:rPr>
      </w:pPr>
      <w:r>
        <w:rPr>
          <w:rFonts w:ascii="Palatino Linotype" w:eastAsia="Palatino Linotype" w:hAnsi="Palatino Linotype" w:cs="Palatino Linotype"/>
          <w:b/>
          <w:sz w:val="22"/>
          <w:szCs w:val="22"/>
        </w:rPr>
        <w:t xml:space="preserve">8. Cierres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Pr>
          <w:rFonts w:ascii="Palatino Linotype" w:eastAsia="Palatino Linotype" w:hAnsi="Palatino Linotype" w:cs="Palatino Linotype"/>
          <w:b/>
          <w:sz w:val="22"/>
          <w:szCs w:val="22"/>
        </w:rPr>
        <w:t>veinticinco de noviembre de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dos mil veinticuatro</w:t>
      </w:r>
      <w:r>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7F26F718"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razón de que fueron debidamente sustanciados los expedientes electrónicos y no existen diligencias pendientes de desahogo, se emite la Resolución que conforme a Derecho proceda, de acuerdo con los siguientes: </w:t>
      </w:r>
    </w:p>
    <w:p w14:paraId="14E25E44" w14:textId="77777777" w:rsidR="00710AB2" w:rsidRDefault="00391A68">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w:t>
      </w:r>
    </w:p>
    <w:p w14:paraId="4B4704A2"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w:t>
      </w:r>
      <w:r>
        <w:rPr>
          <w:rFonts w:ascii="Palatino Linotype" w:eastAsia="Palatino Linotype" w:hAnsi="Palatino Linotype" w:cs="Palatino Linotype"/>
          <w:color w:val="000000"/>
          <w:sz w:val="22"/>
          <w:szCs w:val="22"/>
        </w:rPr>
        <w:t xml:space="preserve">, fracciones I, XXIII y XXIV  y </w:t>
      </w:r>
      <w:r>
        <w:rPr>
          <w:rFonts w:ascii="Palatino Linotype" w:eastAsia="Palatino Linotype" w:hAnsi="Palatino Linotype" w:cs="Palatino Linotype"/>
          <w:sz w:val="22"/>
          <w:szCs w:val="22"/>
        </w:rPr>
        <w:t>11 del Reglamento Interior del Instituto de Transparencia, Acceso a la Información Pública y Protección de Datos Personales del Estado de México y Municipios.</w:t>
      </w:r>
    </w:p>
    <w:p w14:paraId="7E89A1F3" w14:textId="77777777" w:rsidR="00710AB2" w:rsidRDefault="00391A68">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b/>
          <w:sz w:val="22"/>
          <w:szCs w:val="22"/>
        </w:rPr>
        <w:t>Segundo. Oportunidad y Procedibilidad de los Recursos de Revisión</w:t>
      </w:r>
      <w:r>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116E516"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respondió a las solicitudes </w:t>
      </w:r>
      <w:r>
        <w:rPr>
          <w:rFonts w:ascii="Palatino Linotype" w:eastAsia="Palatino Linotype" w:hAnsi="Palatino Linotype" w:cs="Palatino Linotype"/>
          <w:sz w:val="22"/>
          <w:szCs w:val="22"/>
        </w:rPr>
        <w:lastRenderedPageBreak/>
        <w:t xml:space="preserve">de información que </w:t>
      </w:r>
      <w:proofErr w:type="spellStart"/>
      <w:r>
        <w:rPr>
          <w:rFonts w:ascii="Palatino Linotype" w:eastAsia="Palatino Linotype" w:hAnsi="Palatino Linotype" w:cs="Palatino Linotype"/>
          <w:sz w:val="22"/>
          <w:szCs w:val="22"/>
        </w:rPr>
        <w:t>aperturaron</w:t>
      </w:r>
      <w:proofErr w:type="spellEnd"/>
      <w:r>
        <w:rPr>
          <w:rFonts w:ascii="Palatino Linotype" w:eastAsia="Palatino Linotype" w:hAnsi="Palatino Linotype" w:cs="Palatino Linotype"/>
          <w:sz w:val="22"/>
          <w:szCs w:val="22"/>
        </w:rPr>
        <w:t xml:space="preserve"> los recursos de revisión el día </w:t>
      </w:r>
      <w:r>
        <w:rPr>
          <w:rFonts w:ascii="Palatino Linotype" w:eastAsia="Palatino Linotype" w:hAnsi="Palatino Linotype" w:cs="Palatino Linotype"/>
          <w:b/>
          <w:sz w:val="22"/>
          <w:szCs w:val="22"/>
        </w:rPr>
        <w:t>veinticinco de octubre de dos mil veinticuatro</w:t>
      </w:r>
      <w:r>
        <w:rPr>
          <w:rFonts w:ascii="Palatino Linotype" w:eastAsia="Palatino Linotype" w:hAnsi="Palatino Linotype" w:cs="Palatino Linotype"/>
          <w:sz w:val="22"/>
          <w:szCs w:val="22"/>
        </w:rPr>
        <w:t xml:space="preserve">, por su parte, los recursos de revisión se interpusieron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sz w:val="22"/>
          <w:szCs w:val="22"/>
        </w:rPr>
        <w:t>treinta de octubre de dos mil veinticuatro</w:t>
      </w:r>
      <w:r>
        <w:rPr>
          <w:rFonts w:ascii="Palatino Linotype" w:eastAsia="Palatino Linotype" w:hAnsi="Palatino Linotype" w:cs="Palatino Linotype"/>
          <w:sz w:val="22"/>
          <w:szCs w:val="22"/>
        </w:rPr>
        <w:t xml:space="preserve">, siendo este el </w:t>
      </w:r>
      <w:r>
        <w:rPr>
          <w:rFonts w:ascii="Palatino Linotype" w:eastAsia="Palatino Linotype" w:hAnsi="Palatino Linotype" w:cs="Palatino Linotype"/>
          <w:b/>
          <w:sz w:val="22"/>
          <w:szCs w:val="22"/>
        </w:rPr>
        <w:t>tercer día hábil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después de conocerse las respuestas.</w:t>
      </w:r>
    </w:p>
    <w:p w14:paraId="665F2F91" w14:textId="77777777" w:rsidR="00710AB2" w:rsidRDefault="00391A68">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6CB0BED1" w14:textId="77777777" w:rsidR="00710AB2" w:rsidRDefault="00391A68">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por cuanto hace a la procedibilidad de los recursos de revisión, es de suma importancia señalar que l</w:t>
      </w:r>
      <w:r>
        <w:rPr>
          <w:rFonts w:ascii="Palatino Linotype" w:eastAsia="Palatino Linotype" w:hAnsi="Palatino Linotype" w:cs="Palatino Linotype"/>
          <w:b/>
          <w:sz w:val="22"/>
          <w:szCs w:val="22"/>
        </w:rPr>
        <w:t>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fue omisa en proporcionar un nombre o seudónimo con el que desea ser identificado</w:t>
      </w:r>
      <w:r>
        <w:rPr>
          <w:rFonts w:ascii="Palatino Linotype" w:eastAsia="Palatino Linotype" w:hAnsi="Palatino Linotype" w:cs="Palatino Linotype"/>
          <w:sz w:val="22"/>
          <w:szCs w:val="22"/>
        </w:rPr>
        <w:t>,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9547DE" w14:textId="77777777" w:rsidR="00710AB2" w:rsidRDefault="00391A68">
      <w:pPr>
        <w:spacing w:after="200" w:line="276" w:lineRule="auto"/>
        <w:ind w:left="567"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20F2F7E0"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41C1941"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Finalmente, se advierte que resulta procedente la interposición de los recursos, según lo manifestado por la parte recurrente en sus motivos de inconformidad, de acuerdo al artículo 179, fracción VIII del ordenamiento legal citado, que a la letra dice: </w:t>
      </w:r>
    </w:p>
    <w:p w14:paraId="65019406" w14:textId="77777777" w:rsidR="00710AB2" w:rsidRDefault="00391A68">
      <w:pPr>
        <w:tabs>
          <w:tab w:val="left" w:pos="7088"/>
        </w:tabs>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89899FA" w14:textId="77777777" w:rsidR="00710AB2" w:rsidRDefault="00391A68">
      <w:pPr>
        <w:tabs>
          <w:tab w:val="left" w:pos="7088"/>
        </w:tabs>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157BF98" w14:textId="77777777" w:rsidR="00710AB2" w:rsidRDefault="00391A68">
      <w:pPr>
        <w:tabs>
          <w:tab w:val="left" w:pos="7088"/>
        </w:tabs>
        <w:spacing w:before="240" w:after="240"/>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14:paraId="7E5E17C3"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w:t>
      </w:r>
      <w:r>
        <w:rPr>
          <w:rFonts w:ascii="Palatino Linotype" w:eastAsia="Palatino Linotype" w:hAnsi="Palatino Linotype" w:cs="Palatino Linotype"/>
          <w:sz w:val="22"/>
          <w:szCs w:val="22"/>
        </w:rPr>
        <w:t xml:space="preserve">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o en su defecto, en caso de ser procedente, ordenar la entrega de información.  </w:t>
      </w:r>
    </w:p>
    <w:p w14:paraId="7AC2831B"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32C98F9" w14:textId="77777777" w:rsidR="00710AB2" w:rsidRDefault="00391A68">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xml:space="preserve">, así como de las garantías para su protección, cuyo ejercicio no podrá restringirse ni </w:t>
      </w:r>
      <w:r>
        <w:rPr>
          <w:rFonts w:ascii="Palatino Linotype" w:eastAsia="Palatino Linotype" w:hAnsi="Palatino Linotype" w:cs="Palatino Linotype"/>
          <w:i/>
          <w:sz w:val="22"/>
          <w:szCs w:val="22"/>
        </w:rPr>
        <w:lastRenderedPageBreak/>
        <w:t>suspenderse, salvo en los casos y bajo las condiciones que esta Constitución establece.</w:t>
      </w:r>
    </w:p>
    <w:p w14:paraId="30F54D2B" w14:textId="77777777" w:rsidR="00710AB2" w:rsidRDefault="00391A68">
      <w:pPr>
        <w:tabs>
          <w:tab w:val="left" w:pos="709"/>
        </w:tabs>
        <w:spacing w:before="240" w:after="240"/>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D9E33C0" w14:textId="77777777" w:rsidR="00710AB2" w:rsidRDefault="00391A68">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9343161" w14:textId="77777777" w:rsidR="00710AB2" w:rsidRDefault="00391A68">
      <w:pPr>
        <w:tabs>
          <w:tab w:val="left" w:pos="709"/>
        </w:tabs>
        <w:spacing w:before="240" w:after="24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572DE7" w14:textId="77777777" w:rsidR="00710AB2" w:rsidRDefault="00391A68">
      <w:pPr>
        <w:spacing w:before="240" w:after="240"/>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1588E4B1" w14:textId="77777777" w:rsidR="00710AB2" w:rsidRDefault="00391A68">
      <w:pPr>
        <w:spacing w:before="240" w:after="240"/>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FBA11D3"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604A95FB"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8689F38" w14:textId="77777777" w:rsidR="00710AB2" w:rsidRDefault="00391A68">
      <w:pPr>
        <w:spacing w:before="240" w:after="240"/>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0B0E370"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w:t>
      </w: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2D120D17"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88CF72F"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2F39905"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6423195"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474CFAA" w14:textId="77777777" w:rsidR="00710AB2" w:rsidRDefault="00391A68">
      <w:pPr>
        <w:tabs>
          <w:tab w:val="left" w:pos="709"/>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cumplir con dichos dispositivos legales.</w:t>
      </w:r>
    </w:p>
    <w:p w14:paraId="104F5885"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Pr>
          <w:rFonts w:ascii="Palatino Linotype" w:eastAsia="Palatino Linotype" w:hAnsi="Palatino Linotype" w:cs="Palatino Linotype"/>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F039CCA" w14:textId="77777777" w:rsidR="00710AB2" w:rsidRDefault="00391A68">
      <w:pPr>
        <w:spacing w:before="240" w:after="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8A2CD3E" w14:textId="77777777" w:rsidR="00710AB2" w:rsidRDefault="00391A68">
      <w:pPr>
        <w:spacing w:before="240" w:after="240"/>
        <w:ind w:left="709" w:right="7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A8B7E2" w14:textId="77777777" w:rsidR="00710AB2" w:rsidRDefault="00391A68">
      <w:pPr>
        <w:spacing w:before="240" w:after="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BA35CAC"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Pr>
          <w:rFonts w:ascii="Palatino Linotype" w:eastAsia="Palatino Linotype" w:hAnsi="Palatino Linotype" w:cs="Palatino Linotype"/>
          <w:b/>
          <w:sz w:val="22"/>
          <w:szCs w:val="22"/>
        </w:rPr>
        <w:t>artículo 12</w:t>
      </w:r>
      <w:r>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45273130" w14:textId="77777777" w:rsidR="00710AB2" w:rsidRDefault="00391A68">
      <w:pPr>
        <w:spacing w:before="240" w:after="240"/>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B96DE46" w14:textId="77777777" w:rsidR="00710AB2" w:rsidRDefault="00391A68">
      <w:pPr>
        <w:spacing w:before="240" w:after="240"/>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5D9E31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02EADEE1" w14:textId="77777777" w:rsidR="00710AB2" w:rsidRDefault="00391A68">
      <w:pPr>
        <w:spacing w:before="240" w:after="240"/>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“03/17</w:t>
      </w:r>
    </w:p>
    <w:p w14:paraId="0774FD36" w14:textId="77777777" w:rsidR="00710AB2" w:rsidRDefault="00391A68">
      <w:pPr>
        <w:spacing w:before="240" w:after="240"/>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“NO EXISTE OBLIGACIÓN DE ELABORAR DOCUMENTOS AD HOC PARA ATENDER LAS SOLICITUDES DE ACCESO A LA INFORMACIÓN.</w:t>
      </w:r>
    </w:p>
    <w:p w14:paraId="2E22BF30" w14:textId="77777777" w:rsidR="00710AB2" w:rsidRDefault="00391A68">
      <w:pPr>
        <w:spacing w:before="240" w:after="240"/>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60D523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otra parte, conviene mencionar que la Ley de Transparencia vigente en el Estado de México refiere: </w:t>
      </w:r>
    </w:p>
    <w:p w14:paraId="4818FFDC"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sz w:val="22"/>
          <w:szCs w:val="22"/>
        </w:rPr>
        <w:t xml:space="preserve"> y reutilización de la información que generen.</w:t>
      </w:r>
    </w:p>
    <w:p w14:paraId="021C6943"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19. </w:t>
      </w:r>
      <w:r>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sz w:val="22"/>
          <w:szCs w:val="22"/>
        </w:rPr>
        <w:t>.</w:t>
      </w:r>
    </w:p>
    <w:p w14:paraId="16FEF254"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4DA342D4" w14:textId="77777777" w:rsidR="00710AB2" w:rsidRDefault="00391A68">
      <w:pPr>
        <w:spacing w:before="240" w:after="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0B47A658"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6C543F3"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Pr>
          <w:rFonts w:ascii="Palatino Linotype" w:eastAsia="Palatino Linotype" w:hAnsi="Palatino Linotype" w:cs="Palatino Linotype"/>
          <w:sz w:val="22"/>
          <w:szCs w:val="22"/>
        </w:rPr>
        <w:lastRenderedPageBreak/>
        <w:t xml:space="preserve">directrices, circulares, contratos, convenios, instructivos, notas, memorandos, estadísticas o bien, </w:t>
      </w:r>
      <w:r>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los que, podrán estar en cualquier medio</w:t>
      </w:r>
      <w:r>
        <w:rPr>
          <w:rFonts w:ascii="Palatino Linotype" w:eastAsia="Palatino Linotype" w:hAnsi="Palatino Linotype" w:cs="Palatino Linotype"/>
          <w:sz w:val="22"/>
          <w:szCs w:val="22"/>
        </w:rPr>
        <w:t xml:space="preserve">, sea escrito, impreso, sonoro, visual, </w:t>
      </w:r>
      <w:r>
        <w:rPr>
          <w:rFonts w:ascii="Palatino Linotype" w:eastAsia="Palatino Linotype" w:hAnsi="Palatino Linotype" w:cs="Palatino Linotype"/>
          <w:b/>
          <w:sz w:val="22"/>
          <w:szCs w:val="22"/>
        </w:rPr>
        <w:t>electrónico</w:t>
      </w:r>
      <w:r>
        <w:rPr>
          <w:rFonts w:ascii="Palatino Linotype" w:eastAsia="Palatino Linotype" w:hAnsi="Palatino Linotype" w:cs="Palatino Linotype"/>
          <w:sz w:val="22"/>
          <w:szCs w:val="22"/>
        </w:rPr>
        <w:t xml:space="preserve">, informático u holográfico, esto es, </w:t>
      </w:r>
      <w:r>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8CCB424"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ahí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1027B461" w14:textId="77777777" w:rsidR="00710AB2" w:rsidRDefault="00391A68">
      <w:pPr>
        <w:tabs>
          <w:tab w:val="left" w:pos="709"/>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este sentido, cabe reiterar que la persona solicitante requirió 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lo siguiente:</w:t>
      </w:r>
    </w:p>
    <w:p w14:paraId="5E3FA4E9" w14:textId="77777777" w:rsidR="00710AB2" w:rsidRDefault="00391A68">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Cuantificación de los siguientes gastos:</w:t>
      </w:r>
    </w:p>
    <w:p w14:paraId="4AA656E9" w14:textId="77777777" w:rsidR="00710AB2" w:rsidRDefault="00391A68">
      <w:pPr>
        <w:tabs>
          <w:tab w:val="left" w:pos="709"/>
        </w:tabs>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Apoyos económicos y en especie</w:t>
      </w:r>
      <w:r>
        <w:rPr>
          <w:rFonts w:ascii="Palatino Linotype" w:eastAsia="Palatino Linotype" w:hAnsi="Palatino Linotype" w:cs="Palatino Linotype"/>
          <w:sz w:val="22"/>
          <w:szCs w:val="22"/>
        </w:rPr>
        <w:t xml:space="preserve"> otorgados o destinados a actividades cívico - culturales y deportivas por el presiente municipal en la cabecera municipal y delegaciones.</w:t>
      </w:r>
    </w:p>
    <w:p w14:paraId="6A61016F" w14:textId="77777777" w:rsidR="00710AB2" w:rsidRDefault="00391A68">
      <w:pPr>
        <w:tabs>
          <w:tab w:val="left" w:pos="709"/>
        </w:tabs>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Apoyos económicos</w:t>
      </w:r>
      <w:r>
        <w:rPr>
          <w:rFonts w:ascii="Palatino Linotype" w:eastAsia="Palatino Linotype" w:hAnsi="Palatino Linotype" w:cs="Palatino Linotype"/>
          <w:sz w:val="22"/>
          <w:szCs w:val="22"/>
        </w:rPr>
        <w:t xml:space="preserve"> y en especie otorgados por el presiente municipal en la cabecera municipal y delegaciones</w:t>
      </w:r>
    </w:p>
    <w:p w14:paraId="2680E288" w14:textId="77777777" w:rsidR="00710AB2" w:rsidRDefault="00391A68">
      <w:pPr>
        <w:tabs>
          <w:tab w:val="left" w:pos="709"/>
        </w:tabs>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Apoyos en especie</w:t>
      </w:r>
      <w:r>
        <w:rPr>
          <w:rFonts w:ascii="Palatino Linotype" w:eastAsia="Palatino Linotype" w:hAnsi="Palatino Linotype" w:cs="Palatino Linotype"/>
          <w:sz w:val="22"/>
          <w:szCs w:val="22"/>
        </w:rPr>
        <w:t xml:space="preserve"> otorgados a grupos voluntarios, grupos religiosos y mayordomías por el presiente municipal en la cabecera municipal y delegaciones</w:t>
      </w:r>
    </w:p>
    <w:p w14:paraId="397F41C4" w14:textId="77777777" w:rsidR="00710AB2" w:rsidRDefault="00391A68">
      <w:pPr>
        <w:tabs>
          <w:tab w:val="left" w:pos="709"/>
        </w:tabs>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Apoyos a mayordomías</w:t>
      </w:r>
      <w:r>
        <w:rPr>
          <w:rFonts w:ascii="Palatino Linotype" w:eastAsia="Palatino Linotype" w:hAnsi="Palatino Linotype" w:cs="Palatino Linotype"/>
          <w:sz w:val="22"/>
          <w:szCs w:val="22"/>
        </w:rPr>
        <w:t>, grupos voluntarios y grupos religiosos otorgados por el presiente municipal en la cabecera municipal y delegaciones</w:t>
      </w:r>
    </w:p>
    <w:p w14:paraId="620AC52E" w14:textId="77777777" w:rsidR="00710AB2" w:rsidRDefault="00391A68">
      <w:pPr>
        <w:numPr>
          <w:ilvl w:val="0"/>
          <w:numId w:val="2"/>
        </w:numPr>
        <w:pBdr>
          <w:top w:val="nil"/>
          <w:left w:val="nil"/>
          <w:bottom w:val="nil"/>
          <w:right w:val="nil"/>
          <w:between w:val="nil"/>
        </w:pBdr>
        <w:tabs>
          <w:tab w:val="left" w:pos="709"/>
        </w:tabs>
        <w:spacing w:before="240" w:after="240" w:line="360" w:lineRule="auto"/>
        <w:ind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relación con el inciso a), las pólizas de egresos con su factura y documentación respaldo.</w:t>
      </w:r>
    </w:p>
    <w:p w14:paraId="523B72C4"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sus respuestas,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emitió respuestas por conducto de la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Tesorera Municipal, en el cual informa que dicha dirección propone la consulta directa derivado de la cantidad, volumen, los recursos materiales y humanos con los que cuenta dicha dirección son limitados.</w:t>
      </w:r>
    </w:p>
    <w:p w14:paraId="4DAEA91C"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conocidas las respuestas,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interpuso los recursos de revisión que nos ocupan, inconformándose medularmente por la puesta a disposición de la </w:t>
      </w:r>
      <w:r>
        <w:rPr>
          <w:rFonts w:ascii="Palatino Linotype" w:eastAsia="Palatino Linotype" w:hAnsi="Palatino Linotype" w:cs="Palatino Linotype"/>
          <w:sz w:val="22"/>
          <w:szCs w:val="22"/>
        </w:rPr>
        <w:lastRenderedPageBreak/>
        <w:t>información en consulta directa, toda vez que a su consideración le proporcionan una fecha y hora iguales en diversas solicitudes de información, lo cual causa que sea humanamente imposible de solventar dicha consulta.</w:t>
      </w:r>
    </w:p>
    <w:p w14:paraId="409A8431"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Admitidos los presentes recursos </w:t>
      </w:r>
      <w:r>
        <w:rPr>
          <w:rFonts w:ascii="Palatino Linotype" w:eastAsia="Palatino Linotype" w:hAnsi="Palatino Linotype" w:cs="Palatino Linotype"/>
          <w:sz w:val="22"/>
          <w:szCs w:val="22"/>
        </w:rPr>
        <w:t>de revisión, en términos del artículo 185 fracción II</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02CE30A9"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expuestas las posturas de las partes, resulta importante señalar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en una aproximación inicial a las respuestas proporcionadas, se observa que la unidad administrativa que se pronunció es la Tesorería Municipal, la cual de conformidad con el artículo 57 del Bando Municipal cuenta con la atribución de encargarse de la recaudación de los ingresos municipales y es responsable de realizar las erogaciones que haga el Ayuntamiento.</w:t>
      </w:r>
    </w:p>
    <w:p w14:paraId="3B2D633D"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la Ley Orgánica Municipal, señala que cuenta con las siguientes atribuciones:</w:t>
      </w:r>
    </w:p>
    <w:p w14:paraId="5744FC91" w14:textId="77777777" w:rsidR="00710AB2" w:rsidRDefault="00391A68">
      <w:pPr>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“Artículo 93.- </w:t>
      </w:r>
      <w:r>
        <w:rPr>
          <w:rFonts w:ascii="Palatino Linotype" w:eastAsia="Palatino Linotype" w:hAnsi="Palatino Linotype" w:cs="Palatino Linotype"/>
          <w:b/>
          <w:i/>
          <w:sz w:val="22"/>
          <w:szCs w:val="22"/>
        </w:rPr>
        <w:t>La tesorería municipal es el órgano encargado de</w:t>
      </w:r>
      <w:r>
        <w:rPr>
          <w:rFonts w:ascii="Palatino Linotype" w:eastAsia="Palatino Linotype" w:hAnsi="Palatino Linotype" w:cs="Palatino Linotype"/>
          <w:i/>
          <w:sz w:val="22"/>
          <w:szCs w:val="22"/>
        </w:rPr>
        <w:t xml:space="preserve"> la recaudación de los ingresos municipales y responsable de </w:t>
      </w:r>
      <w:r>
        <w:rPr>
          <w:rFonts w:ascii="Palatino Linotype" w:eastAsia="Palatino Linotype" w:hAnsi="Palatino Linotype" w:cs="Palatino Linotype"/>
          <w:b/>
          <w:i/>
          <w:sz w:val="22"/>
          <w:szCs w:val="22"/>
        </w:rPr>
        <w:t>realizar las erogaciones que haga el ayuntamiento.</w:t>
      </w:r>
    </w:p>
    <w:p w14:paraId="0C9A3C9E"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14142921"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95.- Son atribuciones del tesorero municipal:</w:t>
      </w:r>
    </w:p>
    <w:p w14:paraId="647AA583"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i/>
        </w:rPr>
        <w:t xml:space="preserve"> </w:t>
      </w:r>
      <w:r>
        <w:rPr>
          <w:rFonts w:ascii="Palatino Linotype" w:eastAsia="Palatino Linotype" w:hAnsi="Palatino Linotype" w:cs="Palatino Linotype"/>
          <w:b/>
          <w:i/>
          <w:sz w:val="22"/>
          <w:szCs w:val="22"/>
        </w:rPr>
        <w:t>I. Administrar la hacienda pública municipal, de conformidad con las disposiciones legales aplicables</w:t>
      </w:r>
      <w:r>
        <w:rPr>
          <w:rFonts w:ascii="Palatino Linotype" w:eastAsia="Palatino Linotype" w:hAnsi="Palatino Linotype" w:cs="Palatino Linotype"/>
          <w:i/>
          <w:sz w:val="22"/>
          <w:szCs w:val="22"/>
        </w:rPr>
        <w:t>;</w:t>
      </w:r>
    </w:p>
    <w:p w14:paraId="502C7A37"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5971D6"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 Llevar los registros contables, financieros y administrativos de los ingresos, egresos, e inventarios</w:t>
      </w:r>
      <w:r>
        <w:rPr>
          <w:rFonts w:ascii="Palatino Linotype" w:eastAsia="Palatino Linotype" w:hAnsi="Palatino Linotype" w:cs="Palatino Linotype"/>
          <w:i/>
          <w:sz w:val="22"/>
          <w:szCs w:val="22"/>
        </w:rPr>
        <w:t>;” (Énfasis añadido)</w:t>
      </w:r>
    </w:p>
    <w:p w14:paraId="6371011F" w14:textId="77777777" w:rsidR="00710AB2" w:rsidRDefault="00391A68">
      <w:pPr>
        <w:spacing w:before="240" w:after="240" w:line="360" w:lineRule="auto"/>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sz w:val="22"/>
          <w:szCs w:val="22"/>
        </w:rPr>
        <w:t xml:space="preserve">De lo anteriormente citado, observamos que </w:t>
      </w:r>
      <w:r>
        <w:rPr>
          <w:rFonts w:ascii="Palatino Linotype" w:eastAsia="Palatino Linotype" w:hAnsi="Palatino Linotype" w:cs="Palatino Linotype"/>
          <w:color w:val="222222"/>
          <w:sz w:val="22"/>
          <w:szCs w:val="22"/>
        </w:rPr>
        <w:t xml:space="preserve">la respuesta fue proporcionada por </w:t>
      </w:r>
      <w:r>
        <w:rPr>
          <w:rFonts w:ascii="Palatino Linotype" w:eastAsia="Palatino Linotype" w:hAnsi="Palatino Linotype" w:cs="Palatino Linotype"/>
          <w:color w:val="000000"/>
          <w:sz w:val="22"/>
          <w:szCs w:val="22"/>
        </w:rPr>
        <w:t>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144EF10" w14:textId="77777777" w:rsidR="00710AB2" w:rsidRDefault="00391A68">
      <w:pPr>
        <w:pBdr>
          <w:top w:val="nil"/>
          <w:left w:val="nil"/>
          <w:bottom w:val="nil"/>
          <w:right w:val="nil"/>
          <w:between w:val="nil"/>
        </w:pBdr>
        <w:ind w:left="864" w:right="864"/>
        <w:jc w:val="both"/>
        <w:rPr>
          <w:color w:val="000000"/>
        </w:rPr>
      </w:pPr>
      <w:r>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C93E266" w14:textId="77777777" w:rsidR="00710AB2" w:rsidRDefault="00710AB2"/>
    <w:p w14:paraId="606135A0"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consiguiente, se tiene que el procedimiento de búsqueda de la información se ejecutó conforme a derecho.</w:t>
      </w:r>
    </w:p>
    <w:p w14:paraId="0C5326E0" w14:textId="3E224D49" w:rsidR="00710AB2" w:rsidRDefault="00391A68">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Acotado lo anterior, se debe recordar que la persona solicitante requirió la información descrita en la solicitud de acceso a la información pública de toda la administración pública municipal 2022-2024, sin embargo, la</w:t>
      </w:r>
      <w:r w:rsidR="00F0354C">
        <w:rPr>
          <w:rFonts w:ascii="Palatino Linotype" w:eastAsia="Palatino Linotype" w:hAnsi="Palatino Linotype" w:cs="Palatino Linotype"/>
          <w:color w:val="000000"/>
          <w:sz w:val="22"/>
          <w:szCs w:val="22"/>
        </w:rPr>
        <w:t>s</w:t>
      </w:r>
      <w:r>
        <w:rPr>
          <w:rFonts w:ascii="Palatino Linotype" w:eastAsia="Palatino Linotype" w:hAnsi="Palatino Linotype" w:cs="Palatino Linotype"/>
          <w:color w:val="000000"/>
          <w:sz w:val="22"/>
          <w:szCs w:val="22"/>
        </w:rPr>
        <w:t xml:space="preserve"> solicitud</w:t>
      </w:r>
      <w:r w:rsidR="00F0354C">
        <w:rPr>
          <w:rFonts w:ascii="Palatino Linotype" w:eastAsia="Palatino Linotype" w:hAnsi="Palatino Linotype" w:cs="Palatino Linotype"/>
          <w:color w:val="000000"/>
          <w:sz w:val="22"/>
          <w:szCs w:val="22"/>
        </w:rPr>
        <w:t>es se tuvieron</w:t>
      </w:r>
      <w:r>
        <w:rPr>
          <w:rFonts w:ascii="Palatino Linotype" w:eastAsia="Palatino Linotype" w:hAnsi="Palatino Linotype" w:cs="Palatino Linotype"/>
          <w:color w:val="000000"/>
          <w:sz w:val="22"/>
          <w:szCs w:val="22"/>
        </w:rPr>
        <w:t xml:space="preserve"> por presentada</w:t>
      </w:r>
      <w:r w:rsidR="00F0354C">
        <w:rPr>
          <w:rFonts w:ascii="Palatino Linotype" w:eastAsia="Palatino Linotype" w:hAnsi="Palatino Linotype" w:cs="Palatino Linotype"/>
          <w:color w:val="000000"/>
          <w:sz w:val="22"/>
          <w:szCs w:val="22"/>
        </w:rPr>
        <w:t>s</w:t>
      </w:r>
      <w:r>
        <w:rPr>
          <w:rFonts w:ascii="Palatino Linotype" w:eastAsia="Palatino Linotype" w:hAnsi="Palatino Linotype" w:cs="Palatino Linotype"/>
          <w:color w:val="000000"/>
          <w:sz w:val="22"/>
          <w:szCs w:val="22"/>
        </w:rPr>
        <w:t xml:space="preserve"> el </w:t>
      </w:r>
      <w:r w:rsidR="00F0354C" w:rsidRPr="00F0354C">
        <w:rPr>
          <w:rFonts w:ascii="Palatino Linotype" w:eastAsia="Palatino Linotype" w:hAnsi="Palatino Linotype" w:cs="Palatino Linotype"/>
          <w:b/>
          <w:color w:val="000000" w:themeColor="text1"/>
          <w:sz w:val="22"/>
          <w:szCs w:val="22"/>
        </w:rPr>
        <w:t xml:space="preserve">ocho de </w:t>
      </w:r>
      <w:r w:rsidR="00F0354C" w:rsidRPr="00F0354C">
        <w:rPr>
          <w:rFonts w:ascii="Palatino Linotype" w:eastAsia="Palatino Linotype" w:hAnsi="Palatino Linotype" w:cs="Palatino Linotype"/>
          <w:b/>
          <w:color w:val="000000" w:themeColor="text1"/>
          <w:sz w:val="22"/>
          <w:szCs w:val="22"/>
        </w:rPr>
        <w:lastRenderedPageBreak/>
        <w:t>octubre de dos mil veinticuatro</w:t>
      </w:r>
      <w:r>
        <w:rPr>
          <w:rFonts w:ascii="Palatino Linotype" w:eastAsia="Palatino Linotype" w:hAnsi="Palatino Linotype" w:cs="Palatino Linotype"/>
          <w:color w:val="000000"/>
          <w:sz w:val="22"/>
          <w:szCs w:val="22"/>
        </w:rPr>
        <w:t>,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6D071A7E" w14:textId="22436C0C" w:rsidR="00710AB2" w:rsidRDefault="00391A68">
      <w:pPr>
        <w:pBdr>
          <w:top w:val="nil"/>
          <w:left w:val="nil"/>
          <w:bottom w:val="nil"/>
          <w:right w:val="nil"/>
          <w:between w:val="nil"/>
        </w:pBdr>
        <w:spacing w:before="240" w:after="240" w:line="360" w:lineRule="auto"/>
        <w:ind w:right="-93"/>
        <w:jc w:val="both"/>
        <w:rPr>
          <w:color w:val="000000"/>
          <w:sz w:val="22"/>
          <w:szCs w:val="22"/>
        </w:rPr>
      </w:pPr>
      <w:r>
        <w:rPr>
          <w:rFonts w:ascii="Palatino Linotype" w:eastAsia="Palatino Linotype" w:hAnsi="Palatino Linotype" w:cs="Palatino Linotype"/>
          <w:color w:val="000000"/>
          <w:sz w:val="22"/>
          <w:szCs w:val="22"/>
        </w:rPr>
        <w:t>Lo anterior se robustece con la Tesis Aislada con número de registro 209001, de la Suprema Corte de Justicia de la Nación, emitida por los Tribunales Colegiados de Circuito, que a la letra señala:</w:t>
      </w:r>
    </w:p>
    <w:p w14:paraId="449039AD" w14:textId="77777777" w:rsidR="00710AB2" w:rsidRDefault="00391A68">
      <w:pPr>
        <w:pBdr>
          <w:top w:val="nil"/>
          <w:left w:val="nil"/>
          <w:bottom w:val="nil"/>
          <w:right w:val="nil"/>
          <w:between w:val="nil"/>
        </w:pBdr>
        <w:ind w:left="851" w:right="900"/>
        <w:jc w:val="both"/>
        <w:rPr>
          <w:color w:val="000000"/>
        </w:rPr>
      </w:pPr>
      <w:r>
        <w:rPr>
          <w:rFonts w:ascii="Palatino Linotype" w:eastAsia="Palatino Linotype" w:hAnsi="Palatino Linotype" w:cs="Palatino Linotype"/>
          <w:b/>
          <w:i/>
          <w:color w:val="000000"/>
          <w:sz w:val="22"/>
          <w:szCs w:val="22"/>
        </w:rPr>
        <w:t xml:space="preserve">“ACTOS FUTUROS DE REALIZACION INCIERTA. NO PROCEDE EL JUICIO DE AMPARO CONTRA LOS. </w:t>
      </w:r>
      <w:r>
        <w:rPr>
          <w:rFonts w:ascii="Palatino Linotype" w:eastAsia="Palatino Linotype" w:hAnsi="Palatino Linotype" w:cs="Palatino Linotype"/>
          <w:i/>
          <w:color w:val="000000"/>
          <w:sz w:val="22"/>
          <w:szCs w:val="22"/>
        </w:rPr>
        <w:t>Contra actos futuros de realización incierta no procede el juicio de garantías.”</w:t>
      </w:r>
    </w:p>
    <w:p w14:paraId="6C017CE2" w14:textId="77777777" w:rsidR="00710AB2" w:rsidRDefault="00391A68">
      <w:pPr>
        <w:spacing w:before="240" w:after="24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2"/>
          <w:szCs w:val="22"/>
        </w:rPr>
        <w:t xml:space="preserve">En ese sentido, no es procedente la exigencia de </w:t>
      </w:r>
      <w:r w:rsidRPr="00F0354C">
        <w:rPr>
          <w:rFonts w:ascii="Palatino Linotype" w:eastAsia="Palatino Linotype" w:hAnsi="Palatino Linotype" w:cs="Palatino Linotype"/>
          <w:b/>
          <w:color w:val="000000"/>
          <w:sz w:val="22"/>
          <w:szCs w:val="22"/>
        </w:rPr>
        <w:t>la parte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de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w:t>
      </w:r>
      <w:r>
        <w:rPr>
          <w:rFonts w:ascii="Palatino Linotype" w:eastAsia="Palatino Linotype" w:hAnsi="Palatino Linotype" w:cs="Palatino Linotype"/>
          <w:b/>
          <w:color w:val="000000"/>
          <w:sz w:val="22"/>
          <w:szCs w:val="22"/>
        </w:rPr>
        <w:t>ocho de octubre de dos mil veinticuatro</w:t>
      </w:r>
      <w:r>
        <w:rPr>
          <w:rFonts w:ascii="Palatino Linotype" w:eastAsia="Palatino Linotype" w:hAnsi="Palatino Linotype" w:cs="Palatino Linotype"/>
          <w:color w:val="000000"/>
          <w:sz w:val="22"/>
          <w:szCs w:val="22"/>
        </w:rPr>
        <w:t>.</w:t>
      </w:r>
    </w:p>
    <w:p w14:paraId="1020DE8B" w14:textId="0786F21B" w:rsidR="00710AB2" w:rsidRDefault="00391A6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otro orden de ideas,</w:t>
      </w:r>
      <w:r>
        <w:t xml:space="preserve"> </w:t>
      </w:r>
      <w:r>
        <w:rPr>
          <w:rFonts w:ascii="Palatino Linotype" w:eastAsia="Palatino Linotype" w:hAnsi="Palatino Linotype" w:cs="Palatino Linotype"/>
          <w:sz w:val="22"/>
          <w:szCs w:val="22"/>
        </w:rPr>
        <w:t xml:space="preserve">se procede a analizar el cambio de modalidad, para ello debemos tener presente </w:t>
      </w:r>
      <w:r w:rsidR="00294055">
        <w:rPr>
          <w:rFonts w:ascii="Palatino Linotype" w:eastAsia="Palatino Linotype" w:hAnsi="Palatino Linotype" w:cs="Palatino Linotype"/>
          <w:sz w:val="22"/>
          <w:szCs w:val="22"/>
        </w:rPr>
        <w:t>que,</w:t>
      </w:r>
      <w:r>
        <w:rPr>
          <w:rFonts w:ascii="Palatino Linotype" w:eastAsia="Palatino Linotype" w:hAnsi="Palatino Linotype" w:cs="Palatino Linotype"/>
          <w:sz w:val="22"/>
          <w:szCs w:val="22"/>
        </w:rPr>
        <w:t xml:space="preserve"> si bien es cierto, </w:t>
      </w: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pretende hacer valer un cambio de modalidad de entrega de la información mediante consulta directa, adjuntando para tal efecto un Acuerdo del Comité de Transparencia por el cual se aprueba el cambio a consulta directa in situ. No debemos perder de vista que respecto al cambio de modalidad hecho valer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es necesario precisar </w:t>
      </w:r>
      <w:r>
        <w:rPr>
          <w:rFonts w:ascii="Palatino Linotype" w:eastAsia="Palatino Linotype" w:hAnsi="Palatino Linotype" w:cs="Palatino Linotype"/>
          <w:color w:val="000000"/>
          <w:sz w:val="22"/>
          <w:szCs w:val="22"/>
        </w:rPr>
        <w:t xml:space="preserve">el contenido de los artículos 155, fracción </w:t>
      </w:r>
      <w:r>
        <w:rPr>
          <w:rFonts w:ascii="Palatino Linotype" w:eastAsia="Palatino Linotype" w:hAnsi="Palatino Linotype" w:cs="Palatino Linotype"/>
          <w:color w:val="000000"/>
          <w:sz w:val="22"/>
          <w:szCs w:val="22"/>
        </w:rPr>
        <w:lastRenderedPageBreak/>
        <w:t>V y 164, de la Ley de Transparencia y Acceso a la Información Pública del Estado de México y Municipios, disponen lo siguiente:</w:t>
      </w:r>
    </w:p>
    <w:p w14:paraId="58063876" w14:textId="77777777" w:rsidR="00710AB2" w:rsidRDefault="00391A68">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155. Para presentar una solicitud por escrito, no se podrán exigir mayores requisitos que los siguientes: </w:t>
      </w:r>
    </w:p>
    <w:p w14:paraId="01B0E907"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AE86311" w14:textId="77777777" w:rsidR="00710AB2" w:rsidRDefault="00391A68">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402D85DA"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164. El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acceso se dará en la modalidad de entrega</w:t>
      </w:r>
      <w:r>
        <w:rPr>
          <w:rFonts w:ascii="Palatino Linotype" w:eastAsia="Palatino Linotype" w:hAnsi="Palatino Linotype" w:cs="Palatino Linotype"/>
          <w:i/>
          <w:sz w:val="22"/>
          <w:szCs w:val="22"/>
        </w:rPr>
        <w:t xml:space="preserve"> y, en su caso, de envío </w:t>
      </w:r>
      <w:r>
        <w:rPr>
          <w:rFonts w:ascii="Palatino Linotype" w:eastAsia="Palatino Linotype" w:hAnsi="Palatino Linotype" w:cs="Palatino Linotype"/>
          <w:b/>
          <w:i/>
          <w:sz w:val="22"/>
          <w:szCs w:val="22"/>
        </w:rPr>
        <w:t>elegidos por el solicitante</w:t>
      </w:r>
      <w:r>
        <w:rPr>
          <w:rFonts w:ascii="Palatino Linotype" w:eastAsia="Palatino Linotype" w:hAnsi="Palatino Linotype" w:cs="Palatino Linotype"/>
          <w:i/>
          <w:sz w:val="22"/>
          <w:szCs w:val="22"/>
        </w:rPr>
        <w:t xml:space="preserve">. Cuando la información no pueda entregarse o enviarse en la modalidad solicitada, el sujeto obligado deberá ofrecer otra u otras modalidades de entrega. </w:t>
      </w:r>
    </w:p>
    <w:p w14:paraId="2D74E4B9"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cualquier caso, se deberá fundar y motivar la necesidad de ofrecer otras modalidades.” </w:t>
      </w:r>
    </w:p>
    <w:p w14:paraId="78774F97"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4355183" w14:textId="77777777" w:rsidR="00710AB2" w:rsidRDefault="00710AB2">
      <w:pPr>
        <w:widowControl w:val="0"/>
        <w:spacing w:line="360" w:lineRule="auto"/>
        <w:jc w:val="both"/>
        <w:rPr>
          <w:rFonts w:ascii="Palatino Linotype" w:eastAsia="Palatino Linotype" w:hAnsi="Palatino Linotype" w:cs="Palatino Linotype"/>
          <w:sz w:val="22"/>
          <w:szCs w:val="22"/>
        </w:rPr>
      </w:pPr>
    </w:p>
    <w:p w14:paraId="5C84D997" w14:textId="77777777" w:rsidR="00710AB2" w:rsidRDefault="00391A6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En ese sentido, a efecto de dar cumplimiento al derecho de acceso a la Información Pública, los particulares tienen la posibilidad de elegir la modalidad de entrega que prefieran, entre ellas, vía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como lo realizó el particular en las solicitudes materia de estudio.</w:t>
      </w:r>
    </w:p>
    <w:p w14:paraId="6F9C6F3D" w14:textId="77777777" w:rsidR="00710AB2" w:rsidRDefault="00710AB2">
      <w:pPr>
        <w:widowControl w:val="0"/>
        <w:spacing w:line="360" w:lineRule="auto"/>
        <w:jc w:val="both"/>
        <w:rPr>
          <w:rFonts w:ascii="Palatino Linotype" w:eastAsia="Palatino Linotype" w:hAnsi="Palatino Linotype" w:cs="Palatino Linotype"/>
          <w:sz w:val="22"/>
          <w:szCs w:val="22"/>
        </w:rPr>
      </w:pPr>
    </w:p>
    <w:p w14:paraId="5F645AE3" w14:textId="77777777" w:rsidR="00710AB2" w:rsidRDefault="00391A68">
      <w:pP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podrá garantizar la entrega a través de cualquier otro medio, siempre y cuando funde y motive la razón para hacerlo.</w:t>
      </w:r>
    </w:p>
    <w:p w14:paraId="27FFADAD" w14:textId="77777777" w:rsidR="00710AB2" w:rsidRDefault="00710AB2">
      <w:pPr>
        <w:spacing w:line="360" w:lineRule="auto"/>
        <w:ind w:right="-93"/>
        <w:jc w:val="both"/>
        <w:rPr>
          <w:rFonts w:ascii="Palatino Linotype" w:eastAsia="Palatino Linotype" w:hAnsi="Palatino Linotype" w:cs="Palatino Linotype"/>
          <w:color w:val="000000"/>
          <w:sz w:val="22"/>
          <w:szCs w:val="22"/>
        </w:rPr>
      </w:pPr>
    </w:p>
    <w:p w14:paraId="16B69F51" w14:textId="77777777" w:rsidR="00710AB2" w:rsidRDefault="00391A68">
      <w:pPr>
        <w:spacing w:line="360" w:lineRule="auto"/>
        <w:ind w:right="-9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 xml:space="preserve">Sin embargo, en el presente asunto la actuación del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Pr>
          <w:rFonts w:ascii="Palatino Linotype" w:eastAsia="Palatino Linotype" w:hAnsi="Palatino Linotype" w:cs="Palatino Linotype"/>
          <w:b/>
          <w:color w:val="000000"/>
          <w:sz w:val="22"/>
          <w:szCs w:val="22"/>
        </w:rPr>
        <w:t>SAIMEX.</w:t>
      </w:r>
    </w:p>
    <w:p w14:paraId="770A9541" w14:textId="77777777" w:rsidR="00710AB2" w:rsidRDefault="00710AB2">
      <w:pPr>
        <w:spacing w:line="360" w:lineRule="auto"/>
        <w:ind w:right="-93"/>
        <w:jc w:val="both"/>
        <w:rPr>
          <w:rFonts w:ascii="Palatino Linotype" w:eastAsia="Palatino Linotype" w:hAnsi="Palatino Linotype" w:cs="Palatino Linotype"/>
          <w:b/>
          <w:color w:val="000000"/>
          <w:sz w:val="22"/>
          <w:szCs w:val="22"/>
        </w:rPr>
      </w:pPr>
    </w:p>
    <w:p w14:paraId="6C0CCC9B" w14:textId="77777777" w:rsidR="00710AB2" w:rsidRDefault="00391A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que el cambio de modalidad que pretendió hacer </w:t>
      </w:r>
      <w:r>
        <w:rPr>
          <w:rFonts w:ascii="Palatino Linotype" w:eastAsia="Palatino Linotype" w:hAnsi="Palatino Linotype" w:cs="Palatino Linotype"/>
          <w:b/>
          <w:color w:val="000000"/>
          <w:sz w:val="22"/>
          <w:szCs w:val="22"/>
        </w:rPr>
        <w:t>el Sujeto Obligado</w:t>
      </w:r>
      <w:r>
        <w:rPr>
          <w:rFonts w:ascii="Palatino Linotype" w:eastAsia="Palatino Linotype" w:hAnsi="Palatino Linotype" w:cs="Palatino Linotype"/>
          <w:color w:val="000000"/>
          <w:sz w:val="22"/>
          <w:szCs w:val="22"/>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2124906" w14:textId="77777777" w:rsidR="00710AB2" w:rsidRDefault="00710AB2">
      <w:pPr>
        <w:spacing w:line="360" w:lineRule="auto"/>
        <w:jc w:val="both"/>
        <w:rPr>
          <w:rFonts w:ascii="Palatino Linotype" w:eastAsia="Palatino Linotype" w:hAnsi="Palatino Linotype" w:cs="Palatino Linotype"/>
          <w:color w:val="000000"/>
          <w:sz w:val="22"/>
          <w:szCs w:val="22"/>
        </w:rPr>
      </w:pPr>
    </w:p>
    <w:p w14:paraId="5288489D" w14:textId="77777777" w:rsidR="00710AB2" w:rsidRDefault="00391A6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w:t>
      </w:r>
      <w:r>
        <w:rPr>
          <w:rFonts w:ascii="Palatino Linotype" w:eastAsia="Palatino Linotype" w:hAnsi="Palatino Linotype" w:cs="Palatino Linotype"/>
          <w:sz w:val="22"/>
          <w:szCs w:val="22"/>
        </w:rPr>
        <w:t>el artículo 158 de la Ley de Transparencia y Acceso a la Información Pública del Estado de México y Municipios</w:t>
      </w:r>
      <w:r>
        <w:rPr>
          <w:rFonts w:ascii="Palatino Linotype" w:eastAsia="Palatino Linotype" w:hAnsi="Palatino Linotype" w:cs="Palatino Linotype"/>
          <w:color w:val="000000"/>
          <w:sz w:val="22"/>
          <w:szCs w:val="22"/>
        </w:rPr>
        <w:t xml:space="preserve">, precisa los casos en que de manera excepcional se puede proceder al cambio de modalidad: </w:t>
      </w:r>
    </w:p>
    <w:p w14:paraId="51569C48" w14:textId="77777777" w:rsidR="00710AB2" w:rsidRDefault="00710AB2">
      <w:pPr>
        <w:spacing w:line="360" w:lineRule="auto"/>
        <w:jc w:val="both"/>
        <w:rPr>
          <w:rFonts w:ascii="Palatino Linotype" w:eastAsia="Palatino Linotype" w:hAnsi="Palatino Linotype" w:cs="Palatino Linotype"/>
          <w:sz w:val="22"/>
          <w:szCs w:val="22"/>
        </w:rPr>
      </w:pPr>
    </w:p>
    <w:p w14:paraId="02B6498E"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158.</w:t>
      </w:r>
      <w:r>
        <w:rPr>
          <w:rFonts w:ascii="Palatino Linotype" w:eastAsia="Palatino Linotype" w:hAnsi="Palatino Linotype" w:cs="Palatino Linotype"/>
          <w:i/>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Pr>
          <w:rFonts w:ascii="Palatino Linotype" w:eastAsia="Palatino Linotype" w:hAnsi="Palatino Linotype" w:cs="Palatino Linotype"/>
          <w:b/>
          <w:i/>
          <w:sz w:val="22"/>
          <w:szCs w:val="22"/>
        </w:rPr>
        <w:t>sobrepase las capacidades técnicas administrativas y humanas del sujeto obligado</w:t>
      </w:r>
      <w:r>
        <w:rPr>
          <w:rFonts w:ascii="Palatino Linotype" w:eastAsia="Palatino Linotype" w:hAnsi="Palatino Linotype" w:cs="Palatino Linotype"/>
          <w:i/>
          <w:sz w:val="22"/>
          <w:szCs w:val="22"/>
        </w:rPr>
        <w:t xml:space="preserve"> para cumplir con la solicitud, en los plazos establecidos para dichos efectos, se podrá poner a disposición del solicitante los documentos en consulta directa, salvo la información clasificada.”.</w:t>
      </w:r>
    </w:p>
    <w:p w14:paraId="2630866F" w14:textId="77777777" w:rsidR="00710AB2" w:rsidRDefault="00391A68">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2EA20C7F" w14:textId="77777777" w:rsidR="00710AB2" w:rsidRDefault="00710AB2">
      <w:pPr>
        <w:spacing w:line="360" w:lineRule="auto"/>
        <w:jc w:val="both"/>
        <w:rPr>
          <w:rFonts w:ascii="Palatino Linotype" w:eastAsia="Palatino Linotype" w:hAnsi="Palatino Linotype" w:cs="Palatino Linotype"/>
          <w:i/>
          <w:sz w:val="22"/>
          <w:szCs w:val="22"/>
        </w:rPr>
      </w:pPr>
    </w:p>
    <w:p w14:paraId="19C62926"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62255571" w14:textId="77777777" w:rsidR="00710AB2" w:rsidRDefault="00710AB2">
      <w:pPr>
        <w:spacing w:line="360" w:lineRule="auto"/>
        <w:ind w:right="-93"/>
        <w:jc w:val="both"/>
        <w:rPr>
          <w:rFonts w:ascii="Palatino Linotype" w:eastAsia="Palatino Linotype" w:hAnsi="Palatino Linotype" w:cs="Palatino Linotype"/>
          <w:sz w:val="22"/>
          <w:szCs w:val="22"/>
        </w:rPr>
      </w:pPr>
    </w:p>
    <w:p w14:paraId="4D4BCA8F"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del artículo anterior, se derivan tres hipótesis que en conjunto y de manera fundada y motivada, validan el cambio de modalidad de entrega de la información y las cuales son, que las documentales a proporcionar </w:t>
      </w:r>
      <w:r>
        <w:rPr>
          <w:rFonts w:ascii="Palatino Linotype" w:eastAsia="Palatino Linotype" w:hAnsi="Palatino Linotype" w:cs="Palatino Linotype"/>
          <w:b/>
          <w:sz w:val="22"/>
          <w:szCs w:val="22"/>
        </w:rPr>
        <w:t xml:space="preserve">sobrepasen las capacidades técnicas administrativas y humanas del Sujeto Obligado. </w:t>
      </w:r>
    </w:p>
    <w:p w14:paraId="6FA6A91C" w14:textId="77777777" w:rsidR="00710AB2" w:rsidRDefault="00710AB2">
      <w:pPr>
        <w:spacing w:line="360" w:lineRule="auto"/>
        <w:jc w:val="both"/>
        <w:rPr>
          <w:rFonts w:ascii="Palatino Linotype" w:eastAsia="Palatino Linotype" w:hAnsi="Palatino Linotype" w:cs="Palatino Linotype"/>
          <w:color w:val="000000"/>
          <w:sz w:val="22"/>
          <w:szCs w:val="22"/>
        </w:rPr>
      </w:pPr>
    </w:p>
    <w:p w14:paraId="67B29D37"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cabe mencionar lo que se tiene por </w:t>
      </w:r>
      <w:r>
        <w:rPr>
          <w:rFonts w:ascii="Palatino Linotype" w:eastAsia="Palatino Linotype" w:hAnsi="Palatino Linotype" w:cs="Palatino Linotype"/>
          <w:b/>
          <w:sz w:val="22"/>
          <w:szCs w:val="22"/>
        </w:rPr>
        <w:t>“capacidad”</w:t>
      </w:r>
      <w:r>
        <w:rPr>
          <w:rFonts w:ascii="Palatino Linotype" w:eastAsia="Palatino Linotype" w:hAnsi="Palatino Linotype" w:cs="Palatino Linotype"/>
          <w:sz w:val="22"/>
          <w:szCs w:val="22"/>
        </w:rPr>
        <w:t>, que de manera general puede ser interpretado como la circunstancia o conjunto de condiciones, cualidades o aptitudes que permiten el desarrollo o el cumplimiento de una función o desempeño de un cargo.</w:t>
      </w:r>
    </w:p>
    <w:p w14:paraId="4A464589" w14:textId="77777777" w:rsidR="00710AB2" w:rsidRDefault="00710AB2">
      <w:pPr>
        <w:spacing w:line="360" w:lineRule="auto"/>
        <w:jc w:val="both"/>
        <w:rPr>
          <w:rFonts w:ascii="Palatino Linotype" w:eastAsia="Palatino Linotype" w:hAnsi="Palatino Linotype" w:cs="Palatino Linotype"/>
          <w:sz w:val="22"/>
          <w:szCs w:val="22"/>
        </w:rPr>
      </w:pPr>
    </w:p>
    <w:p w14:paraId="04E66A98"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a las </w:t>
      </w:r>
      <w:r>
        <w:rPr>
          <w:rFonts w:ascii="Palatino Linotype" w:eastAsia="Palatino Linotype" w:hAnsi="Palatino Linotype" w:cs="Palatino Linotype"/>
          <w:b/>
          <w:sz w:val="22"/>
          <w:szCs w:val="22"/>
        </w:rPr>
        <w:t>capacidades técnicas</w:t>
      </w:r>
      <w:r>
        <w:rPr>
          <w:rFonts w:ascii="Palatino Linotype" w:eastAsia="Palatino Linotype" w:hAnsi="Palatino Linotype" w:cs="Palatino Linotype"/>
          <w:sz w:val="22"/>
          <w:szCs w:val="22"/>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6940A2F" w14:textId="77777777" w:rsidR="00710AB2" w:rsidRDefault="00710AB2">
      <w:pPr>
        <w:spacing w:line="360" w:lineRule="auto"/>
        <w:jc w:val="both"/>
        <w:rPr>
          <w:rFonts w:ascii="Palatino Linotype" w:eastAsia="Palatino Linotype" w:hAnsi="Palatino Linotype" w:cs="Palatino Linotype"/>
          <w:sz w:val="22"/>
          <w:szCs w:val="22"/>
        </w:rPr>
      </w:pPr>
    </w:p>
    <w:p w14:paraId="4857730F"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es importante señalar que conforme al numeral Vigésimo Cuarto de los Lineamientos para la operación del Sistema de Acceso a la Información Mexiquense (SAIMEX) y del Sistema de Acceso, Rectificación, Cancelación y Oposición de Datos Personales del Estado de México (SARCOEM), los sistemas electrónicos cuentan con una capacidad máxima de carga dentro del servidor </w:t>
      </w:r>
      <w:r>
        <w:rPr>
          <w:rFonts w:ascii="Palatino Linotype" w:eastAsia="Palatino Linotype" w:hAnsi="Palatino Linotype" w:cs="Palatino Linotype"/>
          <w:b/>
          <w:sz w:val="22"/>
          <w:szCs w:val="22"/>
        </w:rPr>
        <w:t>con un peso total de quinientos megabytes o su equivalente a ocho mil fojas aproximadamente</w:t>
      </w:r>
      <w:r>
        <w:rPr>
          <w:rFonts w:ascii="Palatino Linotype" w:eastAsia="Palatino Linotype" w:hAnsi="Palatino Linotype" w:cs="Palatino Linotype"/>
          <w:sz w:val="22"/>
          <w:szCs w:val="22"/>
        </w:rPr>
        <w:t>.</w:t>
      </w:r>
    </w:p>
    <w:p w14:paraId="5DE5D2F3" w14:textId="77777777" w:rsidR="00710AB2" w:rsidRDefault="00710AB2">
      <w:pPr>
        <w:spacing w:line="360" w:lineRule="auto"/>
        <w:jc w:val="both"/>
        <w:rPr>
          <w:rFonts w:ascii="Palatino Linotype" w:eastAsia="Palatino Linotype" w:hAnsi="Palatino Linotype" w:cs="Palatino Linotype"/>
          <w:sz w:val="22"/>
          <w:szCs w:val="22"/>
        </w:rPr>
      </w:pPr>
    </w:p>
    <w:p w14:paraId="54DA9F93"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cuanto hace a las </w:t>
      </w:r>
      <w:r>
        <w:rPr>
          <w:rFonts w:ascii="Palatino Linotype" w:eastAsia="Palatino Linotype" w:hAnsi="Palatino Linotype" w:cs="Palatino Linotype"/>
          <w:b/>
          <w:sz w:val="22"/>
          <w:szCs w:val="22"/>
        </w:rPr>
        <w:t>capacidades humanas</w:t>
      </w:r>
      <w:r>
        <w:rPr>
          <w:rFonts w:ascii="Palatino Linotype" w:eastAsia="Palatino Linotype" w:hAnsi="Palatino Linotype" w:cs="Palatino Linotype"/>
          <w:sz w:val="22"/>
          <w:szCs w:val="22"/>
        </w:rPr>
        <w:t>, se entiende que es la cantidad efectiva de personal de una institución pública donde usan sus habilidades, motivaciones, activos organizacionales como patente.</w:t>
      </w:r>
    </w:p>
    <w:p w14:paraId="6228A870" w14:textId="77777777" w:rsidR="00710AB2" w:rsidRDefault="00710AB2">
      <w:pPr>
        <w:spacing w:line="360" w:lineRule="auto"/>
        <w:jc w:val="both"/>
        <w:rPr>
          <w:rFonts w:ascii="Palatino Linotype" w:eastAsia="Palatino Linotype" w:hAnsi="Palatino Linotype" w:cs="Palatino Linotype"/>
          <w:sz w:val="22"/>
          <w:szCs w:val="22"/>
        </w:rPr>
      </w:pPr>
    </w:p>
    <w:p w14:paraId="4CD2A8F4" w14:textId="77777777" w:rsidR="00710AB2" w:rsidRDefault="00391A6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Teniendo en cuenta lo anteriormente expuesto, abordamos a la conclusión en el presente asunto </w:t>
      </w:r>
      <w:r>
        <w:rPr>
          <w:rFonts w:ascii="Palatino Linotype" w:eastAsia="Palatino Linotype" w:hAnsi="Palatino Linotype" w:cs="Palatino Linotype"/>
          <w:b/>
          <w:sz w:val="22"/>
          <w:szCs w:val="22"/>
        </w:rPr>
        <w:t xml:space="preserve">el Sujeto Obligado </w:t>
      </w:r>
      <w:r>
        <w:rPr>
          <w:rFonts w:ascii="Palatino Linotype" w:eastAsia="Palatino Linotype" w:hAnsi="Palatino Linotype" w:cs="Palatino Linotype"/>
          <w:sz w:val="22"/>
          <w:szCs w:val="22"/>
        </w:rPr>
        <w:t xml:space="preserve">omitió argumentar o presentar los motivos que impiden entregar la información requerida a través de la plataforma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pues no basta con manifestar el cambio de modalidad por sí solo, sin fundamentar ni motivar dicha pretensión, asimismo cabe resaltar que este Organismo Garante le envió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un requerimiento tendiente a conocer el número de fojas que compone la información para efecto de allegarse de mayores elementos que permitieran acreditar o desvirtuar el cambio de modalidad, sin embargo, el Ayuntamiento de Temamatla fue omiso en atender dicho requerimiento.</w:t>
      </w:r>
    </w:p>
    <w:p w14:paraId="48A8716E" w14:textId="77777777" w:rsidR="00710AB2" w:rsidRDefault="00710AB2">
      <w:pPr>
        <w:widowControl w:val="0"/>
        <w:spacing w:line="360" w:lineRule="auto"/>
        <w:jc w:val="both"/>
        <w:rPr>
          <w:rFonts w:ascii="Palatino Linotype" w:eastAsia="Palatino Linotype" w:hAnsi="Palatino Linotype" w:cs="Palatino Linotype"/>
          <w:sz w:val="22"/>
          <w:szCs w:val="22"/>
        </w:rPr>
      </w:pPr>
    </w:p>
    <w:p w14:paraId="01146C2C" w14:textId="77777777" w:rsidR="00710AB2" w:rsidRDefault="00391A6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mayor abundamiento de lo anterior, si bien es cierto,  la autoridad haya proporcionado el acta del Comité de Transparencia en donde se aprueba el cambio de modalidad a consulta directa para la entrega de información, no menos cierto es que de la misma se puede observar que no contiene los elementos de validez suficientes para dar sustento sobre la acción ejecutada por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toda vez que, dicha autoridad únicamente se limitó a invocar diversas fuentes normativas aplicables al tema en concreto, sin presentar algún argumento de relevancia que impida la entrega de la información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3AF3D55B" w14:textId="77777777" w:rsidR="004F6C55" w:rsidRDefault="004F6C55">
      <w:pPr>
        <w:widowControl w:val="0"/>
        <w:spacing w:line="360" w:lineRule="auto"/>
        <w:jc w:val="both"/>
        <w:rPr>
          <w:rFonts w:ascii="Palatino Linotype" w:eastAsia="Palatino Linotype" w:hAnsi="Palatino Linotype" w:cs="Palatino Linotype"/>
          <w:sz w:val="22"/>
          <w:szCs w:val="22"/>
        </w:rPr>
      </w:pPr>
    </w:p>
    <w:p w14:paraId="374CDDE6" w14:textId="0DBA9B70" w:rsidR="004F6C55" w:rsidRDefault="004F6C55" w:rsidP="004F6C55">
      <w:pPr>
        <w:widowControl w:val="0"/>
        <w:spacing w:line="360" w:lineRule="auto"/>
        <w:jc w:val="both"/>
        <w:rPr>
          <w:rFonts w:ascii="Palatino Linotype" w:eastAsia="Palatino Linotype" w:hAnsi="Palatino Linotype" w:cs="Palatino Linotype"/>
          <w:sz w:val="22"/>
          <w:szCs w:val="22"/>
        </w:rPr>
      </w:pPr>
      <w:r w:rsidRPr="004F6C55">
        <w:rPr>
          <w:rFonts w:ascii="Palatino Linotype" w:eastAsia="Palatino Linotype" w:hAnsi="Palatino Linotype" w:cs="Palatino Linotype"/>
          <w:sz w:val="22"/>
          <w:szCs w:val="22"/>
        </w:rPr>
        <w:t xml:space="preserve">En otro orden de ideas, resulta importante traer a colación que el </w:t>
      </w:r>
      <w:r w:rsidRPr="004F6C55">
        <w:rPr>
          <w:rFonts w:ascii="Palatino Linotype" w:eastAsia="Palatino Linotype" w:hAnsi="Palatino Linotype" w:cs="Palatino Linotype"/>
          <w:b/>
          <w:sz w:val="22"/>
          <w:szCs w:val="22"/>
        </w:rPr>
        <w:t>Sujeto Obligado</w:t>
      </w:r>
      <w:r w:rsidRPr="004F6C55">
        <w:rPr>
          <w:rFonts w:ascii="Palatino Linotype" w:eastAsia="Palatino Linotype" w:hAnsi="Palatino Linotype" w:cs="Palatino Linotype"/>
          <w:sz w:val="22"/>
          <w:szCs w:val="22"/>
        </w:rPr>
        <w:t xml:space="preserve"> únicamente puso a disposición del particular la información </w:t>
      </w:r>
      <w:r>
        <w:rPr>
          <w:rFonts w:ascii="Palatino Linotype" w:eastAsia="Palatino Linotype" w:hAnsi="Palatino Linotype" w:cs="Palatino Linotype"/>
          <w:sz w:val="22"/>
          <w:szCs w:val="22"/>
        </w:rPr>
        <w:t xml:space="preserve">de seis solicitudes de información </w:t>
      </w:r>
      <w:r w:rsidRPr="004F6C55">
        <w:rPr>
          <w:rFonts w:ascii="Palatino Linotype" w:eastAsia="Palatino Linotype" w:hAnsi="Palatino Linotype" w:cs="Palatino Linotype"/>
          <w:sz w:val="22"/>
          <w:szCs w:val="22"/>
        </w:rPr>
        <w:t>por</w:t>
      </w:r>
      <w:r>
        <w:rPr>
          <w:rFonts w:ascii="Palatino Linotype" w:eastAsia="Palatino Linotype" w:hAnsi="Palatino Linotype" w:cs="Palatino Linotype"/>
          <w:sz w:val="22"/>
          <w:szCs w:val="22"/>
        </w:rPr>
        <w:t xml:space="preserve"> un día establecido que es el 05 de noviembre de 2024, en un periodo de una hora, es decir, de 09:00 a 10</w:t>
      </w:r>
      <w:r w:rsidRPr="004F6C55">
        <w:rPr>
          <w:rFonts w:ascii="Palatino Linotype" w:eastAsia="Palatino Linotype" w:hAnsi="Palatino Linotype" w:cs="Palatino Linotype"/>
          <w:sz w:val="22"/>
          <w:szCs w:val="22"/>
        </w:rPr>
        <w:t xml:space="preserve">:00 horas, por ende, estamos ante una violación a su derecho </w:t>
      </w:r>
      <w:r w:rsidRPr="004F6C55">
        <w:rPr>
          <w:rFonts w:ascii="Palatino Linotype" w:eastAsia="Palatino Linotype" w:hAnsi="Palatino Linotype" w:cs="Palatino Linotype"/>
          <w:sz w:val="22"/>
          <w:szCs w:val="22"/>
        </w:rPr>
        <w:lastRenderedPageBreak/>
        <w:t xml:space="preserve">humano de acceso a la información pública, pues dicha notificación </w:t>
      </w:r>
      <w:r>
        <w:rPr>
          <w:rFonts w:ascii="Palatino Linotype" w:eastAsia="Palatino Linotype" w:hAnsi="Palatino Linotype" w:cs="Palatino Linotype"/>
          <w:sz w:val="22"/>
          <w:szCs w:val="22"/>
        </w:rPr>
        <w:t xml:space="preserve">a juicio de </w:t>
      </w:r>
      <w:r w:rsidRPr="004F6C55">
        <w:rPr>
          <w:rFonts w:ascii="Palatino Linotype" w:eastAsia="Palatino Linotype" w:hAnsi="Palatino Linotype" w:cs="Palatino Linotype"/>
          <w:sz w:val="22"/>
          <w:szCs w:val="22"/>
        </w:rPr>
        <w:t>este Organism</w:t>
      </w:r>
      <w:r>
        <w:rPr>
          <w:rFonts w:ascii="Palatino Linotype" w:eastAsia="Palatino Linotype" w:hAnsi="Palatino Linotype" w:cs="Palatino Linotype"/>
          <w:sz w:val="22"/>
          <w:szCs w:val="22"/>
        </w:rPr>
        <w:t>o Garante resulta contradictoria, toda vez</w:t>
      </w:r>
      <w:r w:rsidRPr="004F6C55">
        <w:rPr>
          <w:rFonts w:ascii="Palatino Linotype" w:eastAsia="Palatino Linotype" w:hAnsi="Palatino Linotype" w:cs="Palatino Linotype"/>
          <w:sz w:val="22"/>
          <w:szCs w:val="22"/>
        </w:rPr>
        <w:t xml:space="preserve"> que el </w:t>
      </w:r>
      <w:r w:rsidRPr="004F6C55">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alega</w:t>
      </w:r>
      <w:r w:rsidRPr="004F6C55">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un cambio de modalidad por incapacidad técnica y tecnológica </w:t>
      </w:r>
      <w:r w:rsidRPr="004F6C55">
        <w:rPr>
          <w:rFonts w:ascii="Palatino Linotype" w:eastAsia="Palatino Linotype" w:hAnsi="Palatino Linotype" w:cs="Palatino Linotype"/>
          <w:sz w:val="22"/>
          <w:szCs w:val="22"/>
        </w:rPr>
        <w:t xml:space="preserve">pero a </w:t>
      </w:r>
      <w:r w:rsidRPr="004F6C55">
        <w:rPr>
          <w:rFonts w:ascii="Palatino Linotype" w:eastAsia="Palatino Linotype" w:hAnsi="Palatino Linotype" w:cs="Palatino Linotype"/>
          <w:b/>
          <w:sz w:val="22"/>
          <w:szCs w:val="22"/>
        </w:rPr>
        <w:t>la parte Recurrente</w:t>
      </w:r>
      <w:r w:rsidRPr="004F6C55">
        <w:rPr>
          <w:rFonts w:ascii="Palatino Linotype" w:eastAsia="Palatino Linotype" w:hAnsi="Palatino Linotype" w:cs="Palatino Linotype"/>
          <w:sz w:val="22"/>
          <w:szCs w:val="22"/>
        </w:rPr>
        <w:t xml:space="preserve"> le indica que cuenta con un plazo de un día y específicamente de </w:t>
      </w:r>
      <w:r>
        <w:rPr>
          <w:rFonts w:ascii="Palatino Linotype" w:eastAsia="Palatino Linotype" w:hAnsi="Palatino Linotype" w:cs="Palatino Linotype"/>
          <w:sz w:val="22"/>
          <w:szCs w:val="22"/>
        </w:rPr>
        <w:t xml:space="preserve">una </w:t>
      </w:r>
      <w:r w:rsidRPr="004F6C55">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hora</w:t>
      </w:r>
      <w:r w:rsidRPr="004F6C55">
        <w:rPr>
          <w:rFonts w:ascii="Palatino Linotype" w:eastAsia="Palatino Linotype" w:hAnsi="Palatino Linotype" w:cs="Palatino Linotype"/>
          <w:sz w:val="22"/>
          <w:szCs w:val="22"/>
        </w:rPr>
        <w:t xml:space="preserve"> para consultar la información</w:t>
      </w:r>
      <w:r>
        <w:rPr>
          <w:rFonts w:ascii="Palatino Linotype" w:eastAsia="Palatino Linotype" w:hAnsi="Palatino Linotype" w:cs="Palatino Linotype"/>
          <w:sz w:val="22"/>
          <w:szCs w:val="22"/>
        </w:rPr>
        <w:t xml:space="preserve"> de seis solicitudes</w:t>
      </w:r>
      <w:r w:rsidRPr="004F6C55">
        <w:rPr>
          <w:rFonts w:ascii="Palatino Linotype" w:eastAsia="Palatino Linotype" w:hAnsi="Palatino Linotype" w:cs="Palatino Linotype"/>
          <w:sz w:val="22"/>
          <w:szCs w:val="22"/>
        </w:rPr>
        <w:t>.</w:t>
      </w:r>
    </w:p>
    <w:p w14:paraId="078673FC" w14:textId="77777777" w:rsidR="00710AB2" w:rsidRDefault="00710AB2">
      <w:pPr>
        <w:widowControl w:val="0"/>
        <w:spacing w:line="360" w:lineRule="auto"/>
        <w:jc w:val="both"/>
        <w:rPr>
          <w:rFonts w:ascii="Palatino Linotype" w:eastAsia="Palatino Linotype" w:hAnsi="Palatino Linotype" w:cs="Palatino Linotype"/>
          <w:sz w:val="22"/>
          <w:szCs w:val="22"/>
        </w:rPr>
      </w:pPr>
    </w:p>
    <w:p w14:paraId="4C1C2D2A" w14:textId="77777777" w:rsidR="00710AB2" w:rsidRDefault="00391A6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es dable afirmar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a juicio de este Organismo Garante, no se cuentan con los elementos suficientes para determinar que el cambio de modalidad aprobado por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xml:space="preserve"> no satisface el derecho de acceso a la información de la</w:t>
      </w:r>
      <w:r>
        <w:rPr>
          <w:rFonts w:ascii="Palatino Linotype" w:eastAsia="Palatino Linotype" w:hAnsi="Palatino Linotype" w:cs="Palatino Linotype"/>
          <w:b/>
          <w:sz w:val="22"/>
          <w:szCs w:val="22"/>
        </w:rPr>
        <w:t xml:space="preserve"> parte Recurrente </w:t>
      </w:r>
      <w:r>
        <w:rPr>
          <w:rFonts w:ascii="Palatino Linotype" w:eastAsia="Palatino Linotype" w:hAnsi="Palatino Linotype" w:cs="Palatino Linotype"/>
          <w:sz w:val="22"/>
          <w:szCs w:val="22"/>
        </w:rPr>
        <w:t>al no haberse acreditado de manera fehaciente la imposibilidad de proporcionar la información a través del sistema electrónico respectivo, es por ello que se deberá hacer entrega de la misma de ser el caso en versión pública.</w:t>
      </w:r>
    </w:p>
    <w:p w14:paraId="6FFD8673" w14:textId="77777777" w:rsidR="00710AB2" w:rsidRDefault="00391A68">
      <w:pPr>
        <w:widowControl w:val="0"/>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 la naturaleza de la información, resulta pertinente tener en cuenta que nuestro requerimiento en cuestión versa sobre lo siguiente:</w:t>
      </w:r>
    </w:p>
    <w:p w14:paraId="6C1BD85E"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Cuantificación de los siguientes gastos:</w:t>
      </w:r>
    </w:p>
    <w:p w14:paraId="03489240"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económicos y en especie otorgados o destinados a actividades cívico - culturales y deportivas por el presiente municipal en la cabecera municipal y delegaciones.</w:t>
      </w:r>
    </w:p>
    <w:p w14:paraId="121F5DB8"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económicos y en especie otorgados por el presiente municipal en la cabecera municipal y delegaciones</w:t>
      </w:r>
    </w:p>
    <w:p w14:paraId="585B25B9"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en especie otorgados a grupos voluntarios, grupos religiosos y mayordomías por el presiente municipal en la cabecera municipal y delegaciones</w:t>
      </w:r>
    </w:p>
    <w:p w14:paraId="3BC31ECC"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Apoyos a mayordomías, grupos voluntarios y grupos religiosos otorgados por el presiente municipal en la cabecera municipal y delegaciones</w:t>
      </w:r>
    </w:p>
    <w:p w14:paraId="478143DD" w14:textId="77777777" w:rsidR="00710AB2" w:rsidRDefault="00391A68">
      <w:pPr>
        <w:widowControl w:val="0"/>
        <w:spacing w:before="240" w:after="240"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En relación con el inciso a), las pólizas de egresos con su factura y documentación respaldo.</w:t>
      </w:r>
    </w:p>
    <w:p w14:paraId="45154143" w14:textId="247221AC"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tesitura, resulta pertinente señalar </w:t>
      </w:r>
      <w:r w:rsidRPr="00F0354C">
        <w:rPr>
          <w:rFonts w:ascii="Palatino Linotype" w:eastAsia="Palatino Linotype" w:hAnsi="Palatino Linotype" w:cs="Palatino Linotype"/>
          <w:color w:val="000000" w:themeColor="text1"/>
          <w:sz w:val="22"/>
          <w:szCs w:val="22"/>
        </w:rPr>
        <w:t xml:space="preserve">que </w:t>
      </w:r>
      <w:r w:rsidR="00F0354C" w:rsidRPr="00F0354C">
        <w:rPr>
          <w:rFonts w:ascii="Palatino Linotype" w:eastAsia="Palatino Linotype" w:hAnsi="Palatino Linotype" w:cs="Palatino Linotype"/>
          <w:color w:val="000000" w:themeColor="text1"/>
          <w:sz w:val="22"/>
          <w:szCs w:val="22"/>
        </w:rPr>
        <w:t xml:space="preserve">el Manual </w:t>
      </w:r>
      <w:r>
        <w:rPr>
          <w:rFonts w:ascii="Palatino Linotype" w:eastAsia="Palatino Linotype" w:hAnsi="Palatino Linotype" w:cs="Palatino Linotype"/>
          <w:sz w:val="22"/>
          <w:szCs w:val="22"/>
        </w:rPr>
        <w:t>para la Planeación, Programación y Presupuesto de Egresos Municipal, para los Ejercicios Fiscales dos mil veintidós, dos mil veintitrés y dos mil veinticuatro, contienen el Clasificador por Objeto del Gasto, el cual se conforma del Capítulo 4000 Transferencias, Asignaciones, Subsidios y Otras Ayudas.</w:t>
      </w:r>
    </w:p>
    <w:p w14:paraId="5B758839" w14:textId="77777777" w:rsidR="00710AB2" w:rsidRDefault="00710AB2">
      <w:pPr>
        <w:spacing w:line="360" w:lineRule="auto"/>
        <w:jc w:val="both"/>
        <w:rPr>
          <w:rFonts w:ascii="Palatino Linotype" w:eastAsia="Palatino Linotype" w:hAnsi="Palatino Linotype" w:cs="Palatino Linotype"/>
          <w:sz w:val="22"/>
          <w:szCs w:val="22"/>
        </w:rPr>
      </w:pPr>
    </w:p>
    <w:p w14:paraId="46F7C73A"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se conforma de diversas partidas genéricas y específicas, entre las cuales se encuentran las siguientes:</w:t>
      </w:r>
    </w:p>
    <w:p w14:paraId="2AA2D1B7"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354248F"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66B4EA9C" wp14:editId="4599638C">
            <wp:extent cx="5612130" cy="81026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810260"/>
                    </a:xfrm>
                    <a:prstGeom prst="rect">
                      <a:avLst/>
                    </a:prstGeom>
                    <a:ln/>
                  </pic:spPr>
                </pic:pic>
              </a:graphicData>
            </a:graphic>
          </wp:inline>
        </w:drawing>
      </w:r>
    </w:p>
    <w:p w14:paraId="0E0B5BF1"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64D2E5CB"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288CDBE2" wp14:editId="3EDC47C4">
            <wp:extent cx="5612130" cy="848995"/>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848995"/>
                    </a:xfrm>
                    <a:prstGeom prst="rect">
                      <a:avLst/>
                    </a:prstGeom>
                    <a:ln/>
                  </pic:spPr>
                </pic:pic>
              </a:graphicData>
            </a:graphic>
          </wp:inline>
        </w:drawing>
      </w:r>
    </w:p>
    <w:p w14:paraId="09C69443" w14:textId="77777777" w:rsidR="00710AB2" w:rsidRDefault="00710AB2">
      <w:pPr>
        <w:spacing w:line="360" w:lineRule="auto"/>
        <w:jc w:val="both"/>
        <w:rPr>
          <w:rFonts w:ascii="Palatino Linotype" w:eastAsia="Palatino Linotype" w:hAnsi="Palatino Linotype" w:cs="Palatino Linotype"/>
          <w:sz w:val="22"/>
          <w:szCs w:val="22"/>
        </w:rPr>
      </w:pPr>
    </w:p>
    <w:p w14:paraId="223276F4"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050A335B"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23B9FBCD" wp14:editId="30FDB9E5">
            <wp:extent cx="5612130" cy="63881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638810"/>
                    </a:xfrm>
                    <a:prstGeom prst="rect">
                      <a:avLst/>
                    </a:prstGeom>
                    <a:ln/>
                  </pic:spPr>
                </pic:pic>
              </a:graphicData>
            </a:graphic>
          </wp:inline>
        </w:drawing>
      </w:r>
    </w:p>
    <w:p w14:paraId="7360CCD3" w14:textId="77777777" w:rsidR="00710AB2" w:rsidRDefault="00391A68">
      <w:pPr>
        <w:widowControl w:val="0"/>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Establecido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639E9F47" w14:textId="77777777" w:rsidR="00710AB2" w:rsidRDefault="00391A68">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sz w:val="22"/>
          <w:szCs w:val="22"/>
        </w:rPr>
        <w:t>Artículo 342.-</w:t>
      </w:r>
      <w:r>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w:t>
      </w:r>
      <w:r>
        <w:rPr>
          <w:rFonts w:ascii="Palatino Linotype" w:eastAsia="Palatino Linotype" w:hAnsi="Palatino Linotype" w:cs="Palatino Linotype"/>
          <w:i/>
          <w:color w:val="000000"/>
          <w:sz w:val="22"/>
          <w:szCs w:val="22"/>
        </w:rPr>
        <w:t>planeación</w:t>
      </w:r>
      <w:r>
        <w:rPr>
          <w:rFonts w:ascii="Palatino Linotype" w:eastAsia="Palatino Linotype" w:hAnsi="Palatino Linotype" w:cs="Palatino Linotype"/>
          <w:i/>
          <w:sz w:val="22"/>
          <w:szCs w:val="22"/>
        </w:rPr>
        <w:t xml:space="preserve">, programación, presupuestación, evaluación y </w:t>
      </w:r>
      <w:r>
        <w:rPr>
          <w:rFonts w:ascii="Palatino Linotype" w:eastAsia="Palatino Linotype" w:hAnsi="Palatino Linotype" w:cs="Palatino Linotype"/>
          <w:i/>
          <w:color w:val="000000"/>
          <w:sz w:val="22"/>
          <w:szCs w:val="22"/>
        </w:rPr>
        <w:t>contabilidad</w:t>
      </w:r>
      <w:r>
        <w:rPr>
          <w:rFonts w:ascii="Palatino Linotype" w:eastAsia="Palatino Linotype" w:hAnsi="Palatino Linotype" w:cs="Palatino Linotype"/>
          <w:i/>
          <w:sz w:val="22"/>
          <w:szCs w:val="22"/>
        </w:rPr>
        <w:t xml:space="preserve"> gubernamental. </w:t>
      </w:r>
    </w:p>
    <w:p w14:paraId="575164E5" w14:textId="77777777" w:rsidR="00710AB2" w:rsidRDefault="00391A68">
      <w:pPr>
        <w:spacing w:before="120" w:after="120" w:line="276" w:lineRule="auto"/>
        <w:ind w:left="567"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color w:val="000000"/>
          <w:sz w:val="22"/>
          <w:szCs w:val="22"/>
        </w:rPr>
        <w:t>…</w:t>
      </w:r>
    </w:p>
    <w:p w14:paraId="689899ED" w14:textId="77777777" w:rsidR="00710AB2" w:rsidRDefault="00391A68">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343.-</w:t>
      </w:r>
      <w:r>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1561926" w14:textId="77777777" w:rsidR="00710AB2" w:rsidRDefault="00391A68">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1F0FB0E8" w14:textId="77777777" w:rsidR="00710AB2" w:rsidRDefault="00391A68">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Pr>
          <w:rFonts w:ascii="Palatino Linotype" w:eastAsia="Palatino Linotype" w:hAnsi="Palatino Linotype" w:cs="Palatino Linotype"/>
          <w:i/>
          <w:sz w:val="22"/>
          <w:szCs w:val="22"/>
        </w:rPr>
        <w:t xml:space="preserve">en el caso de los Municipios se hará por la Tesorería. </w:t>
      </w:r>
    </w:p>
    <w:p w14:paraId="38026F8D" w14:textId="77777777" w:rsidR="00710AB2" w:rsidRDefault="00391A68">
      <w:pPr>
        <w:spacing w:before="120" w:after="120" w:line="276" w:lineRule="auto"/>
        <w:ind w:left="567"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Derogado. </w:t>
      </w:r>
    </w:p>
    <w:p w14:paraId="507E41B3" w14:textId="77777777" w:rsidR="00710AB2" w:rsidRDefault="00391A68">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16AB42D3" w14:textId="77777777" w:rsidR="00710AB2" w:rsidRDefault="00391A68">
      <w:pPr>
        <w:spacing w:before="120" w:after="120" w:line="276" w:lineRule="auto"/>
        <w:ind w:left="567"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05F4CB9" w14:textId="77777777" w:rsidR="004F6C55" w:rsidRDefault="00391A68" w:rsidP="004F6C55">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345.-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Pr>
          <w:rFonts w:ascii="Palatino Linotype" w:eastAsia="Palatino Linotype" w:hAnsi="Palatino Linotype" w:cs="Palatino Linotype"/>
          <w:i/>
          <w:sz w:val="22"/>
          <w:szCs w:val="22"/>
        </w:rPr>
        <w:t xml:space="preserve">, la remitirán en un plazo que no excederá de seis meses al Archivo Contable Gubernamental. </w:t>
      </w:r>
      <w:r>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Pr>
          <w:rFonts w:ascii="Palatino Linotype" w:eastAsia="Palatino Linotype" w:hAnsi="Palatino Linotype" w:cs="Palatino Linotype"/>
          <w:i/>
          <w:sz w:val="22"/>
          <w:szCs w:val="22"/>
        </w:rPr>
        <w:t xml:space="preserve">. </w:t>
      </w:r>
    </w:p>
    <w:p w14:paraId="0CA19076" w14:textId="430F3F15" w:rsidR="00710AB2" w:rsidRPr="004F6C55" w:rsidRDefault="00391A68" w:rsidP="004F6C55">
      <w:pPr>
        <w:spacing w:before="120" w:after="120" w:line="276" w:lineRule="auto"/>
        <w:ind w:left="567"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w:t>
      </w:r>
      <w:r>
        <w:rPr>
          <w:rFonts w:ascii="Palatino Linotype" w:eastAsia="Palatino Linotype" w:hAnsi="Palatino Linotype" w:cs="Palatino Linotype"/>
          <w:i/>
          <w:color w:val="000000"/>
          <w:sz w:val="22"/>
          <w:szCs w:val="22"/>
        </w:rPr>
        <w:t xml:space="preserve"> “</w:t>
      </w:r>
    </w:p>
    <w:p w14:paraId="2D2FA9E1" w14:textId="77777777" w:rsidR="00710AB2" w:rsidRDefault="00391A68">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De una interpretación sistemática de los artículos transcritos, se desprende primeramente que el</w:t>
      </w:r>
      <w:r>
        <w:rPr>
          <w:rFonts w:ascii="Palatino Linotype" w:eastAsia="Palatino Linotype" w:hAnsi="Palatino Linotype" w:cs="Palatino Linotype"/>
          <w:color w:val="000000"/>
          <w:sz w:val="22"/>
          <w:szCs w:val="22"/>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14:paraId="1894DA42" w14:textId="77777777" w:rsidR="00710AB2" w:rsidRDefault="00391A68">
      <w:pPr>
        <w:spacing w:before="240" w:after="240" w:line="360" w:lineRule="auto"/>
        <w:ind w:right="-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2185CE53" w14:textId="77777777" w:rsidR="00710AB2" w:rsidRDefault="00391A68">
      <w:pPr>
        <w:spacing w:before="120" w:after="120" w:line="276" w:lineRule="auto"/>
        <w:ind w:left="567"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FACTURA</w:t>
      </w:r>
    </w:p>
    <w:p w14:paraId="25491069" w14:textId="77777777" w:rsidR="00710AB2" w:rsidRDefault="00391A68">
      <w:pPr>
        <w:spacing w:before="120" w:after="120"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 el documento fiscal que emite la persona física o moral para comprobar la venta o adquisición de un bien y/o servicio.” </w:t>
      </w:r>
    </w:p>
    <w:p w14:paraId="7F073FD7" w14:textId="77777777" w:rsidR="00710AB2" w:rsidRDefault="00391A68">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Pr>
          <w:rFonts w:ascii="Palatino Linotype" w:eastAsia="Palatino Linotype" w:hAnsi="Palatino Linotype" w:cs="Palatino Linotype"/>
          <w:color w:val="000000"/>
          <w:sz w:val="22"/>
          <w:szCs w:val="22"/>
        </w:rPr>
        <w:t xml:space="preserve">os recursos económicos del Estado, de los Municipios, así como de los Organismos </w:t>
      </w:r>
      <w:r>
        <w:rPr>
          <w:rFonts w:ascii="Palatino Linotype" w:eastAsia="Palatino Linotype" w:hAnsi="Palatino Linotype" w:cs="Palatino Linotype"/>
          <w:color w:val="000000"/>
          <w:sz w:val="22"/>
          <w:szCs w:val="22"/>
        </w:rPr>
        <w:lastRenderedPageBreak/>
        <w:t xml:space="preserve">Autónomos, se administrarán con eficiencia, eficacia y honradez, para cumplir con los objetivos y programas a los que estén destinados. </w:t>
      </w:r>
    </w:p>
    <w:p w14:paraId="5429280B"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9F22176" w14:textId="77777777" w:rsidR="00710AB2" w:rsidRDefault="00391A68">
      <w:pPr>
        <w:spacing w:before="120" w:after="120" w:line="276" w:lineRule="auto"/>
        <w:ind w:firstLine="70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“REGISTRO CONTABLE </w:t>
      </w:r>
    </w:p>
    <w:p w14:paraId="68FA822F" w14:textId="77777777" w:rsidR="00710AB2" w:rsidRDefault="00391A68">
      <w:pPr>
        <w:spacing w:before="120" w:after="120"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6D612880" w14:textId="77777777" w:rsidR="00710AB2" w:rsidRDefault="00391A68">
      <w:pPr>
        <w:spacing w:before="120" w:after="120" w:line="276" w:lineRule="auto"/>
        <w:ind w:right="899" w:firstLine="70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“REGISTRO PRESUPUESTARIO</w:t>
      </w:r>
    </w:p>
    <w:p w14:paraId="435BB820" w14:textId="77777777" w:rsidR="00710AB2" w:rsidRDefault="00391A68">
      <w:pPr>
        <w:spacing w:before="120" w:after="120" w:line="276" w:lineRule="auto"/>
        <w:ind w:left="708"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30B386C2" w14:textId="77777777" w:rsidR="00710AB2" w:rsidRDefault="00391A68">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otra parte, se establece que el sistema de contabilidad sobre base acumulativa total se sustentará en los principios de contabilidad gubernamental.</w:t>
      </w:r>
    </w:p>
    <w:p w14:paraId="72457FDD" w14:textId="77777777" w:rsidR="00710AB2" w:rsidRDefault="00391A68">
      <w:pPr>
        <w:spacing w:before="240" w:after="24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Igualmente, los preceptos legales citados señalan que los Sujetos Obligados deben contar con una unidad administrativa que registra contablemente el efecto patrimonial y </w:t>
      </w:r>
      <w:r>
        <w:rPr>
          <w:rFonts w:ascii="Palatino Linotype" w:eastAsia="Palatino Linotype" w:hAnsi="Palatino Linotype" w:cs="Palatino Linotype"/>
          <w:color w:val="000000"/>
          <w:sz w:val="22"/>
          <w:szCs w:val="22"/>
        </w:rPr>
        <w:lastRenderedPageBreak/>
        <w:t>presupuestal de las operaciones financieras que realizan, en el momento en que ocurran, con base en el sistema y políticas de registro establecidas.</w:t>
      </w:r>
    </w:p>
    <w:p w14:paraId="6F4734B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Correlativo a lo anterior, es preciso referir una definición de </w:t>
      </w:r>
      <w:r>
        <w:rPr>
          <w:rFonts w:ascii="Palatino Linotype" w:eastAsia="Palatino Linotype" w:hAnsi="Palatino Linotype" w:cs="Palatino Linotype"/>
          <w:i/>
          <w:sz w:val="22"/>
          <w:szCs w:val="22"/>
        </w:rPr>
        <w:t>póliza contable</w:t>
      </w:r>
      <w:r>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19BF8025" w14:textId="77777777" w:rsidR="00710AB2" w:rsidRDefault="00391A68">
      <w:pPr>
        <w:spacing w:before="120" w:after="120" w:line="276" w:lineRule="auto"/>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PÓLIZA CONTABLE</w:t>
      </w:r>
    </w:p>
    <w:p w14:paraId="62A3CF8D" w14:textId="77777777" w:rsidR="00710AB2" w:rsidRDefault="00391A68">
      <w:pPr>
        <w:spacing w:before="120" w:after="120"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415E3255"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se advierte que la </w:t>
      </w:r>
      <w:r>
        <w:rPr>
          <w:rFonts w:ascii="Palatino Linotype" w:eastAsia="Palatino Linotype" w:hAnsi="Palatino Linotype" w:cs="Palatino Linotype"/>
          <w:i/>
          <w:sz w:val="22"/>
          <w:szCs w:val="22"/>
        </w:rPr>
        <w:t>póliza contable</w:t>
      </w:r>
      <w:r>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5BDC61D"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Pr>
          <w:rFonts w:ascii="Palatino Linotype" w:eastAsia="Palatino Linotype" w:hAnsi="Palatino Linotype" w:cs="Palatino Linotype"/>
          <w:i/>
          <w:sz w:val="22"/>
          <w:szCs w:val="22"/>
        </w:rPr>
        <w:t>pólizas de egresos</w:t>
      </w:r>
      <w:r>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las que, además, deben encontrarse acompañadas de las documentales que sirven de soporte de dicho movimiento. </w:t>
      </w:r>
    </w:p>
    <w:p w14:paraId="6C661B34" w14:textId="77777777" w:rsidR="00710AB2" w:rsidRDefault="00391A6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mayor abundamiento de lo anterior, los Lineamientos para la Integración del Informe Trimestral Municipal Ejercicio Fiscal 2024, contemplan a las pólizas de egresos de la siguiente manera:</w:t>
      </w:r>
    </w:p>
    <w:p w14:paraId="242E7D79" w14:textId="77777777" w:rsidR="00710AB2" w:rsidRDefault="00710A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904DDF" w14:textId="77777777" w:rsidR="00710AB2" w:rsidRDefault="00391A6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10D1588A" wp14:editId="4A3E7183">
            <wp:extent cx="5608686" cy="5649937"/>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08686" cy="5649937"/>
                    </a:xfrm>
                    <a:prstGeom prst="rect">
                      <a:avLst/>
                    </a:prstGeom>
                    <a:ln/>
                  </pic:spPr>
                </pic:pic>
              </a:graphicData>
            </a:graphic>
          </wp:inline>
        </w:drawing>
      </w:r>
    </w:p>
    <w:p w14:paraId="09081F5C" w14:textId="77777777" w:rsidR="00710AB2" w:rsidRDefault="00710AB2">
      <w:pPr>
        <w:widowControl w:val="0"/>
        <w:spacing w:line="360" w:lineRule="auto"/>
        <w:jc w:val="both"/>
        <w:rPr>
          <w:rFonts w:ascii="Palatino Linotype" w:eastAsia="Palatino Linotype" w:hAnsi="Palatino Linotype" w:cs="Palatino Linotype"/>
          <w:sz w:val="22"/>
          <w:szCs w:val="22"/>
        </w:rPr>
      </w:pPr>
    </w:p>
    <w:p w14:paraId="17A7BA81" w14:textId="77777777" w:rsidR="00710AB2" w:rsidRDefault="00391A68">
      <w:pPr>
        <w:spacing w:line="360" w:lineRule="auto"/>
        <w:jc w:val="both"/>
        <w:rPr>
          <w:rFonts w:ascii="Palatino Linotype" w:eastAsia="Palatino Linotype" w:hAnsi="Palatino Linotype" w:cs="Palatino Linotype"/>
          <w:color w:val="000000"/>
          <w:sz w:val="22"/>
          <w:szCs w:val="22"/>
        </w:rPr>
      </w:pPr>
      <w:bookmarkStart w:id="2" w:name="_heading=h.3dy6vkm" w:colFirst="0" w:colLast="0"/>
      <w:bookmarkEnd w:id="2"/>
      <w:r>
        <w:rPr>
          <w:rFonts w:ascii="Palatino Linotype" w:eastAsia="Palatino Linotype" w:hAnsi="Palatino Linotype" w:cs="Palatino Linotype"/>
          <w:color w:val="000000"/>
          <w:sz w:val="22"/>
          <w:szCs w:val="22"/>
        </w:rPr>
        <w:t xml:space="preserve">Por lo expuesto a través de estas líneas argumentativas es que se determina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acreditó el respectivo cambio de modalidad de entrega de la información, por lo que se determina </w:t>
      </w:r>
      <w:r>
        <w:rPr>
          <w:rFonts w:ascii="Palatino Linotype" w:eastAsia="Palatino Linotype" w:hAnsi="Palatino Linotype" w:cs="Palatino Linotype"/>
          <w:b/>
          <w:color w:val="000000"/>
          <w:sz w:val="22"/>
          <w:szCs w:val="22"/>
        </w:rPr>
        <w:t>REVOCAR</w:t>
      </w:r>
      <w:r>
        <w:rPr>
          <w:rFonts w:ascii="Palatino Linotype" w:eastAsia="Palatino Linotype" w:hAnsi="Palatino Linotype" w:cs="Palatino Linotype"/>
          <w:color w:val="000000"/>
          <w:sz w:val="22"/>
          <w:szCs w:val="22"/>
        </w:rPr>
        <w:t xml:space="preserve"> las respuestas y ordenar la entrega de la información mediante el SAIMEX.</w:t>
      </w:r>
    </w:p>
    <w:p w14:paraId="18AAB58A" w14:textId="6DFE8B3D" w:rsidR="00710AB2" w:rsidRPr="00F0354C" w:rsidRDefault="00F0354C">
      <w:pPr>
        <w:spacing w:line="360" w:lineRule="auto"/>
        <w:jc w:val="both"/>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color w:val="000000" w:themeColor="text1"/>
          <w:sz w:val="22"/>
          <w:szCs w:val="22"/>
        </w:rPr>
        <w:lastRenderedPageBreak/>
        <w:t>Por otro lado, resulta necesario señalar que t</w:t>
      </w:r>
      <w:r w:rsidR="00132A2F" w:rsidRPr="00F0354C">
        <w:rPr>
          <w:rFonts w:ascii="Palatino Linotype" w:eastAsia="Palatino Linotype" w:hAnsi="Palatino Linotype" w:cs="Palatino Linotype"/>
          <w:color w:val="000000" w:themeColor="text1"/>
          <w:sz w:val="22"/>
          <w:szCs w:val="22"/>
        </w:rPr>
        <w:t xml:space="preserve">omando como referencia que </w:t>
      </w:r>
      <w:r w:rsidRPr="00F0354C">
        <w:rPr>
          <w:rFonts w:ascii="Palatino Linotype" w:eastAsia="Palatino Linotype" w:hAnsi="Palatino Linotype" w:cs="Palatino Linotype"/>
          <w:b/>
          <w:color w:val="000000" w:themeColor="text1"/>
          <w:sz w:val="22"/>
          <w:szCs w:val="22"/>
        </w:rPr>
        <w:t>la parte Recurrente</w:t>
      </w:r>
      <w:r>
        <w:rPr>
          <w:rFonts w:ascii="Palatino Linotype" w:eastAsia="Palatino Linotype" w:hAnsi="Palatino Linotype" w:cs="Palatino Linotype"/>
          <w:color w:val="000000" w:themeColor="text1"/>
          <w:sz w:val="22"/>
          <w:szCs w:val="22"/>
        </w:rPr>
        <w:t xml:space="preserve"> </w:t>
      </w:r>
      <w:r w:rsidR="00132A2F" w:rsidRPr="00F0354C">
        <w:rPr>
          <w:rFonts w:ascii="Palatino Linotype" w:eastAsia="Palatino Linotype" w:hAnsi="Palatino Linotype" w:cs="Palatino Linotype"/>
          <w:color w:val="000000" w:themeColor="text1"/>
          <w:sz w:val="22"/>
          <w:szCs w:val="22"/>
        </w:rPr>
        <w:t xml:space="preserve">pidió la información de manera mensual, es conveniente precisar que </w:t>
      </w:r>
      <w:r w:rsidR="00132A2F" w:rsidRPr="00F0354C">
        <w:rPr>
          <w:rFonts w:ascii="Palatino Linotype" w:eastAsia="Palatino Linotype" w:hAnsi="Palatino Linotype" w:cs="Palatino Linotype"/>
          <w:b/>
          <w:color w:val="000000" w:themeColor="text1"/>
          <w:sz w:val="22"/>
          <w:szCs w:val="22"/>
        </w:rPr>
        <w:t>para el caso de que</w:t>
      </w:r>
      <w:r w:rsidR="00132A2F" w:rsidRPr="00F0354C">
        <w:rPr>
          <w:rFonts w:ascii="Palatino Linotype" w:eastAsia="Palatino Linotype" w:hAnsi="Palatino Linotype" w:cs="Palatino Linotype"/>
          <w:color w:val="000000" w:themeColor="text1"/>
          <w:sz w:val="22"/>
          <w:szCs w:val="22"/>
        </w:rPr>
        <w:t xml:space="preserve"> </w:t>
      </w:r>
      <w:r w:rsidR="00391A68">
        <w:rPr>
          <w:rFonts w:ascii="Palatino Linotype" w:eastAsia="Palatino Linotype" w:hAnsi="Palatino Linotype" w:cs="Palatino Linotype"/>
          <w:b/>
          <w:color w:val="000000"/>
          <w:sz w:val="22"/>
          <w:szCs w:val="22"/>
        </w:rPr>
        <w:t xml:space="preserve">dentro de alguno de los </w:t>
      </w:r>
      <w:r>
        <w:rPr>
          <w:rFonts w:ascii="Palatino Linotype" w:eastAsia="Palatino Linotype" w:hAnsi="Palatino Linotype" w:cs="Palatino Linotype"/>
          <w:b/>
          <w:color w:val="000000"/>
          <w:sz w:val="22"/>
          <w:szCs w:val="22"/>
        </w:rPr>
        <w:t>meses del periodo que se</w:t>
      </w:r>
      <w:r w:rsidR="00391A68">
        <w:rPr>
          <w:rFonts w:ascii="Palatino Linotype" w:eastAsia="Palatino Linotype" w:hAnsi="Palatino Linotype" w:cs="Palatino Linotype"/>
          <w:b/>
          <w:color w:val="000000"/>
          <w:sz w:val="22"/>
          <w:szCs w:val="22"/>
        </w:rPr>
        <w:t xml:space="preserve"> ordena la entrega de la información, no se realizaron erogaciones por concepto de apoyos</w:t>
      </w:r>
      <w:r w:rsidR="00391A68">
        <w:rPr>
          <w:rFonts w:ascii="Palatino Linotype" w:eastAsia="Palatino Linotype" w:hAnsi="Palatino Linotype" w:cs="Palatino Linotype"/>
          <w:color w:val="000000"/>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68033E54" w14:textId="77777777" w:rsidR="00710AB2" w:rsidRDefault="00391A68">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w:t>
      </w:r>
    </w:p>
    <w:p w14:paraId="5F7B1C7E" w14:textId="77777777" w:rsidR="00710AB2" w:rsidRDefault="00391A68">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tal circunstancia.”</w:t>
      </w:r>
    </w:p>
    <w:p w14:paraId="1100F0E8" w14:textId="77777777" w:rsidR="00710AB2" w:rsidRDefault="00391A68">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sin menoscabar el derecho a la protección de los datos personales de terceros.</w:t>
      </w:r>
    </w:p>
    <w:p w14:paraId="6C26B3AB" w14:textId="77777777" w:rsidR="00710AB2" w:rsidRDefault="00391A68">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23C79A96" w14:textId="77777777" w:rsidR="00710AB2" w:rsidRDefault="00391A68">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3B8242E3"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0F4CC281"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0ECE7FA5"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30399EF"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C353A1E" w14:textId="77777777" w:rsidR="00710AB2" w:rsidRDefault="00710AB2">
      <w:pPr>
        <w:ind w:left="993" w:right="1041"/>
        <w:jc w:val="both"/>
        <w:rPr>
          <w:rFonts w:ascii="Palatino Linotype" w:eastAsia="Palatino Linotype" w:hAnsi="Palatino Linotype" w:cs="Palatino Linotype"/>
          <w:i/>
          <w:sz w:val="22"/>
          <w:szCs w:val="22"/>
        </w:rPr>
      </w:pPr>
    </w:p>
    <w:p w14:paraId="01037801"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D1F6F70" w14:textId="77777777" w:rsidR="00710AB2" w:rsidRDefault="00710AB2">
      <w:pPr>
        <w:ind w:left="993" w:right="1041"/>
        <w:jc w:val="both"/>
        <w:rPr>
          <w:rFonts w:ascii="Palatino Linotype" w:eastAsia="Palatino Linotype" w:hAnsi="Palatino Linotype" w:cs="Palatino Linotype"/>
          <w:i/>
          <w:sz w:val="22"/>
          <w:szCs w:val="22"/>
        </w:rPr>
      </w:pPr>
    </w:p>
    <w:p w14:paraId="3A031AEB" w14:textId="77777777" w:rsidR="00710AB2" w:rsidRDefault="00391A68">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42C78B9" w14:textId="77777777" w:rsidR="00710AB2" w:rsidRDefault="00710AB2">
      <w:pPr>
        <w:ind w:left="993" w:right="1041"/>
        <w:jc w:val="both"/>
        <w:rPr>
          <w:rFonts w:ascii="Palatino Linotype" w:eastAsia="Palatino Linotype" w:hAnsi="Palatino Linotype" w:cs="Palatino Linotype"/>
          <w:b/>
          <w:i/>
          <w:sz w:val="22"/>
          <w:szCs w:val="22"/>
        </w:rPr>
      </w:pPr>
    </w:p>
    <w:p w14:paraId="59201265"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E6E8794"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1541F45"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3406021" w14:textId="77777777" w:rsidR="00710AB2" w:rsidRDefault="00391A68">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57B47F18" w14:textId="77777777" w:rsidR="00710AB2" w:rsidRDefault="00710AB2">
      <w:pPr>
        <w:ind w:left="993" w:right="1041"/>
        <w:jc w:val="both"/>
        <w:rPr>
          <w:rFonts w:ascii="Palatino Linotype" w:eastAsia="Palatino Linotype" w:hAnsi="Palatino Linotype" w:cs="Palatino Linotype"/>
          <w:i/>
          <w:sz w:val="22"/>
          <w:szCs w:val="22"/>
        </w:rPr>
      </w:pPr>
    </w:p>
    <w:p w14:paraId="427CA2E6" w14:textId="77777777" w:rsidR="00710AB2" w:rsidRDefault="00391A6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282209B" w14:textId="77777777" w:rsidR="00710AB2" w:rsidRDefault="00710AB2">
      <w:pPr>
        <w:spacing w:line="360" w:lineRule="auto"/>
        <w:ind w:right="51"/>
        <w:jc w:val="both"/>
        <w:rPr>
          <w:rFonts w:ascii="Palatino Linotype" w:eastAsia="Palatino Linotype" w:hAnsi="Palatino Linotype" w:cs="Palatino Linotype"/>
          <w:sz w:val="22"/>
          <w:szCs w:val="22"/>
        </w:rPr>
      </w:pPr>
    </w:p>
    <w:p w14:paraId="56F85897" w14:textId="0CCC18DA" w:rsidR="005A1D44" w:rsidRDefault="00391A68">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CE20E48" w14:textId="77777777" w:rsidR="005A1D44" w:rsidRDefault="005A1D44">
      <w:pPr>
        <w:spacing w:line="360" w:lineRule="auto"/>
        <w:ind w:right="50"/>
        <w:jc w:val="both"/>
        <w:rPr>
          <w:rFonts w:ascii="Palatino Linotype" w:eastAsia="Palatino Linotype" w:hAnsi="Palatino Linotype" w:cs="Palatino Linotype"/>
          <w:sz w:val="22"/>
          <w:szCs w:val="22"/>
        </w:rPr>
      </w:pPr>
    </w:p>
    <w:p w14:paraId="0670F8EE"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w:t>
      </w:r>
      <w:r w:rsidRPr="005A1D44">
        <w:rPr>
          <w:rFonts w:ascii="Palatino Linotype" w:eastAsia="Palatino Linotype" w:hAnsi="Palatino Linotype" w:cs="Palatino Linotype"/>
          <w:sz w:val="22"/>
          <w:szCs w:val="22"/>
        </w:rPr>
        <w:lastRenderedPageBreak/>
        <w:t>enunciativa más no limitativa, clave de elector, numero de OCR, CURP, el número de cuenta bancaria, que sean exclusivamente de particulares, entre otros.</w:t>
      </w:r>
    </w:p>
    <w:p w14:paraId="370A63E1"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La </w:t>
      </w:r>
      <w:r w:rsidRPr="005A1D44">
        <w:rPr>
          <w:rFonts w:ascii="Palatino Linotype" w:eastAsia="Palatino Linotype" w:hAnsi="Palatino Linotype" w:cs="Palatino Linotype"/>
          <w:b/>
          <w:sz w:val="22"/>
          <w:szCs w:val="22"/>
        </w:rPr>
        <w:t>clave de elector</w:t>
      </w:r>
      <w:r w:rsidRPr="005A1D44">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5A1D44">
        <w:rPr>
          <w:rFonts w:ascii="Palatino Linotype" w:eastAsia="Palatino Linotype" w:hAnsi="Palatino Linotype" w:cs="Palatino Linotype"/>
          <w:sz w:val="22"/>
          <w:szCs w:val="22"/>
        </w:rPr>
        <w:t>homoclave</w:t>
      </w:r>
      <w:proofErr w:type="spellEnd"/>
      <w:r w:rsidRPr="005A1D44">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24A68907"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El </w:t>
      </w:r>
      <w:r w:rsidRPr="005A1D44">
        <w:rPr>
          <w:rFonts w:ascii="Palatino Linotype" w:eastAsia="Palatino Linotype" w:hAnsi="Palatino Linotype" w:cs="Palatino Linotype"/>
          <w:b/>
          <w:sz w:val="22"/>
          <w:szCs w:val="22"/>
        </w:rPr>
        <w:t>número de OCR,</w:t>
      </w:r>
      <w:r w:rsidRPr="005A1D44">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5A1D44">
        <w:rPr>
          <w:rFonts w:ascii="Palatino Linotype" w:eastAsia="Palatino Linotype" w:hAnsi="Palatino Linotype" w:cs="Palatino Linotype"/>
          <w:sz w:val="22"/>
          <w:szCs w:val="22"/>
        </w:rPr>
        <w:t>geoelectoral</w:t>
      </w:r>
      <w:proofErr w:type="spellEnd"/>
      <w:r w:rsidRPr="005A1D44">
        <w:rPr>
          <w:rFonts w:ascii="Palatino Linotype" w:eastAsia="Palatino Linotype" w:hAnsi="Palatino Linotype" w:cs="Palatino Linotype"/>
          <w:sz w:val="22"/>
          <w:szCs w:val="22"/>
        </w:rPr>
        <w:t xml:space="preserve"> ahí contenida, por lo que es susceptible de resguardarse.</w:t>
      </w:r>
    </w:p>
    <w:p w14:paraId="23E3A6AA"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La </w:t>
      </w:r>
      <w:r w:rsidRPr="005A1D44">
        <w:rPr>
          <w:rFonts w:ascii="Palatino Linotype" w:eastAsia="Palatino Linotype" w:hAnsi="Palatino Linotype" w:cs="Palatino Linotype"/>
          <w:b/>
          <w:sz w:val="22"/>
          <w:szCs w:val="22"/>
        </w:rPr>
        <w:t>clave única del registro de población,</w:t>
      </w:r>
      <w:r w:rsidRPr="005A1D44">
        <w:rPr>
          <w:rFonts w:ascii="Palatino Linotype" w:eastAsia="Palatino Linotype" w:hAnsi="Palatino Linotype" w:cs="Palatino Linotype"/>
          <w:i/>
          <w:sz w:val="22"/>
          <w:szCs w:val="22"/>
        </w:rPr>
        <w:t xml:space="preserve"> </w:t>
      </w:r>
      <w:r w:rsidRPr="005A1D44">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6F7D886B" w14:textId="77777777" w:rsidR="005A1D44" w:rsidRPr="005A1D44" w:rsidRDefault="005A1D44" w:rsidP="005A1D44">
      <w:pPr>
        <w:spacing w:before="240" w:after="240" w:line="360" w:lineRule="auto"/>
        <w:ind w:right="50"/>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Por cuanto hace al </w:t>
      </w:r>
      <w:r w:rsidRPr="005A1D44">
        <w:rPr>
          <w:rFonts w:ascii="Palatino Linotype" w:eastAsia="Palatino Linotype" w:hAnsi="Palatino Linotype" w:cs="Palatino Linotype"/>
          <w:b/>
          <w:sz w:val="22"/>
          <w:szCs w:val="22"/>
        </w:rPr>
        <w:t xml:space="preserve">Registro Federal de Contribuyentes (RFC) </w:t>
      </w:r>
      <w:r w:rsidRPr="005A1D44">
        <w:rPr>
          <w:rFonts w:ascii="Palatino Linotype" w:eastAsia="Palatino Linotype" w:hAnsi="Palatino Linotype" w:cs="Palatino Linotype"/>
          <w:sz w:val="22"/>
          <w:szCs w:val="22"/>
        </w:rPr>
        <w:t>y</w:t>
      </w:r>
      <w:r w:rsidRPr="005A1D44">
        <w:rPr>
          <w:rFonts w:ascii="Palatino Linotype" w:eastAsia="Palatino Linotype" w:hAnsi="Palatino Linotype" w:cs="Palatino Linotype"/>
          <w:b/>
          <w:sz w:val="22"/>
          <w:szCs w:val="22"/>
        </w:rPr>
        <w:t xml:space="preserve"> el domicilio fiscal </w:t>
      </w:r>
      <w:r w:rsidRPr="005A1D44">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DE767B5" w14:textId="77777777" w:rsidR="005A1D44" w:rsidRPr="005A1D44" w:rsidRDefault="005A1D44" w:rsidP="005A1D44">
      <w:pPr>
        <w:spacing w:before="240" w:after="240" w:line="360" w:lineRule="auto"/>
        <w:ind w:right="50"/>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18267E3" w14:textId="77777777" w:rsidR="005A1D44" w:rsidRPr="005A1D44" w:rsidRDefault="005A1D44" w:rsidP="005A1D44">
      <w:pPr>
        <w:spacing w:before="240" w:after="240" w:line="360" w:lineRule="auto"/>
        <w:ind w:right="50"/>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5A1D44">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5A1D44">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32D86734"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32FBF38F" w14:textId="77777777" w:rsidR="005A1D44" w:rsidRPr="005A1D44" w:rsidRDefault="005A1D44" w:rsidP="005A1D44">
      <w:pPr>
        <w:spacing w:before="120" w:after="120"/>
        <w:ind w:left="851" w:right="902"/>
        <w:jc w:val="both"/>
        <w:rPr>
          <w:rFonts w:ascii="Palatino Linotype" w:eastAsia="Palatino Linotype" w:hAnsi="Palatino Linotype" w:cs="Palatino Linotype"/>
          <w:i/>
          <w:sz w:val="22"/>
          <w:szCs w:val="22"/>
        </w:rPr>
      </w:pPr>
      <w:r w:rsidRPr="005A1D44">
        <w:rPr>
          <w:rFonts w:ascii="Palatino Linotype" w:eastAsia="Palatino Linotype" w:hAnsi="Palatino Linotype" w:cs="Palatino Linotype"/>
          <w:b/>
          <w:i/>
          <w:sz w:val="22"/>
          <w:szCs w:val="22"/>
        </w:rPr>
        <w:t xml:space="preserve">“Registro Federal de Contribuyentes (RFC) de personas físicas proveedoras o contratistas. </w:t>
      </w:r>
      <w:r w:rsidRPr="005A1D44">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5A1D44">
        <w:rPr>
          <w:rFonts w:ascii="Palatino Linotype" w:eastAsia="Palatino Linotype" w:hAnsi="Palatino Linotype" w:cs="Palatino Linotype"/>
          <w:i/>
          <w:sz w:val="22"/>
          <w:szCs w:val="22"/>
        </w:rPr>
        <w:t>ya que</w:t>
      </w:r>
      <w:proofErr w:type="gramEnd"/>
      <w:r w:rsidRPr="005A1D44">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06BB7B3C" w14:textId="77777777" w:rsidR="005A1D44" w:rsidRPr="005A1D44" w:rsidRDefault="005A1D44" w:rsidP="005A1D44">
      <w:pPr>
        <w:spacing w:before="240" w:after="240" w:line="360" w:lineRule="auto"/>
        <w:ind w:right="50"/>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Relacionado con lo anterior, el </w:t>
      </w:r>
      <w:r w:rsidRPr="005A1D44">
        <w:rPr>
          <w:rFonts w:ascii="Palatino Linotype" w:eastAsia="Palatino Linotype" w:hAnsi="Palatino Linotype" w:cs="Palatino Linotype"/>
          <w:b/>
          <w:sz w:val="22"/>
          <w:szCs w:val="22"/>
        </w:rPr>
        <w:t>nombre de las personas físicas</w:t>
      </w:r>
      <w:r w:rsidRPr="005A1D44">
        <w:rPr>
          <w:rFonts w:ascii="Palatino Linotype" w:eastAsia="Palatino Linotype" w:hAnsi="Palatino Linotype" w:cs="Palatino Linotype"/>
          <w:sz w:val="22"/>
          <w:szCs w:val="22"/>
        </w:rPr>
        <w:t xml:space="preserve"> o los </w:t>
      </w:r>
      <w:r w:rsidRPr="005A1D44">
        <w:rPr>
          <w:rFonts w:ascii="Palatino Linotype" w:eastAsia="Palatino Linotype" w:hAnsi="Palatino Linotype" w:cs="Palatino Linotype"/>
          <w:b/>
          <w:sz w:val="22"/>
          <w:szCs w:val="22"/>
        </w:rPr>
        <w:t>representantes legales de las personas morales</w:t>
      </w:r>
      <w:r w:rsidRPr="005A1D44">
        <w:rPr>
          <w:rFonts w:ascii="Palatino Linotype" w:eastAsia="Palatino Linotype" w:hAnsi="Palatino Linotype" w:cs="Palatino Linotype"/>
          <w:sz w:val="22"/>
          <w:szCs w:val="22"/>
        </w:rPr>
        <w:t xml:space="preserve">, en su calidad de proveedores, contratistas o prestadores de servicios, y la firma y rúbrica de estos, que participen en algún  proceso de adjudicación en cualquiera de sus modalidades, debe mencionarse que con base en el artículo 23 párrafo </w:t>
      </w:r>
      <w:r w:rsidRPr="005A1D44">
        <w:rPr>
          <w:rFonts w:ascii="Palatino Linotype" w:eastAsia="Palatino Linotype" w:hAnsi="Palatino Linotype" w:cs="Palatino Linotype"/>
          <w:sz w:val="22"/>
          <w:szCs w:val="22"/>
        </w:rPr>
        <w:lastRenderedPageBreak/>
        <w:t>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61736ECF" w14:textId="77777777" w:rsidR="005A1D44" w:rsidRPr="005A1D44" w:rsidRDefault="005A1D44" w:rsidP="005A1D44">
      <w:pPr>
        <w:spacing w:before="240" w:after="240" w:line="360" w:lineRule="auto"/>
        <w:ind w:right="50"/>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46ED604" w14:textId="77777777" w:rsidR="005A1D44" w:rsidRPr="005A1D44" w:rsidRDefault="005A1D44" w:rsidP="005A1D44">
      <w:pPr>
        <w:spacing w:before="120" w:after="120"/>
        <w:ind w:left="851" w:right="902"/>
        <w:jc w:val="both"/>
        <w:rPr>
          <w:rFonts w:ascii="Palatino Linotype" w:eastAsia="Palatino Linotype" w:hAnsi="Palatino Linotype" w:cs="Palatino Linotype"/>
          <w:i/>
          <w:sz w:val="22"/>
          <w:szCs w:val="22"/>
        </w:rPr>
      </w:pPr>
      <w:r w:rsidRPr="005A1D44">
        <w:rPr>
          <w:rFonts w:ascii="Palatino Linotype" w:eastAsia="Palatino Linotype" w:hAnsi="Palatino Linotype" w:cs="Palatino Linotype"/>
          <w:i/>
          <w:sz w:val="22"/>
          <w:szCs w:val="22"/>
        </w:rPr>
        <w:t>“</w:t>
      </w:r>
      <w:r w:rsidRPr="005A1D44">
        <w:rPr>
          <w:rFonts w:ascii="Palatino Linotype" w:eastAsia="Palatino Linotype" w:hAnsi="Palatino Linotype" w:cs="Palatino Linotype"/>
          <w:b/>
          <w:i/>
          <w:sz w:val="22"/>
          <w:szCs w:val="22"/>
        </w:rPr>
        <w:t>Artículo 23.</w:t>
      </w:r>
      <w:r w:rsidRPr="005A1D44">
        <w:rPr>
          <w:rFonts w:ascii="Palatino Linotype" w:eastAsia="Palatino Linotype" w:hAnsi="Palatino Linotype" w:cs="Palatino Linotype"/>
          <w:i/>
          <w:sz w:val="22"/>
          <w:szCs w:val="22"/>
        </w:rPr>
        <w:t xml:space="preserve"> (…)</w:t>
      </w:r>
    </w:p>
    <w:p w14:paraId="4B1510A0" w14:textId="77777777" w:rsidR="005A1D44" w:rsidRPr="005A1D44" w:rsidRDefault="005A1D44" w:rsidP="005A1D44">
      <w:pPr>
        <w:spacing w:before="120" w:after="120"/>
        <w:ind w:left="851" w:right="902"/>
        <w:jc w:val="both"/>
        <w:rPr>
          <w:rFonts w:ascii="Palatino Linotype" w:eastAsia="Palatino Linotype" w:hAnsi="Palatino Linotype" w:cs="Palatino Linotype"/>
          <w:i/>
          <w:sz w:val="22"/>
          <w:szCs w:val="22"/>
        </w:rPr>
      </w:pPr>
      <w:r w:rsidRPr="005A1D4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2B944F" w14:textId="77777777" w:rsidR="005A1D44" w:rsidRPr="005A1D44" w:rsidRDefault="005A1D44" w:rsidP="005A1D44">
      <w:pPr>
        <w:spacing w:before="280" w:after="28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5CE5476E" w14:textId="77777777" w:rsidR="005A1D44" w:rsidRPr="005A1D44" w:rsidRDefault="005A1D44" w:rsidP="005A1D44">
      <w:pPr>
        <w:ind w:left="851" w:right="900"/>
        <w:jc w:val="both"/>
        <w:rPr>
          <w:rFonts w:ascii="Palatino Linotype" w:eastAsia="Palatino Linotype" w:hAnsi="Palatino Linotype" w:cs="Palatino Linotype"/>
          <w:i/>
          <w:sz w:val="22"/>
          <w:szCs w:val="22"/>
        </w:rPr>
      </w:pPr>
      <w:r w:rsidRPr="005A1D44">
        <w:rPr>
          <w:rFonts w:ascii="Palatino Linotype" w:eastAsia="Palatino Linotype" w:hAnsi="Palatino Linotype" w:cs="Palatino Linotype"/>
          <w:b/>
          <w:i/>
          <w:sz w:val="22"/>
          <w:szCs w:val="22"/>
        </w:rPr>
        <w:t>“Datos de identificación del representante o apoderado legal.</w:t>
      </w:r>
      <w:r w:rsidRPr="005A1D44">
        <w:rPr>
          <w:rFonts w:ascii="Palatino Linotype" w:eastAsia="Palatino Linotype" w:hAnsi="Palatino Linotype" w:cs="Palatino Linotype"/>
          <w:i/>
          <w:sz w:val="22"/>
          <w:szCs w:val="22"/>
        </w:rPr>
        <w:t xml:space="preserve"> </w:t>
      </w:r>
      <w:r w:rsidRPr="005A1D44">
        <w:rPr>
          <w:rFonts w:ascii="Palatino Linotype" w:eastAsia="Palatino Linotype" w:hAnsi="Palatino Linotype" w:cs="Palatino Linotype"/>
          <w:b/>
          <w:i/>
          <w:sz w:val="22"/>
          <w:szCs w:val="22"/>
        </w:rPr>
        <w:t xml:space="preserve">Naturaleza jurídica. </w:t>
      </w:r>
      <w:r w:rsidRPr="005A1D44">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5A1D44">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5A1D44">
        <w:rPr>
          <w:rFonts w:ascii="Palatino Linotype" w:eastAsia="Palatino Linotype" w:hAnsi="Palatino Linotype" w:cs="Palatino Linotype"/>
          <w:i/>
          <w:sz w:val="22"/>
          <w:szCs w:val="22"/>
        </w:rPr>
        <w:t>.”</w:t>
      </w:r>
    </w:p>
    <w:p w14:paraId="62F231A9" w14:textId="77777777" w:rsidR="005A1D44" w:rsidRPr="005A1D44" w:rsidRDefault="005A1D44" w:rsidP="005A1D44">
      <w:pPr>
        <w:spacing w:before="240" w:after="240" w:line="360" w:lineRule="auto"/>
        <w:jc w:val="both"/>
        <w:rPr>
          <w:rFonts w:ascii="Palatino Linotype" w:eastAsia="Palatino Linotype" w:hAnsi="Palatino Linotype" w:cs="Palatino Linotype"/>
          <w:sz w:val="22"/>
          <w:szCs w:val="22"/>
        </w:rPr>
      </w:pPr>
      <w:r w:rsidRPr="005A1D44">
        <w:rPr>
          <w:rFonts w:ascii="Palatino Linotype" w:eastAsia="Palatino Linotype" w:hAnsi="Palatino Linotype" w:cs="Palatino Linotype"/>
          <w:sz w:val="22"/>
          <w:szCs w:val="22"/>
        </w:rPr>
        <w:t xml:space="preserve">Mientras que en el caso del </w:t>
      </w:r>
      <w:r w:rsidRPr="005A1D44">
        <w:rPr>
          <w:rFonts w:ascii="Palatino Linotype" w:eastAsia="Palatino Linotype" w:hAnsi="Palatino Linotype" w:cs="Palatino Linotype"/>
          <w:b/>
          <w:sz w:val="22"/>
          <w:szCs w:val="22"/>
        </w:rPr>
        <w:t>folio fiscal</w:t>
      </w:r>
      <w:r w:rsidRPr="005A1D44">
        <w:rPr>
          <w:rFonts w:ascii="Palatino Linotype" w:eastAsia="Palatino Linotype" w:hAnsi="Palatino Linotype" w:cs="Palatino Linotype"/>
          <w:sz w:val="22"/>
          <w:szCs w:val="22"/>
        </w:rPr>
        <w:t xml:space="preserve">, la </w:t>
      </w:r>
      <w:r w:rsidRPr="005A1D44">
        <w:rPr>
          <w:rFonts w:ascii="Palatino Linotype" w:eastAsia="Palatino Linotype" w:hAnsi="Palatino Linotype" w:cs="Palatino Linotype"/>
          <w:b/>
          <w:sz w:val="22"/>
          <w:szCs w:val="22"/>
        </w:rPr>
        <w:t xml:space="preserve">cadena original, </w:t>
      </w:r>
      <w:r w:rsidRPr="005A1D44">
        <w:rPr>
          <w:rFonts w:ascii="Palatino Linotype" w:eastAsia="Palatino Linotype" w:hAnsi="Palatino Linotype" w:cs="Palatino Linotype"/>
          <w:sz w:val="22"/>
          <w:szCs w:val="22"/>
        </w:rPr>
        <w:t>los</w:t>
      </w:r>
      <w:r w:rsidRPr="005A1D44">
        <w:rPr>
          <w:rFonts w:ascii="Palatino Linotype" w:eastAsia="Palatino Linotype" w:hAnsi="Palatino Linotype" w:cs="Palatino Linotype"/>
          <w:b/>
          <w:sz w:val="22"/>
          <w:szCs w:val="22"/>
        </w:rPr>
        <w:t xml:space="preserve"> códigos bidimensionales o códigos QR,</w:t>
      </w:r>
      <w:r w:rsidRPr="005A1D44">
        <w:rPr>
          <w:rFonts w:ascii="Palatino Linotype" w:eastAsia="Palatino Linotype" w:hAnsi="Palatino Linotype" w:cs="Palatino Linotype"/>
          <w:sz w:val="22"/>
          <w:szCs w:val="22"/>
        </w:rPr>
        <w:t xml:space="preserve"> y, en general, cualquier información de carácter fiscal,  pudiera contener un </w:t>
      </w:r>
      <w:r w:rsidRPr="005A1D44">
        <w:rPr>
          <w:rFonts w:ascii="Palatino Linotype" w:eastAsia="Palatino Linotype" w:hAnsi="Palatino Linotype" w:cs="Palatino Linotype"/>
          <w:sz w:val="22"/>
          <w:szCs w:val="22"/>
        </w:rPr>
        <w:lastRenderedPageBreak/>
        <w:t>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0068040E" w14:textId="77777777" w:rsidR="005A1D44" w:rsidRPr="005A1D44" w:rsidRDefault="005A1D44" w:rsidP="005A1D44">
      <w:pPr>
        <w:pBdr>
          <w:top w:val="nil"/>
          <w:left w:val="nil"/>
          <w:bottom w:val="nil"/>
          <w:right w:val="nil"/>
          <w:between w:val="nil"/>
        </w:pBdr>
        <w:spacing w:line="360" w:lineRule="auto"/>
        <w:ind w:right="-93"/>
        <w:jc w:val="both"/>
        <w:rPr>
          <w:color w:val="000000"/>
          <w:sz w:val="22"/>
          <w:szCs w:val="22"/>
        </w:rPr>
      </w:pPr>
      <w:r w:rsidRPr="005A1D44">
        <w:rPr>
          <w:rFonts w:ascii="Palatino Linotype" w:eastAsia="Palatino Linotype" w:hAnsi="Palatino Linotype" w:cs="Palatino Linotype"/>
          <w:color w:val="000000"/>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31703087" w14:textId="77777777" w:rsidR="005A1D44" w:rsidRPr="005A1D44" w:rsidRDefault="005A1D44" w:rsidP="005A1D44">
      <w:pPr>
        <w:spacing w:line="360" w:lineRule="auto"/>
        <w:jc w:val="both"/>
        <w:rPr>
          <w:sz w:val="22"/>
          <w:szCs w:val="22"/>
        </w:rPr>
      </w:pPr>
    </w:p>
    <w:p w14:paraId="380281AA" w14:textId="77777777" w:rsidR="005A1D44" w:rsidRPr="005A1D44" w:rsidRDefault="005A1D44" w:rsidP="005A1D44">
      <w:pPr>
        <w:pBdr>
          <w:top w:val="nil"/>
          <w:left w:val="nil"/>
          <w:bottom w:val="nil"/>
          <w:right w:val="nil"/>
          <w:between w:val="nil"/>
        </w:pBdr>
        <w:spacing w:line="360" w:lineRule="auto"/>
        <w:ind w:right="-93"/>
        <w:jc w:val="both"/>
        <w:rPr>
          <w:color w:val="000000"/>
          <w:sz w:val="22"/>
          <w:szCs w:val="22"/>
        </w:rPr>
      </w:pPr>
      <w:r w:rsidRPr="005A1D44">
        <w:rPr>
          <w:rFonts w:ascii="Palatino Linotype" w:eastAsia="Palatino Linotype" w:hAnsi="Palatino Linotype" w:cs="Palatino Linotype"/>
          <w:color w:val="000000"/>
          <w:sz w:val="22"/>
          <w:szCs w:val="22"/>
        </w:rPr>
        <w:t>Ahora bien, tratándose de servidores públicos el Criterio SO/002/2019, emitido por el Instituto Nacional de Transparencia, Acceso a la Información y Protección de Datos Personales, establece lo siguiente:</w:t>
      </w:r>
    </w:p>
    <w:p w14:paraId="533517B8" w14:textId="77777777" w:rsidR="005A1D44" w:rsidRPr="005A1D44" w:rsidRDefault="005A1D44" w:rsidP="005A1D44">
      <w:pPr>
        <w:spacing w:line="360" w:lineRule="auto"/>
        <w:jc w:val="both"/>
        <w:rPr>
          <w:sz w:val="22"/>
          <w:szCs w:val="22"/>
        </w:rPr>
      </w:pPr>
    </w:p>
    <w:p w14:paraId="36DBDA31" w14:textId="77777777" w:rsidR="005A1D44" w:rsidRPr="005A1D44" w:rsidRDefault="005A1D44" w:rsidP="005A1D44">
      <w:pPr>
        <w:pBdr>
          <w:top w:val="nil"/>
          <w:left w:val="nil"/>
          <w:bottom w:val="nil"/>
          <w:right w:val="nil"/>
          <w:between w:val="nil"/>
        </w:pBdr>
        <w:spacing w:line="276" w:lineRule="auto"/>
        <w:ind w:left="851" w:right="822"/>
        <w:jc w:val="both"/>
        <w:rPr>
          <w:color w:val="000000"/>
          <w:sz w:val="22"/>
          <w:szCs w:val="22"/>
        </w:rPr>
      </w:pPr>
      <w:r w:rsidRPr="005A1D44">
        <w:rPr>
          <w:rFonts w:ascii="Palatino Linotype" w:eastAsia="Palatino Linotype" w:hAnsi="Palatino Linotype" w:cs="Palatino Linotype"/>
          <w:i/>
          <w:color w:val="000000"/>
          <w:sz w:val="22"/>
          <w:szCs w:val="22"/>
        </w:rPr>
        <w:t>“</w:t>
      </w:r>
      <w:r w:rsidRPr="005A1D44">
        <w:rPr>
          <w:rFonts w:ascii="Palatino Linotype" w:eastAsia="Palatino Linotype" w:hAnsi="Palatino Linotype" w:cs="Palatino Linotype"/>
          <w:b/>
          <w:i/>
          <w:color w:val="000000"/>
          <w:sz w:val="22"/>
          <w:szCs w:val="22"/>
        </w:rPr>
        <w:t>Firma y rúbrica de servidores públicos</w:t>
      </w:r>
      <w:r w:rsidRPr="005A1D44">
        <w:rPr>
          <w:rFonts w:ascii="Palatino Linotype" w:eastAsia="Palatino Linotype" w:hAnsi="Palatino Linotype" w:cs="Palatino Linotype"/>
          <w:i/>
          <w:color w:val="000000"/>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2B4E564E" w14:textId="77777777" w:rsidR="005A1D44" w:rsidRPr="005A1D44" w:rsidRDefault="005A1D44" w:rsidP="005A1D44">
      <w:pPr>
        <w:spacing w:line="360" w:lineRule="auto"/>
        <w:jc w:val="both"/>
        <w:rPr>
          <w:sz w:val="22"/>
          <w:szCs w:val="22"/>
        </w:rPr>
      </w:pPr>
    </w:p>
    <w:p w14:paraId="7751B344" w14:textId="77777777" w:rsidR="005A1D44" w:rsidRPr="005A1D44" w:rsidRDefault="005A1D44" w:rsidP="005A1D44">
      <w:pPr>
        <w:pBdr>
          <w:top w:val="nil"/>
          <w:left w:val="nil"/>
          <w:bottom w:val="nil"/>
          <w:right w:val="nil"/>
          <w:between w:val="nil"/>
        </w:pBdr>
        <w:spacing w:line="360" w:lineRule="auto"/>
        <w:ind w:right="-93"/>
        <w:jc w:val="both"/>
        <w:rPr>
          <w:color w:val="000000"/>
          <w:sz w:val="22"/>
          <w:szCs w:val="22"/>
        </w:rPr>
      </w:pPr>
      <w:r w:rsidRPr="005A1D44">
        <w:rPr>
          <w:rFonts w:ascii="Palatino Linotype" w:eastAsia="Palatino Linotype" w:hAnsi="Palatino Linotype" w:cs="Palatino Linotype"/>
          <w:color w:val="000000"/>
          <w:sz w:val="22"/>
          <w:szCs w:val="22"/>
        </w:rPr>
        <w:t>Como ya lo refiere el Criterio señalado, la firma es un dato personal confidencial y solo será pública para el caso de los servidores públicos en el ejercicio de sus funciones. </w:t>
      </w:r>
    </w:p>
    <w:p w14:paraId="14573C1B" w14:textId="77777777" w:rsidR="005A1D44" w:rsidRPr="005A1D44" w:rsidRDefault="005A1D44" w:rsidP="005A1D44">
      <w:pPr>
        <w:pBdr>
          <w:top w:val="nil"/>
          <w:left w:val="nil"/>
          <w:bottom w:val="nil"/>
          <w:right w:val="nil"/>
          <w:between w:val="nil"/>
        </w:pBdr>
        <w:spacing w:before="240" w:after="240"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lastRenderedPageBreak/>
        <w:t xml:space="preserve">Respecto del </w:t>
      </w:r>
      <w:r w:rsidRPr="005A1D44">
        <w:rPr>
          <w:rFonts w:ascii="Palatino Linotype" w:eastAsia="Palatino Linotype" w:hAnsi="Palatino Linotype" w:cs="Palatino Linotype"/>
          <w:b/>
          <w:color w:val="000000"/>
          <w:sz w:val="22"/>
          <w:szCs w:val="22"/>
        </w:rPr>
        <w:t>nombre de las personas físicas</w:t>
      </w:r>
      <w:r w:rsidRPr="005A1D44">
        <w:rPr>
          <w:rFonts w:ascii="Palatino Linotype" w:eastAsia="Palatino Linotype" w:hAnsi="Palatino Linotype" w:cs="Palatino Linotype"/>
          <w:color w:val="000000"/>
          <w:sz w:val="22"/>
          <w:szCs w:val="22"/>
        </w:rPr>
        <w:t xml:space="preserve"> o los </w:t>
      </w:r>
      <w:r w:rsidRPr="005A1D44">
        <w:rPr>
          <w:rFonts w:ascii="Palatino Linotype" w:eastAsia="Palatino Linotype" w:hAnsi="Palatino Linotype" w:cs="Palatino Linotype"/>
          <w:b/>
          <w:color w:val="000000"/>
          <w:sz w:val="22"/>
          <w:szCs w:val="22"/>
        </w:rPr>
        <w:t>representantes legales de las personas morales</w:t>
      </w:r>
      <w:r w:rsidRPr="005A1D44">
        <w:rPr>
          <w:rFonts w:ascii="Palatino Linotype" w:eastAsia="Palatino Linotype" w:hAnsi="Palatino Linotype" w:cs="Palatino Linotype"/>
          <w:color w:val="000000"/>
          <w:sz w:val="22"/>
          <w:szCs w:val="22"/>
        </w:rPr>
        <w:t xml:space="preserve">, </w:t>
      </w:r>
      <w:r w:rsidRPr="005A1D44">
        <w:rPr>
          <w:rFonts w:ascii="Palatino Linotype" w:eastAsia="Palatino Linotype" w:hAnsi="Palatino Linotype" w:cs="Palatino Linotype"/>
          <w:b/>
          <w:color w:val="000000"/>
          <w:sz w:val="22"/>
          <w:szCs w:val="22"/>
        </w:rPr>
        <w:t>en su calidad de proveedores, contratistas o prestadores de servicios, y la firma y rúbrica de estos</w:t>
      </w:r>
      <w:r w:rsidRPr="005A1D44">
        <w:rPr>
          <w:rFonts w:ascii="Palatino Linotype" w:eastAsia="Palatino Linotype" w:hAnsi="Palatino Linotype" w:cs="Palatino Linotype"/>
          <w:color w:val="000000"/>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1A989C8" w14:textId="77777777" w:rsidR="005A1D44" w:rsidRPr="005A1D44" w:rsidRDefault="005A1D44" w:rsidP="005A1D44">
      <w:pPr>
        <w:pBdr>
          <w:top w:val="nil"/>
          <w:left w:val="nil"/>
          <w:bottom w:val="nil"/>
          <w:right w:val="nil"/>
          <w:between w:val="nil"/>
        </w:pBdr>
        <w:spacing w:before="240" w:after="240"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1017C3C8" w14:textId="77777777" w:rsidR="005A1D44" w:rsidRPr="005A1D44" w:rsidRDefault="005A1D44" w:rsidP="005A1D44">
      <w:pPr>
        <w:pBdr>
          <w:top w:val="nil"/>
          <w:left w:val="nil"/>
          <w:bottom w:val="nil"/>
          <w:right w:val="nil"/>
          <w:between w:val="nil"/>
        </w:pBdr>
        <w:spacing w:before="120" w:after="120" w:line="276" w:lineRule="auto"/>
        <w:ind w:left="851" w:right="902"/>
        <w:jc w:val="both"/>
        <w:rPr>
          <w:color w:val="000000"/>
          <w:sz w:val="22"/>
          <w:szCs w:val="22"/>
        </w:rPr>
      </w:pPr>
      <w:r w:rsidRPr="005A1D44">
        <w:rPr>
          <w:rFonts w:ascii="Palatino Linotype" w:eastAsia="Palatino Linotype" w:hAnsi="Palatino Linotype" w:cs="Palatino Linotype"/>
          <w:i/>
          <w:color w:val="000000"/>
          <w:sz w:val="22"/>
          <w:szCs w:val="22"/>
        </w:rPr>
        <w:t>“</w:t>
      </w:r>
      <w:r w:rsidRPr="005A1D44">
        <w:rPr>
          <w:rFonts w:ascii="Palatino Linotype" w:eastAsia="Palatino Linotype" w:hAnsi="Palatino Linotype" w:cs="Palatino Linotype"/>
          <w:b/>
          <w:i/>
          <w:color w:val="000000"/>
          <w:sz w:val="22"/>
          <w:szCs w:val="22"/>
        </w:rPr>
        <w:t>Artículo 23.</w:t>
      </w:r>
      <w:r w:rsidRPr="005A1D44">
        <w:rPr>
          <w:rFonts w:ascii="Palatino Linotype" w:eastAsia="Palatino Linotype" w:hAnsi="Palatino Linotype" w:cs="Palatino Linotype"/>
          <w:i/>
          <w:color w:val="000000"/>
          <w:sz w:val="22"/>
          <w:szCs w:val="22"/>
        </w:rPr>
        <w:t xml:space="preserve"> (…)</w:t>
      </w:r>
    </w:p>
    <w:p w14:paraId="7ABE8886" w14:textId="77777777" w:rsidR="005A1D44" w:rsidRPr="005A1D44" w:rsidRDefault="005A1D44" w:rsidP="005A1D44">
      <w:pPr>
        <w:pBdr>
          <w:top w:val="nil"/>
          <w:left w:val="nil"/>
          <w:bottom w:val="nil"/>
          <w:right w:val="nil"/>
          <w:between w:val="nil"/>
        </w:pBdr>
        <w:spacing w:before="120" w:after="120" w:line="276" w:lineRule="auto"/>
        <w:ind w:left="851" w:right="902"/>
        <w:jc w:val="both"/>
        <w:rPr>
          <w:color w:val="000000"/>
          <w:sz w:val="22"/>
          <w:szCs w:val="22"/>
        </w:rPr>
      </w:pPr>
      <w:r w:rsidRPr="005A1D44">
        <w:rPr>
          <w:rFonts w:ascii="Palatino Linotype" w:eastAsia="Palatino Linotype" w:hAnsi="Palatino Linotype" w:cs="Palatino Linotype"/>
          <w:i/>
          <w:color w:val="000000"/>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A8877B5" w14:textId="77777777" w:rsidR="005A1D44" w:rsidRPr="005A1D44" w:rsidRDefault="005A1D44" w:rsidP="005A1D44">
      <w:pPr>
        <w:pBdr>
          <w:top w:val="nil"/>
          <w:left w:val="nil"/>
          <w:bottom w:val="nil"/>
          <w:right w:val="nil"/>
          <w:between w:val="nil"/>
        </w:pBdr>
        <w:spacing w:before="280" w:after="280" w:line="360" w:lineRule="auto"/>
        <w:jc w:val="both"/>
        <w:rPr>
          <w:color w:val="000000"/>
          <w:sz w:val="22"/>
          <w:szCs w:val="22"/>
        </w:rPr>
      </w:pPr>
      <w:r w:rsidRPr="005A1D44">
        <w:rPr>
          <w:rFonts w:ascii="Palatino Linotype" w:eastAsia="Palatino Linotype" w:hAnsi="Palatino Linotype" w:cs="Palatino Linotype"/>
          <w:color w:val="000000"/>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606564D8" w14:textId="77777777" w:rsidR="005A1D44" w:rsidRPr="005A1D44" w:rsidRDefault="005A1D44" w:rsidP="005A1D44">
      <w:pPr>
        <w:pBdr>
          <w:top w:val="nil"/>
          <w:left w:val="nil"/>
          <w:bottom w:val="nil"/>
          <w:right w:val="nil"/>
          <w:between w:val="nil"/>
        </w:pBdr>
        <w:spacing w:line="276" w:lineRule="auto"/>
        <w:ind w:left="851" w:right="900"/>
        <w:jc w:val="both"/>
        <w:rPr>
          <w:color w:val="000000"/>
          <w:sz w:val="22"/>
          <w:szCs w:val="22"/>
        </w:rPr>
      </w:pPr>
      <w:r w:rsidRPr="005A1D44">
        <w:rPr>
          <w:rFonts w:ascii="Palatino Linotype" w:eastAsia="Palatino Linotype" w:hAnsi="Palatino Linotype" w:cs="Palatino Linotype"/>
          <w:b/>
          <w:i/>
          <w:color w:val="000000"/>
          <w:sz w:val="22"/>
          <w:szCs w:val="22"/>
        </w:rPr>
        <w:t>“Datos de identificación del representante o apoderado legal.</w:t>
      </w:r>
      <w:r w:rsidRPr="005A1D44">
        <w:rPr>
          <w:rFonts w:ascii="Palatino Linotype" w:eastAsia="Palatino Linotype" w:hAnsi="Palatino Linotype" w:cs="Palatino Linotype"/>
          <w:i/>
          <w:color w:val="000000"/>
          <w:sz w:val="22"/>
          <w:szCs w:val="22"/>
        </w:rPr>
        <w:t xml:space="preserve"> </w:t>
      </w:r>
      <w:r w:rsidRPr="005A1D44">
        <w:rPr>
          <w:rFonts w:ascii="Palatino Linotype" w:eastAsia="Palatino Linotype" w:hAnsi="Palatino Linotype" w:cs="Palatino Linotype"/>
          <w:b/>
          <w:i/>
          <w:color w:val="000000"/>
          <w:sz w:val="22"/>
          <w:szCs w:val="22"/>
        </w:rPr>
        <w:t xml:space="preserve">Naturaleza jurídica. El nombre, la </w:t>
      </w:r>
      <w:r w:rsidRPr="005A1D44">
        <w:rPr>
          <w:rFonts w:ascii="Palatino Linotype" w:eastAsia="Palatino Linotype" w:hAnsi="Palatino Linotype" w:cs="Palatino Linotype"/>
          <w:b/>
          <w:i/>
          <w:color w:val="000000"/>
          <w:sz w:val="22"/>
          <w:szCs w:val="22"/>
          <w:u w:val="single"/>
        </w:rPr>
        <w:t>firma y la rúbrica</w:t>
      </w:r>
      <w:r w:rsidRPr="005A1D44">
        <w:rPr>
          <w:rFonts w:ascii="Palatino Linotype" w:eastAsia="Palatino Linotype" w:hAnsi="Palatino Linotype" w:cs="Palatino Linotype"/>
          <w:i/>
          <w:color w:val="000000"/>
          <w:sz w:val="22"/>
          <w:szCs w:val="22"/>
        </w:rPr>
        <w:t xml:space="preserve"> de una persona física, que actúe como representante o apoderado legal de un tercero que haya celebrado un acto jurídico, con algún sujeto obligado, </w:t>
      </w:r>
      <w:r w:rsidRPr="005A1D44">
        <w:rPr>
          <w:rFonts w:ascii="Palatino Linotype" w:eastAsia="Palatino Linotype" w:hAnsi="Palatino Linotype" w:cs="Palatino Linotype"/>
          <w:b/>
          <w:i/>
          <w:color w:val="000000"/>
          <w:sz w:val="22"/>
          <w:szCs w:val="22"/>
          <w:u w:val="single"/>
        </w:rPr>
        <w:t>es información pública</w:t>
      </w:r>
      <w:r w:rsidRPr="005A1D44">
        <w:rPr>
          <w:rFonts w:ascii="Palatino Linotype" w:eastAsia="Palatino Linotype" w:hAnsi="Palatino Linotype" w:cs="Palatino Linotype"/>
          <w:b/>
          <w:i/>
          <w:color w:val="000000"/>
          <w:sz w:val="22"/>
          <w:szCs w:val="22"/>
        </w:rPr>
        <w:t xml:space="preserve">, en razón de que tales datos fueron proporcionados con el objeto de expresar el </w:t>
      </w:r>
      <w:r w:rsidRPr="005A1D44">
        <w:rPr>
          <w:rFonts w:ascii="Palatino Linotype" w:eastAsia="Palatino Linotype" w:hAnsi="Palatino Linotype" w:cs="Palatino Linotype"/>
          <w:b/>
          <w:i/>
          <w:color w:val="000000"/>
          <w:sz w:val="22"/>
          <w:szCs w:val="22"/>
        </w:rPr>
        <w:lastRenderedPageBreak/>
        <w:t>consentimiento obligacional del tercero y otorgar validez a dicho instrumento jurídico</w:t>
      </w:r>
      <w:r w:rsidRPr="005A1D44">
        <w:rPr>
          <w:rFonts w:ascii="Palatino Linotype" w:eastAsia="Palatino Linotype" w:hAnsi="Palatino Linotype" w:cs="Palatino Linotype"/>
          <w:i/>
          <w:color w:val="000000"/>
          <w:sz w:val="22"/>
          <w:szCs w:val="22"/>
        </w:rPr>
        <w:t>.”</w:t>
      </w:r>
    </w:p>
    <w:p w14:paraId="2CDAA9AE" w14:textId="77777777" w:rsidR="005A1D44" w:rsidRPr="005A1D44" w:rsidRDefault="005A1D44" w:rsidP="005A1D44">
      <w:pPr>
        <w:spacing w:line="360" w:lineRule="auto"/>
        <w:jc w:val="both"/>
        <w:rPr>
          <w:sz w:val="22"/>
          <w:szCs w:val="22"/>
        </w:rPr>
      </w:pPr>
    </w:p>
    <w:p w14:paraId="5BAC51AD" w14:textId="77777777" w:rsidR="005A1D44" w:rsidRPr="005A1D44" w:rsidRDefault="005A1D44" w:rsidP="005A1D44">
      <w:pPr>
        <w:pBdr>
          <w:top w:val="nil"/>
          <w:left w:val="nil"/>
          <w:bottom w:val="nil"/>
          <w:right w:val="nil"/>
          <w:between w:val="nil"/>
        </w:pBdr>
        <w:spacing w:line="360" w:lineRule="auto"/>
        <w:jc w:val="both"/>
        <w:rPr>
          <w:color w:val="000000"/>
          <w:sz w:val="22"/>
          <w:szCs w:val="22"/>
        </w:rPr>
      </w:pPr>
      <w:r w:rsidRPr="005A1D44">
        <w:rPr>
          <w:rFonts w:ascii="Palatino Linotype" w:eastAsia="Palatino Linotype" w:hAnsi="Palatino Linotype" w:cs="Palatino Linotype"/>
          <w:color w:val="000000"/>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CC62F0A" w14:textId="77777777" w:rsidR="005A1D44" w:rsidRPr="005A1D44" w:rsidRDefault="005A1D44" w:rsidP="005A1D44">
      <w:pPr>
        <w:spacing w:line="360" w:lineRule="auto"/>
        <w:jc w:val="both"/>
        <w:rPr>
          <w:sz w:val="22"/>
          <w:szCs w:val="22"/>
        </w:rPr>
      </w:pPr>
    </w:p>
    <w:p w14:paraId="5A0780A0" w14:textId="77777777" w:rsidR="005A1D44" w:rsidRPr="005A1D44" w:rsidRDefault="005A1D44" w:rsidP="005A1D44">
      <w:pPr>
        <w:pBdr>
          <w:top w:val="nil"/>
          <w:left w:val="nil"/>
          <w:bottom w:val="nil"/>
          <w:right w:val="nil"/>
          <w:between w:val="nil"/>
        </w:pBdr>
        <w:spacing w:line="360" w:lineRule="auto"/>
        <w:ind w:right="51"/>
        <w:jc w:val="both"/>
        <w:rPr>
          <w:color w:val="000000"/>
          <w:sz w:val="22"/>
          <w:szCs w:val="22"/>
        </w:rPr>
      </w:pPr>
      <w:r w:rsidRPr="005A1D44">
        <w:rPr>
          <w:rFonts w:ascii="Palatino Linotype" w:eastAsia="Palatino Linotype" w:hAnsi="Palatino Linotype" w:cs="Palatino Linotype"/>
          <w:color w:val="000000"/>
          <w:sz w:val="22"/>
          <w:szCs w:val="22"/>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CDE6CD6" w14:textId="77777777" w:rsidR="005A1D44" w:rsidRPr="005A1D44" w:rsidRDefault="005A1D44" w:rsidP="005A1D44">
      <w:pPr>
        <w:spacing w:line="360" w:lineRule="auto"/>
        <w:jc w:val="both"/>
        <w:rPr>
          <w:sz w:val="22"/>
          <w:szCs w:val="22"/>
        </w:rPr>
      </w:pPr>
    </w:p>
    <w:p w14:paraId="2C025178" w14:textId="77777777" w:rsidR="005A1D44" w:rsidRPr="005A1D44" w:rsidRDefault="005A1D44" w:rsidP="005A1D44">
      <w:pPr>
        <w:pBdr>
          <w:top w:val="nil"/>
          <w:left w:val="nil"/>
          <w:bottom w:val="nil"/>
          <w:right w:val="nil"/>
          <w:between w:val="nil"/>
        </w:pBdr>
        <w:spacing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t>Lo anterior encuentra sustento en el criterio 10/17 emitido por el Instituto Nacional de Transparencia y Acceso a la Información Pública del Estado de México y Municipios, que a la letra dicen:</w:t>
      </w:r>
    </w:p>
    <w:p w14:paraId="6FFC28A8" w14:textId="77777777" w:rsidR="005A1D44" w:rsidRPr="005A1D44" w:rsidRDefault="005A1D44" w:rsidP="005A1D44">
      <w:pPr>
        <w:spacing w:line="360" w:lineRule="auto"/>
        <w:jc w:val="both"/>
        <w:rPr>
          <w:sz w:val="22"/>
          <w:szCs w:val="22"/>
        </w:rPr>
      </w:pPr>
    </w:p>
    <w:p w14:paraId="37B09A7C" w14:textId="77777777" w:rsidR="005A1D44" w:rsidRPr="005A1D44" w:rsidRDefault="005A1D44" w:rsidP="005A1D44">
      <w:pPr>
        <w:pBdr>
          <w:top w:val="nil"/>
          <w:left w:val="nil"/>
          <w:bottom w:val="nil"/>
          <w:right w:val="nil"/>
          <w:between w:val="nil"/>
        </w:pBdr>
        <w:spacing w:line="276" w:lineRule="auto"/>
        <w:ind w:left="567" w:right="900"/>
        <w:jc w:val="both"/>
        <w:rPr>
          <w:color w:val="000000"/>
          <w:sz w:val="22"/>
          <w:szCs w:val="22"/>
        </w:rPr>
      </w:pPr>
      <w:r w:rsidRPr="005A1D44">
        <w:rPr>
          <w:rFonts w:ascii="Palatino Linotype" w:eastAsia="Palatino Linotype" w:hAnsi="Palatino Linotype" w:cs="Palatino Linotype"/>
          <w:b/>
          <w:i/>
          <w:color w:val="000000"/>
          <w:sz w:val="22"/>
          <w:szCs w:val="22"/>
        </w:rPr>
        <w:t>“Cuentas bancarias y/o CLABE interbancaria de personas físicas y morales privadas.</w:t>
      </w:r>
      <w:r w:rsidRPr="005A1D44">
        <w:rPr>
          <w:rFonts w:ascii="Palatino Linotype" w:eastAsia="Palatino Linotype" w:hAnsi="Palatino Linotype" w:cs="Palatino Linotype"/>
          <w:i/>
          <w:color w:val="000000"/>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5A1D44">
        <w:rPr>
          <w:rFonts w:ascii="Palatino Linotype" w:eastAsia="Palatino Linotype" w:hAnsi="Palatino Linotype" w:cs="Palatino Linotype"/>
          <w:i/>
          <w:color w:val="000000"/>
          <w:sz w:val="22"/>
          <w:szCs w:val="22"/>
        </w:rPr>
        <w:lastRenderedPageBreak/>
        <w:t>Información Pública y 113 de la Ley Federal de Transparencia y Acceso a la Información Pública.”</w:t>
      </w:r>
    </w:p>
    <w:p w14:paraId="0D235ECB" w14:textId="77777777" w:rsidR="005A1D44" w:rsidRPr="005A1D44" w:rsidRDefault="005A1D44" w:rsidP="005A1D44">
      <w:pPr>
        <w:spacing w:line="276" w:lineRule="auto"/>
        <w:ind w:left="567" w:right="900"/>
        <w:jc w:val="both"/>
        <w:rPr>
          <w:sz w:val="22"/>
          <w:szCs w:val="22"/>
        </w:rPr>
      </w:pPr>
    </w:p>
    <w:p w14:paraId="20F839C3" w14:textId="77777777" w:rsidR="005A1D44" w:rsidRPr="005A1D44" w:rsidRDefault="005A1D44" w:rsidP="005A1D44">
      <w:pPr>
        <w:pBdr>
          <w:top w:val="nil"/>
          <w:left w:val="nil"/>
          <w:bottom w:val="nil"/>
          <w:right w:val="nil"/>
          <w:between w:val="nil"/>
        </w:pBdr>
        <w:spacing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6DCCA12A" w14:textId="77777777" w:rsidR="005A1D44" w:rsidRPr="005A1D44" w:rsidRDefault="005A1D44" w:rsidP="005A1D44">
      <w:pPr>
        <w:spacing w:line="360" w:lineRule="auto"/>
        <w:jc w:val="both"/>
        <w:rPr>
          <w:sz w:val="22"/>
          <w:szCs w:val="22"/>
        </w:rPr>
      </w:pPr>
    </w:p>
    <w:p w14:paraId="5E4FB25B" w14:textId="77777777" w:rsidR="005A1D44" w:rsidRPr="005A1D44" w:rsidRDefault="005A1D44" w:rsidP="005A1D44">
      <w:pPr>
        <w:pBdr>
          <w:top w:val="nil"/>
          <w:left w:val="nil"/>
          <w:bottom w:val="nil"/>
          <w:right w:val="nil"/>
          <w:between w:val="nil"/>
        </w:pBdr>
        <w:spacing w:line="276" w:lineRule="auto"/>
        <w:ind w:left="851" w:right="1134"/>
        <w:jc w:val="both"/>
        <w:rPr>
          <w:color w:val="000000"/>
          <w:sz w:val="22"/>
          <w:szCs w:val="22"/>
        </w:rPr>
      </w:pPr>
      <w:r w:rsidRPr="005A1D44">
        <w:rPr>
          <w:rFonts w:ascii="Palatino Linotype" w:eastAsia="Palatino Linotype" w:hAnsi="Palatino Linotype" w:cs="Palatino Linotype"/>
          <w:i/>
          <w:color w:val="000000"/>
          <w:sz w:val="22"/>
          <w:szCs w:val="22"/>
        </w:rPr>
        <w:t>“</w:t>
      </w:r>
      <w:r w:rsidRPr="005A1D44">
        <w:rPr>
          <w:rFonts w:ascii="Palatino Linotype" w:eastAsia="Palatino Linotype" w:hAnsi="Palatino Linotype" w:cs="Palatino Linotype"/>
          <w:b/>
          <w:i/>
          <w:color w:val="000000"/>
          <w:sz w:val="22"/>
          <w:szCs w:val="22"/>
        </w:rPr>
        <w:t>Cuentas bancarias y/o CLABE interbancaria de sujetos obligados que reciben y/o transfieren recursos públicos, son información pública.</w:t>
      </w:r>
      <w:r w:rsidRPr="005A1D44">
        <w:rPr>
          <w:rFonts w:ascii="Palatino Linotype" w:eastAsia="Palatino Linotype" w:hAnsi="Palatino Linotype" w:cs="Palatino Linotype"/>
          <w:i/>
          <w:color w:val="000000"/>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327A2EB1" w14:textId="77777777" w:rsidR="005A1D44" w:rsidRPr="005A1D44" w:rsidRDefault="005A1D44" w:rsidP="005A1D44">
      <w:pPr>
        <w:pBdr>
          <w:top w:val="nil"/>
          <w:left w:val="nil"/>
          <w:bottom w:val="nil"/>
          <w:right w:val="nil"/>
          <w:between w:val="nil"/>
        </w:pBdr>
        <w:spacing w:before="240" w:after="240"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9D19FEA" w14:textId="6F86432D" w:rsidR="00710AB2" w:rsidRPr="005A1D44" w:rsidRDefault="005A1D44" w:rsidP="005A1D44">
      <w:pPr>
        <w:pBdr>
          <w:top w:val="nil"/>
          <w:left w:val="nil"/>
          <w:bottom w:val="nil"/>
          <w:right w:val="nil"/>
          <w:between w:val="nil"/>
        </w:pBdr>
        <w:spacing w:before="240" w:after="240" w:line="360" w:lineRule="auto"/>
        <w:ind w:right="50"/>
        <w:jc w:val="both"/>
        <w:rPr>
          <w:color w:val="000000"/>
          <w:sz w:val="22"/>
          <w:szCs w:val="22"/>
        </w:rPr>
      </w:pPr>
      <w:r w:rsidRPr="005A1D44">
        <w:rPr>
          <w:rFonts w:ascii="Palatino Linotype" w:eastAsia="Palatino Linotype" w:hAnsi="Palatino Linotype" w:cs="Palatino Linotype"/>
          <w:color w:val="000000"/>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w:t>
      </w:r>
      <w:r w:rsidRPr="005A1D44">
        <w:rPr>
          <w:rFonts w:ascii="Palatino Linotype" w:eastAsia="Palatino Linotype" w:hAnsi="Palatino Linotype" w:cs="Palatino Linotype"/>
          <w:color w:val="000000"/>
          <w:sz w:val="22"/>
          <w:szCs w:val="22"/>
        </w:rPr>
        <w:lastRenderedPageBreak/>
        <w:t>domicilio fiscal, atento a que dicha información es la que puede generar certeza en los gobernados en que se está ejerciendo debidamente el presupuesto.</w:t>
      </w:r>
    </w:p>
    <w:p w14:paraId="79F0DF5F" w14:textId="77777777" w:rsidR="00710AB2" w:rsidRDefault="00391A6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Pr>
          <w:rFonts w:ascii="Palatino Linotype" w:eastAsia="Palatino Linotype" w:hAnsi="Palatino Linotype" w:cs="Palatino Linotype"/>
          <w:sz w:val="22"/>
          <w:szCs w:val="22"/>
        </w:rPr>
        <w:t>Responsable</w:t>
      </w:r>
      <w:proofErr w:type="gramEnd"/>
      <w:r>
        <w:rPr>
          <w:rFonts w:ascii="Palatino Linotype" w:eastAsia="Palatino Linotype" w:hAnsi="Palatino Linotype" w:cs="Palatino Linotype"/>
          <w:sz w:val="22"/>
          <w:szCs w:val="22"/>
        </w:rPr>
        <w:t xml:space="preserve">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8B63A05" w14:textId="77777777" w:rsidR="00710AB2" w:rsidRDefault="00710AB2">
      <w:pPr>
        <w:spacing w:line="360" w:lineRule="auto"/>
        <w:ind w:right="51"/>
        <w:jc w:val="both"/>
        <w:rPr>
          <w:rFonts w:ascii="Palatino Linotype" w:eastAsia="Palatino Linotype" w:hAnsi="Palatino Linotype" w:cs="Palatino Linotype"/>
          <w:sz w:val="22"/>
          <w:szCs w:val="22"/>
        </w:rPr>
      </w:pPr>
    </w:p>
    <w:p w14:paraId="71DCAB0E"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399B1EBD"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0EF70CCF"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36B31400"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0F1323B0"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6C4CC8B0" w14:textId="77777777" w:rsidR="00710AB2" w:rsidRDefault="00391A68">
      <w:pPr>
        <w:ind w:left="567"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xml:space="preserve">, la cual tendrá los fundamentos y argumentos en que se basa dicha propuesta…” </w:t>
      </w:r>
    </w:p>
    <w:p w14:paraId="58BBF927" w14:textId="77777777" w:rsidR="00710AB2" w:rsidRDefault="00710AB2">
      <w:pPr>
        <w:ind w:left="992" w:right="1043"/>
        <w:jc w:val="both"/>
        <w:rPr>
          <w:rFonts w:ascii="Palatino Linotype" w:eastAsia="Palatino Linotype" w:hAnsi="Palatino Linotype" w:cs="Palatino Linotype"/>
          <w:i/>
          <w:sz w:val="22"/>
          <w:szCs w:val="22"/>
        </w:rPr>
      </w:pPr>
    </w:p>
    <w:p w14:paraId="3E5238B1"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55AAE0" w14:textId="77777777" w:rsidR="00710AB2" w:rsidRDefault="00710AB2">
      <w:pPr>
        <w:spacing w:line="360" w:lineRule="auto"/>
        <w:jc w:val="both"/>
        <w:rPr>
          <w:rFonts w:ascii="Palatino Linotype" w:eastAsia="Palatino Linotype" w:hAnsi="Palatino Linotype" w:cs="Palatino Linotype"/>
          <w:sz w:val="22"/>
          <w:szCs w:val="22"/>
        </w:rPr>
      </w:pPr>
    </w:p>
    <w:p w14:paraId="388945A4"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05417E92" w14:textId="77777777" w:rsidR="00710AB2" w:rsidRDefault="00391A68">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3CA16049" w14:textId="77777777" w:rsidR="00710AB2" w:rsidRDefault="00391A68">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5F7A1AB" w14:textId="77777777" w:rsidR="00710AB2" w:rsidRDefault="00710AB2">
      <w:pPr>
        <w:spacing w:line="360" w:lineRule="auto"/>
        <w:jc w:val="both"/>
        <w:rPr>
          <w:rFonts w:ascii="Palatino Linotype" w:eastAsia="Palatino Linotype" w:hAnsi="Palatino Linotype" w:cs="Palatino Linotype"/>
          <w:sz w:val="22"/>
          <w:szCs w:val="22"/>
        </w:rPr>
      </w:pPr>
    </w:p>
    <w:p w14:paraId="5801EC18" w14:textId="77777777" w:rsidR="00710AB2" w:rsidRDefault="00391A6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se destaca que la versión pública que elabore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rPr>
        <w:t xml:space="preserve">, publicados en el Diario Oficial de la Federación en fecha dieciocho de noviembre del año dos mil veintidós, mediante Acuerdo </w:t>
      </w:r>
      <w:r>
        <w:rPr>
          <w:rFonts w:ascii="Palatino Linotype" w:eastAsia="Palatino Linotype" w:hAnsi="Palatino Linotype" w:cs="Palatino Linotype"/>
          <w:sz w:val="22"/>
          <w:szCs w:val="22"/>
        </w:rPr>
        <w:lastRenderedPageBreak/>
        <w:t>del Consejo Nacional del Sistema Nacional de Transparencia, Acceso a la Información Pública y Protección de Datos Personales, que literalmente expresan:</w:t>
      </w:r>
    </w:p>
    <w:p w14:paraId="5CCB3FCA" w14:textId="77777777" w:rsidR="00710AB2" w:rsidRDefault="00710AB2">
      <w:pPr>
        <w:ind w:left="709" w:right="709"/>
        <w:jc w:val="both"/>
        <w:rPr>
          <w:rFonts w:ascii="Palatino Linotype" w:eastAsia="Palatino Linotype" w:hAnsi="Palatino Linotype" w:cs="Palatino Linotype"/>
          <w:b/>
          <w:i/>
          <w:sz w:val="22"/>
          <w:szCs w:val="22"/>
        </w:rPr>
      </w:pPr>
    </w:p>
    <w:p w14:paraId="7C5B17DF"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4DAFD101"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w:t>
      </w:r>
      <w:proofErr w:type="gramStart"/>
      <w:r>
        <w:rPr>
          <w:rFonts w:ascii="Palatino Linotype" w:eastAsia="Palatino Linotype" w:hAnsi="Palatino Linotype" w:cs="Palatino Linotype"/>
          <w:b/>
          <w:i/>
          <w:color w:val="000000"/>
          <w:sz w:val="22"/>
          <w:szCs w:val="22"/>
        </w:rPr>
        <w:t>Segundo.-</w:t>
      </w:r>
      <w:proofErr w:type="gramEnd"/>
      <w:r>
        <w:rPr>
          <w:rFonts w:ascii="Palatino Linotype" w:eastAsia="Palatino Linotype" w:hAnsi="Palatino Linotype" w:cs="Palatino Linotype"/>
          <w:i/>
          <w:color w:val="000000"/>
          <w:sz w:val="22"/>
          <w:szCs w:val="22"/>
        </w:rPr>
        <w:t xml:space="preserve"> Para efectos de los presentes Lineamientos Generales, se entenderá por:</w:t>
      </w:r>
    </w:p>
    <w:p w14:paraId="6CF1EB1A"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XVIII.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Versión pública:</w:t>
      </w:r>
      <w:r>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sz w:val="22"/>
          <w:szCs w:val="22"/>
          <w:u w:val="single"/>
        </w:rPr>
        <w:t>fundando y motivando la</w:t>
      </w:r>
      <w:r>
        <w:rPr>
          <w:rFonts w:ascii="Palatino Linotype" w:eastAsia="Palatino Linotype" w:hAnsi="Palatino Linotype" w:cs="Palatino Linotype"/>
          <w:i/>
          <w:color w:val="000000"/>
          <w:sz w:val="22"/>
          <w:szCs w:val="22"/>
        </w:rPr>
        <w:t xml:space="preserve"> reserva o </w:t>
      </w:r>
      <w:r>
        <w:rPr>
          <w:rFonts w:ascii="Palatino Linotype" w:eastAsia="Palatino Linotype" w:hAnsi="Palatino Linotype" w:cs="Palatino Linotype"/>
          <w:b/>
          <w:i/>
          <w:color w:val="000000"/>
          <w:sz w:val="22"/>
          <w:szCs w:val="22"/>
          <w:u w:val="single"/>
        </w:rPr>
        <w:t>confidencialidad</w:t>
      </w:r>
      <w:r>
        <w:rPr>
          <w:rFonts w:ascii="Palatino Linotype" w:eastAsia="Palatino Linotype" w:hAnsi="Palatino Linotype" w:cs="Palatino Linotype"/>
          <w:i/>
          <w:color w:val="000000"/>
          <w:sz w:val="22"/>
          <w:szCs w:val="22"/>
        </w:rPr>
        <w:t>, a través de la resolución que para tal efecto emita el Comité de Transparencia.</w:t>
      </w:r>
    </w:p>
    <w:p w14:paraId="17D53930"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9FF99E9"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0DC077AF"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Quinto.</w:t>
      </w:r>
      <w:r>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BC279A"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w:t>
      </w:r>
    </w:p>
    <w:p w14:paraId="6C480D2B"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Séptimo.</w:t>
      </w:r>
      <w:r>
        <w:rPr>
          <w:rFonts w:ascii="Palatino Linotype" w:eastAsia="Palatino Linotype" w:hAnsi="Palatino Linotype" w:cs="Palatino Linotype"/>
          <w:i/>
          <w:color w:val="000000"/>
          <w:sz w:val="22"/>
          <w:szCs w:val="22"/>
        </w:rPr>
        <w:t xml:space="preserve"> La clasificación de la información se llevará a cabo en el momento en que:</w:t>
      </w:r>
    </w:p>
    <w:p w14:paraId="232E1CBD"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reciba una solicitud de acceso a la información;</w:t>
      </w:r>
    </w:p>
    <w:p w14:paraId="3B114AB7" w14:textId="77777777" w:rsidR="00710AB2" w:rsidRDefault="00391A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Se  determine</w:t>
      </w:r>
      <w:proofErr w:type="gramEnd"/>
      <w:r>
        <w:rPr>
          <w:rFonts w:ascii="Palatino Linotype" w:eastAsia="Palatino Linotype" w:hAnsi="Palatino Linotype" w:cs="Palatino Linotype"/>
          <w:i/>
          <w:color w:val="000000"/>
          <w:sz w:val="22"/>
          <w:szCs w:val="22"/>
        </w:rPr>
        <w:t xml:space="preserve"> mediante resolución del Comité de Transparencia, el órgano garante </w:t>
      </w:r>
    </w:p>
    <w:p w14:paraId="216C0FF8"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competente, o en cumplimiento a una sentencia del Poder Judicial; o</w:t>
      </w:r>
    </w:p>
    <w:p w14:paraId="49AD6D7E"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1D4E50CB"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607E434D"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lastRenderedPageBreak/>
        <w:t>Octavo.</w:t>
      </w:r>
      <w:r>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6E8CCB8"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0C029054" w14:textId="77777777" w:rsidR="00710AB2" w:rsidRDefault="00391A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67A60E"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5A421F"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b/>
          <w:i/>
          <w:color w:val="000000"/>
          <w:sz w:val="22"/>
          <w:szCs w:val="22"/>
        </w:rPr>
        <w:t>Décimo.</w:t>
      </w:r>
      <w:r>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9A793B3"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6CDA1E5B" w14:textId="77777777" w:rsidR="00710AB2" w:rsidRDefault="00391A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Décimo primero.</w:t>
      </w:r>
      <w:r>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6CB6B38" w14:textId="77777777" w:rsidR="00710AB2" w:rsidRDefault="00710AB2">
      <w:pPr>
        <w:pBdr>
          <w:top w:val="nil"/>
          <w:left w:val="nil"/>
          <w:bottom w:val="nil"/>
          <w:right w:val="nil"/>
          <w:between w:val="nil"/>
        </w:pBdr>
        <w:ind w:right="709"/>
        <w:jc w:val="both"/>
        <w:rPr>
          <w:color w:val="000000"/>
          <w:sz w:val="22"/>
          <w:szCs w:val="22"/>
        </w:rPr>
      </w:pPr>
    </w:p>
    <w:p w14:paraId="44DCF505" w14:textId="77777777" w:rsidR="00710AB2" w:rsidRDefault="00391A68">
      <w:pPr>
        <w:pBdr>
          <w:top w:val="nil"/>
          <w:left w:val="nil"/>
          <w:bottom w:val="nil"/>
          <w:right w:val="nil"/>
          <w:between w:val="nil"/>
        </w:pBdr>
        <w:ind w:left="709" w:right="709"/>
        <w:jc w:val="both"/>
        <w:rPr>
          <w:color w:val="000000"/>
          <w:sz w:val="22"/>
          <w:szCs w:val="22"/>
        </w:rPr>
      </w:pPr>
      <w:r>
        <w:rPr>
          <w:rFonts w:ascii="Palatino Linotype" w:eastAsia="Palatino Linotype" w:hAnsi="Palatino Linotype" w:cs="Palatino Linotype"/>
          <w:i/>
          <w:color w:val="000000"/>
          <w:sz w:val="22"/>
          <w:szCs w:val="22"/>
        </w:rPr>
        <w:t>[…]</w:t>
      </w:r>
    </w:p>
    <w:p w14:paraId="6BB0AB10" w14:textId="77777777" w:rsidR="00710AB2" w:rsidRDefault="00391A68">
      <w:pPr>
        <w:pBdr>
          <w:top w:val="nil"/>
          <w:left w:val="nil"/>
          <w:bottom w:val="nil"/>
          <w:right w:val="nil"/>
          <w:between w:val="nil"/>
        </w:pBdr>
        <w:ind w:left="709" w:right="709"/>
        <w:jc w:val="center"/>
        <w:rPr>
          <w:color w:val="000000"/>
          <w:sz w:val="22"/>
          <w:szCs w:val="22"/>
        </w:rPr>
      </w:pPr>
      <w:r>
        <w:rPr>
          <w:rFonts w:ascii="Palatino Linotype" w:eastAsia="Palatino Linotype" w:hAnsi="Palatino Linotype" w:cs="Palatino Linotype"/>
          <w:b/>
          <w:i/>
          <w:color w:val="000000"/>
          <w:sz w:val="22"/>
          <w:szCs w:val="22"/>
        </w:rPr>
        <w:t>CAPÍTULO VIII</w:t>
      </w:r>
    </w:p>
    <w:p w14:paraId="739F7461" w14:textId="77777777" w:rsidR="00710AB2" w:rsidRDefault="00391A68">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ELEMENTOS PARA LA CLASIFICACIÓN</w:t>
      </w:r>
    </w:p>
    <w:p w14:paraId="474098E9"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436FD3C"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Quincuagésimo primero</w:t>
      </w:r>
      <w:r>
        <w:rPr>
          <w:rFonts w:ascii="Palatino Linotype" w:eastAsia="Palatino Linotype" w:hAnsi="Palatino Linotype" w:cs="Palatino Linotype"/>
          <w:i/>
          <w:color w:val="000000"/>
          <w:sz w:val="22"/>
          <w:szCs w:val="22"/>
        </w:rPr>
        <w:t>. Toda acta del Comité de Transparencia deberá contener:</w:t>
      </w:r>
    </w:p>
    <w:p w14:paraId="1C9DB16E"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número de sesión y fecha; </w:t>
      </w:r>
    </w:p>
    <w:p w14:paraId="68AC7923"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 que solicitó la clasificación de información;</w:t>
      </w:r>
    </w:p>
    <w:p w14:paraId="3BB02C0D"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fundamentación legal y motivación correspondiente;</w:t>
      </w:r>
    </w:p>
    <w:p w14:paraId="7096BD9F"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resolución o resoluciones aprobadas; y</w:t>
      </w:r>
    </w:p>
    <w:p w14:paraId="61F560DD"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rúbrica o firma digital de cada integrante del Comité de Transparencia. </w:t>
      </w:r>
    </w:p>
    <w:p w14:paraId="1D91F1E7"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02F9E8D0"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48652863"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Descripción de las partes o secciones reservadas, en caso de clasificación parcial;</w:t>
      </w:r>
    </w:p>
    <w:p w14:paraId="6BCB39FA"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periodo por el que mantendrá su clasificación y fecha de expiración; y</w:t>
      </w:r>
    </w:p>
    <w:p w14:paraId="6E7C1EC2"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2AB4EAE5"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79A414C0"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6BD077B"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CD4CBBB"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4A989ACD"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5B778A74"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 Señalar dentro del documento el tipo de información confidencial que fue testada en cada caso específico, de conformidad con el lineamiento trigésimo octavo; y</w:t>
      </w:r>
    </w:p>
    <w:p w14:paraId="14077822"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Señalar las personas o instancias autorizadas a acceder a la información clasificada.</w:t>
      </w:r>
    </w:p>
    <w:p w14:paraId="7D986AB8" w14:textId="77777777" w:rsidR="00710AB2" w:rsidRDefault="00391A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5B4301CA" w14:textId="77777777" w:rsidR="00710AB2" w:rsidRDefault="00391A68">
      <w:pPr>
        <w:pBdr>
          <w:top w:val="nil"/>
          <w:left w:val="nil"/>
          <w:bottom w:val="nil"/>
          <w:right w:val="nil"/>
          <w:between w:val="nil"/>
        </w:pBdr>
        <w:spacing w:after="160"/>
        <w:ind w:left="709" w:right="709"/>
        <w:jc w:val="both"/>
        <w:rPr>
          <w:sz w:val="22"/>
          <w:szCs w:val="22"/>
        </w:rPr>
      </w:pPr>
      <w:r>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color w:val="000000"/>
          <w:sz w:val="22"/>
          <w:szCs w:val="22"/>
        </w:rPr>
        <w:t>testado</w:t>
      </w:r>
      <w:proofErr w:type="spellEnd"/>
      <w:r>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4A8806B" w14:textId="77777777" w:rsidR="00710AB2" w:rsidRDefault="00710AB2">
      <w:pPr>
        <w:rPr>
          <w:color w:val="000000"/>
          <w:sz w:val="22"/>
          <w:szCs w:val="22"/>
        </w:rPr>
      </w:pPr>
    </w:p>
    <w:p w14:paraId="3F536123" w14:textId="77777777" w:rsidR="00710AB2" w:rsidRDefault="00391A68">
      <w:pPr>
        <w:spacing w:line="360" w:lineRule="auto"/>
        <w:jc w:val="both"/>
        <w:rPr>
          <w:rFonts w:ascii="Palatino Linotype" w:eastAsia="Palatino Linotype" w:hAnsi="Palatino Linotype" w:cs="Palatino Linotype"/>
          <w:sz w:val="22"/>
          <w:szCs w:val="22"/>
        </w:rPr>
      </w:pPr>
      <w:bookmarkStart w:id="3" w:name="_heading=h.lnxbz9" w:colFirst="0" w:colLast="0"/>
      <w:bookmarkEnd w:id="3"/>
      <w:r>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7CC25480" w14:textId="77777777" w:rsidR="00710AB2" w:rsidRDefault="00710AB2">
      <w:pPr>
        <w:spacing w:line="360" w:lineRule="auto"/>
        <w:jc w:val="both"/>
        <w:rPr>
          <w:rFonts w:ascii="Palatino Linotype" w:eastAsia="Palatino Linotype" w:hAnsi="Palatino Linotype" w:cs="Palatino Linotype"/>
          <w:sz w:val="22"/>
          <w:szCs w:val="22"/>
        </w:rPr>
      </w:pPr>
    </w:p>
    <w:p w14:paraId="4630BC11" w14:textId="77777777" w:rsidR="00710AB2" w:rsidRDefault="00391A68">
      <w:pPr>
        <w:shd w:val="clear" w:color="auto" w:fill="FFFFFF"/>
        <w:spacing w:line="360" w:lineRule="auto"/>
        <w:ind w:right="51"/>
        <w:jc w:val="both"/>
        <w:rPr>
          <w:rFonts w:ascii="Palatino Linotype" w:eastAsia="Palatino Linotype" w:hAnsi="Palatino Linotype" w:cs="Palatino Linotype"/>
          <w:sz w:val="22"/>
          <w:szCs w:val="22"/>
        </w:rPr>
      </w:pPr>
      <w:bookmarkStart w:id="4" w:name="_heading=h.4d34og8" w:colFirst="0" w:colLast="0"/>
      <w:bookmarkEnd w:id="4"/>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w:t>
      </w:r>
    </w:p>
    <w:p w14:paraId="56ABC4E5"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16AD748A" w14:textId="77777777" w:rsidR="00710AB2" w:rsidRDefault="00391A68">
      <w:pPr>
        <w:numPr>
          <w:ilvl w:val="0"/>
          <w:numId w:val="1"/>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U E L V E:</w:t>
      </w:r>
    </w:p>
    <w:p w14:paraId="175C8277" w14:textId="77777777" w:rsidR="00710AB2" w:rsidRDefault="00391A68">
      <w:pPr>
        <w:spacing w:before="240" w:after="240" w:line="360" w:lineRule="auto"/>
        <w:jc w:val="both"/>
        <w:rPr>
          <w:rFonts w:ascii="Palatino Linotype" w:eastAsia="Palatino Linotype" w:hAnsi="Palatino Linotype" w:cs="Palatino Linotype"/>
          <w:sz w:val="22"/>
          <w:szCs w:val="22"/>
        </w:rPr>
      </w:pPr>
      <w:bookmarkStart w:id="5" w:name="_heading=h.3znysh7" w:colFirst="0" w:colLast="0"/>
      <w:bookmarkEnd w:id="5"/>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w:t>
      </w:r>
      <w:r>
        <w:rPr>
          <w:rFonts w:ascii="Palatino Linotype" w:eastAsia="Palatino Linotype" w:hAnsi="Palatino Linotype" w:cs="Palatino Linotype"/>
          <w:b/>
          <w:sz w:val="22"/>
          <w:szCs w:val="22"/>
        </w:rPr>
        <w:t xml:space="preserve"> fundados </w:t>
      </w:r>
      <w:r>
        <w:rPr>
          <w:rFonts w:ascii="Palatino Linotype" w:eastAsia="Palatino Linotype" w:hAnsi="Palatino Linotype" w:cs="Palatino Linotype"/>
          <w:sz w:val="22"/>
          <w:szCs w:val="22"/>
        </w:rPr>
        <w:t xml:space="preserve">los motivos de inconformidad hechos valer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en los Recursos de Revisión</w:t>
      </w:r>
      <w:r>
        <w:rPr>
          <w:rFonts w:ascii="Palatino Linotype" w:eastAsia="Palatino Linotype" w:hAnsi="Palatino Linotype" w:cs="Palatino Linotype"/>
          <w:b/>
          <w:sz w:val="22"/>
          <w:szCs w:val="22"/>
        </w:rPr>
        <w:t xml:space="preserve"> 06874/INFOEM/IP/RR/2024, 06875/INFOEM/IP/RR/2024, 06876/INFOEM/IP/RR/2024, 06877/INFOEM/IP/RR/2024, 06878/INFOEM/IP/RR/2024 y 06879/INFOEM/IP/RR/2024 acumulados, </w:t>
      </w:r>
      <w:r>
        <w:rPr>
          <w:rFonts w:ascii="Palatino Linotype" w:eastAsia="Palatino Linotype" w:hAnsi="Palatino Linotype" w:cs="Palatino Linotype"/>
          <w:sz w:val="22"/>
          <w:szCs w:val="22"/>
        </w:rPr>
        <w:t>por lo que</w:t>
      </w:r>
      <w:r>
        <w:rPr>
          <w:rFonts w:ascii="Palatino Linotype" w:eastAsia="Palatino Linotype" w:hAnsi="Palatino Linotype" w:cs="Palatino Linotype"/>
          <w:b/>
          <w:sz w:val="22"/>
          <w:szCs w:val="22"/>
        </w:rPr>
        <w:t xml:space="preserve">, en términos del Considerando Cuarto </w:t>
      </w:r>
      <w:r>
        <w:rPr>
          <w:rFonts w:ascii="Palatino Linotype" w:eastAsia="Palatino Linotype" w:hAnsi="Palatino Linotype" w:cs="Palatino Linotype"/>
          <w:sz w:val="22"/>
          <w:szCs w:val="22"/>
        </w:rPr>
        <w:t xml:space="preserve">de la presente resolución, </w:t>
      </w:r>
      <w:r>
        <w:rPr>
          <w:rFonts w:ascii="Palatino Linotype" w:eastAsia="Palatino Linotype" w:hAnsi="Palatino Linotype" w:cs="Palatino Linotype"/>
          <w:b/>
          <w:color w:val="000000"/>
          <w:sz w:val="22"/>
          <w:szCs w:val="22"/>
        </w:rPr>
        <w:t>se REVOCAN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las respuestas del</w:t>
      </w:r>
      <w:r>
        <w:rPr>
          <w:rFonts w:ascii="Palatino Linotype" w:eastAsia="Palatino Linotype" w:hAnsi="Palatino Linotype" w:cs="Palatino Linotype"/>
          <w:b/>
          <w:sz w:val="22"/>
          <w:szCs w:val="22"/>
        </w:rPr>
        <w:t xml:space="preserve"> Sujeto Obligado.</w:t>
      </w:r>
    </w:p>
    <w:p w14:paraId="5305C8C6" w14:textId="5B8613F3" w:rsidR="00710AB2" w:rsidRDefault="00391A68">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Se Ordena al Sujeto Obligado </w:t>
      </w:r>
      <w:r>
        <w:rPr>
          <w:rFonts w:ascii="Palatino Linotype" w:eastAsia="Palatino Linotype" w:hAnsi="Palatino Linotype" w:cs="Palatino Linotype"/>
          <w:sz w:val="22"/>
          <w:szCs w:val="22"/>
        </w:rPr>
        <w:t>que en términos de los</w:t>
      </w:r>
      <w:r>
        <w:rPr>
          <w:rFonts w:ascii="Palatino Linotype" w:eastAsia="Palatino Linotype" w:hAnsi="Palatino Linotype" w:cs="Palatino Linotype"/>
          <w:b/>
          <w:sz w:val="22"/>
          <w:szCs w:val="22"/>
        </w:rPr>
        <w:t xml:space="preserve"> Considerandos Cuarto y Quinto </w:t>
      </w:r>
      <w:r>
        <w:rPr>
          <w:rFonts w:ascii="Palatino Linotype" w:eastAsia="Palatino Linotype" w:hAnsi="Palatino Linotype" w:cs="Palatino Linotype"/>
          <w:sz w:val="22"/>
          <w:szCs w:val="22"/>
        </w:rPr>
        <w:t xml:space="preserve">de esta resolución haga entrega a </w:t>
      </w:r>
      <w:r>
        <w:rPr>
          <w:rFonts w:ascii="Palatino Linotype" w:eastAsia="Palatino Linotype" w:hAnsi="Palatino Linotype" w:cs="Palatino Linotype"/>
          <w:b/>
          <w:sz w:val="22"/>
          <w:szCs w:val="22"/>
        </w:rPr>
        <w:t>la parte Recurrente a través del SAIMEX</w:t>
      </w:r>
      <w:r>
        <w:rPr>
          <w:rFonts w:ascii="Palatino Linotype" w:eastAsia="Palatino Linotype" w:hAnsi="Palatino Linotype" w:cs="Palatino Linotype"/>
          <w:sz w:val="22"/>
          <w:szCs w:val="22"/>
        </w:rPr>
        <w:t>, en versión pública de ser procedente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u w:val="single"/>
        </w:rPr>
        <w:t>del primero de enero de dos mil veintidós al ocho de octubre de dos mil veinticuatro</w:t>
      </w:r>
      <w:r>
        <w:rPr>
          <w:rFonts w:ascii="Palatino Linotype" w:eastAsia="Palatino Linotype" w:hAnsi="Palatino Linotype" w:cs="Palatino Linotype"/>
          <w:b/>
          <w:sz w:val="22"/>
          <w:szCs w:val="22"/>
        </w:rPr>
        <w:t xml:space="preserve">, los documentos donde conste </w:t>
      </w:r>
      <w:proofErr w:type="gramStart"/>
      <w:r>
        <w:rPr>
          <w:rFonts w:ascii="Palatino Linotype" w:eastAsia="Palatino Linotype" w:hAnsi="Palatino Linotype" w:cs="Palatino Linotype"/>
          <w:b/>
          <w:sz w:val="22"/>
          <w:szCs w:val="22"/>
        </w:rPr>
        <w:t>lo  siguiente</w:t>
      </w:r>
      <w:proofErr w:type="gramEnd"/>
      <w:r>
        <w:rPr>
          <w:rFonts w:ascii="Palatino Linotype" w:eastAsia="Palatino Linotype" w:hAnsi="Palatino Linotype" w:cs="Palatino Linotype"/>
          <w:b/>
          <w:sz w:val="22"/>
          <w:szCs w:val="22"/>
        </w:rPr>
        <w:t xml:space="preserve">: </w:t>
      </w:r>
    </w:p>
    <w:p w14:paraId="1FF440F4" w14:textId="77777777" w:rsidR="00710AB2" w:rsidRDefault="00391A68" w:rsidP="00F0354C">
      <w:pPr>
        <w:widowControl w:val="0"/>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 Monto erogado por siguientes gastos:</w:t>
      </w:r>
    </w:p>
    <w:p w14:paraId="786C8F21" w14:textId="77777777" w:rsidR="00710AB2" w:rsidRDefault="00391A68" w:rsidP="00F0354C">
      <w:pPr>
        <w:widowControl w:val="0"/>
        <w:spacing w:before="240" w:after="240"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económicos y en especie otorgados o destinados a actividades cívico - culturales y deportivas por el presidente municipal en la cabecera municipal y delegaciones.</w:t>
      </w:r>
    </w:p>
    <w:p w14:paraId="77BBD18E" w14:textId="77777777" w:rsidR="00710AB2" w:rsidRDefault="00391A68" w:rsidP="00F0354C">
      <w:pPr>
        <w:widowControl w:val="0"/>
        <w:spacing w:before="240" w:after="240"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económicos y en especie otorgados por el presidente municipal en la cabecera municipal y delegaciones.</w:t>
      </w:r>
    </w:p>
    <w:p w14:paraId="7B633C6D" w14:textId="77777777" w:rsidR="00710AB2" w:rsidRDefault="00391A68" w:rsidP="00F0354C">
      <w:pPr>
        <w:widowControl w:val="0"/>
        <w:spacing w:before="240" w:after="240"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Apoyos en especie otorgados a grupos voluntarios, grupos religiosos y </w:t>
      </w:r>
      <w:r>
        <w:rPr>
          <w:rFonts w:ascii="Palatino Linotype" w:eastAsia="Palatino Linotype" w:hAnsi="Palatino Linotype" w:cs="Palatino Linotype"/>
          <w:sz w:val="22"/>
          <w:szCs w:val="22"/>
        </w:rPr>
        <w:lastRenderedPageBreak/>
        <w:t>mayordomías por el presidente municipal en la cabecera municipal y delegaciones.</w:t>
      </w:r>
    </w:p>
    <w:p w14:paraId="29122DF1" w14:textId="77777777" w:rsidR="00710AB2" w:rsidRDefault="00391A68" w:rsidP="00F0354C">
      <w:pPr>
        <w:widowControl w:val="0"/>
        <w:spacing w:before="240" w:after="240"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Apoyos a mayordomías, grupos voluntarios y grupos religiosos otorgados por el presiente municipal en la cabecera municipal y delegaciones</w:t>
      </w:r>
    </w:p>
    <w:p w14:paraId="39793245" w14:textId="2654A122" w:rsidR="00710AB2" w:rsidRDefault="00391A68" w:rsidP="00F0354C">
      <w:pPr>
        <w:widowControl w:val="0"/>
        <w:spacing w:before="240" w:after="240"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b) En relación con</w:t>
      </w:r>
      <w:r w:rsidR="00132A2F">
        <w:rPr>
          <w:rFonts w:ascii="Palatino Linotype" w:eastAsia="Palatino Linotype" w:hAnsi="Palatino Linotype" w:cs="Palatino Linotype"/>
          <w:b/>
          <w:i/>
          <w:sz w:val="22"/>
          <w:szCs w:val="22"/>
        </w:rPr>
        <w:t xml:space="preserve"> la información que se ordena en</w:t>
      </w:r>
      <w:r>
        <w:rPr>
          <w:rFonts w:ascii="Palatino Linotype" w:eastAsia="Palatino Linotype" w:hAnsi="Palatino Linotype" w:cs="Palatino Linotype"/>
          <w:b/>
          <w:i/>
          <w:sz w:val="22"/>
          <w:szCs w:val="22"/>
        </w:rPr>
        <w:t xml:space="preserve"> el inciso a), las pólizas de egresos con su factura y documentación respaldo.</w:t>
      </w:r>
    </w:p>
    <w:p w14:paraId="798A51FC" w14:textId="77777777" w:rsidR="00710AB2" w:rsidRDefault="00391A68">
      <w:pPr>
        <w:spacing w:before="240"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Pr>
          <w:rFonts w:ascii="Palatino Linotype" w:eastAsia="Palatino Linotype" w:hAnsi="Palatino Linotype" w:cs="Palatino Linotype"/>
          <w:b/>
          <w:i/>
          <w:sz w:val="22"/>
          <w:szCs w:val="22"/>
        </w:rPr>
        <w:t>la parte Recurrente</w:t>
      </w:r>
      <w:r>
        <w:rPr>
          <w:rFonts w:ascii="Palatino Linotype" w:eastAsia="Palatino Linotype" w:hAnsi="Palatino Linotype" w:cs="Palatino Linotype"/>
          <w:i/>
          <w:sz w:val="22"/>
          <w:szCs w:val="22"/>
        </w:rPr>
        <w:t>.</w:t>
      </w:r>
    </w:p>
    <w:p w14:paraId="4A783758" w14:textId="3BA72DA3" w:rsidR="00710AB2" w:rsidRDefault="00391A68">
      <w:pPr>
        <w:pBdr>
          <w:top w:val="nil"/>
          <w:left w:val="nil"/>
          <w:bottom w:val="nil"/>
          <w:right w:val="nil"/>
          <w:between w:val="nil"/>
        </w:pBdr>
        <w:spacing w:before="240" w:line="276" w:lineRule="auto"/>
        <w:ind w:left="567" w:right="75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supuesto en el que </w:t>
      </w:r>
      <w:r w:rsidR="00F0354C" w:rsidRPr="00F0354C">
        <w:rPr>
          <w:rFonts w:ascii="Palatino Linotype" w:eastAsia="Palatino Linotype" w:hAnsi="Palatino Linotype" w:cs="Palatino Linotype"/>
          <w:b/>
          <w:i/>
          <w:sz w:val="22"/>
          <w:szCs w:val="22"/>
          <w:u w:val="single"/>
        </w:rPr>
        <w:t xml:space="preserve">dentro de alguno de los meses del periodo que se ordena la entrega de la información </w:t>
      </w:r>
      <w:r w:rsidRPr="00F0354C">
        <w:rPr>
          <w:rFonts w:ascii="Palatino Linotype" w:eastAsia="Palatino Linotype" w:hAnsi="Palatino Linotype" w:cs="Palatino Linotype"/>
          <w:b/>
          <w:i/>
          <w:sz w:val="22"/>
          <w:szCs w:val="22"/>
          <w:u w:val="single"/>
        </w:rPr>
        <w:t>no haya erogado</w:t>
      </w:r>
      <w:r>
        <w:rPr>
          <w:rFonts w:ascii="Palatino Linotype" w:eastAsia="Palatino Linotype" w:hAnsi="Palatino Linotype" w:cs="Palatino Linotype"/>
          <w:b/>
          <w:i/>
          <w:sz w:val="22"/>
          <w:szCs w:val="22"/>
          <w:u w:val="single"/>
        </w:rPr>
        <w:t xml:space="preserve"> recursos por concepto de apoyos descritos en el inciso a)</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 bastará con que así lo haga del conocimiento de </w:t>
      </w:r>
      <w:r>
        <w:rPr>
          <w:rFonts w:ascii="Palatino Linotype" w:eastAsia="Palatino Linotype" w:hAnsi="Palatino Linotype" w:cs="Palatino Linotype"/>
          <w:b/>
          <w:i/>
          <w:color w:val="000000"/>
          <w:sz w:val="22"/>
          <w:szCs w:val="22"/>
        </w:rPr>
        <w:t>la parte Recurrente</w:t>
      </w:r>
      <w:r>
        <w:rPr>
          <w:rFonts w:ascii="Palatino Linotype" w:eastAsia="Palatino Linotype" w:hAnsi="Palatino Linotype" w:cs="Palatino Linotype"/>
          <w:i/>
          <w:color w:val="000000"/>
          <w:sz w:val="22"/>
          <w:szCs w:val="22"/>
        </w:rPr>
        <w:t>, en términos del artículo 19, párrafo segundo de la Ley de Transparencia y Acceso a la Información Pública del Estado de México y Municipios.</w:t>
      </w:r>
    </w:p>
    <w:p w14:paraId="00EFFC1F"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vía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1A7D9E0" w14:textId="77777777" w:rsidR="00710AB2" w:rsidRDefault="00391A68">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Cuarto. </w:t>
      </w: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F5E2B15" w14:textId="77777777" w:rsidR="00710AB2" w:rsidRDefault="00391A68">
      <w:pPr>
        <w:spacing w:before="240" w:after="240" w:line="360" w:lineRule="auto"/>
        <w:jc w:val="both"/>
        <w:rPr>
          <w:rFonts w:ascii="Palatino Linotype" w:eastAsia="Palatino Linotype" w:hAnsi="Palatino Linotype" w:cs="Palatino Linotype"/>
          <w:sz w:val="22"/>
          <w:szCs w:val="22"/>
        </w:rPr>
      </w:pPr>
      <w:bookmarkStart w:id="6" w:name="_heading=h.tyjcwt" w:colFirst="0" w:colLast="0"/>
      <w:bookmarkEnd w:id="6"/>
      <w:r>
        <w:rPr>
          <w:rFonts w:ascii="Palatino Linotype" w:eastAsia="Palatino Linotype" w:hAnsi="Palatino Linotype" w:cs="Palatino Linotype"/>
          <w:b/>
          <w:sz w:val="22"/>
          <w:szCs w:val="22"/>
        </w:rPr>
        <w:t xml:space="preserve">Quinto. Notifíquese vía SAIMEX, </w:t>
      </w:r>
      <w:r>
        <w:rPr>
          <w:rFonts w:ascii="Palatino Linotype" w:eastAsia="Palatino Linotype" w:hAnsi="Palatino Linotype" w:cs="Palatino Linotype"/>
          <w:sz w:val="22"/>
          <w:szCs w:val="22"/>
        </w:rPr>
        <w:t>a</w:t>
      </w:r>
      <w:r>
        <w:rPr>
          <w:rFonts w:ascii="Palatino Linotype" w:eastAsia="Palatino Linotype" w:hAnsi="Palatino Linotype" w:cs="Palatino Linotype"/>
          <w:b/>
          <w:sz w:val="22"/>
          <w:szCs w:val="22"/>
        </w:rPr>
        <w:t xml:space="preserve"> la parte Recurrente</w:t>
      </w:r>
      <w:r>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0AA7BFA1" w14:textId="2D938A5A" w:rsidR="00710AB2" w:rsidRDefault="00391A68">
      <w:pPr>
        <w:spacing w:before="240" w:after="240" w:line="360" w:lineRule="auto"/>
        <w:jc w:val="both"/>
        <w:rPr>
          <w:rFonts w:ascii="Palatino Linotype" w:eastAsia="Palatino Linotype" w:hAnsi="Palatino Linotype" w:cs="Palatino Linotype"/>
        </w:rPr>
        <w:sectPr w:rsidR="00710AB2">
          <w:headerReference w:type="even" r:id="rId13"/>
          <w:headerReference w:type="default" r:id="rId14"/>
          <w:footerReference w:type="even" r:id="rId15"/>
          <w:footerReference w:type="default" r:id="rId16"/>
          <w:headerReference w:type="first" r:id="rId17"/>
          <w:footerReference w:type="first" r:id="rId18"/>
          <w:pgSz w:w="12240" w:h="15840"/>
          <w:pgMar w:top="621" w:right="1701" w:bottom="1701" w:left="1701" w:header="618" w:footer="709" w:gutter="0"/>
          <w:pgNumType w:start="1"/>
          <w:cols w:space="720"/>
          <w:titlePg/>
        </w:sect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Pr>
          <w:rFonts w:ascii="Palatino Linotype" w:eastAsia="Palatino Linotype" w:hAnsi="Palatino Linotype" w:cs="Palatino Linotype"/>
          <w:color w:val="000000"/>
        </w:rPr>
        <w:t xml:space="preserve">LA CUADRAGÉSIMA SEGUNDA SESIÓN ORDINARIA CELEBRADA EL CUATRO DE DICIEMBRE </w:t>
      </w:r>
      <w:r>
        <w:rPr>
          <w:rFonts w:ascii="Palatino Linotype" w:eastAsia="Palatino Linotype" w:hAnsi="Palatino Linotype" w:cs="Palatino Linotype"/>
        </w:rPr>
        <w:t>DE DOS MIL VEINTICUATRO, ANTE EL SECRETARIO TÉCNICO DEL PLENO, ALEXIS TAPIA RAMÍREZ.</w:t>
      </w:r>
    </w:p>
    <w:p w14:paraId="606F2A13" w14:textId="77777777" w:rsidR="00710AB2" w:rsidRDefault="00710AB2">
      <w:pPr>
        <w:spacing w:before="240" w:after="240"/>
        <w:jc w:val="both"/>
        <w:rPr>
          <w:rFonts w:ascii="Palatino Linotype" w:eastAsia="Palatino Linotype" w:hAnsi="Palatino Linotype" w:cs="Palatino Linotype"/>
          <w:sz w:val="20"/>
          <w:szCs w:val="20"/>
        </w:rPr>
      </w:pPr>
    </w:p>
    <w:p w14:paraId="23AE09A6" w14:textId="77777777" w:rsidR="00710AB2" w:rsidRDefault="00710AB2">
      <w:pPr>
        <w:spacing w:before="240" w:after="240"/>
        <w:jc w:val="both"/>
        <w:rPr>
          <w:rFonts w:ascii="Palatino Linotype" w:eastAsia="Palatino Linotype" w:hAnsi="Palatino Linotype" w:cs="Palatino Linotype"/>
          <w:sz w:val="20"/>
          <w:szCs w:val="20"/>
        </w:rPr>
      </w:pPr>
      <w:bookmarkStart w:id="7" w:name="_heading=h.1fob9te" w:colFirst="0" w:colLast="0"/>
      <w:bookmarkEnd w:id="7"/>
    </w:p>
    <w:sectPr w:rsidR="00710AB2">
      <w:headerReference w:type="first" r:id="rId19"/>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1775" w14:textId="77777777" w:rsidR="001878B0" w:rsidRDefault="001878B0">
      <w:r>
        <w:separator/>
      </w:r>
    </w:p>
  </w:endnote>
  <w:endnote w:type="continuationSeparator" w:id="0">
    <w:p w14:paraId="771D40FF" w14:textId="77777777" w:rsidR="001878B0" w:rsidRDefault="0018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EE30" w14:textId="77777777" w:rsidR="00710AB2" w:rsidRDefault="00710AB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B7F9" w14:textId="77777777" w:rsidR="00710AB2" w:rsidRDefault="00391A6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78A7">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78A7">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4F338454" w14:textId="77777777" w:rsidR="00710AB2" w:rsidRDefault="00710AB2">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06685F30" w14:textId="77777777" w:rsidR="00710AB2" w:rsidRDefault="00710AB2"/>
  <w:p w14:paraId="6D1871A7" w14:textId="77777777" w:rsidR="00710AB2" w:rsidRDefault="00710A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5C21" w14:textId="77777777" w:rsidR="00710AB2" w:rsidRDefault="00391A6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78A7">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78A7">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7E6D56B2" w14:textId="77777777" w:rsidR="00710AB2" w:rsidRDefault="00710AB2">
    <w:pPr>
      <w:pBdr>
        <w:top w:val="nil"/>
        <w:left w:val="nil"/>
        <w:bottom w:val="nil"/>
        <w:right w:val="nil"/>
        <w:between w:val="nil"/>
      </w:pBdr>
      <w:tabs>
        <w:tab w:val="center" w:pos="4252"/>
        <w:tab w:val="right" w:pos="8504"/>
      </w:tabs>
      <w:rPr>
        <w:rFonts w:ascii="Cambria" w:eastAsia="Cambria" w:hAnsi="Cambria" w:cs="Cambria"/>
        <w:color w:val="000000"/>
      </w:rPr>
    </w:pPr>
  </w:p>
  <w:p w14:paraId="43A3DC7B" w14:textId="77777777" w:rsidR="00710AB2" w:rsidRDefault="00710AB2"/>
  <w:p w14:paraId="004E313B" w14:textId="77777777" w:rsidR="00710AB2" w:rsidRDefault="00710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9808" w14:textId="77777777" w:rsidR="001878B0" w:rsidRDefault="001878B0">
      <w:r>
        <w:separator/>
      </w:r>
    </w:p>
  </w:footnote>
  <w:footnote w:type="continuationSeparator" w:id="0">
    <w:p w14:paraId="334971BC" w14:textId="77777777" w:rsidR="001878B0" w:rsidRDefault="001878B0">
      <w:r>
        <w:continuationSeparator/>
      </w:r>
    </w:p>
  </w:footnote>
  <w:footnote w:id="1">
    <w:p w14:paraId="6C295A36" w14:textId="77777777" w:rsidR="00710AB2" w:rsidRDefault="00391A68">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976AFAC" w14:textId="77777777" w:rsidR="00710AB2" w:rsidRDefault="00391A6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93E1C3F" w14:textId="77777777" w:rsidR="00710AB2" w:rsidRDefault="00391A68">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ECE70A8" w14:textId="77777777" w:rsidR="00710AB2" w:rsidRDefault="00391A68">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C469" w14:textId="77777777" w:rsidR="00710AB2" w:rsidRDefault="00710AB2">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5C07" w14:textId="77777777" w:rsidR="00710AB2" w:rsidRDefault="00391A68">
    <w:pPr>
      <w:rPr>
        <w:rFonts w:ascii="Cambria" w:eastAsia="Cambria" w:hAnsi="Cambria" w:cs="Cambria"/>
        <w:color w:val="000000"/>
      </w:rPr>
    </w:pPr>
    <w:r>
      <w:rPr>
        <w:noProof/>
      </w:rPr>
      <w:drawing>
        <wp:anchor distT="0" distB="0" distL="0" distR="0" simplePos="0" relativeHeight="251658240" behindDoc="1" locked="0" layoutInCell="1" hidden="0" allowOverlap="1" wp14:anchorId="10A4E843" wp14:editId="216F0957">
          <wp:simplePos x="0" y="0"/>
          <wp:positionH relativeFrom="column">
            <wp:posOffset>-1080123</wp:posOffset>
          </wp:positionH>
          <wp:positionV relativeFrom="paragraph">
            <wp:posOffset>-234299</wp:posOffset>
          </wp:positionV>
          <wp:extent cx="7809865" cy="10165715"/>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f2"/>
      <w:tblW w:w="6520" w:type="dxa"/>
      <w:tblInd w:w="3261" w:type="dxa"/>
      <w:tblLayout w:type="fixed"/>
      <w:tblLook w:val="0400" w:firstRow="0" w:lastRow="0" w:firstColumn="0" w:lastColumn="0" w:noHBand="0" w:noVBand="1"/>
    </w:tblPr>
    <w:tblGrid>
      <w:gridCol w:w="2390"/>
      <w:gridCol w:w="4130"/>
    </w:tblGrid>
    <w:tr w:rsidR="00710AB2" w14:paraId="48F9B223" w14:textId="77777777">
      <w:trPr>
        <w:trHeight w:val="502"/>
      </w:trPr>
      <w:tc>
        <w:tcPr>
          <w:tcW w:w="2390" w:type="dxa"/>
          <w:shd w:val="clear" w:color="auto" w:fill="auto"/>
        </w:tcPr>
        <w:p w14:paraId="47196544"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0" w:type="dxa"/>
          <w:shd w:val="clear" w:color="auto" w:fill="auto"/>
          <w:vAlign w:val="center"/>
        </w:tcPr>
        <w:p w14:paraId="344EAAC2" w14:textId="77777777" w:rsidR="00710AB2" w:rsidRDefault="00391A68">
          <w:pPr>
            <w:ind w:right="1019"/>
            <w:jc w:val="both"/>
            <w:rPr>
              <w:rFonts w:ascii="Palatino Linotype" w:eastAsia="Palatino Linotype" w:hAnsi="Palatino Linotype" w:cs="Palatino Linotype"/>
              <w:b/>
            </w:rPr>
          </w:pPr>
          <w:r>
            <w:rPr>
              <w:rFonts w:ascii="Palatino Linotype" w:eastAsia="Palatino Linotype" w:hAnsi="Palatino Linotype" w:cs="Palatino Linotype"/>
              <w:b/>
            </w:rPr>
            <w:t>06874/INFOEM/IP/RR/2024 y acumulados</w:t>
          </w:r>
        </w:p>
      </w:tc>
    </w:tr>
    <w:tr w:rsidR="00710AB2" w14:paraId="7433E585" w14:textId="77777777">
      <w:trPr>
        <w:trHeight w:val="190"/>
      </w:trPr>
      <w:tc>
        <w:tcPr>
          <w:tcW w:w="2390" w:type="dxa"/>
          <w:shd w:val="clear" w:color="auto" w:fill="auto"/>
          <w:vAlign w:val="center"/>
        </w:tcPr>
        <w:p w14:paraId="2E33C481"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0" w:type="dxa"/>
          <w:shd w:val="clear" w:color="auto" w:fill="auto"/>
          <w:vAlign w:val="center"/>
        </w:tcPr>
        <w:p w14:paraId="13064FE6" w14:textId="77777777" w:rsidR="00710AB2" w:rsidRDefault="00391A68">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710AB2" w14:paraId="4B13E5C6" w14:textId="77777777">
      <w:trPr>
        <w:trHeight w:val="251"/>
      </w:trPr>
      <w:tc>
        <w:tcPr>
          <w:tcW w:w="2390" w:type="dxa"/>
          <w:shd w:val="clear" w:color="auto" w:fill="auto"/>
          <w:vAlign w:val="center"/>
        </w:tcPr>
        <w:p w14:paraId="05F91DA6" w14:textId="77777777" w:rsidR="00710AB2" w:rsidRDefault="00391A68">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0" w:type="dxa"/>
          <w:shd w:val="clear" w:color="auto" w:fill="auto"/>
          <w:vAlign w:val="center"/>
        </w:tcPr>
        <w:p w14:paraId="40F3265F" w14:textId="77777777" w:rsidR="00710AB2" w:rsidRDefault="00391A68">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562BFE9" w14:textId="77777777" w:rsidR="00710AB2" w:rsidRDefault="00391A68">
    <w:pPr>
      <w:rPr>
        <w:rFonts w:ascii="Cambria" w:eastAsia="Cambria" w:hAnsi="Cambria" w:cs="Cambria"/>
        <w:color w:val="000000"/>
      </w:rPr>
    </w:pPr>
    <w:r>
      <w:tab/>
    </w:r>
  </w:p>
  <w:p w14:paraId="48692576" w14:textId="77777777" w:rsidR="00710AB2" w:rsidRDefault="00391A68">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AB64" w14:textId="77777777" w:rsidR="00710AB2" w:rsidRDefault="00391A6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BC60E85" wp14:editId="3827DBD5">
          <wp:simplePos x="0" y="0"/>
          <wp:positionH relativeFrom="column">
            <wp:posOffset>-934921</wp:posOffset>
          </wp:positionH>
          <wp:positionV relativeFrom="paragraph">
            <wp:posOffset>-357602</wp:posOffset>
          </wp:positionV>
          <wp:extent cx="7809865" cy="10165715"/>
          <wp:effectExtent l="0" t="0" r="0" b="0"/>
          <wp:wrapNone/>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f3"/>
      <w:tblW w:w="6378" w:type="dxa"/>
      <w:tblInd w:w="3261" w:type="dxa"/>
      <w:tblLayout w:type="fixed"/>
      <w:tblLook w:val="0400" w:firstRow="0" w:lastRow="0" w:firstColumn="0" w:lastColumn="0" w:noHBand="0" w:noVBand="1"/>
    </w:tblPr>
    <w:tblGrid>
      <w:gridCol w:w="2512"/>
      <w:gridCol w:w="3866"/>
    </w:tblGrid>
    <w:tr w:rsidR="00710AB2" w14:paraId="183DFA7A" w14:textId="77777777">
      <w:trPr>
        <w:trHeight w:val="442"/>
      </w:trPr>
      <w:tc>
        <w:tcPr>
          <w:tcW w:w="2512" w:type="dxa"/>
          <w:shd w:val="clear" w:color="auto" w:fill="auto"/>
          <w:vAlign w:val="center"/>
        </w:tcPr>
        <w:p w14:paraId="5374CD87"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42FDA8B5" w14:textId="77777777" w:rsidR="00710AB2" w:rsidRDefault="00391A68">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06874/INFOEM/IP/RR/2024y acumulados</w:t>
          </w:r>
        </w:p>
      </w:tc>
    </w:tr>
    <w:tr w:rsidR="00710AB2" w14:paraId="7798404E" w14:textId="77777777">
      <w:trPr>
        <w:trHeight w:val="95"/>
      </w:trPr>
      <w:tc>
        <w:tcPr>
          <w:tcW w:w="2512" w:type="dxa"/>
          <w:shd w:val="clear" w:color="auto" w:fill="auto"/>
          <w:vAlign w:val="center"/>
        </w:tcPr>
        <w:p w14:paraId="1CBEE22E"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61F7B99A" w14:textId="77777777" w:rsidR="00710AB2" w:rsidRDefault="00710AB2">
          <w:pPr>
            <w:jc w:val="both"/>
            <w:rPr>
              <w:rFonts w:ascii="Palatino Linotype" w:eastAsia="Palatino Linotype" w:hAnsi="Palatino Linotype" w:cs="Palatino Linotype"/>
              <w:b/>
            </w:rPr>
          </w:pPr>
        </w:p>
      </w:tc>
    </w:tr>
    <w:tr w:rsidR="00710AB2" w14:paraId="3271616B" w14:textId="77777777">
      <w:trPr>
        <w:trHeight w:val="168"/>
      </w:trPr>
      <w:tc>
        <w:tcPr>
          <w:tcW w:w="2512" w:type="dxa"/>
          <w:shd w:val="clear" w:color="auto" w:fill="auto"/>
          <w:vAlign w:val="center"/>
        </w:tcPr>
        <w:p w14:paraId="26E7D7BD"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274C3A9D" w14:textId="77777777" w:rsidR="00710AB2" w:rsidRDefault="00391A68">
          <w:pPr>
            <w:ind w:left="-45" w:right="310"/>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710AB2" w14:paraId="224E7ABC" w14:textId="77777777">
      <w:trPr>
        <w:trHeight w:val="221"/>
      </w:trPr>
      <w:tc>
        <w:tcPr>
          <w:tcW w:w="2512" w:type="dxa"/>
          <w:shd w:val="clear" w:color="auto" w:fill="auto"/>
          <w:vAlign w:val="center"/>
        </w:tcPr>
        <w:p w14:paraId="42B30B2E" w14:textId="77777777" w:rsidR="00710AB2" w:rsidRDefault="00391A68">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69C0BE39" w14:textId="77777777" w:rsidR="00710AB2" w:rsidRDefault="00391A68">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7C73299" w14:textId="77777777" w:rsidR="00710AB2" w:rsidRDefault="00710A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2"/>
      <w:tblW w:w="6520" w:type="dxa"/>
      <w:tblInd w:w="3261" w:type="dxa"/>
      <w:tblLayout w:type="fixed"/>
      <w:tblLook w:val="0400" w:firstRow="0" w:lastRow="0" w:firstColumn="0" w:lastColumn="0" w:noHBand="0" w:noVBand="1"/>
    </w:tblPr>
    <w:tblGrid>
      <w:gridCol w:w="2390"/>
      <w:gridCol w:w="4130"/>
    </w:tblGrid>
    <w:tr w:rsidR="00472F9E" w14:paraId="54703790" w14:textId="77777777" w:rsidTr="00EA6028">
      <w:trPr>
        <w:trHeight w:val="502"/>
      </w:trPr>
      <w:tc>
        <w:tcPr>
          <w:tcW w:w="2390" w:type="dxa"/>
          <w:shd w:val="clear" w:color="auto" w:fill="auto"/>
        </w:tcPr>
        <w:p w14:paraId="5AA31BBE" w14:textId="77777777" w:rsidR="00472F9E" w:rsidRDefault="00472F9E" w:rsidP="00472F9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0" w:type="dxa"/>
          <w:shd w:val="clear" w:color="auto" w:fill="auto"/>
          <w:vAlign w:val="center"/>
        </w:tcPr>
        <w:p w14:paraId="3E6C1BB8" w14:textId="77777777" w:rsidR="00472F9E" w:rsidRDefault="00472F9E" w:rsidP="00472F9E">
          <w:pPr>
            <w:ind w:right="1019"/>
            <w:jc w:val="both"/>
            <w:rPr>
              <w:rFonts w:ascii="Palatino Linotype" w:eastAsia="Palatino Linotype" w:hAnsi="Palatino Linotype" w:cs="Palatino Linotype"/>
              <w:b/>
            </w:rPr>
          </w:pPr>
          <w:r>
            <w:rPr>
              <w:rFonts w:ascii="Palatino Linotype" w:eastAsia="Palatino Linotype" w:hAnsi="Palatino Linotype" w:cs="Palatino Linotype"/>
              <w:b/>
            </w:rPr>
            <w:t>06874/INFOEM/IP/RR/2024 y acumulados</w:t>
          </w:r>
        </w:p>
      </w:tc>
    </w:tr>
    <w:tr w:rsidR="00472F9E" w14:paraId="5AD6E304" w14:textId="77777777" w:rsidTr="00EA6028">
      <w:trPr>
        <w:trHeight w:val="190"/>
      </w:trPr>
      <w:tc>
        <w:tcPr>
          <w:tcW w:w="2390" w:type="dxa"/>
          <w:shd w:val="clear" w:color="auto" w:fill="auto"/>
          <w:vAlign w:val="center"/>
        </w:tcPr>
        <w:p w14:paraId="7010615B" w14:textId="77777777" w:rsidR="00472F9E" w:rsidRDefault="00472F9E" w:rsidP="00472F9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0" w:type="dxa"/>
          <w:shd w:val="clear" w:color="auto" w:fill="auto"/>
          <w:vAlign w:val="center"/>
        </w:tcPr>
        <w:p w14:paraId="3F73DC4A" w14:textId="77777777" w:rsidR="00472F9E" w:rsidRDefault="00472F9E" w:rsidP="00472F9E">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472F9E" w14:paraId="26556440" w14:textId="77777777" w:rsidTr="00EA6028">
      <w:trPr>
        <w:trHeight w:val="251"/>
      </w:trPr>
      <w:tc>
        <w:tcPr>
          <w:tcW w:w="2390" w:type="dxa"/>
          <w:shd w:val="clear" w:color="auto" w:fill="auto"/>
          <w:vAlign w:val="center"/>
        </w:tcPr>
        <w:p w14:paraId="00CFEC05" w14:textId="77777777" w:rsidR="00472F9E" w:rsidRDefault="00472F9E" w:rsidP="00472F9E">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0" w:type="dxa"/>
          <w:shd w:val="clear" w:color="auto" w:fill="auto"/>
          <w:vAlign w:val="center"/>
        </w:tcPr>
        <w:p w14:paraId="439E2DF2" w14:textId="77777777" w:rsidR="00472F9E" w:rsidRDefault="00472F9E" w:rsidP="00472F9E">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9E284E6" w14:textId="060E7EFA" w:rsidR="00710AB2" w:rsidRDefault="00472F9E">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61312" behindDoc="1" locked="0" layoutInCell="1" hidden="0" allowOverlap="1" wp14:anchorId="7529DEE9" wp14:editId="46E192FA">
          <wp:simplePos x="0" y="0"/>
          <wp:positionH relativeFrom="page">
            <wp:align>left</wp:align>
          </wp:positionH>
          <wp:positionV relativeFrom="paragraph">
            <wp:posOffset>-1229360</wp:posOffset>
          </wp:positionV>
          <wp:extent cx="7809865" cy="10165715"/>
          <wp:effectExtent l="0" t="0" r="635" b="6985"/>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3FE"/>
    <w:multiLevelType w:val="multilevel"/>
    <w:tmpl w:val="02D05D4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884490"/>
    <w:multiLevelType w:val="multilevel"/>
    <w:tmpl w:val="27AE842A"/>
    <w:lvl w:ilvl="0">
      <w:start w:val="1"/>
      <w:numFmt w:val="low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B2"/>
    <w:rsid w:val="000B2316"/>
    <w:rsid w:val="00120375"/>
    <w:rsid w:val="00132A2F"/>
    <w:rsid w:val="001878B0"/>
    <w:rsid w:val="001E07F4"/>
    <w:rsid w:val="00294055"/>
    <w:rsid w:val="002A3648"/>
    <w:rsid w:val="002F1C48"/>
    <w:rsid w:val="00391A68"/>
    <w:rsid w:val="00472F9E"/>
    <w:rsid w:val="004F6C55"/>
    <w:rsid w:val="005A1D44"/>
    <w:rsid w:val="006278A7"/>
    <w:rsid w:val="00710AB2"/>
    <w:rsid w:val="00807F32"/>
    <w:rsid w:val="009832C6"/>
    <w:rsid w:val="00ED3D51"/>
    <w:rsid w:val="00EE5EEE"/>
    <w:rsid w:val="00F03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7CCF"/>
  <w15:docId w15:val="{5497B96C-68A7-4900-B23D-27632268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a"/>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a"/>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9"/>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8"/>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top w:w="15" w:type="dxa"/>
        <w:left w:w="15" w:type="dxa"/>
        <w:bottom w:w="15" w:type="dxa"/>
        <w:right w:w="15" w:type="dxa"/>
      </w:tblCellMar>
    </w:tblPr>
  </w:style>
  <w:style w:type="table" w:customStyle="1" w:styleId="aff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3"/>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7">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2"/>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a">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b">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c">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d">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e">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0">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1">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2">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f3">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lson.correa@infoem.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6tVe8O+8yAg0E2Osx7/ZcG78Q==">CgMxLjAyCGguZ2pkZ3hzMgloLjMwajB6bGwyCWguM2R5NnZrbTIIaC5sbnhiejkyCWguNGQzNG9nODIJaC4zem55c2g3MghoLnR5amN3dDIJaC4xZm9iOXRlOAByITFzbmJncVo4UE5zanI0MHJnTmoyRjJwWmF1MTl5RU1xUg==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14257</Words>
  <Characters>78416</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2024-12-06T16:44:00Z</cp:lastPrinted>
  <dcterms:created xsi:type="dcterms:W3CDTF">2025-01-14T23:05:00Z</dcterms:created>
  <dcterms:modified xsi:type="dcterms:W3CDTF">2025-01-14T23:05:00Z</dcterms:modified>
</cp:coreProperties>
</file>