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CD2" w:rsidRPr="0020774E" w:rsidRDefault="00443924">
      <w:pPr>
        <w:shd w:val="clear" w:color="auto" w:fill="FFFFFF"/>
        <w:spacing w:after="0" w:line="360" w:lineRule="auto"/>
        <w:jc w:val="both"/>
        <w:rPr>
          <w:rFonts w:ascii="Palatino Linotype" w:eastAsia="Times New Roman" w:hAnsi="Palatino Linotype" w:cs="Arial"/>
          <w:color w:val="000000" w:themeColor="text1"/>
          <w:sz w:val="24"/>
          <w:szCs w:val="24"/>
          <w:lang w:eastAsia="es-MX"/>
        </w:rPr>
      </w:pPr>
      <w:bookmarkStart w:id="0" w:name="_GoBack"/>
      <w:bookmarkEnd w:id="0"/>
      <w:r w:rsidRPr="0020774E">
        <w:rPr>
          <w:rFonts w:ascii="Palatino Linotype" w:eastAsia="Times New Roman" w:hAnsi="Palatino Linotype" w:cs="Arial"/>
          <w:color w:val="000000" w:themeColor="text1"/>
          <w:sz w:val="24"/>
          <w:szCs w:val="24"/>
          <w:lang w:eastAsia="es-MX"/>
        </w:rPr>
        <w:t xml:space="preserve">Resolución del Pleno del Instituto de Transparencia, Acceso a la Información Pública y Protección de Datos Personales del Estado de México y Municipios, con </w:t>
      </w:r>
      <w:r w:rsidR="00412F31">
        <w:rPr>
          <w:rFonts w:ascii="Palatino Linotype" w:eastAsia="Times New Roman" w:hAnsi="Palatino Linotype" w:cs="Arial"/>
          <w:color w:val="000000" w:themeColor="text1"/>
          <w:sz w:val="24"/>
          <w:szCs w:val="24"/>
          <w:lang w:eastAsia="es-MX"/>
        </w:rPr>
        <w:t>5113</w:t>
      </w:r>
      <w:r w:rsidR="00412F31">
        <w:rPr>
          <w:rFonts w:ascii="Palatino Linotype" w:eastAsia="Times New Roman" w:hAnsi="Palatino Linotype" w:cs="Arial"/>
          <w:color w:val="000000" w:themeColor="text1"/>
          <w:sz w:val="24"/>
          <w:szCs w:val="24"/>
          <w:lang w:eastAsia="es-MX"/>
        </w:rPr>
        <w:tab/>
        <w:t>5114</w:t>
      </w:r>
      <w:r w:rsidRPr="0020774E">
        <w:rPr>
          <w:rFonts w:ascii="Palatino Linotype" w:eastAsia="Times New Roman" w:hAnsi="Palatino Linotype" w:cs="Arial"/>
          <w:color w:val="000000" w:themeColor="text1"/>
          <w:sz w:val="24"/>
          <w:szCs w:val="24"/>
          <w:lang w:eastAsia="es-MX"/>
        </w:rPr>
        <w:t>domicilio en Metepec</w:t>
      </w:r>
      <w:r w:rsidR="008060A8" w:rsidRPr="0020774E">
        <w:rPr>
          <w:rFonts w:ascii="Palatino Linotype" w:eastAsia="Times New Roman" w:hAnsi="Palatino Linotype" w:cs="Arial"/>
          <w:color w:val="000000" w:themeColor="text1"/>
          <w:sz w:val="24"/>
          <w:szCs w:val="24"/>
          <w:lang w:eastAsia="es-MX"/>
        </w:rPr>
        <w:t>, Estado de México, de once (11)</w:t>
      </w:r>
      <w:r w:rsidRPr="0020774E">
        <w:rPr>
          <w:rFonts w:ascii="Palatino Linotype" w:eastAsia="Times New Roman" w:hAnsi="Palatino Linotype" w:cs="Arial"/>
          <w:color w:val="000000" w:themeColor="text1"/>
          <w:sz w:val="24"/>
          <w:szCs w:val="24"/>
          <w:lang w:eastAsia="es-MX"/>
        </w:rPr>
        <w:t xml:space="preserve"> de </w:t>
      </w:r>
      <w:r w:rsidR="008060A8" w:rsidRPr="0020774E">
        <w:rPr>
          <w:rFonts w:ascii="Palatino Linotype" w:eastAsia="Times New Roman" w:hAnsi="Palatino Linotype" w:cs="Arial"/>
          <w:color w:val="000000" w:themeColor="text1"/>
          <w:sz w:val="24"/>
          <w:szCs w:val="24"/>
          <w:lang w:eastAsia="es-MX"/>
        </w:rPr>
        <w:t>septiembre</w:t>
      </w:r>
      <w:r w:rsidRPr="0020774E">
        <w:rPr>
          <w:rFonts w:ascii="Palatino Linotype" w:eastAsia="Times New Roman" w:hAnsi="Palatino Linotype" w:cs="Arial"/>
          <w:color w:val="000000" w:themeColor="text1"/>
          <w:sz w:val="24"/>
          <w:szCs w:val="24"/>
          <w:lang w:eastAsia="es-MX"/>
        </w:rPr>
        <w:t xml:space="preserve"> de dos mil veinticuatro.</w:t>
      </w:r>
    </w:p>
    <w:p w:rsidR="006D6CD2" w:rsidRPr="0020774E" w:rsidRDefault="006D6CD2">
      <w:pPr>
        <w:shd w:val="clear" w:color="auto" w:fill="FFFFFF"/>
        <w:spacing w:after="0" w:line="360" w:lineRule="auto"/>
        <w:jc w:val="both"/>
        <w:rPr>
          <w:rFonts w:ascii="Palatino Linotype" w:eastAsia="Times New Roman" w:hAnsi="Palatino Linotype" w:cs="Arial"/>
          <w:color w:val="000000" w:themeColor="text1"/>
          <w:sz w:val="24"/>
          <w:szCs w:val="24"/>
          <w:lang w:eastAsia="es-MX"/>
        </w:rPr>
      </w:pPr>
    </w:p>
    <w:p w:rsidR="006D6CD2" w:rsidRPr="0020774E" w:rsidRDefault="00443924">
      <w:pPr>
        <w:tabs>
          <w:tab w:val="left" w:pos="1701"/>
        </w:tabs>
        <w:spacing w:after="0" w:line="360" w:lineRule="auto"/>
        <w:jc w:val="both"/>
        <w:rPr>
          <w:rFonts w:ascii="Palatino Linotype" w:hAnsi="Palatino Linotype" w:cs="Arial"/>
          <w:b/>
          <w:color w:val="000000" w:themeColor="text1"/>
          <w:sz w:val="24"/>
          <w:szCs w:val="24"/>
        </w:rPr>
      </w:pPr>
      <w:r w:rsidRPr="0020774E">
        <w:rPr>
          <w:rFonts w:ascii="Palatino Linotype" w:hAnsi="Palatino Linotype" w:cs="Arial"/>
          <w:b/>
          <w:color w:val="000000" w:themeColor="text1"/>
          <w:sz w:val="24"/>
          <w:szCs w:val="24"/>
        </w:rPr>
        <w:t>VISTO</w:t>
      </w:r>
      <w:r w:rsidRPr="0020774E">
        <w:rPr>
          <w:rFonts w:ascii="Palatino Linotype" w:hAnsi="Palatino Linotype" w:cs="Arial"/>
          <w:color w:val="000000" w:themeColor="text1"/>
          <w:sz w:val="24"/>
          <w:szCs w:val="24"/>
        </w:rPr>
        <w:t xml:space="preserve"> el expediente electrónico de</w:t>
      </w:r>
      <w:r w:rsidR="00E232DD">
        <w:rPr>
          <w:rFonts w:ascii="Palatino Linotype" w:hAnsi="Palatino Linotype" w:cs="Arial"/>
          <w:color w:val="000000" w:themeColor="text1"/>
          <w:sz w:val="24"/>
          <w:szCs w:val="24"/>
        </w:rPr>
        <w:t xml:space="preserve"> </w:t>
      </w:r>
      <w:r w:rsidRPr="0020774E">
        <w:rPr>
          <w:rFonts w:ascii="Palatino Linotype" w:hAnsi="Palatino Linotype" w:cs="Arial"/>
          <w:color w:val="000000" w:themeColor="text1"/>
          <w:sz w:val="24"/>
          <w:szCs w:val="24"/>
        </w:rPr>
        <w:t>l</w:t>
      </w:r>
      <w:r w:rsidR="00E232DD">
        <w:rPr>
          <w:rFonts w:ascii="Palatino Linotype" w:hAnsi="Palatino Linotype" w:cs="Arial"/>
          <w:color w:val="000000" w:themeColor="text1"/>
          <w:sz w:val="24"/>
          <w:szCs w:val="24"/>
        </w:rPr>
        <w:t>os</w:t>
      </w:r>
      <w:r w:rsidRPr="0020774E">
        <w:rPr>
          <w:rFonts w:ascii="Palatino Linotype" w:hAnsi="Palatino Linotype" w:cs="Arial"/>
          <w:color w:val="000000" w:themeColor="text1"/>
          <w:sz w:val="24"/>
          <w:szCs w:val="24"/>
        </w:rPr>
        <w:t xml:space="preserve"> recurso</w:t>
      </w:r>
      <w:r w:rsidR="00E232DD">
        <w:rPr>
          <w:rFonts w:ascii="Palatino Linotype" w:hAnsi="Palatino Linotype" w:cs="Arial"/>
          <w:color w:val="000000" w:themeColor="text1"/>
          <w:sz w:val="24"/>
          <w:szCs w:val="24"/>
        </w:rPr>
        <w:t>s</w:t>
      </w:r>
      <w:r w:rsidRPr="0020774E">
        <w:rPr>
          <w:rFonts w:ascii="Palatino Linotype" w:hAnsi="Palatino Linotype" w:cs="Arial"/>
          <w:color w:val="000000" w:themeColor="text1"/>
          <w:sz w:val="24"/>
          <w:szCs w:val="24"/>
        </w:rPr>
        <w:t xml:space="preserve"> de revisión con número </w:t>
      </w:r>
      <w:r w:rsidRPr="0020774E">
        <w:rPr>
          <w:rFonts w:ascii="Palatino Linotype" w:hAnsi="Palatino Linotype" w:cs="Arial"/>
          <w:b/>
          <w:color w:val="000000" w:themeColor="text1"/>
          <w:sz w:val="24"/>
          <w:szCs w:val="24"/>
        </w:rPr>
        <w:t>05113</w:t>
      </w:r>
      <w:r w:rsidRPr="0020774E">
        <w:rPr>
          <w:rFonts w:ascii="Palatino Linotype" w:hAnsi="Palatino Linotype" w:cs="Arial"/>
          <w:b/>
          <w:bCs/>
          <w:color w:val="000000" w:themeColor="text1"/>
          <w:sz w:val="24"/>
          <w:szCs w:val="24"/>
          <w:lang w:eastAsia="es-MX"/>
        </w:rPr>
        <w:t>/INFOEM/IP/RR/2024</w:t>
      </w:r>
      <w:r w:rsidR="00E232DD">
        <w:rPr>
          <w:rFonts w:ascii="Palatino Linotype" w:hAnsi="Palatino Linotype" w:cs="Arial"/>
          <w:b/>
          <w:bCs/>
          <w:color w:val="000000" w:themeColor="text1"/>
          <w:sz w:val="24"/>
          <w:szCs w:val="24"/>
          <w:lang w:eastAsia="es-MX"/>
        </w:rPr>
        <w:t xml:space="preserve"> y </w:t>
      </w:r>
      <w:r w:rsidR="00E232DD" w:rsidRPr="009A4E15">
        <w:rPr>
          <w:rFonts w:ascii="Palatino Linotype" w:hAnsi="Palatino Linotype" w:cs="Arial"/>
          <w:b/>
          <w:color w:val="000000" w:themeColor="text1"/>
          <w:sz w:val="24"/>
          <w:szCs w:val="24"/>
        </w:rPr>
        <w:t>05114</w:t>
      </w:r>
      <w:r w:rsidR="00E232DD" w:rsidRPr="009A4E15">
        <w:rPr>
          <w:rFonts w:ascii="Palatino Linotype" w:hAnsi="Palatino Linotype" w:cs="Arial"/>
          <w:b/>
          <w:bCs/>
          <w:color w:val="000000" w:themeColor="text1"/>
          <w:sz w:val="24"/>
          <w:szCs w:val="24"/>
          <w:lang w:eastAsia="es-MX"/>
        </w:rPr>
        <w:t>/INFOEM/IP/RR/2024</w:t>
      </w:r>
      <w:r w:rsidRPr="009A4E15">
        <w:rPr>
          <w:rFonts w:ascii="Palatino Linotype" w:hAnsi="Palatino Linotype" w:cs="Arial"/>
          <w:color w:val="000000" w:themeColor="text1"/>
          <w:sz w:val="24"/>
          <w:szCs w:val="24"/>
        </w:rPr>
        <w:t>,</w:t>
      </w:r>
      <w:r w:rsidRPr="0020774E">
        <w:rPr>
          <w:rFonts w:ascii="Palatino Linotype" w:hAnsi="Palatino Linotype" w:cs="Arial"/>
          <w:color w:val="000000" w:themeColor="text1"/>
          <w:sz w:val="24"/>
          <w:szCs w:val="24"/>
        </w:rPr>
        <w:t xml:space="preserve"> </w:t>
      </w:r>
      <w:r w:rsidRPr="0020774E">
        <w:rPr>
          <w:rFonts w:ascii="Palatino Linotype" w:eastAsia="Palatino Linotype" w:hAnsi="Palatino Linotype" w:cs="Palatino Linotype"/>
          <w:color w:val="000000" w:themeColor="text1"/>
          <w:sz w:val="24"/>
          <w:szCs w:val="24"/>
        </w:rPr>
        <w:t xml:space="preserve">interpuesto por un particular que no señalo nombre o seudónimo con el cual desee ser identificado, quien en lo sucesivo se le denominara como la parte </w:t>
      </w:r>
      <w:r w:rsidRPr="0020774E">
        <w:rPr>
          <w:rFonts w:ascii="Palatino Linotype" w:eastAsia="Palatino Linotype" w:hAnsi="Palatino Linotype" w:cs="Palatino Linotype"/>
          <w:b/>
          <w:color w:val="000000" w:themeColor="text1"/>
          <w:sz w:val="24"/>
          <w:szCs w:val="24"/>
        </w:rPr>
        <w:t>Recurrente</w:t>
      </w:r>
      <w:r w:rsidRPr="0020774E">
        <w:rPr>
          <w:rFonts w:ascii="Palatino Linotype" w:eastAsia="Palatino Linotype" w:hAnsi="Palatino Linotype" w:cs="Palatino Linotype"/>
          <w:color w:val="000000" w:themeColor="text1"/>
          <w:sz w:val="24"/>
          <w:szCs w:val="24"/>
        </w:rPr>
        <w:t xml:space="preserve">, </w:t>
      </w:r>
      <w:r w:rsidRPr="0020774E">
        <w:rPr>
          <w:rFonts w:ascii="Palatino Linotype" w:hAnsi="Palatino Linotype" w:cs="Arial"/>
          <w:color w:val="000000" w:themeColor="text1"/>
          <w:sz w:val="24"/>
          <w:szCs w:val="24"/>
        </w:rPr>
        <w:t xml:space="preserve">en contra de la falta de respuesta del </w:t>
      </w:r>
      <w:r w:rsidRPr="0020774E">
        <w:rPr>
          <w:rFonts w:ascii="Palatino Linotype" w:hAnsi="Palatino Linotype" w:cs="Arial"/>
          <w:b/>
          <w:color w:val="000000" w:themeColor="text1"/>
          <w:sz w:val="24"/>
          <w:szCs w:val="24"/>
        </w:rPr>
        <w:t xml:space="preserve">Ayuntamiento de Ecatepec de Morelos, </w:t>
      </w:r>
      <w:r w:rsidRPr="0020774E">
        <w:rPr>
          <w:rFonts w:ascii="Palatino Linotype" w:hAnsi="Palatino Linotype" w:cs="Arial"/>
          <w:color w:val="000000" w:themeColor="text1"/>
          <w:sz w:val="24"/>
          <w:szCs w:val="24"/>
        </w:rPr>
        <w:t>en lo subsecuente</w:t>
      </w:r>
      <w:r w:rsidRPr="0020774E">
        <w:rPr>
          <w:rFonts w:ascii="Palatino Linotype" w:hAnsi="Palatino Linotype" w:cs="Arial"/>
          <w:b/>
          <w:color w:val="000000" w:themeColor="text1"/>
          <w:sz w:val="24"/>
          <w:szCs w:val="24"/>
        </w:rPr>
        <w:t xml:space="preserve"> el Sujeto Obligado, </w:t>
      </w:r>
      <w:r w:rsidRPr="0020774E">
        <w:rPr>
          <w:rFonts w:ascii="Palatino Linotype" w:hAnsi="Palatino Linotype" w:cs="Arial"/>
          <w:color w:val="000000" w:themeColor="text1"/>
          <w:sz w:val="24"/>
          <w:szCs w:val="24"/>
        </w:rPr>
        <w:t>se procede a dictar la presente resolución.</w:t>
      </w:r>
    </w:p>
    <w:p w:rsidR="006D6CD2" w:rsidRPr="0020774E" w:rsidRDefault="006D6CD2">
      <w:pPr>
        <w:tabs>
          <w:tab w:val="left" w:pos="6960"/>
        </w:tabs>
        <w:spacing w:after="0" w:line="360" w:lineRule="auto"/>
        <w:jc w:val="both"/>
        <w:rPr>
          <w:rFonts w:ascii="Palatino Linotype" w:hAnsi="Palatino Linotype" w:cs="Arial"/>
          <w:color w:val="000000" w:themeColor="text1"/>
          <w:sz w:val="24"/>
          <w:szCs w:val="24"/>
        </w:rPr>
      </w:pPr>
    </w:p>
    <w:p w:rsidR="006D6CD2" w:rsidRPr="0020774E" w:rsidRDefault="00443924">
      <w:pPr>
        <w:spacing w:after="0" w:line="360" w:lineRule="auto"/>
        <w:jc w:val="center"/>
        <w:rPr>
          <w:rFonts w:ascii="Palatino Linotype" w:hAnsi="Palatino Linotype" w:cs="Arial"/>
          <w:b/>
          <w:color w:val="000000" w:themeColor="text1"/>
          <w:sz w:val="24"/>
          <w:szCs w:val="24"/>
        </w:rPr>
      </w:pPr>
      <w:r w:rsidRPr="0020774E">
        <w:rPr>
          <w:rFonts w:ascii="Palatino Linotype" w:hAnsi="Palatino Linotype" w:cs="Arial"/>
          <w:b/>
          <w:color w:val="000000" w:themeColor="text1"/>
          <w:sz w:val="24"/>
          <w:szCs w:val="24"/>
        </w:rPr>
        <w:t>A N T E C E D E N T E S</w:t>
      </w:r>
    </w:p>
    <w:p w:rsidR="006D6CD2" w:rsidRPr="0020774E" w:rsidRDefault="006D6CD2">
      <w:pPr>
        <w:spacing w:after="0" w:line="360" w:lineRule="auto"/>
        <w:rPr>
          <w:rFonts w:ascii="Palatino Linotype" w:hAnsi="Palatino Linotype" w:cs="Arial"/>
          <w:b/>
          <w:color w:val="000000" w:themeColor="text1"/>
          <w:sz w:val="24"/>
          <w:szCs w:val="24"/>
        </w:rPr>
      </w:pPr>
    </w:p>
    <w:p w:rsidR="006D6CD2" w:rsidRPr="0020774E" w:rsidRDefault="00443924">
      <w:pPr>
        <w:spacing w:after="0" w:line="360" w:lineRule="auto"/>
        <w:jc w:val="both"/>
        <w:rPr>
          <w:rFonts w:ascii="Palatino Linotype" w:hAnsi="Palatino Linotype" w:cs="Arial"/>
          <w:b/>
          <w:color w:val="000000" w:themeColor="text1"/>
          <w:sz w:val="24"/>
          <w:szCs w:val="24"/>
        </w:rPr>
      </w:pPr>
      <w:r w:rsidRPr="0020774E">
        <w:rPr>
          <w:rFonts w:ascii="Palatino Linotype" w:hAnsi="Palatino Linotype" w:cs="Arial"/>
          <w:b/>
          <w:color w:val="000000" w:themeColor="text1"/>
          <w:sz w:val="24"/>
          <w:szCs w:val="24"/>
        </w:rPr>
        <w:t xml:space="preserve">PRIMERO. </w:t>
      </w:r>
      <w:r w:rsidRPr="0020774E">
        <w:rPr>
          <w:rFonts w:ascii="Palatino Linotype" w:eastAsia="Palatino Linotype" w:hAnsi="Palatino Linotype" w:cs="Palatino Linotype"/>
          <w:b/>
          <w:color w:val="000000" w:themeColor="text1"/>
          <w:sz w:val="24"/>
          <w:szCs w:val="24"/>
          <w:lang w:val="es-ES_tradnl"/>
        </w:rPr>
        <w:t>De la</w:t>
      </w:r>
      <w:r w:rsidR="00E232DD">
        <w:rPr>
          <w:rFonts w:ascii="Palatino Linotype" w:eastAsia="Palatino Linotype" w:hAnsi="Palatino Linotype" w:cs="Palatino Linotype"/>
          <w:b/>
          <w:color w:val="000000" w:themeColor="text1"/>
          <w:sz w:val="24"/>
          <w:szCs w:val="24"/>
          <w:lang w:val="es-ES_tradnl"/>
        </w:rPr>
        <w:t>s</w:t>
      </w:r>
      <w:r w:rsidRPr="0020774E">
        <w:rPr>
          <w:rFonts w:ascii="Palatino Linotype" w:eastAsia="Palatino Linotype" w:hAnsi="Palatino Linotype" w:cs="Palatino Linotype"/>
          <w:b/>
          <w:color w:val="000000" w:themeColor="text1"/>
          <w:sz w:val="24"/>
          <w:szCs w:val="24"/>
          <w:lang w:val="es-ES_tradnl"/>
        </w:rPr>
        <w:t xml:space="preserve"> solicitud</w:t>
      </w:r>
      <w:r w:rsidR="00E232DD">
        <w:rPr>
          <w:rFonts w:ascii="Palatino Linotype" w:eastAsia="Palatino Linotype" w:hAnsi="Palatino Linotype" w:cs="Palatino Linotype"/>
          <w:b/>
          <w:color w:val="000000" w:themeColor="text1"/>
          <w:sz w:val="24"/>
          <w:szCs w:val="24"/>
          <w:lang w:val="es-ES_tradnl"/>
        </w:rPr>
        <w:t>es</w:t>
      </w:r>
      <w:r w:rsidRPr="0020774E">
        <w:rPr>
          <w:rFonts w:ascii="Palatino Linotype" w:eastAsia="Palatino Linotype" w:hAnsi="Palatino Linotype" w:cs="Palatino Linotype"/>
          <w:b/>
          <w:color w:val="000000" w:themeColor="text1"/>
          <w:sz w:val="24"/>
          <w:szCs w:val="24"/>
          <w:lang w:val="es-ES_tradnl"/>
        </w:rPr>
        <w:t xml:space="preserve"> de información</w:t>
      </w:r>
    </w:p>
    <w:p w:rsidR="006D6CD2" w:rsidRPr="0020774E" w:rsidRDefault="00443924" w:rsidP="008060A8">
      <w:pPr>
        <w:spacing w:after="0" w:line="360" w:lineRule="auto"/>
        <w:jc w:val="both"/>
        <w:rPr>
          <w:rFonts w:ascii="Palatino Linotype" w:hAnsi="Palatino Linotype" w:cs="Arial"/>
          <w:color w:val="000000" w:themeColor="text1"/>
          <w:sz w:val="24"/>
          <w:szCs w:val="24"/>
        </w:rPr>
      </w:pPr>
      <w:r w:rsidRPr="0020774E">
        <w:rPr>
          <w:rFonts w:ascii="Palatino Linotype" w:hAnsi="Palatino Linotype" w:cs="Arial"/>
          <w:bCs/>
          <w:color w:val="000000" w:themeColor="text1"/>
          <w:sz w:val="24"/>
          <w:szCs w:val="24"/>
        </w:rPr>
        <w:t xml:space="preserve">El </w:t>
      </w:r>
      <w:r w:rsidR="008060A8" w:rsidRPr="0020774E">
        <w:rPr>
          <w:rFonts w:ascii="Palatino Linotype" w:hAnsi="Palatino Linotype" w:cs="Arial"/>
          <w:color w:val="000000" w:themeColor="text1"/>
          <w:sz w:val="24"/>
          <w:szCs w:val="24"/>
        </w:rPr>
        <w:t>veinticinco</w:t>
      </w:r>
      <w:r w:rsidRPr="0020774E">
        <w:rPr>
          <w:rFonts w:ascii="Palatino Linotype" w:hAnsi="Palatino Linotype" w:cs="Arial"/>
          <w:color w:val="000000" w:themeColor="text1"/>
          <w:sz w:val="24"/>
          <w:szCs w:val="24"/>
        </w:rPr>
        <w:t xml:space="preserve"> de </w:t>
      </w:r>
      <w:r w:rsidR="008060A8" w:rsidRPr="0020774E">
        <w:rPr>
          <w:rFonts w:ascii="Palatino Linotype" w:hAnsi="Palatino Linotype" w:cs="Arial"/>
          <w:color w:val="000000" w:themeColor="text1"/>
          <w:sz w:val="24"/>
          <w:szCs w:val="24"/>
        </w:rPr>
        <w:t>junio</w:t>
      </w:r>
      <w:r w:rsidRPr="0020774E">
        <w:rPr>
          <w:rFonts w:ascii="Palatino Linotype" w:hAnsi="Palatino Linotype" w:cs="Arial"/>
          <w:color w:val="000000" w:themeColor="text1"/>
          <w:sz w:val="24"/>
          <w:szCs w:val="24"/>
        </w:rPr>
        <w:t xml:space="preserve"> de dos mil </w:t>
      </w:r>
      <w:r w:rsidR="008060A8" w:rsidRPr="0020774E">
        <w:rPr>
          <w:rFonts w:ascii="Palatino Linotype" w:hAnsi="Palatino Linotype" w:cs="Arial"/>
          <w:color w:val="000000" w:themeColor="text1"/>
          <w:sz w:val="24"/>
          <w:szCs w:val="24"/>
        </w:rPr>
        <w:t>veinticuatro</w:t>
      </w:r>
      <w:r w:rsidRPr="0020774E">
        <w:rPr>
          <w:rFonts w:ascii="Palatino Linotype" w:hAnsi="Palatino Linotype" w:cs="Arial"/>
          <w:color w:val="000000" w:themeColor="text1"/>
          <w:sz w:val="24"/>
          <w:szCs w:val="24"/>
        </w:rPr>
        <w:t>, la parte</w:t>
      </w:r>
      <w:r w:rsidRPr="0020774E">
        <w:rPr>
          <w:rFonts w:ascii="Palatino Linotype" w:hAnsi="Palatino Linotype" w:cs="Arial"/>
          <w:b/>
          <w:color w:val="000000" w:themeColor="text1"/>
          <w:sz w:val="24"/>
          <w:szCs w:val="24"/>
        </w:rPr>
        <w:t xml:space="preserve"> Recurrente</w:t>
      </w:r>
      <w:r w:rsidRPr="0020774E">
        <w:rPr>
          <w:rFonts w:ascii="Palatino Linotype" w:hAnsi="Palatino Linotype" w:cs="Arial"/>
          <w:color w:val="000000" w:themeColor="text1"/>
          <w:sz w:val="24"/>
          <w:szCs w:val="24"/>
        </w:rPr>
        <w:t xml:space="preserve"> presentó a través del Sistema de Acceso a la Información Mexiquense (</w:t>
      </w:r>
      <w:r w:rsidRPr="0020774E">
        <w:rPr>
          <w:rFonts w:ascii="Palatino Linotype" w:hAnsi="Palatino Linotype" w:cs="Arial"/>
          <w:b/>
          <w:color w:val="000000" w:themeColor="text1"/>
          <w:sz w:val="24"/>
          <w:szCs w:val="24"/>
        </w:rPr>
        <w:t>SAIMEX)</w:t>
      </w:r>
      <w:r w:rsidRPr="0020774E">
        <w:rPr>
          <w:rFonts w:ascii="Palatino Linotype" w:hAnsi="Palatino Linotype" w:cs="Arial"/>
          <w:color w:val="000000" w:themeColor="text1"/>
          <w:sz w:val="24"/>
          <w:szCs w:val="24"/>
        </w:rPr>
        <w:t>, la</w:t>
      </w:r>
      <w:r w:rsidR="00E232DD">
        <w:rPr>
          <w:rFonts w:ascii="Palatino Linotype" w:hAnsi="Palatino Linotype" w:cs="Arial"/>
          <w:color w:val="000000" w:themeColor="text1"/>
          <w:sz w:val="24"/>
          <w:szCs w:val="24"/>
        </w:rPr>
        <w:t>s</w:t>
      </w:r>
      <w:r w:rsidRPr="0020774E">
        <w:rPr>
          <w:rFonts w:ascii="Palatino Linotype" w:hAnsi="Palatino Linotype" w:cs="Arial"/>
          <w:color w:val="000000" w:themeColor="text1"/>
          <w:sz w:val="24"/>
          <w:szCs w:val="24"/>
        </w:rPr>
        <w:t xml:space="preserve"> solicitud</w:t>
      </w:r>
      <w:r w:rsidR="00E232DD">
        <w:rPr>
          <w:rFonts w:ascii="Palatino Linotype" w:hAnsi="Palatino Linotype" w:cs="Arial"/>
          <w:color w:val="000000" w:themeColor="text1"/>
          <w:sz w:val="24"/>
          <w:szCs w:val="24"/>
        </w:rPr>
        <w:t>es</w:t>
      </w:r>
      <w:r w:rsidRPr="0020774E">
        <w:rPr>
          <w:rFonts w:ascii="Palatino Linotype" w:hAnsi="Palatino Linotype" w:cs="Arial"/>
          <w:color w:val="000000" w:themeColor="text1"/>
          <w:sz w:val="24"/>
          <w:szCs w:val="24"/>
        </w:rPr>
        <w:t xml:space="preserve"> de acceso a la información pública, con número de folio </w:t>
      </w:r>
      <w:r w:rsidR="008060A8" w:rsidRPr="0020774E">
        <w:rPr>
          <w:rFonts w:ascii="Palatino Linotype" w:hAnsi="Palatino Linotype" w:cs="Arial"/>
          <w:b/>
          <w:color w:val="000000" w:themeColor="text1"/>
          <w:sz w:val="24"/>
          <w:szCs w:val="24"/>
        </w:rPr>
        <w:t>00973</w:t>
      </w:r>
      <w:r w:rsidRPr="0020774E">
        <w:rPr>
          <w:rFonts w:ascii="Palatino Linotype" w:hAnsi="Palatino Linotype" w:cs="Arial"/>
          <w:b/>
          <w:color w:val="000000" w:themeColor="text1"/>
          <w:sz w:val="24"/>
          <w:szCs w:val="24"/>
        </w:rPr>
        <w:t>/</w:t>
      </w:r>
      <w:r w:rsidR="008060A8" w:rsidRPr="0020774E">
        <w:rPr>
          <w:rFonts w:ascii="Palatino Linotype" w:hAnsi="Palatino Linotype" w:cs="Arial"/>
          <w:b/>
          <w:color w:val="000000" w:themeColor="text1"/>
          <w:sz w:val="24"/>
          <w:szCs w:val="24"/>
        </w:rPr>
        <w:t>ECATEPEC/IP/2024</w:t>
      </w:r>
      <w:r w:rsidR="00E232DD">
        <w:rPr>
          <w:rFonts w:ascii="Palatino Linotype" w:hAnsi="Palatino Linotype" w:cs="Arial"/>
          <w:b/>
          <w:color w:val="000000" w:themeColor="text1"/>
          <w:sz w:val="24"/>
          <w:szCs w:val="24"/>
        </w:rPr>
        <w:t xml:space="preserve"> y </w:t>
      </w:r>
      <w:r w:rsidR="00E232DD" w:rsidRPr="009A4E15">
        <w:rPr>
          <w:rFonts w:ascii="Palatino Linotype" w:hAnsi="Palatino Linotype" w:cs="Arial"/>
          <w:b/>
          <w:color w:val="000000" w:themeColor="text1"/>
          <w:sz w:val="24"/>
          <w:szCs w:val="24"/>
        </w:rPr>
        <w:t>00975/ECATEPEC/IP/2024</w:t>
      </w:r>
      <w:r w:rsidRPr="009A4E15">
        <w:rPr>
          <w:rFonts w:ascii="Palatino Linotype" w:hAnsi="Palatino Linotype" w:cs="Arial"/>
          <w:color w:val="000000" w:themeColor="text1"/>
          <w:sz w:val="24"/>
          <w:szCs w:val="24"/>
          <w:lang w:eastAsia="es-MX"/>
        </w:rPr>
        <w:t>,</w:t>
      </w:r>
      <w:r w:rsidRPr="0020774E">
        <w:rPr>
          <w:rFonts w:ascii="Palatino Linotype" w:hAnsi="Palatino Linotype" w:cs="Arial"/>
          <w:color w:val="000000" w:themeColor="text1"/>
          <w:sz w:val="24"/>
          <w:szCs w:val="24"/>
          <w:lang w:eastAsia="es-MX"/>
        </w:rPr>
        <w:t xml:space="preserve"> lo siguiente: </w:t>
      </w:r>
    </w:p>
    <w:p w:rsidR="006D6CD2" w:rsidRPr="0020774E" w:rsidRDefault="006D6CD2">
      <w:pPr>
        <w:tabs>
          <w:tab w:val="left" w:pos="5647"/>
        </w:tabs>
        <w:spacing w:after="0" w:line="276" w:lineRule="auto"/>
        <w:ind w:left="567" w:right="567"/>
        <w:jc w:val="both"/>
        <w:rPr>
          <w:rFonts w:ascii="Palatino Linotype" w:eastAsia="Times New Roman" w:hAnsi="Palatino Linotype" w:cs="Times New Roman"/>
          <w:i/>
          <w:color w:val="000000" w:themeColor="text1"/>
          <w:sz w:val="24"/>
          <w:szCs w:val="24"/>
          <w:lang w:eastAsia="es-ES"/>
        </w:rPr>
      </w:pPr>
    </w:p>
    <w:p w:rsidR="006D6CD2" w:rsidRDefault="008060A8" w:rsidP="008060A8">
      <w:pPr>
        <w:tabs>
          <w:tab w:val="left" w:pos="5647"/>
        </w:tabs>
        <w:spacing w:after="0" w:line="360" w:lineRule="auto"/>
        <w:ind w:left="851" w:right="1417"/>
        <w:jc w:val="both"/>
        <w:rPr>
          <w:rFonts w:ascii="Palatino Linotype" w:hAnsi="Palatino Linotype"/>
          <w:i/>
          <w:color w:val="000000"/>
          <w:sz w:val="24"/>
          <w:szCs w:val="24"/>
        </w:rPr>
      </w:pPr>
      <w:r w:rsidRPr="0020774E">
        <w:rPr>
          <w:rFonts w:ascii="Palatino Linotype" w:hAnsi="Palatino Linotype"/>
          <w:i/>
          <w:color w:val="000000"/>
          <w:sz w:val="24"/>
          <w:szCs w:val="24"/>
        </w:rPr>
        <w:t xml:space="preserve">“En relación con el Consejo Municipal de Protección al Ambiente, previsto en el Bando Municipal del Ayuntamiento de Ecatepec de Morelos 2018, solicito la siguiente información del periodo del 1 enero al 31 de diciembre de 2018: 1.- Productos elaborados (por ejemplo, </w:t>
      </w:r>
      <w:r w:rsidRPr="0020774E">
        <w:rPr>
          <w:rFonts w:ascii="Palatino Linotype" w:hAnsi="Palatino Linotype"/>
          <w:i/>
          <w:color w:val="000000"/>
          <w:sz w:val="24"/>
          <w:szCs w:val="24"/>
        </w:rPr>
        <w:lastRenderedPageBreak/>
        <w:t>propuestas, programas, recomendaciones, opiniones, posicionamientos, observaciones, denuncias) 2.- Informes de actividades y/o resultados elaborados”</w:t>
      </w:r>
    </w:p>
    <w:p w:rsidR="00E232DD" w:rsidRDefault="00E232DD" w:rsidP="008060A8">
      <w:pPr>
        <w:tabs>
          <w:tab w:val="left" w:pos="5647"/>
        </w:tabs>
        <w:spacing w:after="0" w:line="360" w:lineRule="auto"/>
        <w:ind w:left="851" w:right="1417"/>
        <w:jc w:val="both"/>
        <w:rPr>
          <w:rFonts w:ascii="Palatino Linotype" w:hAnsi="Palatino Linotype"/>
          <w:i/>
          <w:color w:val="000000"/>
          <w:sz w:val="24"/>
          <w:szCs w:val="24"/>
        </w:rPr>
      </w:pPr>
    </w:p>
    <w:p w:rsidR="00E232DD" w:rsidRPr="00E232DD" w:rsidRDefault="00E232DD" w:rsidP="008060A8">
      <w:pPr>
        <w:tabs>
          <w:tab w:val="left" w:pos="5647"/>
        </w:tabs>
        <w:spacing w:after="0" w:line="360" w:lineRule="auto"/>
        <w:ind w:left="851" w:right="1417"/>
        <w:jc w:val="both"/>
        <w:rPr>
          <w:rFonts w:ascii="Palatino Linotype" w:hAnsi="Palatino Linotype"/>
          <w:i/>
          <w:color w:val="000000"/>
          <w:sz w:val="24"/>
          <w:szCs w:val="24"/>
        </w:rPr>
      </w:pPr>
      <w:r w:rsidRPr="009A4E15">
        <w:rPr>
          <w:rFonts w:ascii="Palatino Linotype" w:hAnsi="Palatino Linotype"/>
          <w:i/>
          <w:color w:val="000000"/>
          <w:sz w:val="24"/>
          <w:szCs w:val="24"/>
        </w:rPr>
        <w:t>“En relación con el Consejo Municipal de Protección al Ambiente, previsto en el Bando Municipal del Ayuntamiento de Ecatepec de Morelos 2018, solicito la siguiente información del periodo del 1 enero al 31 de diciembre de 2018: 1.- Productos elaborados (por ejemplo, propuestas, programas, recomendaciones, opiniones, posicionamientos, observaciones, denuncias) 2.- Informes de actividades y/o resultados elaborados”</w:t>
      </w:r>
    </w:p>
    <w:p w:rsidR="008060A8" w:rsidRPr="0020774E" w:rsidRDefault="008060A8">
      <w:pPr>
        <w:tabs>
          <w:tab w:val="left" w:pos="5647"/>
        </w:tabs>
        <w:spacing w:after="0" w:line="360" w:lineRule="auto"/>
        <w:ind w:right="850"/>
        <w:jc w:val="both"/>
        <w:rPr>
          <w:rFonts w:ascii="Palatino Linotype" w:eastAsia="Times New Roman" w:hAnsi="Palatino Linotype" w:cs="Times New Roman"/>
          <w:color w:val="000000" w:themeColor="text1"/>
          <w:sz w:val="24"/>
          <w:szCs w:val="24"/>
          <w:lang w:val="es-ES_tradnl" w:eastAsia="es-ES"/>
        </w:rPr>
      </w:pPr>
    </w:p>
    <w:p w:rsidR="006D6CD2" w:rsidRPr="0020774E" w:rsidRDefault="00443924">
      <w:pPr>
        <w:spacing w:after="0" w:line="360" w:lineRule="auto"/>
        <w:jc w:val="both"/>
        <w:rPr>
          <w:rFonts w:ascii="Palatino Linotype" w:eastAsia="Times New Roman" w:hAnsi="Palatino Linotype" w:cs="Times New Roman"/>
          <w:color w:val="000000" w:themeColor="text1"/>
          <w:sz w:val="24"/>
          <w:szCs w:val="24"/>
          <w:lang w:val="es-ES_tradnl" w:eastAsia="es-ES"/>
        </w:rPr>
      </w:pPr>
      <w:r w:rsidRPr="0020774E">
        <w:rPr>
          <w:rFonts w:ascii="Palatino Linotype" w:eastAsia="Times New Roman" w:hAnsi="Palatino Linotype" w:cs="Times New Roman"/>
          <w:color w:val="000000" w:themeColor="text1"/>
          <w:sz w:val="24"/>
          <w:szCs w:val="24"/>
          <w:lang w:val="es-ES_tradnl" w:eastAsia="es-ES"/>
        </w:rPr>
        <w:t xml:space="preserve">Asimismo, eligió como modalidad de entrega: </w:t>
      </w:r>
      <w:r w:rsidRPr="0020774E">
        <w:rPr>
          <w:rFonts w:ascii="Palatino Linotype" w:eastAsia="Times New Roman" w:hAnsi="Palatino Linotype" w:cs="Times New Roman"/>
          <w:b/>
          <w:i/>
          <w:color w:val="000000" w:themeColor="text1"/>
          <w:sz w:val="24"/>
          <w:szCs w:val="24"/>
          <w:lang w:val="es-ES_tradnl" w:eastAsia="es-ES"/>
        </w:rPr>
        <w:t xml:space="preserve">A través de </w:t>
      </w:r>
      <w:r w:rsidR="008060A8" w:rsidRPr="0020774E">
        <w:rPr>
          <w:rFonts w:ascii="Palatino Linotype" w:eastAsia="Times New Roman" w:hAnsi="Palatino Linotype" w:cs="Times New Roman"/>
          <w:b/>
          <w:i/>
          <w:color w:val="000000" w:themeColor="text1"/>
          <w:sz w:val="24"/>
          <w:szCs w:val="24"/>
          <w:lang w:val="es-ES_tradnl" w:eastAsia="es-ES"/>
        </w:rPr>
        <w:t>SAIMEX</w:t>
      </w:r>
    </w:p>
    <w:p w:rsidR="006D6CD2" w:rsidRPr="0020774E" w:rsidRDefault="006D6CD2">
      <w:pPr>
        <w:spacing w:after="0" w:line="360" w:lineRule="auto"/>
        <w:jc w:val="both"/>
        <w:rPr>
          <w:rFonts w:ascii="Palatino Linotype" w:eastAsia="Times New Roman" w:hAnsi="Palatino Linotype" w:cs="Times New Roman"/>
          <w:color w:val="000000" w:themeColor="text1"/>
          <w:sz w:val="24"/>
          <w:szCs w:val="24"/>
          <w:lang w:val="es-ES_tradnl" w:eastAsia="es-ES"/>
        </w:rPr>
      </w:pPr>
    </w:p>
    <w:p w:rsidR="006D6CD2" w:rsidRPr="0020774E" w:rsidRDefault="00443924">
      <w:pPr>
        <w:spacing w:after="0" w:line="360" w:lineRule="auto"/>
        <w:jc w:val="both"/>
        <w:rPr>
          <w:rFonts w:ascii="Palatino Linotype" w:eastAsia="Palatino Linotype" w:hAnsi="Palatino Linotype" w:cs="Palatino Linotype"/>
          <w:color w:val="000000" w:themeColor="text1"/>
          <w:sz w:val="24"/>
          <w:szCs w:val="24"/>
          <w:lang w:val="es-ES_tradnl"/>
        </w:rPr>
      </w:pPr>
      <w:r w:rsidRPr="0020774E">
        <w:rPr>
          <w:rFonts w:ascii="Palatino Linotype" w:eastAsia="Palatino Linotype" w:hAnsi="Palatino Linotype" w:cs="Palatino Linotype"/>
          <w:b/>
          <w:color w:val="000000" w:themeColor="text1"/>
          <w:sz w:val="24"/>
          <w:szCs w:val="24"/>
        </w:rPr>
        <w:t xml:space="preserve">SEGUNDO. </w:t>
      </w:r>
      <w:r w:rsidRPr="0020774E">
        <w:rPr>
          <w:rFonts w:ascii="Palatino Linotype" w:eastAsia="Palatino Linotype" w:hAnsi="Palatino Linotype" w:cs="Palatino Linotype"/>
          <w:b/>
          <w:color w:val="000000" w:themeColor="text1"/>
          <w:sz w:val="24"/>
          <w:szCs w:val="24"/>
          <w:lang w:val="es-ES_tradnl"/>
        </w:rPr>
        <w:t>De la falta de respuesta del Sujeto Obligado.</w:t>
      </w:r>
    </w:p>
    <w:p w:rsidR="006D6CD2" w:rsidRPr="0020774E" w:rsidRDefault="00443924">
      <w:pPr>
        <w:spacing w:after="0" w:line="360" w:lineRule="auto"/>
        <w:jc w:val="both"/>
        <w:rPr>
          <w:rFonts w:ascii="Palatino Linotype" w:eastAsia="Palatino Linotype" w:hAnsi="Palatino Linotype" w:cs="Palatino Linotype"/>
          <w:b/>
          <w:color w:val="000000" w:themeColor="text1"/>
          <w:sz w:val="24"/>
          <w:szCs w:val="24"/>
        </w:rPr>
      </w:pPr>
      <w:r w:rsidRPr="0020774E">
        <w:rPr>
          <w:rFonts w:ascii="Palatino Linotype" w:eastAsia="Palatino Linotype" w:hAnsi="Palatino Linotype" w:cs="Palatino Linotype"/>
          <w:bCs/>
          <w:color w:val="000000" w:themeColor="text1"/>
          <w:sz w:val="24"/>
          <w:szCs w:val="24"/>
          <w:lang w:val="es-ES_tradnl"/>
        </w:rPr>
        <w:t>E</w:t>
      </w:r>
      <w:r w:rsidRPr="0020774E">
        <w:rPr>
          <w:rFonts w:ascii="Palatino Linotype" w:hAnsi="Palatino Linotype" w:cs="Arial"/>
          <w:bCs/>
          <w:color w:val="000000" w:themeColor="text1"/>
          <w:sz w:val="24"/>
          <w:szCs w:val="24"/>
        </w:rPr>
        <w:t xml:space="preserve">l </w:t>
      </w:r>
      <w:r w:rsidRPr="0020774E">
        <w:rPr>
          <w:rFonts w:ascii="Palatino Linotype" w:hAnsi="Palatino Linotype" w:cs="Arial"/>
          <w:b/>
          <w:color w:val="000000" w:themeColor="text1"/>
          <w:sz w:val="24"/>
          <w:szCs w:val="24"/>
        </w:rPr>
        <w:t>Sujeto Obligado</w:t>
      </w:r>
      <w:r w:rsidRPr="0020774E">
        <w:rPr>
          <w:rFonts w:ascii="Palatino Linotype" w:hAnsi="Palatino Linotype" w:cs="Arial"/>
          <w:color w:val="000000" w:themeColor="text1"/>
          <w:sz w:val="24"/>
          <w:szCs w:val="24"/>
        </w:rPr>
        <w:t xml:space="preserve"> no proporcionó respuesta a la</w:t>
      </w:r>
      <w:r w:rsidR="00E232DD">
        <w:rPr>
          <w:rFonts w:ascii="Palatino Linotype" w:hAnsi="Palatino Linotype" w:cs="Arial"/>
          <w:color w:val="000000" w:themeColor="text1"/>
          <w:sz w:val="24"/>
          <w:szCs w:val="24"/>
        </w:rPr>
        <w:t>s</w:t>
      </w:r>
      <w:r w:rsidRPr="0020774E">
        <w:rPr>
          <w:rFonts w:ascii="Palatino Linotype" w:hAnsi="Palatino Linotype" w:cs="Arial"/>
          <w:color w:val="000000" w:themeColor="text1"/>
          <w:sz w:val="24"/>
          <w:szCs w:val="24"/>
        </w:rPr>
        <w:t xml:space="preserve"> solicitud</w:t>
      </w:r>
      <w:r w:rsidR="00E232DD">
        <w:rPr>
          <w:rFonts w:ascii="Palatino Linotype" w:hAnsi="Palatino Linotype" w:cs="Arial"/>
          <w:color w:val="000000" w:themeColor="text1"/>
          <w:sz w:val="24"/>
          <w:szCs w:val="24"/>
        </w:rPr>
        <w:t>es</w:t>
      </w:r>
      <w:r w:rsidRPr="0020774E">
        <w:rPr>
          <w:rFonts w:ascii="Palatino Linotype" w:hAnsi="Palatino Linotype" w:cs="Arial"/>
          <w:color w:val="000000" w:themeColor="text1"/>
          <w:sz w:val="24"/>
          <w:szCs w:val="24"/>
        </w:rPr>
        <w:t xml:space="preserve"> de información </w:t>
      </w:r>
      <w:r w:rsidRPr="0020774E">
        <w:rPr>
          <w:rFonts w:ascii="Palatino Linotype" w:eastAsia="Palatino Linotype" w:hAnsi="Palatino Linotype" w:cs="Palatino Linotype"/>
          <w:color w:val="000000" w:themeColor="text1"/>
          <w:sz w:val="24"/>
          <w:szCs w:val="24"/>
        </w:rPr>
        <w:t>dentro del plazo de quince días establecido en el artículo 163 de la Ley de Transparencia y Acceso a la Información Pública del Estado de México y Municipios.</w:t>
      </w:r>
    </w:p>
    <w:p w:rsidR="006D6CD2" w:rsidRPr="0020774E" w:rsidRDefault="006D6CD2">
      <w:pPr>
        <w:spacing w:after="0" w:line="360" w:lineRule="auto"/>
        <w:contextualSpacing/>
        <w:jc w:val="both"/>
        <w:rPr>
          <w:rFonts w:ascii="Palatino Linotype" w:hAnsi="Palatino Linotype" w:cs="Arial"/>
          <w:color w:val="000000" w:themeColor="text1"/>
          <w:sz w:val="24"/>
          <w:szCs w:val="24"/>
        </w:rPr>
      </w:pPr>
    </w:p>
    <w:p w:rsidR="006D6CD2" w:rsidRPr="0020774E" w:rsidRDefault="00443924">
      <w:pPr>
        <w:spacing w:after="0" w:line="360" w:lineRule="auto"/>
        <w:jc w:val="both"/>
        <w:rPr>
          <w:rFonts w:ascii="Palatino Linotype" w:eastAsia="Palatino Linotype" w:hAnsi="Palatino Linotype" w:cs="Palatino Linotype"/>
          <w:b/>
          <w:color w:val="000000" w:themeColor="text1"/>
          <w:sz w:val="24"/>
          <w:szCs w:val="24"/>
          <w:lang w:val="es-ES_tradnl"/>
        </w:rPr>
      </w:pPr>
      <w:r w:rsidRPr="0020774E">
        <w:rPr>
          <w:rFonts w:ascii="Palatino Linotype" w:hAnsi="Palatino Linotype" w:cs="Arial"/>
          <w:b/>
          <w:color w:val="000000" w:themeColor="text1"/>
          <w:sz w:val="24"/>
          <w:szCs w:val="24"/>
        </w:rPr>
        <w:t xml:space="preserve">TERCERO. </w:t>
      </w:r>
      <w:r w:rsidRPr="0020774E">
        <w:rPr>
          <w:rFonts w:ascii="Palatino Linotype" w:eastAsia="Palatino Linotype" w:hAnsi="Palatino Linotype" w:cs="Palatino Linotype"/>
          <w:b/>
          <w:color w:val="000000" w:themeColor="text1"/>
          <w:sz w:val="24"/>
          <w:szCs w:val="24"/>
          <w:lang w:val="es-ES_tradnl"/>
        </w:rPr>
        <w:t>Del recurso de revisión.</w:t>
      </w:r>
    </w:p>
    <w:p w:rsidR="006D6CD2" w:rsidRPr="0020774E" w:rsidRDefault="00443924">
      <w:pPr>
        <w:spacing w:after="0" w:line="360" w:lineRule="auto"/>
        <w:jc w:val="both"/>
        <w:rPr>
          <w:rFonts w:ascii="Palatino Linotype" w:hAnsi="Palatino Linotype" w:cs="Arial"/>
          <w:color w:val="000000" w:themeColor="text1"/>
          <w:sz w:val="24"/>
          <w:szCs w:val="24"/>
        </w:rPr>
      </w:pPr>
      <w:r w:rsidRPr="0020774E">
        <w:rPr>
          <w:rFonts w:ascii="Palatino Linotype" w:hAnsi="Palatino Linotype" w:cs="Arial"/>
          <w:bCs/>
          <w:color w:val="000000" w:themeColor="text1"/>
          <w:sz w:val="24"/>
          <w:szCs w:val="24"/>
        </w:rPr>
        <w:t>Ante la falta de respuesta</w:t>
      </w:r>
      <w:r w:rsidRPr="0020774E">
        <w:rPr>
          <w:rFonts w:ascii="Palatino Linotype" w:hAnsi="Palatino Linotype" w:cs="Arial"/>
          <w:b/>
          <w:color w:val="000000" w:themeColor="text1"/>
          <w:sz w:val="24"/>
          <w:szCs w:val="24"/>
        </w:rPr>
        <w:t xml:space="preserve"> </w:t>
      </w:r>
      <w:r w:rsidRPr="0020774E">
        <w:rPr>
          <w:rFonts w:ascii="Palatino Linotype" w:hAnsi="Palatino Linotype" w:cs="Arial"/>
          <w:color w:val="000000" w:themeColor="text1"/>
          <w:sz w:val="24"/>
          <w:szCs w:val="24"/>
        </w:rPr>
        <w:t xml:space="preserve">del </w:t>
      </w:r>
      <w:r w:rsidRPr="0020774E">
        <w:rPr>
          <w:rFonts w:ascii="Palatino Linotype" w:hAnsi="Palatino Linotype" w:cs="Arial"/>
          <w:b/>
          <w:color w:val="000000" w:themeColor="text1"/>
          <w:sz w:val="24"/>
          <w:szCs w:val="24"/>
        </w:rPr>
        <w:t>Sujeto Obligado</w:t>
      </w:r>
      <w:r w:rsidRPr="0020774E">
        <w:rPr>
          <w:rFonts w:ascii="Palatino Linotype" w:hAnsi="Palatino Linotype" w:cs="Arial"/>
          <w:color w:val="000000" w:themeColor="text1"/>
          <w:sz w:val="24"/>
          <w:szCs w:val="24"/>
        </w:rPr>
        <w:t xml:space="preserve">, la parte </w:t>
      </w:r>
      <w:r w:rsidRPr="0020774E">
        <w:rPr>
          <w:rFonts w:ascii="Palatino Linotype" w:hAnsi="Palatino Linotype" w:cs="Arial"/>
          <w:b/>
          <w:color w:val="000000" w:themeColor="text1"/>
          <w:sz w:val="24"/>
          <w:szCs w:val="24"/>
        </w:rPr>
        <w:t>Recurrente</w:t>
      </w:r>
      <w:r w:rsidR="00A0734F">
        <w:rPr>
          <w:rFonts w:ascii="Palatino Linotype" w:hAnsi="Palatino Linotype" w:cs="Arial"/>
          <w:color w:val="000000" w:themeColor="text1"/>
          <w:sz w:val="24"/>
          <w:szCs w:val="24"/>
        </w:rPr>
        <w:t xml:space="preserve"> interpuso</w:t>
      </w:r>
      <w:r w:rsidRPr="0020774E">
        <w:rPr>
          <w:rFonts w:ascii="Palatino Linotype" w:hAnsi="Palatino Linotype" w:cs="Arial"/>
          <w:color w:val="000000" w:themeColor="text1"/>
          <w:sz w:val="24"/>
          <w:szCs w:val="24"/>
        </w:rPr>
        <w:t xml:space="preserve"> r</w:t>
      </w:r>
      <w:r w:rsidR="008060A8" w:rsidRPr="0020774E">
        <w:rPr>
          <w:rFonts w:ascii="Palatino Linotype" w:hAnsi="Palatino Linotype" w:cs="Arial"/>
          <w:color w:val="000000" w:themeColor="text1"/>
          <w:sz w:val="24"/>
          <w:szCs w:val="24"/>
        </w:rPr>
        <w:t xml:space="preserve">ecurso de revisión el </w:t>
      </w:r>
      <w:r w:rsidR="00A0734F" w:rsidRPr="0020774E">
        <w:rPr>
          <w:rFonts w:ascii="Palatino Linotype" w:hAnsi="Palatino Linotype" w:cs="Arial"/>
          <w:color w:val="000000" w:themeColor="text1"/>
          <w:sz w:val="24"/>
          <w:szCs w:val="24"/>
        </w:rPr>
        <w:t>veintiséis</w:t>
      </w:r>
      <w:r w:rsidRPr="0020774E">
        <w:rPr>
          <w:rFonts w:ascii="Palatino Linotype" w:hAnsi="Palatino Linotype" w:cs="Arial"/>
          <w:color w:val="000000" w:themeColor="text1"/>
          <w:sz w:val="24"/>
          <w:szCs w:val="24"/>
        </w:rPr>
        <w:t xml:space="preserve"> de agosto de dos mil veinticuatro, registrado</w:t>
      </w:r>
      <w:r w:rsidRPr="0020774E">
        <w:rPr>
          <w:rFonts w:ascii="Palatino Linotype" w:hAnsi="Palatino Linotype" w:cs="Arial"/>
          <w:b/>
          <w:color w:val="000000" w:themeColor="text1"/>
          <w:sz w:val="24"/>
          <w:szCs w:val="24"/>
        </w:rPr>
        <w:t xml:space="preserve"> </w:t>
      </w:r>
      <w:r w:rsidRPr="0020774E">
        <w:rPr>
          <w:rFonts w:ascii="Palatino Linotype" w:hAnsi="Palatino Linotype" w:cs="Arial"/>
          <w:color w:val="000000" w:themeColor="text1"/>
          <w:sz w:val="24"/>
          <w:szCs w:val="24"/>
        </w:rPr>
        <w:t>en el SAIMEX con número</w:t>
      </w:r>
      <w:r w:rsidR="00ED174F">
        <w:rPr>
          <w:rFonts w:ascii="Palatino Linotype" w:hAnsi="Palatino Linotype" w:cs="Arial"/>
          <w:color w:val="000000" w:themeColor="text1"/>
          <w:sz w:val="24"/>
          <w:szCs w:val="24"/>
        </w:rPr>
        <w:t>s</w:t>
      </w:r>
      <w:r w:rsidRPr="0020774E">
        <w:rPr>
          <w:rFonts w:ascii="Palatino Linotype" w:hAnsi="Palatino Linotype" w:cs="Arial"/>
          <w:color w:val="000000" w:themeColor="text1"/>
          <w:sz w:val="24"/>
          <w:szCs w:val="24"/>
        </w:rPr>
        <w:t xml:space="preserve"> de expediente </w:t>
      </w:r>
      <w:r w:rsidRPr="0020774E">
        <w:rPr>
          <w:rFonts w:ascii="Palatino Linotype" w:hAnsi="Palatino Linotype" w:cs="Arial"/>
          <w:b/>
          <w:bCs/>
          <w:color w:val="000000" w:themeColor="text1"/>
          <w:sz w:val="24"/>
          <w:szCs w:val="24"/>
          <w:lang w:eastAsia="es-MX"/>
        </w:rPr>
        <w:t>05113/INFOEM/IP/RR/2024</w:t>
      </w:r>
      <w:r w:rsidR="00A0734F">
        <w:rPr>
          <w:rFonts w:ascii="Palatino Linotype" w:hAnsi="Palatino Linotype" w:cs="Arial"/>
          <w:color w:val="000000" w:themeColor="text1"/>
          <w:sz w:val="24"/>
          <w:szCs w:val="24"/>
        </w:rPr>
        <w:t xml:space="preserve"> y </w:t>
      </w:r>
      <w:r w:rsidR="00ED174F" w:rsidRPr="009A4E15">
        <w:rPr>
          <w:rFonts w:ascii="Palatino Linotype" w:hAnsi="Palatino Linotype" w:cs="Arial"/>
          <w:b/>
          <w:bCs/>
          <w:color w:val="000000" w:themeColor="text1"/>
          <w:sz w:val="24"/>
          <w:szCs w:val="24"/>
          <w:lang w:eastAsia="es-MX"/>
        </w:rPr>
        <w:lastRenderedPageBreak/>
        <w:t>05114</w:t>
      </w:r>
      <w:r w:rsidR="00A0734F" w:rsidRPr="009A4E15">
        <w:rPr>
          <w:rFonts w:ascii="Palatino Linotype" w:hAnsi="Palatino Linotype" w:cs="Arial"/>
          <w:b/>
          <w:bCs/>
          <w:color w:val="000000" w:themeColor="text1"/>
          <w:sz w:val="24"/>
          <w:szCs w:val="24"/>
          <w:lang w:eastAsia="es-MX"/>
        </w:rPr>
        <w:t>/INFOEM/IP/RR/2024,</w:t>
      </w:r>
      <w:r w:rsidRPr="0020774E">
        <w:rPr>
          <w:rFonts w:ascii="Palatino Linotype" w:hAnsi="Palatino Linotype" w:cs="Arial"/>
          <w:color w:val="000000" w:themeColor="text1"/>
          <w:sz w:val="24"/>
          <w:szCs w:val="24"/>
        </w:rPr>
        <w:t xml:space="preserve"> y señaló como acto impugnado y razones o motivos de inconformidad, lo siguiente:</w:t>
      </w:r>
    </w:p>
    <w:p w:rsidR="006D6CD2" w:rsidRPr="0020774E" w:rsidRDefault="006D6CD2">
      <w:pPr>
        <w:spacing w:after="0" w:line="360" w:lineRule="auto"/>
        <w:jc w:val="both"/>
        <w:rPr>
          <w:rFonts w:ascii="Palatino Linotype" w:eastAsia="Palatino Linotype" w:hAnsi="Palatino Linotype" w:cs="Palatino Linotype"/>
          <w:b/>
          <w:color w:val="000000" w:themeColor="text1"/>
          <w:sz w:val="24"/>
          <w:szCs w:val="24"/>
        </w:rPr>
      </w:pPr>
    </w:p>
    <w:p w:rsidR="006D6CD2" w:rsidRPr="0020774E" w:rsidRDefault="00443924">
      <w:pPr>
        <w:pStyle w:val="Prrafodelista"/>
        <w:numPr>
          <w:ilvl w:val="0"/>
          <w:numId w:val="3"/>
        </w:numPr>
        <w:spacing w:line="360" w:lineRule="auto"/>
        <w:jc w:val="both"/>
        <w:rPr>
          <w:rFonts w:ascii="Palatino Linotype" w:eastAsia="Palatino Linotype" w:hAnsi="Palatino Linotype"/>
          <w:color w:val="000000" w:themeColor="text1"/>
        </w:rPr>
      </w:pPr>
      <w:r w:rsidRPr="0020774E">
        <w:rPr>
          <w:rFonts w:ascii="Palatino Linotype" w:eastAsia="Palatino Linotype" w:hAnsi="Palatino Linotype" w:cs="Palatino Linotype"/>
          <w:b/>
          <w:color w:val="000000" w:themeColor="text1"/>
          <w:lang w:val="es-ES_tradnl"/>
        </w:rPr>
        <w:t xml:space="preserve">Acto Impugnado: </w:t>
      </w:r>
      <w:r w:rsidRPr="0020774E">
        <w:rPr>
          <w:rFonts w:ascii="Palatino Linotype" w:eastAsia="Palatino Linotype" w:hAnsi="Palatino Linotype"/>
          <w:i/>
          <w:color w:val="000000" w:themeColor="text1"/>
        </w:rPr>
        <w:t>“Se niegan a dar la información ” (Sic)</w:t>
      </w:r>
      <w:r w:rsidRPr="0020774E">
        <w:rPr>
          <w:rFonts w:ascii="Palatino Linotype" w:eastAsia="Palatino Linotype" w:hAnsi="Palatino Linotype"/>
          <w:color w:val="000000" w:themeColor="text1"/>
        </w:rPr>
        <w:t xml:space="preserve"> </w:t>
      </w:r>
    </w:p>
    <w:p w:rsidR="006D6CD2" w:rsidRPr="00A0734F" w:rsidRDefault="00443924">
      <w:pPr>
        <w:pStyle w:val="Prrafodelista"/>
        <w:numPr>
          <w:ilvl w:val="0"/>
          <w:numId w:val="3"/>
        </w:numPr>
        <w:spacing w:line="360" w:lineRule="auto"/>
        <w:jc w:val="both"/>
        <w:rPr>
          <w:rFonts w:ascii="Palatino Linotype" w:eastAsia="Palatino Linotype" w:hAnsi="Palatino Linotype"/>
          <w:color w:val="000000" w:themeColor="text1"/>
          <w:lang w:val="es-ES_tradnl"/>
        </w:rPr>
      </w:pPr>
      <w:r w:rsidRPr="0020774E">
        <w:rPr>
          <w:rFonts w:ascii="Palatino Linotype" w:eastAsia="Palatino Linotype" w:hAnsi="Palatino Linotype" w:cs="Palatino Linotype"/>
          <w:b/>
          <w:color w:val="000000" w:themeColor="text1"/>
          <w:lang w:val="es-ES_tradnl"/>
        </w:rPr>
        <w:t>Razones o Motivos de Inconformidad</w:t>
      </w:r>
      <w:r w:rsidRPr="0020774E">
        <w:rPr>
          <w:rFonts w:ascii="Palatino Linotype" w:eastAsia="Palatino Linotype" w:hAnsi="Palatino Linotype" w:cs="Palatino Linotype"/>
          <w:color w:val="000000" w:themeColor="text1"/>
          <w:lang w:val="es-ES_tradnl"/>
        </w:rPr>
        <w:t xml:space="preserve">: </w:t>
      </w:r>
      <w:r w:rsidRPr="0020774E">
        <w:rPr>
          <w:rFonts w:ascii="Palatino Linotype" w:eastAsia="Palatino Linotype" w:hAnsi="Palatino Linotype"/>
          <w:i/>
          <w:color w:val="000000" w:themeColor="text1"/>
          <w:lang w:val="es-ES_tradnl"/>
        </w:rPr>
        <w:t>“</w:t>
      </w:r>
      <w:r w:rsidR="008060A8" w:rsidRPr="0020774E">
        <w:rPr>
          <w:rFonts w:ascii="Palatino Linotype" w:eastAsia="Palatino Linotype" w:hAnsi="Palatino Linotype"/>
          <w:i/>
          <w:color w:val="000000" w:themeColor="text1"/>
        </w:rPr>
        <w:t>Se niegan a dar la información</w:t>
      </w:r>
      <w:r w:rsidRPr="0020774E">
        <w:rPr>
          <w:rFonts w:ascii="Palatino Linotype" w:eastAsia="Palatino Linotype" w:hAnsi="Palatino Linotype"/>
          <w:i/>
          <w:color w:val="000000" w:themeColor="text1"/>
          <w:lang w:val="es-ES_tradnl"/>
        </w:rPr>
        <w:t xml:space="preserve">” (Sic) </w:t>
      </w:r>
    </w:p>
    <w:p w:rsidR="00A0734F" w:rsidRDefault="00A0734F" w:rsidP="00A0734F">
      <w:pPr>
        <w:pStyle w:val="Prrafodelista"/>
        <w:spacing w:line="360" w:lineRule="auto"/>
        <w:ind w:left="720"/>
        <w:jc w:val="both"/>
        <w:rPr>
          <w:rFonts w:ascii="Palatino Linotype" w:eastAsia="Palatino Linotype" w:hAnsi="Palatino Linotype" w:cs="Palatino Linotype"/>
          <w:b/>
          <w:color w:val="000000" w:themeColor="text1"/>
          <w:lang w:val="es-ES_tradnl"/>
        </w:rPr>
      </w:pPr>
    </w:p>
    <w:p w:rsidR="00A0734F" w:rsidRPr="009A4E15" w:rsidRDefault="00A0734F" w:rsidP="00A0734F">
      <w:pPr>
        <w:pStyle w:val="Prrafodelista"/>
        <w:numPr>
          <w:ilvl w:val="0"/>
          <w:numId w:val="3"/>
        </w:numPr>
        <w:spacing w:line="360" w:lineRule="auto"/>
        <w:jc w:val="both"/>
        <w:rPr>
          <w:rFonts w:ascii="Palatino Linotype" w:eastAsia="Palatino Linotype" w:hAnsi="Palatino Linotype"/>
          <w:color w:val="000000" w:themeColor="text1"/>
        </w:rPr>
      </w:pPr>
      <w:r w:rsidRPr="009A4E15">
        <w:rPr>
          <w:rFonts w:ascii="Palatino Linotype" w:eastAsia="Palatino Linotype" w:hAnsi="Palatino Linotype" w:cs="Palatino Linotype"/>
          <w:b/>
          <w:color w:val="000000" w:themeColor="text1"/>
          <w:lang w:val="es-ES_tradnl"/>
        </w:rPr>
        <w:t xml:space="preserve">Acto Impugnado: </w:t>
      </w:r>
      <w:r w:rsidRPr="009A4E15">
        <w:rPr>
          <w:rFonts w:ascii="Palatino Linotype" w:eastAsia="Palatino Linotype" w:hAnsi="Palatino Linotype"/>
          <w:i/>
          <w:color w:val="000000" w:themeColor="text1"/>
        </w:rPr>
        <w:t>“Se niegan a dar la información ” (Sic)</w:t>
      </w:r>
      <w:r w:rsidRPr="009A4E15">
        <w:rPr>
          <w:rFonts w:ascii="Palatino Linotype" w:eastAsia="Palatino Linotype" w:hAnsi="Palatino Linotype"/>
          <w:color w:val="000000" w:themeColor="text1"/>
        </w:rPr>
        <w:t xml:space="preserve"> </w:t>
      </w:r>
    </w:p>
    <w:p w:rsidR="00A0734F" w:rsidRPr="009A4E15" w:rsidRDefault="00A0734F" w:rsidP="00A0734F">
      <w:pPr>
        <w:pStyle w:val="Prrafodelista"/>
        <w:numPr>
          <w:ilvl w:val="0"/>
          <w:numId w:val="3"/>
        </w:numPr>
        <w:spacing w:line="360" w:lineRule="auto"/>
        <w:jc w:val="both"/>
        <w:rPr>
          <w:rFonts w:ascii="Palatino Linotype" w:eastAsia="Palatino Linotype" w:hAnsi="Palatino Linotype"/>
          <w:color w:val="000000" w:themeColor="text1"/>
          <w:lang w:val="es-ES_tradnl"/>
        </w:rPr>
      </w:pPr>
      <w:r w:rsidRPr="009A4E15">
        <w:rPr>
          <w:rFonts w:ascii="Palatino Linotype" w:eastAsia="Palatino Linotype" w:hAnsi="Palatino Linotype" w:cs="Palatino Linotype"/>
          <w:b/>
          <w:color w:val="000000" w:themeColor="text1"/>
          <w:lang w:val="es-ES_tradnl"/>
        </w:rPr>
        <w:t>Razones o Motivos de Inconformidad</w:t>
      </w:r>
      <w:r w:rsidRPr="009A4E15">
        <w:rPr>
          <w:rFonts w:ascii="Palatino Linotype" w:eastAsia="Palatino Linotype" w:hAnsi="Palatino Linotype" w:cs="Palatino Linotype"/>
          <w:color w:val="000000" w:themeColor="text1"/>
          <w:lang w:val="es-ES_tradnl"/>
        </w:rPr>
        <w:t xml:space="preserve">: </w:t>
      </w:r>
      <w:r w:rsidRPr="009A4E15">
        <w:rPr>
          <w:rFonts w:ascii="Palatino Linotype" w:eastAsia="Palatino Linotype" w:hAnsi="Palatino Linotype"/>
          <w:i/>
          <w:color w:val="000000" w:themeColor="text1"/>
          <w:lang w:val="es-ES_tradnl"/>
        </w:rPr>
        <w:t>“</w:t>
      </w:r>
      <w:r w:rsidRPr="009A4E15">
        <w:rPr>
          <w:rFonts w:ascii="Palatino Linotype" w:eastAsia="Palatino Linotype" w:hAnsi="Palatino Linotype"/>
          <w:i/>
          <w:color w:val="000000" w:themeColor="text1"/>
        </w:rPr>
        <w:t>Se niegan a dar la información</w:t>
      </w:r>
      <w:r w:rsidRPr="009A4E15">
        <w:rPr>
          <w:rFonts w:ascii="Palatino Linotype" w:eastAsia="Palatino Linotype" w:hAnsi="Palatino Linotype"/>
          <w:i/>
          <w:color w:val="000000" w:themeColor="text1"/>
          <w:lang w:val="es-ES_tradnl"/>
        </w:rPr>
        <w:t xml:space="preserve">” (Sic) </w:t>
      </w:r>
    </w:p>
    <w:p w:rsidR="006D6CD2" w:rsidRPr="0020774E" w:rsidRDefault="006D6CD2">
      <w:pPr>
        <w:spacing w:after="0" w:line="360" w:lineRule="auto"/>
        <w:ind w:right="567"/>
        <w:jc w:val="both"/>
        <w:rPr>
          <w:rFonts w:ascii="Palatino Linotype" w:eastAsia="Palatino Linotype" w:hAnsi="Palatino Linotype" w:cs="Palatino Linotype"/>
          <w:color w:val="000000" w:themeColor="text1"/>
          <w:sz w:val="24"/>
          <w:szCs w:val="24"/>
          <w:lang w:val="es-ES_tradnl"/>
        </w:rPr>
      </w:pPr>
    </w:p>
    <w:p w:rsidR="006D6CD2" w:rsidRPr="0020774E" w:rsidRDefault="00443924">
      <w:pPr>
        <w:spacing w:after="0" w:line="360" w:lineRule="auto"/>
        <w:jc w:val="both"/>
        <w:rPr>
          <w:rFonts w:ascii="Palatino Linotype" w:eastAsia="Palatino Linotype" w:hAnsi="Palatino Linotype" w:cs="Palatino Linotype"/>
          <w:b/>
          <w:color w:val="000000" w:themeColor="text1"/>
          <w:sz w:val="24"/>
          <w:szCs w:val="24"/>
          <w:lang w:val="es-ES_tradnl"/>
        </w:rPr>
      </w:pPr>
      <w:r w:rsidRPr="0020774E">
        <w:rPr>
          <w:rFonts w:ascii="Palatino Linotype" w:eastAsia="Palatino Linotype" w:hAnsi="Palatino Linotype" w:cs="Palatino Linotype"/>
          <w:b/>
          <w:color w:val="000000" w:themeColor="text1"/>
          <w:sz w:val="24"/>
          <w:szCs w:val="24"/>
          <w:lang w:val="es-ES_tradnl"/>
        </w:rPr>
        <w:t>CUARTO. Del turno y admisión del recurso de revisión.</w:t>
      </w:r>
    </w:p>
    <w:p w:rsidR="00A0734F" w:rsidRDefault="00443924">
      <w:pPr>
        <w:tabs>
          <w:tab w:val="left" w:pos="284"/>
        </w:tabs>
        <w:spacing w:after="0" w:line="360" w:lineRule="auto"/>
        <w:jc w:val="both"/>
        <w:rPr>
          <w:rFonts w:ascii="Palatino Linotype" w:hAnsi="Palatino Linotype"/>
          <w:color w:val="000000" w:themeColor="text1"/>
          <w:sz w:val="24"/>
          <w:szCs w:val="24"/>
        </w:rPr>
      </w:pPr>
      <w:r w:rsidRPr="0020774E">
        <w:rPr>
          <w:rFonts w:ascii="Palatino Linotype" w:eastAsia="Palatino Linotype" w:hAnsi="Palatino Linotype" w:cs="Palatino Linotype"/>
          <w:color w:val="000000" w:themeColor="text1"/>
          <w:sz w:val="24"/>
          <w:szCs w:val="24"/>
          <w:lang w:val="es-ES_tradnl"/>
        </w:rPr>
        <w:t xml:space="preserve">De conformidad con lo dispuesto en el artículo 185 fracciones I y II de la Ley de Transparencia y Acceso a la Información Pública del Estado de México y Municipios el recurso de revisión </w:t>
      </w:r>
      <w:r w:rsidR="00A0734F" w:rsidRPr="0020774E">
        <w:rPr>
          <w:rFonts w:ascii="Palatino Linotype" w:hAnsi="Palatino Linotype" w:cs="Arial"/>
          <w:b/>
          <w:bCs/>
          <w:color w:val="000000" w:themeColor="text1"/>
          <w:sz w:val="24"/>
          <w:szCs w:val="24"/>
          <w:lang w:eastAsia="es-MX"/>
        </w:rPr>
        <w:t>05113/INFOEM/IP/RR/2024</w:t>
      </w:r>
      <w:r w:rsidR="00A0734F">
        <w:rPr>
          <w:rFonts w:ascii="Palatino Linotype" w:hAnsi="Palatino Linotype" w:cs="Arial"/>
          <w:color w:val="000000" w:themeColor="text1"/>
          <w:sz w:val="24"/>
          <w:szCs w:val="24"/>
        </w:rPr>
        <w:t xml:space="preserve"> </w:t>
      </w:r>
      <w:r w:rsidRPr="0020774E">
        <w:rPr>
          <w:rFonts w:ascii="Palatino Linotype" w:eastAsia="Palatino Linotype" w:hAnsi="Palatino Linotype" w:cs="Palatino Linotype"/>
          <w:color w:val="000000" w:themeColor="text1"/>
          <w:sz w:val="24"/>
          <w:szCs w:val="24"/>
          <w:lang w:val="es-ES_tradnl"/>
        </w:rPr>
        <w:t>fue turnado a la</w:t>
      </w:r>
      <w:r w:rsidRPr="00A0734F">
        <w:rPr>
          <w:rFonts w:ascii="Palatino Linotype" w:eastAsia="Palatino Linotype" w:hAnsi="Palatino Linotype" w:cs="Palatino Linotype"/>
          <w:color w:val="000000" w:themeColor="text1"/>
          <w:sz w:val="24"/>
          <w:szCs w:val="24"/>
          <w:lang w:val="es-ES_tradnl"/>
        </w:rPr>
        <w:t xml:space="preserve"> </w:t>
      </w:r>
      <w:r w:rsidRPr="00A0734F">
        <w:rPr>
          <w:rFonts w:ascii="Palatino Linotype" w:eastAsia="Palatino Linotype" w:hAnsi="Palatino Linotype" w:cs="Palatino Linotype"/>
          <w:bCs/>
          <w:color w:val="000000" w:themeColor="text1"/>
          <w:sz w:val="24"/>
          <w:szCs w:val="24"/>
          <w:lang w:val="es-ES_tradnl"/>
        </w:rPr>
        <w:t xml:space="preserve">Comisionada María Del Rosario Mejía Ayala, </w:t>
      </w:r>
      <w:r w:rsidR="00A0734F" w:rsidRPr="00A0734F">
        <w:rPr>
          <w:rFonts w:ascii="Palatino Linotype" w:eastAsia="Palatino Linotype" w:hAnsi="Palatino Linotype" w:cs="Palatino Linotype"/>
          <w:bCs/>
          <w:color w:val="000000" w:themeColor="text1"/>
          <w:sz w:val="24"/>
          <w:szCs w:val="24"/>
          <w:lang w:val="es-ES_tradnl"/>
        </w:rPr>
        <w:t xml:space="preserve">mientras que el recurso de revisión </w:t>
      </w:r>
      <w:r w:rsidR="00A0734F" w:rsidRPr="009A4E15">
        <w:rPr>
          <w:rFonts w:ascii="Palatino Linotype" w:hAnsi="Palatino Linotype" w:cs="Arial"/>
          <w:b/>
          <w:bCs/>
          <w:color w:val="000000" w:themeColor="text1"/>
          <w:sz w:val="24"/>
          <w:szCs w:val="24"/>
          <w:lang w:eastAsia="es-MX"/>
        </w:rPr>
        <w:t xml:space="preserve">05114/INFOEM/IP/RR/2024, </w:t>
      </w:r>
      <w:r w:rsidR="00A0734F" w:rsidRPr="009A4E15">
        <w:rPr>
          <w:rFonts w:ascii="Palatino Linotype" w:hAnsi="Palatino Linotype" w:cs="Arial"/>
          <w:bCs/>
          <w:color w:val="000000" w:themeColor="text1"/>
          <w:sz w:val="24"/>
          <w:szCs w:val="24"/>
          <w:lang w:eastAsia="es-MX"/>
        </w:rPr>
        <w:t>fue turnado a la comisionada</w:t>
      </w:r>
      <w:r w:rsidR="00A0734F" w:rsidRPr="009A4E15">
        <w:rPr>
          <w:rFonts w:ascii="Palatino Linotype" w:hAnsi="Palatino Linotype" w:cs="Arial"/>
          <w:b/>
          <w:bCs/>
          <w:color w:val="000000" w:themeColor="text1"/>
          <w:sz w:val="24"/>
          <w:szCs w:val="24"/>
          <w:lang w:eastAsia="es-MX"/>
        </w:rPr>
        <w:t xml:space="preserve"> Guadalupe Ramírez Peña</w:t>
      </w:r>
      <w:r w:rsidR="00A0734F">
        <w:rPr>
          <w:rFonts w:ascii="Palatino Linotype" w:hAnsi="Palatino Linotype" w:cs="Arial"/>
          <w:color w:val="000000" w:themeColor="text1"/>
          <w:sz w:val="24"/>
          <w:szCs w:val="24"/>
        </w:rPr>
        <w:t xml:space="preserve"> </w:t>
      </w:r>
      <w:r w:rsidRPr="0020774E">
        <w:rPr>
          <w:rFonts w:ascii="Palatino Linotype" w:eastAsia="Palatino Linotype" w:hAnsi="Palatino Linotype" w:cs="Palatino Linotype"/>
          <w:color w:val="000000" w:themeColor="text1"/>
          <w:sz w:val="24"/>
          <w:szCs w:val="24"/>
          <w:lang w:val="es-ES_tradnl"/>
        </w:rPr>
        <w:t xml:space="preserve">para su revisión y análisis sobre la admisión o desechamiento, por lo que el </w:t>
      </w:r>
      <w:r w:rsidR="000A6285" w:rsidRPr="0020774E">
        <w:rPr>
          <w:rFonts w:ascii="Palatino Linotype" w:eastAsia="Palatino Linotype" w:hAnsi="Palatino Linotype" w:cs="Palatino Linotype"/>
          <w:color w:val="000000" w:themeColor="text1"/>
          <w:sz w:val="24"/>
          <w:szCs w:val="24"/>
          <w:lang w:val="es-ES_tradnl"/>
        </w:rPr>
        <w:t>veintiséis</w:t>
      </w:r>
      <w:r w:rsidR="00A0734F">
        <w:rPr>
          <w:rFonts w:ascii="Palatino Linotype" w:eastAsia="Palatino Linotype" w:hAnsi="Palatino Linotype" w:cs="Palatino Linotype"/>
          <w:color w:val="000000" w:themeColor="text1"/>
          <w:sz w:val="24"/>
          <w:szCs w:val="24"/>
          <w:lang w:val="es-ES_tradnl"/>
        </w:rPr>
        <w:t xml:space="preserve"> y veintinueve</w:t>
      </w:r>
      <w:r w:rsidR="000A6285" w:rsidRPr="0020774E">
        <w:rPr>
          <w:rFonts w:ascii="Palatino Linotype" w:eastAsia="Palatino Linotype" w:hAnsi="Palatino Linotype" w:cs="Palatino Linotype"/>
          <w:color w:val="000000" w:themeColor="text1"/>
          <w:sz w:val="24"/>
          <w:szCs w:val="24"/>
          <w:lang w:val="es-ES_tradnl"/>
        </w:rPr>
        <w:t xml:space="preserve"> de agosto</w:t>
      </w:r>
      <w:r w:rsidRPr="0020774E">
        <w:rPr>
          <w:rFonts w:ascii="Palatino Linotype" w:eastAsia="Palatino Linotype" w:hAnsi="Palatino Linotype" w:cs="Palatino Linotype"/>
          <w:color w:val="000000" w:themeColor="text1"/>
          <w:sz w:val="24"/>
          <w:szCs w:val="24"/>
          <w:lang w:val="es-ES_tradnl"/>
        </w:rPr>
        <w:t xml:space="preserve"> de dos mil veinticuatro,</w:t>
      </w:r>
      <w:r w:rsidR="00A0734F">
        <w:rPr>
          <w:rFonts w:ascii="Palatino Linotype" w:eastAsia="Palatino Linotype" w:hAnsi="Palatino Linotype" w:cs="Palatino Linotype"/>
          <w:color w:val="000000" w:themeColor="text1"/>
          <w:sz w:val="24"/>
          <w:szCs w:val="24"/>
          <w:lang w:val="es-ES_tradnl"/>
        </w:rPr>
        <w:t xml:space="preserve"> respectivamente los</w:t>
      </w:r>
      <w:r w:rsidRPr="0020774E">
        <w:rPr>
          <w:rFonts w:ascii="Palatino Linotype" w:eastAsia="Palatino Linotype" w:hAnsi="Palatino Linotype" w:cs="Palatino Linotype"/>
          <w:color w:val="000000" w:themeColor="text1"/>
          <w:sz w:val="24"/>
          <w:szCs w:val="24"/>
          <w:lang w:val="es-ES_tradnl"/>
        </w:rPr>
        <w:t xml:space="preserve"> recurso</w:t>
      </w:r>
      <w:r w:rsidR="00A0734F">
        <w:rPr>
          <w:rFonts w:ascii="Palatino Linotype" w:eastAsia="Palatino Linotype" w:hAnsi="Palatino Linotype" w:cs="Palatino Linotype"/>
          <w:color w:val="000000" w:themeColor="text1"/>
          <w:sz w:val="24"/>
          <w:szCs w:val="24"/>
          <w:lang w:val="es-ES_tradnl"/>
        </w:rPr>
        <w:t>s</w:t>
      </w:r>
      <w:r w:rsidRPr="0020774E">
        <w:rPr>
          <w:rFonts w:ascii="Palatino Linotype" w:eastAsia="Palatino Linotype" w:hAnsi="Palatino Linotype" w:cs="Palatino Linotype"/>
          <w:color w:val="000000" w:themeColor="text1"/>
          <w:sz w:val="24"/>
          <w:szCs w:val="24"/>
          <w:lang w:val="es-ES_tradnl"/>
        </w:rPr>
        <w:t xml:space="preserve"> de revisión fue</w:t>
      </w:r>
      <w:r w:rsidR="00A0734F">
        <w:rPr>
          <w:rFonts w:ascii="Palatino Linotype" w:eastAsia="Palatino Linotype" w:hAnsi="Palatino Linotype" w:cs="Palatino Linotype"/>
          <w:color w:val="000000" w:themeColor="text1"/>
          <w:sz w:val="24"/>
          <w:szCs w:val="24"/>
          <w:lang w:val="es-ES_tradnl"/>
        </w:rPr>
        <w:t>ron</w:t>
      </w:r>
      <w:r w:rsidRPr="0020774E">
        <w:rPr>
          <w:rFonts w:ascii="Palatino Linotype" w:eastAsia="Palatino Linotype" w:hAnsi="Palatino Linotype" w:cs="Palatino Linotype"/>
          <w:color w:val="000000" w:themeColor="text1"/>
          <w:sz w:val="24"/>
          <w:szCs w:val="24"/>
          <w:lang w:val="es-ES_tradnl"/>
        </w:rPr>
        <w:t xml:space="preserve"> admitido</w:t>
      </w:r>
      <w:r w:rsidR="00A0734F">
        <w:rPr>
          <w:rFonts w:ascii="Palatino Linotype" w:eastAsia="Palatino Linotype" w:hAnsi="Palatino Linotype" w:cs="Palatino Linotype"/>
          <w:color w:val="000000" w:themeColor="text1"/>
          <w:sz w:val="24"/>
          <w:szCs w:val="24"/>
          <w:lang w:val="es-ES_tradnl"/>
        </w:rPr>
        <w:t xml:space="preserve">s y se pusieron </w:t>
      </w:r>
      <w:r w:rsidRPr="0020774E">
        <w:rPr>
          <w:rFonts w:ascii="Palatino Linotype" w:hAnsi="Palatino Linotype"/>
          <w:color w:val="000000" w:themeColor="text1"/>
          <w:sz w:val="24"/>
          <w:szCs w:val="24"/>
        </w:rPr>
        <w:t xml:space="preserve">a </w:t>
      </w:r>
      <w:r w:rsidR="000A6285" w:rsidRPr="0020774E">
        <w:rPr>
          <w:rFonts w:ascii="Palatino Linotype" w:hAnsi="Palatino Linotype"/>
          <w:color w:val="000000" w:themeColor="text1"/>
          <w:sz w:val="24"/>
          <w:szCs w:val="24"/>
        </w:rPr>
        <w:t>disposición</w:t>
      </w:r>
      <w:r w:rsidRPr="0020774E">
        <w:rPr>
          <w:rFonts w:ascii="Palatino Linotype" w:hAnsi="Palatino Linotype"/>
          <w:color w:val="000000" w:themeColor="text1"/>
          <w:sz w:val="24"/>
          <w:szCs w:val="24"/>
        </w:rPr>
        <w:t xml:space="preserve"> de las partes, para que, en un plazo </w:t>
      </w:r>
      <w:r w:rsidR="000A6285" w:rsidRPr="0020774E">
        <w:rPr>
          <w:rFonts w:ascii="Palatino Linotype" w:hAnsi="Palatino Linotype"/>
          <w:color w:val="000000" w:themeColor="text1"/>
          <w:sz w:val="24"/>
          <w:szCs w:val="24"/>
        </w:rPr>
        <w:t>máximo</w:t>
      </w:r>
      <w:r w:rsidRPr="0020774E">
        <w:rPr>
          <w:rFonts w:ascii="Palatino Linotype" w:hAnsi="Palatino Linotype"/>
          <w:color w:val="000000" w:themeColor="text1"/>
          <w:sz w:val="24"/>
          <w:szCs w:val="24"/>
        </w:rPr>
        <w:t xml:space="preserve"> de siete </w:t>
      </w:r>
      <w:r w:rsidR="000A6285" w:rsidRPr="0020774E">
        <w:rPr>
          <w:rFonts w:ascii="Palatino Linotype" w:hAnsi="Palatino Linotype"/>
          <w:color w:val="000000" w:themeColor="text1"/>
          <w:sz w:val="24"/>
          <w:szCs w:val="24"/>
        </w:rPr>
        <w:t>días</w:t>
      </w:r>
      <w:r w:rsidRPr="0020774E">
        <w:rPr>
          <w:rFonts w:ascii="Palatino Linotype" w:hAnsi="Palatino Linotype"/>
          <w:color w:val="000000" w:themeColor="text1"/>
          <w:sz w:val="24"/>
          <w:szCs w:val="24"/>
        </w:rPr>
        <w:t xml:space="preserve"> </w:t>
      </w:r>
      <w:r w:rsidR="000A6285" w:rsidRPr="0020774E">
        <w:rPr>
          <w:rFonts w:ascii="Palatino Linotype" w:hAnsi="Palatino Linotype"/>
          <w:color w:val="000000" w:themeColor="text1"/>
          <w:sz w:val="24"/>
          <w:szCs w:val="24"/>
        </w:rPr>
        <w:t>hábiles</w:t>
      </w:r>
      <w:r w:rsidRPr="0020774E">
        <w:rPr>
          <w:rFonts w:ascii="Palatino Linotype" w:hAnsi="Palatino Linotype"/>
          <w:color w:val="000000" w:themeColor="text1"/>
          <w:sz w:val="24"/>
          <w:szCs w:val="24"/>
        </w:rPr>
        <w:t>, manifiesten lo que a su derecho convenga.</w:t>
      </w:r>
    </w:p>
    <w:p w:rsidR="00A0734F" w:rsidRDefault="00A0734F">
      <w:pPr>
        <w:tabs>
          <w:tab w:val="left" w:pos="284"/>
        </w:tabs>
        <w:spacing w:after="0" w:line="360" w:lineRule="auto"/>
        <w:jc w:val="both"/>
        <w:rPr>
          <w:rFonts w:ascii="Palatino Linotype" w:hAnsi="Palatino Linotype"/>
          <w:color w:val="000000" w:themeColor="text1"/>
          <w:sz w:val="24"/>
          <w:szCs w:val="24"/>
        </w:rPr>
      </w:pPr>
    </w:p>
    <w:p w:rsidR="00A0734F" w:rsidRPr="00F64F96" w:rsidRDefault="00A0734F" w:rsidP="00A0734F">
      <w:pPr>
        <w:pBdr>
          <w:top w:val="nil"/>
          <w:left w:val="nil"/>
          <w:bottom w:val="nil"/>
          <w:right w:val="nil"/>
          <w:between w:val="nil"/>
        </w:pBdr>
        <w:suppressAutoHyphens w:val="0"/>
        <w:spacing w:after="0" w:line="360" w:lineRule="auto"/>
        <w:jc w:val="both"/>
        <w:rPr>
          <w:rFonts w:ascii="Palatino Linotype" w:eastAsia="Palatino Linotype" w:hAnsi="Palatino Linotype" w:cs="Palatino Linotype"/>
          <w:color w:val="000000"/>
          <w:sz w:val="24"/>
          <w:szCs w:val="24"/>
        </w:rPr>
      </w:pPr>
      <w:r w:rsidRPr="00F64F96">
        <w:rPr>
          <w:rFonts w:ascii="Palatino Linotype" w:eastAsia="Palatino Linotype" w:hAnsi="Palatino Linotype" w:cs="Palatino Linotype"/>
          <w:color w:val="000000"/>
          <w:sz w:val="24"/>
          <w:szCs w:val="24"/>
        </w:rPr>
        <w:t>Posteriormente el Pleno de este Órgano Autónomo, en la</w:t>
      </w:r>
      <w:r w:rsidRPr="00F64F96">
        <w:rPr>
          <w:rFonts w:ascii="Palatino Linotype" w:eastAsia="Palatino Linotype" w:hAnsi="Palatino Linotype" w:cs="Palatino Linotype"/>
          <w:b/>
          <w:color w:val="000000"/>
          <w:sz w:val="24"/>
          <w:szCs w:val="24"/>
        </w:rPr>
        <w:t xml:space="preserve"> Trigésima Primera Sesión Ordinaria </w:t>
      </w:r>
      <w:r w:rsidRPr="00F64F96">
        <w:rPr>
          <w:rFonts w:ascii="Palatino Linotype" w:eastAsia="Palatino Linotype" w:hAnsi="Palatino Linotype" w:cs="Palatino Linotype"/>
          <w:color w:val="000000"/>
          <w:sz w:val="24"/>
          <w:szCs w:val="24"/>
        </w:rPr>
        <w:t>de fecha</w:t>
      </w:r>
      <w:r w:rsidRPr="00F64F96">
        <w:rPr>
          <w:rFonts w:ascii="Palatino Linotype" w:eastAsia="Palatino Linotype" w:hAnsi="Palatino Linotype" w:cs="Palatino Linotype"/>
          <w:b/>
          <w:color w:val="000000"/>
          <w:sz w:val="24"/>
          <w:szCs w:val="24"/>
        </w:rPr>
        <w:t xml:space="preserve"> cuatro de septiembre de dos mil veinticuatro</w:t>
      </w:r>
      <w:r w:rsidRPr="00F64F96">
        <w:rPr>
          <w:rFonts w:ascii="Palatino Linotype" w:eastAsia="Palatino Linotype" w:hAnsi="Palatino Linotype" w:cs="Palatino Linotype"/>
          <w:color w:val="000000"/>
          <w:sz w:val="24"/>
          <w:szCs w:val="24"/>
        </w:rPr>
        <w:t xml:space="preserve">; ordenó la acumulación de los recursos de revisión de mérito, a efecto de que la Ponencia de la </w:t>
      </w:r>
      <w:r w:rsidRPr="00F64F96">
        <w:rPr>
          <w:rFonts w:ascii="Palatino Linotype" w:eastAsia="Palatino Linotype" w:hAnsi="Palatino Linotype" w:cs="Palatino Linotype"/>
          <w:b/>
          <w:color w:val="000000"/>
          <w:sz w:val="24"/>
          <w:szCs w:val="24"/>
        </w:rPr>
        <w:t>Comi</w:t>
      </w:r>
      <w:r w:rsidRPr="00F64F96">
        <w:rPr>
          <w:rFonts w:ascii="Palatino Linotype" w:eastAsia="Palatino Linotype" w:hAnsi="Palatino Linotype" w:cs="Palatino Linotype"/>
          <w:b/>
          <w:color w:val="000000"/>
          <w:sz w:val="24"/>
          <w:szCs w:val="24"/>
        </w:rPr>
        <w:lastRenderedPageBreak/>
        <w:t xml:space="preserve">sionada María del Rosario Mejía Ayala </w:t>
      </w:r>
      <w:r w:rsidRPr="00F64F96">
        <w:rPr>
          <w:rFonts w:ascii="Palatino Linotype" w:eastAsia="Palatino Linotype" w:hAnsi="Palatino Linotype" w:cs="Palatino Linotype"/>
          <w:sz w:val="24"/>
          <w:szCs w:val="24"/>
        </w:rPr>
        <w:t>formulará</w:t>
      </w:r>
      <w:r w:rsidRPr="00F64F96">
        <w:rPr>
          <w:rFonts w:ascii="Palatino Linotype" w:eastAsia="Palatino Linotype" w:hAnsi="Palatino Linotype" w:cs="Palatino Linotype"/>
          <w:color w:val="000000"/>
          <w:sz w:val="24"/>
          <w:szCs w:val="24"/>
        </w:rPr>
        <w:t xml:space="preserve"> y </w:t>
      </w:r>
      <w:r w:rsidRPr="00F64F96">
        <w:rPr>
          <w:rFonts w:ascii="Palatino Linotype" w:eastAsia="Palatino Linotype" w:hAnsi="Palatino Linotype" w:cs="Palatino Linotype"/>
          <w:sz w:val="24"/>
          <w:szCs w:val="24"/>
        </w:rPr>
        <w:t>presentará</w:t>
      </w:r>
      <w:r w:rsidRPr="00F64F96">
        <w:rPr>
          <w:rFonts w:ascii="Palatino Linotype" w:eastAsia="Palatino Linotype" w:hAnsi="Palatino Linotype" w:cs="Palatino Linotype"/>
          <w:color w:val="000000"/>
          <w:sz w:val="24"/>
          <w:szCs w:val="24"/>
        </w:rPr>
        <w:t xml:space="preserve">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sidRPr="00F64F96">
        <w:rPr>
          <w:rFonts w:ascii="Palatino Linotype" w:eastAsia="Palatino Linotype" w:hAnsi="Palatino Linotype" w:cs="Palatino Linotype"/>
          <w:i/>
          <w:color w:val="000000"/>
          <w:sz w:val="24"/>
          <w:szCs w:val="24"/>
          <w:vertAlign w:val="superscript"/>
        </w:rPr>
        <w:footnoteReference w:id="1"/>
      </w:r>
      <w:r w:rsidRPr="00F64F96">
        <w:rPr>
          <w:rFonts w:ascii="Palatino Linotype" w:eastAsia="Palatino Linotype" w:hAnsi="Palatino Linotype" w:cs="Palatino Linotype"/>
          <w:color w:val="000000"/>
          <w:sz w:val="24"/>
          <w:szCs w:val="24"/>
        </w:rPr>
        <w:t>, que señala:</w:t>
      </w:r>
    </w:p>
    <w:p w:rsidR="00A0734F" w:rsidRPr="009A4E15" w:rsidRDefault="00A0734F" w:rsidP="00A0734F">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9A4E15">
        <w:rPr>
          <w:rFonts w:ascii="Palatino Linotype" w:eastAsia="Palatino Linotype" w:hAnsi="Palatino Linotype" w:cs="Palatino Linotype"/>
          <w:b/>
          <w:i/>
          <w:color w:val="000000"/>
        </w:rPr>
        <w:t>“ONCE.</w:t>
      </w:r>
      <w:r w:rsidRPr="009A4E15">
        <w:rPr>
          <w:rFonts w:ascii="Palatino Linotype" w:eastAsia="Palatino Linotype" w:hAnsi="Palatino Linotype" w:cs="Palatino Linotype"/>
          <w:i/>
          <w:color w:val="000000"/>
        </w:rPr>
        <w:t xml:space="preserve"> El Instituto, para mejor resolver y evitar la emisión de resoluciones contradictorias,</w:t>
      </w:r>
      <w:r w:rsidRPr="009A4E15">
        <w:rPr>
          <w:rFonts w:ascii="Palatino Linotype" w:eastAsia="Palatino Linotype" w:hAnsi="Palatino Linotype" w:cs="Palatino Linotype"/>
          <w:i/>
          <w:color w:val="000000"/>
        </w:rPr>
        <w:tab/>
        <w:t xml:space="preserve"> podrá acordar la acumulación de los expedientes de recursos de revisión, de oficio o a petición de parte cuando:</w:t>
      </w:r>
    </w:p>
    <w:p w:rsidR="00A0734F" w:rsidRPr="009A4E15" w:rsidRDefault="00A0734F" w:rsidP="00A0734F">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9A4E15">
        <w:rPr>
          <w:rFonts w:ascii="Palatino Linotype" w:eastAsia="Palatino Linotype" w:hAnsi="Palatino Linotype" w:cs="Palatino Linotype"/>
          <w:i/>
          <w:color w:val="000000"/>
        </w:rPr>
        <w:t>…</w:t>
      </w:r>
      <w:r w:rsidRPr="009A4E15">
        <w:rPr>
          <w:rFonts w:ascii="Palatino Linotype" w:eastAsia="Palatino Linotype" w:hAnsi="Palatino Linotype" w:cs="Palatino Linotype"/>
          <w:i/>
          <w:color w:val="000000"/>
        </w:rPr>
        <w:tab/>
      </w:r>
    </w:p>
    <w:p w:rsidR="00A0734F" w:rsidRPr="009A4E15" w:rsidRDefault="00A0734F" w:rsidP="00A0734F">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9A4E15">
        <w:rPr>
          <w:rFonts w:ascii="Palatino Linotype" w:eastAsia="Palatino Linotype" w:hAnsi="Palatino Linotype" w:cs="Palatino Linotype"/>
          <w:i/>
          <w:color w:val="000000"/>
        </w:rPr>
        <w:t>b) Las partes o los actos impugnados sean iguales</w:t>
      </w:r>
    </w:p>
    <w:p w:rsidR="00A0734F" w:rsidRPr="009A4E15" w:rsidRDefault="00A0734F" w:rsidP="00A0734F">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9A4E15">
        <w:rPr>
          <w:rFonts w:ascii="Palatino Linotype" w:eastAsia="Palatino Linotype" w:hAnsi="Palatino Linotype" w:cs="Palatino Linotype"/>
          <w:i/>
          <w:color w:val="000000"/>
        </w:rPr>
        <w:t>c) Cuando se trate del mismo solicitante, el mismo SUJETO OBLIGADO, aunque se trate de solicitudes diversas;</w:t>
      </w:r>
    </w:p>
    <w:p w:rsidR="00A0734F" w:rsidRPr="009A4E15" w:rsidRDefault="00A0734F" w:rsidP="00A0734F">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9A4E15">
        <w:rPr>
          <w:rFonts w:ascii="Palatino Linotype" w:eastAsia="Palatino Linotype" w:hAnsi="Palatino Linotype" w:cs="Palatino Linotype"/>
          <w:i/>
          <w:color w:val="000000"/>
        </w:rPr>
        <w:t>(…)”</w:t>
      </w:r>
    </w:p>
    <w:p w:rsidR="00A0734F" w:rsidRPr="009A4E15" w:rsidRDefault="00A0734F" w:rsidP="00A0734F">
      <w:pPr>
        <w:pBdr>
          <w:top w:val="nil"/>
          <w:left w:val="nil"/>
          <w:bottom w:val="nil"/>
          <w:right w:val="nil"/>
          <w:between w:val="nil"/>
        </w:pBdr>
        <w:ind w:left="1134" w:right="900"/>
        <w:jc w:val="both"/>
        <w:rPr>
          <w:rFonts w:ascii="Palatino Linotype" w:eastAsia="Palatino Linotype" w:hAnsi="Palatino Linotype" w:cs="Palatino Linotype"/>
          <w:color w:val="000000"/>
        </w:rPr>
      </w:pPr>
      <w:r w:rsidRPr="009A4E15">
        <w:rPr>
          <w:rFonts w:ascii="Palatino Linotype" w:eastAsia="Palatino Linotype" w:hAnsi="Palatino Linotype" w:cs="Palatino Linotype"/>
          <w:color w:val="000000"/>
        </w:rPr>
        <w:t>(Énfasis añadido)</w:t>
      </w:r>
    </w:p>
    <w:p w:rsidR="00A0734F" w:rsidRPr="00ED174F" w:rsidRDefault="00A0734F" w:rsidP="00A0734F">
      <w:pPr>
        <w:pBdr>
          <w:top w:val="nil"/>
          <w:left w:val="nil"/>
          <w:bottom w:val="nil"/>
          <w:right w:val="nil"/>
          <w:between w:val="nil"/>
        </w:pBdr>
        <w:ind w:left="1134" w:right="900"/>
        <w:jc w:val="both"/>
        <w:rPr>
          <w:rFonts w:ascii="Palatino Linotype" w:eastAsia="Palatino Linotype" w:hAnsi="Palatino Linotype" w:cs="Palatino Linotype"/>
          <w:color w:val="000000"/>
          <w:highlight w:val="yellow"/>
        </w:rPr>
      </w:pPr>
    </w:p>
    <w:p w:rsidR="00A0734F" w:rsidRPr="00F64F96" w:rsidRDefault="00A0734F" w:rsidP="00A0734F">
      <w:pPr>
        <w:pBdr>
          <w:top w:val="nil"/>
          <w:left w:val="nil"/>
          <w:bottom w:val="nil"/>
          <w:right w:val="nil"/>
          <w:between w:val="nil"/>
        </w:pBdr>
        <w:suppressAutoHyphens w:val="0"/>
        <w:spacing w:after="0" w:line="360" w:lineRule="auto"/>
        <w:jc w:val="both"/>
        <w:rPr>
          <w:rFonts w:ascii="Palatino Linotype" w:eastAsia="Palatino Linotype" w:hAnsi="Palatino Linotype" w:cs="Palatino Linotype"/>
          <w:color w:val="000000"/>
          <w:sz w:val="24"/>
          <w:szCs w:val="24"/>
        </w:rPr>
      </w:pPr>
      <w:r w:rsidRPr="00F64F96">
        <w:rPr>
          <w:rFonts w:ascii="Palatino Linotype" w:eastAsia="Palatino Linotype" w:hAnsi="Palatino Linotype" w:cs="Palatino Linotype"/>
          <w:color w:val="000000"/>
          <w:sz w:val="24"/>
          <w:szCs w:val="24"/>
        </w:rPr>
        <w:t>Es así que,</w:t>
      </w:r>
      <w:r w:rsidRPr="00F64F96">
        <w:rPr>
          <w:rFonts w:ascii="Palatino Linotype" w:eastAsia="Palatino Linotype" w:hAnsi="Palatino Linotype" w:cs="Palatino Linotype"/>
          <w:i/>
          <w:color w:val="000000"/>
          <w:sz w:val="24"/>
          <w:szCs w:val="24"/>
        </w:rPr>
        <w:t xml:space="preserve"> </w:t>
      </w:r>
      <w:r w:rsidRPr="00F64F96">
        <w:rPr>
          <w:rFonts w:ascii="Palatino Linotype" w:eastAsia="Palatino Linotype" w:hAnsi="Palatino Linotype" w:cs="Palatino Linotype"/>
          <w:color w:val="000000"/>
          <w:sz w:val="24"/>
          <w:szCs w:val="24"/>
        </w:rPr>
        <w:t xml:space="preserve">resulta conveniente su trámite de forma unificada para mejor resolver y evitar la emisión de resoluciones contradictorias, por ello resultó procedente que este Órgano Garante </w:t>
      </w:r>
      <w:r w:rsidRPr="00F64F96">
        <w:rPr>
          <w:rFonts w:ascii="Palatino Linotype" w:eastAsia="Palatino Linotype" w:hAnsi="Palatino Linotype" w:cs="Palatino Linotype"/>
          <w:sz w:val="24"/>
          <w:szCs w:val="24"/>
        </w:rPr>
        <w:t>realizará</w:t>
      </w:r>
      <w:r w:rsidRPr="00F64F96">
        <w:rPr>
          <w:rFonts w:ascii="Palatino Linotype" w:eastAsia="Palatino Linotype" w:hAnsi="Palatino Linotype" w:cs="Palatino Linotype"/>
          <w:color w:val="000000"/>
          <w:sz w:val="24"/>
          <w:szCs w:val="24"/>
        </w:rPr>
        <w:t xml:space="preserve">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rsidR="00A0734F" w:rsidRPr="009A4E15" w:rsidRDefault="00A0734F" w:rsidP="00A0734F">
      <w:pPr>
        <w:pBdr>
          <w:top w:val="nil"/>
          <w:left w:val="nil"/>
          <w:bottom w:val="nil"/>
          <w:right w:val="nil"/>
          <w:between w:val="nil"/>
        </w:pBdr>
        <w:ind w:left="1134" w:right="900"/>
        <w:jc w:val="both"/>
        <w:rPr>
          <w:rFonts w:ascii="Palatino Linotype" w:eastAsia="Palatino Linotype" w:hAnsi="Palatino Linotype" w:cs="Palatino Linotype"/>
          <w:b/>
          <w:i/>
          <w:color w:val="000000"/>
        </w:rPr>
      </w:pPr>
      <w:r w:rsidRPr="009A4E15">
        <w:rPr>
          <w:rFonts w:ascii="Palatino Linotype" w:eastAsia="Palatino Linotype" w:hAnsi="Palatino Linotype" w:cs="Palatino Linotype"/>
          <w:b/>
          <w:i/>
          <w:color w:val="000000"/>
        </w:rPr>
        <w:lastRenderedPageBreak/>
        <w:t>Código de Procedimientos Administrativos del Estado de México.</w:t>
      </w:r>
    </w:p>
    <w:p w:rsidR="00A0734F" w:rsidRPr="009A4E15" w:rsidRDefault="00A0734F" w:rsidP="00A0734F">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9A4E15">
        <w:rPr>
          <w:rFonts w:ascii="Palatino Linotype" w:eastAsia="Palatino Linotype" w:hAnsi="Palatino Linotype" w:cs="Palatino Linotype"/>
          <w:b/>
          <w:i/>
          <w:color w:val="000000"/>
        </w:rPr>
        <w:t>“Artículo 18.-</w:t>
      </w:r>
      <w:r w:rsidRPr="009A4E15">
        <w:rPr>
          <w:rFonts w:ascii="Palatino Linotype" w:eastAsia="Palatino Linotype" w:hAnsi="Palatino Linotype" w:cs="Palatino Linotype"/>
          <w:i/>
          <w:color w:val="000000"/>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rsidR="00A0734F" w:rsidRPr="009A4E15" w:rsidRDefault="00A0734F" w:rsidP="00A0734F">
      <w:pPr>
        <w:pBdr>
          <w:top w:val="nil"/>
          <w:left w:val="nil"/>
          <w:bottom w:val="nil"/>
          <w:right w:val="nil"/>
          <w:between w:val="nil"/>
        </w:pBdr>
        <w:ind w:left="1134" w:right="900"/>
        <w:jc w:val="both"/>
        <w:rPr>
          <w:rFonts w:ascii="Palatino Linotype" w:eastAsia="Palatino Linotype" w:hAnsi="Palatino Linotype" w:cs="Palatino Linotype"/>
          <w:b/>
          <w:i/>
          <w:color w:val="000000"/>
        </w:rPr>
      </w:pPr>
      <w:r w:rsidRPr="009A4E15">
        <w:rPr>
          <w:rFonts w:ascii="Palatino Linotype" w:eastAsia="Palatino Linotype" w:hAnsi="Palatino Linotype" w:cs="Palatino Linotype"/>
          <w:b/>
          <w:i/>
          <w:color w:val="000000"/>
        </w:rPr>
        <w:t>Ley de Transparencia y Acceso a la Información Pública del Estado de México y Municipios</w:t>
      </w:r>
    </w:p>
    <w:p w:rsidR="00A0734F" w:rsidRPr="009A4E15" w:rsidRDefault="00A0734F" w:rsidP="00A0734F">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9A4E15">
        <w:rPr>
          <w:rFonts w:ascii="Palatino Linotype" w:eastAsia="Palatino Linotype" w:hAnsi="Palatino Linotype" w:cs="Palatino Linotype"/>
          <w:b/>
          <w:i/>
          <w:color w:val="000000"/>
        </w:rPr>
        <w:t>“Artículo 195.</w:t>
      </w:r>
      <w:r w:rsidRPr="009A4E15">
        <w:rPr>
          <w:rFonts w:ascii="Palatino Linotype" w:eastAsia="Palatino Linotype" w:hAnsi="Palatino Linotype" w:cs="Palatino Linotype"/>
          <w:i/>
          <w:color w:val="000000"/>
        </w:rPr>
        <w:t xml:space="preserve"> En la tramitación del recurso de revisión se aplicarán supletoriamente las disposiciones contenidas en el Código de Procedimientos Administrativos del Estado de México.”</w:t>
      </w:r>
    </w:p>
    <w:p w:rsidR="00A0734F" w:rsidRDefault="00A0734F" w:rsidP="00A0734F">
      <w:pPr>
        <w:pBdr>
          <w:top w:val="nil"/>
          <w:left w:val="nil"/>
          <w:bottom w:val="nil"/>
          <w:right w:val="nil"/>
          <w:between w:val="nil"/>
        </w:pBdr>
        <w:ind w:left="1134" w:right="900" w:firstLine="360"/>
        <w:jc w:val="both"/>
        <w:rPr>
          <w:rFonts w:ascii="Palatino Linotype" w:eastAsia="Palatino Linotype" w:hAnsi="Palatino Linotype" w:cs="Palatino Linotype"/>
          <w:i/>
          <w:color w:val="000000"/>
        </w:rPr>
      </w:pPr>
      <w:r w:rsidRPr="009A4E15">
        <w:rPr>
          <w:rFonts w:ascii="Palatino Linotype" w:eastAsia="Palatino Linotype" w:hAnsi="Palatino Linotype" w:cs="Palatino Linotype"/>
          <w:i/>
          <w:color w:val="000000"/>
        </w:rPr>
        <w:t>(Énfasis añadido)</w:t>
      </w:r>
    </w:p>
    <w:p w:rsidR="00A0734F" w:rsidRPr="0020774E" w:rsidRDefault="00A0734F">
      <w:pPr>
        <w:tabs>
          <w:tab w:val="left" w:pos="284"/>
        </w:tabs>
        <w:spacing w:after="0" w:line="360" w:lineRule="auto"/>
        <w:jc w:val="both"/>
        <w:rPr>
          <w:rFonts w:ascii="Palatino Linotype" w:hAnsi="Palatino Linotype"/>
          <w:color w:val="000000" w:themeColor="text1"/>
          <w:sz w:val="24"/>
          <w:szCs w:val="24"/>
        </w:rPr>
      </w:pPr>
    </w:p>
    <w:p w:rsidR="006D6CD2" w:rsidRPr="0020774E" w:rsidRDefault="006D6CD2">
      <w:pPr>
        <w:spacing w:after="0" w:line="360" w:lineRule="auto"/>
        <w:jc w:val="both"/>
        <w:rPr>
          <w:rFonts w:ascii="Palatino Linotype" w:eastAsia="Palatino Linotype" w:hAnsi="Palatino Linotype" w:cs="Palatino Linotype"/>
          <w:color w:val="000000" w:themeColor="text1"/>
          <w:sz w:val="24"/>
          <w:szCs w:val="24"/>
          <w:lang w:val="es-ES_tradnl"/>
        </w:rPr>
      </w:pPr>
    </w:p>
    <w:p w:rsidR="006D6CD2" w:rsidRPr="0020774E" w:rsidRDefault="00443924">
      <w:pPr>
        <w:spacing w:after="0" w:line="360" w:lineRule="auto"/>
        <w:jc w:val="both"/>
        <w:rPr>
          <w:rFonts w:ascii="Palatino Linotype" w:eastAsia="Palatino Linotype" w:hAnsi="Palatino Linotype" w:cs="Palatino Linotype"/>
          <w:b/>
          <w:color w:val="000000" w:themeColor="text1"/>
          <w:sz w:val="24"/>
          <w:szCs w:val="24"/>
          <w:lang w:val="es-ES_tradnl"/>
        </w:rPr>
      </w:pPr>
      <w:r w:rsidRPr="0020774E">
        <w:rPr>
          <w:rFonts w:ascii="Palatino Linotype" w:eastAsia="Palatino Linotype" w:hAnsi="Palatino Linotype" w:cs="Palatino Linotype"/>
          <w:b/>
          <w:color w:val="000000" w:themeColor="text1"/>
          <w:sz w:val="24"/>
          <w:szCs w:val="24"/>
          <w:lang w:val="es-ES_tradnl"/>
        </w:rPr>
        <w:t>QUINTO. De la etapa de instrucción.</w:t>
      </w:r>
    </w:p>
    <w:p w:rsidR="006D6CD2" w:rsidRPr="0020774E" w:rsidRDefault="00443924">
      <w:pPr>
        <w:spacing w:after="0" w:line="360" w:lineRule="auto"/>
        <w:jc w:val="both"/>
        <w:rPr>
          <w:rFonts w:ascii="Palatino Linotype" w:eastAsia="Palatino Linotype" w:hAnsi="Palatino Linotype" w:cs="Palatino Linotype"/>
          <w:color w:val="000000" w:themeColor="text1"/>
          <w:sz w:val="24"/>
          <w:szCs w:val="24"/>
          <w:lang w:val="es-ES_tradnl"/>
        </w:rPr>
      </w:pPr>
      <w:r w:rsidRPr="0020774E">
        <w:rPr>
          <w:rFonts w:ascii="Palatino Linotype" w:eastAsia="Palatino Linotype" w:hAnsi="Palatino Linotype" w:cs="Palatino Linotype"/>
          <w:color w:val="000000" w:themeColor="text1"/>
          <w:sz w:val="24"/>
          <w:szCs w:val="24"/>
          <w:lang w:val="es-ES_tradnl"/>
        </w:rPr>
        <w:t>El Sujeto Obligado no rindió el Informe Justificado y la parte Recurrente no realizó manifestaciones, alegatos ni presentó pruebas que a su derecho convinieran.</w:t>
      </w:r>
    </w:p>
    <w:p w:rsidR="006D6CD2" w:rsidRPr="0020774E" w:rsidRDefault="006D6CD2">
      <w:pPr>
        <w:spacing w:after="0" w:line="360" w:lineRule="auto"/>
        <w:jc w:val="both"/>
        <w:rPr>
          <w:rFonts w:ascii="Palatino Linotype" w:eastAsia="Palatino Linotype" w:hAnsi="Palatino Linotype" w:cs="Palatino Linotype"/>
          <w:color w:val="000000" w:themeColor="text1"/>
          <w:sz w:val="24"/>
          <w:szCs w:val="24"/>
          <w:lang w:val="es-ES_tradnl"/>
        </w:rPr>
      </w:pPr>
    </w:p>
    <w:p w:rsidR="006D6CD2" w:rsidRPr="0020774E" w:rsidRDefault="00443924">
      <w:pPr>
        <w:spacing w:after="0" w:line="360" w:lineRule="auto"/>
        <w:jc w:val="both"/>
        <w:rPr>
          <w:rFonts w:ascii="Palatino Linotype" w:eastAsia="Palatino Linotype" w:hAnsi="Palatino Linotype" w:cs="Palatino Linotype"/>
          <w:b/>
          <w:color w:val="000000" w:themeColor="text1"/>
          <w:sz w:val="24"/>
          <w:szCs w:val="24"/>
          <w:lang w:val="es-ES_tradnl"/>
        </w:rPr>
      </w:pPr>
      <w:r w:rsidRPr="0020774E">
        <w:rPr>
          <w:rFonts w:ascii="Palatino Linotype" w:eastAsia="Palatino Linotype" w:hAnsi="Palatino Linotype" w:cs="Palatino Linotype"/>
          <w:b/>
          <w:color w:val="000000" w:themeColor="text1"/>
          <w:sz w:val="24"/>
          <w:szCs w:val="24"/>
          <w:lang w:val="es-ES_tradnl"/>
        </w:rPr>
        <w:t>SEXTO. Del cierre de instrucción.</w:t>
      </w:r>
    </w:p>
    <w:p w:rsidR="006D6CD2" w:rsidRPr="0020774E" w:rsidRDefault="00443924">
      <w:pPr>
        <w:spacing w:line="360" w:lineRule="auto"/>
        <w:jc w:val="both"/>
        <w:rPr>
          <w:rFonts w:ascii="Palatino Linotype" w:eastAsia="Palatino Linotype" w:hAnsi="Palatino Linotype" w:cs="Palatino Linotype"/>
          <w:color w:val="000000" w:themeColor="text1"/>
          <w:sz w:val="24"/>
          <w:szCs w:val="24"/>
        </w:rPr>
      </w:pPr>
      <w:r w:rsidRPr="0020774E">
        <w:rPr>
          <w:rFonts w:ascii="Palatino Linotype" w:eastAsia="Palatino Linotype" w:hAnsi="Palatino Linotype" w:cs="Palatino Linotype"/>
          <w:color w:val="000000" w:themeColor="text1"/>
          <w:sz w:val="24"/>
          <w:szCs w:val="24"/>
          <w:lang w:val="es-ES_tradnl"/>
        </w:rPr>
        <w:t>En términos del artículo 185 fracciones VI y VIII de la Ley de Transparencia y Acceso a la Información Pública del Estado d</w:t>
      </w:r>
      <w:r w:rsidR="000A6285" w:rsidRPr="0020774E">
        <w:rPr>
          <w:rFonts w:ascii="Palatino Linotype" w:eastAsia="Palatino Linotype" w:hAnsi="Palatino Linotype" w:cs="Palatino Linotype"/>
          <w:color w:val="000000" w:themeColor="text1"/>
          <w:sz w:val="24"/>
          <w:szCs w:val="24"/>
          <w:lang w:val="es-ES_tradnl"/>
        </w:rPr>
        <w:t xml:space="preserve">e México y Municipios, el </w:t>
      </w:r>
      <w:r w:rsidR="000A6285" w:rsidRPr="009A4E15">
        <w:rPr>
          <w:rFonts w:ascii="Palatino Linotype" w:eastAsia="Palatino Linotype" w:hAnsi="Palatino Linotype" w:cs="Palatino Linotype"/>
          <w:color w:val="000000" w:themeColor="text1"/>
          <w:sz w:val="24"/>
          <w:szCs w:val="24"/>
          <w:lang w:val="es-ES_tradnl"/>
        </w:rPr>
        <w:t>cinco</w:t>
      </w:r>
      <w:r w:rsidR="00ED174F" w:rsidRPr="009A4E15">
        <w:rPr>
          <w:rFonts w:ascii="Palatino Linotype" w:eastAsia="Palatino Linotype" w:hAnsi="Palatino Linotype" w:cs="Palatino Linotype"/>
          <w:color w:val="000000" w:themeColor="text1"/>
          <w:sz w:val="24"/>
          <w:szCs w:val="24"/>
          <w:lang w:val="es-ES_tradnl"/>
        </w:rPr>
        <w:t xml:space="preserve"> y seis</w:t>
      </w:r>
      <w:r w:rsidRPr="0020774E">
        <w:rPr>
          <w:rFonts w:ascii="Palatino Linotype" w:eastAsia="Palatino Linotype" w:hAnsi="Palatino Linotype" w:cs="Palatino Linotype"/>
          <w:color w:val="000000" w:themeColor="text1"/>
          <w:sz w:val="24"/>
          <w:szCs w:val="24"/>
          <w:lang w:val="es-ES_tradnl"/>
        </w:rPr>
        <w:t xml:space="preserve"> de septiembre de dos mil veinticuatro se decretó el cierre de instrucción, y </w:t>
      </w:r>
      <w:r w:rsidRPr="0020774E">
        <w:rPr>
          <w:rFonts w:ascii="Palatino Linotype" w:eastAsia="Palatino Linotype" w:hAnsi="Palatino Linotype" w:cs="Palatino Linotype"/>
          <w:color w:val="000000" w:themeColor="text1"/>
          <w:sz w:val="24"/>
          <w:szCs w:val="24"/>
        </w:rPr>
        <w:t xml:space="preserve">se ordenó la Resolución que conforme a Derecho proceda, de acuerdo con los siguientes: </w:t>
      </w:r>
    </w:p>
    <w:p w:rsidR="006D6CD2" w:rsidRPr="0020774E" w:rsidRDefault="006D6CD2">
      <w:pPr>
        <w:spacing w:after="0" w:line="360" w:lineRule="auto"/>
        <w:jc w:val="both"/>
        <w:rPr>
          <w:rFonts w:ascii="Palatino Linotype" w:hAnsi="Palatino Linotype" w:cs="Arial"/>
          <w:color w:val="000000" w:themeColor="text1"/>
          <w:sz w:val="24"/>
          <w:szCs w:val="24"/>
        </w:rPr>
      </w:pPr>
    </w:p>
    <w:p w:rsidR="006D6CD2" w:rsidRPr="0020774E" w:rsidRDefault="00443924">
      <w:pPr>
        <w:spacing w:after="0" w:line="360" w:lineRule="auto"/>
        <w:jc w:val="center"/>
        <w:rPr>
          <w:rFonts w:ascii="Palatino Linotype" w:hAnsi="Palatino Linotype" w:cs="Arial"/>
          <w:color w:val="000000" w:themeColor="text1"/>
          <w:sz w:val="24"/>
          <w:szCs w:val="24"/>
        </w:rPr>
      </w:pPr>
      <w:r w:rsidRPr="0020774E">
        <w:rPr>
          <w:rFonts w:ascii="Palatino Linotype" w:hAnsi="Palatino Linotype" w:cs="Arial"/>
          <w:b/>
          <w:color w:val="000000" w:themeColor="text1"/>
          <w:sz w:val="28"/>
          <w:szCs w:val="24"/>
        </w:rPr>
        <w:lastRenderedPageBreak/>
        <w:t xml:space="preserve">C O N S I D E R A N D O </w:t>
      </w:r>
    </w:p>
    <w:p w:rsidR="006D6CD2" w:rsidRPr="0020774E" w:rsidRDefault="006D6CD2">
      <w:pPr>
        <w:spacing w:after="0" w:line="360" w:lineRule="auto"/>
        <w:jc w:val="both"/>
        <w:rPr>
          <w:rFonts w:ascii="Palatino Linotype" w:hAnsi="Palatino Linotype" w:cs="Arial"/>
          <w:color w:val="000000" w:themeColor="text1"/>
          <w:sz w:val="24"/>
          <w:szCs w:val="28"/>
        </w:rPr>
      </w:pPr>
    </w:p>
    <w:p w:rsidR="006D6CD2" w:rsidRPr="0020774E" w:rsidRDefault="00443924">
      <w:pPr>
        <w:spacing w:after="0" w:line="360" w:lineRule="auto"/>
        <w:jc w:val="both"/>
        <w:rPr>
          <w:rFonts w:ascii="Palatino Linotype" w:hAnsi="Palatino Linotype" w:cs="Arial"/>
          <w:color w:val="000000" w:themeColor="text1"/>
          <w:sz w:val="24"/>
          <w:szCs w:val="24"/>
        </w:rPr>
      </w:pPr>
      <w:r w:rsidRPr="0020774E">
        <w:rPr>
          <w:rFonts w:ascii="Palatino Linotype" w:hAnsi="Palatino Linotype" w:cs="Arial"/>
          <w:b/>
          <w:color w:val="000000" w:themeColor="text1"/>
          <w:sz w:val="24"/>
          <w:szCs w:val="24"/>
        </w:rPr>
        <w:t>PRIMERO. De la competencia</w:t>
      </w:r>
      <w:r w:rsidRPr="0020774E">
        <w:rPr>
          <w:rFonts w:ascii="Palatino Linotype" w:hAnsi="Palatino Linotype" w:cs="Arial"/>
          <w:color w:val="000000" w:themeColor="text1"/>
          <w:sz w:val="24"/>
          <w:szCs w:val="24"/>
        </w:rPr>
        <w:t>.</w:t>
      </w:r>
    </w:p>
    <w:p w:rsidR="006D6CD2" w:rsidRPr="0020774E" w:rsidRDefault="00443924">
      <w:pPr>
        <w:spacing w:after="0" w:line="360" w:lineRule="auto"/>
        <w:jc w:val="both"/>
        <w:rPr>
          <w:rFonts w:ascii="Palatino Linotype" w:hAnsi="Palatino Linotype" w:cs="Arial"/>
          <w:color w:val="000000" w:themeColor="text1"/>
          <w:sz w:val="24"/>
          <w:szCs w:val="24"/>
        </w:rPr>
      </w:pPr>
      <w:r w:rsidRPr="0020774E">
        <w:rPr>
          <w:rFonts w:ascii="Palatino Linotype" w:hAnsi="Palatino Linotype" w:cs="Arial"/>
          <w:color w:val="000000" w:themeColor="text1"/>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6D6CD2" w:rsidRPr="0020774E" w:rsidRDefault="006D6CD2">
      <w:pPr>
        <w:spacing w:after="0" w:line="360" w:lineRule="auto"/>
        <w:jc w:val="both"/>
        <w:rPr>
          <w:rFonts w:ascii="Palatino Linotype" w:hAnsi="Palatino Linotype" w:cs="Arial"/>
          <w:color w:val="000000" w:themeColor="text1"/>
          <w:sz w:val="24"/>
          <w:szCs w:val="24"/>
        </w:rPr>
      </w:pPr>
    </w:p>
    <w:p w:rsidR="006D6CD2" w:rsidRPr="0020774E" w:rsidRDefault="00443924">
      <w:pPr>
        <w:spacing w:after="0" w:line="360" w:lineRule="auto"/>
        <w:jc w:val="both"/>
        <w:rPr>
          <w:rFonts w:ascii="Palatino Linotype" w:eastAsia="Palatino Linotype" w:hAnsi="Palatino Linotype" w:cs="Palatino Linotype"/>
          <w:color w:val="000000" w:themeColor="text1"/>
          <w:sz w:val="24"/>
          <w:szCs w:val="24"/>
        </w:rPr>
      </w:pPr>
      <w:r w:rsidRPr="0020774E">
        <w:rPr>
          <w:rFonts w:ascii="Palatino Linotype" w:hAnsi="Palatino Linotype" w:cs="Arial"/>
          <w:b/>
          <w:color w:val="000000" w:themeColor="text1"/>
          <w:sz w:val="24"/>
          <w:szCs w:val="24"/>
        </w:rPr>
        <w:t xml:space="preserve">SEGUNDO. De la </w:t>
      </w:r>
      <w:r w:rsidRPr="0020774E">
        <w:rPr>
          <w:rFonts w:ascii="Palatino Linotype" w:eastAsia="Palatino Linotype" w:hAnsi="Palatino Linotype" w:cs="Palatino Linotype"/>
          <w:b/>
          <w:color w:val="000000" w:themeColor="text1"/>
          <w:sz w:val="24"/>
          <w:szCs w:val="24"/>
        </w:rPr>
        <w:t>Oportunidad y Procedencia del Recurso de Revisión</w:t>
      </w:r>
      <w:r w:rsidRPr="0020774E">
        <w:rPr>
          <w:rFonts w:ascii="Palatino Linotype" w:eastAsia="Palatino Linotype" w:hAnsi="Palatino Linotype" w:cs="Palatino Linotype"/>
          <w:color w:val="000000" w:themeColor="text1"/>
          <w:sz w:val="24"/>
          <w:szCs w:val="24"/>
        </w:rPr>
        <w:t>.</w:t>
      </w:r>
    </w:p>
    <w:p w:rsidR="006D6CD2" w:rsidRPr="0020774E" w:rsidRDefault="00443924">
      <w:pPr>
        <w:spacing w:after="0" w:line="360" w:lineRule="auto"/>
        <w:jc w:val="both"/>
        <w:rPr>
          <w:rFonts w:ascii="Palatino Linotype" w:hAnsi="Palatino Linotype" w:cs="Arial"/>
          <w:b/>
          <w:color w:val="000000" w:themeColor="text1"/>
          <w:sz w:val="24"/>
          <w:szCs w:val="24"/>
        </w:rPr>
      </w:pPr>
      <w:r w:rsidRPr="0020774E">
        <w:rPr>
          <w:rFonts w:ascii="Palatino Linotype" w:hAnsi="Palatino Linotype" w:cs="Arial"/>
          <w:color w:val="000000" w:themeColor="text1"/>
          <w:sz w:val="24"/>
          <w:szCs w:val="24"/>
        </w:rPr>
        <w:t xml:space="preserve">El artículo 178 de la Ley de Transparencia y Acceso a la Información Pública del Estado de México y Municipios establece que </w:t>
      </w:r>
      <w:r w:rsidRPr="0020774E">
        <w:rPr>
          <w:rFonts w:ascii="Palatino Linotype" w:hAnsi="Palatino Linotype"/>
          <w:color w:val="000000" w:themeColor="text1"/>
          <w:sz w:val="24"/>
          <w:szCs w:val="24"/>
        </w:rPr>
        <w:t xml:space="preserve">el solicitante podrá interponer, por sí mismo o a </w:t>
      </w:r>
      <w:r w:rsidR="009A4E15" w:rsidRPr="0020774E">
        <w:rPr>
          <w:rFonts w:ascii="Palatino Linotype" w:hAnsi="Palatino Linotype"/>
          <w:color w:val="000000" w:themeColor="text1"/>
          <w:sz w:val="24"/>
          <w:szCs w:val="24"/>
        </w:rPr>
        <w:t>través</w:t>
      </w:r>
      <w:r w:rsidRPr="0020774E">
        <w:rPr>
          <w:rFonts w:ascii="Palatino Linotype" w:hAnsi="Palatino Linotype"/>
          <w:color w:val="000000" w:themeColor="text1"/>
          <w:sz w:val="24"/>
          <w:szCs w:val="24"/>
        </w:rPr>
        <w:t xml:space="preserve"> de su representante, de manera directa o por medios electrónicos, recurso de revisión ante el Instituto o ante la Unidad de Transparencia que haya conocido de la solicitud dentro de los quince días hábiles, siguientes a la fecha de la notificación de la respuesta y que ante la falta de respuesta del sujeto obligado, dentro de los plazos establecidos en la Ley de Transparencia Local, a una solicitud de acceso a la </w:t>
      </w:r>
      <w:r w:rsidRPr="0020774E">
        <w:rPr>
          <w:rFonts w:ascii="Palatino Linotype" w:hAnsi="Palatino Linotype"/>
          <w:color w:val="000000" w:themeColor="text1"/>
          <w:sz w:val="24"/>
          <w:szCs w:val="24"/>
        </w:rPr>
        <w:lastRenderedPageBreak/>
        <w:t xml:space="preserve">información pública, el recurso podrá ser interpuesto en cualquier momento, </w:t>
      </w:r>
      <w:r w:rsidRPr="0020774E">
        <w:rPr>
          <w:rFonts w:ascii="Palatino Linotype" w:hAnsi="Palatino Linotype" w:cs="Arial"/>
          <w:color w:val="000000" w:themeColor="text1"/>
          <w:sz w:val="24"/>
          <w:szCs w:val="24"/>
        </w:rPr>
        <w:t>por lo que la interposición del presente recurso de revisión resulta oportuna.</w:t>
      </w:r>
    </w:p>
    <w:p w:rsidR="006D6CD2" w:rsidRPr="0020774E" w:rsidRDefault="006D6CD2">
      <w:pPr>
        <w:spacing w:after="0" w:line="360" w:lineRule="auto"/>
        <w:jc w:val="both"/>
        <w:rPr>
          <w:rFonts w:ascii="Palatino Linotype" w:hAnsi="Palatino Linotype" w:cs="Arial"/>
          <w:color w:val="000000" w:themeColor="text1"/>
          <w:sz w:val="24"/>
          <w:szCs w:val="24"/>
        </w:rPr>
      </w:pPr>
    </w:p>
    <w:p w:rsidR="006D6CD2" w:rsidRPr="0020774E" w:rsidRDefault="00443924">
      <w:pPr>
        <w:spacing w:after="0" w:line="360" w:lineRule="auto"/>
        <w:jc w:val="both"/>
        <w:rPr>
          <w:rFonts w:ascii="Palatino Linotype" w:eastAsia="Palatino Linotype" w:hAnsi="Palatino Linotype" w:cs="Palatino Linotype"/>
          <w:color w:val="000000" w:themeColor="text1"/>
          <w:sz w:val="24"/>
          <w:szCs w:val="24"/>
        </w:rPr>
      </w:pPr>
      <w:r w:rsidRPr="0020774E">
        <w:rPr>
          <w:rFonts w:ascii="Palatino Linotype" w:hAnsi="Palatino Linotype" w:cs="Arial"/>
          <w:color w:val="000000" w:themeColor="text1"/>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w:t>
      </w:r>
      <w:r w:rsidRPr="0020774E">
        <w:rPr>
          <w:rFonts w:ascii="Palatino Linotype" w:eastAsia="Palatino Linotype" w:hAnsi="Palatino Linotype" w:cs="Palatino Linotype"/>
          <w:color w:val="000000" w:themeColor="text1"/>
          <w:sz w:val="24"/>
          <w:szCs w:val="24"/>
        </w:rPr>
        <w:t xml:space="preserve">en su último párrafo establece que cuando el recurso se interponga de manera electrónica, no será indispensable que contenga determinados requisitos, entre ellos, el nombre de la parte </w:t>
      </w:r>
      <w:r w:rsidRPr="0020774E">
        <w:rPr>
          <w:rFonts w:ascii="Palatino Linotype" w:eastAsia="Palatino Linotype" w:hAnsi="Palatino Linotype" w:cs="Palatino Linotype"/>
          <w:b/>
          <w:color w:val="000000" w:themeColor="text1"/>
          <w:sz w:val="24"/>
          <w:szCs w:val="24"/>
        </w:rPr>
        <w:t>Recurrente</w:t>
      </w:r>
      <w:r w:rsidRPr="0020774E">
        <w:rPr>
          <w:rFonts w:ascii="Palatino Linotype" w:eastAsia="Palatino Linotype" w:hAnsi="Palatino Linotype" w:cs="Palatino Linotype"/>
          <w:color w:val="000000" w:themeColor="text1"/>
          <w:sz w:val="24"/>
          <w:szCs w:val="24"/>
        </w:rPr>
        <w:t xml:space="preserve">, por lo que, en el presente caso, al haber sido presentado el recurso de revisión vía </w:t>
      </w:r>
      <w:r w:rsidRPr="0020774E">
        <w:rPr>
          <w:rFonts w:ascii="Palatino Linotype" w:eastAsia="Palatino Linotype" w:hAnsi="Palatino Linotype" w:cs="Palatino Linotype"/>
          <w:b/>
          <w:color w:val="000000" w:themeColor="text1"/>
          <w:sz w:val="24"/>
          <w:szCs w:val="24"/>
        </w:rPr>
        <w:t>SAIMEX</w:t>
      </w:r>
      <w:r w:rsidRPr="0020774E">
        <w:rPr>
          <w:rFonts w:ascii="Palatino Linotype" w:eastAsia="Palatino Linotype" w:hAnsi="Palatino Linotype" w:cs="Palatino Linotype"/>
          <w:color w:val="000000" w:themeColor="text1"/>
          <w:sz w:val="24"/>
          <w:szCs w:val="24"/>
        </w:rPr>
        <w:t>, dicho requisito resulta innecesario.</w:t>
      </w:r>
    </w:p>
    <w:p w:rsidR="006D6CD2" w:rsidRPr="0020774E" w:rsidRDefault="006D6CD2">
      <w:pPr>
        <w:spacing w:after="0" w:line="360" w:lineRule="auto"/>
        <w:jc w:val="both"/>
        <w:rPr>
          <w:rFonts w:ascii="Palatino Linotype" w:hAnsi="Palatino Linotype" w:cs="Arial"/>
          <w:color w:val="000000" w:themeColor="text1"/>
          <w:sz w:val="24"/>
          <w:szCs w:val="24"/>
        </w:rPr>
      </w:pPr>
    </w:p>
    <w:p w:rsidR="006D6CD2" w:rsidRPr="0020774E" w:rsidRDefault="00443924">
      <w:pPr>
        <w:spacing w:before="240" w:after="240" w:line="360" w:lineRule="auto"/>
        <w:jc w:val="both"/>
        <w:rPr>
          <w:rFonts w:ascii="Palatino Linotype" w:eastAsia="Palatino Linotype" w:hAnsi="Palatino Linotype" w:cs="Palatino Linotype"/>
          <w:i/>
          <w:color w:val="000000" w:themeColor="text1"/>
          <w:sz w:val="24"/>
          <w:szCs w:val="24"/>
        </w:rPr>
      </w:pPr>
      <w:r w:rsidRPr="0020774E">
        <w:rPr>
          <w:rFonts w:ascii="Palatino Linotype" w:eastAsia="Palatino Linotype" w:hAnsi="Palatino Linotype" w:cs="Palatino Linotype"/>
          <w:color w:val="000000" w:themeColor="text1"/>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20774E">
        <w:rPr>
          <w:rFonts w:ascii="Palatino Linotype" w:eastAsia="Palatino Linotype" w:hAnsi="Palatino Linotype" w:cs="Palatino Linotype"/>
          <w:b/>
          <w:color w:val="000000" w:themeColor="text1"/>
          <w:sz w:val="24"/>
          <w:szCs w:val="24"/>
        </w:rPr>
        <w:t>Sujeto Obligado</w:t>
      </w:r>
      <w:r w:rsidRPr="0020774E">
        <w:rPr>
          <w:rFonts w:ascii="Palatino Linotype" w:eastAsia="Palatino Linotype" w:hAnsi="Palatino Linotype" w:cs="Palatino Linotype"/>
          <w:color w:val="000000" w:themeColor="text1"/>
          <w:sz w:val="24"/>
          <w:szCs w:val="24"/>
        </w:rPr>
        <w:t xml:space="preserve">, hipótesis jurídica que se actualiza en este caso, aunado a que la parte </w:t>
      </w:r>
      <w:r w:rsidRPr="0020774E">
        <w:rPr>
          <w:rFonts w:ascii="Palatino Linotype" w:eastAsia="Palatino Linotype" w:hAnsi="Palatino Linotype" w:cs="Palatino Linotype"/>
          <w:b/>
          <w:color w:val="000000" w:themeColor="text1"/>
          <w:sz w:val="24"/>
          <w:szCs w:val="24"/>
        </w:rPr>
        <w:t>Recurrente</w:t>
      </w:r>
      <w:r w:rsidRPr="0020774E">
        <w:rPr>
          <w:rFonts w:ascii="Palatino Linotype" w:eastAsia="Palatino Linotype" w:hAnsi="Palatino Linotype" w:cs="Palatino Linotype"/>
          <w:color w:val="000000" w:themeColor="text1"/>
          <w:sz w:val="24"/>
          <w:szCs w:val="24"/>
        </w:rPr>
        <w:t xml:space="preserve"> combate falta de trámite por el </w:t>
      </w:r>
      <w:r w:rsidRPr="0020774E">
        <w:rPr>
          <w:rFonts w:ascii="Palatino Linotype" w:eastAsia="Palatino Linotype" w:hAnsi="Palatino Linotype" w:cs="Palatino Linotype"/>
          <w:b/>
          <w:color w:val="000000" w:themeColor="text1"/>
          <w:sz w:val="24"/>
          <w:szCs w:val="24"/>
        </w:rPr>
        <w:t>Sujeto Obligado</w:t>
      </w:r>
      <w:r w:rsidRPr="0020774E">
        <w:rPr>
          <w:rFonts w:ascii="Palatino Linotype" w:eastAsia="Palatino Linotype" w:hAnsi="Palatino Linotype" w:cs="Palatino Linotype"/>
          <w:color w:val="000000" w:themeColor="text1"/>
          <w:sz w:val="24"/>
          <w:szCs w:val="24"/>
        </w:rPr>
        <w:t xml:space="preserve"> y expresa motivos de inconformidad en contra de dicha circunstancia.</w:t>
      </w:r>
    </w:p>
    <w:p w:rsidR="006D6CD2" w:rsidRPr="0020774E" w:rsidRDefault="006D6CD2">
      <w:pPr>
        <w:spacing w:after="0" w:line="360" w:lineRule="auto"/>
        <w:jc w:val="both"/>
        <w:rPr>
          <w:rFonts w:ascii="Palatino Linotype" w:hAnsi="Palatino Linotype" w:cs="Arial"/>
          <w:color w:val="000000" w:themeColor="text1"/>
          <w:sz w:val="24"/>
          <w:szCs w:val="24"/>
        </w:rPr>
      </w:pPr>
    </w:p>
    <w:p w:rsidR="006D6CD2" w:rsidRPr="0020774E" w:rsidRDefault="00443924">
      <w:pPr>
        <w:spacing w:after="0" w:line="360" w:lineRule="auto"/>
        <w:jc w:val="both"/>
        <w:rPr>
          <w:rFonts w:ascii="Palatino Linotype" w:eastAsia="Times New Roman" w:hAnsi="Palatino Linotype" w:cs="Arial"/>
          <w:color w:val="000000" w:themeColor="text1"/>
          <w:sz w:val="24"/>
          <w:szCs w:val="24"/>
          <w:lang w:val="es-ES" w:eastAsia="es-ES"/>
        </w:rPr>
      </w:pPr>
      <w:r w:rsidRPr="0020774E">
        <w:rPr>
          <w:rFonts w:ascii="Palatino Linotype" w:eastAsia="Times New Roman" w:hAnsi="Palatino Linotype" w:cs="Arial"/>
          <w:color w:val="000000" w:themeColor="text1"/>
          <w:sz w:val="24"/>
          <w:szCs w:val="24"/>
          <w:lang w:val="es-ES" w:eastAsia="es-ES"/>
        </w:rPr>
        <w:t xml:space="preserve">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w:t>
      </w:r>
      <w:r w:rsidRPr="0020774E">
        <w:rPr>
          <w:rFonts w:ascii="Palatino Linotype" w:eastAsia="Times New Roman" w:hAnsi="Palatino Linotype" w:cs="Arial"/>
          <w:color w:val="000000" w:themeColor="text1"/>
          <w:sz w:val="24"/>
          <w:szCs w:val="24"/>
          <w:lang w:val="es-ES" w:eastAsia="es-ES"/>
        </w:rPr>
        <w:lastRenderedPageBreak/>
        <w:t>presupuestos procedimentales para atender el fondo del asunto, en los términos del considerando posterior.</w:t>
      </w:r>
    </w:p>
    <w:p w:rsidR="006D6CD2" w:rsidRPr="0020774E" w:rsidRDefault="006D6CD2">
      <w:pPr>
        <w:spacing w:after="0" w:line="360" w:lineRule="auto"/>
        <w:jc w:val="both"/>
        <w:rPr>
          <w:rFonts w:ascii="Palatino Linotype" w:eastAsia="Times New Roman" w:hAnsi="Palatino Linotype" w:cs="Arial"/>
          <w:color w:val="000000" w:themeColor="text1"/>
          <w:sz w:val="24"/>
          <w:szCs w:val="24"/>
          <w:lang w:val="es-ES" w:eastAsia="es-ES"/>
        </w:rPr>
      </w:pPr>
    </w:p>
    <w:p w:rsidR="006D6CD2" w:rsidRPr="0020774E" w:rsidRDefault="006D6CD2">
      <w:pPr>
        <w:spacing w:after="0" w:line="360" w:lineRule="auto"/>
        <w:jc w:val="both"/>
        <w:rPr>
          <w:rFonts w:ascii="Palatino Linotype" w:eastAsia="Times New Roman" w:hAnsi="Palatino Linotype" w:cs="Arial"/>
          <w:color w:val="000000" w:themeColor="text1"/>
          <w:sz w:val="24"/>
          <w:szCs w:val="24"/>
          <w:lang w:val="es-ES" w:eastAsia="es-ES"/>
        </w:rPr>
      </w:pPr>
    </w:p>
    <w:p w:rsidR="006D6CD2" w:rsidRPr="0020774E" w:rsidRDefault="00443924">
      <w:pPr>
        <w:widowControl w:val="0"/>
        <w:spacing w:after="0" w:line="360" w:lineRule="auto"/>
        <w:jc w:val="both"/>
        <w:rPr>
          <w:rFonts w:ascii="Palatino Linotype" w:eastAsia="Times New Roman" w:hAnsi="Palatino Linotype" w:cs="Arial"/>
          <w:b/>
          <w:color w:val="000000" w:themeColor="text1"/>
          <w:sz w:val="28"/>
          <w:szCs w:val="28"/>
          <w:lang w:val="es-ES" w:eastAsia="es-ES"/>
        </w:rPr>
      </w:pPr>
      <w:r w:rsidRPr="0020774E">
        <w:rPr>
          <w:rFonts w:ascii="Palatino Linotype" w:eastAsia="Times New Roman" w:hAnsi="Palatino Linotype" w:cs="Arial"/>
          <w:b/>
          <w:color w:val="000000" w:themeColor="text1"/>
          <w:sz w:val="28"/>
          <w:szCs w:val="28"/>
          <w:lang w:val="es-ES" w:eastAsia="es-ES"/>
        </w:rPr>
        <w:t>TERCERO. Estudio y resolución del asunto</w:t>
      </w:r>
      <w:r w:rsidRPr="0020774E">
        <w:rPr>
          <w:rFonts w:ascii="Palatino Linotype" w:eastAsia="Times New Roman" w:hAnsi="Palatino Linotype" w:cs="Times New Roman"/>
          <w:b/>
          <w:color w:val="000000" w:themeColor="text1"/>
          <w:sz w:val="28"/>
          <w:szCs w:val="28"/>
          <w:lang w:val="es-ES" w:eastAsia="es-ES"/>
        </w:rPr>
        <w:t xml:space="preserve">. </w:t>
      </w:r>
    </w:p>
    <w:p w:rsidR="006D6CD2" w:rsidRPr="0020774E" w:rsidRDefault="00443924">
      <w:pPr>
        <w:spacing w:after="0" w:line="360" w:lineRule="auto"/>
        <w:contextualSpacing/>
        <w:jc w:val="both"/>
        <w:rPr>
          <w:rFonts w:ascii="Palatino Linotype" w:eastAsia="Times New Roman" w:hAnsi="Palatino Linotype" w:cs="Arial"/>
          <w:color w:val="000000" w:themeColor="text1"/>
          <w:sz w:val="24"/>
          <w:szCs w:val="24"/>
          <w:lang w:val="es-ES_tradnl" w:eastAsia="es-MX"/>
        </w:rPr>
      </w:pPr>
      <w:r w:rsidRPr="0020774E">
        <w:rPr>
          <w:rFonts w:ascii="Palatino Linotype" w:eastAsia="MS Mincho" w:hAnsi="Palatino Linotype" w:cs="Times New Roman"/>
          <w:color w:val="000000" w:themeColor="text1"/>
          <w:sz w:val="24"/>
          <w:szCs w:val="24"/>
          <w:lang w:val="es-ES" w:eastAsia="es-ES"/>
        </w:rPr>
        <w:t>E</w:t>
      </w:r>
      <w:r w:rsidRPr="0020774E">
        <w:rPr>
          <w:rFonts w:ascii="Palatino Linotype" w:eastAsia="MS Mincho" w:hAnsi="Palatino Linotype" w:cs="Times New Roman"/>
          <w:color w:val="000000" w:themeColor="text1"/>
          <w:sz w:val="24"/>
          <w:szCs w:val="24"/>
          <w:lang w:val="es-ES_tradnl" w:eastAsia="es-ES"/>
        </w:rPr>
        <w:t xml:space="preserve">l derecho de acceso a la información pública es un </w:t>
      </w:r>
      <w:r w:rsidRPr="0020774E">
        <w:rPr>
          <w:rFonts w:ascii="Palatino Linotype" w:eastAsia="Times New Roman" w:hAnsi="Palatino Linotype" w:cs="Arial"/>
          <w:color w:val="000000" w:themeColor="text1"/>
          <w:sz w:val="24"/>
          <w:szCs w:val="24"/>
          <w:lang w:val="es-ES_tradnl" w:eastAsia="es-MX"/>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w:t>
      </w:r>
      <w:r w:rsidRPr="0020774E">
        <w:rPr>
          <w:rFonts w:ascii="Palatino Linotype" w:eastAsia="Times New Roman" w:hAnsi="Palatino Linotype" w:cs="Arial"/>
          <w:color w:val="000000" w:themeColor="text1"/>
          <w:sz w:val="24"/>
          <w:szCs w:val="24"/>
          <w:lang w:val="es-ES_tradnl" w:eastAsia="es-ES"/>
        </w:rPr>
        <w:t xml:space="preserve">a través del cual se puede solicitar aquellos documentos que generen, administren o posean las autoridades en ejercicio de sus respectivas atribuciones y competencias. </w:t>
      </w:r>
    </w:p>
    <w:p w:rsidR="006D6CD2" w:rsidRPr="0020774E" w:rsidRDefault="006D6CD2">
      <w:pPr>
        <w:spacing w:after="0" w:line="360" w:lineRule="auto"/>
        <w:contextualSpacing/>
        <w:jc w:val="both"/>
        <w:rPr>
          <w:rFonts w:ascii="Palatino Linotype" w:eastAsia="Times New Roman" w:hAnsi="Palatino Linotype" w:cs="Times New Roman"/>
          <w:color w:val="000000" w:themeColor="text1"/>
          <w:sz w:val="24"/>
          <w:szCs w:val="24"/>
          <w:lang w:val="es-ES" w:eastAsia="es-MX"/>
        </w:rPr>
      </w:pPr>
    </w:p>
    <w:p w:rsidR="006D6CD2" w:rsidRPr="0020774E" w:rsidRDefault="00443924">
      <w:pPr>
        <w:spacing w:after="0" w:line="360" w:lineRule="auto"/>
        <w:jc w:val="both"/>
        <w:rPr>
          <w:rFonts w:ascii="Palatino Linotype" w:eastAsia="Times New Roman" w:hAnsi="Palatino Linotype" w:cs="Arial"/>
          <w:color w:val="000000" w:themeColor="text1"/>
          <w:sz w:val="24"/>
          <w:szCs w:val="24"/>
          <w:lang w:val="es-ES" w:eastAsia="es-ES"/>
        </w:rPr>
      </w:pPr>
      <w:r w:rsidRPr="0020774E">
        <w:rPr>
          <w:rFonts w:ascii="Palatino Linotype" w:eastAsia="Times New Roman" w:hAnsi="Palatino Linotype" w:cs="Arial"/>
          <w:color w:val="000000" w:themeColor="text1"/>
          <w:sz w:val="24"/>
          <w:szCs w:val="24"/>
          <w:lang w:val="es-ES" w:eastAsia="es-ES"/>
        </w:rPr>
        <w:t xml:space="preserve">Por lo que en cumplimiento a las obligaciones que establece nuestra Carta Magna, la Constitución Estatal y la Ley de la materia le imponen, el </w:t>
      </w:r>
      <w:r w:rsidRPr="0020774E">
        <w:rPr>
          <w:rFonts w:ascii="Palatino Linotype" w:eastAsia="Times New Roman" w:hAnsi="Palatino Linotype" w:cs="Arial"/>
          <w:b/>
          <w:color w:val="000000" w:themeColor="text1"/>
          <w:sz w:val="24"/>
          <w:szCs w:val="24"/>
          <w:lang w:val="es-ES" w:eastAsia="es-ES"/>
        </w:rPr>
        <w:t>Sujeto Obligado</w:t>
      </w:r>
      <w:r w:rsidRPr="0020774E">
        <w:rPr>
          <w:rFonts w:ascii="Palatino Linotype" w:eastAsia="Times New Roman" w:hAnsi="Palatino Linotype" w:cs="Arial"/>
          <w:color w:val="000000" w:themeColor="text1"/>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20774E">
        <w:rPr>
          <w:rFonts w:ascii="Palatino Linotype" w:eastAsia="Times New Roman" w:hAnsi="Palatino Linotype" w:cs="Arial"/>
          <w:b/>
          <w:color w:val="000000" w:themeColor="text1"/>
          <w:sz w:val="24"/>
          <w:szCs w:val="24"/>
          <w:lang w:val="es-ES" w:eastAsia="es-ES"/>
        </w:rPr>
        <w:t>Sujeto Obligado</w:t>
      </w:r>
      <w:r w:rsidRPr="0020774E">
        <w:rPr>
          <w:rFonts w:ascii="Palatino Linotype" w:eastAsia="Times New Roman" w:hAnsi="Palatino Linotype" w:cs="Arial"/>
          <w:color w:val="000000" w:themeColor="text1"/>
          <w:sz w:val="24"/>
          <w:szCs w:val="24"/>
          <w:lang w:val="es-ES" w:eastAsia="es-ES"/>
        </w:rPr>
        <w:t xml:space="preserve"> fue omiso en dar respuesta a la solicitud de información dentro de los plazos establecidos en la Ley de Transparencia Loca.</w:t>
      </w:r>
    </w:p>
    <w:p w:rsidR="006D6CD2" w:rsidRPr="0020774E" w:rsidRDefault="006D6CD2">
      <w:pPr>
        <w:spacing w:after="0" w:line="360" w:lineRule="auto"/>
        <w:jc w:val="both"/>
        <w:rPr>
          <w:rFonts w:ascii="Palatino Linotype" w:eastAsia="Times New Roman" w:hAnsi="Palatino Linotype" w:cs="Arial"/>
          <w:color w:val="000000" w:themeColor="text1"/>
          <w:sz w:val="24"/>
          <w:szCs w:val="24"/>
          <w:lang w:val="es-ES" w:eastAsia="es-ES"/>
        </w:rPr>
      </w:pPr>
    </w:p>
    <w:p w:rsidR="006D6CD2" w:rsidRPr="0020774E" w:rsidRDefault="00443924">
      <w:pPr>
        <w:spacing w:after="0" w:line="360" w:lineRule="auto"/>
        <w:jc w:val="both"/>
        <w:rPr>
          <w:rFonts w:ascii="Palatino Linotype" w:eastAsia="Times New Roman" w:hAnsi="Palatino Linotype" w:cs="Arial"/>
          <w:color w:val="000000" w:themeColor="text1"/>
          <w:sz w:val="24"/>
          <w:szCs w:val="24"/>
          <w:lang w:val="es-ES" w:eastAsia="es-ES"/>
        </w:rPr>
      </w:pPr>
      <w:r w:rsidRPr="0020774E">
        <w:rPr>
          <w:rFonts w:ascii="Palatino Linotype" w:eastAsia="Times New Roman" w:hAnsi="Palatino Linotype" w:cs="Arial"/>
          <w:color w:val="000000" w:themeColor="text1"/>
          <w:sz w:val="24"/>
          <w:szCs w:val="24"/>
          <w:lang w:val="es-ES" w:eastAsia="es-ES"/>
        </w:rPr>
        <w:t xml:space="preserve">Asimismo, los motivos o razones de inconformidad expuestos por la parte Recurrente se adolece de la falta de respuesta a la solicitud de acceso a la información formulada, </w:t>
      </w:r>
      <w:r w:rsidRPr="0020774E">
        <w:rPr>
          <w:rFonts w:ascii="Palatino Linotype" w:eastAsia="Times New Roman" w:hAnsi="Palatino Linotype" w:cs="Arial"/>
          <w:color w:val="000000" w:themeColor="text1"/>
          <w:sz w:val="24"/>
          <w:szCs w:val="24"/>
          <w:lang w:val="es-ES" w:eastAsia="es-ES"/>
        </w:rPr>
        <w:lastRenderedPageBreak/>
        <w:t xml:space="preserve">por lo que se actualiza la causal de procedencia establecida </w:t>
      </w:r>
      <w:r w:rsidRPr="0020774E">
        <w:rPr>
          <w:rFonts w:ascii="Palatino Linotype" w:eastAsia="Calibri" w:hAnsi="Palatino Linotype" w:cs="Arial"/>
          <w:color w:val="000000" w:themeColor="text1"/>
          <w:sz w:val="24"/>
          <w:szCs w:val="24"/>
          <w:lang w:val="es-ES" w:eastAsia="es-ES"/>
        </w:rPr>
        <w:t xml:space="preserve">en la fracción VII del artículo 179 de la </w:t>
      </w:r>
      <w:r w:rsidRPr="0020774E">
        <w:rPr>
          <w:rFonts w:ascii="Palatino Linotype" w:eastAsia="Calibri" w:hAnsi="Palatino Linotype" w:cs="Arial"/>
          <w:bCs/>
          <w:color w:val="000000" w:themeColor="text1"/>
          <w:sz w:val="24"/>
          <w:szCs w:val="24"/>
          <w:lang w:val="es-ES" w:eastAsia="es-ES"/>
        </w:rPr>
        <w:t>Ley de Transparencia y Acceso a la Información Pública del Estado de México y Municipios</w:t>
      </w:r>
      <w:r w:rsidRPr="0020774E">
        <w:rPr>
          <w:rFonts w:ascii="Palatino Linotype" w:eastAsia="Calibri" w:hAnsi="Palatino Linotype" w:cs="Arial"/>
          <w:color w:val="000000" w:themeColor="text1"/>
          <w:sz w:val="24"/>
          <w:szCs w:val="24"/>
          <w:lang w:val="es-ES" w:eastAsia="es-ES"/>
        </w:rPr>
        <w:t>,</w:t>
      </w:r>
      <w:r w:rsidRPr="0020774E">
        <w:rPr>
          <w:rFonts w:ascii="Palatino Linotype" w:eastAsia="Calibri" w:hAnsi="Palatino Linotype" w:cs="Arial"/>
          <w:b/>
          <w:color w:val="000000" w:themeColor="text1"/>
          <w:sz w:val="24"/>
          <w:szCs w:val="24"/>
          <w:lang w:val="es-ES" w:eastAsia="es-ES"/>
        </w:rPr>
        <w:t xml:space="preserve"> </w:t>
      </w:r>
      <w:r w:rsidRPr="0020774E">
        <w:rPr>
          <w:rFonts w:ascii="Palatino Linotype" w:eastAsia="Calibri" w:hAnsi="Palatino Linotype" w:cs="Arial"/>
          <w:bCs/>
          <w:color w:val="000000" w:themeColor="text1"/>
          <w:sz w:val="24"/>
          <w:szCs w:val="24"/>
          <w:lang w:val="es-ES" w:eastAsia="es-ES"/>
        </w:rPr>
        <w:t>y</w:t>
      </w:r>
      <w:r w:rsidRPr="0020774E">
        <w:rPr>
          <w:rFonts w:ascii="Palatino Linotype" w:eastAsia="Calibri" w:hAnsi="Palatino Linotype" w:cs="Arial"/>
          <w:b/>
          <w:color w:val="000000" w:themeColor="text1"/>
          <w:sz w:val="24"/>
          <w:szCs w:val="24"/>
          <w:lang w:val="es-ES" w:eastAsia="es-ES"/>
        </w:rPr>
        <w:t xml:space="preserve"> </w:t>
      </w:r>
      <w:r w:rsidRPr="0020774E">
        <w:rPr>
          <w:rFonts w:ascii="Palatino Linotype" w:eastAsia="Times New Roman" w:hAnsi="Palatino Linotype" w:cs="Arial"/>
          <w:color w:val="000000" w:themeColor="text1"/>
          <w:sz w:val="24"/>
          <w:szCs w:val="24"/>
          <w:lang w:val="es-ES" w:eastAsia="es-ES"/>
        </w:rPr>
        <w:t>por tanto, procedente la interposición del recurso de revisión.</w:t>
      </w:r>
    </w:p>
    <w:p w:rsidR="006D6CD2" w:rsidRPr="0020774E" w:rsidRDefault="006D6CD2">
      <w:pPr>
        <w:spacing w:after="0" w:line="360" w:lineRule="auto"/>
        <w:jc w:val="both"/>
        <w:rPr>
          <w:rFonts w:ascii="Palatino Linotype" w:eastAsia="Times New Roman" w:hAnsi="Palatino Linotype" w:cs="Arial"/>
          <w:color w:val="000000" w:themeColor="text1"/>
          <w:sz w:val="24"/>
          <w:szCs w:val="24"/>
          <w:lang w:val="es-ES" w:eastAsia="es-ES"/>
        </w:rPr>
      </w:pPr>
    </w:p>
    <w:p w:rsidR="006D6CD2" w:rsidRPr="0020774E" w:rsidRDefault="00443924">
      <w:pPr>
        <w:spacing w:after="0" w:line="360" w:lineRule="auto"/>
        <w:jc w:val="both"/>
        <w:rPr>
          <w:rFonts w:ascii="Palatino Linotype" w:eastAsia="Times New Roman" w:hAnsi="Palatino Linotype" w:cs="Times New Roman"/>
          <w:color w:val="000000" w:themeColor="text1"/>
          <w:sz w:val="24"/>
          <w:szCs w:val="24"/>
          <w:lang w:val="es-ES" w:eastAsia="es-MX"/>
        </w:rPr>
      </w:pPr>
      <w:r w:rsidRPr="0020774E">
        <w:rPr>
          <w:rFonts w:ascii="Palatino Linotype" w:eastAsia="Times New Roman" w:hAnsi="Palatino Linotype" w:cs="Arial"/>
          <w:color w:val="000000" w:themeColor="text1"/>
          <w:sz w:val="24"/>
          <w:szCs w:val="24"/>
          <w:lang w:val="es-ES" w:eastAsia="es-ES"/>
        </w:rPr>
        <w:t xml:space="preserve">En consecuencia, las razones o motivos de </w:t>
      </w:r>
      <w:r w:rsidRPr="0020774E">
        <w:rPr>
          <w:rFonts w:ascii="Palatino Linotype" w:eastAsia="Times New Roman" w:hAnsi="Palatino Linotype" w:cs="Times New Roman"/>
          <w:color w:val="000000" w:themeColor="text1"/>
          <w:sz w:val="24"/>
          <w:szCs w:val="24"/>
          <w:lang w:val="es-ES" w:eastAsia="es-ES"/>
        </w:rPr>
        <w:t xml:space="preserve">inconformidad hechos valer, resultan </w:t>
      </w:r>
      <w:r w:rsidRPr="0020774E">
        <w:rPr>
          <w:rFonts w:ascii="Palatino Linotype" w:eastAsia="Times New Roman" w:hAnsi="Palatino Linotype" w:cs="Times New Roman"/>
          <w:b/>
          <w:color w:val="000000" w:themeColor="text1"/>
          <w:sz w:val="24"/>
          <w:szCs w:val="24"/>
          <w:lang w:val="es-ES" w:eastAsia="es-ES"/>
        </w:rPr>
        <w:t>fundadas y procedentes</w:t>
      </w:r>
      <w:r w:rsidRPr="0020774E">
        <w:rPr>
          <w:rFonts w:ascii="Palatino Linotype" w:eastAsia="Times New Roman" w:hAnsi="Palatino Linotype" w:cs="Times New Roman"/>
          <w:color w:val="000000" w:themeColor="text1"/>
          <w:sz w:val="24"/>
          <w:szCs w:val="24"/>
          <w:lang w:val="es-ES" w:eastAsia="es-ES"/>
        </w:rPr>
        <w:t xml:space="preserve">, en virtud de las constancias que obran en el expediente electrónico SAIMEX, se acredita que el </w:t>
      </w:r>
      <w:r w:rsidRPr="0020774E">
        <w:rPr>
          <w:rFonts w:ascii="Palatino Linotype" w:eastAsia="Times New Roman" w:hAnsi="Palatino Linotype" w:cs="Arial"/>
          <w:b/>
          <w:color w:val="000000" w:themeColor="text1"/>
          <w:sz w:val="24"/>
          <w:szCs w:val="24"/>
          <w:lang w:val="es-ES" w:eastAsia="es-MX"/>
        </w:rPr>
        <w:t>Sujeto Obligado</w:t>
      </w:r>
      <w:r w:rsidRPr="0020774E">
        <w:rPr>
          <w:rFonts w:ascii="Palatino Linotype" w:eastAsia="Times New Roman" w:hAnsi="Palatino Linotype" w:cs="Arial"/>
          <w:color w:val="000000" w:themeColor="text1"/>
          <w:sz w:val="24"/>
          <w:szCs w:val="24"/>
          <w:lang w:val="es-ES" w:eastAsia="es-MX"/>
        </w:rPr>
        <w:t xml:space="preserve"> fue omiso en responder la solicitud de información hecha por la parte </w:t>
      </w:r>
      <w:r w:rsidRPr="0020774E">
        <w:rPr>
          <w:rFonts w:ascii="Palatino Linotype" w:eastAsia="Times New Roman" w:hAnsi="Palatino Linotype" w:cs="Arial"/>
          <w:b/>
          <w:color w:val="000000" w:themeColor="text1"/>
          <w:sz w:val="24"/>
          <w:szCs w:val="24"/>
          <w:lang w:val="es-ES" w:eastAsia="es-MX"/>
        </w:rPr>
        <w:t>Recurrente</w:t>
      </w:r>
      <w:r w:rsidRPr="0020774E">
        <w:rPr>
          <w:rFonts w:ascii="Palatino Linotype" w:eastAsia="Times New Roman" w:hAnsi="Palatino Linotype" w:cs="Arial"/>
          <w:color w:val="000000" w:themeColor="text1"/>
          <w:sz w:val="24"/>
          <w:szCs w:val="24"/>
          <w:lang w:val="es-ES" w:eastAsia="es-MX"/>
        </w:rPr>
        <w:t xml:space="preserve">, es decir, </w:t>
      </w:r>
      <w:r w:rsidRPr="0020774E">
        <w:rPr>
          <w:rFonts w:ascii="Palatino Linotype" w:eastAsia="Times New Roman" w:hAnsi="Palatino Linotype" w:cs="Times New Roman"/>
          <w:color w:val="000000" w:themeColor="text1"/>
          <w:sz w:val="24"/>
          <w:szCs w:val="24"/>
          <w:lang w:val="es-ES" w:eastAsia="es-MX"/>
        </w:rPr>
        <w:t xml:space="preserve">incumplió las obligaciones que se le imponen como </w:t>
      </w:r>
      <w:r w:rsidRPr="0020774E">
        <w:rPr>
          <w:rFonts w:ascii="Palatino Linotype" w:eastAsia="Times New Roman" w:hAnsi="Palatino Linotype" w:cs="Times New Roman"/>
          <w:b/>
          <w:color w:val="000000" w:themeColor="text1"/>
          <w:sz w:val="24"/>
          <w:szCs w:val="24"/>
          <w:lang w:val="es-ES" w:eastAsia="es-MX"/>
        </w:rPr>
        <w:t>Sujeto Obligado</w:t>
      </w:r>
      <w:r w:rsidRPr="0020774E">
        <w:rPr>
          <w:rFonts w:ascii="Palatino Linotype" w:eastAsia="Times New Roman" w:hAnsi="Palatino Linotype" w:cs="Times New Roman"/>
          <w:color w:val="000000" w:themeColor="text1"/>
          <w:sz w:val="24"/>
          <w:szCs w:val="24"/>
          <w:lang w:val="es-ES" w:eastAsia="es-MX"/>
        </w:rPr>
        <w:t>, de conformidad con lo establecido en los artículos 4, 12, 23 fracción IV, 24 último párrafo y 160 de la Ley de Transparencia y Acceso a la Información Pública del Estado de México y Municipios.</w:t>
      </w:r>
    </w:p>
    <w:p w:rsidR="006D6CD2" w:rsidRPr="0020774E" w:rsidRDefault="006D6CD2">
      <w:pPr>
        <w:spacing w:after="0" w:line="360" w:lineRule="auto"/>
        <w:jc w:val="both"/>
        <w:rPr>
          <w:rFonts w:ascii="Palatino Linotype" w:eastAsia="Times New Roman" w:hAnsi="Palatino Linotype" w:cs="Arial"/>
          <w:color w:val="000000" w:themeColor="text1"/>
          <w:sz w:val="24"/>
          <w:szCs w:val="24"/>
          <w:lang w:val="es-ES" w:eastAsia="es-MX"/>
        </w:rPr>
      </w:pPr>
    </w:p>
    <w:p w:rsidR="006D6CD2" w:rsidRPr="0020774E" w:rsidRDefault="00443924">
      <w:pPr>
        <w:widowControl w:val="0"/>
        <w:tabs>
          <w:tab w:val="left" w:pos="1276"/>
        </w:tabs>
        <w:spacing w:line="360" w:lineRule="auto"/>
        <w:jc w:val="both"/>
        <w:rPr>
          <w:rFonts w:ascii="Palatino Linotype" w:eastAsia="Palatino Linotype" w:hAnsi="Palatino Linotype" w:cs="Palatino Linotype"/>
          <w:color w:val="000000" w:themeColor="text1"/>
          <w:sz w:val="24"/>
          <w:szCs w:val="24"/>
        </w:rPr>
      </w:pPr>
      <w:r w:rsidRPr="0020774E">
        <w:rPr>
          <w:rFonts w:ascii="Palatino Linotype" w:eastAsia="Times New Roman" w:hAnsi="Palatino Linotype" w:cs="Arial"/>
          <w:color w:val="000000" w:themeColor="text1"/>
          <w:sz w:val="24"/>
          <w:szCs w:val="24"/>
          <w:lang w:val="es-ES" w:eastAsia="es-MX"/>
        </w:rPr>
        <w:t xml:space="preserve">De conformidad con lo establecido en los artículos 50 y 51 de la Ley de Transparencia y Acceso a la Información Pública del Estado de México y Municipios, los </w:t>
      </w:r>
      <w:r w:rsidRPr="0020774E">
        <w:rPr>
          <w:rFonts w:ascii="Palatino Linotype" w:eastAsia="Palatino Linotype" w:hAnsi="Palatino Linotype" w:cs="Palatino Linotype"/>
          <w:color w:val="000000" w:themeColor="text1"/>
          <w:sz w:val="24"/>
          <w:szCs w:val="24"/>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6D6CD2" w:rsidRPr="0020774E" w:rsidRDefault="00443924">
      <w:pPr>
        <w:widowControl w:val="0"/>
        <w:tabs>
          <w:tab w:val="left" w:pos="1276"/>
        </w:tabs>
        <w:spacing w:line="360" w:lineRule="auto"/>
        <w:jc w:val="both"/>
        <w:rPr>
          <w:rFonts w:ascii="Palatino Linotype" w:eastAsia="Palatino Linotype" w:hAnsi="Palatino Linotype" w:cs="Palatino Linotype"/>
          <w:color w:val="000000" w:themeColor="text1"/>
          <w:sz w:val="24"/>
          <w:szCs w:val="24"/>
        </w:rPr>
      </w:pPr>
      <w:r w:rsidRPr="0020774E">
        <w:rPr>
          <w:rFonts w:ascii="Palatino Linotype" w:eastAsia="Palatino Linotype" w:hAnsi="Palatino Linotype" w:cs="Palatino Linotype"/>
          <w:color w:val="000000" w:themeColor="text1"/>
          <w:sz w:val="24"/>
          <w:szCs w:val="24"/>
        </w:rPr>
        <w:t xml:space="preserve">El artículo 53, fracciones II, IV y V de la Ley de Transparencia Local establece que las </w:t>
      </w:r>
      <w:r w:rsidRPr="0020774E">
        <w:rPr>
          <w:rFonts w:ascii="Palatino Linotype" w:eastAsia="Palatino Linotype" w:hAnsi="Palatino Linotype" w:cs="Palatino Linotype"/>
          <w:color w:val="000000" w:themeColor="text1"/>
          <w:sz w:val="24"/>
          <w:szCs w:val="24"/>
        </w:rPr>
        <w:lastRenderedPageBreak/>
        <w:t>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0A6285" w:rsidRPr="0020774E" w:rsidRDefault="000A6285">
      <w:pPr>
        <w:widowControl w:val="0"/>
        <w:tabs>
          <w:tab w:val="left" w:pos="1276"/>
        </w:tabs>
        <w:spacing w:line="360" w:lineRule="auto"/>
        <w:jc w:val="both"/>
        <w:rPr>
          <w:rFonts w:ascii="Palatino Linotype" w:eastAsia="Palatino Linotype" w:hAnsi="Palatino Linotype" w:cs="Palatino Linotype"/>
          <w:color w:val="000000" w:themeColor="text1"/>
          <w:sz w:val="24"/>
          <w:szCs w:val="24"/>
        </w:rPr>
      </w:pPr>
    </w:p>
    <w:p w:rsidR="006D6CD2" w:rsidRPr="0020774E" w:rsidRDefault="00443924">
      <w:pPr>
        <w:spacing w:line="360" w:lineRule="auto"/>
        <w:jc w:val="both"/>
        <w:rPr>
          <w:rFonts w:ascii="Palatino Linotype" w:eastAsia="Palatino Linotype" w:hAnsi="Palatino Linotype" w:cs="Palatino Linotype"/>
          <w:color w:val="000000" w:themeColor="text1"/>
          <w:sz w:val="24"/>
          <w:szCs w:val="24"/>
        </w:rPr>
      </w:pPr>
      <w:r w:rsidRPr="0020774E">
        <w:rPr>
          <w:rFonts w:ascii="Palatino Linotype" w:eastAsia="Palatino Linotype" w:hAnsi="Palatino Linotype" w:cs="Palatino Linotype"/>
          <w:color w:val="000000" w:themeColor="text1"/>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20774E">
        <w:rPr>
          <w:rFonts w:ascii="Palatino Linotype" w:eastAsia="Calibri" w:hAnsi="Palatino Linotype" w:cs="Times New Roman"/>
          <w:color w:val="000000" w:themeColor="text1"/>
          <w:sz w:val="24"/>
          <w:szCs w:val="24"/>
          <w:lang w:val="es-ES" w:eastAsia="es-ES"/>
        </w:rPr>
        <w:t>De tal manera que la omisión del Titular de la Unidad de Transparencia, como primer responsable de atender la solicitud de información, se traduce en una conducta que ha vulnerado el derecho de acceso a la información consignado a favor del particular.</w:t>
      </w:r>
    </w:p>
    <w:p w:rsidR="006D6CD2" w:rsidRPr="0020774E" w:rsidRDefault="006D6CD2">
      <w:pPr>
        <w:spacing w:after="0" w:line="360" w:lineRule="auto"/>
        <w:jc w:val="both"/>
        <w:rPr>
          <w:rFonts w:ascii="Palatino Linotype" w:eastAsia="Times New Roman" w:hAnsi="Palatino Linotype" w:cs="Arial"/>
          <w:color w:val="000000" w:themeColor="text1"/>
          <w:sz w:val="24"/>
          <w:szCs w:val="24"/>
          <w:lang w:eastAsia="es-ES"/>
        </w:rPr>
      </w:pPr>
    </w:p>
    <w:p w:rsidR="006D6CD2" w:rsidRPr="0020774E" w:rsidRDefault="00443924">
      <w:pPr>
        <w:spacing w:after="0" w:line="360" w:lineRule="auto"/>
        <w:jc w:val="both"/>
        <w:rPr>
          <w:rFonts w:ascii="Palatino Linotype" w:eastAsia="Calibri" w:hAnsi="Palatino Linotype" w:cs="Times New Roman"/>
          <w:i/>
          <w:color w:val="000000" w:themeColor="text1"/>
          <w:sz w:val="24"/>
          <w:szCs w:val="24"/>
          <w:lang w:val="es-ES" w:eastAsia="es-ES"/>
        </w:rPr>
      </w:pPr>
      <w:r w:rsidRPr="0020774E">
        <w:rPr>
          <w:rFonts w:ascii="Palatino Linotype" w:eastAsia="Times New Roman" w:hAnsi="Palatino Linotype" w:cs="Arial"/>
          <w:color w:val="000000" w:themeColor="text1"/>
          <w:sz w:val="24"/>
          <w:szCs w:val="24"/>
          <w:lang w:eastAsia="es-ES"/>
        </w:rPr>
        <w:t xml:space="preserve">En consecuencia, </w:t>
      </w:r>
      <w:r w:rsidRPr="0020774E">
        <w:rPr>
          <w:rFonts w:ascii="Palatino Linotype" w:eastAsia="Calibri" w:hAnsi="Palatino Linotype" w:cs="Times New Roman"/>
          <w:color w:val="000000" w:themeColor="text1"/>
          <w:sz w:val="24"/>
          <w:szCs w:val="24"/>
          <w:lang w:val="es-ES" w:eastAsia="es-ES"/>
        </w:rPr>
        <w:t xml:space="preserve">según lo dispuesto por el artículo 150 de la Ley de Transparencia y Acceso a la Información Pública del Estado de México y Municipios, el </w:t>
      </w:r>
      <w:r w:rsidRPr="0020774E">
        <w:rPr>
          <w:rFonts w:ascii="Palatino Linotype" w:eastAsia="Calibri" w:hAnsi="Palatino Linotype" w:cs="Times New Roman"/>
          <w:i/>
          <w:color w:val="000000" w:themeColor="text1"/>
          <w:sz w:val="24"/>
          <w:szCs w:val="24"/>
          <w:lang w:val="es-ES" w:eastAsia="es-ES"/>
        </w:rPr>
        <w:t xml:space="preserve">procedimiento de acceso a la información es la garantía primaria del derecho en cuestión, </w:t>
      </w:r>
      <w:r w:rsidRPr="0020774E">
        <w:rPr>
          <w:rFonts w:ascii="Palatino Linotype" w:eastAsia="Calibri" w:hAnsi="Palatino Linotype" w:cs="Times New Roman"/>
          <w:color w:val="000000" w:themeColor="text1"/>
          <w:sz w:val="24"/>
          <w:szCs w:val="24"/>
          <w:lang w:val="es-ES" w:eastAsia="es-ES"/>
        </w:rPr>
        <w:t xml:space="preserve">por lo tanto, la falta de respuesta a una solicitud de acceso a la información constituye un incumplimiento del </w:t>
      </w:r>
      <w:r w:rsidRPr="0020774E">
        <w:rPr>
          <w:rFonts w:ascii="Palatino Linotype" w:eastAsia="Calibri" w:hAnsi="Palatino Linotype" w:cs="Times New Roman"/>
          <w:b/>
          <w:color w:val="000000" w:themeColor="text1"/>
          <w:sz w:val="24"/>
          <w:szCs w:val="24"/>
          <w:lang w:val="es-ES" w:eastAsia="es-ES"/>
        </w:rPr>
        <w:t>Sujeto Obligado</w:t>
      </w:r>
      <w:r w:rsidRPr="0020774E">
        <w:rPr>
          <w:rFonts w:ascii="Palatino Linotype" w:eastAsia="Calibri" w:hAnsi="Palatino Linotype" w:cs="Times New Roman"/>
          <w:color w:val="000000" w:themeColor="text1"/>
          <w:sz w:val="24"/>
          <w:szCs w:val="24"/>
          <w:lang w:val="es-ES" w:eastAsia="es-ES"/>
        </w:rPr>
        <w:t xml:space="preserve"> a su deber de garantizar el derecho, lo que constituye una vulneración al mismo.</w:t>
      </w:r>
    </w:p>
    <w:p w:rsidR="006D6CD2" w:rsidRPr="0020774E" w:rsidRDefault="006D6CD2">
      <w:pPr>
        <w:spacing w:after="0" w:line="360" w:lineRule="auto"/>
        <w:jc w:val="both"/>
        <w:rPr>
          <w:rFonts w:ascii="Palatino Linotype" w:eastAsia="Calibri" w:hAnsi="Palatino Linotype" w:cs="Times New Roman"/>
          <w:color w:val="000000" w:themeColor="text1"/>
          <w:sz w:val="24"/>
          <w:szCs w:val="24"/>
          <w:lang w:val="es-ES" w:eastAsia="es-ES"/>
        </w:rPr>
      </w:pPr>
    </w:p>
    <w:p w:rsidR="006D6CD2" w:rsidRPr="0020774E" w:rsidRDefault="00443924">
      <w:pPr>
        <w:spacing w:after="0" w:line="360" w:lineRule="auto"/>
        <w:jc w:val="both"/>
        <w:rPr>
          <w:rFonts w:ascii="Palatino Linotype" w:eastAsia="Times New Roman" w:hAnsi="Palatino Linotype" w:cs="Arial"/>
          <w:color w:val="000000" w:themeColor="text1"/>
          <w:sz w:val="24"/>
          <w:szCs w:val="24"/>
          <w:lang w:val="es-ES" w:eastAsia="es-ES"/>
        </w:rPr>
      </w:pPr>
      <w:r w:rsidRPr="0020774E">
        <w:rPr>
          <w:rFonts w:ascii="Palatino Linotype" w:eastAsia="Times New Roman" w:hAnsi="Palatino Linotype" w:cs="Arial"/>
          <w:color w:val="000000" w:themeColor="text1"/>
          <w:sz w:val="24"/>
          <w:szCs w:val="24"/>
          <w:lang w:val="es-ES" w:eastAsia="es-ES"/>
        </w:rPr>
        <w:lastRenderedPageBreak/>
        <w:t xml:space="preserve">Por lo que, en cumplimiento a esta resolución, el </w:t>
      </w:r>
      <w:r w:rsidRPr="0020774E">
        <w:rPr>
          <w:rFonts w:ascii="Palatino Linotype" w:eastAsia="Times New Roman" w:hAnsi="Palatino Linotype" w:cs="Arial"/>
          <w:b/>
          <w:color w:val="000000" w:themeColor="text1"/>
          <w:sz w:val="24"/>
          <w:szCs w:val="24"/>
          <w:lang w:val="es-ES" w:eastAsia="es-ES"/>
        </w:rPr>
        <w:t xml:space="preserve">Sujeto Obligado </w:t>
      </w:r>
      <w:r w:rsidRPr="0020774E">
        <w:rPr>
          <w:rFonts w:ascii="Palatino Linotype" w:eastAsia="Times New Roman" w:hAnsi="Palatino Linotype" w:cs="Arial"/>
          <w:color w:val="000000" w:themeColor="text1"/>
          <w:sz w:val="24"/>
          <w:szCs w:val="24"/>
          <w:lang w:val="es-ES" w:eastAsia="es-ES"/>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6D6CD2" w:rsidRPr="0020774E" w:rsidRDefault="006D6CD2">
      <w:pPr>
        <w:spacing w:after="0" w:line="360" w:lineRule="auto"/>
        <w:jc w:val="both"/>
        <w:rPr>
          <w:rFonts w:ascii="Palatino Linotype" w:eastAsia="Times New Roman" w:hAnsi="Palatino Linotype" w:cs="Arial"/>
          <w:color w:val="000000" w:themeColor="text1"/>
          <w:sz w:val="24"/>
          <w:szCs w:val="24"/>
          <w:lang w:val="es-ES" w:eastAsia="es-ES"/>
        </w:rPr>
      </w:pPr>
    </w:p>
    <w:p w:rsidR="006D6CD2" w:rsidRPr="0020774E" w:rsidRDefault="00443924">
      <w:pPr>
        <w:numPr>
          <w:ilvl w:val="0"/>
          <w:numId w:val="1"/>
        </w:numPr>
        <w:spacing w:after="0" w:line="360" w:lineRule="auto"/>
        <w:contextualSpacing/>
        <w:jc w:val="both"/>
        <w:rPr>
          <w:rFonts w:ascii="Palatino Linotype" w:eastAsia="Times New Roman" w:hAnsi="Palatino Linotype" w:cs="Arial"/>
          <w:b/>
          <w:iCs/>
          <w:color w:val="000000" w:themeColor="text1"/>
          <w:sz w:val="28"/>
          <w:szCs w:val="24"/>
          <w:lang w:val="es-ES" w:eastAsia="es-ES"/>
        </w:rPr>
      </w:pPr>
      <w:r w:rsidRPr="0020774E">
        <w:rPr>
          <w:rFonts w:ascii="Palatino Linotype" w:eastAsia="Times New Roman" w:hAnsi="Palatino Linotype" w:cs="Arial"/>
          <w:b/>
          <w:iCs/>
          <w:color w:val="000000" w:themeColor="text1"/>
          <w:sz w:val="28"/>
          <w:szCs w:val="24"/>
          <w:lang w:val="es-ES" w:eastAsia="es-ES"/>
        </w:rPr>
        <w:t>De la clasificación de la información</w:t>
      </w:r>
    </w:p>
    <w:p w:rsidR="006D6CD2" w:rsidRPr="0020774E" w:rsidRDefault="006D6CD2">
      <w:pPr>
        <w:tabs>
          <w:tab w:val="left" w:pos="8647"/>
        </w:tabs>
        <w:spacing w:after="0" w:line="360" w:lineRule="auto"/>
        <w:ind w:right="51"/>
        <w:jc w:val="both"/>
        <w:rPr>
          <w:rFonts w:ascii="Palatino Linotype" w:hAnsi="Palatino Linotype" w:cs="Arial"/>
          <w:color w:val="000000" w:themeColor="text1"/>
          <w:sz w:val="24"/>
          <w:szCs w:val="24"/>
        </w:rPr>
      </w:pPr>
    </w:p>
    <w:p w:rsidR="006D6CD2" w:rsidRPr="0020774E" w:rsidRDefault="00443924">
      <w:pPr>
        <w:tabs>
          <w:tab w:val="left" w:pos="8647"/>
        </w:tabs>
        <w:spacing w:after="0" w:line="360" w:lineRule="auto"/>
        <w:ind w:right="51"/>
        <w:jc w:val="both"/>
        <w:rPr>
          <w:rFonts w:ascii="Palatino Linotype" w:hAnsi="Palatino Linotype" w:cs="Arial"/>
          <w:color w:val="000000" w:themeColor="text1"/>
          <w:sz w:val="24"/>
          <w:szCs w:val="24"/>
        </w:rPr>
      </w:pPr>
      <w:r w:rsidRPr="0020774E">
        <w:rPr>
          <w:rFonts w:ascii="Palatino Linotype" w:hAnsi="Palatino Linotype" w:cs="Arial"/>
          <w:color w:val="000000" w:themeColor="text1"/>
          <w:sz w:val="24"/>
          <w:szCs w:val="24"/>
        </w:rPr>
        <w:t xml:space="preserve">De conformidad con el artículo 91 de la Ley de Transparencia y Acceso a la Información Pública el </w:t>
      </w:r>
      <w:r w:rsidRPr="0020774E">
        <w:rPr>
          <w:rFonts w:ascii="Palatino Linotype" w:eastAsia="Palatino Linotype" w:hAnsi="Palatino Linotype" w:cs="Palatino Linotype"/>
          <w:color w:val="000000" w:themeColor="text1"/>
          <w:sz w:val="24"/>
          <w:szCs w:val="24"/>
        </w:rPr>
        <w:t xml:space="preserve"> acceso a la información pública será restringido excepcionalmente, cuando ésta sea clasificada como reservada o confidencial</w:t>
      </w:r>
      <w:r w:rsidRPr="0020774E">
        <w:rPr>
          <w:rFonts w:ascii="Palatino Linotype" w:hAnsi="Palatino Linotype" w:cs="Arial"/>
          <w:color w:val="000000" w:themeColor="text1"/>
          <w:sz w:val="24"/>
          <w:szCs w:val="24"/>
        </w:rPr>
        <w:t xml:space="preserve">; la </w:t>
      </w:r>
      <w:r w:rsidRPr="0020774E">
        <w:rPr>
          <w:rFonts w:ascii="Palatino Linotype" w:eastAsia="Palatino Linotype" w:hAnsi="Palatino Linotype" w:cs="Palatino Linotype"/>
          <w:color w:val="000000" w:themeColor="text1"/>
          <w:sz w:val="24"/>
          <w:szCs w:val="24"/>
        </w:rPr>
        <w:t xml:space="preserve">información reservada es aquella que se clasifica de manera temporal cuya divulgación pueda causar algún daño; la </w:t>
      </w:r>
      <w:r w:rsidR="000A6285" w:rsidRPr="0020774E">
        <w:rPr>
          <w:rFonts w:ascii="Palatino Linotype" w:eastAsia="Palatino Linotype" w:hAnsi="Palatino Linotype" w:cs="Palatino Linotype"/>
          <w:color w:val="000000" w:themeColor="text1"/>
          <w:sz w:val="24"/>
          <w:szCs w:val="24"/>
        </w:rPr>
        <w:t>información</w:t>
      </w:r>
      <w:r w:rsidRPr="0020774E">
        <w:rPr>
          <w:rFonts w:ascii="Palatino Linotype" w:eastAsia="Palatino Linotype" w:hAnsi="Palatino Linotype" w:cs="Palatino Linotype"/>
          <w:color w:val="000000" w:themeColor="text1"/>
          <w:sz w:val="24"/>
          <w:szCs w:val="24"/>
        </w:rPr>
        <w:t xml:space="preserve">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6D6CD2" w:rsidRPr="0020774E" w:rsidRDefault="006D6CD2">
      <w:pPr>
        <w:spacing w:line="360" w:lineRule="auto"/>
        <w:jc w:val="both"/>
        <w:rPr>
          <w:rFonts w:ascii="Palatino Linotype" w:eastAsia="Palatino Linotype" w:hAnsi="Palatino Linotype" w:cs="Palatino Linotype"/>
          <w:color w:val="000000" w:themeColor="text1"/>
          <w:sz w:val="24"/>
          <w:szCs w:val="24"/>
        </w:rPr>
      </w:pPr>
    </w:p>
    <w:p w:rsidR="006D6CD2" w:rsidRPr="0020774E" w:rsidRDefault="00443924">
      <w:pPr>
        <w:tabs>
          <w:tab w:val="left" w:pos="8647"/>
        </w:tabs>
        <w:spacing w:after="0" w:line="360" w:lineRule="auto"/>
        <w:ind w:right="51"/>
        <w:jc w:val="both"/>
        <w:rPr>
          <w:rFonts w:ascii="Palatino Linotype" w:eastAsia="Palatino Linotype" w:hAnsi="Palatino Linotype" w:cs="Palatino Linotype"/>
          <w:color w:val="000000" w:themeColor="text1"/>
          <w:sz w:val="24"/>
          <w:szCs w:val="24"/>
        </w:rPr>
      </w:pPr>
      <w:r w:rsidRPr="0020774E">
        <w:rPr>
          <w:rFonts w:ascii="Palatino Linotype" w:eastAsia="Palatino Linotype" w:hAnsi="Palatino Linotype" w:cs="Palatino Linotype"/>
          <w:color w:val="000000" w:themeColor="text1"/>
          <w:sz w:val="24"/>
          <w:szCs w:val="24"/>
        </w:rPr>
        <w:t>La Ley de Transparencia y Acceso a la Información Pública del Estado de México y Municipios, en sus artículos 140 y 143 prevé los siguientes supuestos para clasificar la información como reservada o confidencial.</w:t>
      </w:r>
    </w:p>
    <w:p w:rsidR="006D6CD2" w:rsidRPr="0020774E" w:rsidRDefault="006D6CD2">
      <w:pPr>
        <w:tabs>
          <w:tab w:val="left" w:pos="8647"/>
        </w:tabs>
        <w:spacing w:after="0" w:line="360" w:lineRule="auto"/>
        <w:ind w:right="51"/>
        <w:jc w:val="both"/>
        <w:rPr>
          <w:rFonts w:ascii="Palatino Linotype" w:hAnsi="Palatino Linotype" w:cs="Arial"/>
          <w:color w:val="000000" w:themeColor="text1"/>
          <w:sz w:val="24"/>
          <w:szCs w:val="24"/>
        </w:rPr>
      </w:pPr>
    </w:p>
    <w:p w:rsidR="006D6CD2" w:rsidRPr="0020774E" w:rsidRDefault="00443924">
      <w:pPr>
        <w:spacing w:line="360" w:lineRule="auto"/>
        <w:jc w:val="both"/>
        <w:rPr>
          <w:rFonts w:ascii="Palatino Linotype" w:eastAsia="Palatino Linotype" w:hAnsi="Palatino Linotype" w:cs="Palatino Linotype"/>
          <w:color w:val="000000" w:themeColor="text1"/>
        </w:rPr>
      </w:pPr>
      <w:r w:rsidRPr="0020774E">
        <w:rPr>
          <w:rFonts w:ascii="Palatino Linotype" w:eastAsia="Palatino Linotype" w:hAnsi="Palatino Linotype" w:cs="Palatino Linotype"/>
          <w:color w:val="000000" w:themeColor="text1"/>
        </w:rPr>
        <w:lastRenderedPageBreak/>
        <w:t xml:space="preserve">Por lo que para dar atención a la </w:t>
      </w:r>
      <w:r w:rsidR="000A6285" w:rsidRPr="0020774E">
        <w:rPr>
          <w:rFonts w:ascii="Palatino Linotype" w:eastAsia="Palatino Linotype" w:hAnsi="Palatino Linotype" w:cs="Palatino Linotype"/>
          <w:color w:val="000000" w:themeColor="text1"/>
        </w:rPr>
        <w:t>solicitud</w:t>
      </w:r>
      <w:r w:rsidRPr="0020774E">
        <w:rPr>
          <w:rFonts w:ascii="Palatino Linotype" w:eastAsia="Palatino Linotype" w:hAnsi="Palatino Linotype" w:cs="Palatino Linotype"/>
          <w:color w:val="000000" w:themeColor="text1"/>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6D6CD2" w:rsidRPr="0020774E" w:rsidRDefault="006D6CD2">
      <w:pPr>
        <w:tabs>
          <w:tab w:val="left" w:pos="8647"/>
        </w:tabs>
        <w:spacing w:after="0" w:line="360" w:lineRule="auto"/>
        <w:ind w:right="51"/>
        <w:jc w:val="both"/>
        <w:rPr>
          <w:rFonts w:ascii="Palatino Linotype" w:hAnsi="Palatino Linotype" w:cs="Arial"/>
          <w:color w:val="000000" w:themeColor="text1"/>
          <w:sz w:val="24"/>
          <w:szCs w:val="24"/>
        </w:rPr>
      </w:pPr>
    </w:p>
    <w:p w:rsidR="006D6CD2" w:rsidRPr="0020774E" w:rsidRDefault="00443924">
      <w:pPr>
        <w:tabs>
          <w:tab w:val="left" w:pos="8647"/>
        </w:tabs>
        <w:spacing w:after="0" w:line="360" w:lineRule="auto"/>
        <w:ind w:right="51"/>
        <w:jc w:val="both"/>
        <w:rPr>
          <w:rFonts w:ascii="Palatino Linotype" w:hAnsi="Palatino Linotype" w:cs="Arial"/>
          <w:color w:val="000000" w:themeColor="text1"/>
          <w:sz w:val="24"/>
          <w:szCs w:val="24"/>
        </w:rPr>
      </w:pPr>
      <w:r w:rsidRPr="0020774E">
        <w:rPr>
          <w:rFonts w:ascii="Palatino Linotype" w:hAnsi="Palatino Linotype" w:cs="Arial"/>
          <w:color w:val="000000" w:themeColor="text1"/>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6D6CD2" w:rsidRPr="0020774E" w:rsidRDefault="006D6CD2">
      <w:pPr>
        <w:tabs>
          <w:tab w:val="left" w:pos="8647"/>
        </w:tabs>
        <w:spacing w:after="0" w:line="360" w:lineRule="auto"/>
        <w:ind w:right="51"/>
        <w:jc w:val="both"/>
        <w:rPr>
          <w:rFonts w:ascii="Palatino Linotype" w:hAnsi="Palatino Linotype" w:cs="Arial"/>
          <w:color w:val="000000" w:themeColor="text1"/>
          <w:sz w:val="24"/>
          <w:szCs w:val="24"/>
        </w:rPr>
      </w:pPr>
    </w:p>
    <w:p w:rsidR="006D6CD2" w:rsidRPr="0020774E" w:rsidRDefault="00443924">
      <w:pPr>
        <w:tabs>
          <w:tab w:val="left" w:pos="8647"/>
        </w:tabs>
        <w:spacing w:after="0" w:line="360" w:lineRule="auto"/>
        <w:ind w:right="51"/>
        <w:jc w:val="both"/>
        <w:rPr>
          <w:rFonts w:ascii="Palatino Linotype" w:hAnsi="Palatino Linotype" w:cs="Arial"/>
          <w:color w:val="000000" w:themeColor="text1"/>
          <w:sz w:val="24"/>
          <w:szCs w:val="24"/>
        </w:rPr>
      </w:pPr>
      <w:r w:rsidRPr="0020774E">
        <w:rPr>
          <w:rFonts w:ascii="Palatino Linotype" w:hAnsi="Palatino Linotype" w:cs="Arial"/>
          <w:color w:val="000000" w:themeColor="text1"/>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6D6CD2" w:rsidRPr="0020774E" w:rsidRDefault="006D6CD2">
      <w:pPr>
        <w:tabs>
          <w:tab w:val="left" w:pos="8647"/>
        </w:tabs>
        <w:spacing w:after="0" w:line="360" w:lineRule="auto"/>
        <w:ind w:right="51"/>
        <w:jc w:val="both"/>
        <w:rPr>
          <w:rFonts w:ascii="Palatino Linotype" w:hAnsi="Palatino Linotype" w:cs="Arial"/>
          <w:color w:val="000000" w:themeColor="text1"/>
          <w:sz w:val="24"/>
          <w:szCs w:val="24"/>
        </w:rPr>
      </w:pPr>
    </w:p>
    <w:p w:rsidR="006D6CD2" w:rsidRPr="0020774E" w:rsidRDefault="00443924">
      <w:pPr>
        <w:tabs>
          <w:tab w:val="left" w:pos="8647"/>
        </w:tabs>
        <w:spacing w:after="0" w:line="360" w:lineRule="auto"/>
        <w:ind w:right="51"/>
        <w:jc w:val="both"/>
        <w:rPr>
          <w:rFonts w:ascii="Palatino Linotype" w:hAnsi="Palatino Linotype" w:cs="Arial"/>
          <w:color w:val="000000" w:themeColor="text1"/>
          <w:sz w:val="24"/>
          <w:szCs w:val="24"/>
        </w:rPr>
      </w:pPr>
      <w:r w:rsidRPr="0020774E">
        <w:rPr>
          <w:rFonts w:ascii="Palatino Linotype" w:hAnsi="Palatino Linotype" w:cs="Arial"/>
          <w:color w:val="000000" w:themeColor="text1"/>
          <w:sz w:val="24"/>
          <w:szCs w:val="24"/>
        </w:rPr>
        <w:t xml:space="preserve">El derecho de acceso a la información pública puede ser restringido cuando se trate de información clasificada como reservada, por lo que </w:t>
      </w:r>
      <w:r w:rsidRPr="0020774E">
        <w:rPr>
          <w:rFonts w:ascii="Palatino Linotype" w:eastAsia="Palatino Linotype" w:hAnsi="Palatino Linotype" w:cs="Palatino Linotype"/>
          <w:color w:val="000000" w:themeColor="text1"/>
          <w:sz w:val="24"/>
          <w:szCs w:val="24"/>
        </w:rPr>
        <w:t xml:space="preserve">para motivar la clasificación se deberán de señalar las razones, motivos o circunstancias especiales que llevaron al </w:t>
      </w:r>
      <w:r w:rsidRPr="0020774E">
        <w:rPr>
          <w:rFonts w:ascii="Palatino Linotype" w:eastAsia="Palatino Linotype" w:hAnsi="Palatino Linotype" w:cs="Palatino Linotype"/>
          <w:b/>
          <w:color w:val="000000" w:themeColor="text1"/>
          <w:sz w:val="24"/>
          <w:szCs w:val="24"/>
        </w:rPr>
        <w:t>Sujeto Obligado</w:t>
      </w:r>
      <w:r w:rsidRPr="0020774E">
        <w:rPr>
          <w:rFonts w:ascii="Palatino Linotype" w:eastAsia="Palatino Linotype" w:hAnsi="Palatino Linotype" w:cs="Palatino Linotype"/>
          <w:color w:val="000000" w:themeColor="text1"/>
          <w:sz w:val="24"/>
          <w:szCs w:val="24"/>
        </w:rPr>
        <w:t xml:space="preserve"> a concluir que, el caso particular se ajusta al supuesto previsto por </w:t>
      </w:r>
      <w:r w:rsidRPr="0020774E">
        <w:rPr>
          <w:rFonts w:ascii="Palatino Linotype" w:eastAsia="Palatino Linotype" w:hAnsi="Palatino Linotype" w:cs="Palatino Linotype"/>
          <w:color w:val="000000" w:themeColor="text1"/>
          <w:sz w:val="24"/>
          <w:szCs w:val="24"/>
        </w:rPr>
        <w:lastRenderedPageBreak/>
        <w:t>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6D6CD2" w:rsidRPr="0020774E" w:rsidRDefault="006D6CD2">
      <w:pPr>
        <w:spacing w:line="360" w:lineRule="auto"/>
        <w:ind w:right="51"/>
        <w:jc w:val="both"/>
        <w:rPr>
          <w:rFonts w:ascii="Palatino Linotype" w:eastAsia="Palatino Linotype" w:hAnsi="Palatino Linotype" w:cs="Palatino Linotype"/>
          <w:color w:val="000000" w:themeColor="text1"/>
          <w:sz w:val="24"/>
          <w:szCs w:val="24"/>
        </w:rPr>
      </w:pPr>
    </w:p>
    <w:p w:rsidR="006D6CD2" w:rsidRPr="0020774E" w:rsidRDefault="00443924">
      <w:pPr>
        <w:spacing w:line="360" w:lineRule="auto"/>
        <w:jc w:val="both"/>
        <w:rPr>
          <w:rFonts w:ascii="Palatino Linotype" w:eastAsia="Palatino Linotype" w:hAnsi="Palatino Linotype" w:cs="Palatino Linotype"/>
          <w:color w:val="000000" w:themeColor="text1"/>
          <w:sz w:val="24"/>
          <w:szCs w:val="24"/>
        </w:rPr>
      </w:pPr>
      <w:r w:rsidRPr="0020774E">
        <w:rPr>
          <w:rFonts w:ascii="Palatino Linotype" w:eastAsia="Palatino Linotype" w:hAnsi="Palatino Linotype" w:cs="Palatino Linotype"/>
          <w:color w:val="000000" w:themeColor="text1"/>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6D6CD2" w:rsidRPr="0020774E" w:rsidRDefault="00443924">
      <w:pPr>
        <w:spacing w:line="360" w:lineRule="auto"/>
        <w:jc w:val="both"/>
        <w:rPr>
          <w:rFonts w:ascii="Palatino Linotype" w:eastAsia="Palatino Linotype" w:hAnsi="Palatino Linotype" w:cs="Palatino Linotype"/>
          <w:color w:val="000000" w:themeColor="text1"/>
          <w:sz w:val="24"/>
          <w:szCs w:val="24"/>
        </w:rPr>
      </w:pPr>
      <w:r w:rsidRPr="0020774E">
        <w:rPr>
          <w:rFonts w:ascii="Palatino Linotype" w:eastAsia="Palatino Linotype" w:hAnsi="Palatino Linotype" w:cs="Palatino Linotype"/>
          <w:color w:val="000000" w:themeColor="text1"/>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6D6CD2" w:rsidRPr="0020774E" w:rsidRDefault="006D6CD2">
      <w:pPr>
        <w:tabs>
          <w:tab w:val="left" w:pos="8647"/>
        </w:tabs>
        <w:spacing w:after="0" w:line="360" w:lineRule="auto"/>
        <w:ind w:right="51"/>
        <w:jc w:val="both"/>
        <w:rPr>
          <w:rFonts w:ascii="Palatino Linotype" w:hAnsi="Palatino Linotype" w:cs="Arial"/>
          <w:color w:val="000000" w:themeColor="text1"/>
          <w:sz w:val="24"/>
          <w:szCs w:val="24"/>
        </w:rPr>
      </w:pPr>
    </w:p>
    <w:p w:rsidR="006D6CD2" w:rsidRPr="0020774E" w:rsidRDefault="00443924">
      <w:pPr>
        <w:tabs>
          <w:tab w:val="left" w:pos="8647"/>
        </w:tabs>
        <w:spacing w:after="0" w:line="360" w:lineRule="auto"/>
        <w:ind w:right="51"/>
        <w:jc w:val="both"/>
        <w:rPr>
          <w:rFonts w:ascii="Palatino Linotype" w:hAnsi="Palatino Linotype" w:cs="Arial"/>
          <w:color w:val="000000" w:themeColor="text1"/>
          <w:sz w:val="24"/>
          <w:szCs w:val="24"/>
        </w:rPr>
      </w:pPr>
      <w:r w:rsidRPr="0020774E">
        <w:rPr>
          <w:rFonts w:ascii="Palatino Linotype" w:hAnsi="Palatino Linotype" w:cs="Arial"/>
          <w:color w:val="000000" w:themeColor="text1"/>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6D6CD2" w:rsidRPr="0020774E" w:rsidRDefault="006D6CD2">
      <w:pPr>
        <w:tabs>
          <w:tab w:val="left" w:pos="8647"/>
        </w:tabs>
        <w:spacing w:after="0" w:line="360" w:lineRule="auto"/>
        <w:ind w:right="51"/>
        <w:jc w:val="both"/>
        <w:rPr>
          <w:rFonts w:ascii="Palatino Linotype" w:hAnsi="Palatino Linotype" w:cs="Arial"/>
          <w:color w:val="000000" w:themeColor="text1"/>
          <w:sz w:val="24"/>
          <w:szCs w:val="24"/>
        </w:rPr>
      </w:pPr>
    </w:p>
    <w:p w:rsidR="006D6CD2" w:rsidRPr="0020774E" w:rsidRDefault="00443924">
      <w:pPr>
        <w:spacing w:after="0" w:line="360" w:lineRule="auto"/>
        <w:contextualSpacing/>
        <w:jc w:val="both"/>
        <w:rPr>
          <w:rFonts w:ascii="Palatino Linotype" w:eastAsia="Times New Roman" w:hAnsi="Palatino Linotype" w:cs="Arial"/>
          <w:iCs/>
          <w:color w:val="000000" w:themeColor="text1"/>
          <w:sz w:val="24"/>
          <w:szCs w:val="24"/>
          <w:lang w:val="es-ES" w:eastAsia="es-ES"/>
        </w:rPr>
      </w:pPr>
      <w:r w:rsidRPr="0020774E">
        <w:rPr>
          <w:rFonts w:ascii="Palatino Linotype" w:eastAsia="Times New Roman" w:hAnsi="Palatino Linotype" w:cs="Arial"/>
          <w:color w:val="000000" w:themeColor="text1"/>
          <w:sz w:val="24"/>
          <w:szCs w:val="24"/>
          <w:lang w:val="es-ES" w:eastAsia="es-ES"/>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20774E">
        <w:rPr>
          <w:rFonts w:ascii="Palatino Linotype" w:eastAsia="Times New Roman" w:hAnsi="Palatino Linotype" w:cs="Arial"/>
          <w:i/>
          <w:iCs/>
          <w:color w:val="000000" w:themeColor="text1"/>
          <w:sz w:val="24"/>
          <w:szCs w:val="24"/>
          <w:lang w:val="es-ES" w:eastAsia="es-ES"/>
        </w:rPr>
        <w:t>.</w:t>
      </w:r>
    </w:p>
    <w:p w:rsidR="006D6CD2" w:rsidRPr="0020774E" w:rsidRDefault="006D6CD2">
      <w:pPr>
        <w:spacing w:after="0" w:line="360" w:lineRule="auto"/>
        <w:contextualSpacing/>
        <w:jc w:val="both"/>
        <w:rPr>
          <w:rFonts w:ascii="Palatino Linotype" w:eastAsia="Times New Roman" w:hAnsi="Palatino Linotype" w:cs="Arial"/>
          <w:iCs/>
          <w:color w:val="000000" w:themeColor="text1"/>
          <w:sz w:val="24"/>
          <w:szCs w:val="24"/>
          <w:lang w:val="es-ES" w:eastAsia="es-ES"/>
        </w:rPr>
      </w:pPr>
    </w:p>
    <w:p w:rsidR="006D6CD2" w:rsidRPr="0020774E" w:rsidRDefault="00443924">
      <w:pPr>
        <w:numPr>
          <w:ilvl w:val="0"/>
          <w:numId w:val="2"/>
        </w:numPr>
        <w:tabs>
          <w:tab w:val="left" w:pos="7938"/>
        </w:tabs>
        <w:spacing w:after="0" w:line="360" w:lineRule="auto"/>
        <w:ind w:left="426"/>
        <w:jc w:val="both"/>
        <w:rPr>
          <w:rFonts w:ascii="Palatino Linotype" w:eastAsia="Times New Roman" w:hAnsi="Palatino Linotype" w:cs="Times New Roman"/>
          <w:b/>
          <w:iCs/>
          <w:color w:val="000000" w:themeColor="text1"/>
          <w:sz w:val="28"/>
          <w:szCs w:val="24"/>
          <w:lang w:val="es-ES" w:eastAsia="es-ES"/>
        </w:rPr>
      </w:pPr>
      <w:r w:rsidRPr="0020774E">
        <w:rPr>
          <w:rFonts w:ascii="Palatino Linotype" w:eastAsia="Times New Roman" w:hAnsi="Palatino Linotype" w:cs="Times New Roman"/>
          <w:b/>
          <w:iCs/>
          <w:color w:val="000000" w:themeColor="text1"/>
          <w:sz w:val="28"/>
          <w:szCs w:val="24"/>
          <w:lang w:val="es-ES" w:eastAsia="es-ES"/>
        </w:rPr>
        <w:t xml:space="preserve">De la vista a los órganos de control interno competentes </w:t>
      </w:r>
    </w:p>
    <w:p w:rsidR="006D6CD2" w:rsidRPr="0020774E" w:rsidRDefault="00443924">
      <w:pPr>
        <w:spacing w:line="360" w:lineRule="auto"/>
        <w:ind w:right="49"/>
        <w:jc w:val="both"/>
        <w:rPr>
          <w:rFonts w:ascii="Palatino Linotype" w:eastAsia="Palatino Linotype" w:hAnsi="Palatino Linotype" w:cs="Palatino Linotype"/>
          <w:color w:val="000000" w:themeColor="text1"/>
          <w:sz w:val="24"/>
          <w:szCs w:val="24"/>
        </w:rPr>
      </w:pPr>
      <w:r w:rsidRPr="0020774E">
        <w:rPr>
          <w:rFonts w:ascii="Palatino Linotype" w:eastAsia="Palatino Linotype" w:hAnsi="Palatino Linotype" w:cs="Palatino Linotype"/>
          <w:color w:val="000000" w:themeColor="text1"/>
          <w:sz w:val="24"/>
          <w:szCs w:val="24"/>
        </w:rPr>
        <w:t>Como ya se mencionó el</w:t>
      </w:r>
      <w:r w:rsidRPr="0020774E">
        <w:rPr>
          <w:rFonts w:ascii="Palatino Linotype" w:eastAsia="Palatino Linotype" w:hAnsi="Palatino Linotype" w:cs="Palatino Linotype"/>
          <w:b/>
          <w:color w:val="000000" w:themeColor="text1"/>
          <w:sz w:val="24"/>
          <w:szCs w:val="24"/>
        </w:rPr>
        <w:t xml:space="preserve"> Sujeto Obligado</w:t>
      </w:r>
      <w:r w:rsidRPr="0020774E">
        <w:rPr>
          <w:rFonts w:ascii="Palatino Linotype" w:eastAsia="Palatino Linotype" w:hAnsi="Palatino Linotype" w:cs="Palatino Linotype"/>
          <w:color w:val="000000" w:themeColor="text1"/>
          <w:sz w:val="24"/>
          <w:szCs w:val="24"/>
        </w:rPr>
        <w:t>, no proporcionó respuesta a la solicitud de acceso a la información pública, en el término previsto en el artículo 163 de la Ley de Transparencia y Acceso a la Información Pública por lo que ordena dar vista</w:t>
      </w:r>
      <w:r w:rsidRPr="0020774E">
        <w:rPr>
          <w:rFonts w:ascii="Palatino Linotype" w:eastAsia="Palatino Linotype" w:hAnsi="Palatino Linotype" w:cs="Palatino Linotype"/>
          <w:b/>
          <w:color w:val="000000" w:themeColor="text1"/>
          <w:sz w:val="24"/>
          <w:szCs w:val="24"/>
        </w:rPr>
        <w:t xml:space="preserve"> </w:t>
      </w:r>
      <w:r w:rsidRPr="0020774E">
        <w:rPr>
          <w:rFonts w:ascii="Palatino Linotype" w:eastAsia="Palatino Linotype" w:hAnsi="Palatino Linotype" w:cs="Palatino Linotype"/>
          <w:color w:val="000000" w:themeColor="text1"/>
          <w:sz w:val="24"/>
          <w:szCs w:val="24"/>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w:t>
      </w:r>
      <w:r w:rsidRPr="0020774E">
        <w:rPr>
          <w:rFonts w:ascii="Palatino Linotype" w:eastAsia="Times New Roman" w:hAnsi="Palatino Linotype" w:cs="Times New Roman"/>
          <w:color w:val="000000" w:themeColor="text1"/>
          <w:sz w:val="24"/>
          <w:szCs w:val="24"/>
          <w:lang w:val="es-ES" w:eastAsia="es-ES"/>
        </w:rPr>
        <w:t>del Reglamento Interior del Instituto de Transparencia, Acceso a la Información y Protección de Datos Personales</w:t>
      </w:r>
      <w:r w:rsidRPr="0020774E">
        <w:rPr>
          <w:rFonts w:ascii="Palatino Linotype" w:eastAsia="Palatino Linotype" w:hAnsi="Palatino Linotype" w:cs="Palatino Linotype"/>
          <w:color w:val="000000" w:themeColor="text1"/>
          <w:sz w:val="24"/>
          <w:szCs w:val="24"/>
        </w:rPr>
        <w:t xml:space="preserve"> del Estado de México y Municipios, se determine lo conducente.</w:t>
      </w:r>
    </w:p>
    <w:p w:rsidR="006D6CD2" w:rsidRPr="0020774E" w:rsidRDefault="00443924">
      <w:pPr>
        <w:spacing w:after="0" w:line="360" w:lineRule="auto"/>
        <w:jc w:val="both"/>
        <w:rPr>
          <w:rFonts w:ascii="Palatino Linotype" w:hAnsi="Palatino Linotype" w:cs="Arial"/>
          <w:color w:val="000000" w:themeColor="text1"/>
          <w:sz w:val="24"/>
          <w:szCs w:val="24"/>
        </w:rPr>
      </w:pPr>
      <w:r w:rsidRPr="0020774E">
        <w:rPr>
          <w:rFonts w:ascii="Palatino Linotype" w:hAnsi="Palatino Linotype" w:cs="Arial"/>
          <w:color w:val="000000" w:themeColor="text1"/>
          <w:sz w:val="24"/>
          <w:szCs w:val="24"/>
        </w:rPr>
        <w:t xml:space="preserve">Por lo tanto, de lo expuesto y con fundamento en la fracción IV del artículo 186, de la Ley de Transparencia y Acceso a la Información Pública del Estado de México y Municipios, se </w:t>
      </w:r>
      <w:r w:rsidRPr="0020774E">
        <w:rPr>
          <w:rFonts w:ascii="Palatino Linotype" w:hAnsi="Palatino Linotype" w:cs="Arial"/>
          <w:b/>
          <w:color w:val="000000" w:themeColor="text1"/>
          <w:sz w:val="24"/>
          <w:szCs w:val="24"/>
        </w:rPr>
        <w:t>ORDENA</w:t>
      </w:r>
      <w:r w:rsidRPr="0020774E">
        <w:rPr>
          <w:rFonts w:ascii="Palatino Linotype" w:hAnsi="Palatino Linotype" w:cs="Arial"/>
          <w:color w:val="000000" w:themeColor="text1"/>
          <w:sz w:val="24"/>
          <w:szCs w:val="24"/>
        </w:rPr>
        <w:t xml:space="preserve"> al </w:t>
      </w:r>
      <w:r w:rsidRPr="0020774E">
        <w:rPr>
          <w:rFonts w:ascii="Palatino Linotype" w:hAnsi="Palatino Linotype" w:cs="Arial"/>
          <w:b/>
          <w:color w:val="000000" w:themeColor="text1"/>
          <w:sz w:val="24"/>
          <w:szCs w:val="24"/>
        </w:rPr>
        <w:t>Sujeto Obligado</w:t>
      </w:r>
      <w:r w:rsidRPr="0020774E">
        <w:rPr>
          <w:rFonts w:ascii="Palatino Linotype" w:hAnsi="Palatino Linotype" w:cs="Arial"/>
          <w:color w:val="000000" w:themeColor="text1"/>
          <w:sz w:val="24"/>
          <w:szCs w:val="24"/>
        </w:rPr>
        <w:t xml:space="preserve">, atienda la solicitud de información </w:t>
      </w:r>
      <w:r w:rsidR="000A6285" w:rsidRPr="0020774E">
        <w:rPr>
          <w:rFonts w:ascii="Palatino Linotype" w:hAnsi="Palatino Linotype" w:cs="Arial"/>
          <w:b/>
          <w:color w:val="000000" w:themeColor="text1"/>
          <w:sz w:val="24"/>
          <w:szCs w:val="24"/>
        </w:rPr>
        <w:t>00973</w:t>
      </w:r>
      <w:r w:rsidRPr="0020774E">
        <w:rPr>
          <w:rFonts w:ascii="Palatino Linotype" w:hAnsi="Palatino Linotype" w:cs="Arial"/>
          <w:b/>
          <w:color w:val="000000" w:themeColor="text1"/>
          <w:sz w:val="24"/>
          <w:szCs w:val="24"/>
        </w:rPr>
        <w:t>/</w:t>
      </w:r>
      <w:r w:rsidR="000A6285" w:rsidRPr="0020774E">
        <w:rPr>
          <w:rFonts w:ascii="Palatino Linotype" w:hAnsi="Palatino Linotype" w:cs="Arial"/>
          <w:b/>
          <w:color w:val="000000" w:themeColor="text1"/>
          <w:sz w:val="24"/>
          <w:szCs w:val="24"/>
        </w:rPr>
        <w:t>ECATEPEC/IP/2024</w:t>
      </w:r>
      <w:r w:rsidR="00ED174F">
        <w:rPr>
          <w:rFonts w:ascii="Palatino Linotype" w:hAnsi="Palatino Linotype" w:cs="Arial"/>
          <w:b/>
          <w:color w:val="000000" w:themeColor="text1"/>
          <w:sz w:val="24"/>
          <w:szCs w:val="24"/>
        </w:rPr>
        <w:t xml:space="preserve"> y </w:t>
      </w:r>
      <w:r w:rsidR="00ED174F" w:rsidRPr="009A4E15">
        <w:rPr>
          <w:rFonts w:ascii="Palatino Linotype" w:hAnsi="Palatino Linotype" w:cs="Arial"/>
          <w:b/>
          <w:color w:val="000000" w:themeColor="text1"/>
          <w:sz w:val="24"/>
          <w:szCs w:val="24"/>
        </w:rPr>
        <w:t>00975/ECATEPEC/IP/2024</w:t>
      </w:r>
      <w:r w:rsidRPr="009A4E15">
        <w:rPr>
          <w:rFonts w:ascii="Palatino Linotype" w:eastAsia="Times New Roman" w:hAnsi="Palatino Linotype" w:cs="Times New Roman"/>
          <w:b/>
          <w:bCs/>
          <w:color w:val="000000" w:themeColor="text1"/>
          <w:sz w:val="24"/>
          <w:szCs w:val="24"/>
          <w:lang w:val="es-ES" w:eastAsia="es-ES"/>
        </w:rPr>
        <w:t>,</w:t>
      </w:r>
      <w:r w:rsidRPr="0020774E">
        <w:rPr>
          <w:rFonts w:ascii="Palatino Linotype" w:hAnsi="Palatino Linotype" w:cs="Arial"/>
          <w:color w:val="000000" w:themeColor="text1"/>
          <w:sz w:val="24"/>
          <w:szCs w:val="24"/>
        </w:rPr>
        <w:t xml:space="preserve"> que ha sido materia del presente fallo.</w:t>
      </w:r>
    </w:p>
    <w:p w:rsidR="006D6CD2" w:rsidRPr="0020774E" w:rsidRDefault="006D6CD2">
      <w:pPr>
        <w:spacing w:after="0" w:line="360" w:lineRule="auto"/>
        <w:jc w:val="both"/>
        <w:rPr>
          <w:rFonts w:ascii="Palatino Linotype" w:hAnsi="Palatino Linotype" w:cs="Arial"/>
          <w:color w:val="000000" w:themeColor="text1"/>
          <w:sz w:val="24"/>
          <w:szCs w:val="24"/>
        </w:rPr>
      </w:pPr>
    </w:p>
    <w:p w:rsidR="006D6CD2" w:rsidRPr="0020774E" w:rsidRDefault="00443924">
      <w:pPr>
        <w:spacing w:after="0" w:line="360" w:lineRule="auto"/>
        <w:jc w:val="both"/>
        <w:rPr>
          <w:rFonts w:ascii="Palatino Linotype" w:hAnsi="Palatino Linotype" w:cs="Arial"/>
          <w:color w:val="000000" w:themeColor="text1"/>
          <w:sz w:val="24"/>
          <w:szCs w:val="24"/>
        </w:rPr>
      </w:pPr>
      <w:r w:rsidRPr="0020774E">
        <w:rPr>
          <w:rFonts w:ascii="Palatino Linotype" w:hAnsi="Palatino Linotype" w:cs="Arial"/>
          <w:color w:val="000000" w:themeColor="text1"/>
          <w:sz w:val="24"/>
          <w:szCs w:val="24"/>
        </w:rPr>
        <w:t>Por lo antes expuesto y fundado es de resolverse y,</w:t>
      </w:r>
    </w:p>
    <w:p w:rsidR="006D6CD2" w:rsidRPr="0020774E" w:rsidRDefault="006D6CD2">
      <w:pPr>
        <w:spacing w:after="0" w:line="360" w:lineRule="auto"/>
        <w:jc w:val="both"/>
        <w:rPr>
          <w:rFonts w:ascii="Palatino Linotype" w:hAnsi="Palatino Linotype" w:cs="Arial"/>
          <w:color w:val="000000" w:themeColor="text1"/>
          <w:sz w:val="24"/>
          <w:szCs w:val="24"/>
        </w:rPr>
      </w:pPr>
    </w:p>
    <w:p w:rsidR="006D6CD2" w:rsidRPr="0020774E" w:rsidRDefault="00443924">
      <w:pPr>
        <w:spacing w:after="0" w:line="360" w:lineRule="auto"/>
        <w:ind w:left="426"/>
        <w:jc w:val="center"/>
        <w:rPr>
          <w:rFonts w:ascii="Palatino Linotype" w:eastAsia="Times New Roman" w:hAnsi="Palatino Linotype" w:cs="Times New Roman"/>
          <w:b/>
          <w:color w:val="000000" w:themeColor="text1"/>
          <w:sz w:val="28"/>
          <w:szCs w:val="24"/>
          <w:lang w:val="es-ES" w:eastAsia="es-ES"/>
        </w:rPr>
      </w:pPr>
      <w:r w:rsidRPr="0020774E">
        <w:rPr>
          <w:rFonts w:ascii="Palatino Linotype" w:eastAsia="Times New Roman" w:hAnsi="Palatino Linotype" w:cs="Times New Roman"/>
          <w:b/>
          <w:color w:val="000000" w:themeColor="text1"/>
          <w:sz w:val="28"/>
          <w:szCs w:val="24"/>
          <w:lang w:val="es-ES" w:eastAsia="es-ES"/>
        </w:rPr>
        <w:t>SE    RESUELVE</w:t>
      </w:r>
    </w:p>
    <w:p w:rsidR="006D6CD2" w:rsidRPr="0020774E" w:rsidRDefault="00443924">
      <w:pPr>
        <w:tabs>
          <w:tab w:val="left" w:pos="8647"/>
        </w:tabs>
        <w:spacing w:after="0" w:line="360" w:lineRule="auto"/>
        <w:ind w:right="51"/>
        <w:jc w:val="both"/>
        <w:rPr>
          <w:rFonts w:ascii="Palatino Linotype" w:hAnsi="Palatino Linotype" w:cs="Arial"/>
          <w:color w:val="000000" w:themeColor="text1"/>
          <w:sz w:val="24"/>
          <w:szCs w:val="24"/>
        </w:rPr>
      </w:pPr>
      <w:r w:rsidRPr="0020774E">
        <w:rPr>
          <w:rFonts w:ascii="Palatino Linotype" w:hAnsi="Palatino Linotype" w:cs="Arial"/>
          <w:b/>
          <w:color w:val="000000" w:themeColor="text1"/>
          <w:sz w:val="28"/>
          <w:szCs w:val="24"/>
        </w:rPr>
        <w:t>PRIMERO.</w:t>
      </w:r>
      <w:r w:rsidRPr="0020774E">
        <w:rPr>
          <w:rFonts w:ascii="Palatino Linotype" w:hAnsi="Palatino Linotype" w:cs="Arial"/>
          <w:color w:val="000000" w:themeColor="text1"/>
          <w:sz w:val="24"/>
          <w:szCs w:val="24"/>
        </w:rPr>
        <w:t xml:space="preserve"> Resultan fundadas las razones o motivos de inconformidad hechos valer por la parte </w:t>
      </w:r>
      <w:r w:rsidRPr="0020774E">
        <w:rPr>
          <w:rFonts w:ascii="Palatino Linotype" w:hAnsi="Palatino Linotype" w:cs="Arial"/>
          <w:b/>
          <w:color w:val="000000" w:themeColor="text1"/>
          <w:sz w:val="24"/>
          <w:szCs w:val="24"/>
        </w:rPr>
        <w:t>Recurrente,</w:t>
      </w:r>
      <w:r w:rsidRPr="0020774E">
        <w:rPr>
          <w:rFonts w:ascii="Palatino Linotype" w:hAnsi="Palatino Linotype" w:cs="Arial"/>
          <w:color w:val="000000" w:themeColor="text1"/>
          <w:sz w:val="24"/>
          <w:szCs w:val="24"/>
        </w:rPr>
        <w:t xml:space="preserve"> en términos del considerando </w:t>
      </w:r>
      <w:r w:rsidRPr="0020774E">
        <w:rPr>
          <w:rFonts w:ascii="Palatino Linotype" w:hAnsi="Palatino Linotype" w:cs="Arial"/>
          <w:b/>
          <w:color w:val="000000" w:themeColor="text1"/>
          <w:sz w:val="24"/>
          <w:szCs w:val="24"/>
        </w:rPr>
        <w:t>TERCERO</w:t>
      </w:r>
      <w:r w:rsidRPr="0020774E">
        <w:rPr>
          <w:rFonts w:ascii="Palatino Linotype" w:hAnsi="Palatino Linotype" w:cs="Arial"/>
          <w:color w:val="000000" w:themeColor="text1"/>
          <w:sz w:val="24"/>
          <w:szCs w:val="24"/>
        </w:rPr>
        <w:t>, de la presente resolución.</w:t>
      </w:r>
    </w:p>
    <w:p w:rsidR="006D6CD2" w:rsidRPr="0020774E" w:rsidRDefault="006D6CD2">
      <w:pPr>
        <w:tabs>
          <w:tab w:val="left" w:pos="8647"/>
        </w:tabs>
        <w:spacing w:after="0" w:line="360" w:lineRule="auto"/>
        <w:ind w:right="51"/>
        <w:jc w:val="both"/>
        <w:rPr>
          <w:rFonts w:ascii="Palatino Linotype" w:hAnsi="Palatino Linotype" w:cs="Arial"/>
          <w:color w:val="000000" w:themeColor="text1"/>
          <w:sz w:val="24"/>
          <w:szCs w:val="24"/>
        </w:rPr>
      </w:pPr>
    </w:p>
    <w:p w:rsidR="006D6CD2" w:rsidRPr="0020774E" w:rsidRDefault="00443924">
      <w:pPr>
        <w:tabs>
          <w:tab w:val="left" w:pos="8647"/>
        </w:tabs>
        <w:spacing w:after="0" w:line="360" w:lineRule="auto"/>
        <w:ind w:right="51"/>
        <w:jc w:val="both"/>
        <w:rPr>
          <w:rFonts w:ascii="Palatino Linotype" w:hAnsi="Palatino Linotype" w:cs="Arial"/>
          <w:color w:val="000000" w:themeColor="text1"/>
          <w:sz w:val="24"/>
          <w:szCs w:val="24"/>
        </w:rPr>
      </w:pPr>
      <w:r w:rsidRPr="0020774E">
        <w:rPr>
          <w:rFonts w:ascii="Palatino Linotype" w:hAnsi="Palatino Linotype" w:cs="Arial"/>
          <w:b/>
          <w:color w:val="000000" w:themeColor="text1"/>
          <w:sz w:val="28"/>
          <w:szCs w:val="24"/>
        </w:rPr>
        <w:t>SEGUNDO.</w:t>
      </w:r>
      <w:r w:rsidRPr="0020774E">
        <w:rPr>
          <w:rFonts w:ascii="Palatino Linotype" w:hAnsi="Palatino Linotype" w:cs="Arial"/>
          <w:color w:val="000000" w:themeColor="text1"/>
          <w:sz w:val="24"/>
          <w:szCs w:val="24"/>
        </w:rPr>
        <w:t xml:space="preserve"> Se </w:t>
      </w:r>
      <w:r w:rsidRPr="0020774E">
        <w:rPr>
          <w:rFonts w:ascii="Palatino Linotype" w:hAnsi="Palatino Linotype" w:cs="Arial"/>
          <w:b/>
          <w:color w:val="000000" w:themeColor="text1"/>
          <w:sz w:val="24"/>
          <w:szCs w:val="24"/>
        </w:rPr>
        <w:t>ORDENA</w:t>
      </w:r>
      <w:r w:rsidRPr="0020774E">
        <w:rPr>
          <w:rFonts w:ascii="Palatino Linotype" w:hAnsi="Palatino Linotype" w:cs="Arial"/>
          <w:color w:val="000000" w:themeColor="text1"/>
          <w:sz w:val="24"/>
          <w:szCs w:val="24"/>
        </w:rPr>
        <w:t xml:space="preserve"> al </w:t>
      </w:r>
      <w:r w:rsidRPr="0020774E">
        <w:rPr>
          <w:rFonts w:ascii="Palatino Linotype" w:hAnsi="Palatino Linotype" w:cs="Arial"/>
          <w:b/>
          <w:color w:val="000000" w:themeColor="text1"/>
          <w:sz w:val="24"/>
          <w:szCs w:val="24"/>
        </w:rPr>
        <w:t>Sujeto Obligado</w:t>
      </w:r>
      <w:r w:rsidRPr="0020774E">
        <w:rPr>
          <w:rFonts w:ascii="Palatino Linotype" w:hAnsi="Palatino Linotype" w:cs="Arial"/>
          <w:color w:val="000000" w:themeColor="text1"/>
          <w:sz w:val="24"/>
          <w:szCs w:val="24"/>
        </w:rPr>
        <w:t xml:space="preserve"> atienda la</w:t>
      </w:r>
      <w:r w:rsidR="00ED174F">
        <w:rPr>
          <w:rFonts w:ascii="Palatino Linotype" w:hAnsi="Palatino Linotype" w:cs="Arial"/>
          <w:color w:val="000000" w:themeColor="text1"/>
          <w:sz w:val="24"/>
          <w:szCs w:val="24"/>
        </w:rPr>
        <w:t>s</w:t>
      </w:r>
      <w:r w:rsidRPr="0020774E">
        <w:rPr>
          <w:rFonts w:ascii="Palatino Linotype" w:hAnsi="Palatino Linotype" w:cs="Arial"/>
          <w:color w:val="000000" w:themeColor="text1"/>
          <w:sz w:val="24"/>
          <w:szCs w:val="24"/>
        </w:rPr>
        <w:t xml:space="preserve"> solicitud</w:t>
      </w:r>
      <w:r w:rsidR="00ED174F">
        <w:rPr>
          <w:rFonts w:ascii="Palatino Linotype" w:hAnsi="Palatino Linotype" w:cs="Arial"/>
          <w:color w:val="000000" w:themeColor="text1"/>
          <w:sz w:val="24"/>
          <w:szCs w:val="24"/>
        </w:rPr>
        <w:t>es</w:t>
      </w:r>
      <w:r w:rsidRPr="0020774E">
        <w:rPr>
          <w:rFonts w:ascii="Palatino Linotype" w:hAnsi="Palatino Linotype" w:cs="Arial"/>
          <w:color w:val="000000" w:themeColor="text1"/>
          <w:sz w:val="24"/>
          <w:szCs w:val="24"/>
        </w:rPr>
        <w:t xml:space="preserve"> de información </w:t>
      </w:r>
      <w:r w:rsidR="000A6285" w:rsidRPr="0020774E">
        <w:rPr>
          <w:rFonts w:ascii="Palatino Linotype" w:eastAsia="Times New Roman" w:hAnsi="Palatino Linotype" w:cs="Times New Roman"/>
          <w:b/>
          <w:bCs/>
          <w:color w:val="000000" w:themeColor="text1"/>
          <w:sz w:val="24"/>
          <w:szCs w:val="24"/>
          <w:lang w:val="es-ES" w:eastAsia="es-ES"/>
        </w:rPr>
        <w:t>00973/ECATEPEC</w:t>
      </w:r>
      <w:r w:rsidRPr="0020774E">
        <w:rPr>
          <w:rFonts w:ascii="Palatino Linotype" w:eastAsia="Times New Roman" w:hAnsi="Palatino Linotype" w:cs="Times New Roman"/>
          <w:b/>
          <w:bCs/>
          <w:color w:val="000000" w:themeColor="text1"/>
          <w:sz w:val="24"/>
          <w:szCs w:val="24"/>
          <w:lang w:val="es-ES" w:eastAsia="es-ES"/>
        </w:rPr>
        <w:t>/IP/20</w:t>
      </w:r>
      <w:r w:rsidR="000A6285" w:rsidRPr="0020774E">
        <w:rPr>
          <w:rFonts w:ascii="Palatino Linotype" w:eastAsia="Times New Roman" w:hAnsi="Palatino Linotype" w:cs="Times New Roman"/>
          <w:b/>
          <w:bCs/>
          <w:color w:val="000000" w:themeColor="text1"/>
          <w:sz w:val="24"/>
          <w:szCs w:val="24"/>
          <w:lang w:val="es-ES" w:eastAsia="es-ES"/>
        </w:rPr>
        <w:t>24</w:t>
      </w:r>
      <w:r w:rsidR="00ED174F">
        <w:rPr>
          <w:rFonts w:ascii="Palatino Linotype" w:eastAsia="Times New Roman" w:hAnsi="Palatino Linotype" w:cs="Times New Roman"/>
          <w:b/>
          <w:bCs/>
          <w:color w:val="000000" w:themeColor="text1"/>
          <w:sz w:val="24"/>
          <w:szCs w:val="24"/>
          <w:lang w:val="es-ES" w:eastAsia="es-ES"/>
        </w:rPr>
        <w:t xml:space="preserve"> y </w:t>
      </w:r>
      <w:r w:rsidR="00ED174F" w:rsidRPr="009A4E15">
        <w:rPr>
          <w:rFonts w:ascii="Palatino Linotype" w:eastAsia="Times New Roman" w:hAnsi="Palatino Linotype" w:cs="Times New Roman"/>
          <w:b/>
          <w:bCs/>
          <w:color w:val="000000" w:themeColor="text1"/>
          <w:sz w:val="24"/>
          <w:szCs w:val="24"/>
          <w:lang w:val="es-ES" w:eastAsia="es-ES"/>
        </w:rPr>
        <w:t>00975/ECATEPEC/IP/2024</w:t>
      </w:r>
      <w:r w:rsidRPr="009A4E15">
        <w:rPr>
          <w:rFonts w:ascii="Palatino Linotype" w:hAnsi="Palatino Linotype" w:cs="Arial"/>
          <w:color w:val="000000" w:themeColor="text1"/>
          <w:sz w:val="24"/>
          <w:szCs w:val="24"/>
        </w:rPr>
        <w:t>,</w:t>
      </w:r>
      <w:r w:rsidRPr="0020774E">
        <w:rPr>
          <w:rFonts w:ascii="Palatino Linotype" w:hAnsi="Palatino Linotype" w:cs="Arial"/>
          <w:color w:val="000000" w:themeColor="text1"/>
          <w:sz w:val="24"/>
          <w:szCs w:val="24"/>
        </w:rPr>
        <w:t xml:space="preserve"> vía Sistema de Acceso a la Información Mexiquense (SAIMEX), en términos del Considerando </w:t>
      </w:r>
      <w:r w:rsidRPr="0020774E">
        <w:rPr>
          <w:rFonts w:ascii="Palatino Linotype" w:hAnsi="Palatino Linotype" w:cs="Arial"/>
          <w:b/>
          <w:color w:val="000000" w:themeColor="text1"/>
          <w:sz w:val="24"/>
          <w:szCs w:val="24"/>
        </w:rPr>
        <w:t xml:space="preserve">CUARTO </w:t>
      </w:r>
      <w:r w:rsidRPr="0020774E">
        <w:rPr>
          <w:rFonts w:ascii="Palatino Linotype" w:hAnsi="Palatino Linotype" w:cs="Arial"/>
          <w:color w:val="000000" w:themeColor="text1"/>
          <w:sz w:val="24"/>
          <w:szCs w:val="24"/>
        </w:rPr>
        <w:t>de esta resolución</w:t>
      </w:r>
      <w:r w:rsidRPr="0020774E">
        <w:rPr>
          <w:rFonts w:ascii="Palatino Linotype" w:hAnsi="Palatino Linotype" w:cs="Arial"/>
          <w:b/>
          <w:color w:val="000000" w:themeColor="text1"/>
          <w:sz w:val="24"/>
          <w:szCs w:val="24"/>
        </w:rPr>
        <w:t>.</w:t>
      </w:r>
    </w:p>
    <w:p w:rsidR="006D6CD2" w:rsidRPr="0020774E" w:rsidRDefault="006D6CD2">
      <w:pPr>
        <w:tabs>
          <w:tab w:val="left" w:pos="8647"/>
        </w:tabs>
        <w:spacing w:after="0" w:line="360" w:lineRule="auto"/>
        <w:ind w:right="51"/>
        <w:jc w:val="both"/>
        <w:rPr>
          <w:rFonts w:ascii="Palatino Linotype" w:hAnsi="Palatino Linotype" w:cs="Arial"/>
          <w:color w:val="000000" w:themeColor="text1"/>
          <w:sz w:val="24"/>
          <w:szCs w:val="24"/>
        </w:rPr>
      </w:pPr>
    </w:p>
    <w:p w:rsidR="006D6CD2" w:rsidRPr="0020774E" w:rsidRDefault="00443924">
      <w:pPr>
        <w:tabs>
          <w:tab w:val="left" w:pos="8647"/>
        </w:tabs>
        <w:spacing w:after="0" w:line="360" w:lineRule="auto"/>
        <w:ind w:right="51"/>
        <w:jc w:val="both"/>
        <w:rPr>
          <w:rFonts w:ascii="Palatino Linotype" w:hAnsi="Palatino Linotype" w:cs="Arial"/>
          <w:color w:val="000000" w:themeColor="text1"/>
          <w:sz w:val="24"/>
          <w:szCs w:val="24"/>
        </w:rPr>
      </w:pPr>
      <w:r w:rsidRPr="0020774E">
        <w:rPr>
          <w:rFonts w:ascii="Palatino Linotype" w:hAnsi="Palatino Linotype"/>
          <w:b/>
          <w:color w:val="000000" w:themeColor="text1"/>
          <w:sz w:val="28"/>
          <w:szCs w:val="24"/>
          <w:lang w:eastAsia="es-ES_tradnl"/>
        </w:rPr>
        <w:t>TERCERO</w:t>
      </w:r>
      <w:r w:rsidRPr="0020774E">
        <w:rPr>
          <w:rFonts w:ascii="Palatino Linotype" w:hAnsi="Palatino Linotype"/>
          <w:color w:val="000000" w:themeColor="text1"/>
          <w:sz w:val="24"/>
          <w:szCs w:val="24"/>
          <w:lang w:eastAsia="es-ES_tradnl"/>
        </w:rPr>
        <w:t xml:space="preserve">. </w:t>
      </w:r>
      <w:r w:rsidRPr="0020774E">
        <w:rPr>
          <w:rFonts w:ascii="Palatino Linotype" w:hAnsi="Palatino Linotype"/>
          <w:b/>
          <w:color w:val="000000" w:themeColor="text1"/>
          <w:sz w:val="24"/>
          <w:szCs w:val="24"/>
          <w:lang w:eastAsia="es-ES_tradnl"/>
        </w:rPr>
        <w:t>Notifíquese</w:t>
      </w:r>
      <w:r w:rsidRPr="0020774E">
        <w:rPr>
          <w:rFonts w:ascii="Palatino Linotype" w:hAnsi="Palatino Linotype"/>
          <w:color w:val="000000" w:themeColor="text1"/>
          <w:sz w:val="24"/>
          <w:szCs w:val="24"/>
          <w:lang w:eastAsia="es-ES_tradnl"/>
        </w:rPr>
        <w:t xml:space="preserve">, </w:t>
      </w:r>
      <w:r w:rsidRPr="0020774E">
        <w:rPr>
          <w:rFonts w:ascii="Palatino Linotype" w:hAnsi="Palatino Linotype" w:cs="Arial"/>
          <w:color w:val="000000" w:themeColor="text1"/>
          <w:sz w:val="24"/>
          <w:szCs w:val="24"/>
        </w:rPr>
        <w:t xml:space="preserve">vía Sistema de Acceso a la Información Mexiquense (SAIMEX), </w:t>
      </w:r>
      <w:r w:rsidRPr="0020774E">
        <w:rPr>
          <w:rFonts w:ascii="Palatino Linotype" w:hAnsi="Palatino Linotype"/>
          <w:color w:val="000000" w:themeColor="text1"/>
          <w:sz w:val="24"/>
          <w:szCs w:val="24"/>
          <w:lang w:eastAsia="es-ES_tradnl"/>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6D6CD2" w:rsidRPr="0020774E" w:rsidRDefault="006D6CD2">
      <w:pPr>
        <w:spacing w:after="0" w:line="360" w:lineRule="auto"/>
        <w:jc w:val="both"/>
        <w:rPr>
          <w:rFonts w:ascii="Palatino Linotype" w:hAnsi="Palatino Linotype"/>
          <w:color w:val="000000" w:themeColor="text1"/>
          <w:sz w:val="24"/>
          <w:szCs w:val="24"/>
          <w:lang w:eastAsia="es-ES_tradnl"/>
        </w:rPr>
      </w:pPr>
    </w:p>
    <w:p w:rsidR="006D6CD2" w:rsidRPr="0020774E" w:rsidRDefault="00443924">
      <w:pPr>
        <w:tabs>
          <w:tab w:val="left" w:pos="8647"/>
        </w:tabs>
        <w:spacing w:after="0" w:line="360" w:lineRule="auto"/>
        <w:ind w:right="51"/>
        <w:jc w:val="both"/>
        <w:rPr>
          <w:rFonts w:ascii="Palatino Linotype" w:hAnsi="Palatino Linotype" w:cs="Arial"/>
          <w:color w:val="000000" w:themeColor="text1"/>
          <w:sz w:val="24"/>
          <w:szCs w:val="24"/>
        </w:rPr>
      </w:pPr>
      <w:r w:rsidRPr="0020774E">
        <w:rPr>
          <w:rFonts w:ascii="Palatino Linotype" w:hAnsi="Palatino Linotype"/>
          <w:b/>
          <w:color w:val="000000" w:themeColor="text1"/>
          <w:sz w:val="28"/>
          <w:szCs w:val="24"/>
          <w:lang w:eastAsia="es-ES_tradnl"/>
        </w:rPr>
        <w:lastRenderedPageBreak/>
        <w:t>CUARTO</w:t>
      </w:r>
      <w:r w:rsidRPr="0020774E">
        <w:rPr>
          <w:rFonts w:ascii="Palatino Linotype" w:hAnsi="Palatino Linotype"/>
          <w:color w:val="000000" w:themeColor="text1"/>
          <w:sz w:val="24"/>
          <w:szCs w:val="24"/>
          <w:lang w:eastAsia="es-ES_tradnl"/>
        </w:rPr>
        <w:t xml:space="preserve">. </w:t>
      </w:r>
      <w:r w:rsidRPr="0020774E">
        <w:rPr>
          <w:rFonts w:ascii="Palatino Linotype" w:hAnsi="Palatino Linotype"/>
          <w:b/>
          <w:color w:val="000000" w:themeColor="text1"/>
          <w:sz w:val="24"/>
          <w:szCs w:val="24"/>
          <w:lang w:eastAsia="es-ES_tradnl"/>
        </w:rPr>
        <w:t>Notifíquese</w:t>
      </w:r>
      <w:r w:rsidRPr="0020774E">
        <w:rPr>
          <w:rFonts w:ascii="Palatino Linotype" w:hAnsi="Palatino Linotype"/>
          <w:color w:val="000000" w:themeColor="text1"/>
          <w:sz w:val="24"/>
          <w:szCs w:val="24"/>
          <w:lang w:eastAsia="es-ES_tradnl"/>
        </w:rPr>
        <w:t xml:space="preserve">, </w:t>
      </w:r>
      <w:r w:rsidRPr="0020774E">
        <w:rPr>
          <w:rFonts w:ascii="Palatino Linotype" w:hAnsi="Palatino Linotype" w:cs="Arial"/>
          <w:color w:val="000000" w:themeColor="text1"/>
          <w:sz w:val="24"/>
          <w:szCs w:val="24"/>
        </w:rPr>
        <w:t xml:space="preserve">vía Sistema de Acceso a la Información Mexiquense (SAIMEX) </w:t>
      </w:r>
      <w:r w:rsidRPr="0020774E">
        <w:rPr>
          <w:rFonts w:ascii="Palatino Linotype" w:hAnsi="Palatino Linotype"/>
          <w:color w:val="000000" w:themeColor="text1"/>
          <w:sz w:val="24"/>
          <w:szCs w:val="24"/>
          <w:lang w:eastAsia="es-ES_tradnl"/>
        </w:rPr>
        <w:t xml:space="preserve">a la parte </w:t>
      </w:r>
      <w:r w:rsidRPr="0020774E">
        <w:rPr>
          <w:rFonts w:ascii="Palatino Linotype" w:hAnsi="Palatino Linotype"/>
          <w:b/>
          <w:color w:val="000000" w:themeColor="text1"/>
          <w:sz w:val="24"/>
          <w:szCs w:val="24"/>
          <w:lang w:eastAsia="es-ES_tradnl"/>
        </w:rPr>
        <w:t>Recurrente</w:t>
      </w:r>
      <w:r w:rsidRPr="0020774E">
        <w:rPr>
          <w:rFonts w:ascii="Palatino Linotype" w:hAnsi="Palatino Linotype"/>
          <w:color w:val="000000" w:themeColor="text1"/>
          <w:sz w:val="24"/>
          <w:szCs w:val="24"/>
          <w:lang w:eastAsia="es-ES_tradnl"/>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rsidR="006D6CD2" w:rsidRPr="0020774E" w:rsidRDefault="006D6CD2">
      <w:pPr>
        <w:spacing w:after="0" w:line="360" w:lineRule="auto"/>
        <w:jc w:val="both"/>
        <w:rPr>
          <w:rFonts w:ascii="Palatino Linotype" w:hAnsi="Palatino Linotype"/>
          <w:color w:val="000000" w:themeColor="text1"/>
          <w:sz w:val="24"/>
          <w:szCs w:val="24"/>
          <w:lang w:eastAsia="es-ES_tradnl"/>
        </w:rPr>
      </w:pPr>
    </w:p>
    <w:p w:rsidR="006D6CD2" w:rsidRPr="0020774E" w:rsidRDefault="00443924">
      <w:pPr>
        <w:spacing w:after="0" w:line="360" w:lineRule="auto"/>
        <w:jc w:val="both"/>
        <w:rPr>
          <w:rFonts w:ascii="Palatino Linotype" w:hAnsi="Palatino Linotype"/>
          <w:color w:val="000000" w:themeColor="text1"/>
          <w:sz w:val="24"/>
          <w:szCs w:val="24"/>
          <w:lang w:eastAsia="es-ES_tradnl"/>
        </w:rPr>
      </w:pPr>
      <w:r w:rsidRPr="0020774E">
        <w:rPr>
          <w:rFonts w:ascii="Palatino Linotype" w:hAnsi="Palatino Linotype"/>
          <w:b/>
          <w:color w:val="000000" w:themeColor="text1"/>
          <w:sz w:val="28"/>
          <w:szCs w:val="24"/>
          <w:lang w:eastAsia="es-ES_tradnl"/>
        </w:rPr>
        <w:t>QUINTO</w:t>
      </w:r>
      <w:r w:rsidRPr="0020774E">
        <w:rPr>
          <w:rFonts w:ascii="Palatino Linotype" w:hAnsi="Palatino Linotype"/>
          <w:color w:val="000000" w:themeColor="text1"/>
          <w:sz w:val="24"/>
          <w:szCs w:val="24"/>
          <w:lang w:eastAsia="es-ES_tradnl"/>
        </w:rPr>
        <w:t xml:space="preserve">. </w:t>
      </w:r>
      <w:r w:rsidRPr="0020774E">
        <w:rPr>
          <w:rFonts w:ascii="Palatino Linotype" w:hAnsi="Palatino Linotype"/>
          <w:b/>
          <w:color w:val="000000" w:themeColor="text1"/>
          <w:sz w:val="24"/>
          <w:szCs w:val="24"/>
          <w:lang w:eastAsia="es-ES_tradnl"/>
        </w:rPr>
        <w:t>Se hace del conocimiento</w:t>
      </w:r>
      <w:r w:rsidRPr="0020774E">
        <w:rPr>
          <w:rFonts w:ascii="Palatino Linotype" w:hAnsi="Palatino Linotype"/>
          <w:color w:val="000000" w:themeColor="text1"/>
          <w:sz w:val="24"/>
          <w:szCs w:val="24"/>
          <w:lang w:eastAsia="es-ES_tradnl"/>
        </w:rPr>
        <w:t xml:space="preserve"> de la parte </w:t>
      </w:r>
      <w:r w:rsidRPr="0020774E">
        <w:rPr>
          <w:rFonts w:ascii="Palatino Linotype" w:hAnsi="Palatino Linotype"/>
          <w:b/>
          <w:color w:val="000000" w:themeColor="text1"/>
          <w:sz w:val="24"/>
          <w:szCs w:val="24"/>
          <w:lang w:eastAsia="es-ES_tradnl"/>
        </w:rPr>
        <w:t>Recurrente</w:t>
      </w:r>
      <w:r w:rsidRPr="0020774E">
        <w:rPr>
          <w:rFonts w:ascii="Palatino Linotype" w:hAnsi="Palatino Linotype"/>
          <w:color w:val="000000" w:themeColor="text1"/>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rsidR="006D6CD2" w:rsidRPr="0020774E" w:rsidRDefault="006D6CD2">
      <w:pPr>
        <w:spacing w:after="0" w:line="360" w:lineRule="auto"/>
        <w:jc w:val="both"/>
        <w:rPr>
          <w:rFonts w:ascii="Palatino Linotype" w:hAnsi="Palatino Linotype"/>
          <w:color w:val="000000" w:themeColor="text1"/>
          <w:sz w:val="24"/>
          <w:szCs w:val="24"/>
          <w:lang w:eastAsia="es-ES_tradnl"/>
        </w:rPr>
      </w:pPr>
    </w:p>
    <w:p w:rsidR="006D6CD2" w:rsidRPr="0020774E" w:rsidRDefault="00443924">
      <w:pPr>
        <w:spacing w:after="0" w:line="360" w:lineRule="auto"/>
        <w:jc w:val="both"/>
        <w:rPr>
          <w:rFonts w:ascii="Palatino Linotype" w:hAnsi="Palatino Linotype"/>
          <w:color w:val="000000" w:themeColor="text1"/>
          <w:sz w:val="24"/>
          <w:szCs w:val="24"/>
          <w:lang w:eastAsia="es-ES_tradnl"/>
        </w:rPr>
      </w:pPr>
      <w:r w:rsidRPr="0020774E">
        <w:rPr>
          <w:rFonts w:ascii="Palatino Linotype" w:hAnsi="Palatino Linotype"/>
          <w:b/>
          <w:color w:val="000000" w:themeColor="text1"/>
          <w:sz w:val="28"/>
          <w:szCs w:val="24"/>
          <w:lang w:eastAsia="es-ES_tradnl"/>
        </w:rPr>
        <w:t>SEXTO</w:t>
      </w:r>
      <w:r w:rsidRPr="0020774E">
        <w:rPr>
          <w:rFonts w:ascii="Palatino Linotype" w:hAnsi="Palatino Linotype"/>
          <w:color w:val="000000" w:themeColor="text1"/>
          <w:sz w:val="24"/>
          <w:szCs w:val="24"/>
          <w:lang w:eastAsia="es-ES_tradnl"/>
        </w:rPr>
        <w:t xml:space="preserve">. </w:t>
      </w:r>
      <w:r w:rsidRPr="0020774E">
        <w:rPr>
          <w:rFonts w:ascii="Palatino Linotype" w:hAnsi="Palatino Linotype"/>
          <w:b/>
          <w:color w:val="000000" w:themeColor="text1"/>
          <w:sz w:val="24"/>
          <w:szCs w:val="24"/>
          <w:lang w:eastAsia="es-ES_tradnl"/>
        </w:rPr>
        <w:t>Gírese</w:t>
      </w:r>
      <w:r w:rsidRPr="0020774E">
        <w:rPr>
          <w:rFonts w:ascii="Palatino Linotype" w:hAnsi="Palatino Linotype"/>
          <w:color w:val="000000" w:themeColor="text1"/>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TERCERO de la presente resolución.</w:t>
      </w:r>
    </w:p>
    <w:p w:rsidR="006D6CD2" w:rsidRPr="0020774E" w:rsidRDefault="006D6CD2">
      <w:pPr>
        <w:spacing w:after="0" w:line="360" w:lineRule="auto"/>
        <w:jc w:val="both"/>
        <w:rPr>
          <w:rFonts w:ascii="Palatino Linotype" w:hAnsi="Palatino Linotype"/>
          <w:color w:val="000000" w:themeColor="text1"/>
          <w:sz w:val="24"/>
          <w:szCs w:val="24"/>
          <w:lang w:eastAsia="es-ES_tradnl"/>
        </w:rPr>
      </w:pPr>
    </w:p>
    <w:p w:rsidR="00F64F96" w:rsidRDefault="00F64F96" w:rsidP="008A2551">
      <w:pPr>
        <w:spacing w:line="360" w:lineRule="auto"/>
        <w:ind w:firstLine="1"/>
        <w:jc w:val="both"/>
        <w:rPr>
          <w:rFonts w:ascii="Palatino Linotype" w:hAnsi="Palatino Linotype"/>
          <w:sz w:val="24"/>
          <w:szCs w:val="24"/>
        </w:rPr>
      </w:pPr>
    </w:p>
    <w:p w:rsidR="00F64F96" w:rsidRDefault="00F64F96" w:rsidP="008A2551">
      <w:pPr>
        <w:spacing w:line="360" w:lineRule="auto"/>
        <w:ind w:firstLine="1"/>
        <w:jc w:val="both"/>
        <w:rPr>
          <w:rFonts w:ascii="Palatino Linotype" w:hAnsi="Palatino Linotype"/>
          <w:sz w:val="24"/>
          <w:szCs w:val="24"/>
        </w:rPr>
      </w:pPr>
    </w:p>
    <w:p w:rsidR="00F64F96" w:rsidRDefault="00F64F96" w:rsidP="008A2551">
      <w:pPr>
        <w:spacing w:line="360" w:lineRule="auto"/>
        <w:ind w:firstLine="1"/>
        <w:jc w:val="both"/>
        <w:rPr>
          <w:rFonts w:ascii="Palatino Linotype" w:hAnsi="Palatino Linotype"/>
          <w:sz w:val="24"/>
          <w:szCs w:val="24"/>
        </w:rPr>
      </w:pPr>
    </w:p>
    <w:p w:rsidR="00F64F96" w:rsidRDefault="00F64F96" w:rsidP="008A2551">
      <w:pPr>
        <w:spacing w:line="360" w:lineRule="auto"/>
        <w:ind w:firstLine="1"/>
        <w:jc w:val="both"/>
        <w:rPr>
          <w:rFonts w:ascii="Palatino Linotype" w:hAnsi="Palatino Linotype"/>
          <w:sz w:val="24"/>
          <w:szCs w:val="24"/>
        </w:rPr>
      </w:pPr>
    </w:p>
    <w:p w:rsidR="00F64F96" w:rsidRDefault="00F64F96" w:rsidP="008A2551">
      <w:pPr>
        <w:spacing w:line="360" w:lineRule="auto"/>
        <w:ind w:firstLine="1"/>
        <w:jc w:val="both"/>
        <w:rPr>
          <w:rFonts w:ascii="Palatino Linotype" w:hAnsi="Palatino Linotype"/>
          <w:sz w:val="24"/>
          <w:szCs w:val="24"/>
        </w:rPr>
      </w:pPr>
    </w:p>
    <w:p w:rsidR="008A2551" w:rsidRPr="009A4E15" w:rsidRDefault="008A2551" w:rsidP="008A2551">
      <w:pPr>
        <w:spacing w:line="360" w:lineRule="auto"/>
        <w:ind w:firstLine="1"/>
        <w:jc w:val="both"/>
        <w:rPr>
          <w:rFonts w:ascii="Palatino Linotype" w:hAnsi="Palatino Linotype"/>
          <w:sz w:val="24"/>
          <w:szCs w:val="24"/>
        </w:rPr>
      </w:pPr>
      <w:r w:rsidRPr="009A4E15">
        <w:rPr>
          <w:rFonts w:ascii="Palatino Linotype" w:hAnsi="Palatino Linotype"/>
          <w:sz w:val="24"/>
          <w:szCs w:val="24"/>
        </w:rPr>
        <w:t>ASÍ LO RESUELVE, POR UNANIMIDAD DE VOTOS, EL PLENO DEL INSTITUTO DE TRANSPARENCIA, ACCESO A LA INFORMACIÓN PÚBLICA Y</w:t>
      </w:r>
      <w:r w:rsidR="009A4E15">
        <w:rPr>
          <w:rFonts w:ascii="Palatino Linotype" w:hAnsi="Palatino Linotype"/>
          <w:sz w:val="24"/>
          <w:szCs w:val="24"/>
        </w:rPr>
        <w:t xml:space="preserve"> PROTECCIÓN DE DATOS PERSONALES </w:t>
      </w:r>
      <w:r w:rsidRPr="009A4E15">
        <w:rPr>
          <w:rFonts w:ascii="Palatino Linotype" w:hAnsi="Palatino Linotype"/>
          <w:sz w:val="24"/>
          <w:szCs w:val="24"/>
        </w:rPr>
        <w:t xml:space="preserve">DEL ESTADO DE MÉXICO Y MUNICIPIOS, CONFORMADO POR LOS COMISIONADOS JOSÉ MARTÍNEZ VILCHIS; MARÍA DEL ROSARIO MEJÍA AYALA; SHARON CRISTINA MORALES MARTÍNEZ; LUIS GUSTAVO PARRA NORIEGA Y GUADALUPE RAMÍREZ PEÑA EN LA TRIGÉSIMA SEGUNDA SESIÓN ORDINARIA CELEBRADA EL ONCE (11) DE SEPTIEMBRE DE DOS MIL VEINTICUATRO, ANTE EL SECRETARIO TÉCNICO DEL PLENO ALEXIS TAPIA RAMÍREZ. </w:t>
      </w:r>
    </w:p>
    <w:p w:rsidR="006D6CD2" w:rsidRDefault="006D6CD2">
      <w:pPr>
        <w:spacing w:after="0"/>
        <w:rPr>
          <w:rFonts w:ascii="Palatino Linotype" w:hAnsi="Palatino Linotype"/>
          <w:color w:val="000000" w:themeColor="text1"/>
        </w:rPr>
      </w:pPr>
    </w:p>
    <w:p w:rsidR="00F64F96" w:rsidRDefault="00F64F96">
      <w:pPr>
        <w:spacing w:after="0"/>
        <w:rPr>
          <w:rFonts w:ascii="Palatino Linotype" w:hAnsi="Palatino Linotype"/>
          <w:color w:val="000000" w:themeColor="text1"/>
        </w:rPr>
      </w:pPr>
    </w:p>
    <w:p w:rsidR="00F64F96" w:rsidRDefault="00F64F96">
      <w:pPr>
        <w:spacing w:after="0"/>
        <w:rPr>
          <w:rFonts w:ascii="Palatino Linotype" w:hAnsi="Palatino Linotype"/>
          <w:color w:val="000000" w:themeColor="text1"/>
        </w:rPr>
      </w:pPr>
    </w:p>
    <w:p w:rsidR="00F64F96" w:rsidRDefault="00F64F96">
      <w:pPr>
        <w:spacing w:after="0"/>
        <w:rPr>
          <w:rFonts w:ascii="Palatino Linotype" w:hAnsi="Palatino Linotype"/>
          <w:color w:val="000000" w:themeColor="text1"/>
        </w:rPr>
      </w:pPr>
    </w:p>
    <w:p w:rsidR="00F64F96" w:rsidRDefault="00F64F96">
      <w:pPr>
        <w:spacing w:after="0"/>
        <w:rPr>
          <w:rFonts w:ascii="Palatino Linotype" w:hAnsi="Palatino Linotype"/>
          <w:color w:val="000000" w:themeColor="text1"/>
        </w:rPr>
      </w:pPr>
    </w:p>
    <w:p w:rsidR="00F64F96" w:rsidRDefault="00F64F96">
      <w:pPr>
        <w:spacing w:after="0"/>
        <w:rPr>
          <w:rFonts w:ascii="Palatino Linotype" w:hAnsi="Palatino Linotype"/>
          <w:color w:val="000000" w:themeColor="text1"/>
        </w:rPr>
      </w:pPr>
    </w:p>
    <w:p w:rsidR="00F64F96" w:rsidRDefault="00F64F96">
      <w:pPr>
        <w:spacing w:after="0"/>
        <w:rPr>
          <w:rFonts w:ascii="Palatino Linotype" w:hAnsi="Palatino Linotype"/>
          <w:color w:val="000000" w:themeColor="text1"/>
        </w:rPr>
      </w:pPr>
    </w:p>
    <w:p w:rsidR="00F64F96" w:rsidRDefault="00F64F96">
      <w:pPr>
        <w:spacing w:after="0"/>
        <w:rPr>
          <w:rFonts w:ascii="Palatino Linotype" w:hAnsi="Palatino Linotype"/>
          <w:color w:val="000000" w:themeColor="text1"/>
        </w:rPr>
      </w:pPr>
    </w:p>
    <w:p w:rsidR="00F64F96" w:rsidRDefault="00F64F96">
      <w:pPr>
        <w:spacing w:after="0"/>
        <w:rPr>
          <w:rFonts w:ascii="Palatino Linotype" w:hAnsi="Palatino Linotype"/>
          <w:color w:val="000000" w:themeColor="text1"/>
        </w:rPr>
      </w:pPr>
    </w:p>
    <w:p w:rsidR="00F64F96" w:rsidRDefault="00F64F96">
      <w:pPr>
        <w:spacing w:after="0"/>
        <w:rPr>
          <w:rFonts w:ascii="Palatino Linotype" w:hAnsi="Palatino Linotype"/>
          <w:color w:val="000000" w:themeColor="text1"/>
        </w:rPr>
      </w:pPr>
    </w:p>
    <w:p w:rsidR="00F64F96" w:rsidRDefault="00F64F96">
      <w:pPr>
        <w:spacing w:after="0"/>
        <w:rPr>
          <w:rFonts w:ascii="Palatino Linotype" w:hAnsi="Palatino Linotype"/>
          <w:color w:val="000000" w:themeColor="text1"/>
        </w:rPr>
      </w:pPr>
    </w:p>
    <w:p w:rsidR="00F64F96" w:rsidRDefault="00F64F96">
      <w:pPr>
        <w:spacing w:after="0"/>
        <w:rPr>
          <w:rFonts w:ascii="Palatino Linotype" w:hAnsi="Palatino Linotype"/>
          <w:color w:val="000000" w:themeColor="text1"/>
        </w:rPr>
      </w:pPr>
    </w:p>
    <w:p w:rsidR="00F64F96" w:rsidRDefault="00F64F96">
      <w:pPr>
        <w:spacing w:after="0"/>
        <w:rPr>
          <w:rFonts w:ascii="Palatino Linotype" w:hAnsi="Palatino Linotype"/>
          <w:color w:val="000000" w:themeColor="text1"/>
        </w:rPr>
      </w:pPr>
    </w:p>
    <w:p w:rsidR="00F64F96" w:rsidRDefault="00F64F96">
      <w:pPr>
        <w:spacing w:after="0"/>
        <w:rPr>
          <w:rFonts w:ascii="Palatino Linotype" w:hAnsi="Palatino Linotype"/>
          <w:color w:val="000000" w:themeColor="text1"/>
        </w:rPr>
      </w:pPr>
    </w:p>
    <w:p w:rsidR="00F64F96" w:rsidRDefault="00F64F96">
      <w:pPr>
        <w:spacing w:after="0"/>
        <w:rPr>
          <w:rFonts w:ascii="Palatino Linotype" w:hAnsi="Palatino Linotype"/>
          <w:color w:val="000000" w:themeColor="text1"/>
        </w:rPr>
      </w:pPr>
    </w:p>
    <w:p w:rsidR="00F64F96" w:rsidRDefault="00F64F96">
      <w:pPr>
        <w:spacing w:after="0"/>
        <w:rPr>
          <w:rFonts w:ascii="Palatino Linotype" w:hAnsi="Palatino Linotype"/>
          <w:color w:val="000000" w:themeColor="text1"/>
        </w:rPr>
      </w:pPr>
    </w:p>
    <w:p w:rsidR="00F64F96" w:rsidRDefault="00F64F96">
      <w:pPr>
        <w:spacing w:after="0"/>
        <w:rPr>
          <w:rFonts w:ascii="Palatino Linotype" w:hAnsi="Palatino Linotype"/>
          <w:color w:val="000000" w:themeColor="text1"/>
        </w:rPr>
      </w:pPr>
    </w:p>
    <w:p w:rsidR="00F64F96" w:rsidRDefault="00F64F96">
      <w:pPr>
        <w:spacing w:after="0"/>
        <w:rPr>
          <w:rFonts w:ascii="Palatino Linotype" w:hAnsi="Palatino Linotype"/>
          <w:color w:val="000000" w:themeColor="text1"/>
        </w:rPr>
      </w:pPr>
    </w:p>
    <w:p w:rsidR="00F64F96" w:rsidRDefault="00F64F96">
      <w:pPr>
        <w:spacing w:after="0"/>
        <w:rPr>
          <w:rFonts w:ascii="Palatino Linotype" w:hAnsi="Palatino Linotype"/>
          <w:color w:val="000000" w:themeColor="text1"/>
        </w:rPr>
      </w:pPr>
    </w:p>
    <w:p w:rsidR="00F64F96" w:rsidRDefault="00F64F96">
      <w:pPr>
        <w:spacing w:after="0"/>
        <w:rPr>
          <w:rFonts w:ascii="Palatino Linotype" w:hAnsi="Palatino Linotype"/>
          <w:color w:val="000000" w:themeColor="text1"/>
        </w:rPr>
      </w:pPr>
    </w:p>
    <w:p w:rsidR="00F64F96" w:rsidRDefault="00F64F96">
      <w:pPr>
        <w:spacing w:after="0"/>
        <w:rPr>
          <w:rFonts w:ascii="Palatino Linotype" w:hAnsi="Palatino Linotype"/>
          <w:color w:val="000000" w:themeColor="text1"/>
        </w:rPr>
      </w:pPr>
    </w:p>
    <w:p w:rsidR="00F64F96" w:rsidRDefault="00F64F96">
      <w:pPr>
        <w:spacing w:after="0"/>
        <w:rPr>
          <w:rFonts w:ascii="Palatino Linotype" w:hAnsi="Palatino Linotype"/>
          <w:color w:val="000000" w:themeColor="text1"/>
        </w:rPr>
      </w:pPr>
    </w:p>
    <w:p w:rsidR="00F64F96" w:rsidRPr="008060A8" w:rsidRDefault="00F64F96">
      <w:pPr>
        <w:spacing w:after="0"/>
        <w:rPr>
          <w:rFonts w:ascii="Palatino Linotype" w:hAnsi="Palatino Linotype"/>
          <w:color w:val="000000" w:themeColor="text1"/>
        </w:rPr>
      </w:pPr>
    </w:p>
    <w:p w:rsidR="006D6CD2" w:rsidRPr="008060A8" w:rsidRDefault="006D6CD2">
      <w:pPr>
        <w:spacing w:after="0"/>
        <w:rPr>
          <w:color w:val="000000" w:themeColor="text1"/>
        </w:rPr>
      </w:pPr>
    </w:p>
    <w:sectPr w:rsidR="006D6CD2" w:rsidRPr="008060A8">
      <w:headerReference w:type="default" r:id="rId7"/>
      <w:footerReference w:type="default" r:id="rId8"/>
      <w:headerReference w:type="first" r:id="rId9"/>
      <w:footerReference w:type="first" r:id="rId10"/>
      <w:pgSz w:w="12240" w:h="15840"/>
      <w:pgMar w:top="1417" w:right="1467" w:bottom="1417"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9B9" w:rsidRDefault="00AF69B9">
      <w:pPr>
        <w:spacing w:after="0" w:line="240" w:lineRule="auto"/>
      </w:pPr>
      <w:r>
        <w:separator/>
      </w:r>
    </w:p>
  </w:endnote>
  <w:endnote w:type="continuationSeparator" w:id="0">
    <w:p w:rsidR="00AF69B9" w:rsidRDefault="00AF6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588189"/>
      <w:docPartObj>
        <w:docPartGallery w:val="Page Numbers (Top of Page)"/>
        <w:docPartUnique/>
      </w:docPartObj>
    </w:sdtPr>
    <w:sdtEndPr/>
    <w:sdtContent>
      <w:p w:rsidR="006D6CD2" w:rsidRDefault="00443924">
        <w:pPr>
          <w:pStyle w:val="Piedepgina"/>
          <w:jc w:val="right"/>
          <w:rPr>
            <w:rFonts w:ascii="Palatino Linotype" w:hAnsi="Palatino Linotype"/>
            <w:sz w:val="20"/>
          </w:rPr>
        </w:pPr>
        <w:r>
          <w:rPr>
            <w:rFonts w:ascii="Palatino Linotype" w:hAnsi="Palatino Linotype"/>
            <w:sz w:val="20"/>
          </w:rPr>
          <w:t xml:space="preserve">Página </w:t>
        </w:r>
        <w:r>
          <w:rPr>
            <w:rFonts w:ascii="Palatino Linotype" w:hAnsi="Palatino Linotype"/>
            <w:bCs/>
            <w:sz w:val="20"/>
          </w:rPr>
          <w:fldChar w:fldCharType="begin"/>
        </w:r>
        <w:r>
          <w:rPr>
            <w:rFonts w:ascii="Palatino Linotype" w:hAnsi="Palatino Linotype"/>
            <w:bCs/>
            <w:sz w:val="20"/>
          </w:rPr>
          <w:instrText xml:space="preserve"> PAGE </w:instrText>
        </w:r>
        <w:r>
          <w:rPr>
            <w:rFonts w:ascii="Palatino Linotype" w:hAnsi="Palatino Linotype"/>
            <w:bCs/>
            <w:sz w:val="20"/>
          </w:rPr>
          <w:fldChar w:fldCharType="separate"/>
        </w:r>
        <w:r w:rsidR="004976B4">
          <w:rPr>
            <w:rFonts w:ascii="Palatino Linotype" w:hAnsi="Palatino Linotype"/>
            <w:bCs/>
            <w:noProof/>
            <w:sz w:val="20"/>
          </w:rPr>
          <w:t>18</w:t>
        </w:r>
        <w:r>
          <w:rPr>
            <w:rFonts w:ascii="Palatino Linotype" w:hAnsi="Palatino Linotype"/>
            <w:bCs/>
            <w:sz w:val="20"/>
          </w:rPr>
          <w:fldChar w:fldCharType="end"/>
        </w:r>
        <w:r>
          <w:rPr>
            <w:rFonts w:ascii="Palatino Linotype" w:hAnsi="Palatino Linotype"/>
            <w:sz w:val="20"/>
          </w:rPr>
          <w:t xml:space="preserve"> de </w:t>
        </w:r>
        <w:r>
          <w:rPr>
            <w:rFonts w:ascii="Palatino Linotype" w:hAnsi="Palatino Linotype"/>
            <w:bCs/>
            <w:sz w:val="20"/>
          </w:rPr>
          <w:fldChar w:fldCharType="begin"/>
        </w:r>
        <w:r>
          <w:rPr>
            <w:rFonts w:ascii="Palatino Linotype" w:hAnsi="Palatino Linotype"/>
            <w:bCs/>
            <w:sz w:val="20"/>
          </w:rPr>
          <w:instrText xml:space="preserve"> NUMPAGES </w:instrText>
        </w:r>
        <w:r>
          <w:rPr>
            <w:rFonts w:ascii="Palatino Linotype" w:hAnsi="Palatino Linotype"/>
            <w:bCs/>
            <w:sz w:val="20"/>
          </w:rPr>
          <w:fldChar w:fldCharType="separate"/>
        </w:r>
        <w:r w:rsidR="004976B4">
          <w:rPr>
            <w:rFonts w:ascii="Palatino Linotype" w:hAnsi="Palatino Linotype"/>
            <w:bCs/>
            <w:noProof/>
            <w:sz w:val="20"/>
          </w:rPr>
          <w:t>18</w:t>
        </w:r>
        <w:r>
          <w:rPr>
            <w:rFonts w:ascii="Palatino Linotype" w:hAnsi="Palatino Linotype"/>
            <w:bCs/>
            <w:sz w:val="20"/>
          </w:rPr>
          <w:fldChar w:fldCharType="end"/>
        </w:r>
      </w:p>
    </w:sdtContent>
  </w:sdt>
  <w:p w:rsidR="006D6CD2" w:rsidRDefault="006D6CD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CD2" w:rsidRDefault="00443924">
    <w:pPr>
      <w:pStyle w:val="Piedepgina"/>
      <w:jc w:val="right"/>
      <w:rPr>
        <w:rFonts w:ascii="Palatino Linotype" w:hAnsi="Palatino Linotype"/>
        <w:sz w:val="20"/>
      </w:rPr>
    </w:pPr>
    <w:r>
      <w:rPr>
        <w:rFonts w:ascii="Palatino Linotype" w:hAnsi="Palatino Linotype"/>
        <w:sz w:val="20"/>
      </w:rPr>
      <w:t xml:space="preserve">Página </w:t>
    </w:r>
    <w:r>
      <w:rPr>
        <w:rFonts w:ascii="Palatino Linotype" w:hAnsi="Palatino Linotype"/>
        <w:bCs/>
        <w:sz w:val="20"/>
      </w:rPr>
      <w:fldChar w:fldCharType="begin"/>
    </w:r>
    <w:r>
      <w:rPr>
        <w:rFonts w:ascii="Palatino Linotype" w:hAnsi="Palatino Linotype"/>
        <w:bCs/>
        <w:sz w:val="20"/>
      </w:rPr>
      <w:instrText xml:space="preserve"> PAGE </w:instrText>
    </w:r>
    <w:r>
      <w:rPr>
        <w:rFonts w:ascii="Palatino Linotype" w:hAnsi="Palatino Linotype"/>
        <w:bCs/>
        <w:sz w:val="20"/>
      </w:rPr>
      <w:fldChar w:fldCharType="separate"/>
    </w:r>
    <w:r w:rsidR="004976B4">
      <w:rPr>
        <w:rFonts w:ascii="Palatino Linotype" w:hAnsi="Palatino Linotype"/>
        <w:bCs/>
        <w:noProof/>
        <w:sz w:val="20"/>
      </w:rPr>
      <w:t>1</w:t>
    </w:r>
    <w:r>
      <w:rPr>
        <w:rFonts w:ascii="Palatino Linotype" w:hAnsi="Palatino Linotype"/>
        <w:bCs/>
        <w:sz w:val="20"/>
      </w:rPr>
      <w:fldChar w:fldCharType="end"/>
    </w:r>
    <w:r>
      <w:rPr>
        <w:rFonts w:ascii="Palatino Linotype" w:hAnsi="Palatino Linotype"/>
        <w:sz w:val="20"/>
      </w:rPr>
      <w:t xml:space="preserve"> de </w:t>
    </w:r>
    <w:r>
      <w:rPr>
        <w:rFonts w:ascii="Palatino Linotype" w:hAnsi="Palatino Linotype"/>
        <w:bCs/>
        <w:sz w:val="20"/>
      </w:rPr>
      <w:fldChar w:fldCharType="begin"/>
    </w:r>
    <w:r>
      <w:rPr>
        <w:rFonts w:ascii="Palatino Linotype" w:hAnsi="Palatino Linotype"/>
        <w:bCs/>
        <w:sz w:val="20"/>
      </w:rPr>
      <w:instrText xml:space="preserve"> NUMPAGES </w:instrText>
    </w:r>
    <w:r>
      <w:rPr>
        <w:rFonts w:ascii="Palatino Linotype" w:hAnsi="Palatino Linotype"/>
        <w:bCs/>
        <w:sz w:val="20"/>
      </w:rPr>
      <w:fldChar w:fldCharType="separate"/>
    </w:r>
    <w:r w:rsidR="004976B4">
      <w:rPr>
        <w:rFonts w:ascii="Palatino Linotype" w:hAnsi="Palatino Linotype"/>
        <w:bCs/>
        <w:noProof/>
        <w:sz w:val="20"/>
      </w:rPr>
      <w:t>18</w:t>
    </w:r>
    <w:r>
      <w:rPr>
        <w:rFonts w:ascii="Palatino Linotype" w:hAnsi="Palatino Linotype"/>
        <w:bCs/>
        <w:sz w:val="20"/>
      </w:rPr>
      <w:fldChar w:fldCharType="end"/>
    </w:r>
  </w:p>
  <w:p w:rsidR="006D6CD2" w:rsidRDefault="006D6C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9B9" w:rsidRDefault="00AF69B9">
      <w:pPr>
        <w:spacing w:after="0" w:line="240" w:lineRule="auto"/>
      </w:pPr>
      <w:r>
        <w:separator/>
      </w:r>
    </w:p>
  </w:footnote>
  <w:footnote w:type="continuationSeparator" w:id="0">
    <w:p w:rsidR="00AF69B9" w:rsidRDefault="00AF69B9">
      <w:pPr>
        <w:spacing w:after="0" w:line="240" w:lineRule="auto"/>
      </w:pPr>
      <w:r>
        <w:continuationSeparator/>
      </w:r>
    </w:p>
  </w:footnote>
  <w:footnote w:id="1">
    <w:p w:rsidR="00A0734F" w:rsidRDefault="00A0734F" w:rsidP="00A0734F">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851" w:type="dxa"/>
      <w:tblLayout w:type="fixed"/>
      <w:tblCellMar>
        <w:left w:w="70" w:type="dxa"/>
        <w:right w:w="70" w:type="dxa"/>
      </w:tblCellMar>
      <w:tblLook w:val="04A0" w:firstRow="1" w:lastRow="0" w:firstColumn="1" w:lastColumn="0" w:noHBand="0" w:noVBand="1"/>
    </w:tblPr>
    <w:tblGrid>
      <w:gridCol w:w="5529"/>
      <w:gridCol w:w="4819"/>
    </w:tblGrid>
    <w:tr w:rsidR="006D6CD2" w:rsidTr="00557054">
      <w:trPr>
        <w:trHeight w:val="227"/>
      </w:trPr>
      <w:tc>
        <w:tcPr>
          <w:tcW w:w="5529" w:type="dxa"/>
        </w:tcPr>
        <w:p w:rsidR="006D6CD2" w:rsidRDefault="00443924" w:rsidP="00557054">
          <w:pPr>
            <w:widowControl w:val="0"/>
            <w:spacing w:after="120" w:line="252" w:lineRule="auto"/>
            <w:ind w:right="213"/>
            <w:jc w:val="right"/>
            <w:rPr>
              <w:rFonts w:ascii="Palatino Linotype" w:hAnsi="Palatino Linotype" w:cs="Arial"/>
              <w:szCs w:val="20"/>
            </w:rPr>
          </w:pPr>
          <w:r>
            <w:rPr>
              <w:noProof/>
              <w:lang w:eastAsia="es-MX"/>
            </w:rPr>
            <w:drawing>
              <wp:anchor distT="0" distB="0" distL="0" distR="0" simplePos="0" relativeHeight="16" behindDoc="1" locked="0" layoutInCell="1" allowOverlap="1">
                <wp:simplePos x="0" y="0"/>
                <wp:positionH relativeFrom="column">
                  <wp:posOffset>-550545</wp:posOffset>
                </wp:positionH>
                <wp:positionV relativeFrom="paragraph">
                  <wp:posOffset>-449580</wp:posOffset>
                </wp:positionV>
                <wp:extent cx="7705725" cy="10048875"/>
                <wp:effectExtent l="0" t="0" r="0" b="0"/>
                <wp:wrapNone/>
                <wp:docPr id="1"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logo infoem"/>
                        <pic:cNvPicPr>
                          <a:picLocks noChangeAspect="1" noChangeArrowheads="1"/>
                        </pic:cNvPicPr>
                      </pic:nvPicPr>
                      <pic:blipFill>
                        <a:blip r:embed="rId1"/>
                        <a:stretch>
                          <a:fillRect/>
                        </a:stretch>
                      </pic:blipFill>
                      <pic:spPr bwMode="auto">
                        <a:xfrm>
                          <a:off x="0" y="0"/>
                          <a:ext cx="7705725" cy="10048875"/>
                        </a:xfrm>
                        <a:prstGeom prst="rect">
                          <a:avLst/>
                        </a:prstGeom>
                      </pic:spPr>
                    </pic:pic>
                  </a:graphicData>
                </a:graphic>
              </wp:anchor>
            </w:drawing>
          </w:r>
          <w:r>
            <w:rPr>
              <w:rFonts w:ascii="Palatino Linotype" w:hAnsi="Palatino Linotype" w:cs="Arial"/>
              <w:szCs w:val="20"/>
            </w:rPr>
            <w:t>Recurso de Revisión N°:</w:t>
          </w:r>
        </w:p>
      </w:tc>
      <w:tc>
        <w:tcPr>
          <w:tcW w:w="4819" w:type="dxa"/>
        </w:tcPr>
        <w:p w:rsidR="006D6CD2" w:rsidRPr="00325E1A" w:rsidRDefault="00443924" w:rsidP="00557054">
          <w:pPr>
            <w:widowControl w:val="0"/>
            <w:spacing w:after="120" w:line="252" w:lineRule="auto"/>
            <w:ind w:left="-486" w:right="214" w:firstLine="1585"/>
            <w:jc w:val="right"/>
            <w:rPr>
              <w:rFonts w:ascii="Palatino Linotype" w:hAnsi="Palatino Linotype" w:cs="Arial"/>
              <w:b/>
              <w:color w:val="000000" w:themeColor="text1"/>
              <w:szCs w:val="20"/>
            </w:rPr>
          </w:pPr>
          <w:r w:rsidRPr="00325E1A">
            <w:rPr>
              <w:rFonts w:ascii="Palatino Linotype" w:hAnsi="Palatino Linotype" w:cs="Arial"/>
              <w:b/>
              <w:bCs/>
              <w:color w:val="000000" w:themeColor="text1"/>
              <w:sz w:val="24"/>
              <w:lang w:eastAsia="es-MX"/>
            </w:rPr>
            <w:t>05113/INFOEM/IP/RR/2024</w:t>
          </w:r>
          <w:r w:rsidR="00557054">
            <w:rPr>
              <w:rFonts w:ascii="Palatino Linotype" w:hAnsi="Palatino Linotype" w:cs="Arial"/>
              <w:b/>
              <w:bCs/>
              <w:color w:val="000000" w:themeColor="text1"/>
              <w:sz w:val="24"/>
              <w:lang w:eastAsia="es-MX"/>
            </w:rPr>
            <w:t xml:space="preserve"> y acumulado</w:t>
          </w:r>
        </w:p>
      </w:tc>
    </w:tr>
    <w:tr w:rsidR="006D6CD2" w:rsidTr="00557054">
      <w:trPr>
        <w:trHeight w:val="242"/>
      </w:trPr>
      <w:tc>
        <w:tcPr>
          <w:tcW w:w="5529" w:type="dxa"/>
        </w:tcPr>
        <w:p w:rsidR="006D6CD2" w:rsidRDefault="00443924">
          <w:pPr>
            <w:widowControl w:val="0"/>
            <w:spacing w:after="120" w:line="252" w:lineRule="auto"/>
            <w:ind w:right="204"/>
            <w:jc w:val="right"/>
            <w:rPr>
              <w:rFonts w:ascii="Palatino Linotype" w:hAnsi="Palatino Linotype" w:cs="Arial"/>
              <w:szCs w:val="20"/>
            </w:rPr>
          </w:pPr>
          <w:r>
            <w:rPr>
              <w:rFonts w:ascii="Palatino Linotype" w:hAnsi="Palatino Linotype" w:cs="Arial"/>
              <w:szCs w:val="20"/>
            </w:rPr>
            <w:t>Sujeto Obligado:</w:t>
          </w:r>
        </w:p>
      </w:tc>
      <w:tc>
        <w:tcPr>
          <w:tcW w:w="4819" w:type="dxa"/>
        </w:tcPr>
        <w:p w:rsidR="006D6CD2" w:rsidRPr="00325E1A" w:rsidRDefault="00443924" w:rsidP="00557054">
          <w:pPr>
            <w:widowControl w:val="0"/>
            <w:spacing w:after="120" w:line="252" w:lineRule="auto"/>
            <w:ind w:left="-486" w:right="214" w:firstLine="1585"/>
            <w:jc w:val="right"/>
            <w:rPr>
              <w:rFonts w:ascii="Palatino Linotype" w:hAnsi="Palatino Linotype" w:cs="Arial"/>
              <w:b/>
              <w:color w:val="000000" w:themeColor="text1"/>
              <w:szCs w:val="20"/>
            </w:rPr>
          </w:pPr>
          <w:r w:rsidRPr="00325E1A">
            <w:rPr>
              <w:rFonts w:ascii="Palatino Linotype" w:hAnsi="Palatino Linotype" w:cs="Arial"/>
              <w:b/>
              <w:color w:val="000000" w:themeColor="text1"/>
              <w:szCs w:val="20"/>
            </w:rPr>
            <w:t>Ayuntamiento de Ecatepec de Morelos</w:t>
          </w:r>
        </w:p>
      </w:tc>
    </w:tr>
    <w:tr w:rsidR="006D6CD2" w:rsidTr="00557054">
      <w:trPr>
        <w:trHeight w:val="342"/>
      </w:trPr>
      <w:tc>
        <w:tcPr>
          <w:tcW w:w="5529" w:type="dxa"/>
        </w:tcPr>
        <w:p w:rsidR="006D6CD2" w:rsidRDefault="00443924">
          <w:pPr>
            <w:widowControl w:val="0"/>
            <w:tabs>
              <w:tab w:val="left" w:pos="4892"/>
            </w:tabs>
            <w:spacing w:after="120" w:line="252" w:lineRule="auto"/>
            <w:ind w:right="204"/>
            <w:jc w:val="right"/>
            <w:rPr>
              <w:rFonts w:ascii="Palatino Linotype" w:hAnsi="Palatino Linotype" w:cs="Arial"/>
              <w:szCs w:val="20"/>
            </w:rPr>
          </w:pPr>
          <w:r>
            <w:rPr>
              <w:rFonts w:ascii="Palatino Linotype" w:hAnsi="Palatino Linotype" w:cs="Arial"/>
              <w:szCs w:val="20"/>
            </w:rPr>
            <w:t>Comisionado Ponente:</w:t>
          </w:r>
        </w:p>
      </w:tc>
      <w:tc>
        <w:tcPr>
          <w:tcW w:w="4819" w:type="dxa"/>
        </w:tcPr>
        <w:p w:rsidR="006D6CD2" w:rsidRDefault="00443924" w:rsidP="00557054">
          <w:pPr>
            <w:widowControl w:val="0"/>
            <w:spacing w:after="120" w:line="252" w:lineRule="auto"/>
            <w:ind w:left="-486" w:right="214" w:firstLine="1585"/>
            <w:jc w:val="right"/>
            <w:rPr>
              <w:rFonts w:ascii="Palatino Linotype" w:hAnsi="Palatino Linotype" w:cs="Arial"/>
              <w:b/>
              <w:szCs w:val="20"/>
            </w:rPr>
          </w:pPr>
          <w:r>
            <w:rPr>
              <w:rFonts w:ascii="Palatino Linotype" w:hAnsi="Palatino Linotype" w:cs="Arial"/>
              <w:b/>
              <w:szCs w:val="20"/>
            </w:rPr>
            <w:t>María Del Rosario Mejía Ayala.</w:t>
          </w:r>
        </w:p>
      </w:tc>
    </w:tr>
  </w:tbl>
  <w:p w:rsidR="006D6CD2" w:rsidRDefault="006D6CD2">
    <w:pPr>
      <w:pStyle w:val="Encabezado"/>
      <w:tabs>
        <w:tab w:val="clear" w:pos="4419"/>
        <w:tab w:val="clear" w:pos="8838"/>
        <w:tab w:val="left" w:pos="6005"/>
      </w:tabs>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98" w:type="dxa"/>
      <w:tblInd w:w="-851" w:type="dxa"/>
      <w:tblLayout w:type="fixed"/>
      <w:tblCellMar>
        <w:left w:w="70" w:type="dxa"/>
        <w:right w:w="70" w:type="dxa"/>
      </w:tblCellMar>
      <w:tblLook w:val="04A0" w:firstRow="1" w:lastRow="0" w:firstColumn="1" w:lastColumn="0" w:noHBand="0" w:noVBand="1"/>
    </w:tblPr>
    <w:tblGrid>
      <w:gridCol w:w="6380"/>
      <w:gridCol w:w="4818"/>
    </w:tblGrid>
    <w:tr w:rsidR="006D6CD2" w:rsidTr="00F72B9C">
      <w:trPr>
        <w:trHeight w:val="227"/>
      </w:trPr>
      <w:tc>
        <w:tcPr>
          <w:tcW w:w="6380" w:type="dxa"/>
        </w:tcPr>
        <w:p w:rsidR="006D6CD2" w:rsidRDefault="00443924">
          <w:pPr>
            <w:widowControl w:val="0"/>
            <w:spacing w:after="120" w:line="252" w:lineRule="auto"/>
            <w:ind w:right="204"/>
            <w:jc w:val="right"/>
            <w:rPr>
              <w:color w:val="000000"/>
              <w:sz w:val="24"/>
              <w:szCs w:val="24"/>
            </w:rPr>
          </w:pPr>
          <w:r>
            <w:rPr>
              <w:rFonts w:ascii="Palatino Linotype" w:hAnsi="Palatino Linotype" w:cs="Arial"/>
              <w:color w:val="000000"/>
              <w:sz w:val="24"/>
              <w:szCs w:val="24"/>
            </w:rPr>
            <w:t>Recurso de Revisión N°:</w:t>
          </w:r>
        </w:p>
      </w:tc>
      <w:tc>
        <w:tcPr>
          <w:tcW w:w="4818" w:type="dxa"/>
        </w:tcPr>
        <w:p w:rsidR="006D6CD2" w:rsidRPr="008060A8" w:rsidRDefault="00443924" w:rsidP="00F72B9C">
          <w:pPr>
            <w:widowControl w:val="0"/>
            <w:spacing w:after="120" w:line="252" w:lineRule="auto"/>
            <w:ind w:right="214"/>
            <w:rPr>
              <w:rFonts w:ascii="Palatino Linotype" w:hAnsi="Palatino Linotype" w:cs="Arial"/>
              <w:b/>
              <w:color w:val="000000" w:themeColor="text1"/>
              <w:szCs w:val="20"/>
            </w:rPr>
          </w:pPr>
          <w:r w:rsidRPr="008060A8">
            <w:rPr>
              <w:rFonts w:ascii="Palatino Linotype" w:hAnsi="Palatino Linotype" w:cs="Arial"/>
              <w:b/>
              <w:bCs/>
              <w:color w:val="000000" w:themeColor="text1"/>
              <w:sz w:val="24"/>
              <w:lang w:eastAsia="es-MX"/>
            </w:rPr>
            <w:t>05113/INFOEM/IP/RR/2024</w:t>
          </w:r>
          <w:r w:rsidR="00E232DD">
            <w:rPr>
              <w:rFonts w:ascii="Palatino Linotype" w:hAnsi="Palatino Linotype" w:cs="Arial"/>
              <w:b/>
              <w:bCs/>
              <w:color w:val="000000" w:themeColor="text1"/>
              <w:sz w:val="24"/>
              <w:lang w:eastAsia="es-MX"/>
            </w:rPr>
            <w:t xml:space="preserve"> y acumulado</w:t>
          </w:r>
        </w:p>
      </w:tc>
    </w:tr>
    <w:tr w:rsidR="006D6CD2" w:rsidTr="00F72B9C">
      <w:trPr>
        <w:trHeight w:val="242"/>
      </w:trPr>
      <w:tc>
        <w:tcPr>
          <w:tcW w:w="6380" w:type="dxa"/>
        </w:tcPr>
        <w:p w:rsidR="006D6CD2" w:rsidRDefault="00443924">
          <w:pPr>
            <w:widowControl w:val="0"/>
            <w:spacing w:after="120" w:line="252" w:lineRule="auto"/>
            <w:ind w:right="204"/>
            <w:jc w:val="right"/>
            <w:rPr>
              <w:rFonts w:ascii="Palatino Linotype" w:hAnsi="Palatino Linotype" w:cs="Arial"/>
              <w:szCs w:val="20"/>
            </w:rPr>
          </w:pPr>
          <w:r>
            <w:rPr>
              <w:rFonts w:ascii="Palatino Linotype" w:hAnsi="Palatino Linotype" w:cs="Arial"/>
              <w:szCs w:val="20"/>
            </w:rPr>
            <w:t>Sujeto Obligado:</w:t>
          </w:r>
        </w:p>
      </w:tc>
      <w:tc>
        <w:tcPr>
          <w:tcW w:w="4818" w:type="dxa"/>
        </w:tcPr>
        <w:p w:rsidR="006D6CD2" w:rsidRPr="008060A8" w:rsidRDefault="00F72B9C" w:rsidP="00F72B9C">
          <w:pPr>
            <w:widowControl w:val="0"/>
            <w:spacing w:after="120" w:line="252" w:lineRule="auto"/>
            <w:ind w:left="-486" w:right="214" w:firstLine="284"/>
            <w:rPr>
              <w:rFonts w:ascii="Palatino Linotype" w:hAnsi="Palatino Linotype" w:cs="Arial"/>
              <w:b/>
              <w:color w:val="000000" w:themeColor="text1"/>
              <w:szCs w:val="20"/>
            </w:rPr>
          </w:pPr>
          <w:r w:rsidRPr="008060A8">
            <w:rPr>
              <w:rFonts w:ascii="Palatino Linotype" w:hAnsi="Palatino Linotype" w:cs="Arial"/>
              <w:b/>
              <w:color w:val="000000" w:themeColor="text1"/>
              <w:szCs w:val="20"/>
            </w:rPr>
            <w:t xml:space="preserve">   </w:t>
          </w:r>
          <w:r w:rsidR="00443924" w:rsidRPr="008060A8">
            <w:rPr>
              <w:rFonts w:ascii="Palatino Linotype" w:hAnsi="Palatino Linotype" w:cs="Arial"/>
              <w:b/>
              <w:color w:val="000000" w:themeColor="text1"/>
              <w:szCs w:val="20"/>
            </w:rPr>
            <w:t>Ayuntamiento de Ecatepec de Morelos</w:t>
          </w:r>
        </w:p>
      </w:tc>
    </w:tr>
    <w:tr w:rsidR="006D6CD2" w:rsidTr="00F72B9C">
      <w:trPr>
        <w:trHeight w:val="342"/>
      </w:trPr>
      <w:tc>
        <w:tcPr>
          <w:tcW w:w="6380" w:type="dxa"/>
        </w:tcPr>
        <w:p w:rsidR="006D6CD2" w:rsidRDefault="00443924">
          <w:pPr>
            <w:widowControl w:val="0"/>
            <w:tabs>
              <w:tab w:val="left" w:pos="4892"/>
            </w:tabs>
            <w:spacing w:after="120" w:line="252" w:lineRule="auto"/>
            <w:ind w:right="204"/>
            <w:jc w:val="right"/>
            <w:rPr>
              <w:rFonts w:ascii="Palatino Linotype" w:hAnsi="Palatino Linotype" w:cs="Arial"/>
              <w:szCs w:val="20"/>
            </w:rPr>
          </w:pPr>
          <w:r>
            <w:rPr>
              <w:rFonts w:ascii="Palatino Linotype" w:hAnsi="Palatino Linotype" w:cs="Arial"/>
              <w:szCs w:val="20"/>
            </w:rPr>
            <w:t>Recurrente:</w:t>
          </w:r>
        </w:p>
      </w:tc>
      <w:tc>
        <w:tcPr>
          <w:tcW w:w="4818" w:type="dxa"/>
        </w:tcPr>
        <w:p w:rsidR="006D6CD2" w:rsidRDefault="006D6CD2">
          <w:pPr>
            <w:widowControl w:val="0"/>
            <w:spacing w:after="120" w:line="252" w:lineRule="auto"/>
            <w:ind w:left="-486" w:right="214" w:firstLine="567"/>
            <w:jc w:val="right"/>
            <w:rPr>
              <w:rFonts w:ascii="Palatino Linotype" w:hAnsi="Palatino Linotype" w:cs="Arial"/>
              <w:b/>
            </w:rPr>
          </w:pPr>
        </w:p>
      </w:tc>
    </w:tr>
    <w:tr w:rsidR="006D6CD2" w:rsidTr="00F72B9C">
      <w:trPr>
        <w:trHeight w:val="342"/>
      </w:trPr>
      <w:tc>
        <w:tcPr>
          <w:tcW w:w="6380" w:type="dxa"/>
        </w:tcPr>
        <w:p w:rsidR="006D6CD2" w:rsidRDefault="00443924">
          <w:pPr>
            <w:widowControl w:val="0"/>
            <w:tabs>
              <w:tab w:val="left" w:pos="4892"/>
            </w:tabs>
            <w:spacing w:after="120" w:line="252" w:lineRule="auto"/>
            <w:ind w:right="204"/>
            <w:jc w:val="right"/>
            <w:rPr>
              <w:rFonts w:ascii="Palatino Linotype" w:hAnsi="Palatino Linotype" w:cs="Arial"/>
              <w:szCs w:val="20"/>
            </w:rPr>
          </w:pPr>
          <w:r>
            <w:rPr>
              <w:rFonts w:ascii="Palatino Linotype" w:hAnsi="Palatino Linotype" w:cs="Arial"/>
              <w:szCs w:val="20"/>
            </w:rPr>
            <w:t>Comisionado Ponente:</w:t>
          </w:r>
        </w:p>
      </w:tc>
      <w:tc>
        <w:tcPr>
          <w:tcW w:w="4818" w:type="dxa"/>
        </w:tcPr>
        <w:p w:rsidR="006D6CD2" w:rsidRDefault="00443924" w:rsidP="00F72B9C">
          <w:pPr>
            <w:widowControl w:val="0"/>
            <w:spacing w:after="120" w:line="252" w:lineRule="auto"/>
            <w:ind w:left="-486" w:right="214" w:firstLine="567"/>
            <w:rPr>
              <w:rFonts w:ascii="Palatino Linotype" w:hAnsi="Palatino Linotype" w:cs="Arial"/>
              <w:b/>
              <w:szCs w:val="20"/>
            </w:rPr>
          </w:pPr>
          <w:bookmarkStart w:id="1" w:name="_Hlk152670943"/>
          <w:r>
            <w:rPr>
              <w:rFonts w:ascii="Palatino Linotype" w:hAnsi="Palatino Linotype" w:cs="Arial"/>
              <w:b/>
              <w:szCs w:val="20"/>
            </w:rPr>
            <w:t>María Del Rosario Mejía Ayala.</w:t>
          </w:r>
          <w:bookmarkEnd w:id="1"/>
        </w:p>
      </w:tc>
    </w:tr>
  </w:tbl>
  <w:p w:rsidR="006D6CD2" w:rsidRDefault="00F72B9C">
    <w:pPr>
      <w:pStyle w:val="Encabezado"/>
      <w:rPr>
        <w:sz w:val="16"/>
      </w:rPr>
    </w:pPr>
    <w:r>
      <w:rPr>
        <w:noProof/>
        <w:lang w:val="es-MX" w:eastAsia="es-MX"/>
      </w:rPr>
      <w:drawing>
        <wp:anchor distT="0" distB="0" distL="0" distR="0" simplePos="0" relativeHeight="2" behindDoc="1" locked="0" layoutInCell="1" allowOverlap="1">
          <wp:simplePos x="0" y="0"/>
          <wp:positionH relativeFrom="column">
            <wp:posOffset>-1042442</wp:posOffset>
          </wp:positionH>
          <wp:positionV relativeFrom="paragraph">
            <wp:posOffset>-1541678</wp:posOffset>
          </wp:positionV>
          <wp:extent cx="7705725" cy="10048875"/>
          <wp:effectExtent l="0" t="0" r="0" b="0"/>
          <wp:wrapNone/>
          <wp:docPr id="2"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logo infoem"/>
                  <pic:cNvPicPr>
                    <a:picLocks noChangeAspect="1" noChangeArrowheads="1"/>
                  </pic:cNvPicPr>
                </pic:nvPicPr>
                <pic:blipFill>
                  <a:blip r:embed="rId1"/>
                  <a:stretch>
                    <a:fillRect/>
                  </a:stretch>
                </pic:blipFill>
                <pic:spPr bwMode="auto">
                  <a:xfrm>
                    <a:off x="0" y="0"/>
                    <a:ext cx="7705725" cy="100488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92D4D"/>
    <w:multiLevelType w:val="multilevel"/>
    <w:tmpl w:val="5BD453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2264E8"/>
    <w:multiLevelType w:val="multilevel"/>
    <w:tmpl w:val="D8D02A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16FD2B72"/>
    <w:multiLevelType w:val="multilevel"/>
    <w:tmpl w:val="E9F05578"/>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F065697"/>
    <w:multiLevelType w:val="multilevel"/>
    <w:tmpl w:val="432C4D54"/>
    <w:lvl w:ilvl="0">
      <w:start w:val="1"/>
      <w:numFmt w:val="decimal"/>
      <w:pStyle w:val="Listaconvietas3"/>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49185254"/>
    <w:multiLevelType w:val="multilevel"/>
    <w:tmpl w:val="7090CC68"/>
    <w:lvl w:ilvl="0">
      <w:start w:val="1"/>
      <w:numFmt w:val="lowerLetter"/>
      <w:lvlText w:val="%1)"/>
      <w:lvlJc w:val="left"/>
      <w:pPr>
        <w:tabs>
          <w:tab w:val="num" w:pos="0"/>
        </w:tabs>
        <w:ind w:left="720" w:hanging="360"/>
      </w:pPr>
      <w:rPr>
        <w:rFonts w:ascii="Palatino Linotype" w:hAnsi="Palatino Linotype" w:cs="Palatino Linotype"/>
        <w:b/>
        <w:color w:val="00000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5C07502B"/>
    <w:multiLevelType w:val="multilevel"/>
    <w:tmpl w:val="A76C5D3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CD2"/>
    <w:rsid w:val="000A6285"/>
    <w:rsid w:val="001E1003"/>
    <w:rsid w:val="001F41B7"/>
    <w:rsid w:val="0020774E"/>
    <w:rsid w:val="00325E1A"/>
    <w:rsid w:val="00412F31"/>
    <w:rsid w:val="00443924"/>
    <w:rsid w:val="004976B4"/>
    <w:rsid w:val="00557054"/>
    <w:rsid w:val="006D6CD2"/>
    <w:rsid w:val="006D7D8B"/>
    <w:rsid w:val="008060A8"/>
    <w:rsid w:val="0089051C"/>
    <w:rsid w:val="008A2551"/>
    <w:rsid w:val="009A4E15"/>
    <w:rsid w:val="00A0734F"/>
    <w:rsid w:val="00A25E4E"/>
    <w:rsid w:val="00AF69B9"/>
    <w:rsid w:val="00BC5141"/>
    <w:rsid w:val="00CC6313"/>
    <w:rsid w:val="00E232DD"/>
    <w:rsid w:val="00ED174F"/>
    <w:rsid w:val="00F64F96"/>
    <w:rsid w:val="00F72B9C"/>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C57484-D6DA-4F42-936A-05B289DF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1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09491C"/>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qFormat/>
    <w:rsid w:val="0009491C"/>
    <w:rPr>
      <w:rFonts w:ascii="Times New Roman" w:eastAsia="Calibri" w:hAnsi="Times New Roman" w:cs="Times New Roman"/>
      <w:sz w:val="24"/>
      <w:szCs w:val="24"/>
      <w:lang w:val="es-ES" w:eastAsia="es-ES"/>
    </w:rPr>
  </w:style>
  <w:style w:type="character" w:customStyle="1" w:styleId="PrrafodelistaCar">
    <w:name w:val="Párrafo de lista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qFormat/>
    <w:rsid w:val="0009491C"/>
  </w:style>
  <w:style w:type="character" w:styleId="Hipervnculo">
    <w:name w:val="Hyperlink"/>
    <w:basedOn w:val="Fuentedeprrafopredeter"/>
    <w:uiPriority w:val="99"/>
    <w:unhideWhenUsed/>
    <w:rsid w:val="0009491C"/>
    <w:rPr>
      <w:color w:val="0563C1" w:themeColor="hyperlink"/>
      <w:u w:val="single"/>
    </w:rPr>
  </w:style>
  <w:style w:type="character" w:styleId="Refdenotaalpie">
    <w:name w:val="footnote reference"/>
    <w:rPr>
      <w:vertAlign w:val="superscript"/>
    </w:rPr>
  </w:style>
  <w:style w:type="character" w:customStyle="1" w:styleId="FootnoteCharacters">
    <w:name w:val="Footnote Characters"/>
    <w:basedOn w:val="Fuentedeprrafopredeter"/>
    <w:unhideWhenUsed/>
    <w:qFormat/>
    <w:rsid w:val="0009491C"/>
    <w:rPr>
      <w:vertAlign w:val="superscript"/>
    </w:rPr>
  </w:style>
  <w:style w:type="paragraph" w:customStyle="1" w:styleId="Ttulo">
    <w:name w:val="Título"/>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qFormat/>
    <w:rsid w:val="00670BA4"/>
    <w:pPr>
      <w:spacing w:beforeAutospacing="1" w:afterAutospacing="1" w:line="240" w:lineRule="auto"/>
    </w:pPr>
    <w:rPr>
      <w:rFonts w:ascii="Times New Roman" w:eastAsia="Times New Roman" w:hAnsi="Times New Roman" w:cs="Times New Roman"/>
      <w:sz w:val="24"/>
      <w:szCs w:val="24"/>
      <w:lang w:eastAsia="es-MX"/>
    </w:rPr>
  </w:style>
  <w:style w:type="paragraph" w:styleId="Listaconvietas3">
    <w:name w:val="List Bullet 3"/>
    <w:basedOn w:val="Normal"/>
    <w:uiPriority w:val="99"/>
    <w:unhideWhenUsed/>
    <w:qFormat/>
    <w:rsid w:val="0059361F"/>
    <w:pPr>
      <w:numPr>
        <w:numId w:val="4"/>
      </w:numPr>
      <w:spacing w:after="0" w:line="240" w:lineRule="auto"/>
      <w:contextualSpacing/>
    </w:pPr>
    <w:rPr>
      <w:rFonts w:ascii="Times New Roman" w:eastAsia="Times New Roman" w:hAnsi="Times New Roman" w:cs="Times New Roman"/>
      <w:sz w:val="24"/>
      <w:szCs w:val="24"/>
      <w:lang w:eastAsia="es-MX"/>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18</Pages>
  <Words>3646</Words>
  <Characters>20058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USUARIO</cp:lastModifiedBy>
  <cp:revision>33</cp:revision>
  <cp:lastPrinted>2024-09-13T15:28:00Z</cp:lastPrinted>
  <dcterms:created xsi:type="dcterms:W3CDTF">2023-11-24T19:25:00Z</dcterms:created>
  <dcterms:modified xsi:type="dcterms:W3CDTF">2024-09-13T15:28:00Z</dcterms:modified>
  <dc:language>es-MX</dc:language>
</cp:coreProperties>
</file>