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07228"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Resolución del Pleno del Instituto de Transparencia, Acceso a la Información Pública y Protección de Datos Personales del Estado de México y Municipios, con domicilio en Metepec, Estado de México, a seis de noviembre de dos mil veinticuatro. </w:t>
      </w:r>
    </w:p>
    <w:p w14:paraId="3028484A" w14:textId="0BB32C61"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VISTO</w:t>
      </w:r>
      <w:r w:rsidRPr="00F84469">
        <w:rPr>
          <w:rFonts w:ascii="Palatino Linotype" w:eastAsia="Palatino Linotype" w:hAnsi="Palatino Linotype" w:cs="Palatino Linotype"/>
        </w:rPr>
        <w:t xml:space="preserve"> el expediente formado con motivo del recurso de revisión </w:t>
      </w:r>
      <w:r w:rsidRPr="00F84469">
        <w:rPr>
          <w:rFonts w:ascii="Palatino Linotype" w:eastAsia="Palatino Linotype" w:hAnsi="Palatino Linotype" w:cs="Palatino Linotype"/>
          <w:b/>
        </w:rPr>
        <w:t>05819/INFOEM/IP/RR/2023</w:t>
      </w:r>
      <w:r w:rsidRPr="00F84469">
        <w:rPr>
          <w:rFonts w:ascii="Palatino Linotype" w:eastAsia="Palatino Linotype" w:hAnsi="Palatino Linotype" w:cs="Palatino Linotype"/>
        </w:rPr>
        <w:t>, interpuesto por</w:t>
      </w:r>
      <w:r w:rsidRPr="00F84469">
        <w:rPr>
          <w:rFonts w:ascii="Palatino Linotype" w:eastAsia="Palatino Linotype" w:hAnsi="Palatino Linotype" w:cs="Palatino Linotype"/>
          <w:b/>
        </w:rPr>
        <w:t xml:space="preserve"> </w:t>
      </w:r>
      <w:r w:rsidR="006B2AC1" w:rsidRPr="006B2AC1">
        <w:rPr>
          <w:rFonts w:ascii="Palatino Linotype" w:eastAsia="Palatino Linotype" w:hAnsi="Palatino Linotype" w:cs="Palatino Linotype"/>
          <w:b/>
        </w:rPr>
        <w:t>XXXXXX XXXXXXX XXXXX XXXXXXXXXXX</w:t>
      </w:r>
      <w:r w:rsidRPr="00F84469">
        <w:rPr>
          <w:rFonts w:ascii="Palatino Linotype" w:eastAsia="Palatino Linotype" w:hAnsi="Palatino Linotype" w:cs="Palatino Linotype"/>
        </w:rPr>
        <w:t xml:space="preserve">, en lo sucesivo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xml:space="preserve"> en contra de la respuesta a su solicitud de información con número de folio</w:t>
      </w:r>
      <w:r w:rsidRPr="00F84469">
        <w:rPr>
          <w:rFonts w:ascii="Palatino Linotype" w:eastAsia="Palatino Linotype" w:hAnsi="Palatino Linotype" w:cs="Palatino Linotype"/>
          <w:b/>
        </w:rPr>
        <w:t xml:space="preserve"> 00584/SF/IP/2024, </w:t>
      </w:r>
      <w:r w:rsidRPr="00F84469">
        <w:rPr>
          <w:rFonts w:ascii="Palatino Linotype" w:eastAsia="Palatino Linotype" w:hAnsi="Palatino Linotype" w:cs="Palatino Linotype"/>
        </w:rPr>
        <w:t xml:space="preserve">por parte de la </w:t>
      </w:r>
      <w:r w:rsidRPr="00F84469">
        <w:rPr>
          <w:rFonts w:ascii="Palatino Linotype" w:eastAsia="Palatino Linotype" w:hAnsi="Palatino Linotype" w:cs="Palatino Linotype"/>
          <w:b/>
        </w:rPr>
        <w:t xml:space="preserve">Secretaría de Finanzas, </w:t>
      </w:r>
      <w:r w:rsidRPr="00F84469">
        <w:rPr>
          <w:rFonts w:ascii="Palatino Linotype" w:eastAsia="Palatino Linotype" w:hAnsi="Palatino Linotype" w:cs="Palatino Linotype"/>
        </w:rPr>
        <w:t xml:space="preserve">en lo sucesivo el </w:t>
      </w:r>
      <w:r w:rsidRPr="00F84469">
        <w:rPr>
          <w:rFonts w:ascii="Palatino Linotype" w:eastAsia="Palatino Linotype" w:hAnsi="Palatino Linotype" w:cs="Palatino Linotype"/>
          <w:b/>
        </w:rPr>
        <w:t xml:space="preserve">SUJETO OBLIGADO, </w:t>
      </w:r>
      <w:r w:rsidRPr="00F84469">
        <w:rPr>
          <w:rFonts w:ascii="Palatino Linotype" w:eastAsia="Palatino Linotype" w:hAnsi="Palatino Linotype" w:cs="Palatino Linotype"/>
        </w:rPr>
        <w:t xml:space="preserve">se procede a dictar la presente resolución con base en los siguientes: </w:t>
      </w:r>
    </w:p>
    <w:p w14:paraId="146A1DF8" w14:textId="77777777" w:rsidR="000C3DD7" w:rsidRPr="00F84469" w:rsidRDefault="00AC604D">
      <w:pPr>
        <w:spacing w:before="240" w:after="240" w:line="360" w:lineRule="auto"/>
        <w:jc w:val="center"/>
        <w:rPr>
          <w:rFonts w:ascii="Palatino Linotype" w:eastAsia="Palatino Linotype" w:hAnsi="Palatino Linotype" w:cs="Palatino Linotype"/>
          <w:b/>
        </w:rPr>
      </w:pPr>
      <w:r w:rsidRPr="00F84469">
        <w:rPr>
          <w:rFonts w:ascii="Palatino Linotype" w:eastAsia="Palatino Linotype" w:hAnsi="Palatino Linotype" w:cs="Palatino Linotype"/>
          <w:b/>
        </w:rPr>
        <w:t>I. A N T E C E D E N T E S</w:t>
      </w:r>
    </w:p>
    <w:p w14:paraId="460C79D3"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1. Solicitud de acceso a la información.</w:t>
      </w:r>
      <w:r w:rsidRPr="00F84469">
        <w:rPr>
          <w:rFonts w:ascii="Palatino Linotype" w:eastAsia="Palatino Linotype" w:hAnsi="Palatino Linotype" w:cs="Palatino Linotype"/>
        </w:rPr>
        <w:t xml:space="preserve"> Con fecha </w:t>
      </w:r>
      <w:r w:rsidRPr="00F84469">
        <w:rPr>
          <w:rFonts w:ascii="Palatino Linotype" w:eastAsia="Palatino Linotype" w:hAnsi="Palatino Linotype" w:cs="Palatino Linotype"/>
          <w:b/>
        </w:rPr>
        <w:t>tres de septiembre de dos mil veinticuatro,</w:t>
      </w:r>
      <w:r w:rsidRPr="00F84469">
        <w:rPr>
          <w:rFonts w:ascii="Palatino Linotype" w:eastAsia="Palatino Linotype" w:hAnsi="Palatino Linotype" w:cs="Palatino Linotype"/>
        </w:rPr>
        <w:t xml:space="preserve"> la parte </w:t>
      </w:r>
      <w:r w:rsidRPr="00F84469">
        <w:rPr>
          <w:rFonts w:ascii="Palatino Linotype" w:eastAsia="Palatino Linotype" w:hAnsi="Palatino Linotype" w:cs="Palatino Linotype"/>
          <w:b/>
        </w:rPr>
        <w:t xml:space="preserve">RECURRENTE </w:t>
      </w:r>
      <w:r w:rsidRPr="00F84469">
        <w:rPr>
          <w:rFonts w:ascii="Palatino Linotype" w:eastAsia="Palatino Linotype" w:hAnsi="Palatino Linotype" w:cs="Palatino Linotype"/>
        </w:rPr>
        <w:t xml:space="preserve">presentó, a través del Sistema de Acceso a la Información Mexiquense, en lo subsecuente el </w:t>
      </w:r>
      <w:r w:rsidRPr="00F84469">
        <w:rPr>
          <w:rFonts w:ascii="Palatino Linotype" w:eastAsia="Palatino Linotype" w:hAnsi="Palatino Linotype" w:cs="Palatino Linotype"/>
          <w:b/>
        </w:rPr>
        <w:t>SAIMEX,</w:t>
      </w:r>
      <w:r w:rsidRPr="00F84469">
        <w:rPr>
          <w:rFonts w:ascii="Palatino Linotype" w:eastAsia="Palatino Linotype" w:hAnsi="Palatino Linotype" w:cs="Palatino Linotype"/>
        </w:rPr>
        <w:t xml:space="preserve"> ante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la solicitud de acceso a la información pública, a la que se le asignó el número</w:t>
      </w:r>
      <w:r w:rsidRPr="00F84469">
        <w:rPr>
          <w:rFonts w:ascii="Palatino Linotype" w:eastAsia="Palatino Linotype" w:hAnsi="Palatino Linotype" w:cs="Palatino Linotype"/>
          <w:b/>
        </w:rPr>
        <w:t xml:space="preserve"> 00584/SF/IP/2024, </w:t>
      </w:r>
      <w:r w:rsidRPr="00F84469">
        <w:rPr>
          <w:rFonts w:ascii="Palatino Linotype" w:eastAsia="Palatino Linotype" w:hAnsi="Palatino Linotype" w:cs="Palatino Linotype"/>
        </w:rPr>
        <w:t xml:space="preserve">mediante la cual requirió la información siguiente: </w:t>
      </w:r>
    </w:p>
    <w:p w14:paraId="67AA7F79" w14:textId="77777777" w:rsidR="000C3DD7" w:rsidRPr="00F84469" w:rsidRDefault="00AC604D">
      <w:pPr>
        <w:spacing w:before="240"/>
        <w:ind w:left="851" w:right="902"/>
        <w:jc w:val="both"/>
        <w:rPr>
          <w:rFonts w:ascii="Palatino Linotype" w:eastAsia="Palatino Linotype" w:hAnsi="Palatino Linotype" w:cs="Palatino Linotype"/>
          <w:i/>
          <w:sz w:val="22"/>
          <w:szCs w:val="22"/>
        </w:rPr>
      </w:pPr>
      <w:bookmarkStart w:id="0" w:name="_heading=h.gjdgxs" w:colFirst="0" w:colLast="0"/>
      <w:bookmarkEnd w:id="0"/>
      <w:r w:rsidRPr="00F84469">
        <w:rPr>
          <w:rFonts w:ascii="Palatino Linotype" w:eastAsia="Palatino Linotype" w:hAnsi="Palatino Linotype" w:cs="Palatino Linotype"/>
          <w:i/>
          <w:sz w:val="22"/>
          <w:szCs w:val="22"/>
        </w:rPr>
        <w:t xml:space="preserve">“Se solicita el </w:t>
      </w:r>
      <w:proofErr w:type="spellStart"/>
      <w:r w:rsidRPr="00F84469">
        <w:rPr>
          <w:rFonts w:ascii="Palatino Linotype" w:eastAsia="Palatino Linotype" w:hAnsi="Palatino Linotype" w:cs="Palatino Linotype"/>
          <w:i/>
          <w:sz w:val="22"/>
          <w:szCs w:val="22"/>
        </w:rPr>
        <w:t>Titulo</w:t>
      </w:r>
      <w:proofErr w:type="spellEnd"/>
      <w:r w:rsidRPr="00F84469">
        <w:rPr>
          <w:rFonts w:ascii="Palatino Linotype" w:eastAsia="Palatino Linotype" w:hAnsi="Palatino Linotype" w:cs="Palatino Linotype"/>
          <w:i/>
          <w:sz w:val="22"/>
          <w:szCs w:val="22"/>
        </w:rPr>
        <w:t xml:space="preserve"> Profesional de la C. Luz María Cuero Hernández, adscrita a la Dirección General de Evaluación del Desempeño Institucional de la Secretaría de Finanzas del Gobierno del Estado de México.” (Sic)</w:t>
      </w:r>
    </w:p>
    <w:p w14:paraId="12E92D69" w14:textId="77777777" w:rsidR="000C3DD7" w:rsidRPr="00F84469" w:rsidRDefault="000C3DD7">
      <w:pPr>
        <w:spacing w:before="240"/>
        <w:ind w:left="851" w:right="902"/>
        <w:jc w:val="both"/>
        <w:rPr>
          <w:rFonts w:ascii="Palatino Linotype" w:eastAsia="Palatino Linotype" w:hAnsi="Palatino Linotype" w:cs="Palatino Linotype"/>
          <w:i/>
          <w:sz w:val="22"/>
          <w:szCs w:val="22"/>
        </w:rPr>
      </w:pPr>
    </w:p>
    <w:p w14:paraId="167FD091"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Modalidad de Entrega:</w:t>
      </w:r>
      <w:r w:rsidRPr="00F84469">
        <w:rPr>
          <w:rFonts w:ascii="Palatino Linotype" w:eastAsia="Palatino Linotype" w:hAnsi="Palatino Linotype" w:cs="Palatino Linotype"/>
        </w:rPr>
        <w:t xml:space="preserve"> A través de SAIMEX.</w:t>
      </w:r>
    </w:p>
    <w:p w14:paraId="4070FFBA" w14:textId="77777777" w:rsidR="000C3DD7" w:rsidRPr="00F84469" w:rsidRDefault="000C3DD7">
      <w:pPr>
        <w:spacing w:line="360" w:lineRule="auto"/>
        <w:jc w:val="both"/>
        <w:rPr>
          <w:rFonts w:ascii="Palatino Linotype" w:eastAsia="Palatino Linotype" w:hAnsi="Palatino Linotype" w:cs="Palatino Linotype"/>
        </w:rPr>
      </w:pPr>
    </w:p>
    <w:p w14:paraId="4A0F4D20" w14:textId="77777777" w:rsidR="000C3DD7" w:rsidRPr="00F84469" w:rsidRDefault="00AC604D">
      <w:pPr>
        <w:spacing w:after="240" w:line="360" w:lineRule="auto"/>
        <w:jc w:val="both"/>
        <w:rPr>
          <w:rFonts w:ascii="Palatino Linotype" w:eastAsia="Palatino Linotype" w:hAnsi="Palatino Linotype" w:cs="Palatino Linotype"/>
          <w:b/>
        </w:rPr>
      </w:pPr>
      <w:r w:rsidRPr="00F84469">
        <w:rPr>
          <w:rFonts w:ascii="Palatino Linotype" w:eastAsia="Palatino Linotype" w:hAnsi="Palatino Linotype" w:cs="Palatino Linotype"/>
          <w:b/>
        </w:rPr>
        <w:lastRenderedPageBreak/>
        <w:t xml:space="preserve">2. Respuesta. </w:t>
      </w:r>
      <w:r w:rsidRPr="00F84469">
        <w:rPr>
          <w:rFonts w:ascii="Palatino Linotype" w:eastAsia="Palatino Linotype" w:hAnsi="Palatino Linotype" w:cs="Palatino Linotype"/>
        </w:rPr>
        <w:t xml:space="preserve">Con fecha </w:t>
      </w:r>
      <w:r w:rsidRPr="00F84469">
        <w:rPr>
          <w:rFonts w:ascii="Palatino Linotype" w:eastAsia="Palatino Linotype" w:hAnsi="Palatino Linotype" w:cs="Palatino Linotype"/>
          <w:b/>
        </w:rPr>
        <w:t>veintitrés de septiembre de dos mil veinticuatro</w:t>
      </w:r>
      <w:r w:rsidRPr="00F84469">
        <w:rPr>
          <w:rFonts w:ascii="Palatino Linotype" w:eastAsia="Palatino Linotype" w:hAnsi="Palatino Linotype" w:cs="Palatino Linotype"/>
        </w:rPr>
        <w:t xml:space="preserve">, el </w:t>
      </w:r>
      <w:r w:rsidRPr="00F84469">
        <w:rPr>
          <w:rFonts w:ascii="Palatino Linotype" w:eastAsia="Palatino Linotype" w:hAnsi="Palatino Linotype" w:cs="Palatino Linotype"/>
          <w:b/>
        </w:rPr>
        <w:t xml:space="preserve">SUJETO OBLIGADO </w:t>
      </w:r>
      <w:r w:rsidRPr="00F84469">
        <w:rPr>
          <w:rFonts w:ascii="Palatino Linotype" w:eastAsia="Palatino Linotype" w:hAnsi="Palatino Linotype" w:cs="Palatino Linotype"/>
        </w:rPr>
        <w:t xml:space="preserve">envió su respuesta a la solicitud de acceso a la información a través de SAIMEX, sustancialmente en los términos siguientes:   </w:t>
      </w:r>
    </w:p>
    <w:p w14:paraId="480E9433" w14:textId="77777777" w:rsidR="000C3DD7" w:rsidRPr="00F84469" w:rsidRDefault="00AC604D">
      <w:pPr>
        <w:spacing w:before="240" w:after="240"/>
        <w:ind w:left="851" w:right="902"/>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proofErr w:type="spellStart"/>
      <w:r w:rsidRPr="00F84469">
        <w:rPr>
          <w:rFonts w:ascii="Palatino Linotype" w:eastAsia="Palatino Linotype" w:hAnsi="Palatino Linotype" w:cs="Palatino Linotype"/>
          <w:i/>
          <w:sz w:val="22"/>
          <w:szCs w:val="22"/>
        </w:rPr>
        <w:t>SSobre</w:t>
      </w:r>
      <w:proofErr w:type="spellEnd"/>
      <w:r w:rsidRPr="00F84469">
        <w:rPr>
          <w:rFonts w:ascii="Palatino Linotype" w:eastAsia="Palatino Linotype" w:hAnsi="Palatino Linotype" w:cs="Palatino Linotype"/>
          <w:i/>
          <w:sz w:val="22"/>
          <w:szCs w:val="22"/>
        </w:rPr>
        <w:t xml:space="preserve"> el particular, sírvase encontrar en archivo adjunto copia del oficio de notificación número 20700004S/UT-1735/2024, mediante el cual se detalla lo referente a su </w:t>
      </w:r>
      <w:proofErr w:type="gramStart"/>
      <w:r w:rsidRPr="00F84469">
        <w:rPr>
          <w:rFonts w:ascii="Palatino Linotype" w:eastAsia="Palatino Linotype" w:hAnsi="Palatino Linotype" w:cs="Palatino Linotype"/>
          <w:i/>
          <w:sz w:val="22"/>
          <w:szCs w:val="22"/>
        </w:rPr>
        <w:t>solicitud....</w:t>
      </w:r>
      <w:proofErr w:type="gramEnd"/>
      <w:r w:rsidRPr="00F84469">
        <w:rPr>
          <w:rFonts w:ascii="Palatino Linotype" w:eastAsia="Palatino Linotype" w:hAnsi="Palatino Linotype" w:cs="Palatino Linotype"/>
          <w:i/>
          <w:sz w:val="22"/>
          <w:szCs w:val="22"/>
        </w:rPr>
        <w:t>” (Sic)</w:t>
      </w:r>
    </w:p>
    <w:p w14:paraId="72583E9E" w14:textId="77777777" w:rsidR="000C3DD7" w:rsidRPr="00F84469" w:rsidRDefault="00AC604D">
      <w:pPr>
        <w:spacing w:before="240" w:after="240" w:line="360" w:lineRule="auto"/>
        <w:ind w:right="49"/>
        <w:jc w:val="both"/>
        <w:rPr>
          <w:rFonts w:ascii="Palatino Linotype" w:eastAsia="Palatino Linotype" w:hAnsi="Palatino Linotype" w:cs="Palatino Linotype"/>
          <w:b/>
        </w:rPr>
      </w:pPr>
      <w:r w:rsidRPr="00F84469">
        <w:rPr>
          <w:rFonts w:ascii="Palatino Linotype" w:eastAsia="Palatino Linotype" w:hAnsi="Palatino Linotype" w:cs="Palatino Linotype"/>
          <w:b/>
        </w:rPr>
        <w:t>El SUJETO OBLIGADO, adjuntó a su respuesta los siguientes archivos electrónicos:</w:t>
      </w:r>
    </w:p>
    <w:p w14:paraId="3E672849"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w:t>
      </w:r>
      <w:hyperlink r:id="rId8">
        <w:r w:rsidRPr="00F84469">
          <w:rPr>
            <w:rFonts w:ascii="Palatino Linotype" w:eastAsia="Palatino Linotype" w:hAnsi="Palatino Linotype" w:cs="Palatino Linotype"/>
          </w:rPr>
          <w:t>00584 SSPYP.pdf</w:t>
        </w:r>
      </w:hyperlink>
      <w:r w:rsidRPr="00F84469">
        <w:rPr>
          <w:rFonts w:ascii="Palatino Linotype" w:eastAsia="Palatino Linotype" w:hAnsi="Palatino Linotype" w:cs="Palatino Linotype"/>
        </w:rPr>
        <w:t xml:space="preserve">”, el cual contiene el oficio número 20704000020000S/390/2024, por medio del cual la Subsecretaría de Planeación y Presupuesto informó que derivado de una búsqueda realizada en los archivos del expediente personal de la persona referida en la solicitud, no obra el Título Profesional de dicha servidora pública. </w:t>
      </w:r>
    </w:p>
    <w:p w14:paraId="16816026"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w:t>
      </w:r>
      <w:hyperlink r:id="rId9">
        <w:r w:rsidRPr="00F84469">
          <w:rPr>
            <w:rFonts w:ascii="Palatino Linotype" w:eastAsia="Palatino Linotype" w:hAnsi="Palatino Linotype" w:cs="Palatino Linotype"/>
          </w:rPr>
          <w:t>00584 SOLICITANTE.pdf</w:t>
        </w:r>
      </w:hyperlink>
      <w:r w:rsidRPr="00F84469">
        <w:rPr>
          <w:rFonts w:ascii="Palatino Linotype" w:eastAsia="Palatino Linotype" w:hAnsi="Palatino Linotype" w:cs="Palatino Linotype"/>
        </w:rPr>
        <w:t xml:space="preserve">”, el cual contiene el oficio </w:t>
      </w:r>
      <w:proofErr w:type="gramStart"/>
      <w:r w:rsidRPr="00F84469">
        <w:rPr>
          <w:rFonts w:ascii="Palatino Linotype" w:eastAsia="Palatino Linotype" w:hAnsi="Palatino Linotype" w:cs="Palatino Linotype"/>
        </w:rPr>
        <w:t>número  20700004</w:t>
      </w:r>
      <w:proofErr w:type="gramEnd"/>
      <w:r w:rsidRPr="00F84469">
        <w:rPr>
          <w:rFonts w:ascii="Palatino Linotype" w:eastAsia="Palatino Linotype" w:hAnsi="Palatino Linotype" w:cs="Palatino Linotype"/>
        </w:rPr>
        <w:t>S/UT-1735/2024, por medio del cual el Jefe de la UIPPE y Titular de la Unidad de Transparencia informó al solicitante la respuesta otorgada por la Subsecretaría de Planeación y Presupuesto a través del oficio número 20704000020000S/390/2024.</w:t>
      </w:r>
    </w:p>
    <w:p w14:paraId="7C524D4B"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3. Interposición del recurso de revisión. </w:t>
      </w:r>
      <w:r w:rsidRPr="00F84469">
        <w:rPr>
          <w:rFonts w:ascii="Palatino Linotype" w:eastAsia="Palatino Linotype" w:hAnsi="Palatino Linotype" w:cs="Palatino Linotype"/>
        </w:rPr>
        <w:t xml:space="preserve">Inconforme con los términos de la respuesta emitida por parte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el </w:t>
      </w:r>
      <w:r w:rsidRPr="00F84469">
        <w:rPr>
          <w:rFonts w:ascii="Palatino Linotype" w:eastAsia="Palatino Linotype" w:hAnsi="Palatino Linotype" w:cs="Palatino Linotype"/>
          <w:b/>
        </w:rPr>
        <w:t>veinticuatro de septiembre del dos mil veinticuatro,</w:t>
      </w:r>
      <w:r w:rsidRPr="00F84469">
        <w:rPr>
          <w:rFonts w:ascii="Palatino Linotype" w:eastAsia="Palatino Linotype" w:hAnsi="Palatino Linotype" w:cs="Palatino Linotype"/>
        </w:rPr>
        <w:t xml:space="preserve"> la parte recurrente interpuso el recurso de revisión a través de </w:t>
      </w:r>
      <w:r w:rsidRPr="00F84469">
        <w:rPr>
          <w:rFonts w:ascii="Palatino Linotype" w:eastAsia="Palatino Linotype" w:hAnsi="Palatino Linotype" w:cs="Palatino Linotype"/>
          <w:b/>
        </w:rPr>
        <w:t xml:space="preserve">SAIMEX, </w:t>
      </w:r>
      <w:r w:rsidRPr="00F84469">
        <w:rPr>
          <w:rFonts w:ascii="Palatino Linotype" w:eastAsia="Palatino Linotype" w:hAnsi="Palatino Linotype" w:cs="Palatino Linotype"/>
        </w:rPr>
        <w:t>en donde se manifestó de la siguiente manera:</w:t>
      </w:r>
    </w:p>
    <w:p w14:paraId="7C6C3EFD" w14:textId="77777777" w:rsidR="000C3DD7" w:rsidRPr="00F84469" w:rsidRDefault="00AC604D">
      <w:pPr>
        <w:tabs>
          <w:tab w:val="left" w:pos="2745"/>
        </w:tabs>
        <w:spacing w:before="240" w:after="240" w:line="360" w:lineRule="auto"/>
        <w:jc w:val="both"/>
        <w:rPr>
          <w:rFonts w:ascii="Palatino Linotype" w:eastAsia="Palatino Linotype" w:hAnsi="Palatino Linotype" w:cs="Palatino Linotype"/>
          <w:b/>
        </w:rPr>
      </w:pPr>
      <w:r w:rsidRPr="00F84469">
        <w:rPr>
          <w:rFonts w:ascii="Palatino Linotype" w:eastAsia="Palatino Linotype" w:hAnsi="Palatino Linotype" w:cs="Palatino Linotype"/>
          <w:b/>
        </w:rPr>
        <w:t xml:space="preserve">Acto impugnado: </w:t>
      </w:r>
      <w:r w:rsidRPr="00F84469">
        <w:rPr>
          <w:rFonts w:ascii="Palatino Linotype" w:eastAsia="Palatino Linotype" w:hAnsi="Palatino Linotype" w:cs="Palatino Linotype"/>
          <w:b/>
        </w:rPr>
        <w:tab/>
      </w:r>
    </w:p>
    <w:p w14:paraId="5FB95CC8" w14:textId="77777777" w:rsidR="000C3DD7" w:rsidRPr="00F84469" w:rsidRDefault="00AC604D">
      <w:pPr>
        <w:ind w:left="851" w:right="902"/>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lastRenderedPageBreak/>
        <w:t xml:space="preserve">“Agradecemos que no se encuentre el documento en el expediente, con lo cual queda asentado que la C. Luz María Cuero Hernández, no cumple para el perfil para </w:t>
      </w:r>
      <w:proofErr w:type="spellStart"/>
      <w:r w:rsidRPr="00F84469">
        <w:rPr>
          <w:rFonts w:ascii="Palatino Linotype" w:eastAsia="Palatino Linotype" w:hAnsi="Palatino Linotype" w:cs="Palatino Linotype"/>
          <w:i/>
          <w:sz w:val="22"/>
          <w:szCs w:val="22"/>
        </w:rPr>
        <w:t>se</w:t>
      </w:r>
      <w:proofErr w:type="spellEnd"/>
      <w:r w:rsidRPr="00F84469">
        <w:rPr>
          <w:rFonts w:ascii="Palatino Linotype" w:eastAsia="Palatino Linotype" w:hAnsi="Palatino Linotype" w:cs="Palatino Linotype"/>
          <w:i/>
          <w:sz w:val="22"/>
          <w:szCs w:val="22"/>
        </w:rPr>
        <w:t xml:space="preserve"> contratada, por lo cual se solicita se realice la búsqueda de manera exhaustiva, ya que con ese documento solamente puede ser contratada, de lo contrario se dará vista a la Gobernadora, quien no permite corrupción en este Gobierno, tal como paso con el Subsecretario de Planeación y Presupuesto, del cual es gente directa la C. Luz María Cuero Hernández y por quien fue recontratada la servidora pública” (Sic)</w:t>
      </w:r>
    </w:p>
    <w:p w14:paraId="65293BA5" w14:textId="77777777" w:rsidR="000C3DD7" w:rsidRPr="00F84469" w:rsidRDefault="000C3DD7">
      <w:pPr>
        <w:ind w:left="851" w:right="902"/>
        <w:jc w:val="both"/>
        <w:rPr>
          <w:rFonts w:ascii="Palatino Linotype" w:eastAsia="Palatino Linotype" w:hAnsi="Palatino Linotype" w:cs="Palatino Linotype"/>
          <w:i/>
          <w:sz w:val="22"/>
          <w:szCs w:val="22"/>
        </w:rPr>
      </w:pPr>
    </w:p>
    <w:p w14:paraId="79E224B8"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Y Razones o motivos de inconformidad</w:t>
      </w:r>
      <w:r w:rsidRPr="00F84469">
        <w:rPr>
          <w:rFonts w:ascii="Palatino Linotype" w:eastAsia="Palatino Linotype" w:hAnsi="Palatino Linotype" w:cs="Palatino Linotype"/>
        </w:rPr>
        <w:t>:</w:t>
      </w:r>
    </w:p>
    <w:p w14:paraId="73A7A9BE" w14:textId="77777777" w:rsidR="000C3DD7" w:rsidRPr="00F84469" w:rsidRDefault="00AC604D">
      <w:pPr>
        <w:ind w:left="851" w:right="902"/>
        <w:jc w:val="both"/>
        <w:rPr>
          <w:rFonts w:ascii="Palatino Linotype" w:eastAsia="Palatino Linotype" w:hAnsi="Palatino Linotype" w:cs="Palatino Linotype"/>
          <w:i/>
          <w:sz w:val="22"/>
          <w:szCs w:val="22"/>
        </w:rPr>
      </w:pPr>
      <w:bookmarkStart w:id="1" w:name="_heading=h.30j0zll" w:colFirst="0" w:colLast="0"/>
      <w:bookmarkEnd w:id="1"/>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u w:val="single"/>
        </w:rPr>
        <w:t>Se solicita realizar la búsqueda exhaustiva del documento, el cual es necesario para la contratación</w:t>
      </w:r>
      <w:r w:rsidRPr="00F84469">
        <w:rPr>
          <w:rFonts w:ascii="Palatino Linotype" w:eastAsia="Palatino Linotype" w:hAnsi="Palatino Linotype" w:cs="Palatino Linotype"/>
          <w:i/>
          <w:sz w:val="22"/>
          <w:szCs w:val="22"/>
        </w:rPr>
        <w:t xml:space="preserve">, de lo </w:t>
      </w:r>
      <w:r w:rsidRPr="00F84469">
        <w:rPr>
          <w:rFonts w:ascii="Palatino Linotype" w:eastAsia="Palatino Linotype" w:hAnsi="Palatino Linotype" w:cs="Palatino Linotype"/>
          <w:i/>
          <w:sz w:val="22"/>
          <w:szCs w:val="22"/>
          <w:u w:val="single"/>
        </w:rPr>
        <w:t xml:space="preserve">contrario se </w:t>
      </w:r>
      <w:proofErr w:type="spellStart"/>
      <w:r w:rsidRPr="00F84469">
        <w:rPr>
          <w:rFonts w:ascii="Palatino Linotype" w:eastAsia="Palatino Linotype" w:hAnsi="Palatino Linotype" w:cs="Palatino Linotype"/>
          <w:i/>
          <w:sz w:val="22"/>
          <w:szCs w:val="22"/>
          <w:u w:val="single"/>
        </w:rPr>
        <w:t>esta</w:t>
      </w:r>
      <w:proofErr w:type="spellEnd"/>
      <w:r w:rsidRPr="00F84469">
        <w:rPr>
          <w:rFonts w:ascii="Palatino Linotype" w:eastAsia="Palatino Linotype" w:hAnsi="Palatino Linotype" w:cs="Palatino Linotype"/>
          <w:i/>
          <w:sz w:val="22"/>
          <w:szCs w:val="22"/>
          <w:u w:val="single"/>
        </w:rPr>
        <w:t xml:space="preserve"> realizando un acto de corrupción, a decir de paso, la C. Luz María Cuero Hernández, es una persona que desvía recursos y todo esto se utilizará para difundirlo en medios lo antes posible, antes de que entregue un presupuesto con señales de corrupción</w:t>
      </w:r>
      <w:r w:rsidRPr="00F84469">
        <w:rPr>
          <w:rFonts w:ascii="Palatino Linotype" w:eastAsia="Palatino Linotype" w:hAnsi="Palatino Linotype" w:cs="Palatino Linotype"/>
          <w:i/>
          <w:sz w:val="22"/>
          <w:szCs w:val="22"/>
        </w:rPr>
        <w:t>.” (Sic)</w:t>
      </w:r>
    </w:p>
    <w:p w14:paraId="0227C474" w14:textId="77777777" w:rsidR="000C3DD7" w:rsidRPr="00F84469" w:rsidRDefault="000C3DD7">
      <w:pPr>
        <w:ind w:left="851" w:right="902"/>
        <w:jc w:val="both"/>
        <w:rPr>
          <w:rFonts w:ascii="Palatino Linotype" w:eastAsia="Palatino Linotype" w:hAnsi="Palatino Linotype" w:cs="Palatino Linotype"/>
          <w:i/>
          <w:sz w:val="22"/>
          <w:szCs w:val="22"/>
        </w:rPr>
      </w:pPr>
    </w:p>
    <w:p w14:paraId="4AA8554E" w14:textId="77777777" w:rsidR="000C3DD7" w:rsidRPr="00F84469" w:rsidRDefault="00AC604D">
      <w:pPr>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4. Turno. </w:t>
      </w:r>
      <w:r w:rsidRPr="00F84469">
        <w:rPr>
          <w:rFonts w:ascii="Palatino Linotype" w:eastAsia="Palatino Linotype" w:hAnsi="Palatino Linotype" w:cs="Palatino Linotype"/>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F84469">
        <w:rPr>
          <w:rFonts w:ascii="Palatino Linotype" w:eastAsia="Palatino Linotype" w:hAnsi="Palatino Linotype" w:cs="Palatino Linotype"/>
          <w:b/>
        </w:rPr>
        <w:t xml:space="preserve">Guadalupe Ramírez Peña, </w:t>
      </w:r>
      <w:r w:rsidRPr="00F84469">
        <w:rPr>
          <w:rFonts w:ascii="Palatino Linotype" w:eastAsia="Palatino Linotype" w:hAnsi="Palatino Linotype" w:cs="Palatino Linotype"/>
        </w:rPr>
        <w:t xml:space="preserve">a efecto de que analizara sobre su admisión o su </w:t>
      </w:r>
      <w:proofErr w:type="spellStart"/>
      <w:r w:rsidRPr="00F84469">
        <w:rPr>
          <w:rFonts w:ascii="Palatino Linotype" w:eastAsia="Palatino Linotype" w:hAnsi="Palatino Linotype" w:cs="Palatino Linotype"/>
        </w:rPr>
        <w:t>desechamiento</w:t>
      </w:r>
      <w:proofErr w:type="spellEnd"/>
      <w:r w:rsidRPr="00F84469">
        <w:rPr>
          <w:rFonts w:ascii="Palatino Linotype" w:eastAsia="Palatino Linotype" w:hAnsi="Palatino Linotype" w:cs="Palatino Linotype"/>
        </w:rPr>
        <w:t>.</w:t>
      </w:r>
    </w:p>
    <w:p w14:paraId="36DD6FE6" w14:textId="77777777" w:rsidR="000C3DD7" w:rsidRPr="00F84469" w:rsidRDefault="000C3DD7">
      <w:pPr>
        <w:spacing w:line="360" w:lineRule="auto"/>
        <w:ind w:right="51"/>
        <w:jc w:val="both"/>
        <w:rPr>
          <w:rFonts w:ascii="Palatino Linotype" w:eastAsia="Palatino Linotype" w:hAnsi="Palatino Linotype" w:cs="Palatino Linotype"/>
        </w:rPr>
      </w:pPr>
    </w:p>
    <w:p w14:paraId="681A9DDF" w14:textId="77777777" w:rsidR="000C3DD7" w:rsidRPr="00F84469" w:rsidRDefault="00AC604D">
      <w:pPr>
        <w:spacing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5. Admisión del Recurso de revisión.</w:t>
      </w:r>
      <w:r w:rsidRPr="00F84469">
        <w:rPr>
          <w:rFonts w:ascii="Palatino Linotype" w:eastAsia="Palatino Linotype" w:hAnsi="Palatino Linotype" w:cs="Palatino Linotype"/>
        </w:rPr>
        <w:t xml:space="preserve"> Con fecha</w:t>
      </w:r>
      <w:r w:rsidRPr="00F84469">
        <w:rPr>
          <w:rFonts w:ascii="Palatino Linotype" w:eastAsia="Palatino Linotype" w:hAnsi="Palatino Linotype" w:cs="Palatino Linotype"/>
          <w:b/>
        </w:rPr>
        <w:t xml:space="preserve"> veintisiete de septiembre de dos mil veinticuatro, </w:t>
      </w:r>
      <w:r w:rsidRPr="00F84469">
        <w:rPr>
          <w:rFonts w:ascii="Palatino Linotype" w:eastAsia="Palatino Linotype" w:hAnsi="Palatino Linotype" w:cs="Palatino Linotype"/>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F84469">
        <w:rPr>
          <w:rFonts w:ascii="Palatino Linotype" w:eastAsia="Palatino Linotype" w:hAnsi="Palatino Linotype" w:cs="Palatino Linotype"/>
          <w:b/>
        </w:rPr>
        <w:t xml:space="preserve">SUJETO OBLIGADO </w:t>
      </w:r>
      <w:r w:rsidRPr="00F84469">
        <w:rPr>
          <w:rFonts w:ascii="Palatino Linotype" w:eastAsia="Palatino Linotype" w:hAnsi="Palatino Linotype" w:cs="Palatino Linotype"/>
        </w:rPr>
        <w:t>presentara su informe justificado.</w:t>
      </w:r>
    </w:p>
    <w:p w14:paraId="6027739D" w14:textId="77777777" w:rsidR="000C3DD7" w:rsidRPr="00F84469" w:rsidRDefault="00AC604D">
      <w:pPr>
        <w:spacing w:before="240" w:after="240" w:line="360" w:lineRule="auto"/>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rPr>
        <w:lastRenderedPageBreak/>
        <w:t>6. Manifestaciones</w:t>
      </w:r>
      <w:r w:rsidRPr="00F84469">
        <w:rPr>
          <w:rFonts w:ascii="Palatino Linotype" w:eastAsia="Palatino Linotype" w:hAnsi="Palatino Linotype" w:cs="Palatino Linotype"/>
        </w:rPr>
        <w:t xml:space="preserve">. De las constancias que obran en el expediente electrónico del SAIMEX se desprende que </w:t>
      </w:r>
      <w:r w:rsidRPr="00F84469">
        <w:rPr>
          <w:rFonts w:ascii="Palatino Linotype" w:eastAsia="Palatino Linotype" w:hAnsi="Palatino Linotype" w:cs="Palatino Linotype"/>
          <w:b/>
        </w:rPr>
        <w:t>la parte RECURRENTE</w:t>
      </w:r>
      <w:r w:rsidRPr="00F84469">
        <w:rPr>
          <w:rFonts w:ascii="Palatino Linotype" w:eastAsia="Palatino Linotype" w:hAnsi="Palatino Linotype" w:cs="Palatino Linotype"/>
        </w:rPr>
        <w:t xml:space="preserve"> fue </w:t>
      </w:r>
      <w:proofErr w:type="gramStart"/>
      <w:r w:rsidRPr="00F84469">
        <w:rPr>
          <w:rFonts w:ascii="Palatino Linotype" w:eastAsia="Palatino Linotype" w:hAnsi="Palatino Linotype" w:cs="Palatino Linotype"/>
        </w:rPr>
        <w:t>omiso</w:t>
      </w:r>
      <w:proofErr w:type="gramEnd"/>
      <w:r w:rsidRPr="00F84469">
        <w:rPr>
          <w:rFonts w:ascii="Palatino Linotype" w:eastAsia="Palatino Linotype" w:hAnsi="Palatino Linotype" w:cs="Palatino Linotype"/>
        </w:rPr>
        <w:t xml:space="preserve"> en realizar manifestación alguna. </w:t>
      </w:r>
    </w:p>
    <w:p w14:paraId="648B34AF" w14:textId="77777777" w:rsidR="000C3DD7" w:rsidRPr="00F84469" w:rsidRDefault="00AC604D">
      <w:pPr>
        <w:spacing w:before="240" w:after="240" w:line="360" w:lineRule="auto"/>
        <w:jc w:val="both"/>
        <w:rPr>
          <w:rFonts w:ascii="Palatino Linotype" w:eastAsia="Palatino Linotype" w:hAnsi="Palatino Linotype" w:cs="Palatino Linotype"/>
        </w:rPr>
      </w:pPr>
      <w:bookmarkStart w:id="2" w:name="_heading=h.1fob9te" w:colFirst="0" w:colLast="0"/>
      <w:bookmarkEnd w:id="2"/>
      <w:r w:rsidRPr="00F84469">
        <w:rPr>
          <w:rFonts w:ascii="Palatino Linotype" w:eastAsia="Palatino Linotype" w:hAnsi="Palatino Linotype" w:cs="Palatino Linotype"/>
        </w:rPr>
        <w:t xml:space="preserve"> Por su parte</w:t>
      </w:r>
      <w:r w:rsidRPr="00F84469">
        <w:rPr>
          <w:rFonts w:ascii="Palatino Linotype" w:eastAsia="Palatino Linotype" w:hAnsi="Palatino Linotype" w:cs="Palatino Linotype"/>
          <w:b/>
        </w:rPr>
        <w:t xml:space="preserve"> </w:t>
      </w:r>
      <w:r w:rsidRPr="00F84469">
        <w:rPr>
          <w:rFonts w:ascii="Palatino Linotype" w:eastAsia="Palatino Linotype" w:hAnsi="Palatino Linotype" w:cs="Palatino Linotype"/>
        </w:rPr>
        <w:t xml:space="preserve">el </w:t>
      </w:r>
      <w:r w:rsidRPr="00F84469">
        <w:rPr>
          <w:rFonts w:ascii="Palatino Linotype" w:eastAsia="Palatino Linotype" w:hAnsi="Palatino Linotype" w:cs="Palatino Linotype"/>
          <w:b/>
        </w:rPr>
        <w:t xml:space="preserve">SUJETO OBLIGADO </w:t>
      </w:r>
      <w:r w:rsidRPr="00F84469">
        <w:rPr>
          <w:rFonts w:ascii="Palatino Linotype" w:eastAsia="Palatino Linotype" w:hAnsi="Palatino Linotype" w:cs="Palatino Linotype"/>
        </w:rPr>
        <w:t>en fecha nueve de octubre del año dos mil veinticuatro, remitió los siguientes archivos electrónicos:</w:t>
      </w:r>
    </w:p>
    <w:p w14:paraId="4B7117EF"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w:t>
      </w:r>
      <w:hyperlink r:id="rId10">
        <w:r w:rsidRPr="00F84469">
          <w:rPr>
            <w:rFonts w:ascii="Palatino Linotype" w:eastAsia="Palatino Linotype" w:hAnsi="Palatino Linotype" w:cs="Palatino Linotype"/>
          </w:rPr>
          <w:t>RR 05819-2024 INFORME JUSTIFICADO.pdf</w:t>
        </w:r>
      </w:hyperlink>
      <w:r w:rsidRPr="00F84469">
        <w:rPr>
          <w:rFonts w:ascii="Palatino Linotype" w:eastAsia="Palatino Linotype" w:hAnsi="Palatino Linotype" w:cs="Palatino Linotype"/>
        </w:rPr>
        <w:t xml:space="preserve">“, el cual contiene el informe justificado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por medio del cual en lo medular ratificó su respuesta primigenia. </w:t>
      </w:r>
    </w:p>
    <w:p w14:paraId="4CAFF70D" w14:textId="77777777" w:rsidR="000C3DD7" w:rsidRPr="00F84469" w:rsidRDefault="006B2AC1">
      <w:pPr>
        <w:spacing w:before="240" w:after="240" w:line="360" w:lineRule="auto"/>
        <w:jc w:val="both"/>
        <w:rPr>
          <w:rFonts w:ascii="Palatino Linotype" w:eastAsia="Palatino Linotype" w:hAnsi="Palatino Linotype" w:cs="Palatino Linotype"/>
        </w:rPr>
      </w:pPr>
      <w:hyperlink r:id="rId11">
        <w:r w:rsidR="00AC604D" w:rsidRPr="00F84469">
          <w:rPr>
            <w:rFonts w:ascii="Palatino Linotype" w:eastAsia="Palatino Linotype" w:hAnsi="Palatino Linotype" w:cs="Palatino Linotype"/>
          </w:rPr>
          <w:t>“</w:t>
        </w:r>
      </w:hyperlink>
      <w:hyperlink r:id="rId12">
        <w:r w:rsidR="00AC604D" w:rsidRPr="00F84469">
          <w:rPr>
            <w:rFonts w:ascii="Palatino Linotype" w:eastAsia="Palatino Linotype" w:hAnsi="Palatino Linotype" w:cs="Palatino Linotype"/>
          </w:rPr>
          <w:t>RR 05819-2024 SPP.pdf</w:t>
        </w:r>
      </w:hyperlink>
      <w:r w:rsidR="00AC604D" w:rsidRPr="00F84469">
        <w:rPr>
          <w:rFonts w:ascii="Palatino Linotype" w:eastAsia="Palatino Linotype" w:hAnsi="Palatino Linotype" w:cs="Palatino Linotype"/>
        </w:rPr>
        <w:t xml:space="preserve">”, el cual contiene el oficio número 20704000020000S/441/2023, por medio del cual la Subsecretaría de Planeación y Presupuesto, ratificó su respuesta primigenia. </w:t>
      </w:r>
    </w:p>
    <w:p w14:paraId="15A595A7"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w:t>
      </w:r>
      <w:hyperlink r:id="rId13">
        <w:r w:rsidRPr="00F84469">
          <w:rPr>
            <w:rFonts w:ascii="Palatino Linotype" w:eastAsia="Palatino Linotype" w:hAnsi="Palatino Linotype" w:cs="Palatino Linotype"/>
          </w:rPr>
          <w:t>RR 8399-2023 DGP.pdf</w:t>
        </w:r>
      </w:hyperlink>
      <w:r w:rsidRPr="00F84469">
        <w:rPr>
          <w:rFonts w:ascii="Palatino Linotype" w:eastAsia="Palatino Linotype" w:hAnsi="Palatino Linotype" w:cs="Palatino Linotype"/>
        </w:rPr>
        <w:t>”, el cual contiene el oficio número 20704000020000S/493/2024, por medio del cual la Subsecretaría de Planeación y Presupuesto, ratificó su respuesta primigenia.</w:t>
      </w:r>
    </w:p>
    <w:p w14:paraId="0C6AD8AD" w14:textId="77777777" w:rsidR="000C3DD7" w:rsidRPr="00F84469" w:rsidRDefault="00AC604D">
      <w:pPr>
        <w:spacing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Documentos que, una vez analizados, se hicieron del conocimiento de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xml:space="preserve"> a efecto de que manifestara lo que a su derecho estimara conveniente, sin embargo, fue omiso en ejercer dicha prerrogativa en el plazo establecido para tal efecto.</w:t>
      </w:r>
    </w:p>
    <w:p w14:paraId="7A071061" w14:textId="77777777" w:rsidR="000C3DD7" w:rsidRPr="00F84469" w:rsidRDefault="00AC604D">
      <w:pPr>
        <w:widowControl w:val="0"/>
        <w:pBdr>
          <w:top w:val="nil"/>
          <w:left w:val="nil"/>
          <w:bottom w:val="nil"/>
          <w:right w:val="nil"/>
          <w:between w:val="nil"/>
        </w:pBdr>
        <w:tabs>
          <w:tab w:val="left" w:pos="709"/>
        </w:tabs>
        <w:spacing w:before="12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7. Cierre de instrucción. </w:t>
      </w:r>
      <w:r w:rsidRPr="00F84469">
        <w:rPr>
          <w:rFonts w:ascii="Palatino Linotype" w:eastAsia="Palatino Linotype" w:hAnsi="Palatino Linotype" w:cs="Palatino Linotype"/>
        </w:rPr>
        <w:t xml:space="preserve">Una vez transcurrido el periodo otorgado a las partes para realizar sus manifestaciones y no habiendo documentos que integrar al expediente, con fecha </w:t>
      </w:r>
      <w:r w:rsidRPr="00F84469">
        <w:rPr>
          <w:rFonts w:ascii="Palatino Linotype" w:eastAsia="Palatino Linotype" w:hAnsi="Palatino Linotype" w:cs="Palatino Linotype"/>
          <w:b/>
        </w:rPr>
        <w:t>veintiocho de octubre de dos mil veinticuatro</w:t>
      </w:r>
      <w:r w:rsidRPr="00F84469">
        <w:rPr>
          <w:rFonts w:ascii="Palatino Linotype" w:eastAsia="Palatino Linotype" w:hAnsi="Palatino Linotype" w:cs="Palatino Linotype"/>
        </w:rPr>
        <w:t xml:space="preserve">, la Comisionada Ponente determinó el cierre de instrucción en términos de la fracción VI del artículo 185 de </w:t>
      </w:r>
      <w:r w:rsidRPr="00F84469">
        <w:rPr>
          <w:rFonts w:ascii="Palatino Linotype" w:eastAsia="Palatino Linotype" w:hAnsi="Palatino Linotype" w:cs="Palatino Linotype"/>
        </w:rPr>
        <w:lastRenderedPageBreak/>
        <w:t>la Ley de Transparencia y Acceso a la Información Pública del Estado de México y Municipios.</w:t>
      </w:r>
    </w:p>
    <w:p w14:paraId="7C0C4788"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En razón de que fue debidamente sustanciado el expediente electrónico y no existe diligencia pendiente de desahogo, se emite la Resolución que conforme a Derecho proceda, de acuerdo con los siguientes: </w:t>
      </w:r>
    </w:p>
    <w:p w14:paraId="7E2114A1" w14:textId="77777777" w:rsidR="000C3DD7" w:rsidRPr="00F84469" w:rsidRDefault="00AC604D">
      <w:pPr>
        <w:widowControl w:val="0"/>
        <w:spacing w:line="360" w:lineRule="auto"/>
        <w:jc w:val="center"/>
        <w:rPr>
          <w:rFonts w:ascii="Palatino Linotype" w:eastAsia="Palatino Linotype" w:hAnsi="Palatino Linotype" w:cs="Palatino Linotype"/>
          <w:b/>
        </w:rPr>
      </w:pPr>
      <w:r w:rsidRPr="00F84469">
        <w:rPr>
          <w:rFonts w:ascii="Palatino Linotype" w:eastAsia="Palatino Linotype" w:hAnsi="Palatino Linotype" w:cs="Palatino Linotype"/>
          <w:b/>
        </w:rPr>
        <w:t>II. C O N S I D E R A N D O S</w:t>
      </w:r>
    </w:p>
    <w:p w14:paraId="562157CD" w14:textId="77777777" w:rsidR="000C3DD7" w:rsidRPr="00F84469" w:rsidRDefault="000C3DD7">
      <w:pPr>
        <w:widowControl w:val="0"/>
        <w:spacing w:line="360" w:lineRule="auto"/>
        <w:jc w:val="center"/>
        <w:rPr>
          <w:rFonts w:ascii="Palatino Linotype" w:eastAsia="Palatino Linotype" w:hAnsi="Palatino Linotype" w:cs="Palatino Linotype"/>
          <w:b/>
        </w:rPr>
      </w:pPr>
    </w:p>
    <w:p w14:paraId="5832424A"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Primero. Competencia.</w:t>
      </w:r>
      <w:r w:rsidRPr="00F84469">
        <w:rPr>
          <w:rFonts w:ascii="Palatino Linotype" w:eastAsia="Palatino Linotype" w:hAnsi="Palatino Linotype" w:cs="Palatino Linotype"/>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1B260387" w14:textId="77777777" w:rsidR="000C3DD7" w:rsidRPr="00F84469" w:rsidRDefault="000C3DD7">
      <w:pPr>
        <w:spacing w:line="360" w:lineRule="auto"/>
        <w:jc w:val="both"/>
        <w:rPr>
          <w:rFonts w:ascii="Palatino Linotype" w:eastAsia="Palatino Linotype" w:hAnsi="Palatino Linotype" w:cs="Palatino Linotype"/>
        </w:rPr>
      </w:pPr>
    </w:p>
    <w:p w14:paraId="1C620213" w14:textId="77777777" w:rsidR="000C3DD7" w:rsidRPr="00F84469" w:rsidRDefault="00AC604D">
      <w:pPr>
        <w:spacing w:line="360" w:lineRule="auto"/>
        <w:jc w:val="both"/>
        <w:rPr>
          <w:rFonts w:ascii="Palatino Linotype" w:eastAsia="Palatino Linotype" w:hAnsi="Palatino Linotype" w:cs="Palatino Linotype"/>
        </w:rPr>
      </w:pPr>
      <w:bookmarkStart w:id="3" w:name="_heading=h.tyjcwt" w:colFirst="0" w:colLast="0"/>
      <w:bookmarkEnd w:id="3"/>
      <w:r w:rsidRPr="00F84469">
        <w:rPr>
          <w:rFonts w:ascii="Palatino Linotype" w:eastAsia="Palatino Linotype" w:hAnsi="Palatino Linotype" w:cs="Palatino Linotype"/>
          <w:b/>
        </w:rPr>
        <w:t xml:space="preserve">Segundo. Oportunidad y Procedibilidad del Recurso de Revisión. </w:t>
      </w:r>
      <w:r w:rsidRPr="00F84469">
        <w:rPr>
          <w:rFonts w:ascii="Palatino Linotype" w:eastAsia="Palatino Linotype" w:hAnsi="Palatino Linotype" w:cs="Palatino Linotype"/>
        </w:rPr>
        <w:t xml:space="preserve">De conformidad con los requisitos de Oportunidad y Procedibilidad que deben reunir el recurso de revisión interpuesto, previstos en los artículos 178 y 180 de la Ley de Transparencia y Acceso a la Información Pública del Estado de México y Municipios; en la especie se advierte que el presente medio de impugnación fue interpuesto </w:t>
      </w:r>
      <w:r w:rsidRPr="00F84469">
        <w:rPr>
          <w:rFonts w:ascii="Palatino Linotype" w:eastAsia="Palatino Linotype" w:hAnsi="Palatino Linotype" w:cs="Palatino Linotype"/>
        </w:rPr>
        <w:lastRenderedPageBreak/>
        <w:t xml:space="preserve">dentro del plazo de quince días previsto en el primer artículo de referencia; toda vez que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emitió su respuesta a la solicitud planteada por el solicitante el </w:t>
      </w:r>
      <w:r w:rsidRPr="00F84469">
        <w:rPr>
          <w:rFonts w:ascii="Palatino Linotype" w:eastAsia="Palatino Linotype" w:hAnsi="Palatino Linotype" w:cs="Palatino Linotype"/>
          <w:b/>
        </w:rPr>
        <w:t>veintitrés de septiembre del año dos mil veinticuatro</w:t>
      </w:r>
      <w:r w:rsidRPr="00F84469">
        <w:rPr>
          <w:rFonts w:ascii="Palatino Linotype" w:eastAsia="Palatino Linotype" w:hAnsi="Palatino Linotype" w:cs="Palatino Linotype"/>
        </w:rPr>
        <w:t xml:space="preserve"> y mientras que el recurso de revisión interpuesto por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xml:space="preserve">, se tuvo por presentado el día </w:t>
      </w:r>
      <w:r w:rsidRPr="00F84469">
        <w:rPr>
          <w:rFonts w:ascii="Palatino Linotype" w:eastAsia="Palatino Linotype" w:hAnsi="Palatino Linotype" w:cs="Palatino Linotype"/>
          <w:b/>
        </w:rPr>
        <w:t xml:space="preserve">veinticuatro de septiembre del año dos mil veinticuatro, </w:t>
      </w:r>
      <w:r w:rsidRPr="00F84469">
        <w:rPr>
          <w:rFonts w:ascii="Palatino Linotype" w:eastAsia="Palatino Linotype" w:hAnsi="Palatino Linotype" w:cs="Palatino Linotype"/>
        </w:rPr>
        <w:t xml:space="preserve">esto es, al primer día siguiente en que tuvo conocimiento de la respuesta. </w:t>
      </w:r>
    </w:p>
    <w:p w14:paraId="76F656EF"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Al mismo tiempo, tras la revisión del formato de interposición del recurso, se concluye en la acreditación plena de todos y cada uno de los elementos formales exigidos por el artículo 180 de la Ley de Transparencia y Acceso a la Información Pública del Estado de México y Municipios, toda vez que fue ingresado a través del SAIMEX.</w:t>
      </w:r>
    </w:p>
    <w:p w14:paraId="63720C54"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Asimismo, resulta procedente la interposición del recurso de revisión al rubro anotado, toda vez que se actualiza las hipótesis previstas en el artículo 179, fracción I de la ley de la materia, que a la letra dice:</w:t>
      </w:r>
    </w:p>
    <w:p w14:paraId="294FD5F2" w14:textId="77777777" w:rsidR="000C3DD7" w:rsidRPr="00F84469" w:rsidRDefault="00AC604D">
      <w:pPr>
        <w:ind w:left="1276" w:right="1752"/>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 xml:space="preserve">Artículo 179. </w:t>
      </w:r>
      <w:r w:rsidRPr="00F84469">
        <w:rPr>
          <w:rFonts w:ascii="Palatino Linotype" w:eastAsia="Palatino Linotype" w:hAnsi="Palatino Linotype" w:cs="Palatino Linotype"/>
          <w:i/>
          <w:sz w:val="22"/>
          <w:szCs w:val="22"/>
        </w:rPr>
        <w:t>El recurso de revisión es un medio de protección que la Ley otorga a los particulares, para hacer valer su derecho de acceso a la información pública, y procederá en contra de las siguientes causas:</w:t>
      </w:r>
    </w:p>
    <w:p w14:paraId="76CF802C" w14:textId="77777777" w:rsidR="000C3DD7" w:rsidRPr="00F84469" w:rsidRDefault="00AC604D">
      <w:pPr>
        <w:ind w:left="1276" w:right="1752"/>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I. La negativa de la información solicitada…”  </w:t>
      </w:r>
    </w:p>
    <w:p w14:paraId="11752155"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Tercero. Materia de Revisión</w:t>
      </w:r>
      <w:r w:rsidRPr="00F84469">
        <w:rPr>
          <w:rFonts w:ascii="Palatino Linotype" w:eastAsia="Palatino Linotype" w:hAnsi="Palatino Linotype" w:cs="Palatino Linotype"/>
        </w:rPr>
        <w:t xml:space="preserve">: De las constancias que integran el expediente electrónico se advierte que el tema sobre el que este Instituto se pronunciará será: </w:t>
      </w:r>
      <w:r w:rsidRPr="00F84469">
        <w:rPr>
          <w:rFonts w:ascii="Palatino Linotype" w:eastAsia="Palatino Linotype" w:hAnsi="Palatino Linotype" w:cs="Palatino Linotype"/>
          <w:b/>
        </w:rPr>
        <w:t xml:space="preserve">verificar si la respuesta otorgada por el SUJETO OBLIGADO es adecuada y suficiente para satisfacer el derecho de acceso a la información pública </w:t>
      </w:r>
      <w:r w:rsidRPr="00F84469">
        <w:rPr>
          <w:rFonts w:ascii="Palatino Linotype" w:eastAsia="Palatino Linotype" w:hAnsi="Palatino Linotype" w:cs="Palatino Linotype"/>
        </w:rPr>
        <w:t xml:space="preserve">de la </w:t>
      </w:r>
      <w:proofErr w:type="gramStart"/>
      <w:r w:rsidRPr="00F84469">
        <w:rPr>
          <w:rFonts w:ascii="Palatino Linotype" w:eastAsia="Palatino Linotype" w:hAnsi="Palatino Linotype" w:cs="Palatino Linotype"/>
        </w:rPr>
        <w:t xml:space="preserve">parte  </w:t>
      </w:r>
      <w:r w:rsidRPr="00F84469">
        <w:rPr>
          <w:rFonts w:ascii="Palatino Linotype" w:eastAsia="Palatino Linotype" w:hAnsi="Palatino Linotype" w:cs="Palatino Linotype"/>
          <w:b/>
        </w:rPr>
        <w:lastRenderedPageBreak/>
        <w:t>RECURRENTE</w:t>
      </w:r>
      <w:proofErr w:type="gramEnd"/>
      <w:r w:rsidRPr="00F84469">
        <w:rPr>
          <w:rFonts w:ascii="Palatino Linotype" w:eastAsia="Palatino Linotype" w:hAnsi="Palatino Linotype" w:cs="Palatino Linotype"/>
        </w:rPr>
        <w:t>, o en su defecto, en caso de ser procedente, ordenar la entrega de información.</w:t>
      </w:r>
    </w:p>
    <w:p w14:paraId="558C6B68"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Cuarto. Estudio de fondo del asunto. </w:t>
      </w:r>
      <w:r w:rsidRPr="00F84469">
        <w:rPr>
          <w:rFonts w:ascii="Palatino Linotype" w:eastAsia="Palatino Linotype" w:hAnsi="Palatino Linotype" w:cs="Palatino Linotype"/>
        </w:rPr>
        <w:t xml:space="preserve">es conveniente analizar si la respuesta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cumple con los requisitos y procedimientos del derecho de acceso a la información pública, en atención a que en la Ley de Transparencia y Acceso a la Información Pública del Estado de México y Municipios en su artículo 4,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trascribe para un mejor entendimiento:</w:t>
      </w:r>
    </w:p>
    <w:p w14:paraId="07015119" w14:textId="77777777" w:rsidR="000C3DD7" w:rsidRPr="00F84469" w:rsidRDefault="00AC604D">
      <w:pPr>
        <w:spacing w:before="240"/>
        <w:ind w:left="709" w:right="760"/>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Artículo 4.</w:t>
      </w:r>
      <w:r w:rsidRPr="00F84469">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5890D72A" w14:textId="77777777" w:rsidR="000C3DD7" w:rsidRPr="00F84469" w:rsidRDefault="00AC604D">
      <w:pPr>
        <w:ind w:left="709" w:right="760"/>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F84469">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479B511B" w14:textId="77777777" w:rsidR="000C3DD7" w:rsidRPr="00F84469" w:rsidRDefault="00AC604D">
      <w:pPr>
        <w:ind w:left="709" w:right="760"/>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F84469">
        <w:rPr>
          <w:rFonts w:ascii="Palatino Linotype" w:eastAsia="Palatino Linotype" w:hAnsi="Palatino Linotype" w:cs="Palatino Linotype"/>
          <w:i/>
          <w:sz w:val="22"/>
          <w:szCs w:val="22"/>
        </w:rPr>
        <w:t>.”</w:t>
      </w:r>
    </w:p>
    <w:p w14:paraId="2C835366"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De lo anterior, se desprende que los Sujetos Obligados tiene la obligación o deber de atender las solicitudes de acceso a la información pública que se les hagan de su </w:t>
      </w:r>
      <w:r w:rsidRPr="00F84469">
        <w:rPr>
          <w:rFonts w:ascii="Palatino Linotype" w:eastAsia="Palatino Linotype" w:hAnsi="Palatino Linotype" w:cs="Palatino Linotype"/>
        </w:rPr>
        <w:lastRenderedPageBreak/>
        <w:t>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el cual a la letra dice:</w:t>
      </w:r>
    </w:p>
    <w:p w14:paraId="45233AAF" w14:textId="77777777" w:rsidR="000C3DD7" w:rsidRPr="00F84469" w:rsidRDefault="00AC604D">
      <w:pPr>
        <w:ind w:left="567" w:right="758"/>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Artículo12.-</w:t>
      </w:r>
      <w:r w:rsidRPr="00F84469">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738F221D" w14:textId="77777777" w:rsidR="000C3DD7" w:rsidRPr="00F84469" w:rsidRDefault="00AC604D">
      <w:pPr>
        <w:ind w:left="567" w:right="758"/>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rPr>
        <w:t>La obligación de proporcionar información no comprende el procesamiento de la misma, ni el presentarla conforme al interés del solicitante; no estarán obligados a generarla, resumirla, efectuar cálculos o practicar investigaciones.” (Sic)</w:t>
      </w:r>
    </w:p>
    <w:p w14:paraId="551CAADE" w14:textId="77777777" w:rsidR="000C3DD7" w:rsidRPr="00F84469" w:rsidRDefault="000C3DD7">
      <w:pPr>
        <w:spacing w:line="360" w:lineRule="auto"/>
        <w:ind w:right="-93"/>
        <w:jc w:val="both"/>
        <w:rPr>
          <w:rFonts w:ascii="Palatino Linotype" w:eastAsia="Palatino Linotype" w:hAnsi="Palatino Linotype" w:cs="Palatino Linotype"/>
        </w:rPr>
      </w:pPr>
    </w:p>
    <w:p w14:paraId="47D3FC10" w14:textId="77777777" w:rsidR="000C3DD7" w:rsidRPr="00F84469" w:rsidRDefault="00AC604D">
      <w:pPr>
        <w:spacing w:line="360" w:lineRule="auto"/>
        <w:ind w:right="-93"/>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Es decir, todo Sujeto Obligado que genere, recopile, administre, procese, archive, posea o conserve información es responsables de la misma, teniendo a su vez la obligación de proporcionarla cuando se le requiera, sin necesidad de resumirla, efectuar procedimientos para obtenerla, calcular y practicar investigaciones; es decir, los Sujetos Obligados sólo se concretarán a proporcionar la información solicitada que tengan en su poder en el estado que se encuentran, sin necesidad de concretarse al interés o términos específicos del solicitante. </w:t>
      </w:r>
    </w:p>
    <w:p w14:paraId="2A79BD7E" w14:textId="77777777" w:rsidR="000C3DD7" w:rsidRPr="00F84469" w:rsidRDefault="000C3DD7">
      <w:pPr>
        <w:spacing w:line="360" w:lineRule="auto"/>
        <w:jc w:val="both"/>
        <w:rPr>
          <w:rFonts w:ascii="Palatino Linotype" w:eastAsia="Palatino Linotype" w:hAnsi="Palatino Linotype" w:cs="Palatino Linotype"/>
        </w:rPr>
      </w:pPr>
    </w:p>
    <w:p w14:paraId="1B674FC9"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Sirve de apoyo a lo anterior, el criterio 03-17, expuesto por el Instituto Nacional de Transparencia, Acceso a la Información y Protección de Datos Personales, que dice:</w:t>
      </w:r>
    </w:p>
    <w:p w14:paraId="656C90A8" w14:textId="77777777" w:rsidR="000C3DD7" w:rsidRPr="00F84469" w:rsidRDefault="00AC604D">
      <w:pPr>
        <w:spacing w:line="360" w:lineRule="auto"/>
        <w:jc w:val="both"/>
        <w:rPr>
          <w:rFonts w:ascii="Palatino Linotype" w:eastAsia="Palatino Linotype" w:hAnsi="Palatino Linotype" w:cs="Palatino Linotype"/>
          <w:b/>
        </w:rPr>
      </w:pPr>
      <w:r w:rsidRPr="00F84469">
        <w:rPr>
          <w:rFonts w:ascii="Palatino Linotype" w:eastAsia="Palatino Linotype" w:hAnsi="Palatino Linotype" w:cs="Palatino Linotype"/>
          <w:b/>
        </w:rPr>
        <w:t xml:space="preserve"> </w:t>
      </w:r>
    </w:p>
    <w:p w14:paraId="10F6778B" w14:textId="77777777" w:rsidR="000C3DD7" w:rsidRPr="00F84469" w:rsidRDefault="00AC604D">
      <w:pPr>
        <w:ind w:left="851" w:right="90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No existe obligación de elaborar documentos ad hoc para atender las solicitudes de acceso a la información.</w:t>
      </w:r>
      <w:r w:rsidRPr="00F84469">
        <w:rPr>
          <w:rFonts w:ascii="Palatino Linotype" w:eastAsia="Palatino Linotype" w:hAnsi="Palatino Linotype" w:cs="Palatino Linotype"/>
          <w:i/>
          <w:sz w:val="22"/>
          <w:szCs w:val="22"/>
        </w:rPr>
        <w:t xml:space="preserve"> Los artículos 129 de la Ley General </w:t>
      </w:r>
      <w:r w:rsidRPr="00F84469">
        <w:rPr>
          <w:rFonts w:ascii="Palatino Linotype" w:eastAsia="Palatino Linotype" w:hAnsi="Palatino Linotype" w:cs="Palatino Linotype"/>
          <w:i/>
          <w:sz w:val="22"/>
          <w:szCs w:val="22"/>
        </w:rPr>
        <w:lastRenderedPageBreak/>
        <w:t>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5A54C24C" w14:textId="77777777" w:rsidR="000C3DD7" w:rsidRPr="00F84469" w:rsidRDefault="00AC604D">
      <w:pPr>
        <w:ind w:left="851" w:right="90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Resoluciones: </w:t>
      </w:r>
    </w:p>
    <w:p w14:paraId="00AEBD4C" w14:textId="77777777" w:rsidR="000C3DD7" w:rsidRPr="00F84469" w:rsidRDefault="00AC604D">
      <w:pPr>
        <w:ind w:left="851" w:right="901"/>
        <w:jc w:val="both"/>
        <w:rPr>
          <w:rFonts w:ascii="Palatino Linotype" w:eastAsia="Palatino Linotype" w:hAnsi="Palatino Linotype" w:cs="Palatino Linotype"/>
          <w:i/>
          <w:sz w:val="22"/>
          <w:szCs w:val="22"/>
        </w:rPr>
      </w:pPr>
      <w:r w:rsidRPr="00F84469">
        <w:rPr>
          <w:rFonts w:ascii="Noto Sans Symbols" w:eastAsia="Noto Sans Symbols" w:hAnsi="Noto Sans Symbols" w:cs="Noto Sans Symbols"/>
          <w:i/>
          <w:sz w:val="22"/>
          <w:szCs w:val="22"/>
        </w:rPr>
        <w:t>∙</w:t>
      </w:r>
      <w:r w:rsidRPr="00F84469">
        <w:rPr>
          <w:rFonts w:ascii="Palatino Linotype" w:eastAsia="Palatino Linotype" w:hAnsi="Palatino Linotype" w:cs="Palatino Linotype"/>
          <w:i/>
          <w:sz w:val="22"/>
          <w:szCs w:val="22"/>
        </w:rPr>
        <w:t xml:space="preserve"> RRA 0050/16. Instituto Nacional para la Evaluación de la Educación. 13 julio de 2016. Por unanimidad. Comisionado Ponente: Francisco Javier Acuña Llamas.</w:t>
      </w:r>
    </w:p>
    <w:p w14:paraId="4AA0BE5D" w14:textId="77777777" w:rsidR="000C3DD7" w:rsidRPr="00F84469" w:rsidRDefault="00AC604D">
      <w:pPr>
        <w:ind w:left="851" w:right="901"/>
        <w:jc w:val="both"/>
        <w:rPr>
          <w:rFonts w:ascii="Palatino Linotype" w:eastAsia="Palatino Linotype" w:hAnsi="Palatino Linotype" w:cs="Palatino Linotype"/>
          <w:i/>
          <w:sz w:val="22"/>
          <w:szCs w:val="22"/>
        </w:rPr>
      </w:pPr>
      <w:r w:rsidRPr="00F84469">
        <w:rPr>
          <w:rFonts w:ascii="Noto Sans Symbols" w:eastAsia="Noto Sans Symbols" w:hAnsi="Noto Sans Symbols" w:cs="Noto Sans Symbols"/>
          <w:i/>
          <w:sz w:val="22"/>
          <w:szCs w:val="22"/>
        </w:rPr>
        <w:t>∙</w:t>
      </w:r>
      <w:r w:rsidRPr="00F84469">
        <w:rPr>
          <w:rFonts w:ascii="Palatino Linotype" w:eastAsia="Palatino Linotype" w:hAnsi="Palatino Linotype" w:cs="Palatino Linotype"/>
          <w:i/>
          <w:sz w:val="22"/>
          <w:szCs w:val="22"/>
        </w:rPr>
        <w:t xml:space="preserve"> RRA 0310/16. Instituto Nacional de Transparencia, Acceso a la Información y Protección de Datos Personales. 10 de agosto de 2016. Por unanimidad. Comisionada Ponente. Areli Cano Guadiana. </w:t>
      </w:r>
    </w:p>
    <w:p w14:paraId="13B3C0A5" w14:textId="77777777" w:rsidR="000C3DD7" w:rsidRPr="00F84469" w:rsidRDefault="00AC604D">
      <w:pPr>
        <w:ind w:left="851" w:right="901"/>
        <w:jc w:val="both"/>
        <w:rPr>
          <w:rFonts w:ascii="Palatino Linotype" w:eastAsia="Palatino Linotype" w:hAnsi="Palatino Linotype" w:cs="Palatino Linotype"/>
          <w:i/>
          <w:sz w:val="22"/>
          <w:szCs w:val="22"/>
        </w:rPr>
      </w:pPr>
      <w:r w:rsidRPr="00F84469">
        <w:rPr>
          <w:rFonts w:ascii="Noto Sans Symbols" w:eastAsia="Noto Sans Symbols" w:hAnsi="Noto Sans Symbols" w:cs="Noto Sans Symbols"/>
          <w:i/>
          <w:sz w:val="22"/>
          <w:szCs w:val="22"/>
        </w:rPr>
        <w:t>∙</w:t>
      </w:r>
      <w:r w:rsidRPr="00F84469">
        <w:rPr>
          <w:rFonts w:ascii="Palatino Linotype" w:eastAsia="Palatino Linotype" w:hAnsi="Palatino Linotype" w:cs="Palatino Linotype"/>
          <w:i/>
          <w:sz w:val="22"/>
          <w:szCs w:val="22"/>
        </w:rPr>
        <w:t xml:space="preserve"> RRA 1889/16. Secretaría de Hacienda y Crédito Público. 05 de octubre de 2016. Por unanimidad. Comisionada Ponente. Ximena Puente de la Mora.”</w:t>
      </w:r>
    </w:p>
    <w:p w14:paraId="71F22420" w14:textId="77777777" w:rsidR="000C3DD7" w:rsidRPr="00F84469" w:rsidRDefault="000C3DD7">
      <w:pPr>
        <w:spacing w:line="360" w:lineRule="auto"/>
        <w:jc w:val="both"/>
        <w:rPr>
          <w:rFonts w:ascii="Palatino Linotype" w:eastAsia="Palatino Linotype" w:hAnsi="Palatino Linotype" w:cs="Palatino Linotype"/>
        </w:rPr>
      </w:pPr>
    </w:p>
    <w:p w14:paraId="7160C394" w14:textId="77777777" w:rsidR="000C3DD7" w:rsidRPr="00F84469" w:rsidRDefault="00AC604D">
      <w:pPr>
        <w:spacing w:line="360" w:lineRule="auto"/>
        <w:jc w:val="both"/>
        <w:rPr>
          <w:rFonts w:ascii="Palatino Linotype" w:eastAsia="Palatino Linotype" w:hAnsi="Palatino Linotype" w:cs="Palatino Linotype"/>
          <w:strike/>
        </w:rPr>
      </w:pPr>
      <w:r w:rsidRPr="00F84469">
        <w:rPr>
          <w:rFonts w:ascii="Palatino Linotype" w:eastAsia="Palatino Linotype" w:hAnsi="Palatino Linotype" w:cs="Palatino Linotype"/>
        </w:rPr>
        <w:t xml:space="preserve">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 circunstancia que aconteció en el presente asunto que se analiza.  </w:t>
      </w:r>
    </w:p>
    <w:p w14:paraId="283BEA98" w14:textId="77777777" w:rsidR="000C3DD7" w:rsidRPr="00F84469" w:rsidRDefault="000C3DD7">
      <w:pPr>
        <w:spacing w:line="360" w:lineRule="auto"/>
        <w:jc w:val="both"/>
        <w:rPr>
          <w:rFonts w:ascii="Palatino Linotype" w:eastAsia="Palatino Linotype" w:hAnsi="Palatino Linotype" w:cs="Palatino Linotype"/>
        </w:rPr>
      </w:pPr>
    </w:p>
    <w:p w14:paraId="1DA39D5E" w14:textId="77777777" w:rsidR="000C3DD7" w:rsidRPr="00F84469" w:rsidRDefault="00AC604D">
      <w:pPr>
        <w:spacing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w:t>
      </w:r>
      <w:r w:rsidRPr="00F84469">
        <w:rPr>
          <w:rFonts w:ascii="Palatino Linotype" w:eastAsia="Palatino Linotype" w:hAnsi="Palatino Linotype" w:cs="Palatino Linotype"/>
        </w:rPr>
        <w:lastRenderedPageBreak/>
        <w:t>el servidor público habilitado de cada Sujeto Obligado; como así se establece en la Ley de Transparencia y Acceso a la Información Pública del Estado de México y Municipios.</w:t>
      </w:r>
    </w:p>
    <w:p w14:paraId="28D8D1F4" w14:textId="77777777" w:rsidR="000C3DD7" w:rsidRPr="00F84469" w:rsidRDefault="000C3DD7">
      <w:pPr>
        <w:spacing w:line="360" w:lineRule="auto"/>
        <w:ind w:right="49"/>
        <w:jc w:val="both"/>
        <w:rPr>
          <w:rFonts w:ascii="Palatino Linotype" w:eastAsia="Palatino Linotype" w:hAnsi="Palatino Linotype" w:cs="Palatino Linotype"/>
        </w:rPr>
      </w:pPr>
    </w:p>
    <w:p w14:paraId="20FB36F7"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6078537B" w14:textId="77777777" w:rsidR="000C3DD7" w:rsidRPr="00F84469" w:rsidRDefault="000C3DD7">
      <w:pPr>
        <w:ind w:left="851" w:right="899"/>
        <w:jc w:val="both"/>
        <w:rPr>
          <w:rFonts w:ascii="Palatino Linotype" w:eastAsia="Palatino Linotype" w:hAnsi="Palatino Linotype" w:cs="Palatino Linotype"/>
          <w:i/>
          <w:sz w:val="22"/>
          <w:szCs w:val="22"/>
        </w:rPr>
      </w:pPr>
    </w:p>
    <w:p w14:paraId="032786E7"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 xml:space="preserve">Artículo 3. </w:t>
      </w:r>
      <w:r w:rsidRPr="00F84469">
        <w:rPr>
          <w:rFonts w:ascii="Palatino Linotype" w:eastAsia="Palatino Linotype" w:hAnsi="Palatino Linotype" w:cs="Palatino Linotype"/>
          <w:i/>
          <w:sz w:val="22"/>
          <w:szCs w:val="22"/>
        </w:rPr>
        <w:t>Para los efectos de la presente Ley se entenderá por:</w:t>
      </w:r>
    </w:p>
    <w:p w14:paraId="1E6F1101"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p>
    <w:p w14:paraId="25EC18FA"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XI. Documento:</w:t>
      </w:r>
      <w:r w:rsidRPr="00F84469">
        <w:rPr>
          <w:rFonts w:ascii="Palatino Linotype" w:eastAsia="Palatino Linotype" w:hAnsi="Palatino Linotype" w:cs="Palatino Linotype"/>
          <w:i/>
          <w:sz w:val="22"/>
          <w:szCs w:val="22"/>
        </w:rPr>
        <w:t xml:space="preserve"> Los expedientes, reportes, estudios, actas</w:t>
      </w:r>
      <w:r w:rsidRPr="00F84469">
        <w:rPr>
          <w:rFonts w:ascii="Palatino Linotype" w:eastAsia="Palatino Linotype" w:hAnsi="Palatino Linotype" w:cs="Palatino Linotype"/>
          <w:b/>
          <w:i/>
          <w:sz w:val="22"/>
          <w:szCs w:val="22"/>
        </w:rPr>
        <w:t>,</w:t>
      </w:r>
      <w:r w:rsidRPr="00F84469">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w:t>
      </w:r>
    </w:p>
    <w:p w14:paraId="6D86EF7B" w14:textId="77777777" w:rsidR="000C3DD7" w:rsidRPr="00F84469" w:rsidRDefault="000C3DD7">
      <w:pPr>
        <w:ind w:left="851" w:right="899"/>
        <w:jc w:val="both"/>
        <w:rPr>
          <w:rFonts w:ascii="Palatino Linotype" w:eastAsia="Palatino Linotype" w:hAnsi="Palatino Linotype" w:cs="Palatino Linotype"/>
          <w:sz w:val="22"/>
          <w:szCs w:val="22"/>
        </w:rPr>
      </w:pPr>
    </w:p>
    <w:p w14:paraId="6C9E3884"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0CEB2375" w14:textId="77777777" w:rsidR="000C3DD7" w:rsidRPr="00F84469" w:rsidRDefault="00AC604D">
      <w:pPr>
        <w:ind w:left="851" w:right="899"/>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sz w:val="22"/>
          <w:szCs w:val="22"/>
        </w:rPr>
        <w:lastRenderedPageBreak/>
        <w:t>“</w:t>
      </w:r>
      <w:r w:rsidRPr="00F84469">
        <w:rPr>
          <w:rFonts w:ascii="Palatino Linotype" w:eastAsia="Palatino Linotype" w:hAnsi="Palatino Linotype" w:cs="Palatino Linotype"/>
          <w:b/>
          <w:i/>
          <w:sz w:val="22"/>
          <w:szCs w:val="22"/>
        </w:rPr>
        <w:t>CRITERIO 0002-11</w:t>
      </w:r>
    </w:p>
    <w:p w14:paraId="33BBEA97"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F84469">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4B236757"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En </w:t>
      </w:r>
      <w:proofErr w:type="gramStart"/>
      <w:r w:rsidRPr="00F84469">
        <w:rPr>
          <w:rFonts w:ascii="Palatino Linotype" w:eastAsia="Palatino Linotype" w:hAnsi="Palatino Linotype" w:cs="Palatino Linotype"/>
          <w:i/>
          <w:sz w:val="22"/>
          <w:szCs w:val="22"/>
        </w:rPr>
        <w:t>consecuencia</w:t>
      </w:r>
      <w:proofErr w:type="gramEnd"/>
      <w:r w:rsidRPr="00F84469">
        <w:rPr>
          <w:rFonts w:ascii="Palatino Linotype" w:eastAsia="Palatino Linotype" w:hAnsi="Palatino Linotype" w:cs="Palatino Linotype"/>
          <w:i/>
          <w:sz w:val="22"/>
          <w:szCs w:val="22"/>
        </w:rPr>
        <w:t xml:space="preserve"> el acceso a la información se refiere a que se cumplan cualquiera de los siguientes tres supuestos:</w:t>
      </w:r>
    </w:p>
    <w:p w14:paraId="28404F32"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1) Que se trate de información registrada en cualquier soporte documental, </w:t>
      </w:r>
      <w:proofErr w:type="gramStart"/>
      <w:r w:rsidRPr="00F84469">
        <w:rPr>
          <w:rFonts w:ascii="Palatino Linotype" w:eastAsia="Palatino Linotype" w:hAnsi="Palatino Linotype" w:cs="Palatino Linotype"/>
          <w:i/>
          <w:sz w:val="22"/>
          <w:szCs w:val="22"/>
        </w:rPr>
        <w:t>que</w:t>
      </w:r>
      <w:proofErr w:type="gramEnd"/>
      <w:r w:rsidRPr="00F84469">
        <w:rPr>
          <w:rFonts w:ascii="Palatino Linotype" w:eastAsia="Palatino Linotype" w:hAnsi="Palatino Linotype" w:cs="Palatino Linotype"/>
          <w:i/>
          <w:sz w:val="22"/>
          <w:szCs w:val="22"/>
        </w:rPr>
        <w:t xml:space="preserve"> en ejercicio de las atribuciones conferidas, sea generada por los Sujetos Obligados;</w:t>
      </w:r>
    </w:p>
    <w:p w14:paraId="462AFBCB" w14:textId="77777777" w:rsidR="000C3DD7" w:rsidRPr="00F84469" w:rsidRDefault="00AC604D">
      <w:pPr>
        <w:ind w:left="851" w:right="899"/>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i/>
          <w:sz w:val="22"/>
          <w:szCs w:val="22"/>
        </w:rPr>
        <w:t xml:space="preserve">2) Que se trate de información registrada en cualquier soporte documental, </w:t>
      </w:r>
      <w:proofErr w:type="gramStart"/>
      <w:r w:rsidRPr="00F84469">
        <w:rPr>
          <w:rFonts w:ascii="Palatino Linotype" w:eastAsia="Palatino Linotype" w:hAnsi="Palatino Linotype" w:cs="Palatino Linotype"/>
          <w:b/>
          <w:i/>
          <w:sz w:val="22"/>
          <w:szCs w:val="22"/>
        </w:rPr>
        <w:t>que</w:t>
      </w:r>
      <w:proofErr w:type="gramEnd"/>
      <w:r w:rsidRPr="00F84469">
        <w:rPr>
          <w:rFonts w:ascii="Palatino Linotype" w:eastAsia="Palatino Linotype" w:hAnsi="Palatino Linotype" w:cs="Palatino Linotype"/>
          <w:b/>
          <w:i/>
          <w:sz w:val="22"/>
          <w:szCs w:val="22"/>
        </w:rPr>
        <w:t xml:space="preserve"> en ejercicio de las atribuciones conferidas, sea administrada por los Sujetos Obligados, y</w:t>
      </w:r>
    </w:p>
    <w:p w14:paraId="7A0A7149" w14:textId="77777777" w:rsidR="000C3DD7" w:rsidRPr="00F84469" w:rsidRDefault="00AC604D">
      <w:pPr>
        <w:ind w:left="851" w:right="899"/>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i/>
          <w:sz w:val="22"/>
          <w:szCs w:val="22"/>
        </w:rPr>
        <w:t xml:space="preserve">3) Que se trate de información registrada en cualquier soporte documental, </w:t>
      </w:r>
      <w:proofErr w:type="gramStart"/>
      <w:r w:rsidRPr="00F84469">
        <w:rPr>
          <w:rFonts w:ascii="Palatino Linotype" w:eastAsia="Palatino Linotype" w:hAnsi="Palatino Linotype" w:cs="Palatino Linotype"/>
          <w:b/>
          <w:i/>
          <w:sz w:val="22"/>
          <w:szCs w:val="22"/>
        </w:rPr>
        <w:t>que</w:t>
      </w:r>
      <w:proofErr w:type="gramEnd"/>
      <w:r w:rsidRPr="00F84469">
        <w:rPr>
          <w:rFonts w:ascii="Palatino Linotype" w:eastAsia="Palatino Linotype" w:hAnsi="Palatino Linotype" w:cs="Palatino Linotype"/>
          <w:b/>
          <w:i/>
          <w:sz w:val="22"/>
          <w:szCs w:val="22"/>
        </w:rPr>
        <w:t xml:space="preserve"> en ejercicio de las atribuciones conferidas, se encuentre en posesión de los Sujetos Obligados.”</w:t>
      </w:r>
    </w:p>
    <w:p w14:paraId="7DA8F5DA" w14:textId="77777777" w:rsidR="000C3DD7" w:rsidRPr="00F84469" w:rsidRDefault="00AC604D">
      <w:pP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Ahora bien, del análisis de la solicitud de información pública que motivó el recurso de revisión que ahora se resuelve, se advierte que el particular requirió a la Secretaría de Finanzas, la siguiente información:</w:t>
      </w:r>
    </w:p>
    <w:p w14:paraId="55ECA19B" w14:textId="77777777" w:rsidR="000C3DD7" w:rsidRPr="00F84469" w:rsidRDefault="00AC604D">
      <w:pPr>
        <w:numPr>
          <w:ilvl w:val="0"/>
          <w:numId w:val="2"/>
        </w:num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Título Profesional de la C. Luz María Cuero Hernández, adscrita a la Dirección General de Evaluación del Desempeño Institucional de la Secretaría de Finanzas del Gobierno del Estado de México.</w:t>
      </w:r>
    </w:p>
    <w:p w14:paraId="7200A96C"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En respuesta, el </w:t>
      </w:r>
      <w:r w:rsidRPr="00F84469">
        <w:rPr>
          <w:rFonts w:ascii="Palatino Linotype" w:eastAsia="Palatino Linotype" w:hAnsi="Palatino Linotype" w:cs="Palatino Linotype"/>
          <w:b/>
        </w:rPr>
        <w:t xml:space="preserve">SUJETO OBLIGADO </w:t>
      </w:r>
      <w:r w:rsidRPr="00F84469">
        <w:rPr>
          <w:rFonts w:ascii="Palatino Linotype" w:eastAsia="Palatino Linotype" w:hAnsi="Palatino Linotype" w:cs="Palatino Linotype"/>
        </w:rPr>
        <w:t>a través</w:t>
      </w:r>
      <w:r w:rsidRPr="00F84469">
        <w:rPr>
          <w:rFonts w:ascii="Palatino Linotype" w:eastAsia="Palatino Linotype" w:hAnsi="Palatino Linotype" w:cs="Palatino Linotype"/>
          <w:b/>
        </w:rPr>
        <w:t xml:space="preserve"> </w:t>
      </w:r>
      <w:r w:rsidRPr="00F84469">
        <w:rPr>
          <w:rFonts w:ascii="Palatino Linotype" w:eastAsia="Palatino Linotype" w:hAnsi="Palatino Linotype" w:cs="Palatino Linotype"/>
        </w:rPr>
        <w:t xml:space="preserve">de la Subsecretaría de Planeación y Presupuesto informó que derivado de una búsqueda realizada en los archivos del expediente personal de la persona referida en la solicitud, no obra el Título Profesional de dicha servidora pública. </w:t>
      </w:r>
    </w:p>
    <w:p w14:paraId="1E708694"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 xml:space="preserve">No conforme con la respuesta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xml:space="preserve"> interpuso el recurso de revisión que se analiza en el presente asunto, por medio del cual se inconformó en lo medular por la negativa de la información solicitada.  </w:t>
      </w:r>
    </w:p>
    <w:p w14:paraId="5DE7966F"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Ante la interposición del recurso de revisión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rindió su informe justificado mediante el cual en lo medular ratificó su respuesta inicial.</w:t>
      </w:r>
    </w:p>
    <w:p w14:paraId="188302C8" w14:textId="77777777" w:rsidR="000C3DD7" w:rsidRPr="00F84469" w:rsidRDefault="000C3DD7">
      <w:pPr>
        <w:spacing w:line="360" w:lineRule="auto"/>
        <w:jc w:val="both"/>
        <w:rPr>
          <w:rFonts w:ascii="Palatino Linotype" w:eastAsia="Palatino Linotype" w:hAnsi="Palatino Linotype" w:cs="Palatino Linotype"/>
        </w:rPr>
      </w:pPr>
    </w:p>
    <w:p w14:paraId="750E800E"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Con base en lo precedente, se determina que la información proporcionada por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en su respuesta, cumple parcialmente con lo establecido por los artículos 4, 12, 24 último párrafo y 162 de la Ley de Transparencia y Acceso a la Información Pública del Estado de México y Municipios; por ello, los motivos de inconformidad acontecen fundados para modificar la respuesta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en razón de las consideraciones de derecho que a continuación se exponen:</w:t>
      </w:r>
    </w:p>
    <w:p w14:paraId="48538B47" w14:textId="77777777" w:rsidR="000C3DD7" w:rsidRPr="00F84469" w:rsidRDefault="000C3DD7">
      <w:pPr>
        <w:spacing w:line="360" w:lineRule="auto"/>
        <w:jc w:val="both"/>
        <w:rPr>
          <w:rFonts w:ascii="Palatino Linotype" w:eastAsia="Palatino Linotype" w:hAnsi="Palatino Linotype" w:cs="Palatino Linotype"/>
        </w:rPr>
      </w:pPr>
    </w:p>
    <w:p w14:paraId="4812F5BD"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Antes del estudio de fondo, se debe precisar que el particular omitió mencionar el periodo temporal de la información solicitada, por lo que este Instituto con fundamento en lo dispuesto por el artículo 13 y 181, párrafo cuarto de la Ley de Transparencia y Acceso a la Información Pública de la entidad, procede a suplir la deficiencia señalada, para determinar el periodo temporal de la información solicitada, por lo que, considerando la fecha de la solicitud, se determina que la información requerida es la vigente a la solicitud de información; es decir, al tres de septiembre del año dos mil veinticuatro, discernimiento que encuentra apoyado en los Criterios 1/2010 y 2/2010,  emitidos por el “Comité de Acceso a la Información y </w:t>
      </w:r>
      <w:r w:rsidRPr="00F84469">
        <w:rPr>
          <w:rFonts w:ascii="Palatino Linotype" w:eastAsia="Palatino Linotype" w:hAnsi="Palatino Linotype" w:cs="Palatino Linotype"/>
        </w:rPr>
        <w:lastRenderedPageBreak/>
        <w:t xml:space="preserve">Protección de Datos personales” de la Suprema Corte de Justicia de la Nación, que disponen: </w:t>
      </w:r>
    </w:p>
    <w:p w14:paraId="1A6A306D" w14:textId="77777777" w:rsidR="000C3DD7" w:rsidRPr="00F84469" w:rsidRDefault="000C3DD7">
      <w:pPr>
        <w:spacing w:line="360" w:lineRule="auto"/>
        <w:jc w:val="both"/>
        <w:rPr>
          <w:rFonts w:ascii="Palatino Linotype" w:eastAsia="Palatino Linotype" w:hAnsi="Palatino Linotype" w:cs="Palatino Linotype"/>
        </w:rPr>
      </w:pPr>
    </w:p>
    <w:p w14:paraId="76D07420"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rPr>
        <w:t xml:space="preserve"> </w:t>
      </w:r>
      <w:r w:rsidRPr="00F84469">
        <w:rPr>
          <w:rFonts w:ascii="Palatino Linotype" w:eastAsia="Palatino Linotype" w:hAnsi="Palatino Linotype" w:cs="Palatino Linotype"/>
          <w:i/>
          <w:sz w:val="22"/>
          <w:szCs w:val="22"/>
        </w:rPr>
        <w:t>“Criterio 1/2010</w:t>
      </w:r>
    </w:p>
    <w:p w14:paraId="3603E81C"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SOLICITUD DE ACCESO A LA INFORMACIÓN. SU OTORGAMIENTO ES RESPECTO DE AQUELLA QUE EXISTA Y SE HUBIESE GENERADO AL MOMENTO DE LA PETICIÓN.</w:t>
      </w:r>
    </w:p>
    <w:p w14:paraId="4EEC5702"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El otorgamiento de la información procede respecto de aquella que sea existente y se encuentre en posesión del órgano de Estado, al momento de la solicitud; por lo que resulta inconducente otorgar la que se genere en fecha futura, en tanto ningún órgano de Estado puede verse vinculado en el otorgamiento de información de tal naturaleza, al tenor del artículo 6° constitucional, que dispone que la garantía del acceso a la información lo es respecto de aquella que se encuentre en posesión de cualquier autoridad, entidad, órgano y organismo federal, estatal y municipal, principio que se reitera en el artículo 1° de la Ley Federal de Transparencia y Acceso a la Información Pública Gubernamental.</w:t>
      </w:r>
    </w:p>
    <w:p w14:paraId="5BD2C396"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Clasificación de Información 69/2009-A. 30 de septiembre de 2009. Unanimidad de votos.”</w:t>
      </w:r>
    </w:p>
    <w:p w14:paraId="3FA645DB"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“Criterio 2/2010.</w:t>
      </w:r>
    </w:p>
    <w:p w14:paraId="68D2BFC4"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SOLICITUD DE ACCESO A LA INFORMACIÓN. ES MATERIA DE ANÁLISIS Y OTORGAMIENTO LA GENERADA HASTA LA FECHA DE LA SOLICITUD EN CASO DE IMPRECISIÓN TEMPORAL. </w:t>
      </w:r>
    </w:p>
    <w:p w14:paraId="7813C0E7"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La información que en todo caso debe ser materia de análisis y pronunciamiento sobre su naturaleza, disponibilidad y acceso, es aquélla que en términos del artículo 6° constitucional y 1° de la Ley Federal de Transparencia y Acceso a la Información Pública Gubernamental, se encuentre en posesión de este Alto Tribunal; es decir, se hubiese ya generado y sea existente al momento del planteamiento de solicitud de acceso. Por ello, en caso de que se solicite información sin que se precise el término temporal, deberá entenderse que es aquella que se hubiese generado y se tenga en posesión al día de la fecha de la solicitud de acceso correspondiente.</w:t>
      </w:r>
    </w:p>
    <w:p w14:paraId="28DC640B" w14:textId="77777777" w:rsidR="000C3DD7" w:rsidRPr="00F84469" w:rsidRDefault="00AC604D">
      <w:pPr>
        <w:ind w:left="567" w:right="616"/>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Clasificación de Información 69/2009-A. 30 de septiembre de 2009. Unanimidad de votos.”</w:t>
      </w:r>
    </w:p>
    <w:p w14:paraId="29F6B2DE" w14:textId="77777777" w:rsidR="000C3DD7" w:rsidRPr="00F84469" w:rsidRDefault="000C3DD7">
      <w:pPr>
        <w:spacing w:line="360" w:lineRule="auto"/>
        <w:jc w:val="both"/>
        <w:rPr>
          <w:rFonts w:ascii="Palatino Linotype" w:eastAsia="Palatino Linotype" w:hAnsi="Palatino Linotype" w:cs="Palatino Linotype"/>
        </w:rPr>
      </w:pPr>
    </w:p>
    <w:p w14:paraId="7838C350"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Ahora bien, respecto del Título Profesional requerimiento si bien el área que se pronunció fue la Subsecretaría de Planeación y Presupuesto de la Secretaría de Finanzas, Subsecretaría a la cual pertenece la Dirección General de Evaluación del </w:t>
      </w:r>
      <w:r w:rsidRPr="00F84469">
        <w:rPr>
          <w:rFonts w:ascii="Palatino Linotype" w:eastAsia="Palatino Linotype" w:hAnsi="Palatino Linotype" w:cs="Palatino Linotype"/>
        </w:rPr>
        <w:lastRenderedPageBreak/>
        <w:t xml:space="preserve">Desempeño Institucional, términos del Organigrama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como se advierte a continuación:</w:t>
      </w:r>
    </w:p>
    <w:p w14:paraId="34A9DE02"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noProof/>
        </w:rPr>
        <w:drawing>
          <wp:inline distT="0" distB="0" distL="0" distR="0" wp14:anchorId="6C782059" wp14:editId="577DDBED">
            <wp:extent cx="5622803" cy="3218384"/>
            <wp:effectExtent l="0" t="0" r="0" b="0"/>
            <wp:docPr id="4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4"/>
                    <a:srcRect/>
                    <a:stretch>
                      <a:fillRect/>
                    </a:stretch>
                  </pic:blipFill>
                  <pic:spPr>
                    <a:xfrm>
                      <a:off x="0" y="0"/>
                      <a:ext cx="5622803" cy="3218384"/>
                    </a:xfrm>
                    <a:prstGeom prst="rect">
                      <a:avLst/>
                    </a:prstGeom>
                    <a:ln/>
                  </pic:spPr>
                </pic:pic>
              </a:graphicData>
            </a:graphic>
          </wp:inline>
        </w:drawing>
      </w:r>
      <w:r w:rsidRPr="00F84469">
        <w:rPr>
          <w:noProof/>
        </w:rPr>
        <mc:AlternateContent>
          <mc:Choice Requires="wpg">
            <w:drawing>
              <wp:anchor distT="0" distB="0" distL="114300" distR="114300" simplePos="0" relativeHeight="251658240" behindDoc="0" locked="0" layoutInCell="1" hidden="0" allowOverlap="1" wp14:anchorId="126AE97E" wp14:editId="2A8C4ACF">
                <wp:simplePos x="0" y="0"/>
                <wp:positionH relativeFrom="column">
                  <wp:posOffset>3314700</wp:posOffset>
                </wp:positionH>
                <wp:positionV relativeFrom="paragraph">
                  <wp:posOffset>1219200</wp:posOffset>
                </wp:positionV>
                <wp:extent cx="529689" cy="399060"/>
                <wp:effectExtent l="0" t="0" r="0" b="0"/>
                <wp:wrapNone/>
                <wp:docPr id="43" name="Flecha izquierda 43"/>
                <wp:cNvGraphicFramePr/>
                <a:graphic xmlns:a="http://schemas.openxmlformats.org/drawingml/2006/main">
                  <a:graphicData uri="http://schemas.microsoft.com/office/word/2010/wordprocessingShape">
                    <wps:wsp>
                      <wps:cNvSpPr/>
                      <wps:spPr>
                        <a:xfrm>
                          <a:off x="5090681" y="3589995"/>
                          <a:ext cx="510639" cy="380010"/>
                        </a:xfrm>
                        <a:prstGeom prst="leftArrow">
                          <a:avLst>
                            <a:gd name="adj1" fmla="val 50000"/>
                            <a:gd name="adj2" fmla="val 50000"/>
                          </a:avLst>
                        </a:prstGeom>
                        <a:gradFill>
                          <a:gsLst>
                            <a:gs pos="0">
                              <a:srgbClr val="3E7FCD"/>
                            </a:gs>
                            <a:gs pos="100000">
                              <a:srgbClr val="96C0FF"/>
                            </a:gs>
                          </a:gsLst>
                          <a:lin ang="16200000" scaled="0"/>
                        </a:gradFill>
                        <a:ln w="9525" cap="flat" cmpd="sng">
                          <a:solidFill>
                            <a:srgbClr val="4A7DBA"/>
                          </a:solidFill>
                          <a:prstDash val="solid"/>
                          <a:round/>
                          <a:headEnd type="none" w="sm" len="sm"/>
                          <a:tailEnd type="none" w="sm" len="sm"/>
                        </a:ln>
                      </wps:spPr>
                      <wps:txbx>
                        <w:txbxContent>
                          <w:p w14:paraId="3FBF409B" w14:textId="77777777" w:rsidR="000C3DD7" w:rsidRDefault="000C3DD7">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3314700</wp:posOffset>
                </wp:positionH>
                <wp:positionV relativeFrom="paragraph">
                  <wp:posOffset>1219200</wp:posOffset>
                </wp:positionV>
                <wp:extent cx="529689" cy="399060"/>
                <wp:effectExtent b="0" l="0" r="0" t="0"/>
                <wp:wrapNone/>
                <wp:docPr id="43" name="image6.png"/>
                <a:graphic>
                  <a:graphicData uri="http://schemas.openxmlformats.org/drawingml/2006/picture">
                    <pic:pic>
                      <pic:nvPicPr>
                        <pic:cNvPr id="0" name="image6.png"/>
                        <pic:cNvPicPr preferRelativeResize="0"/>
                      </pic:nvPicPr>
                      <pic:blipFill>
                        <a:blip r:embed="rId15"/>
                        <a:srcRect/>
                        <a:stretch>
                          <a:fillRect/>
                        </a:stretch>
                      </pic:blipFill>
                      <pic:spPr>
                        <a:xfrm>
                          <a:off x="0" y="0"/>
                          <a:ext cx="529689" cy="399060"/>
                        </a:xfrm>
                        <a:prstGeom prst="rect"/>
                        <a:ln/>
                      </pic:spPr>
                    </pic:pic>
                  </a:graphicData>
                </a:graphic>
              </wp:anchor>
            </w:drawing>
          </mc:Fallback>
        </mc:AlternateContent>
      </w:r>
    </w:p>
    <w:p w14:paraId="73B6B5A2" w14:textId="77777777" w:rsidR="000C3DD7" w:rsidRPr="00F84469" w:rsidRDefault="000C3DD7">
      <w:pPr>
        <w:spacing w:line="360" w:lineRule="auto"/>
        <w:jc w:val="both"/>
        <w:rPr>
          <w:rFonts w:ascii="Palatino Linotype" w:eastAsia="Palatino Linotype" w:hAnsi="Palatino Linotype" w:cs="Palatino Linotype"/>
        </w:rPr>
      </w:pPr>
    </w:p>
    <w:p w14:paraId="43630FEC"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noProof/>
        </w:rPr>
        <w:drawing>
          <wp:inline distT="0" distB="0" distL="0" distR="0" wp14:anchorId="631EBE57" wp14:editId="2D78F2F6">
            <wp:extent cx="5612130" cy="3129915"/>
            <wp:effectExtent l="0" t="0" r="0" b="0"/>
            <wp:docPr id="4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6"/>
                    <a:srcRect/>
                    <a:stretch>
                      <a:fillRect/>
                    </a:stretch>
                  </pic:blipFill>
                  <pic:spPr>
                    <a:xfrm>
                      <a:off x="0" y="0"/>
                      <a:ext cx="5612130" cy="3129915"/>
                    </a:xfrm>
                    <a:prstGeom prst="rect">
                      <a:avLst/>
                    </a:prstGeom>
                    <a:ln/>
                  </pic:spPr>
                </pic:pic>
              </a:graphicData>
            </a:graphic>
          </wp:inline>
        </w:drawing>
      </w:r>
      <w:r w:rsidRPr="00F84469">
        <w:rPr>
          <w:noProof/>
        </w:rPr>
        <mc:AlternateContent>
          <mc:Choice Requires="wpg">
            <w:drawing>
              <wp:anchor distT="0" distB="0" distL="114300" distR="114300" simplePos="0" relativeHeight="251659264" behindDoc="0" locked="0" layoutInCell="1" hidden="0" allowOverlap="1" wp14:anchorId="140D9BAA" wp14:editId="6919897E">
                <wp:simplePos x="0" y="0"/>
                <wp:positionH relativeFrom="column">
                  <wp:posOffset>3035300</wp:posOffset>
                </wp:positionH>
                <wp:positionV relativeFrom="paragraph">
                  <wp:posOffset>1206500</wp:posOffset>
                </wp:positionV>
                <wp:extent cx="529689" cy="399060"/>
                <wp:effectExtent l="0" t="0" r="0" b="0"/>
                <wp:wrapNone/>
                <wp:docPr id="42" name="Flecha izquierda 42"/>
                <wp:cNvGraphicFramePr/>
                <a:graphic xmlns:a="http://schemas.openxmlformats.org/drawingml/2006/main">
                  <a:graphicData uri="http://schemas.microsoft.com/office/word/2010/wordprocessingShape">
                    <wps:wsp>
                      <wps:cNvSpPr/>
                      <wps:spPr>
                        <a:xfrm>
                          <a:off x="5090681" y="3589995"/>
                          <a:ext cx="510639" cy="380010"/>
                        </a:xfrm>
                        <a:prstGeom prst="leftArrow">
                          <a:avLst>
                            <a:gd name="adj1" fmla="val 50000"/>
                            <a:gd name="adj2" fmla="val 50000"/>
                          </a:avLst>
                        </a:prstGeom>
                        <a:gradFill>
                          <a:gsLst>
                            <a:gs pos="0">
                              <a:srgbClr val="3E7FCD"/>
                            </a:gs>
                            <a:gs pos="100000">
                              <a:srgbClr val="96C0FF"/>
                            </a:gs>
                          </a:gsLst>
                          <a:lin ang="16200000" scaled="0"/>
                        </a:gradFill>
                        <a:ln w="9525" cap="flat" cmpd="sng">
                          <a:solidFill>
                            <a:srgbClr val="4A7DBA"/>
                          </a:solidFill>
                          <a:prstDash val="solid"/>
                          <a:round/>
                          <a:headEnd type="none" w="sm" len="sm"/>
                          <a:tailEnd type="none" w="sm" len="sm"/>
                        </a:ln>
                      </wps:spPr>
                      <wps:txbx>
                        <w:txbxContent>
                          <w:p w14:paraId="53D68D39" w14:textId="77777777" w:rsidR="000C3DD7" w:rsidRDefault="000C3DD7">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3035300</wp:posOffset>
                </wp:positionH>
                <wp:positionV relativeFrom="paragraph">
                  <wp:posOffset>1206500</wp:posOffset>
                </wp:positionV>
                <wp:extent cx="529689" cy="399060"/>
                <wp:effectExtent b="0" l="0" r="0" t="0"/>
                <wp:wrapNone/>
                <wp:docPr id="42" name="image5.png"/>
                <a:graphic>
                  <a:graphicData uri="http://schemas.openxmlformats.org/drawingml/2006/picture">
                    <pic:pic>
                      <pic:nvPicPr>
                        <pic:cNvPr id="0" name="image5.png"/>
                        <pic:cNvPicPr preferRelativeResize="0"/>
                      </pic:nvPicPr>
                      <pic:blipFill>
                        <a:blip r:embed="rId17"/>
                        <a:srcRect/>
                        <a:stretch>
                          <a:fillRect/>
                        </a:stretch>
                      </pic:blipFill>
                      <pic:spPr>
                        <a:xfrm>
                          <a:off x="0" y="0"/>
                          <a:ext cx="529689" cy="399060"/>
                        </a:xfrm>
                        <a:prstGeom prst="rect"/>
                        <a:ln/>
                      </pic:spPr>
                    </pic:pic>
                  </a:graphicData>
                </a:graphic>
              </wp:anchor>
            </w:drawing>
          </mc:Fallback>
        </mc:AlternateContent>
      </w:r>
    </w:p>
    <w:p w14:paraId="4A66A52E"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Sin embargo, la Subsecretaría de Planeación y Presupuesto en términos de lo señalado por el Manual General de Organización de la Secretaría de Finanzas, tiene las siguientes facultades:</w:t>
      </w:r>
    </w:p>
    <w:p w14:paraId="5EDBA462"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20704000000000L SUBSECRETARÍA DE PLANEACIÓN Y PRESUPUESTO OBJETIVO: Planear, dirigir y coordinar la elaboración e implantación de planes, programas y el presupuesto de egresos, así como autorizar el ejercicio de las finanzas públicas estatales que coadyuven al desarrollo regional y sectorial del Estado de México. F</w:t>
      </w:r>
    </w:p>
    <w:p w14:paraId="2B3E392A"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UNCIONES: </w:t>
      </w:r>
    </w:p>
    <w:p w14:paraId="0D23D9E0"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Dirigir la elaboración en coordinación con las dependencias, entidades públicas y entes autónomos, del Plan de Desarrollo del Estado de México, los programas regionales y sectoriales de desarrollo, así como los programas de inversión estatal encaminados a promover el desarrollo de la entidad, a través de la Dirección General de Evaluación del Desempeño Institucional (DGEDI) y la Dirección General de Inversión (DGI). </w:t>
      </w:r>
    </w:p>
    <w:p w14:paraId="336A2325"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Coordinar la elaboración de los techos presupuestarios para el anteproyecto del Presupuesto de Egresos del Gobierno del Estado de México, junto con las dependencias, entidades públicas, entes autónomos y Poderes Legislativo y Judicial a través de la Dirección General de Planeación y Gasto Público (</w:t>
      </w:r>
      <w:proofErr w:type="spellStart"/>
      <w:r w:rsidRPr="00F84469">
        <w:rPr>
          <w:rFonts w:ascii="Palatino Linotype" w:eastAsia="Palatino Linotype" w:hAnsi="Palatino Linotype" w:cs="Palatino Linotype"/>
          <w:i/>
          <w:sz w:val="22"/>
          <w:szCs w:val="22"/>
        </w:rPr>
        <w:t>DGPyGP</w:t>
      </w:r>
      <w:proofErr w:type="spellEnd"/>
      <w:r w:rsidRPr="00F84469">
        <w:rPr>
          <w:rFonts w:ascii="Palatino Linotype" w:eastAsia="Palatino Linotype" w:hAnsi="Palatino Linotype" w:cs="Palatino Linotype"/>
          <w:i/>
          <w:sz w:val="22"/>
          <w:szCs w:val="22"/>
        </w:rPr>
        <w:t xml:space="preserve">), la Dirección General de Inversión (DGI), y la Dirección General de Evaluación del Desempeño Institucional (DGEDI). </w:t>
      </w:r>
    </w:p>
    <w:p w14:paraId="09D301D6"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Someter a consideración de la o del titular de la Secretaría de Finanzas, para su aprobación, el Proyecto de Presupuesto de Egresos del Gobierno del Estado de México. </w:t>
      </w:r>
    </w:p>
    <w:p w14:paraId="7EFA157A"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Promover, en coordinación con dependencias de la administración pública federal, estatal y municipal, la instrumentación de los programas de desarrollo socioeconómico que determine la o el titular del Ejecutivo Estatal, fomentando la participación de los sectores social y privado en el desarrollo del Estado. </w:t>
      </w:r>
    </w:p>
    <w:p w14:paraId="5B16E600"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Instituir los sistemas de programación del gasto público, de conformidad con los objetivos y necesidades de la Administración Pública Estatal. </w:t>
      </w:r>
    </w:p>
    <w:p w14:paraId="1882716F"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Autorizar las solicitudes de adecuación presupuestaria que presenten las dependencias, entidades públicas y entes autónomos, que cumplan con el marco jurídico y normativo establecido, asimismo podrá delegar la función a la Dirección General de Planeación y Gasto Público (</w:t>
      </w:r>
      <w:proofErr w:type="spellStart"/>
      <w:r w:rsidRPr="00F84469">
        <w:rPr>
          <w:rFonts w:ascii="Palatino Linotype" w:eastAsia="Palatino Linotype" w:hAnsi="Palatino Linotype" w:cs="Palatino Linotype"/>
          <w:i/>
          <w:sz w:val="22"/>
          <w:szCs w:val="22"/>
        </w:rPr>
        <w:t>DGPyGP</w:t>
      </w:r>
      <w:proofErr w:type="spellEnd"/>
      <w:r w:rsidRPr="00F84469">
        <w:rPr>
          <w:rFonts w:ascii="Palatino Linotype" w:eastAsia="Palatino Linotype" w:hAnsi="Palatino Linotype" w:cs="Palatino Linotype"/>
          <w:i/>
          <w:sz w:val="22"/>
          <w:szCs w:val="22"/>
        </w:rPr>
        <w:t>) mediante acuerdo anual.</w:t>
      </w:r>
    </w:p>
    <w:p w14:paraId="5F466439"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lastRenderedPageBreak/>
        <w:t xml:space="preserve"> − Aprobar la asignación, autorización, liberación y comprobación de los recursos del gasto de inversión de las dependencias, entidades públicas y entes autónomos, cuando se trate de recursos estatales. </w:t>
      </w:r>
    </w:p>
    <w:p w14:paraId="2A7FC1B0"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Autorizar la certificación de recursos asignados al pago de los servicios personales de las dependencias, entidades públicas y entes autónomos, a la Dirección General de Planeación y Gasto Público (</w:t>
      </w:r>
      <w:proofErr w:type="spellStart"/>
      <w:r w:rsidRPr="00F84469">
        <w:rPr>
          <w:rFonts w:ascii="Palatino Linotype" w:eastAsia="Palatino Linotype" w:hAnsi="Palatino Linotype" w:cs="Palatino Linotype"/>
          <w:i/>
          <w:sz w:val="22"/>
          <w:szCs w:val="22"/>
        </w:rPr>
        <w:t>DGPyGP</w:t>
      </w:r>
      <w:proofErr w:type="spellEnd"/>
      <w:r w:rsidRPr="00F84469">
        <w:rPr>
          <w:rFonts w:ascii="Palatino Linotype" w:eastAsia="Palatino Linotype" w:hAnsi="Palatino Linotype" w:cs="Palatino Linotype"/>
          <w:i/>
          <w:sz w:val="22"/>
          <w:szCs w:val="22"/>
        </w:rPr>
        <w:t xml:space="preserve">) mediante acuerdo anual. </w:t>
      </w:r>
    </w:p>
    <w:p w14:paraId="023654C2"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Someter a consideración de la o del titular de la Secretaría de Finanzas, para su autorización, las normas, sistemas y procedimientos aplicables al proceso de planeación, programación, presupuestación, ejercicio, control y evaluación del gasto público. </w:t>
      </w:r>
    </w:p>
    <w:p w14:paraId="795E4574"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Someter a consideración de la o del titular de la Secretaría de Finanzas, para su autorización, los acuerdos de distribución de recursos federales, así como las normas y lineamientos para su registro y control. </w:t>
      </w:r>
    </w:p>
    <w:p w14:paraId="309B6F13"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Supervisar la integración de la información contable y presupuestal derivada del registro de las operaciones financieras realizadas por las dependencias y unidades administrativas ejecutoras del gasto, para integrar los estados financieros y presupuestales del sector central del Gobierno del Estado de México, por medio de la Contaduría General Gubernamental. </w:t>
      </w:r>
    </w:p>
    <w:p w14:paraId="56010717"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Coordinar la integración de la información financiera, presupuestal y contable de las dependencias, entidades públicas y entes autónomos, que coadyuve a la formulación de la cuenta pública, a través de la Contaduría General Gubernamental. </w:t>
      </w:r>
    </w:p>
    <w:p w14:paraId="0079D95F" w14:textId="77777777" w:rsidR="000C3DD7" w:rsidRPr="00F84469" w:rsidRDefault="00AC604D">
      <w:pPr>
        <w:spacing w:before="120" w:after="120"/>
        <w:ind w:left="851" w:right="85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Participar, en coordinación con el Órgano Superior de Fiscalización de la Legislatura del Estado, en los asuntos referentes al contenido y revisión de la cuenta pública, a través de la Contaduría General Gubernamental.</w:t>
      </w:r>
    </w:p>
    <w:p w14:paraId="5D94C715" w14:textId="77777777" w:rsidR="000C3DD7" w:rsidRPr="00F84469" w:rsidRDefault="000C3DD7">
      <w:pPr>
        <w:tabs>
          <w:tab w:val="left" w:pos="709"/>
        </w:tabs>
        <w:spacing w:line="360" w:lineRule="auto"/>
        <w:jc w:val="both"/>
        <w:rPr>
          <w:rFonts w:ascii="Palatino Linotype" w:eastAsia="Palatino Linotype" w:hAnsi="Palatino Linotype" w:cs="Palatino Linotype"/>
        </w:rPr>
      </w:pPr>
    </w:p>
    <w:p w14:paraId="2FA66BF7" w14:textId="77777777" w:rsidR="000C3DD7" w:rsidRPr="00F84469" w:rsidRDefault="00AC604D">
      <w:pPr>
        <w:tabs>
          <w:tab w:val="left" w:pos="709"/>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Sin que se advierte, alguna atribución para conocer sobre la contratación del personal, sino el área competente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para conocer de lo solicitado de manera enunciativa mas no limitada es la Coordinación Administrativa de la Secretaría de Finanzas que en términos de lo señalado por el Manual General de Organización de la Secretaría de Finanzas, tiene las siguientes atribuciones:</w:t>
      </w:r>
    </w:p>
    <w:p w14:paraId="1E88A0EC" w14:textId="77777777" w:rsidR="000C3DD7" w:rsidRPr="00F84469" w:rsidRDefault="00AC604D">
      <w:pPr>
        <w:tabs>
          <w:tab w:val="left" w:pos="709"/>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noProof/>
        </w:rPr>
        <w:lastRenderedPageBreak/>
        <w:drawing>
          <wp:inline distT="0" distB="0" distL="0" distR="0" wp14:anchorId="13BCA495" wp14:editId="47029AA1">
            <wp:extent cx="5458635" cy="2953323"/>
            <wp:effectExtent l="0" t="0" r="0" b="0"/>
            <wp:docPr id="47"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8"/>
                    <a:srcRect/>
                    <a:stretch>
                      <a:fillRect/>
                    </a:stretch>
                  </pic:blipFill>
                  <pic:spPr>
                    <a:xfrm>
                      <a:off x="0" y="0"/>
                      <a:ext cx="5458635" cy="2953323"/>
                    </a:xfrm>
                    <a:prstGeom prst="rect">
                      <a:avLst/>
                    </a:prstGeom>
                    <a:ln/>
                  </pic:spPr>
                </pic:pic>
              </a:graphicData>
            </a:graphic>
          </wp:inline>
        </w:drawing>
      </w:r>
      <w:r w:rsidRPr="00F84469">
        <w:rPr>
          <w:noProof/>
        </w:rPr>
        <mc:AlternateContent>
          <mc:Choice Requires="wpg">
            <w:drawing>
              <wp:anchor distT="0" distB="0" distL="114300" distR="114300" simplePos="0" relativeHeight="251660288" behindDoc="0" locked="0" layoutInCell="1" hidden="0" allowOverlap="1" wp14:anchorId="49F2FCA9" wp14:editId="09D3C800">
                <wp:simplePos x="0" y="0"/>
                <wp:positionH relativeFrom="column">
                  <wp:posOffset>1866900</wp:posOffset>
                </wp:positionH>
                <wp:positionV relativeFrom="paragraph">
                  <wp:posOffset>1600200</wp:posOffset>
                </wp:positionV>
                <wp:extent cx="339684" cy="381247"/>
                <wp:effectExtent l="0" t="0" r="0" b="0"/>
                <wp:wrapNone/>
                <wp:docPr id="44" name="Flecha izquierda 44"/>
                <wp:cNvGraphicFramePr/>
                <a:graphic xmlns:a="http://schemas.openxmlformats.org/drawingml/2006/main">
                  <a:graphicData uri="http://schemas.microsoft.com/office/word/2010/wordprocessingShape">
                    <wps:wsp>
                      <wps:cNvSpPr/>
                      <wps:spPr>
                        <a:xfrm>
                          <a:off x="5185683" y="3598902"/>
                          <a:ext cx="320634" cy="362197"/>
                        </a:xfrm>
                        <a:prstGeom prst="leftArrow">
                          <a:avLst>
                            <a:gd name="adj1" fmla="val 50000"/>
                            <a:gd name="adj2" fmla="val 50000"/>
                          </a:avLst>
                        </a:prstGeom>
                        <a:gradFill>
                          <a:gsLst>
                            <a:gs pos="0">
                              <a:srgbClr val="3E7FCD"/>
                            </a:gs>
                            <a:gs pos="100000">
                              <a:srgbClr val="96C0FF"/>
                            </a:gs>
                          </a:gsLst>
                          <a:lin ang="16200000" scaled="0"/>
                        </a:gradFill>
                        <a:ln w="9525" cap="flat" cmpd="sng">
                          <a:solidFill>
                            <a:srgbClr val="4A7DBA"/>
                          </a:solidFill>
                          <a:prstDash val="solid"/>
                          <a:round/>
                          <a:headEnd type="none" w="sm" len="sm"/>
                          <a:tailEnd type="none" w="sm" len="sm"/>
                        </a:ln>
                      </wps:spPr>
                      <wps:txbx>
                        <w:txbxContent>
                          <w:p w14:paraId="0C582982" w14:textId="77777777" w:rsidR="000C3DD7" w:rsidRDefault="000C3DD7">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1866900</wp:posOffset>
                </wp:positionH>
                <wp:positionV relativeFrom="paragraph">
                  <wp:posOffset>1600200</wp:posOffset>
                </wp:positionV>
                <wp:extent cx="339684" cy="381247"/>
                <wp:effectExtent b="0" l="0" r="0" t="0"/>
                <wp:wrapNone/>
                <wp:docPr id="44" name="image7.png"/>
                <a:graphic>
                  <a:graphicData uri="http://schemas.openxmlformats.org/drawingml/2006/picture">
                    <pic:pic>
                      <pic:nvPicPr>
                        <pic:cNvPr id="0" name="image7.png"/>
                        <pic:cNvPicPr preferRelativeResize="0"/>
                      </pic:nvPicPr>
                      <pic:blipFill>
                        <a:blip r:embed="rId19"/>
                        <a:srcRect/>
                        <a:stretch>
                          <a:fillRect/>
                        </a:stretch>
                      </pic:blipFill>
                      <pic:spPr>
                        <a:xfrm>
                          <a:off x="0" y="0"/>
                          <a:ext cx="339684" cy="381247"/>
                        </a:xfrm>
                        <a:prstGeom prst="rect"/>
                        <a:ln/>
                      </pic:spPr>
                    </pic:pic>
                  </a:graphicData>
                </a:graphic>
              </wp:anchor>
            </w:drawing>
          </mc:Fallback>
        </mc:AlternateContent>
      </w:r>
    </w:p>
    <w:p w14:paraId="7A924E6E" w14:textId="77777777" w:rsidR="000C3DD7" w:rsidRPr="00F84469" w:rsidRDefault="000C3DD7">
      <w:pPr>
        <w:tabs>
          <w:tab w:val="left" w:pos="709"/>
        </w:tabs>
        <w:spacing w:line="360" w:lineRule="auto"/>
        <w:jc w:val="both"/>
        <w:rPr>
          <w:rFonts w:ascii="Palatino Linotype" w:eastAsia="Palatino Linotype" w:hAnsi="Palatino Linotype" w:cs="Palatino Linotype"/>
        </w:rPr>
      </w:pPr>
    </w:p>
    <w:p w14:paraId="59D7C3DA" w14:textId="77777777" w:rsidR="000C3DD7" w:rsidRPr="00F84469" w:rsidRDefault="000C3DD7">
      <w:pPr>
        <w:tabs>
          <w:tab w:val="left" w:pos="709"/>
        </w:tabs>
        <w:spacing w:line="360" w:lineRule="auto"/>
        <w:jc w:val="both"/>
        <w:rPr>
          <w:rFonts w:ascii="Palatino Linotype" w:eastAsia="Palatino Linotype" w:hAnsi="Palatino Linotype" w:cs="Palatino Linotype"/>
        </w:rPr>
      </w:pPr>
    </w:p>
    <w:p w14:paraId="45815FA2"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20700002000000S COORDINACIÓN ADMINISTRATIVA </w:t>
      </w:r>
    </w:p>
    <w:p w14:paraId="0F3E90BD"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OBJETIVO: </w:t>
      </w:r>
      <w:r w:rsidRPr="00F84469">
        <w:rPr>
          <w:rFonts w:ascii="Palatino Linotype" w:eastAsia="Palatino Linotype" w:hAnsi="Palatino Linotype" w:cs="Palatino Linotype"/>
          <w:b/>
          <w:i/>
          <w:sz w:val="22"/>
          <w:szCs w:val="22"/>
        </w:rPr>
        <w:t>Programar, organizar y controlar el suministro de los recursos humanos</w:t>
      </w:r>
      <w:r w:rsidRPr="00F84469">
        <w:rPr>
          <w:rFonts w:ascii="Palatino Linotype" w:eastAsia="Palatino Linotype" w:hAnsi="Palatino Linotype" w:cs="Palatino Linotype"/>
          <w:i/>
          <w:sz w:val="22"/>
          <w:szCs w:val="22"/>
        </w:rPr>
        <w:t xml:space="preserve">, materiales, financieros y técnicos </w:t>
      </w:r>
      <w:r w:rsidRPr="00F84469">
        <w:rPr>
          <w:rFonts w:ascii="Palatino Linotype" w:eastAsia="Palatino Linotype" w:hAnsi="Palatino Linotype" w:cs="Palatino Linotype"/>
          <w:b/>
          <w:i/>
          <w:sz w:val="22"/>
          <w:szCs w:val="22"/>
        </w:rPr>
        <w:t>que requieran las unidades administrativas de la Secretaría de Finanzas</w:t>
      </w:r>
      <w:r w:rsidRPr="00F84469">
        <w:rPr>
          <w:rFonts w:ascii="Palatino Linotype" w:eastAsia="Palatino Linotype" w:hAnsi="Palatino Linotype" w:cs="Palatino Linotype"/>
          <w:i/>
          <w:sz w:val="22"/>
          <w:szCs w:val="22"/>
        </w:rPr>
        <w:t xml:space="preserve">, con base en la normatividad vigente. </w:t>
      </w:r>
    </w:p>
    <w:p w14:paraId="6E434FB1"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FUNCIONES:</w:t>
      </w:r>
    </w:p>
    <w:p w14:paraId="27551983"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w:t>
      </w:r>
    </w:p>
    <w:p w14:paraId="06C072C3" w14:textId="77777777" w:rsidR="000C3DD7" w:rsidRPr="00F84469" w:rsidRDefault="00AC604D">
      <w:pPr>
        <w:ind w:left="851" w:right="899"/>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rPr>
        <w:t>Coordinar la gestión de los movimientos de alta</w:t>
      </w:r>
      <w:r w:rsidRPr="00F84469">
        <w:rPr>
          <w:rFonts w:ascii="Palatino Linotype" w:eastAsia="Palatino Linotype" w:hAnsi="Palatino Linotype" w:cs="Palatino Linotype"/>
          <w:i/>
          <w:sz w:val="22"/>
          <w:szCs w:val="22"/>
        </w:rPr>
        <w:t xml:space="preserve">, baja, cambios de adscripción, promociones y licencias del personal </w:t>
      </w:r>
      <w:r w:rsidRPr="00F84469">
        <w:rPr>
          <w:rFonts w:ascii="Palatino Linotype" w:eastAsia="Palatino Linotype" w:hAnsi="Palatino Linotype" w:cs="Palatino Linotype"/>
          <w:b/>
          <w:i/>
          <w:sz w:val="22"/>
          <w:szCs w:val="22"/>
        </w:rPr>
        <w:t xml:space="preserve">adscrito a las unidades administrativas de la Secretaría. </w:t>
      </w:r>
    </w:p>
    <w:p w14:paraId="1FFF50D9" w14:textId="77777777" w:rsidR="000C3DD7" w:rsidRPr="00F84469" w:rsidRDefault="00AC604D">
      <w:pPr>
        <w:ind w:left="851" w:right="899"/>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i/>
          <w:sz w:val="22"/>
          <w:szCs w:val="22"/>
        </w:rPr>
        <w:t>…</w:t>
      </w:r>
    </w:p>
    <w:p w14:paraId="20CD5C8A" w14:textId="77777777" w:rsidR="000C3DD7" w:rsidRPr="00F84469" w:rsidRDefault="00AC604D">
      <w:pPr>
        <w:ind w:left="851" w:right="89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rPr>
        <w:t>Coordinar, ante la instancia correspondiente, los trámites relacionados con la administración y desarrollo de los recursos humanos</w:t>
      </w:r>
      <w:r w:rsidRPr="00F84469">
        <w:rPr>
          <w:rFonts w:ascii="Palatino Linotype" w:eastAsia="Palatino Linotype" w:hAnsi="Palatino Linotype" w:cs="Palatino Linotype"/>
          <w:i/>
          <w:sz w:val="22"/>
          <w:szCs w:val="22"/>
        </w:rPr>
        <w:t xml:space="preserve"> adscritos a las unidades administrativas de la Secretaría…”</w:t>
      </w:r>
    </w:p>
    <w:p w14:paraId="0163ED75"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Ya que le corresponde conocer sobre programar, organizar y controlar el suministro de los recursos humanos y coordinar los movimientos de alta del personal adscrito a las unidades administrativas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w:t>
      </w:r>
    </w:p>
    <w:p w14:paraId="71995461" w14:textId="77777777" w:rsidR="000C3DD7" w:rsidRPr="00F84469" w:rsidRDefault="00AC604D">
      <w:pPr>
        <w:tabs>
          <w:tab w:val="left" w:pos="709"/>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 xml:space="preserve">Con base a lo anterior, se acredita que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no siguió el procedimiento establecido por el artículo 162 de la Ley de Transparencia y Acceso a la Información Pública del Estado de México y Municipios, ya que, no se puede perder de vista que para otorgar respuesta a la solicitud inicial,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debió turnar la solicitud a las áreas en las que podría obrar la información de conformidad con la fracción XXXIX del artículo tercero de la legislación local vigente en materia de transparencia, el Servidor Público Habilitado es el competente para apoyar, gestionar y entregar la información: </w:t>
      </w:r>
    </w:p>
    <w:p w14:paraId="2246F3E5" w14:textId="77777777" w:rsidR="000C3DD7" w:rsidRPr="00F84469" w:rsidRDefault="00AC604D">
      <w:pPr>
        <w:spacing w:before="240" w:after="240"/>
        <w:ind w:left="709" w:right="902"/>
        <w:jc w:val="both"/>
        <w:rPr>
          <w:rFonts w:ascii="Palatino Linotype" w:eastAsia="Palatino Linotype" w:hAnsi="Palatino Linotype" w:cs="Palatino Linotype"/>
          <w:i/>
          <w:sz w:val="20"/>
          <w:szCs w:val="20"/>
        </w:rPr>
      </w:pPr>
      <w:r w:rsidRPr="00F84469">
        <w:rPr>
          <w:rFonts w:ascii="Palatino Linotype" w:eastAsia="Palatino Linotype" w:hAnsi="Palatino Linotype" w:cs="Palatino Linotype"/>
          <w:i/>
          <w:sz w:val="20"/>
          <w:szCs w:val="20"/>
        </w:rPr>
        <w:t xml:space="preserve">“XXXIX. Servidor público habilitado: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 </w:t>
      </w:r>
    </w:p>
    <w:p w14:paraId="1707515D" w14:textId="77777777" w:rsidR="000C3DD7" w:rsidRPr="00F84469" w:rsidRDefault="00AC604D">
      <w:pPr>
        <w:shd w:val="clear" w:color="auto" w:fill="FFFFFF"/>
        <w:spacing w:before="240" w:after="240" w:line="360" w:lineRule="auto"/>
        <w:jc w:val="both"/>
      </w:pPr>
      <w:r w:rsidRPr="00F84469">
        <w:rPr>
          <w:rFonts w:ascii="Palatino Linotype" w:eastAsia="Palatino Linotype" w:hAnsi="Palatino Linotype" w:cs="Palatino Linotype"/>
        </w:rPr>
        <w:t>En este orden de ideas, se advierte que efectivamente la Unidad de Transparencia no cumplió con lo expresado en el artículo 162 de la Ley de Transparencia y Acceso a la Información Pública del Estado de México y Municipios, el cual menciona lo siguiente:</w:t>
      </w:r>
    </w:p>
    <w:p w14:paraId="0EC926F8" w14:textId="77777777" w:rsidR="000C3DD7" w:rsidRPr="00F84469" w:rsidRDefault="00AC604D">
      <w:pPr>
        <w:shd w:val="clear" w:color="auto" w:fill="FFFFFF"/>
        <w:spacing w:after="240"/>
        <w:ind w:left="993" w:right="1041"/>
        <w:jc w:val="both"/>
      </w:pPr>
      <w:r w:rsidRPr="00F84469">
        <w:rPr>
          <w:rFonts w:ascii="Palatino Linotype" w:eastAsia="Palatino Linotype" w:hAnsi="Palatino Linotype" w:cs="Palatino Linotype"/>
          <w:b/>
          <w:i/>
          <w:sz w:val="22"/>
          <w:szCs w:val="22"/>
        </w:rPr>
        <w:t>“Artículo 162.</w:t>
      </w:r>
      <w:r w:rsidRPr="00F84469">
        <w:rPr>
          <w:rFonts w:ascii="Palatino Linotype" w:eastAsia="Palatino Linotype" w:hAnsi="Palatino Linotype" w:cs="Palatino Linotype"/>
          <w:i/>
          <w:sz w:val="22"/>
          <w:szCs w:val="22"/>
        </w:rPr>
        <w:t> Las unidades de transparencia deberán garantizar que las solicitudes se turnen a todas las Áreas competentes que cuenten con la información o deban tenerla de acuerdo a sus facultades, competencias y funciones, con el objeto de que realicen una búsqueda exhaustiva y razonable de la información solicitada.”</w:t>
      </w:r>
    </w:p>
    <w:p w14:paraId="55E8A4D3" w14:textId="77777777" w:rsidR="000C3DD7" w:rsidRPr="00F84469" w:rsidRDefault="00AC604D">
      <w:pPr>
        <w:shd w:val="clear" w:color="auto" w:fill="FFFFFF"/>
        <w:spacing w:line="360" w:lineRule="auto"/>
        <w:jc w:val="both"/>
      </w:pPr>
      <w:r w:rsidRPr="00F84469">
        <w:rPr>
          <w:rFonts w:ascii="Palatino Linotype" w:eastAsia="Palatino Linotype" w:hAnsi="Palatino Linotype" w:cs="Palatino Linotype"/>
        </w:rPr>
        <w:t xml:space="preserve">Dicho procedimiento de búsqueda, se constituye como la garantía primaria del derecho humano de acceso a la información pública, el cual se rige por los principios de simplicidad, rapidez, gratuidad del procedimiento, auxilio y orientación a los </w:t>
      </w:r>
      <w:r w:rsidRPr="00F84469">
        <w:rPr>
          <w:rFonts w:ascii="Palatino Linotype" w:eastAsia="Palatino Linotype" w:hAnsi="Palatino Linotype" w:cs="Palatino Linotype"/>
        </w:rPr>
        <w:lastRenderedPageBreak/>
        <w:t>particulares con el fin de otorgar la protección más amplia de éste derecho</w:t>
      </w:r>
      <w:r w:rsidRPr="00F84469">
        <w:rPr>
          <w:rFonts w:ascii="Palatino Linotype" w:eastAsia="Palatino Linotype" w:hAnsi="Palatino Linotype" w:cs="Palatino Linotype"/>
          <w:vertAlign w:val="superscript"/>
        </w:rPr>
        <w:footnoteReference w:id="1"/>
      </w:r>
      <w:r w:rsidRPr="00F84469">
        <w:rPr>
          <w:rFonts w:ascii="Palatino Linotype" w:eastAsia="Palatino Linotype" w:hAnsi="Palatino Linotype" w:cs="Palatino Linotype"/>
        </w:rPr>
        <w:t>, para ello la misma norma establece que los sujetos obligados deberán otorgar el acceso a los documentos que obren en sus archivos o que estén obligados a documentar de acuerdo a sus facultades, competencias o funciones; por ende, al recibir una solicitud de acceso a la información pública, y como fue referido, las solicitudes se tendrán que turnar al área competente para brindar contestación, por lo que la misma Ley indica que serán los Sujetos Obligados quienes establecerán la forma y términos en que darán trámite interno a las solicitudes que no podrán exceder de los periodos establecidos para brindar respuesta, tal cual se desprende de los siguientes artículos:</w:t>
      </w:r>
    </w:p>
    <w:p w14:paraId="59081D59" w14:textId="77777777" w:rsidR="000C3DD7" w:rsidRPr="00F84469" w:rsidRDefault="000C3DD7">
      <w:pPr>
        <w:shd w:val="clear" w:color="auto" w:fill="FFFFFF"/>
        <w:ind w:left="993" w:right="1041"/>
        <w:jc w:val="both"/>
        <w:rPr>
          <w:rFonts w:ascii="Palatino Linotype" w:eastAsia="Palatino Linotype" w:hAnsi="Palatino Linotype" w:cs="Palatino Linotype"/>
          <w:b/>
          <w:i/>
          <w:sz w:val="22"/>
          <w:szCs w:val="22"/>
        </w:rPr>
      </w:pPr>
    </w:p>
    <w:p w14:paraId="275AD259" w14:textId="77777777" w:rsidR="000C3DD7" w:rsidRPr="00F84469" w:rsidRDefault="00AC604D">
      <w:pPr>
        <w:shd w:val="clear" w:color="auto" w:fill="FFFFFF"/>
        <w:ind w:left="993" w:right="1041"/>
        <w:jc w:val="both"/>
      </w:pPr>
      <w:r w:rsidRPr="00F84469">
        <w:rPr>
          <w:rFonts w:ascii="Palatino Linotype" w:eastAsia="Palatino Linotype" w:hAnsi="Palatino Linotype" w:cs="Palatino Linotype"/>
          <w:b/>
          <w:i/>
          <w:sz w:val="22"/>
          <w:szCs w:val="22"/>
        </w:rPr>
        <w:t>“Artículo 160. </w:t>
      </w:r>
      <w:r w:rsidRPr="00F84469">
        <w:rPr>
          <w:rFonts w:ascii="Palatino Linotype" w:eastAsia="Palatino Linotype" w:hAnsi="Palatino Linotype" w:cs="Palatino Linotype"/>
          <w:i/>
          <w:sz w:val="22"/>
          <w:szCs w:val="22"/>
        </w:rPr>
        <w:t>Los sujetos obligados deberán otorgar acceso a los documentos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w:t>
      </w:r>
    </w:p>
    <w:p w14:paraId="62447333" w14:textId="77777777" w:rsidR="000C3DD7" w:rsidRPr="00F84469" w:rsidRDefault="00AC604D">
      <w:pPr>
        <w:shd w:val="clear" w:color="auto" w:fill="FFFFFF"/>
        <w:ind w:left="993" w:right="1041"/>
        <w:jc w:val="both"/>
      </w:pPr>
      <w:r w:rsidRPr="00F84469">
        <w:rPr>
          <w:rFonts w:ascii="Palatino Linotype" w:eastAsia="Palatino Linotype" w:hAnsi="Palatino Linotype" w:cs="Palatino Linotype"/>
          <w:i/>
          <w:sz w:val="22"/>
          <w:szCs w:val="22"/>
        </w:rPr>
        <w:t>En caso que la información solicitada consista en bases de datos se deberá privilegiar la entrega de la misma en formatos abiertos.</w:t>
      </w:r>
    </w:p>
    <w:p w14:paraId="770467AE" w14:textId="77777777" w:rsidR="000C3DD7" w:rsidRPr="00F84469" w:rsidRDefault="00AC604D">
      <w:pPr>
        <w:shd w:val="clear" w:color="auto" w:fill="FFFFFF"/>
        <w:ind w:left="993" w:right="1041"/>
        <w:jc w:val="both"/>
      </w:pPr>
      <w:r w:rsidRPr="00F84469">
        <w:rPr>
          <w:rFonts w:ascii="Palatino Linotype" w:eastAsia="Palatino Linotype" w:hAnsi="Palatino Linotype" w:cs="Palatino Linotype"/>
          <w:b/>
          <w:i/>
          <w:sz w:val="22"/>
          <w:szCs w:val="22"/>
        </w:rPr>
        <w:t>Artículo 163.</w:t>
      </w:r>
      <w:r w:rsidRPr="00F84469">
        <w:rPr>
          <w:rFonts w:ascii="Palatino Linotype" w:eastAsia="Palatino Linotype" w:hAnsi="Palatino Linotype" w:cs="Palatino Linotype"/>
          <w:i/>
          <w:sz w:val="22"/>
          <w:szCs w:val="22"/>
        </w:rPr>
        <w:t> La Unidad de Transparencia deberá notificar la respuesta a la solicitud al interesado en el menor tiempo posible, que no podrá exceder de quince días hábiles, contados a partir del día siguiente a la presentación de aquélla.</w:t>
      </w:r>
    </w:p>
    <w:p w14:paraId="7F0A7D96" w14:textId="77777777" w:rsidR="000C3DD7" w:rsidRPr="00F84469" w:rsidRDefault="00AC604D">
      <w:pPr>
        <w:shd w:val="clear" w:color="auto" w:fill="FFFFFF"/>
        <w:ind w:left="993" w:right="1041"/>
        <w:jc w:val="both"/>
      </w:pPr>
      <w:r w:rsidRPr="00F84469">
        <w:rPr>
          <w:rFonts w:ascii="Palatino Linotype" w:eastAsia="Palatino Linotype" w:hAnsi="Palatino Linotype" w:cs="Palatino Linotype"/>
          <w:i/>
          <w:sz w:val="22"/>
          <w:szCs w:val="22"/>
        </w:rPr>
        <w:t>Excepcionalmente, el plazo referido en el párrafo anterior podrá ampliarse hasta por siete días hábiles más, siempre y cuando existan razones fundadas y motivadas, las cuales deberán ser aprobadas por el Comité de Transparencia, mediante la emisión de una resolución que deberá notificarse al solicitante, antes de su vencimiento. No podrán invocarse como causales de ampliación del plazo motivos que supongan negligencia o descuido del sujeto obligado en el desahogo de la solicitud.</w:t>
      </w:r>
    </w:p>
    <w:p w14:paraId="5080DB9A" w14:textId="77777777" w:rsidR="000C3DD7" w:rsidRPr="00F84469" w:rsidRDefault="00AC604D">
      <w:pPr>
        <w:shd w:val="clear" w:color="auto" w:fill="FFFFFF"/>
        <w:ind w:left="993" w:right="1041"/>
        <w:jc w:val="both"/>
      </w:pPr>
      <w:r w:rsidRPr="00F84469">
        <w:rPr>
          <w:rFonts w:ascii="Palatino Linotype" w:eastAsia="Palatino Linotype" w:hAnsi="Palatino Linotype" w:cs="Palatino Linotype"/>
          <w:b/>
          <w:i/>
          <w:sz w:val="22"/>
          <w:szCs w:val="22"/>
        </w:rPr>
        <w:t>Artículo 165.</w:t>
      </w:r>
      <w:r w:rsidRPr="00F84469">
        <w:rPr>
          <w:rFonts w:ascii="Palatino Linotype" w:eastAsia="Palatino Linotype" w:hAnsi="Palatino Linotype" w:cs="Palatino Linotype"/>
          <w:i/>
          <w:sz w:val="22"/>
          <w:szCs w:val="22"/>
        </w:rPr>
        <w:t> Los sujetos obligados establecerán la forma y términos en que darán trámite interno a las solicitudes en materia de acceso a la información.</w:t>
      </w:r>
    </w:p>
    <w:p w14:paraId="7A758360" w14:textId="77777777" w:rsidR="000C3DD7" w:rsidRPr="00F84469" w:rsidRDefault="00AC604D">
      <w:pPr>
        <w:shd w:val="clear" w:color="auto" w:fill="FFFFFF"/>
        <w:ind w:left="993" w:right="1041"/>
        <w:jc w:val="both"/>
      </w:pPr>
      <w:r w:rsidRPr="00F84469">
        <w:rPr>
          <w:rFonts w:ascii="Palatino Linotype" w:eastAsia="Palatino Linotype" w:hAnsi="Palatino Linotype" w:cs="Palatino Linotype"/>
          <w:i/>
          <w:sz w:val="22"/>
          <w:szCs w:val="22"/>
        </w:rPr>
        <w:lastRenderedPageBreak/>
        <w:t>La información que se entregue en versión pública, cuya modalidad de reproducción o envío tenga un costo, procederá una vez que se acredite el pago respectivo. No puede entenderse como reproducción la elaboración de la misma.</w:t>
      </w:r>
    </w:p>
    <w:p w14:paraId="093DF150" w14:textId="77777777" w:rsidR="000C3DD7" w:rsidRPr="00F84469" w:rsidRDefault="00AC604D">
      <w:pPr>
        <w:shd w:val="clear" w:color="auto" w:fill="FFFFFF"/>
        <w:spacing w:after="240"/>
        <w:ind w:left="993" w:right="1041"/>
        <w:jc w:val="both"/>
      </w:pPr>
      <w:r w:rsidRPr="00F84469">
        <w:rPr>
          <w:rFonts w:ascii="Palatino Linotype" w:eastAsia="Palatino Linotype" w:hAnsi="Palatino Linotype" w:cs="Palatino Linotype"/>
          <w:i/>
          <w:sz w:val="22"/>
          <w:szCs w:val="22"/>
        </w:rPr>
        <w:t>Ante la falta de respuesta a una solicitud en el plazo previsto y en caso de que proceda el acceso, los costos de reproducción y envío correrán a cargo del sujeto obligado</w:t>
      </w:r>
      <w:proofErr w:type="gramStart"/>
      <w:r w:rsidRPr="00F84469">
        <w:rPr>
          <w:rFonts w:ascii="Palatino Linotype" w:eastAsia="Palatino Linotype" w:hAnsi="Palatino Linotype" w:cs="Palatino Linotype"/>
          <w:i/>
          <w:sz w:val="22"/>
          <w:szCs w:val="22"/>
        </w:rPr>
        <w:t>.”(</w:t>
      </w:r>
      <w:proofErr w:type="gramEnd"/>
      <w:r w:rsidRPr="00F84469">
        <w:rPr>
          <w:rFonts w:ascii="Palatino Linotype" w:eastAsia="Palatino Linotype" w:hAnsi="Palatino Linotype" w:cs="Palatino Linotype"/>
          <w:i/>
          <w:sz w:val="22"/>
          <w:szCs w:val="22"/>
        </w:rPr>
        <w:t>Sic)</w:t>
      </w:r>
    </w:p>
    <w:p w14:paraId="285F5238" w14:textId="77777777" w:rsidR="000C3DD7" w:rsidRPr="00F84469" w:rsidRDefault="00AC604D">
      <w:pPr>
        <w:shd w:val="clear" w:color="auto" w:fill="FFFFFF"/>
        <w:spacing w:before="240" w:after="240" w:line="360" w:lineRule="auto"/>
        <w:jc w:val="both"/>
      </w:pPr>
      <w:r w:rsidRPr="00F84469">
        <w:rPr>
          <w:rFonts w:ascii="Palatino Linotype" w:eastAsia="Palatino Linotype" w:hAnsi="Palatino Linotype" w:cs="Palatino Linotype"/>
        </w:rPr>
        <w:t>Finalmente, la Ley de Transparencia vigente determina que el procedimiento de acceso a la información pública se tendrá por cumplida cuando el solicitante tenga a su disposición la información requerida, o en su caso, cuando realice la consulta de la misma en el que ésta se localice</w:t>
      </w:r>
      <w:r w:rsidRPr="00F84469">
        <w:rPr>
          <w:rFonts w:ascii="Palatino Linotype" w:eastAsia="Palatino Linotype" w:hAnsi="Palatino Linotype" w:cs="Palatino Linotype"/>
          <w:vertAlign w:val="superscript"/>
        </w:rPr>
        <w:footnoteReference w:id="2"/>
      </w:r>
      <w:r w:rsidRPr="00F84469">
        <w:rPr>
          <w:rFonts w:ascii="Palatino Linotype" w:eastAsia="Palatino Linotype" w:hAnsi="Palatino Linotype" w:cs="Palatino Linotype"/>
        </w:rPr>
        <w:t xml:space="preserve">, situación que no se advierte en el presente caso, toda vez que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a través de su Unidad de Transparencia no ha brindado el acceso a la información solicitada por el particular, por ende para tener por satisfecho el derecho humano en mérito, será necesario que la Unidad de Transparencia en estricto apego al procedimiento descrito realice una búsqueda exhaustiva y razonable de la información, turnando a las áreas competentes la solicitud con el objetivo de brindar contestación al requerimiento.</w:t>
      </w:r>
    </w:p>
    <w:p w14:paraId="6BE2051C" w14:textId="77777777" w:rsidR="000C3DD7" w:rsidRPr="00F84469" w:rsidRDefault="00AC604D">
      <w:pPr>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En mérito de lo anterior, se colige que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debió realizar una búsqueda exhaustiva y razonable de la información peticionada en todas las áreas competentes para que se pronunciaran respecto de la solicitud del particular.</w:t>
      </w:r>
    </w:p>
    <w:p w14:paraId="58EAEA0C" w14:textId="77777777" w:rsidR="000C3DD7" w:rsidRPr="00F84469" w:rsidRDefault="000C3DD7">
      <w:pPr>
        <w:spacing w:line="360" w:lineRule="auto"/>
        <w:ind w:right="51"/>
        <w:jc w:val="both"/>
        <w:rPr>
          <w:rFonts w:ascii="Palatino Linotype" w:eastAsia="Palatino Linotype" w:hAnsi="Palatino Linotype" w:cs="Palatino Linotype"/>
        </w:rPr>
      </w:pPr>
    </w:p>
    <w:p w14:paraId="4721B755" w14:textId="77777777" w:rsidR="000C3DD7" w:rsidRPr="00F84469" w:rsidRDefault="00AC604D">
      <w:pPr>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En este sentido se colige que el área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de manera enunciativa más no limitativa en donde pudiera obrar la información es la Coordinación Administrativa de la Secretaría de Finanzas.</w:t>
      </w:r>
    </w:p>
    <w:p w14:paraId="73832413" w14:textId="77777777" w:rsidR="000C3DD7" w:rsidRPr="00F84469" w:rsidRDefault="00AC604D">
      <w:pPr>
        <w:pBdr>
          <w:top w:val="nil"/>
          <w:left w:val="nil"/>
          <w:bottom w:val="nil"/>
          <w:right w:val="nil"/>
          <w:between w:val="nil"/>
        </w:pBdr>
        <w:spacing w:before="240" w:after="16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 xml:space="preserve">Por </w:t>
      </w:r>
      <w:proofErr w:type="gramStart"/>
      <w:r w:rsidRPr="00F84469">
        <w:rPr>
          <w:rFonts w:ascii="Palatino Linotype" w:eastAsia="Palatino Linotype" w:hAnsi="Palatino Linotype" w:cs="Palatino Linotype"/>
        </w:rPr>
        <w:t>consiguiente</w:t>
      </w:r>
      <w:proofErr w:type="gramEnd"/>
      <w:r w:rsidRPr="00F84469">
        <w:rPr>
          <w:rFonts w:ascii="Palatino Linotype" w:eastAsia="Palatino Linotype" w:hAnsi="Palatino Linotype" w:cs="Palatino Linotype"/>
        </w:rPr>
        <w:t xml:space="preserve"> la respuesta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careció de los principios de congruencia y exhaustividad, como refuerzo de lo anterior, resulta crucial el Criterio 02/17, emitido por el Pleno del Instituto Nacional de Transparencia y Acceso a la Información y Protección de Datos Personales, de título y texto siguientes:</w:t>
      </w:r>
    </w:p>
    <w:p w14:paraId="090BD1D6" w14:textId="77777777" w:rsidR="000C3DD7" w:rsidRPr="00F84469" w:rsidRDefault="00AC604D">
      <w:pPr>
        <w:spacing w:before="80" w:after="240"/>
        <w:ind w:left="567" w:right="900"/>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 xml:space="preserve">“Congruencia y exhaustividad. Sus alcances para garantizar el derecho de acceso a la información. </w:t>
      </w:r>
      <w:r w:rsidRPr="00F84469">
        <w:rPr>
          <w:rFonts w:ascii="Palatino Linotype" w:eastAsia="Palatino Linotype" w:hAnsi="Palatino Linotype" w:cs="Palatino Linotype"/>
          <w:i/>
          <w:sz w:val="22"/>
          <w:szCs w:val="22"/>
        </w:rPr>
        <w:t xml:space="preserve">De conformidad con el artículo 3 de la Ley Federal de 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w:t>
      </w:r>
      <w:r w:rsidRPr="00F84469">
        <w:rPr>
          <w:rFonts w:ascii="Palatino Linotype" w:eastAsia="Palatino Linotype" w:hAnsi="Palatino Linotype" w:cs="Palatino Linotype"/>
          <w:b/>
          <w:i/>
          <w:sz w:val="22"/>
          <w:szCs w:val="22"/>
        </w:rPr>
        <w:t>la congruencia implica que exista concordancia entre el requerimiento formulado por el particular y la respuesta proporcionada por el sujeto obligado</w:t>
      </w:r>
      <w:r w:rsidRPr="00F84469">
        <w:rPr>
          <w:rFonts w:ascii="Palatino Linotype" w:eastAsia="Palatino Linotype" w:hAnsi="Palatino Linotype" w:cs="Palatino Linotype"/>
          <w:i/>
          <w:sz w:val="22"/>
          <w:szCs w:val="22"/>
        </w:rPr>
        <w:t xml:space="preserve">; mientras que </w:t>
      </w:r>
      <w:r w:rsidRPr="00F84469">
        <w:rPr>
          <w:rFonts w:ascii="Palatino Linotype" w:eastAsia="Palatino Linotype" w:hAnsi="Palatino Linotype" w:cs="Palatino Linotype"/>
          <w:b/>
          <w:i/>
          <w:sz w:val="22"/>
          <w:szCs w:val="22"/>
        </w:rPr>
        <w:t>la exhaustividad significa que dicha respuesta se refiera expresamente a cada uno de los puntos solicitados</w:t>
      </w:r>
      <w:r w:rsidRPr="00F84469">
        <w:rPr>
          <w:rFonts w:ascii="Palatino Linotype" w:eastAsia="Palatino Linotype" w:hAnsi="Palatino Linotype" w:cs="Palatino Linotype"/>
          <w:i/>
          <w:sz w:val="22"/>
          <w:szCs w:val="22"/>
        </w:rPr>
        <w:t>. Por lo anterior, los sujetos obligados cumplirán con los principios de congruencia y exhaustividad, cuando las respuestas que emitan guarden una relación lógica con lo solicitado y atiendan de manera puntual y expresa, cada uno de los contenidos de información.” (Sic)</w:t>
      </w:r>
    </w:p>
    <w:p w14:paraId="257DA5A2" w14:textId="77777777" w:rsidR="000C3DD7" w:rsidRPr="00F84469" w:rsidRDefault="000C3DD7">
      <w:pPr>
        <w:spacing w:line="360" w:lineRule="auto"/>
        <w:jc w:val="both"/>
        <w:rPr>
          <w:rFonts w:ascii="Palatino Linotype" w:eastAsia="Palatino Linotype" w:hAnsi="Palatino Linotype" w:cs="Palatino Linotype"/>
        </w:rPr>
      </w:pPr>
    </w:p>
    <w:p w14:paraId="6047F5BE"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Razones por las cuales lo procedente es ordena de nuevo una búsqueda exhaustiva y razonable del Título Profesional de la servidora pública referida en la solicitud en funciones al tres de septiembre del año 2024 y en versión pública de ser procedente conforme a lo señalado en el considerando quinto del presente fallo.</w:t>
      </w:r>
    </w:p>
    <w:p w14:paraId="43AB5536" w14:textId="77777777" w:rsidR="000C3DD7" w:rsidRPr="00F84469" w:rsidRDefault="000C3DD7">
      <w:pPr>
        <w:spacing w:line="360" w:lineRule="auto"/>
        <w:jc w:val="both"/>
        <w:rPr>
          <w:rFonts w:ascii="Palatino Linotype" w:eastAsia="Palatino Linotype" w:hAnsi="Palatino Linotype" w:cs="Palatino Linotype"/>
        </w:rPr>
      </w:pPr>
    </w:p>
    <w:p w14:paraId="1EF0D4A2"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Para el caso que el título profesional del cual se ordena su entrega, no obre en los archivos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al no ser requisito para ocupar el cargo, bastará que así se lo haga saber a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en términos de lo señalado por el segundo párrafo del artículo 19 de la Ley de Transparencia y Acceso a la Información Pública del Estado de México y Municipios, para tener por colmado su derecho de acceso a la información, que dispone lo siguiente:</w:t>
      </w:r>
    </w:p>
    <w:p w14:paraId="181A006E" w14:textId="77777777" w:rsidR="000C3DD7" w:rsidRPr="00F84469" w:rsidRDefault="00AC604D">
      <w:pPr>
        <w:spacing w:line="276" w:lineRule="auto"/>
        <w:ind w:left="567" w:right="900"/>
        <w:jc w:val="both"/>
        <w:rPr>
          <w:rFonts w:ascii="Palatino Linotype" w:eastAsia="Palatino Linotype" w:hAnsi="Palatino Linotype" w:cs="Palatino Linotype"/>
          <w:i/>
        </w:rPr>
      </w:pPr>
      <w:r w:rsidRPr="00F84469">
        <w:rPr>
          <w:rFonts w:ascii="Palatino Linotype" w:eastAsia="Palatino Linotype" w:hAnsi="Palatino Linotype" w:cs="Palatino Linotype"/>
          <w:i/>
        </w:rPr>
        <w:lastRenderedPageBreak/>
        <w:t>“Artículo 19…</w:t>
      </w:r>
    </w:p>
    <w:p w14:paraId="388F2A91" w14:textId="77777777" w:rsidR="000C3DD7" w:rsidRPr="00F84469" w:rsidRDefault="00AC604D">
      <w:pPr>
        <w:spacing w:line="276" w:lineRule="auto"/>
        <w:ind w:left="567" w:right="900"/>
        <w:jc w:val="both"/>
        <w:rPr>
          <w:rFonts w:ascii="Palatino Linotype" w:eastAsia="Palatino Linotype" w:hAnsi="Palatino Linotype" w:cs="Palatino Linotype"/>
          <w:i/>
        </w:rPr>
      </w:pPr>
      <w:r w:rsidRPr="00F84469">
        <w:rPr>
          <w:rFonts w:ascii="Palatino Linotype" w:eastAsia="Palatino Linotype" w:hAnsi="Palatino Linotype" w:cs="Palatino Linotype"/>
          <w:i/>
        </w:rPr>
        <w:t>En los casos en que ciertas facultades, competencias o funciones no se hayan ejercido, se debe motivar la respuesta en función de las causas que motiven tal circunstancia.”</w:t>
      </w:r>
    </w:p>
    <w:p w14:paraId="6760D5C3"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Siendo improcedente, en tal supuesto, la entrega de documento alguno, o en su caso, el Acuerdo de Inexistencia, toda vez que el pronunciamiento del Sujeto Obligado declararía en automática la inexistencia de la información solicitada de modo que no existe obligación de justificar o allegar pruebas, y por ende no tiene aplicación lo estatuido en el artículo 49, fracción XIII de la Ley de Transparencia y Acceso a la Información Pública del Estado de México y Municipios.</w:t>
      </w:r>
    </w:p>
    <w:p w14:paraId="08F598EC"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Finalmente, en cuanto los motivos de inconformidad de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xml:space="preserve">, en donde señaló “… </w:t>
      </w:r>
      <w:r w:rsidRPr="00F84469">
        <w:rPr>
          <w:rFonts w:ascii="Palatino Linotype" w:eastAsia="Palatino Linotype" w:hAnsi="Palatino Linotype" w:cs="Palatino Linotype"/>
          <w:i/>
        </w:rPr>
        <w:t xml:space="preserve">lo contrario se </w:t>
      </w:r>
      <w:proofErr w:type="spellStart"/>
      <w:r w:rsidRPr="00F84469">
        <w:rPr>
          <w:rFonts w:ascii="Palatino Linotype" w:eastAsia="Palatino Linotype" w:hAnsi="Palatino Linotype" w:cs="Palatino Linotype"/>
          <w:i/>
        </w:rPr>
        <w:t>esta</w:t>
      </w:r>
      <w:proofErr w:type="spellEnd"/>
      <w:r w:rsidRPr="00F84469">
        <w:rPr>
          <w:rFonts w:ascii="Palatino Linotype" w:eastAsia="Palatino Linotype" w:hAnsi="Palatino Linotype" w:cs="Palatino Linotype"/>
          <w:i/>
        </w:rPr>
        <w:t xml:space="preserve"> realizando un acto de corrupción, …, es una persona que desvía recursos y todo esto se utilizará para difundirlo en medios lo antes posible, antes de que entregue un presupuesto con señales de corrupción</w:t>
      </w:r>
      <w:r w:rsidRPr="00F84469">
        <w:rPr>
          <w:rFonts w:ascii="Palatino Linotype" w:eastAsia="Palatino Linotype" w:hAnsi="Palatino Linotype" w:cs="Palatino Linotype"/>
        </w:rPr>
        <w:t xml:space="preserve">.” (Sic), son manifestaciones subjetivas que no pueden ser atendidas a través del derecho de acceso a la información pública. </w:t>
      </w:r>
    </w:p>
    <w:p w14:paraId="50F84B9B" w14:textId="77777777" w:rsidR="000C3DD7" w:rsidRPr="00F84469" w:rsidRDefault="00AC604D">
      <w:pPr>
        <w:spacing w:before="240" w:after="240" w:line="360" w:lineRule="auto"/>
        <w:ind w:right="49"/>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Quinto. Versión Pública. </w:t>
      </w:r>
      <w:r w:rsidRPr="00F84469">
        <w:rPr>
          <w:rFonts w:ascii="Palatino Linotype" w:eastAsia="Palatino Linotype" w:hAnsi="Palatino Linotype" w:cs="Palatino Linotype"/>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del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xml:space="preserve"> sin menoscabar el derecho a la protección de los datos personales de terceros.</w:t>
      </w:r>
    </w:p>
    <w:p w14:paraId="60796A26" w14:textId="77777777" w:rsidR="000C3DD7" w:rsidRPr="00F84469" w:rsidRDefault="00AC604D">
      <w:pPr>
        <w:spacing w:after="240" w:line="360" w:lineRule="auto"/>
        <w:ind w:right="50"/>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Lo anterior, de conformidad a lo que señalan los artículos 3, fracciones IX, XX, XXXII, XLV; 6, 137 y 143 fracción I, de la Ley de Transparencia y Acceso a la Información Pública del Estado de México y Municipios vigente, que se leen como sigue:</w:t>
      </w:r>
    </w:p>
    <w:p w14:paraId="2CEA22C6" w14:textId="77777777" w:rsidR="000C3DD7" w:rsidRPr="00F84469" w:rsidRDefault="00AC604D">
      <w:pPr>
        <w:ind w:left="993" w:right="1041"/>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i/>
          <w:sz w:val="22"/>
          <w:szCs w:val="22"/>
        </w:rPr>
        <w:t xml:space="preserve"> “Artículo 3. Para los efectos de la presente Ley se entenderá por:</w:t>
      </w:r>
    </w:p>
    <w:p w14:paraId="2D44E025"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IX. Datos personales:</w:t>
      </w:r>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rPr>
        <w:t>La información concerniente a una persona, identificada o identificable</w:t>
      </w:r>
      <w:r w:rsidRPr="00F84469">
        <w:rPr>
          <w:rFonts w:ascii="Palatino Linotype" w:eastAsia="Palatino Linotype" w:hAnsi="Palatino Linotype" w:cs="Palatino Linotype"/>
          <w:i/>
          <w:sz w:val="22"/>
          <w:szCs w:val="22"/>
        </w:rPr>
        <w:t xml:space="preserve"> según lo dispuesto por la Ley de Protección de Datos Personales del Estado de México;</w:t>
      </w:r>
    </w:p>
    <w:p w14:paraId="4657B997"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XX. Información clasificada:</w:t>
      </w:r>
      <w:r w:rsidRPr="00F84469">
        <w:rPr>
          <w:rFonts w:ascii="Palatino Linotype" w:eastAsia="Palatino Linotype" w:hAnsi="Palatino Linotype" w:cs="Palatino Linotype"/>
          <w:i/>
          <w:sz w:val="22"/>
          <w:szCs w:val="22"/>
        </w:rPr>
        <w:t xml:space="preserve"> Aquella considerada por la presente Ley como reservada o confidencial;</w:t>
      </w:r>
    </w:p>
    <w:p w14:paraId="2E77C101"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XXXII. Protección de Datos Personales:</w:t>
      </w:r>
      <w:r w:rsidRPr="00F84469">
        <w:rPr>
          <w:rFonts w:ascii="Palatino Linotype" w:eastAsia="Palatino Linotype" w:hAnsi="Palatino Linotype" w:cs="Palatino Linotype"/>
          <w:i/>
          <w:sz w:val="22"/>
          <w:szCs w:val="22"/>
        </w:rPr>
        <w:t xml:space="preserve"> Derecho humano que tutela la privacidad de datos personales en poder de los sujetos obligados y sujetos particulares;</w:t>
      </w:r>
    </w:p>
    <w:p w14:paraId="43341376"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XLV. Versión pública</w:t>
      </w:r>
      <w:r w:rsidRPr="00F84469">
        <w:rPr>
          <w:rFonts w:ascii="Palatino Linotype" w:eastAsia="Palatino Linotype" w:hAnsi="Palatino Linotype" w:cs="Palatino Linotype"/>
          <w:i/>
          <w:sz w:val="22"/>
          <w:szCs w:val="22"/>
        </w:rPr>
        <w:t>: Documento en el que se elimine, suprime o borra la información clasificada como reservada o confidencial para permitir su acceso.”</w:t>
      </w:r>
    </w:p>
    <w:p w14:paraId="3FDB7660" w14:textId="77777777" w:rsidR="000C3DD7" w:rsidRPr="00F84469" w:rsidRDefault="000C3DD7">
      <w:pPr>
        <w:ind w:left="993" w:right="1041"/>
        <w:jc w:val="both"/>
        <w:rPr>
          <w:rFonts w:ascii="Palatino Linotype" w:eastAsia="Palatino Linotype" w:hAnsi="Palatino Linotype" w:cs="Palatino Linotype"/>
          <w:i/>
          <w:sz w:val="22"/>
          <w:szCs w:val="22"/>
        </w:rPr>
      </w:pPr>
    </w:p>
    <w:p w14:paraId="615918EA"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“Artículo 6.</w:t>
      </w:r>
      <w:r w:rsidRPr="00F84469">
        <w:rPr>
          <w:rFonts w:ascii="Palatino Linotype" w:eastAsia="Palatino Linotype" w:hAnsi="Palatino Linotype" w:cs="Palatino Linotype"/>
          <w:i/>
          <w:sz w:val="22"/>
          <w:szCs w:val="22"/>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seguridad en el tratamiento y demás disposiciones en materia de datos personales, se deberá estar a lo dispuesto en las leyes de la materia.”</w:t>
      </w:r>
    </w:p>
    <w:p w14:paraId="321DB342" w14:textId="77777777" w:rsidR="000C3DD7" w:rsidRPr="00F84469" w:rsidRDefault="000C3DD7">
      <w:pPr>
        <w:ind w:left="993" w:right="1041"/>
        <w:jc w:val="both"/>
        <w:rPr>
          <w:rFonts w:ascii="Palatino Linotype" w:eastAsia="Palatino Linotype" w:hAnsi="Palatino Linotype" w:cs="Palatino Linotype"/>
          <w:i/>
          <w:sz w:val="22"/>
          <w:szCs w:val="22"/>
        </w:rPr>
      </w:pPr>
    </w:p>
    <w:p w14:paraId="3872B42F" w14:textId="77777777" w:rsidR="000C3DD7" w:rsidRPr="00F84469" w:rsidRDefault="00AC604D">
      <w:pPr>
        <w:ind w:left="993" w:right="1041"/>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i/>
          <w:sz w:val="22"/>
          <w:szCs w:val="22"/>
        </w:rPr>
        <w:t>“Artículo 137.</w:t>
      </w:r>
      <w:r w:rsidRPr="00F84469">
        <w:rPr>
          <w:rFonts w:ascii="Palatino Linotype" w:eastAsia="Palatino Linotype" w:hAnsi="Palatino Linotype" w:cs="Palatino Linotype"/>
          <w:i/>
          <w:sz w:val="22"/>
          <w:szCs w:val="22"/>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2377344F" w14:textId="77777777" w:rsidR="000C3DD7" w:rsidRPr="00F84469" w:rsidRDefault="000C3DD7">
      <w:pPr>
        <w:ind w:left="993" w:right="1041"/>
        <w:jc w:val="both"/>
        <w:rPr>
          <w:rFonts w:ascii="Palatino Linotype" w:eastAsia="Palatino Linotype" w:hAnsi="Palatino Linotype" w:cs="Palatino Linotype"/>
          <w:b/>
          <w:i/>
          <w:sz w:val="22"/>
          <w:szCs w:val="22"/>
        </w:rPr>
      </w:pPr>
    </w:p>
    <w:p w14:paraId="2F1E8E3F"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“Artículo 143</w:t>
      </w:r>
      <w:r w:rsidRPr="00F84469">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4243CEAB"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lastRenderedPageBreak/>
        <w:t>I.</w:t>
      </w:r>
      <w:r w:rsidRPr="00F84469">
        <w:rPr>
          <w:rFonts w:ascii="Palatino Linotype" w:eastAsia="Palatino Linotype" w:hAnsi="Palatino Linotype" w:cs="Palatino Linotype"/>
          <w:i/>
          <w:sz w:val="22"/>
          <w:szCs w:val="22"/>
        </w:rPr>
        <w:t xml:space="preserve"> Se refiera a la información privada y los datos personales concernientes a una persona física o jurídica colectiva identificada o identificable;</w:t>
      </w:r>
    </w:p>
    <w:p w14:paraId="3E5C5069"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 Los secretos bancario, fiduciario, industrial, comercial, fiscal, bursátil y postal, cuya titularidad corresponda a particulares, sujetos de derecho internacional o a sujetos obligados cuando no involucren el ejercicio de recursos públicos; y</w:t>
      </w:r>
    </w:p>
    <w:p w14:paraId="7685A143" w14:textId="77777777" w:rsidR="000C3DD7" w:rsidRPr="00F84469" w:rsidRDefault="00AC604D">
      <w:pPr>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III. La que presenten los particulares a los sujetos obligados, de conformidad con lo dispuesto por las leyes o los tratados internacionales.” (Sic)</w:t>
      </w:r>
    </w:p>
    <w:p w14:paraId="7F886E5D" w14:textId="77777777" w:rsidR="000C3DD7" w:rsidRPr="00F84469" w:rsidRDefault="000C3DD7">
      <w:pPr>
        <w:ind w:left="993" w:right="1041"/>
        <w:jc w:val="both"/>
        <w:rPr>
          <w:rFonts w:ascii="Palatino Linotype" w:eastAsia="Palatino Linotype" w:hAnsi="Palatino Linotype" w:cs="Palatino Linotype"/>
          <w:i/>
          <w:sz w:val="22"/>
          <w:szCs w:val="22"/>
        </w:rPr>
      </w:pPr>
    </w:p>
    <w:p w14:paraId="2FFEDCB3" w14:textId="77777777" w:rsidR="000C3DD7" w:rsidRPr="00F84469" w:rsidRDefault="00AC604D">
      <w:pPr>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Sujeto Obligado deberá proceder a testar los datos personales que se encuentren contenidos en los documentos a entregar por parte del Sujeto Obligado para satisfacer el derecho de acceso a la información pública de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5F657CB1" w14:textId="77777777" w:rsidR="000C3DD7" w:rsidRPr="00F84469" w:rsidRDefault="000C3DD7">
      <w:pPr>
        <w:spacing w:line="360" w:lineRule="auto"/>
        <w:ind w:right="51"/>
        <w:jc w:val="both"/>
        <w:rPr>
          <w:rFonts w:ascii="Palatino Linotype" w:eastAsia="Palatino Linotype" w:hAnsi="Palatino Linotype" w:cs="Palatino Linotype"/>
        </w:rPr>
      </w:pPr>
    </w:p>
    <w:p w14:paraId="536D7EF2" w14:textId="77777777" w:rsidR="000C3DD7" w:rsidRPr="00F84469" w:rsidRDefault="00AC604D">
      <w:pPr>
        <w:spacing w:line="360" w:lineRule="auto"/>
        <w:ind w:right="50"/>
        <w:jc w:val="both"/>
        <w:rPr>
          <w:rFonts w:ascii="Palatino Linotype" w:eastAsia="Palatino Linotype" w:hAnsi="Palatino Linotype" w:cs="Palatino Linotype"/>
        </w:rPr>
      </w:pPr>
      <w:r w:rsidRPr="00F84469">
        <w:rPr>
          <w:rFonts w:ascii="Palatino Linotype" w:eastAsia="Palatino Linotype" w:hAnsi="Palatino Linotype" w:cs="Palatino Linotype"/>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2AABF24A" w14:textId="77777777" w:rsidR="000C3DD7" w:rsidRPr="00F84469" w:rsidRDefault="000C3DD7">
      <w:pPr>
        <w:spacing w:line="360" w:lineRule="auto"/>
        <w:ind w:right="51"/>
        <w:jc w:val="both"/>
        <w:rPr>
          <w:rFonts w:ascii="Palatino Linotype" w:eastAsia="Palatino Linotype" w:hAnsi="Palatino Linotype" w:cs="Palatino Linotype"/>
        </w:rPr>
      </w:pPr>
    </w:p>
    <w:p w14:paraId="217ADBB3" w14:textId="77777777" w:rsidR="000C3DD7" w:rsidRPr="00F84469" w:rsidRDefault="00AC604D">
      <w:pPr>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 xml:space="preserve">Por ende, la clasificación de la información no opera con la simple supresión de datos que se haga en los documentos de que se trate o con la simple decisión que tome el Servidor Público Habilitado o el </w:t>
      </w:r>
      <w:proofErr w:type="gramStart"/>
      <w:r w:rsidRPr="00F84469">
        <w:rPr>
          <w:rFonts w:ascii="Palatino Linotype" w:eastAsia="Palatino Linotype" w:hAnsi="Palatino Linotype" w:cs="Palatino Linotype"/>
        </w:rPr>
        <w:t>Responsable</w:t>
      </w:r>
      <w:proofErr w:type="gramEnd"/>
      <w:r w:rsidRPr="00F84469">
        <w:rPr>
          <w:rFonts w:ascii="Palatino Linotype" w:eastAsia="Palatino Linotype" w:hAnsi="Palatino Linotype" w:cs="Palatino Linotype"/>
        </w:rPr>
        <w:t xml:space="preserve"> de la Unidad de Transparencia 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sino que ello deberá realizarse en términos de lo que disponen los artículos 49 fracción VIII, 53, fracción X y 59, fracción V, de la Ley en consulta, cuyo sentido literal es el siguiente:</w:t>
      </w:r>
    </w:p>
    <w:p w14:paraId="014B1B34" w14:textId="77777777" w:rsidR="000C3DD7" w:rsidRPr="00F84469" w:rsidRDefault="000C3DD7">
      <w:pPr>
        <w:spacing w:line="360" w:lineRule="auto"/>
        <w:ind w:right="51"/>
        <w:jc w:val="both"/>
        <w:rPr>
          <w:rFonts w:ascii="Palatino Linotype" w:eastAsia="Palatino Linotype" w:hAnsi="Palatino Linotype" w:cs="Palatino Linotype"/>
        </w:rPr>
      </w:pPr>
    </w:p>
    <w:p w14:paraId="395F3DB5" w14:textId="77777777" w:rsidR="000C3DD7" w:rsidRPr="00F84469" w:rsidRDefault="00AC604D">
      <w:pPr>
        <w:ind w:left="992" w:right="1043"/>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“Artículo 49.</w:t>
      </w:r>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rPr>
        <w:t>Los Comités de Transparencia</w:t>
      </w:r>
      <w:r w:rsidRPr="00F84469">
        <w:rPr>
          <w:rFonts w:ascii="Palatino Linotype" w:eastAsia="Palatino Linotype" w:hAnsi="Palatino Linotype" w:cs="Palatino Linotype"/>
          <w:i/>
          <w:sz w:val="22"/>
          <w:szCs w:val="22"/>
        </w:rPr>
        <w:t xml:space="preserve"> tendrán las siguientes atribuciones:</w:t>
      </w:r>
    </w:p>
    <w:p w14:paraId="15CF1BDA" w14:textId="77777777" w:rsidR="000C3DD7" w:rsidRPr="00F84469" w:rsidRDefault="00AC604D">
      <w:pPr>
        <w:ind w:left="992" w:right="1043"/>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VIII. Aprobar, modificar o revocar la clasificación de la información</w:t>
      </w:r>
      <w:r w:rsidRPr="00F84469">
        <w:rPr>
          <w:rFonts w:ascii="Palatino Linotype" w:eastAsia="Palatino Linotype" w:hAnsi="Palatino Linotype" w:cs="Palatino Linotype"/>
          <w:i/>
          <w:sz w:val="22"/>
          <w:szCs w:val="22"/>
        </w:rPr>
        <w:t>…”</w:t>
      </w:r>
    </w:p>
    <w:p w14:paraId="456C49FE" w14:textId="77777777" w:rsidR="000C3DD7" w:rsidRPr="00F84469" w:rsidRDefault="00AC604D">
      <w:pPr>
        <w:ind w:left="992" w:right="1043"/>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Artículo 53.</w:t>
      </w:r>
      <w:r w:rsidRPr="00F84469">
        <w:rPr>
          <w:rFonts w:ascii="Palatino Linotype" w:eastAsia="Palatino Linotype" w:hAnsi="Palatino Linotype" w:cs="Palatino Linotype"/>
          <w:i/>
          <w:sz w:val="22"/>
          <w:szCs w:val="22"/>
        </w:rPr>
        <w:t xml:space="preserve"> Las </w:t>
      </w:r>
      <w:r w:rsidRPr="00F84469">
        <w:rPr>
          <w:rFonts w:ascii="Palatino Linotype" w:eastAsia="Palatino Linotype" w:hAnsi="Palatino Linotype" w:cs="Palatino Linotype"/>
          <w:b/>
          <w:i/>
          <w:sz w:val="22"/>
          <w:szCs w:val="22"/>
        </w:rPr>
        <w:t>Unidades de Transparencia</w:t>
      </w:r>
      <w:r w:rsidRPr="00F84469">
        <w:rPr>
          <w:rFonts w:ascii="Palatino Linotype" w:eastAsia="Palatino Linotype" w:hAnsi="Palatino Linotype" w:cs="Palatino Linotype"/>
          <w:i/>
          <w:sz w:val="22"/>
          <w:szCs w:val="22"/>
        </w:rPr>
        <w:t xml:space="preserve"> tendrán las siguientes </w:t>
      </w:r>
      <w:r w:rsidRPr="00F84469">
        <w:rPr>
          <w:rFonts w:ascii="Palatino Linotype" w:eastAsia="Palatino Linotype" w:hAnsi="Palatino Linotype" w:cs="Palatino Linotype"/>
          <w:b/>
          <w:i/>
          <w:sz w:val="22"/>
          <w:szCs w:val="22"/>
        </w:rPr>
        <w:t>funciones</w:t>
      </w:r>
      <w:r w:rsidRPr="00F84469">
        <w:rPr>
          <w:rFonts w:ascii="Palatino Linotype" w:eastAsia="Palatino Linotype" w:hAnsi="Palatino Linotype" w:cs="Palatino Linotype"/>
          <w:i/>
          <w:sz w:val="22"/>
          <w:szCs w:val="22"/>
        </w:rPr>
        <w:t>:</w:t>
      </w:r>
    </w:p>
    <w:p w14:paraId="665F8045" w14:textId="77777777" w:rsidR="000C3DD7" w:rsidRPr="00F84469" w:rsidRDefault="00AC604D">
      <w:pPr>
        <w:ind w:left="992" w:right="1043"/>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X. Presentar ante el Comité, el proyecto de clasificación de información</w:t>
      </w:r>
      <w:r w:rsidRPr="00F84469">
        <w:rPr>
          <w:rFonts w:ascii="Palatino Linotype" w:eastAsia="Palatino Linotype" w:hAnsi="Palatino Linotype" w:cs="Palatino Linotype"/>
          <w:i/>
          <w:sz w:val="22"/>
          <w:szCs w:val="22"/>
        </w:rPr>
        <w:t xml:space="preserve">…” </w:t>
      </w:r>
    </w:p>
    <w:p w14:paraId="78C8BF97" w14:textId="77777777" w:rsidR="000C3DD7" w:rsidRPr="00F84469" w:rsidRDefault="00AC604D">
      <w:pPr>
        <w:ind w:left="992" w:right="1043"/>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“Artículo 59.</w:t>
      </w:r>
      <w:r w:rsidRPr="00F84469">
        <w:rPr>
          <w:rFonts w:ascii="Palatino Linotype" w:eastAsia="Palatino Linotype" w:hAnsi="Palatino Linotype" w:cs="Palatino Linotype"/>
          <w:i/>
          <w:sz w:val="22"/>
          <w:szCs w:val="22"/>
        </w:rPr>
        <w:t xml:space="preserve"> Los </w:t>
      </w:r>
      <w:r w:rsidRPr="00F84469">
        <w:rPr>
          <w:rFonts w:ascii="Palatino Linotype" w:eastAsia="Palatino Linotype" w:hAnsi="Palatino Linotype" w:cs="Palatino Linotype"/>
          <w:b/>
          <w:i/>
          <w:sz w:val="22"/>
          <w:szCs w:val="22"/>
        </w:rPr>
        <w:t>servidores públicos habilitados</w:t>
      </w:r>
      <w:r w:rsidRPr="00F84469">
        <w:rPr>
          <w:rFonts w:ascii="Palatino Linotype" w:eastAsia="Palatino Linotype" w:hAnsi="Palatino Linotype" w:cs="Palatino Linotype"/>
          <w:i/>
          <w:sz w:val="22"/>
          <w:szCs w:val="22"/>
        </w:rPr>
        <w:t xml:space="preserve"> tendrán las </w:t>
      </w:r>
      <w:r w:rsidRPr="00F84469">
        <w:rPr>
          <w:rFonts w:ascii="Palatino Linotype" w:eastAsia="Palatino Linotype" w:hAnsi="Palatino Linotype" w:cs="Palatino Linotype"/>
          <w:b/>
          <w:i/>
          <w:sz w:val="22"/>
          <w:szCs w:val="22"/>
        </w:rPr>
        <w:t>funciones</w:t>
      </w:r>
      <w:r w:rsidRPr="00F84469">
        <w:rPr>
          <w:rFonts w:ascii="Palatino Linotype" w:eastAsia="Palatino Linotype" w:hAnsi="Palatino Linotype" w:cs="Palatino Linotype"/>
          <w:i/>
          <w:sz w:val="22"/>
          <w:szCs w:val="22"/>
        </w:rPr>
        <w:t xml:space="preserve"> siguientes:</w:t>
      </w:r>
    </w:p>
    <w:p w14:paraId="486AEC9B" w14:textId="77777777" w:rsidR="000C3DD7" w:rsidRPr="00F84469" w:rsidRDefault="00AC604D">
      <w:pPr>
        <w:ind w:left="992" w:right="1043"/>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F84469">
        <w:rPr>
          <w:rFonts w:ascii="Palatino Linotype" w:eastAsia="Palatino Linotype" w:hAnsi="Palatino Linotype" w:cs="Palatino Linotype"/>
          <w:i/>
          <w:sz w:val="22"/>
          <w:szCs w:val="22"/>
        </w:rPr>
        <w:t>, la cual tendrá los fundamentos y argumentos en que se basa dicha propuesta…” (Sic)</w:t>
      </w:r>
    </w:p>
    <w:p w14:paraId="4903CDC0" w14:textId="77777777" w:rsidR="000C3DD7" w:rsidRPr="00F84469" w:rsidRDefault="000C3DD7">
      <w:pPr>
        <w:ind w:left="992" w:right="1043"/>
        <w:jc w:val="both"/>
        <w:rPr>
          <w:rFonts w:ascii="Palatino Linotype" w:eastAsia="Palatino Linotype" w:hAnsi="Palatino Linotype" w:cs="Palatino Linotype"/>
          <w:i/>
          <w:sz w:val="22"/>
          <w:szCs w:val="22"/>
        </w:rPr>
      </w:pPr>
    </w:p>
    <w:p w14:paraId="31F9179E"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3C0BCC36" w14:textId="77777777" w:rsidR="000C3DD7" w:rsidRPr="00F84469" w:rsidRDefault="000C3DD7">
      <w:pPr>
        <w:spacing w:line="360" w:lineRule="auto"/>
        <w:jc w:val="both"/>
        <w:rPr>
          <w:rFonts w:ascii="Palatino Linotype" w:eastAsia="Palatino Linotype" w:hAnsi="Palatino Linotype" w:cs="Palatino Linotype"/>
        </w:rPr>
      </w:pPr>
    </w:p>
    <w:p w14:paraId="2BA5F5DB"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Para lo cual, a su vez en el caso de información de carácter confidencial, se debe atender a lo que señala el artículo 149 de la Ley de Transparencia Local vigente, que se lee como sigue:</w:t>
      </w:r>
    </w:p>
    <w:p w14:paraId="18D59BEB" w14:textId="77777777" w:rsidR="000C3DD7" w:rsidRPr="00F84469" w:rsidRDefault="000C3DD7">
      <w:pPr>
        <w:spacing w:line="360" w:lineRule="auto"/>
        <w:jc w:val="both"/>
        <w:rPr>
          <w:rFonts w:ascii="Palatino Linotype" w:eastAsia="Palatino Linotype" w:hAnsi="Palatino Linotype" w:cs="Palatino Linotype"/>
        </w:rPr>
      </w:pPr>
    </w:p>
    <w:p w14:paraId="55CB332D" w14:textId="77777777" w:rsidR="000C3DD7" w:rsidRPr="00F84469" w:rsidRDefault="00AC604D">
      <w:pPr>
        <w:spacing w:after="240"/>
        <w:ind w:left="993" w:right="1041"/>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w:t>
      </w:r>
      <w:r w:rsidRPr="00F84469">
        <w:rPr>
          <w:rFonts w:ascii="Palatino Linotype" w:eastAsia="Palatino Linotype" w:hAnsi="Palatino Linotype" w:cs="Palatino Linotype"/>
          <w:b/>
          <w:i/>
          <w:sz w:val="22"/>
          <w:szCs w:val="22"/>
        </w:rPr>
        <w:t>Artículo 149.</w:t>
      </w:r>
      <w:r w:rsidRPr="00F84469">
        <w:rPr>
          <w:rFonts w:ascii="Palatino Linotype" w:eastAsia="Palatino Linotype" w:hAnsi="Palatino Linotype" w:cs="Palatino Linotype"/>
          <w:i/>
          <w:sz w:val="22"/>
          <w:szCs w:val="22"/>
        </w:rPr>
        <w:t xml:space="preserve"> El </w:t>
      </w:r>
      <w:r w:rsidRPr="00F84469">
        <w:rPr>
          <w:rFonts w:ascii="Palatino Linotype" w:eastAsia="Palatino Linotype" w:hAnsi="Palatino Linotype" w:cs="Palatino Linotype"/>
          <w:b/>
          <w:i/>
          <w:sz w:val="22"/>
          <w:szCs w:val="22"/>
        </w:rPr>
        <w:t>acuerdo que clasifique la información como confidencial</w:t>
      </w:r>
      <w:r w:rsidRPr="00F84469">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w:t>
      </w:r>
    </w:p>
    <w:p w14:paraId="6F773703" w14:textId="77777777" w:rsidR="000C3DD7" w:rsidRPr="00F84469" w:rsidRDefault="000C3DD7">
      <w:pPr>
        <w:spacing w:before="240" w:line="360" w:lineRule="auto"/>
        <w:ind w:right="51"/>
        <w:jc w:val="both"/>
        <w:rPr>
          <w:rFonts w:ascii="Palatino Linotype" w:eastAsia="Palatino Linotype" w:hAnsi="Palatino Linotype" w:cs="Palatino Linotype"/>
          <w:i/>
          <w:sz w:val="22"/>
          <w:szCs w:val="22"/>
        </w:rPr>
      </w:pPr>
    </w:p>
    <w:p w14:paraId="4B865CFC" w14:textId="77777777" w:rsidR="000C3DD7" w:rsidRPr="00F84469" w:rsidRDefault="00AC604D">
      <w:pPr>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Es decir,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7CAA02CA" w14:textId="77777777" w:rsidR="000C3DD7" w:rsidRPr="00F84469" w:rsidRDefault="000C3DD7">
      <w:pPr>
        <w:spacing w:line="360" w:lineRule="auto"/>
        <w:ind w:right="51"/>
        <w:jc w:val="both"/>
        <w:rPr>
          <w:rFonts w:ascii="Palatino Linotype" w:eastAsia="Palatino Linotype" w:hAnsi="Palatino Linotype" w:cs="Palatino Linotype"/>
        </w:rPr>
      </w:pPr>
    </w:p>
    <w:p w14:paraId="2139F805" w14:textId="77777777" w:rsidR="000C3DD7" w:rsidRPr="00F84469" w:rsidRDefault="00AC604D">
      <w:pPr>
        <w:pBdr>
          <w:top w:val="nil"/>
          <w:left w:val="nil"/>
          <w:bottom w:val="nil"/>
          <w:right w:val="nil"/>
          <w:between w:val="nil"/>
        </w:pBdr>
        <w:spacing w:before="12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En el caso específico, se procede abordar los siguientes datos conforme al criterio de este Organismo Garante: </w:t>
      </w:r>
    </w:p>
    <w:p w14:paraId="47EC9C60" w14:textId="77777777" w:rsidR="000C3DD7" w:rsidRPr="00F84469" w:rsidRDefault="000C3DD7">
      <w:pPr>
        <w:pBdr>
          <w:top w:val="nil"/>
          <w:left w:val="nil"/>
          <w:bottom w:val="nil"/>
          <w:right w:val="nil"/>
          <w:between w:val="nil"/>
        </w:pBdr>
        <w:spacing w:before="120" w:line="360" w:lineRule="auto"/>
        <w:jc w:val="both"/>
        <w:rPr>
          <w:rFonts w:ascii="Palatino Linotype" w:eastAsia="Palatino Linotype" w:hAnsi="Palatino Linotype" w:cs="Palatino Linotype"/>
        </w:rPr>
      </w:pPr>
    </w:p>
    <w:p w14:paraId="5B37F06E"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Fotografía en documentos que acrediten el grado de estudios</w:t>
      </w:r>
      <w:r w:rsidRPr="00F84469">
        <w:rPr>
          <w:rFonts w:ascii="Palatino Linotype" w:eastAsia="Palatino Linotype" w:hAnsi="Palatino Linotype" w:cs="Palatino Linotype"/>
        </w:rPr>
        <w:t xml:space="preserve">: Ahora bien, no se omite comentar que respecto a las fotografías contenidas en documentos que acrediten grado de estudio no es susceptible de ser clasificada como confidencial, </w:t>
      </w:r>
      <w:r w:rsidRPr="00F84469">
        <w:rPr>
          <w:rFonts w:ascii="Palatino Linotype" w:eastAsia="Palatino Linotype" w:hAnsi="Palatino Linotype" w:cs="Palatino Linotype"/>
        </w:rPr>
        <w:lastRenderedPageBreak/>
        <w:t>pues si bien ésta da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w:t>
      </w:r>
    </w:p>
    <w:p w14:paraId="0C0F98D6" w14:textId="77777777" w:rsidR="000C3DD7" w:rsidRPr="00F84469" w:rsidRDefault="000C3DD7">
      <w:pPr>
        <w:tabs>
          <w:tab w:val="left" w:pos="4962"/>
        </w:tabs>
        <w:spacing w:line="360" w:lineRule="auto"/>
        <w:jc w:val="both"/>
        <w:rPr>
          <w:rFonts w:ascii="Palatino Linotype" w:eastAsia="Palatino Linotype" w:hAnsi="Palatino Linotype" w:cs="Palatino Linotype"/>
        </w:rPr>
      </w:pPr>
    </w:p>
    <w:p w14:paraId="4D66FA4C"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w:t>
      </w:r>
      <w:proofErr w:type="gramStart"/>
      <w:r w:rsidRPr="00F84469">
        <w:rPr>
          <w:rFonts w:ascii="Palatino Linotype" w:eastAsia="Palatino Linotype" w:hAnsi="Palatino Linotype" w:cs="Palatino Linotype"/>
        </w:rPr>
        <w:t>que</w:t>
      </w:r>
      <w:proofErr w:type="gramEnd"/>
      <w:r w:rsidRPr="00F84469">
        <w:rPr>
          <w:rFonts w:ascii="Palatino Linotype" w:eastAsia="Palatino Linotype" w:hAnsi="Palatino Linotype" w:cs="Palatino Linotype"/>
        </w:rPr>
        <w:t xml:space="preserve"> en el presente caso, acreditaría e identificaría que una persona es servidor público y que cuenta con determinados conocimientos.</w:t>
      </w:r>
    </w:p>
    <w:p w14:paraId="029D0410" w14:textId="77777777" w:rsidR="000C3DD7" w:rsidRPr="00F84469" w:rsidRDefault="000C3DD7">
      <w:pPr>
        <w:tabs>
          <w:tab w:val="left" w:pos="4962"/>
        </w:tabs>
        <w:spacing w:line="360" w:lineRule="auto"/>
        <w:jc w:val="both"/>
        <w:rPr>
          <w:rFonts w:ascii="Palatino Linotype" w:eastAsia="Palatino Linotype" w:hAnsi="Palatino Linotype" w:cs="Palatino Linotype"/>
        </w:rPr>
      </w:pPr>
    </w:p>
    <w:p w14:paraId="5CB1941B"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Sobre el tema, resulta necesario traer a colación, el Criterio de Interpretación, de la Segunda Época, con número de registro SO/015/2017, emitido por el Instituto Nacional de Transparencia, Acceso a la Información y Protección de Datos Personales, que precisa lo siguiente: </w:t>
      </w:r>
    </w:p>
    <w:p w14:paraId="238BB5CA" w14:textId="77777777" w:rsidR="000C3DD7" w:rsidRPr="00F84469" w:rsidRDefault="000C3DD7">
      <w:pPr>
        <w:tabs>
          <w:tab w:val="left" w:pos="4962"/>
        </w:tabs>
        <w:spacing w:line="360" w:lineRule="auto"/>
        <w:jc w:val="both"/>
        <w:rPr>
          <w:rFonts w:ascii="Palatino Linotype" w:eastAsia="Palatino Linotype" w:hAnsi="Palatino Linotype" w:cs="Palatino Linotype"/>
        </w:rPr>
      </w:pPr>
    </w:p>
    <w:p w14:paraId="41C9D907" w14:textId="77777777" w:rsidR="000C3DD7" w:rsidRPr="00F84469" w:rsidRDefault="00AC604D">
      <w:pPr>
        <w:tabs>
          <w:tab w:val="left" w:pos="4962"/>
        </w:tabs>
        <w:ind w:left="567" w:right="618"/>
        <w:jc w:val="both"/>
        <w:rPr>
          <w:rFonts w:ascii="Palatino Linotype" w:eastAsia="Palatino Linotype" w:hAnsi="Palatino Linotype" w:cs="Palatino Linotype"/>
          <w:i/>
        </w:rPr>
      </w:pPr>
      <w:r w:rsidRPr="00F84469">
        <w:rPr>
          <w:rFonts w:ascii="Palatino Linotype" w:eastAsia="Palatino Linotype" w:hAnsi="Palatino Linotype" w:cs="Palatino Linotype"/>
          <w:i/>
        </w:rPr>
        <w:t xml:space="preserve">Fotografía en título o cédula profesional es de acceso público. Si bien la fotografía de una persona física es un dato personal, cuando se encuentra en un título o cédula profesional no es susceptible de clasificarse como confidencial, en virtud del interés público que existe de conocer que la persona que se ostenta con una calidad profesional determinada es la misma que aparece en dichos documentos oficiales. </w:t>
      </w:r>
    </w:p>
    <w:p w14:paraId="7797C8CB" w14:textId="77777777" w:rsidR="000C3DD7" w:rsidRPr="00F84469" w:rsidRDefault="000C3DD7">
      <w:pPr>
        <w:tabs>
          <w:tab w:val="left" w:pos="4962"/>
        </w:tabs>
        <w:spacing w:line="360" w:lineRule="auto"/>
        <w:ind w:right="616"/>
        <w:jc w:val="both"/>
        <w:rPr>
          <w:rFonts w:ascii="Palatino Linotype" w:eastAsia="Palatino Linotype" w:hAnsi="Palatino Linotype" w:cs="Palatino Linotype"/>
          <w:i/>
        </w:rPr>
      </w:pPr>
    </w:p>
    <w:p w14:paraId="14FEF921" w14:textId="77777777" w:rsidR="000C3DD7" w:rsidRPr="00F84469" w:rsidRDefault="00AC604D">
      <w:pPr>
        <w:tabs>
          <w:tab w:val="left" w:pos="4962"/>
        </w:tabs>
        <w:spacing w:line="360" w:lineRule="auto"/>
        <w:ind w:right="616"/>
        <w:jc w:val="both"/>
        <w:rPr>
          <w:rFonts w:ascii="Palatino Linotype" w:eastAsia="Palatino Linotype" w:hAnsi="Palatino Linotype" w:cs="Palatino Linotype"/>
        </w:rPr>
      </w:pPr>
      <w:r w:rsidRPr="00F84469">
        <w:rPr>
          <w:rFonts w:ascii="Palatino Linotype" w:eastAsia="Palatino Linotype" w:hAnsi="Palatino Linotype" w:cs="Palatino Linotype"/>
        </w:rPr>
        <w:lastRenderedPageBreak/>
        <w:t>De esta manera, la fotografía contenida en el título profesional es pública y susceptible de divulgación.</w:t>
      </w:r>
    </w:p>
    <w:p w14:paraId="14A81153" w14:textId="77777777" w:rsidR="000C3DD7" w:rsidRPr="00F84469" w:rsidRDefault="000C3DD7">
      <w:pPr>
        <w:tabs>
          <w:tab w:val="left" w:pos="4962"/>
        </w:tabs>
        <w:spacing w:line="360" w:lineRule="auto"/>
        <w:jc w:val="both"/>
        <w:rPr>
          <w:rFonts w:ascii="Palatino Linotype" w:eastAsia="Palatino Linotype" w:hAnsi="Palatino Linotype" w:cs="Palatino Linotype"/>
        </w:rPr>
      </w:pPr>
    </w:p>
    <w:p w14:paraId="0EAD68AF"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Conforme al criterio establecido, se desprende que la fotografía que se encuentre en un título, no es confidencial, pues permite identificar si la persona que se ostenta como profesional, es la que se localiza en los documentos comprobatorios, por lo que, en el presente caso, no procede su clasificación en términos del artículo 143, fracción I, de la Ley de Transparencia y Acceso a la Información Pública del Estado de México y Municipios.</w:t>
      </w:r>
    </w:p>
    <w:p w14:paraId="2D95B8A6" w14:textId="77777777" w:rsidR="000C3DD7" w:rsidRPr="00F84469" w:rsidRDefault="000C3DD7">
      <w:pPr>
        <w:spacing w:line="360" w:lineRule="auto"/>
        <w:jc w:val="both"/>
        <w:rPr>
          <w:rFonts w:ascii="Palatino Linotype" w:eastAsia="Palatino Linotype" w:hAnsi="Palatino Linotype" w:cs="Palatino Linotype"/>
        </w:rPr>
      </w:pPr>
    </w:p>
    <w:p w14:paraId="63D97F2F"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Firma</w:t>
      </w:r>
      <w:r w:rsidRPr="00F84469">
        <w:rPr>
          <w:rFonts w:ascii="Palatino Linotype" w:eastAsia="Palatino Linotype" w:hAnsi="Palatino Linotype" w:cs="Palatino Linotype"/>
        </w:rPr>
        <w:t>: Sobre dicho dato, cabe precisar que, en el presente caso, se trata de un servidor público en su calidad de particular, por lo que, es de señalar que la firma es un dato personal confidencial y únicamente será público dicho dato cuando sirva para la emisión de un acto de autoridad, en ejercicio de sus funciones.</w:t>
      </w:r>
    </w:p>
    <w:p w14:paraId="29F127D6"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w:t>
      </w:r>
    </w:p>
    <w:p w14:paraId="2391F697"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Lo anterior, es así, toda vez que la firma de servidores públicos, vinculada al ejercicio de la función pública es información de naturaleza pública, pues documenta y rinde cuentas sobre el debido ejercicio de sus atribuciones.</w:t>
      </w:r>
    </w:p>
    <w:p w14:paraId="31ADBB06"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w:t>
      </w:r>
    </w:p>
    <w:p w14:paraId="70ECA98C" w14:textId="77777777" w:rsidR="000C3DD7" w:rsidRPr="00F84469" w:rsidRDefault="00AC604D">
      <w:pPr>
        <w:shd w:val="clear" w:color="auto" w:fill="FFFFFF"/>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La publicidad de dichos datos, se robustece, con el Criterio de Interpretación, de la Segunda Época, con clave de control SO/002/2019, emitido por el Instituto Nacional de Transparencia, Acceso a la Información y Protección de Datos Personales, que establece lo siguiente:</w:t>
      </w:r>
    </w:p>
    <w:p w14:paraId="42314DEE" w14:textId="77777777" w:rsidR="000C3DD7" w:rsidRPr="00F84469" w:rsidRDefault="00AC604D">
      <w:pPr>
        <w:shd w:val="clear" w:color="auto" w:fill="FFFFFF"/>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w:t>
      </w:r>
    </w:p>
    <w:p w14:paraId="788776DA" w14:textId="77777777" w:rsidR="000C3DD7" w:rsidRPr="00F84469" w:rsidRDefault="00AC604D">
      <w:pPr>
        <w:spacing w:line="360" w:lineRule="auto"/>
        <w:ind w:left="567" w:right="567"/>
        <w:jc w:val="both"/>
        <w:rPr>
          <w:rFonts w:ascii="Palatino Linotype" w:eastAsia="Palatino Linotype" w:hAnsi="Palatino Linotype" w:cs="Palatino Linotype"/>
          <w:sz w:val="20"/>
          <w:szCs w:val="20"/>
        </w:rPr>
      </w:pPr>
      <w:r w:rsidRPr="00F84469">
        <w:rPr>
          <w:rFonts w:ascii="Palatino Linotype" w:eastAsia="Palatino Linotype" w:hAnsi="Palatino Linotype" w:cs="Palatino Linotype"/>
          <w:b/>
          <w:i/>
          <w:sz w:val="20"/>
          <w:szCs w:val="20"/>
        </w:rPr>
        <w:lastRenderedPageBreak/>
        <w:t>“Firma y rúbrica de servidores públicos.</w:t>
      </w:r>
      <w:r w:rsidRPr="00F84469">
        <w:rPr>
          <w:rFonts w:ascii="Palatino Linotype" w:eastAsia="Palatino Linotype" w:hAnsi="Palatino Linotype" w:cs="Palatino Linotype"/>
          <w:i/>
          <w:sz w:val="20"/>
          <w:szCs w:val="20"/>
        </w:rPr>
        <w:t> Si bien la firma y la rúbrica son datos personales confidenciales, cuando un servidor público emite un acto como autoridad, en ejercicio de las funciones que tiene conferidas, la firma o rúbrica mediante la cual se valida dicho acto es pública.”</w:t>
      </w:r>
    </w:p>
    <w:p w14:paraId="7FE78FC3" w14:textId="77777777" w:rsidR="000C3DD7" w:rsidRPr="00F84469" w:rsidRDefault="000C3DD7">
      <w:pPr>
        <w:tabs>
          <w:tab w:val="left" w:pos="4962"/>
        </w:tabs>
        <w:spacing w:line="360" w:lineRule="auto"/>
        <w:jc w:val="both"/>
        <w:rPr>
          <w:rFonts w:ascii="Palatino Linotype" w:eastAsia="Palatino Linotype" w:hAnsi="Palatino Linotype" w:cs="Palatino Linotype"/>
        </w:rPr>
      </w:pPr>
    </w:p>
    <w:p w14:paraId="718334BB" w14:textId="77777777" w:rsidR="000C3DD7" w:rsidRPr="00F84469" w:rsidRDefault="00AC604D">
      <w:pPr>
        <w:tabs>
          <w:tab w:val="left" w:pos="4962"/>
        </w:tabs>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Conforme a lo expuesto, en el presente caso, procede la clasificación, en términos del artículo 143, fracción I de la Ley de Transparencia y Acceso a la Información Pública del Estado de México y Municipios, de la firma localizada en el documento comprobatoria de nivel de estudios, pues da cuenta de la aceptación de un grado ante la Secretaría de Educación Pública. </w:t>
      </w:r>
    </w:p>
    <w:p w14:paraId="518AE4BE" w14:textId="77777777" w:rsidR="000C3DD7" w:rsidRPr="00F84469" w:rsidRDefault="000C3DD7">
      <w:pPr>
        <w:tabs>
          <w:tab w:val="left" w:pos="4962"/>
        </w:tabs>
        <w:spacing w:line="360" w:lineRule="auto"/>
        <w:jc w:val="both"/>
        <w:rPr>
          <w:rFonts w:ascii="Palatino Linotype" w:eastAsia="Palatino Linotype" w:hAnsi="Palatino Linotype" w:cs="Palatino Linotype"/>
        </w:rPr>
      </w:pPr>
    </w:p>
    <w:p w14:paraId="58761BC6"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Conforme a lo anterior, se considera que el Sujeto Obliga deberá entregar en versión pública los documentos que acrediten el ultimo nivel o grado de estudios, en donde únicamente no podrá clasificar la fotografía de los servidores públicos; lo anterior, de conformidad con el artículo 3°, fracción XLV, relacionado con el 137, ambos de la Ley de Transparencia y Acceso a la Información Pública del Estado de México y Municipios, que precisa que cuando un documento contenga información pública y confidencial, la Unidad de Transparencia para efectos de atender al requerimiento informativo, deberá elaborar una versión Pública en la que se testen las partes o secciones clasificadas, indicando su contenido de manera genérica y fundando y motivando su clasificación. </w:t>
      </w:r>
    </w:p>
    <w:p w14:paraId="46145119" w14:textId="77777777" w:rsidR="000C3DD7" w:rsidRPr="00F84469" w:rsidRDefault="000C3DD7">
      <w:pPr>
        <w:spacing w:line="360" w:lineRule="auto"/>
      </w:pPr>
    </w:p>
    <w:p w14:paraId="14780194"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Al respecto, se destaca que la versión pública que elabore 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debe cumplir con las formalidades exigidas en la Ley; es decir, resulta necesario que el Comité de Transparencia del Sujeto Obligado emita el Acuerdo de Clasificación correspondiente debidamente fundado y motivado, que sustente la versión pública, </w:t>
      </w:r>
      <w:r w:rsidRPr="00F84469">
        <w:rPr>
          <w:rFonts w:ascii="Palatino Linotype" w:eastAsia="Palatino Linotype" w:hAnsi="Palatino Linotype" w:cs="Palatino Linotype"/>
        </w:rPr>
        <w:lastRenderedPageBreak/>
        <w:t xml:space="preserve">el cual deberá cumplir cabalmente con las formalidades previstas en el artículo 137 de la Ley de Transparencia y Acceso a la Información Pública del Estado de México y Municipios, ya expuesto; así como con los numerales aplicables de los </w:t>
      </w:r>
      <w:r w:rsidRPr="00F84469">
        <w:rPr>
          <w:rFonts w:ascii="Palatino Linotype" w:eastAsia="Palatino Linotype" w:hAnsi="Palatino Linotype" w:cs="Palatino Linotype"/>
          <w:b/>
        </w:rPr>
        <w:t>LINEAMIENTOS GENERALES EN MATERIA DE CLASIFICACIÓN Y DESCLASIFICACIÓN DE LA INFORMACIÓN, ASÍ COMO PARA LA ELABORACIÓN DE VERSIONES PÚBLICAS</w:t>
      </w:r>
      <w:r w:rsidRPr="00F84469">
        <w:rPr>
          <w:rFonts w:ascii="Palatino Linotype" w:eastAsia="Palatino Linotype" w:hAnsi="Palatino Linotype" w:cs="Palatino Linotype"/>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5AE147E8" w14:textId="77777777" w:rsidR="000C3DD7" w:rsidRPr="00F84469" w:rsidRDefault="000C3DD7">
      <w:pPr>
        <w:ind w:left="709" w:right="709"/>
        <w:jc w:val="both"/>
        <w:rPr>
          <w:rFonts w:ascii="Palatino Linotype" w:eastAsia="Palatino Linotype" w:hAnsi="Palatino Linotype" w:cs="Palatino Linotype"/>
          <w:b/>
          <w:i/>
          <w:sz w:val="22"/>
          <w:szCs w:val="22"/>
        </w:rPr>
      </w:pPr>
    </w:p>
    <w:p w14:paraId="0F907184"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“Lineamientos Generales en materia de Clasificación y Desclasificación de la Información, así como para la elaboración de Versiones Públicas</w:t>
      </w:r>
    </w:p>
    <w:p w14:paraId="335F8D73"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t>“</w:t>
      </w:r>
      <w:proofErr w:type="gramStart"/>
      <w:r w:rsidRPr="00F84469">
        <w:rPr>
          <w:rFonts w:ascii="Palatino Linotype" w:eastAsia="Palatino Linotype" w:hAnsi="Palatino Linotype" w:cs="Palatino Linotype"/>
          <w:b/>
          <w:i/>
          <w:sz w:val="22"/>
          <w:szCs w:val="22"/>
        </w:rPr>
        <w:t>Segundo.-</w:t>
      </w:r>
      <w:proofErr w:type="gramEnd"/>
      <w:r w:rsidRPr="00F84469">
        <w:rPr>
          <w:rFonts w:ascii="Palatino Linotype" w:eastAsia="Palatino Linotype" w:hAnsi="Palatino Linotype" w:cs="Palatino Linotype"/>
          <w:i/>
          <w:sz w:val="22"/>
          <w:szCs w:val="22"/>
        </w:rPr>
        <w:t xml:space="preserve"> Para efectos de los presentes Lineamientos Generales, se entenderá por:</w:t>
      </w:r>
    </w:p>
    <w:p w14:paraId="73C24CF7"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XVIII.</w:t>
      </w:r>
      <w:r w:rsidRPr="00F84469">
        <w:rPr>
          <w:rFonts w:ascii="Palatino Linotype" w:eastAsia="Palatino Linotype" w:hAnsi="Palatino Linotype" w:cs="Palatino Linotype"/>
          <w:i/>
          <w:sz w:val="22"/>
          <w:szCs w:val="22"/>
        </w:rPr>
        <w:t xml:space="preserve"> </w:t>
      </w:r>
      <w:r w:rsidRPr="00F84469">
        <w:rPr>
          <w:rFonts w:ascii="Palatino Linotype" w:eastAsia="Palatino Linotype" w:hAnsi="Palatino Linotype" w:cs="Palatino Linotype"/>
          <w:b/>
          <w:i/>
          <w:sz w:val="22"/>
          <w:szCs w:val="22"/>
        </w:rPr>
        <w:t>Versión pública:</w:t>
      </w:r>
      <w:r w:rsidRPr="00F84469">
        <w:rPr>
          <w:rFonts w:ascii="Palatino Linotype" w:eastAsia="Palatino Linotype" w:hAnsi="Palatino Linotype" w:cs="Palatino Linotype"/>
          <w:i/>
          <w:sz w:val="22"/>
          <w:szCs w:val="22"/>
        </w:rPr>
        <w:t xml:space="preserve"> El documento a partir del que se otorga acceso a la información, en el que se testan partes o secciones clasificadas, indicando el contenido de éstas de manera genérica, </w:t>
      </w:r>
      <w:r w:rsidRPr="00F84469">
        <w:rPr>
          <w:rFonts w:ascii="Palatino Linotype" w:eastAsia="Palatino Linotype" w:hAnsi="Palatino Linotype" w:cs="Palatino Linotype"/>
          <w:b/>
          <w:i/>
          <w:sz w:val="22"/>
          <w:szCs w:val="22"/>
          <w:u w:val="single"/>
        </w:rPr>
        <w:t>fundando y motivando la</w:t>
      </w:r>
      <w:r w:rsidRPr="00F84469">
        <w:rPr>
          <w:rFonts w:ascii="Palatino Linotype" w:eastAsia="Palatino Linotype" w:hAnsi="Palatino Linotype" w:cs="Palatino Linotype"/>
          <w:i/>
          <w:sz w:val="22"/>
          <w:szCs w:val="22"/>
        </w:rPr>
        <w:t xml:space="preserve"> reserva o </w:t>
      </w:r>
      <w:r w:rsidRPr="00F84469">
        <w:rPr>
          <w:rFonts w:ascii="Palatino Linotype" w:eastAsia="Palatino Linotype" w:hAnsi="Palatino Linotype" w:cs="Palatino Linotype"/>
          <w:b/>
          <w:i/>
          <w:sz w:val="22"/>
          <w:szCs w:val="22"/>
          <w:u w:val="single"/>
        </w:rPr>
        <w:t>confidencialidad</w:t>
      </w:r>
      <w:r w:rsidRPr="00F84469">
        <w:rPr>
          <w:rFonts w:ascii="Palatino Linotype" w:eastAsia="Palatino Linotype" w:hAnsi="Palatino Linotype" w:cs="Palatino Linotype"/>
          <w:i/>
          <w:sz w:val="22"/>
          <w:szCs w:val="22"/>
        </w:rPr>
        <w:t>, a través de la resolución que para tal efecto emita el Comité de Transparencia.</w:t>
      </w:r>
    </w:p>
    <w:p w14:paraId="000F97EB"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Cuarto.</w:t>
      </w:r>
      <w:r w:rsidRPr="00F84469">
        <w:rPr>
          <w:rFonts w:ascii="Palatino Linotype" w:eastAsia="Palatino Linotype" w:hAnsi="Palatino Linotype" w:cs="Palatino Linotype"/>
          <w:i/>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7143D355"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t>Los sujetos obligados deberán aplicar, de manera estricta, las excepciones al derecho de acceso a la información y sólo podrán invocarlas cuando acrediten su procedencia.</w:t>
      </w:r>
    </w:p>
    <w:p w14:paraId="520F503A"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Quinto.</w:t>
      </w:r>
      <w:r w:rsidRPr="00F84469">
        <w:rPr>
          <w:rFonts w:ascii="Palatino Linotype" w:eastAsia="Palatino Linotype" w:hAnsi="Palatino Linotype" w:cs="Palatino Linotype"/>
          <w:i/>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30859B5C"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w:t>
      </w:r>
    </w:p>
    <w:p w14:paraId="10A5ED8B"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lastRenderedPageBreak/>
        <w:t>Séptimo.</w:t>
      </w:r>
      <w:r w:rsidRPr="00F84469">
        <w:rPr>
          <w:rFonts w:ascii="Palatino Linotype" w:eastAsia="Palatino Linotype" w:hAnsi="Palatino Linotype" w:cs="Palatino Linotype"/>
          <w:i/>
          <w:sz w:val="22"/>
          <w:szCs w:val="22"/>
        </w:rPr>
        <w:t xml:space="preserve"> La clasificación de la información se llevará a cabo en el momento en que:</w:t>
      </w:r>
    </w:p>
    <w:p w14:paraId="4896AE29"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I.</w:t>
      </w:r>
      <w:r w:rsidRPr="00F84469">
        <w:rPr>
          <w:rFonts w:ascii="Palatino Linotype" w:eastAsia="Palatino Linotype" w:hAnsi="Palatino Linotype" w:cs="Palatino Linotype"/>
          <w:i/>
          <w:sz w:val="22"/>
          <w:szCs w:val="22"/>
        </w:rPr>
        <w:t xml:space="preserve"> Se reciba una solicitud de acceso a la información;</w:t>
      </w:r>
    </w:p>
    <w:p w14:paraId="57A42B5E" w14:textId="77777777" w:rsidR="000C3DD7" w:rsidRPr="00F84469" w:rsidRDefault="00AC604D">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II.</w:t>
      </w:r>
      <w:r w:rsidRPr="00F84469">
        <w:rPr>
          <w:rFonts w:ascii="Palatino Linotype" w:eastAsia="Palatino Linotype" w:hAnsi="Palatino Linotype" w:cs="Palatino Linotype"/>
          <w:i/>
          <w:sz w:val="22"/>
          <w:szCs w:val="22"/>
        </w:rPr>
        <w:t xml:space="preserve"> </w:t>
      </w:r>
      <w:proofErr w:type="gramStart"/>
      <w:r w:rsidRPr="00F84469">
        <w:rPr>
          <w:rFonts w:ascii="Palatino Linotype" w:eastAsia="Palatino Linotype" w:hAnsi="Palatino Linotype" w:cs="Palatino Linotype"/>
          <w:i/>
          <w:sz w:val="22"/>
          <w:szCs w:val="22"/>
        </w:rPr>
        <w:t>Se  determine</w:t>
      </w:r>
      <w:proofErr w:type="gramEnd"/>
      <w:r w:rsidRPr="00F84469">
        <w:rPr>
          <w:rFonts w:ascii="Palatino Linotype" w:eastAsia="Palatino Linotype" w:hAnsi="Palatino Linotype" w:cs="Palatino Linotype"/>
          <w:i/>
          <w:sz w:val="22"/>
          <w:szCs w:val="22"/>
        </w:rPr>
        <w:t xml:space="preserve"> mediante resolución del Comité de Transparencia, el órgano garante </w:t>
      </w:r>
    </w:p>
    <w:p w14:paraId="50209222"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t>competente, o en cumplimiento a una sentencia del Poder Judicial; o</w:t>
      </w:r>
    </w:p>
    <w:p w14:paraId="0C930C27"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III.</w:t>
      </w:r>
      <w:r w:rsidRPr="00F84469">
        <w:rPr>
          <w:rFonts w:ascii="Palatino Linotype" w:eastAsia="Palatino Linotype" w:hAnsi="Palatino Linotype" w:cs="Palatino Linotype"/>
          <w:i/>
          <w:sz w:val="22"/>
          <w:szCs w:val="22"/>
        </w:rPr>
        <w:t xml:space="preserve"> Se generen versiones públicas para dar cumplimiento a las obligaciones de transparencia previstas en la Ley General, la Ley Federal y las correspondientes de las entidades federativas.</w:t>
      </w:r>
    </w:p>
    <w:p w14:paraId="0045F9EE"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t>Los titulares de las áreas deberán revisar la clasificación al momento de la recepción de una solicitud de acceso a la información, para verificar si encuadra en una causal de reserva o de confidencialidad.</w:t>
      </w:r>
    </w:p>
    <w:p w14:paraId="1791D70F"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Octavo.</w:t>
      </w:r>
      <w:r w:rsidRPr="00F84469">
        <w:rPr>
          <w:rFonts w:ascii="Palatino Linotype" w:eastAsia="Palatino Linotype" w:hAnsi="Palatino Linotype" w:cs="Palatino Linotype"/>
          <w:i/>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50F42BBF"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t>Para motivar la clasificación se deberán señalar las razones o circunstancias especiales que lo llevaron a concluir que el caso particular se ajusta al supuesto previsto por la norma legal invocada como fundamento.</w:t>
      </w:r>
    </w:p>
    <w:p w14:paraId="423F29AA" w14:textId="77777777" w:rsidR="000C3DD7" w:rsidRPr="00F84469" w:rsidRDefault="00AC604D">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0C2E44AA"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Noveno.</w:t>
      </w:r>
      <w:r w:rsidRPr="00F84469">
        <w:rPr>
          <w:rFonts w:ascii="Palatino Linotype" w:eastAsia="Palatino Linotype" w:hAnsi="Palatino Linotype" w:cs="Palatino Linotype"/>
          <w:i/>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660CE26E"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b/>
          <w:i/>
          <w:sz w:val="22"/>
          <w:szCs w:val="22"/>
        </w:rPr>
        <w:t>Décimo.</w:t>
      </w:r>
      <w:r w:rsidRPr="00F84469">
        <w:rPr>
          <w:rFonts w:ascii="Palatino Linotype" w:eastAsia="Palatino Linotype" w:hAnsi="Palatino Linotype" w:cs="Palatino Linotype"/>
          <w:i/>
          <w:sz w:val="22"/>
          <w:szCs w:val="22"/>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17578A67"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t>En ausencia de los titulares de las áreas, la información será clasificada o desclasificada por la persona que lo supla, en términos de la normativa que rija la actuación del sujeto obligado.</w:t>
      </w:r>
    </w:p>
    <w:p w14:paraId="14654F3D" w14:textId="77777777" w:rsidR="000C3DD7" w:rsidRPr="00F84469" w:rsidRDefault="00AC604D">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Décimo primero.</w:t>
      </w:r>
      <w:r w:rsidRPr="00F84469">
        <w:rPr>
          <w:rFonts w:ascii="Palatino Linotype" w:eastAsia="Palatino Linotype" w:hAnsi="Palatino Linotype" w:cs="Palatino Linotype"/>
          <w:i/>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0D9D8505" w14:textId="77777777" w:rsidR="000C3DD7" w:rsidRPr="00F84469" w:rsidRDefault="000C3DD7">
      <w:pPr>
        <w:pBdr>
          <w:top w:val="nil"/>
          <w:left w:val="nil"/>
          <w:bottom w:val="nil"/>
          <w:right w:val="nil"/>
          <w:between w:val="nil"/>
        </w:pBdr>
        <w:ind w:right="709"/>
        <w:jc w:val="both"/>
      </w:pPr>
    </w:p>
    <w:p w14:paraId="6F04CA95" w14:textId="77777777" w:rsidR="000C3DD7" w:rsidRPr="00F84469" w:rsidRDefault="00AC604D">
      <w:pPr>
        <w:pBdr>
          <w:top w:val="nil"/>
          <w:left w:val="nil"/>
          <w:bottom w:val="nil"/>
          <w:right w:val="nil"/>
          <w:between w:val="nil"/>
        </w:pBdr>
        <w:ind w:left="709" w:right="709"/>
        <w:jc w:val="both"/>
      </w:pPr>
      <w:r w:rsidRPr="00F84469">
        <w:rPr>
          <w:rFonts w:ascii="Palatino Linotype" w:eastAsia="Palatino Linotype" w:hAnsi="Palatino Linotype" w:cs="Palatino Linotype"/>
          <w:i/>
          <w:sz w:val="22"/>
          <w:szCs w:val="22"/>
        </w:rPr>
        <w:lastRenderedPageBreak/>
        <w:t>[…]</w:t>
      </w:r>
    </w:p>
    <w:p w14:paraId="25DCB80E" w14:textId="77777777" w:rsidR="000C3DD7" w:rsidRPr="00F84469" w:rsidRDefault="00AC604D">
      <w:pPr>
        <w:pBdr>
          <w:top w:val="nil"/>
          <w:left w:val="nil"/>
          <w:bottom w:val="nil"/>
          <w:right w:val="nil"/>
          <w:between w:val="nil"/>
        </w:pBdr>
        <w:ind w:left="709" w:right="709"/>
        <w:jc w:val="center"/>
      </w:pPr>
      <w:r w:rsidRPr="00F84469">
        <w:rPr>
          <w:rFonts w:ascii="Palatino Linotype" w:eastAsia="Palatino Linotype" w:hAnsi="Palatino Linotype" w:cs="Palatino Linotype"/>
          <w:b/>
          <w:i/>
          <w:sz w:val="22"/>
          <w:szCs w:val="22"/>
        </w:rPr>
        <w:t>CAPÍTULO VIII</w:t>
      </w:r>
    </w:p>
    <w:p w14:paraId="1F8DC9BA" w14:textId="77777777" w:rsidR="000C3DD7" w:rsidRPr="00F84469" w:rsidRDefault="00AC604D">
      <w:pPr>
        <w:pBdr>
          <w:top w:val="nil"/>
          <w:left w:val="nil"/>
          <w:bottom w:val="nil"/>
          <w:right w:val="nil"/>
          <w:between w:val="nil"/>
        </w:pBdr>
        <w:spacing w:after="160"/>
        <w:ind w:left="709" w:right="709"/>
        <w:jc w:val="center"/>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i/>
          <w:sz w:val="22"/>
          <w:szCs w:val="22"/>
        </w:rPr>
        <w:t>DE LOS ELEMENTOS PARA LA CLASIFICACIÓN</w:t>
      </w:r>
    </w:p>
    <w:p w14:paraId="1D80B9D7"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Quincuagésimo</w:t>
      </w:r>
      <w:r w:rsidRPr="00F84469">
        <w:rPr>
          <w:rFonts w:ascii="Palatino Linotype" w:eastAsia="Palatino Linotype" w:hAnsi="Palatino Linotype" w:cs="Palatino Linotype"/>
          <w:i/>
          <w:sz w:val="22"/>
          <w:szCs w:val="22"/>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6E663BB4"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Quincuagésimo primero</w:t>
      </w:r>
      <w:r w:rsidRPr="00F84469">
        <w:rPr>
          <w:rFonts w:ascii="Palatino Linotype" w:eastAsia="Palatino Linotype" w:hAnsi="Palatino Linotype" w:cs="Palatino Linotype"/>
          <w:i/>
          <w:sz w:val="22"/>
          <w:szCs w:val="22"/>
        </w:rPr>
        <w:t>. Toda acta del Comité de Transparencia deberá contener:</w:t>
      </w:r>
    </w:p>
    <w:p w14:paraId="630D56FC"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I. El número de sesión y fecha; </w:t>
      </w:r>
    </w:p>
    <w:p w14:paraId="11CEDF49"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 El nombre del área que solicitó la clasificación de información;</w:t>
      </w:r>
    </w:p>
    <w:p w14:paraId="4858AFE9"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III. La fundamentación legal y motivación correspondiente;</w:t>
      </w:r>
    </w:p>
    <w:p w14:paraId="0D6166EC"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IV. La resolución o resoluciones aprobadas; y</w:t>
      </w:r>
    </w:p>
    <w:p w14:paraId="6CB62713"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V. La rúbrica o firma digital de cada integrante del Comité de Transparencia. </w:t>
      </w:r>
    </w:p>
    <w:p w14:paraId="2305FEB6"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Las resoluciones del Comité en las que se haya determinado confirmar o modificar la clasificación de información pública como reservada, deberán incluir, cuando menos:</w:t>
      </w:r>
    </w:p>
    <w:p w14:paraId="38095ADE"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 Los motivos y razonamientos que sustenten la confirmación o modificación de la prueba de daño;</w:t>
      </w:r>
    </w:p>
    <w:p w14:paraId="59EFCCD1"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 Descripción de las partes o secciones reservadas, en caso de clasificación parcial;</w:t>
      </w:r>
    </w:p>
    <w:p w14:paraId="5F91436B"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III. El periodo por el que mantendrá su clasificación y fecha de expiración; y</w:t>
      </w:r>
    </w:p>
    <w:p w14:paraId="62D44360"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IV. El nombre del titular y área encargada de realizar la versión pública del documento, en su caso.</w:t>
      </w:r>
    </w:p>
    <w:p w14:paraId="04299C1C"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 xml:space="preserve">En los casos en que se clasifique la información como reservada siempre se entregará o anexará la prueba de daño con la respuesta al solicitante. </w:t>
      </w:r>
    </w:p>
    <w:p w14:paraId="4B5696AB"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En los casos de resoluciones del Comité de Transparencia en las que se confirme la clasificación de información confidencial solo se deberán de identificar los tipos de datos protegidos, de conformidad con el lineamiento trigésimo octavo.</w:t>
      </w:r>
    </w:p>
    <w:p w14:paraId="53DEF650"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b/>
          <w:i/>
          <w:sz w:val="22"/>
          <w:szCs w:val="22"/>
        </w:rPr>
        <w:t>Quincuagésimo segundo</w:t>
      </w:r>
      <w:r w:rsidRPr="00F84469">
        <w:rPr>
          <w:rFonts w:ascii="Palatino Linotype" w:eastAsia="Palatino Linotype" w:hAnsi="Palatino Linotype" w:cs="Palatino Linotype"/>
          <w:i/>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2B9C2CE3"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lastRenderedPageBreak/>
        <w:t>En el caso específico de la clasificación y elaboración de versiones públicas de documentos que contengan información confidencial, las áreas de los sujetos obligados deberán:</w:t>
      </w:r>
    </w:p>
    <w:p w14:paraId="2172C16E"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 Fijar la fecha en que se elaboró la versión pública y la fecha en la cual el Comité de Transparencia confirmó dicha versión;</w:t>
      </w:r>
    </w:p>
    <w:p w14:paraId="4A735EF2"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 Señalar dentro del documento el tipo de información confidencial que fue testada en cada caso específico, de conformidad con el lineamiento trigésimo octavo; y</w:t>
      </w:r>
    </w:p>
    <w:p w14:paraId="470E366A"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III. Señalar las personas o instancias autorizadas a acceder a la información clasificada.</w:t>
      </w:r>
    </w:p>
    <w:p w14:paraId="074A6BCF"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En los documentos de difusión electrónica, señalar en la primera hoja y en el nombre del archivo, que la versión pública corresponde a un documento que contiene información confidencial.</w:t>
      </w:r>
    </w:p>
    <w:p w14:paraId="4D169BDF"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b/>
          <w:i/>
          <w:sz w:val="22"/>
          <w:szCs w:val="22"/>
        </w:rPr>
      </w:pPr>
      <w:r w:rsidRPr="00F84469">
        <w:rPr>
          <w:rFonts w:ascii="Palatino Linotype" w:eastAsia="Palatino Linotype" w:hAnsi="Palatino Linotype" w:cs="Palatino Linotype"/>
          <w:b/>
          <w:i/>
          <w:sz w:val="22"/>
          <w:szCs w:val="22"/>
        </w:rPr>
        <w:t>…</w:t>
      </w:r>
    </w:p>
    <w:p w14:paraId="77669246" w14:textId="77777777" w:rsidR="000C3DD7" w:rsidRPr="00F84469" w:rsidRDefault="00AC604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F84469">
        <w:rPr>
          <w:rFonts w:ascii="Palatino Linotype" w:eastAsia="Palatino Linotype" w:hAnsi="Palatino Linotype" w:cs="Palatino Linotype"/>
          <w:i/>
          <w:sz w:val="22"/>
          <w:szCs w:val="22"/>
        </w:rPr>
        <w:t>Quincuagésimo cuarto. 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p>
    <w:p w14:paraId="35068696" w14:textId="77777777" w:rsidR="000C3DD7" w:rsidRPr="00F84469" w:rsidRDefault="00AC604D">
      <w:pPr>
        <w:pBdr>
          <w:top w:val="nil"/>
          <w:left w:val="nil"/>
          <w:bottom w:val="nil"/>
          <w:right w:val="nil"/>
          <w:between w:val="nil"/>
        </w:pBdr>
        <w:spacing w:after="160"/>
        <w:ind w:left="709" w:right="709"/>
        <w:jc w:val="both"/>
      </w:pPr>
      <w:r w:rsidRPr="00F84469">
        <w:rPr>
          <w:rFonts w:ascii="Palatino Linotype" w:eastAsia="Palatino Linotype" w:hAnsi="Palatino Linotype" w:cs="Palatino Linotype"/>
          <w:i/>
          <w:sz w:val="22"/>
          <w:szCs w:val="22"/>
        </w:rPr>
        <w:t xml:space="preserve">Quincuagésimo quinto. Cada área del sujeto obligado podrá designar formalmente a una o más personas como responsables del </w:t>
      </w:r>
      <w:proofErr w:type="spellStart"/>
      <w:r w:rsidRPr="00F84469">
        <w:rPr>
          <w:rFonts w:ascii="Palatino Linotype" w:eastAsia="Palatino Linotype" w:hAnsi="Palatino Linotype" w:cs="Palatino Linotype"/>
          <w:i/>
          <w:sz w:val="22"/>
          <w:szCs w:val="22"/>
        </w:rPr>
        <w:t>testado</w:t>
      </w:r>
      <w:proofErr w:type="spellEnd"/>
      <w:r w:rsidRPr="00F84469">
        <w:rPr>
          <w:rFonts w:ascii="Palatino Linotype" w:eastAsia="Palatino Linotype" w:hAnsi="Palatino Linotype" w:cs="Palatino Linotype"/>
          <w:i/>
          <w:sz w:val="22"/>
          <w:szCs w:val="22"/>
        </w:rPr>
        <w:t>,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(Sic)</w:t>
      </w:r>
    </w:p>
    <w:p w14:paraId="5665E568" w14:textId="77777777" w:rsidR="000C3DD7" w:rsidRPr="00F84469" w:rsidRDefault="000C3DD7">
      <w:pPr>
        <w:jc w:val="both"/>
      </w:pPr>
    </w:p>
    <w:p w14:paraId="1E1EBA79" w14:textId="77777777" w:rsidR="000C3DD7" w:rsidRPr="00F84469" w:rsidRDefault="000C3DD7"/>
    <w:p w14:paraId="1BE478D2"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Efectivamente, cuando se clasifica información como confidencial es importante someterlo al Comité de Transparencia, quien debe confirmar, modificar o revocar la clasificación.</w:t>
      </w:r>
    </w:p>
    <w:p w14:paraId="26FBC0FF" w14:textId="77777777" w:rsidR="000C3DD7" w:rsidRPr="00F84469" w:rsidRDefault="000C3DD7">
      <w:pPr>
        <w:spacing w:line="360" w:lineRule="auto"/>
        <w:jc w:val="both"/>
        <w:rPr>
          <w:rFonts w:ascii="Palatino Linotype" w:eastAsia="Palatino Linotype" w:hAnsi="Palatino Linotype" w:cs="Palatino Linotype"/>
        </w:rPr>
      </w:pPr>
    </w:p>
    <w:p w14:paraId="2327ACA9" w14:textId="77777777" w:rsidR="000C3DD7" w:rsidRPr="00F84469" w:rsidRDefault="00AC604D">
      <w:pPr>
        <w:shd w:val="clear" w:color="auto" w:fill="FFFFFF"/>
        <w:spacing w:line="360" w:lineRule="auto"/>
        <w:ind w:right="51"/>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Por lo tanto, la entrega de documentos en su versión pública debe acompañarse necesariamente del Acuerdo del Comité de Transparencia que la sustente, en el que </w:t>
      </w:r>
      <w:r w:rsidRPr="00F84469">
        <w:rPr>
          <w:rFonts w:ascii="Palatino Linotype" w:eastAsia="Palatino Linotype" w:hAnsi="Palatino Linotype" w:cs="Palatino Linotype"/>
        </w:rPr>
        <w:lastRenderedPageBreak/>
        <w:t xml:space="preserve">se 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la parte </w:t>
      </w:r>
      <w:r w:rsidRPr="00F84469">
        <w:rPr>
          <w:rFonts w:ascii="Palatino Linotype" w:eastAsia="Palatino Linotype" w:hAnsi="Palatino Linotype" w:cs="Palatino Linotype"/>
          <w:b/>
        </w:rPr>
        <w:t>RECURRENTE</w:t>
      </w:r>
      <w:r w:rsidRPr="00F84469">
        <w:rPr>
          <w:rFonts w:ascii="Palatino Linotype" w:eastAsia="Palatino Linotype" w:hAnsi="Palatino Linotype" w:cs="Palatino Linotype"/>
        </w:rPr>
        <w:t>.</w:t>
      </w:r>
    </w:p>
    <w:p w14:paraId="4417A7CF" w14:textId="77777777" w:rsidR="000C3DD7" w:rsidRPr="00F84469" w:rsidRDefault="000C3DD7">
      <w:pPr>
        <w:spacing w:line="360" w:lineRule="auto"/>
        <w:jc w:val="both"/>
        <w:rPr>
          <w:rFonts w:ascii="Palatino Linotype" w:eastAsia="Palatino Linotype" w:hAnsi="Palatino Linotype" w:cs="Palatino Linotype"/>
        </w:rPr>
      </w:pPr>
    </w:p>
    <w:p w14:paraId="5A8D96ED" w14:textId="77777777" w:rsidR="000C3DD7" w:rsidRPr="00F84469" w:rsidRDefault="00AC604D">
      <w:pPr>
        <w:pBdr>
          <w:top w:val="nil"/>
          <w:left w:val="nil"/>
          <w:bottom w:val="nil"/>
          <w:right w:val="nil"/>
          <w:between w:val="nil"/>
        </w:pBdr>
        <w:shd w:val="clear" w:color="auto" w:fill="FFFFFF"/>
        <w:spacing w:after="200"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Así, con fundamento en lo prescrito en los artículos 5 párrafos trigésimo segundo, trigésimo tercero y trigésimo cuarto de la Constitución Política del Estado Libre y Soberano de México; 2, fracción II; 29, 36 fracciones I y II; 176, 178, 181, 185 y 186 fracción II de la Ley de Transparencia y Acceso a la Información Pública del Estado de México y Municipios, este Pleno:</w:t>
      </w:r>
    </w:p>
    <w:p w14:paraId="04E3DD11" w14:textId="77777777" w:rsidR="000C3DD7" w:rsidRPr="00F84469" w:rsidRDefault="00AC604D">
      <w:pPr>
        <w:widowControl w:val="0"/>
        <w:spacing w:line="360" w:lineRule="auto"/>
        <w:jc w:val="center"/>
        <w:rPr>
          <w:rFonts w:ascii="Palatino Linotype" w:eastAsia="Palatino Linotype" w:hAnsi="Palatino Linotype" w:cs="Palatino Linotype"/>
          <w:b/>
        </w:rPr>
      </w:pPr>
      <w:r w:rsidRPr="00F84469">
        <w:rPr>
          <w:rFonts w:ascii="Palatino Linotype" w:eastAsia="Palatino Linotype" w:hAnsi="Palatino Linotype" w:cs="Palatino Linotype"/>
          <w:b/>
        </w:rPr>
        <w:t>III. R E S U E L V E:</w:t>
      </w:r>
    </w:p>
    <w:p w14:paraId="34A475EC" w14:textId="77777777" w:rsidR="000C3DD7" w:rsidRPr="00F84469" w:rsidRDefault="000C3DD7">
      <w:pPr>
        <w:spacing w:line="360" w:lineRule="auto"/>
        <w:jc w:val="both"/>
        <w:rPr>
          <w:rFonts w:ascii="Palatino Linotype" w:eastAsia="Palatino Linotype" w:hAnsi="Palatino Linotype" w:cs="Palatino Linotype"/>
          <w:b/>
          <w:u w:val="single"/>
        </w:rPr>
      </w:pPr>
      <w:bookmarkStart w:id="4" w:name="_heading=h.3dy6vkm" w:colFirst="0" w:colLast="0"/>
      <w:bookmarkEnd w:id="4"/>
    </w:p>
    <w:p w14:paraId="244CA0AC"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PRIMERO. </w:t>
      </w:r>
      <w:r w:rsidRPr="00F84469">
        <w:rPr>
          <w:rFonts w:ascii="Palatino Linotype" w:eastAsia="Palatino Linotype" w:hAnsi="Palatino Linotype" w:cs="Palatino Linotype"/>
        </w:rPr>
        <w:t>Se</w:t>
      </w:r>
      <w:r w:rsidRPr="00F84469">
        <w:t xml:space="preserve"> </w:t>
      </w:r>
      <w:r w:rsidRPr="00F84469">
        <w:rPr>
          <w:rFonts w:ascii="Palatino Linotype" w:eastAsia="Palatino Linotype" w:hAnsi="Palatino Linotype" w:cs="Palatino Linotype"/>
          <w:b/>
        </w:rPr>
        <w:t xml:space="preserve">MODIFICA </w:t>
      </w:r>
      <w:r w:rsidRPr="00F84469">
        <w:rPr>
          <w:rFonts w:ascii="Palatino Linotype" w:eastAsia="Palatino Linotype" w:hAnsi="Palatino Linotype" w:cs="Palatino Linotype"/>
        </w:rPr>
        <w:t xml:space="preserve">la respuesta entregada por </w:t>
      </w:r>
      <w:r w:rsidRPr="00F84469">
        <w:rPr>
          <w:rFonts w:ascii="Palatino Linotype" w:eastAsia="Palatino Linotype" w:hAnsi="Palatino Linotype" w:cs="Palatino Linotype"/>
          <w:b/>
        </w:rPr>
        <w:t xml:space="preserve">EL SUJETO OBLIGADO </w:t>
      </w:r>
      <w:r w:rsidRPr="00F84469">
        <w:rPr>
          <w:rFonts w:ascii="Palatino Linotype" w:eastAsia="Palatino Linotype" w:hAnsi="Palatino Linotype" w:cs="Palatino Linotype"/>
        </w:rPr>
        <w:t xml:space="preserve">a la solicitud de información </w:t>
      </w:r>
      <w:r w:rsidRPr="00F84469">
        <w:rPr>
          <w:rFonts w:ascii="Palatino Linotype" w:eastAsia="Palatino Linotype" w:hAnsi="Palatino Linotype" w:cs="Palatino Linotype"/>
          <w:b/>
        </w:rPr>
        <w:t xml:space="preserve">00584/SF/IP/2024, </w:t>
      </w:r>
      <w:r w:rsidRPr="00F84469">
        <w:rPr>
          <w:rFonts w:ascii="Palatino Linotype" w:eastAsia="Palatino Linotype" w:hAnsi="Palatino Linotype" w:cs="Palatino Linotype"/>
        </w:rPr>
        <w:t xml:space="preserve">por resultar fundadas las razones o motivos de inconformidad hechos valer por </w:t>
      </w:r>
      <w:r w:rsidRPr="00F84469">
        <w:rPr>
          <w:rFonts w:ascii="Palatino Linotype" w:eastAsia="Palatino Linotype" w:hAnsi="Palatino Linotype" w:cs="Palatino Linotype"/>
          <w:b/>
        </w:rPr>
        <w:t xml:space="preserve">la parte RECURRENTE, </w:t>
      </w:r>
      <w:r w:rsidRPr="00F84469">
        <w:rPr>
          <w:rFonts w:ascii="Palatino Linotype" w:eastAsia="Palatino Linotype" w:hAnsi="Palatino Linotype" w:cs="Palatino Linotype"/>
        </w:rPr>
        <w:t xml:space="preserve">en el recurso de revisión </w:t>
      </w:r>
      <w:r w:rsidRPr="00F84469">
        <w:rPr>
          <w:rFonts w:ascii="Palatino Linotype" w:eastAsia="Palatino Linotype" w:hAnsi="Palatino Linotype" w:cs="Palatino Linotype"/>
          <w:b/>
        </w:rPr>
        <w:t>05819/INFOEM/IP/RR/2024,</w:t>
      </w:r>
      <w:r w:rsidRPr="00F84469">
        <w:rPr>
          <w:rFonts w:ascii="Palatino Linotype" w:eastAsia="Palatino Linotype" w:hAnsi="Palatino Linotype" w:cs="Palatino Linotype"/>
        </w:rPr>
        <w:t xml:space="preserve"> en términos del considerando </w:t>
      </w:r>
      <w:r w:rsidRPr="00F84469">
        <w:rPr>
          <w:rFonts w:ascii="Palatino Linotype" w:eastAsia="Palatino Linotype" w:hAnsi="Palatino Linotype" w:cs="Palatino Linotype"/>
          <w:b/>
        </w:rPr>
        <w:t>Cuarto</w:t>
      </w:r>
      <w:r w:rsidRPr="00F84469">
        <w:rPr>
          <w:rFonts w:ascii="Palatino Linotype" w:eastAsia="Palatino Linotype" w:hAnsi="Palatino Linotype" w:cs="Palatino Linotype"/>
        </w:rPr>
        <w:t xml:space="preserve"> de la presente Resolución.</w:t>
      </w:r>
    </w:p>
    <w:p w14:paraId="2ABCBA55" w14:textId="77777777" w:rsidR="000C3DD7" w:rsidRPr="00F84469" w:rsidRDefault="000C3DD7">
      <w:pPr>
        <w:spacing w:line="360" w:lineRule="auto"/>
        <w:jc w:val="both"/>
        <w:rPr>
          <w:rFonts w:ascii="Palatino Linotype" w:eastAsia="Palatino Linotype" w:hAnsi="Palatino Linotype" w:cs="Palatino Linotype"/>
        </w:rPr>
      </w:pPr>
    </w:p>
    <w:p w14:paraId="25450C2C" w14:textId="77777777" w:rsidR="000C3DD7" w:rsidRPr="00F84469" w:rsidRDefault="00AC604D">
      <w:pPr>
        <w:pBdr>
          <w:top w:val="nil"/>
          <w:left w:val="nil"/>
          <w:bottom w:val="nil"/>
          <w:right w:val="nil"/>
          <w:between w:val="nil"/>
        </w:pBd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lastRenderedPageBreak/>
        <w:t xml:space="preserve">SEGUNDO. </w:t>
      </w:r>
      <w:r w:rsidRPr="00F84469">
        <w:rPr>
          <w:rFonts w:ascii="Palatino Linotype" w:eastAsia="Palatino Linotype" w:hAnsi="Palatino Linotype" w:cs="Palatino Linotype"/>
        </w:rPr>
        <w:t>Se</w:t>
      </w:r>
      <w:r w:rsidRPr="00F84469">
        <w:rPr>
          <w:rFonts w:ascii="Palatino Linotype" w:eastAsia="Palatino Linotype" w:hAnsi="Palatino Linotype" w:cs="Palatino Linotype"/>
          <w:b/>
        </w:rPr>
        <w:t xml:space="preserve"> ORDENA al SUJETO OBLIGADO </w:t>
      </w:r>
      <w:r w:rsidRPr="00F84469">
        <w:rPr>
          <w:rFonts w:ascii="Palatino Linotype" w:eastAsia="Palatino Linotype" w:hAnsi="Palatino Linotype" w:cs="Palatino Linotype"/>
        </w:rPr>
        <w:t xml:space="preserve">a </w:t>
      </w:r>
      <w:proofErr w:type="gramStart"/>
      <w:r w:rsidRPr="00F84469">
        <w:rPr>
          <w:rFonts w:ascii="Palatino Linotype" w:eastAsia="Palatino Linotype" w:hAnsi="Palatino Linotype" w:cs="Palatino Linotype"/>
        </w:rPr>
        <w:t>que</w:t>
      </w:r>
      <w:proofErr w:type="gramEnd"/>
      <w:r w:rsidRPr="00F84469">
        <w:rPr>
          <w:rFonts w:ascii="Palatino Linotype" w:eastAsia="Palatino Linotype" w:hAnsi="Palatino Linotype" w:cs="Palatino Linotype"/>
          <w:b/>
        </w:rPr>
        <w:t xml:space="preserve"> </w:t>
      </w:r>
      <w:r w:rsidRPr="00F84469">
        <w:rPr>
          <w:rFonts w:ascii="Palatino Linotype" w:eastAsia="Palatino Linotype" w:hAnsi="Palatino Linotype" w:cs="Palatino Linotype"/>
        </w:rPr>
        <w:t xml:space="preserve">en términos del Considerando Cuarto y Quinto, haga entrega vía Sistema de Acceso a la Información Mexiquense (SAIMEX), previa búsqueda exhaustiva y razonable, en versión pública de ser procedente de lo siguiente: </w:t>
      </w:r>
    </w:p>
    <w:p w14:paraId="64F0BDC9" w14:textId="77777777" w:rsidR="000C3DD7" w:rsidRPr="00F84469" w:rsidRDefault="000C3DD7">
      <w:pPr>
        <w:pBdr>
          <w:top w:val="nil"/>
          <w:left w:val="nil"/>
          <w:bottom w:val="nil"/>
          <w:right w:val="nil"/>
          <w:between w:val="nil"/>
        </w:pBdr>
        <w:spacing w:line="360" w:lineRule="auto"/>
        <w:jc w:val="both"/>
        <w:rPr>
          <w:rFonts w:ascii="Palatino Linotype" w:eastAsia="Palatino Linotype" w:hAnsi="Palatino Linotype" w:cs="Palatino Linotype"/>
        </w:rPr>
      </w:pPr>
    </w:p>
    <w:p w14:paraId="02ADC501" w14:textId="77777777" w:rsidR="000C3DD7" w:rsidRPr="00F84469" w:rsidRDefault="00AC604D">
      <w:pPr>
        <w:numPr>
          <w:ilvl w:val="0"/>
          <w:numId w:val="1"/>
        </w:numPr>
        <w:pBdr>
          <w:top w:val="nil"/>
          <w:left w:val="nil"/>
          <w:bottom w:val="nil"/>
          <w:right w:val="nil"/>
          <w:between w:val="nil"/>
        </w:pBd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rPr>
        <w:t xml:space="preserve">Título Profesional de la servidora pública referida en la solicitud en funciones al tres de septiembre del año 2024. </w:t>
      </w:r>
    </w:p>
    <w:p w14:paraId="5F6B69F0" w14:textId="77777777" w:rsidR="000C3DD7" w:rsidRPr="00F84469" w:rsidRDefault="000C3DD7">
      <w:pPr>
        <w:pBdr>
          <w:top w:val="nil"/>
          <w:left w:val="nil"/>
          <w:bottom w:val="nil"/>
          <w:right w:val="nil"/>
          <w:between w:val="nil"/>
        </w:pBdr>
        <w:spacing w:line="360" w:lineRule="auto"/>
        <w:ind w:left="720"/>
        <w:jc w:val="both"/>
        <w:rPr>
          <w:rFonts w:ascii="Palatino Linotype" w:eastAsia="Palatino Linotype" w:hAnsi="Palatino Linotype" w:cs="Palatino Linotype"/>
        </w:rPr>
      </w:pPr>
    </w:p>
    <w:p w14:paraId="36CC0D55" w14:textId="77777777" w:rsidR="000C3DD7" w:rsidRPr="00F84469" w:rsidRDefault="00AC604D">
      <w:pPr>
        <w:pBdr>
          <w:top w:val="nil"/>
          <w:left w:val="nil"/>
          <w:bottom w:val="nil"/>
          <w:right w:val="nil"/>
          <w:between w:val="nil"/>
        </w:pBdr>
        <w:tabs>
          <w:tab w:val="left" w:pos="851"/>
        </w:tabs>
        <w:spacing w:after="240"/>
        <w:ind w:left="720"/>
        <w:jc w:val="both"/>
        <w:rPr>
          <w:rFonts w:ascii="Palatino Linotype" w:eastAsia="Palatino Linotype" w:hAnsi="Palatino Linotype" w:cs="Palatino Linotype"/>
          <w:i/>
        </w:rPr>
      </w:pPr>
      <w:r w:rsidRPr="00F84469">
        <w:rPr>
          <w:rFonts w:ascii="Palatino Linotype" w:eastAsia="Palatino Linotype" w:hAnsi="Palatino Linotype" w:cs="Palatino Linotype"/>
          <w:i/>
        </w:rPr>
        <w:t xml:space="preserve">De ser procedente, debiendo emitir el Acuerdo del Comité de Transparencia de conformidad con la Ley de Transparencia y Acceso a la Información Pública del Estado de México y Municipios, en el que funde y motive las razones sobre los datos que se supriman, eliminen o testen de los soportes documentales objeto de las versiones públicas que se formulen, el que se deberá poner a disposición del </w:t>
      </w:r>
      <w:r w:rsidRPr="00F84469">
        <w:rPr>
          <w:rFonts w:ascii="Palatino Linotype" w:eastAsia="Palatino Linotype" w:hAnsi="Palatino Linotype" w:cs="Palatino Linotype"/>
          <w:b/>
          <w:i/>
        </w:rPr>
        <w:t>RECURRENTE</w:t>
      </w:r>
      <w:r w:rsidRPr="00F84469">
        <w:rPr>
          <w:rFonts w:ascii="Palatino Linotype" w:eastAsia="Palatino Linotype" w:hAnsi="Palatino Linotype" w:cs="Palatino Linotype"/>
          <w:i/>
        </w:rPr>
        <w:t>, mismo que igualmente hará de su conocimiento.</w:t>
      </w:r>
    </w:p>
    <w:p w14:paraId="4D284AFF" w14:textId="77777777" w:rsidR="000C3DD7" w:rsidRPr="00F84469" w:rsidRDefault="00AC604D">
      <w:pPr>
        <w:pBdr>
          <w:top w:val="nil"/>
          <w:left w:val="nil"/>
          <w:bottom w:val="nil"/>
          <w:right w:val="nil"/>
          <w:between w:val="nil"/>
        </w:pBdr>
        <w:tabs>
          <w:tab w:val="left" w:pos="851"/>
        </w:tabs>
        <w:spacing w:after="240"/>
        <w:ind w:left="720"/>
        <w:jc w:val="both"/>
        <w:rPr>
          <w:rFonts w:ascii="Palatino Linotype" w:eastAsia="Palatino Linotype" w:hAnsi="Palatino Linotype" w:cs="Palatino Linotype"/>
          <w:i/>
        </w:rPr>
      </w:pPr>
      <w:r w:rsidRPr="00F84469">
        <w:rPr>
          <w:rFonts w:ascii="Palatino Linotype" w:eastAsia="Palatino Linotype" w:hAnsi="Palatino Linotype" w:cs="Palatino Linotype"/>
          <w:i/>
        </w:rPr>
        <w:t xml:space="preserve">Para el caso de que el título profesional del cual se ordena su entrega, no obre en los archivos del </w:t>
      </w:r>
      <w:r w:rsidRPr="00F84469">
        <w:rPr>
          <w:rFonts w:ascii="Palatino Linotype" w:eastAsia="Palatino Linotype" w:hAnsi="Palatino Linotype" w:cs="Palatino Linotype"/>
          <w:b/>
          <w:i/>
        </w:rPr>
        <w:t>SUJETO OBLIGADO</w:t>
      </w:r>
      <w:r w:rsidRPr="00F84469">
        <w:rPr>
          <w:rFonts w:ascii="Palatino Linotype" w:eastAsia="Palatino Linotype" w:hAnsi="Palatino Linotype" w:cs="Palatino Linotype"/>
          <w:i/>
        </w:rPr>
        <w:t xml:space="preserve">, al no ser requisito para ocupar el cargo, bastará con que así lo haga del conocimiento de la parte </w:t>
      </w:r>
      <w:r w:rsidRPr="00F84469">
        <w:rPr>
          <w:rFonts w:ascii="Palatino Linotype" w:eastAsia="Palatino Linotype" w:hAnsi="Palatino Linotype" w:cs="Palatino Linotype"/>
          <w:b/>
          <w:i/>
        </w:rPr>
        <w:t>RECURRENTE</w:t>
      </w:r>
      <w:r w:rsidRPr="00F84469">
        <w:rPr>
          <w:rFonts w:ascii="Palatino Linotype" w:eastAsia="Palatino Linotype" w:hAnsi="Palatino Linotype" w:cs="Palatino Linotype"/>
          <w:i/>
        </w:rPr>
        <w:t>.</w:t>
      </w:r>
    </w:p>
    <w:p w14:paraId="1DD1FFAA" w14:textId="77777777" w:rsidR="000C3DD7" w:rsidRPr="00F84469" w:rsidRDefault="000C3DD7">
      <w:pPr>
        <w:pBdr>
          <w:top w:val="nil"/>
          <w:left w:val="nil"/>
          <w:bottom w:val="nil"/>
          <w:right w:val="nil"/>
          <w:between w:val="nil"/>
        </w:pBdr>
        <w:spacing w:line="276" w:lineRule="auto"/>
        <w:ind w:left="720" w:right="49"/>
        <w:jc w:val="both"/>
        <w:rPr>
          <w:rFonts w:ascii="Palatino Linotype" w:eastAsia="Palatino Linotype" w:hAnsi="Palatino Linotype" w:cs="Palatino Linotype"/>
          <w:i/>
        </w:rPr>
      </w:pPr>
    </w:p>
    <w:p w14:paraId="1C49ED3C" w14:textId="77777777" w:rsidR="000C3DD7" w:rsidRPr="00F84469" w:rsidRDefault="00AC604D">
      <w:pPr>
        <w:spacing w:line="360" w:lineRule="auto"/>
        <w:ind w:right="-93"/>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TERCERO. Notifíquese, </w:t>
      </w:r>
      <w:r w:rsidRPr="00F84469">
        <w:rPr>
          <w:rFonts w:ascii="Palatino Linotype" w:eastAsia="Palatino Linotype" w:hAnsi="Palatino Linotype" w:cs="Palatino Linotype"/>
        </w:rPr>
        <w:t xml:space="preserve">vía </w:t>
      </w:r>
      <w:r w:rsidRPr="00F84469">
        <w:rPr>
          <w:rFonts w:ascii="Palatino Linotype" w:eastAsia="Palatino Linotype" w:hAnsi="Palatino Linotype" w:cs="Palatino Linotype"/>
          <w:b/>
        </w:rPr>
        <w:t xml:space="preserve">SAIMEX, </w:t>
      </w:r>
      <w:r w:rsidRPr="00F84469">
        <w:rPr>
          <w:rFonts w:ascii="Palatino Linotype" w:eastAsia="Palatino Linotype" w:hAnsi="Palatino Linotype" w:cs="Palatino Linotype"/>
        </w:rPr>
        <w:t xml:space="preserve">la presente resolución al </w:t>
      </w:r>
      <w:r w:rsidRPr="00F84469">
        <w:rPr>
          <w:rFonts w:ascii="Palatino Linotype" w:eastAsia="Palatino Linotype" w:hAnsi="Palatino Linotype" w:cs="Palatino Linotype"/>
          <w:b/>
        </w:rPr>
        <w:t xml:space="preserve">Titular de la Unidad de Transparencia </w:t>
      </w:r>
      <w:r w:rsidRPr="00F84469">
        <w:rPr>
          <w:rFonts w:ascii="Palatino Linotype" w:eastAsia="Palatino Linotype" w:hAnsi="Palatino Linotype" w:cs="Palatino Linotype"/>
        </w:rPr>
        <w:t xml:space="preserve">del </w:t>
      </w:r>
      <w:r w:rsidRPr="00F84469">
        <w:rPr>
          <w:rFonts w:ascii="Palatino Linotype" w:eastAsia="Palatino Linotype" w:hAnsi="Palatino Linotype" w:cs="Palatino Linotype"/>
          <w:b/>
        </w:rPr>
        <w:t>SUJETO OBLIGADO</w:t>
      </w:r>
      <w:r w:rsidRPr="00F84469">
        <w:rPr>
          <w:rFonts w:ascii="Palatino Linotype" w:eastAsia="Palatino Linotype" w:hAnsi="Palatino Linotype" w:cs="Palatino Linotype"/>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w:t>
      </w:r>
      <w:r w:rsidRPr="00F84469">
        <w:rPr>
          <w:rFonts w:ascii="Palatino Linotype" w:eastAsia="Palatino Linotype" w:hAnsi="Palatino Linotype" w:cs="Palatino Linotype"/>
        </w:rPr>
        <w:lastRenderedPageBreak/>
        <w:t xml:space="preserve">los artículos 198, 200, fracción III; 214, 215 y 216 de la Ley  de Transparencia y Acceso a la Información Pública del Estado de México y Municipios. </w:t>
      </w:r>
    </w:p>
    <w:p w14:paraId="5B1ECD6B" w14:textId="77777777" w:rsidR="000C3DD7" w:rsidRPr="00F84469" w:rsidRDefault="000C3DD7">
      <w:pPr>
        <w:spacing w:line="360" w:lineRule="auto"/>
        <w:ind w:right="-93"/>
        <w:jc w:val="both"/>
        <w:rPr>
          <w:rFonts w:ascii="Palatino Linotype" w:eastAsia="Palatino Linotype" w:hAnsi="Palatino Linotype" w:cs="Palatino Linotype"/>
        </w:rPr>
      </w:pPr>
    </w:p>
    <w:p w14:paraId="47BB6BAB" w14:textId="77777777" w:rsidR="000C3DD7" w:rsidRPr="00F84469" w:rsidRDefault="00AC604D">
      <w:pPr>
        <w:spacing w:line="360" w:lineRule="auto"/>
        <w:jc w:val="both"/>
        <w:rPr>
          <w:rFonts w:ascii="Palatino Linotype" w:eastAsia="Palatino Linotype" w:hAnsi="Palatino Linotype" w:cs="Palatino Linotype"/>
        </w:rPr>
      </w:pPr>
      <w:r w:rsidRPr="00F84469">
        <w:rPr>
          <w:rFonts w:ascii="Palatino Linotype" w:eastAsia="Palatino Linotype" w:hAnsi="Palatino Linotype" w:cs="Palatino Linotype"/>
          <w:b/>
        </w:rPr>
        <w:t xml:space="preserve">CUARTO. </w:t>
      </w:r>
      <w:r w:rsidRPr="00F84469">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w:t>
      </w:r>
      <w:r w:rsidRPr="00F84469">
        <w:rPr>
          <w:rFonts w:ascii="Palatino Linotype" w:eastAsia="Palatino Linotype" w:hAnsi="Palatino Linotype" w:cs="Palatino Linotype"/>
          <w:b/>
        </w:rPr>
        <w:t>EL SUJETO OBLIGADO</w:t>
      </w:r>
      <w:r w:rsidRPr="00F84469">
        <w:rPr>
          <w:rFonts w:ascii="Palatino Linotype" w:eastAsia="Palatino Linotype" w:hAnsi="Palatino Linotype" w:cs="Palatino Linotype"/>
        </w:rPr>
        <w:t xml:space="preserve"> de manera fundada y motivada, podrá solicitar una ampliación de plazo para el cumplimiento de la presente resolución.</w:t>
      </w:r>
    </w:p>
    <w:p w14:paraId="7C1E6B3D" w14:textId="77777777" w:rsidR="000C3DD7" w:rsidRPr="00F84469" w:rsidRDefault="000C3DD7">
      <w:pPr>
        <w:spacing w:line="360" w:lineRule="auto"/>
        <w:jc w:val="both"/>
        <w:rPr>
          <w:rFonts w:ascii="Palatino Linotype" w:eastAsia="Palatino Linotype" w:hAnsi="Palatino Linotype" w:cs="Palatino Linotype"/>
        </w:rPr>
      </w:pPr>
    </w:p>
    <w:p w14:paraId="3605077C" w14:textId="77777777" w:rsidR="000C3DD7" w:rsidRPr="00F84469" w:rsidRDefault="00AC604D">
      <w:pPr>
        <w:spacing w:line="360" w:lineRule="auto"/>
        <w:jc w:val="both"/>
        <w:rPr>
          <w:rFonts w:ascii="Palatino Linotype" w:eastAsia="Palatino Linotype" w:hAnsi="Palatino Linotype" w:cs="Palatino Linotype"/>
        </w:rPr>
      </w:pPr>
      <w:bookmarkStart w:id="5" w:name="_heading=h.2et92p0" w:colFirst="0" w:colLast="0"/>
      <w:bookmarkEnd w:id="5"/>
      <w:r w:rsidRPr="00F84469">
        <w:rPr>
          <w:rFonts w:ascii="Palatino Linotype" w:eastAsia="Palatino Linotype" w:hAnsi="Palatino Linotype" w:cs="Palatino Linotype"/>
          <w:b/>
        </w:rPr>
        <w:t>QUINTO.   Notifíquese</w:t>
      </w:r>
      <w:r w:rsidRPr="00F84469">
        <w:rPr>
          <w:rFonts w:ascii="Palatino Linotype" w:eastAsia="Palatino Linotype" w:hAnsi="Palatino Linotype" w:cs="Palatino Linotype"/>
        </w:rPr>
        <w:t>,</w:t>
      </w:r>
      <w:r w:rsidRPr="00F84469">
        <w:rPr>
          <w:rFonts w:ascii="Palatino Linotype" w:eastAsia="Palatino Linotype" w:hAnsi="Palatino Linotype" w:cs="Palatino Linotype"/>
          <w:b/>
        </w:rPr>
        <w:t xml:space="preserve"> </w:t>
      </w:r>
      <w:r w:rsidRPr="00F84469">
        <w:rPr>
          <w:rFonts w:ascii="Palatino Linotype" w:eastAsia="Palatino Linotype" w:hAnsi="Palatino Linotype" w:cs="Palatino Linotype"/>
        </w:rPr>
        <w:t xml:space="preserve">vía </w:t>
      </w:r>
      <w:r w:rsidRPr="00F84469">
        <w:rPr>
          <w:rFonts w:ascii="Palatino Linotype" w:eastAsia="Palatino Linotype" w:hAnsi="Palatino Linotype" w:cs="Palatino Linotype"/>
          <w:b/>
        </w:rPr>
        <w:t>Sistema de Acceso a la Información Mexiquense (SAIMEX)</w:t>
      </w:r>
      <w:r w:rsidRPr="00F84469">
        <w:rPr>
          <w:rFonts w:ascii="Palatino Linotype" w:eastAsia="Palatino Linotype" w:hAnsi="Palatino Linotype" w:cs="Palatino Linotype"/>
        </w:rPr>
        <w:t xml:space="preserve">, a la parte </w:t>
      </w:r>
      <w:r w:rsidRPr="00F84469">
        <w:rPr>
          <w:rFonts w:ascii="Palatino Linotype" w:eastAsia="Palatino Linotype" w:hAnsi="Palatino Linotype" w:cs="Palatino Linotype"/>
          <w:b/>
        </w:rPr>
        <w:t xml:space="preserve">RECURRENTE </w:t>
      </w:r>
      <w:r w:rsidRPr="00F84469">
        <w:rPr>
          <w:rFonts w:ascii="Palatino Linotype" w:eastAsia="Palatino Linotype" w:hAnsi="Palatino Linotype" w:cs="Palatino Linotype"/>
        </w:rPr>
        <w:t>la presente resolución, así como, que de conformidad con lo establecido en el artículo 196 de la Ley de Transparencia y Acceso a la Información Pública del Estado de México y Municipios, en caso de que considere que le causa algún perjuicio podrá impugnar vía Juicio de Amparo en los términos de las leyes aplicables.</w:t>
      </w:r>
    </w:p>
    <w:p w14:paraId="79FCF17E" w14:textId="77777777" w:rsidR="000C3DD7" w:rsidRPr="00F84469" w:rsidRDefault="000C3DD7">
      <w:pPr>
        <w:tabs>
          <w:tab w:val="left" w:pos="142"/>
        </w:tabs>
        <w:spacing w:line="360" w:lineRule="auto"/>
        <w:jc w:val="both"/>
        <w:rPr>
          <w:rFonts w:ascii="Palatino Linotype" w:eastAsia="Palatino Linotype" w:hAnsi="Palatino Linotype" w:cs="Palatino Linotype"/>
        </w:rPr>
      </w:pPr>
    </w:p>
    <w:p w14:paraId="77C9599E" w14:textId="77777777" w:rsidR="005451EF" w:rsidRDefault="00AC604D">
      <w:pPr>
        <w:tabs>
          <w:tab w:val="left" w:pos="142"/>
        </w:tabs>
        <w:spacing w:line="360" w:lineRule="auto"/>
        <w:jc w:val="both"/>
        <w:rPr>
          <w:rFonts w:ascii="Palatino Linotype" w:eastAsia="Palatino Linotype" w:hAnsi="Palatino Linotype" w:cs="Palatino Linotype"/>
        </w:rPr>
      </w:pPr>
      <w:bookmarkStart w:id="6" w:name="_heading=h.3znysh7" w:colFirst="0" w:colLast="0"/>
      <w:bookmarkEnd w:id="6"/>
      <w:r w:rsidRPr="00F84469">
        <w:rPr>
          <w:rFonts w:ascii="Palatino Linotype" w:eastAsia="Palatino Linotype" w:hAnsi="Palatino Linotype" w:cs="Palatino Linotype"/>
        </w:rPr>
        <w:t>ASÍ LO RESUELVE, POR UNANIMIDAD DE VOTOS, EL PLENO DEL INSTITUTO DE TRANSPARENCIA, ACCESO A LA INFORMACIÓN PÚBLICA Y PROTECCIÓN DE DATOS PERSONALES DEL ESTADO DE MÉXICO Y MUNICIPIOS, CONFORMADO POR LOS COMISIONADOS JOSÉ MARTÍNEZ VILCHIS,</w:t>
      </w:r>
      <w:r w:rsidR="00404605" w:rsidRPr="00F84469">
        <w:rPr>
          <w:rFonts w:ascii="Palatino Linotype" w:eastAsia="Palatino Linotype" w:hAnsi="Palatino Linotype" w:cs="Palatino Linotype"/>
        </w:rPr>
        <w:t xml:space="preserve"> (EMITIENDO VOTO PARTICULAR)</w:t>
      </w:r>
      <w:r w:rsidRPr="00F84469">
        <w:rPr>
          <w:rFonts w:ascii="Palatino Linotype" w:eastAsia="Palatino Linotype" w:hAnsi="Palatino Linotype" w:cs="Palatino Linotype"/>
        </w:rPr>
        <w:t xml:space="preserve"> MARÍA DEL ROSARIO MEJÍA AYALA,</w:t>
      </w:r>
      <w:r w:rsidR="00404605" w:rsidRPr="00F84469">
        <w:rPr>
          <w:rFonts w:ascii="Palatino Linotype" w:eastAsia="Palatino Linotype" w:hAnsi="Palatino Linotype" w:cs="Palatino Linotype"/>
        </w:rPr>
        <w:t xml:space="preserve"> (EMITIENDO VOTO PARTICULAR) </w:t>
      </w:r>
      <w:r w:rsidRPr="00F84469">
        <w:rPr>
          <w:rFonts w:ascii="Palatino Linotype" w:eastAsia="Palatino Linotype" w:hAnsi="Palatino Linotype" w:cs="Palatino Linotype"/>
        </w:rPr>
        <w:t>SHARON CRISTINA MORALES MARTÍNEZ, LUIS GUSTAVO PARRA NORIEGA</w:t>
      </w:r>
      <w:r w:rsidR="00404605" w:rsidRPr="00F84469">
        <w:rPr>
          <w:rFonts w:ascii="Palatino Linotype" w:eastAsia="Palatino Linotype" w:hAnsi="Palatino Linotype" w:cs="Palatino Linotype"/>
        </w:rPr>
        <w:t>, (EMITIENDO VOTO PARTICULAR)</w:t>
      </w:r>
      <w:r w:rsidRPr="00F84469">
        <w:rPr>
          <w:rFonts w:ascii="Palatino Linotype" w:eastAsia="Palatino Linotype" w:hAnsi="Palatino Linotype" w:cs="Palatino Linotype"/>
        </w:rPr>
        <w:t xml:space="preserve"> Y GUADALUPE RAMÍREZ PEÑA; EN LA TRIGÉSIMA OCTAVA SESIÓN ORDINARIA CELEBRADA EL SEIS DE NOVIEMBRE DE DOS MIL </w:t>
      </w:r>
      <w:r w:rsidRPr="00F84469">
        <w:rPr>
          <w:rFonts w:ascii="Palatino Linotype" w:eastAsia="Palatino Linotype" w:hAnsi="Palatino Linotype" w:cs="Palatino Linotype"/>
        </w:rPr>
        <w:lastRenderedPageBreak/>
        <w:t xml:space="preserve">VEINTICUATRO, ANTE EL SECRETARIO TÉCNICO DEL PLENO ALEXIS TAPIA RAMÍREZ. </w:t>
      </w:r>
    </w:p>
    <w:p w14:paraId="02800381" w14:textId="77777777" w:rsidR="005451EF" w:rsidRDefault="005451EF">
      <w:pPr>
        <w:rPr>
          <w:rFonts w:ascii="Palatino Linotype" w:eastAsia="Palatino Linotype" w:hAnsi="Palatino Linotype" w:cs="Palatino Linotype"/>
        </w:rPr>
      </w:pPr>
      <w:r>
        <w:rPr>
          <w:rFonts w:ascii="Palatino Linotype" w:eastAsia="Palatino Linotype" w:hAnsi="Palatino Linotype" w:cs="Palatino Linotype"/>
        </w:rPr>
        <w:br w:type="page"/>
      </w:r>
    </w:p>
    <w:p w14:paraId="04131E25" w14:textId="77777777" w:rsidR="000C3DD7" w:rsidRPr="00F84469" w:rsidRDefault="000C3DD7">
      <w:pPr>
        <w:tabs>
          <w:tab w:val="left" w:pos="142"/>
        </w:tabs>
        <w:spacing w:line="360" w:lineRule="auto"/>
        <w:jc w:val="both"/>
        <w:rPr>
          <w:rFonts w:ascii="Palatino Linotype" w:eastAsia="Palatino Linotype" w:hAnsi="Palatino Linotype" w:cs="Palatino Linotype"/>
        </w:rPr>
      </w:pPr>
    </w:p>
    <w:sectPr w:rsidR="000C3DD7" w:rsidRPr="00F84469">
      <w:headerReference w:type="default" r:id="rId20"/>
      <w:footerReference w:type="default" r:id="rId21"/>
      <w:headerReference w:type="first" r:id="rId22"/>
      <w:footerReference w:type="first" r:id="rId23"/>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DFFE1F" w14:textId="77777777" w:rsidR="00DC3F28" w:rsidRDefault="00DC3F28">
      <w:r>
        <w:separator/>
      </w:r>
    </w:p>
  </w:endnote>
  <w:endnote w:type="continuationSeparator" w:id="0">
    <w:p w14:paraId="7B87F52D" w14:textId="77777777" w:rsidR="00DC3F28" w:rsidRDefault="00DC3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Liberation Serif">
    <w:panose1 w:val="00000000000000000000"/>
    <w:charset w:val="00"/>
    <w:family w:val="roman"/>
    <w:notTrueType/>
    <w:pitch w:val="default"/>
  </w:font>
  <w:font w:name="DejaVu Sans">
    <w:charset w:val="00"/>
    <w:family w:val="swiss"/>
    <w:pitch w:val="variable"/>
    <w:sig w:usb0="E7002EFF" w:usb1="D200FDFF" w:usb2="0A246029" w:usb3="00000000" w:csb0="000001FF" w:csb1="00000000"/>
  </w:font>
  <w:font w:name="Lohit Hindi">
    <w:panose1 w:val="00000000000000000000"/>
    <w:charset w:val="00"/>
    <w:family w:val="roman"/>
    <w:notTrueType/>
    <w:pitch w:val="default"/>
  </w:font>
  <w:font w:name="Helvetica">
    <w:panose1 w:val="020B0504020202020204"/>
    <w:charset w:val="00"/>
    <w:family w:val="swiss"/>
    <w:notTrueType/>
    <w:pitch w:val="variable"/>
    <w:sig w:usb0="00000003" w:usb1="00000000" w:usb2="00000000" w:usb3="00000000" w:csb0="00000001" w:csb1="00000000"/>
  </w:font>
  <w:font w:name="Myriad Pro">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E9BF5" w14:textId="77777777" w:rsidR="000C3DD7" w:rsidRDefault="00AC604D">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5451EF">
      <w:rPr>
        <w:rFonts w:ascii="Palatino Linotype" w:eastAsia="Palatino Linotype" w:hAnsi="Palatino Linotype" w:cs="Palatino Linotype"/>
        <w:b/>
        <w:noProof/>
        <w:color w:val="000000"/>
        <w:sz w:val="20"/>
        <w:szCs w:val="20"/>
      </w:rPr>
      <w:t>38</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5451EF">
      <w:rPr>
        <w:rFonts w:ascii="Palatino Linotype" w:eastAsia="Palatino Linotype" w:hAnsi="Palatino Linotype" w:cs="Palatino Linotype"/>
        <w:b/>
        <w:noProof/>
        <w:color w:val="000000"/>
        <w:sz w:val="20"/>
        <w:szCs w:val="20"/>
      </w:rPr>
      <w:t>38</w:t>
    </w:r>
    <w:r>
      <w:rPr>
        <w:rFonts w:ascii="Palatino Linotype" w:eastAsia="Palatino Linotype" w:hAnsi="Palatino Linotype" w:cs="Palatino Linotype"/>
        <w:b/>
        <w:color w:val="000000"/>
        <w:sz w:val="20"/>
        <w:szCs w:val="20"/>
      </w:rPr>
      <w:fldChar w:fldCharType="end"/>
    </w:r>
  </w:p>
  <w:p w14:paraId="7BE1D31B" w14:textId="77777777" w:rsidR="000C3DD7" w:rsidRDefault="000C3DD7">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16DD9" w14:textId="77777777" w:rsidR="000C3DD7" w:rsidRDefault="00AC604D">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5451EF">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5451EF">
      <w:rPr>
        <w:rFonts w:ascii="Palatino Linotype" w:eastAsia="Palatino Linotype" w:hAnsi="Palatino Linotype" w:cs="Palatino Linotype"/>
        <w:b/>
        <w:noProof/>
        <w:color w:val="000000"/>
        <w:sz w:val="20"/>
        <w:szCs w:val="20"/>
      </w:rPr>
      <w:t>38</w:t>
    </w:r>
    <w:r>
      <w:rPr>
        <w:rFonts w:ascii="Palatino Linotype" w:eastAsia="Palatino Linotype" w:hAnsi="Palatino Linotype" w:cs="Palatino Linotype"/>
        <w:b/>
        <w:color w:val="000000"/>
        <w:sz w:val="20"/>
        <w:szCs w:val="20"/>
      </w:rPr>
      <w:fldChar w:fldCharType="end"/>
    </w:r>
  </w:p>
  <w:p w14:paraId="3CCFCDDD" w14:textId="77777777" w:rsidR="000C3DD7" w:rsidRDefault="000C3DD7">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AC4AFE" w14:textId="77777777" w:rsidR="00DC3F28" w:rsidRDefault="00DC3F28">
      <w:r>
        <w:separator/>
      </w:r>
    </w:p>
  </w:footnote>
  <w:footnote w:type="continuationSeparator" w:id="0">
    <w:p w14:paraId="763471B7" w14:textId="77777777" w:rsidR="00DC3F28" w:rsidRDefault="00DC3F28">
      <w:r>
        <w:continuationSeparator/>
      </w:r>
    </w:p>
  </w:footnote>
  <w:footnote w:id="1">
    <w:p w14:paraId="4DB7FF97" w14:textId="77777777" w:rsidR="000C3DD7" w:rsidRDefault="00AC604D">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Artículo 150 de la Ley de Transparencia y Acceso a la Información Pública del Estado de México y Municipios</w:t>
      </w:r>
    </w:p>
  </w:footnote>
  <w:footnote w:id="2">
    <w:p w14:paraId="26D52ABC" w14:textId="77777777" w:rsidR="000C3DD7" w:rsidRDefault="00AC604D">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Artículo 165, ibídem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6A094" w14:textId="77777777" w:rsidR="000C3DD7" w:rsidRDefault="00AC604D">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noProof/>
      </w:rPr>
      <w:drawing>
        <wp:anchor distT="0" distB="0" distL="0" distR="0" simplePos="0" relativeHeight="251658240" behindDoc="1" locked="0" layoutInCell="1" hidden="0" allowOverlap="1" wp14:anchorId="0228A0D2" wp14:editId="6BAE4638">
          <wp:simplePos x="0" y="0"/>
          <wp:positionH relativeFrom="column">
            <wp:posOffset>-1080130</wp:posOffset>
          </wp:positionH>
          <wp:positionV relativeFrom="paragraph">
            <wp:posOffset>-488310</wp:posOffset>
          </wp:positionV>
          <wp:extent cx="7809865" cy="10165715"/>
          <wp:effectExtent l="0" t="0" r="0" b="0"/>
          <wp:wrapNone/>
          <wp:docPr id="4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7"/>
      <w:tblW w:w="5953" w:type="dxa"/>
      <w:tblInd w:w="3261" w:type="dxa"/>
      <w:tblLayout w:type="fixed"/>
      <w:tblLook w:val="0400" w:firstRow="0" w:lastRow="0" w:firstColumn="0" w:lastColumn="0" w:noHBand="0" w:noVBand="1"/>
    </w:tblPr>
    <w:tblGrid>
      <w:gridCol w:w="2489"/>
      <w:gridCol w:w="3464"/>
    </w:tblGrid>
    <w:tr w:rsidR="000C3DD7" w14:paraId="1BCEBFC2" w14:textId="77777777">
      <w:tc>
        <w:tcPr>
          <w:tcW w:w="2489" w:type="dxa"/>
          <w:shd w:val="clear" w:color="auto" w:fill="auto"/>
        </w:tcPr>
        <w:p w14:paraId="55BB006B" w14:textId="77777777" w:rsidR="000C3DD7" w:rsidRDefault="00AC604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020BDA9F" w14:textId="77777777" w:rsidR="000C3DD7" w:rsidRDefault="00AC604D">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05819/INFOEM/IP/RR/2024</w:t>
          </w:r>
        </w:p>
      </w:tc>
    </w:tr>
    <w:tr w:rsidR="000C3DD7" w14:paraId="0D973BBC" w14:textId="77777777">
      <w:trPr>
        <w:trHeight w:val="228"/>
      </w:trPr>
      <w:tc>
        <w:tcPr>
          <w:tcW w:w="2489" w:type="dxa"/>
          <w:shd w:val="clear" w:color="auto" w:fill="auto"/>
          <w:vAlign w:val="center"/>
        </w:tcPr>
        <w:p w14:paraId="659F3F95" w14:textId="77777777" w:rsidR="000C3DD7" w:rsidRDefault="00AC604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29571A43" w14:textId="77777777" w:rsidR="000C3DD7" w:rsidRDefault="00AC604D">
          <w:pPr>
            <w:ind w:right="310"/>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Secretaría de Finanzas.</w:t>
          </w:r>
        </w:p>
      </w:tc>
    </w:tr>
    <w:tr w:rsidR="000C3DD7" w14:paraId="792542EB" w14:textId="77777777">
      <w:tc>
        <w:tcPr>
          <w:tcW w:w="2489" w:type="dxa"/>
          <w:shd w:val="clear" w:color="auto" w:fill="auto"/>
          <w:vAlign w:val="center"/>
        </w:tcPr>
        <w:p w14:paraId="7DDB4208" w14:textId="77777777" w:rsidR="000C3DD7" w:rsidRDefault="00AC604D">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5F812996" w14:textId="77777777" w:rsidR="000C3DD7" w:rsidRDefault="00AC604D">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25853300" w14:textId="77777777" w:rsidR="000C3DD7" w:rsidRDefault="00AC604D">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7EC6D" w14:textId="77777777" w:rsidR="000C3DD7" w:rsidRDefault="000C3DD7">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p>
  <w:tbl>
    <w:tblPr>
      <w:tblStyle w:val="a8"/>
      <w:tblW w:w="5670" w:type="dxa"/>
      <w:tblInd w:w="3261" w:type="dxa"/>
      <w:tblLayout w:type="fixed"/>
      <w:tblLook w:val="0400" w:firstRow="0" w:lastRow="0" w:firstColumn="0" w:lastColumn="0" w:noHBand="0" w:noVBand="1"/>
    </w:tblPr>
    <w:tblGrid>
      <w:gridCol w:w="2551"/>
      <w:gridCol w:w="3119"/>
    </w:tblGrid>
    <w:tr w:rsidR="000C3DD7" w14:paraId="4CF0F85D" w14:textId="77777777">
      <w:tc>
        <w:tcPr>
          <w:tcW w:w="2551" w:type="dxa"/>
          <w:shd w:val="clear" w:color="auto" w:fill="auto"/>
          <w:vAlign w:val="center"/>
        </w:tcPr>
        <w:p w14:paraId="6545F4A7" w14:textId="77777777" w:rsidR="000C3DD7" w:rsidRDefault="00AC604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9" w:type="dxa"/>
          <w:shd w:val="clear" w:color="auto" w:fill="auto"/>
          <w:vAlign w:val="center"/>
        </w:tcPr>
        <w:p w14:paraId="47C78974" w14:textId="77777777" w:rsidR="000C3DD7" w:rsidRDefault="00AC604D">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05819/INFOEM/IP/RR/2024</w:t>
          </w:r>
        </w:p>
      </w:tc>
    </w:tr>
    <w:tr w:rsidR="000C3DD7" w14:paraId="373F512F" w14:textId="77777777">
      <w:trPr>
        <w:trHeight w:val="130"/>
      </w:trPr>
      <w:tc>
        <w:tcPr>
          <w:tcW w:w="2551" w:type="dxa"/>
          <w:shd w:val="clear" w:color="auto" w:fill="auto"/>
          <w:vAlign w:val="center"/>
        </w:tcPr>
        <w:p w14:paraId="5374DDBA" w14:textId="77777777" w:rsidR="000C3DD7" w:rsidRDefault="00AC604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119" w:type="dxa"/>
          <w:shd w:val="clear" w:color="auto" w:fill="auto"/>
          <w:vAlign w:val="center"/>
        </w:tcPr>
        <w:p w14:paraId="456B0F86" w14:textId="72911F60" w:rsidR="000C3DD7" w:rsidRDefault="006B2AC1">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 xml:space="preserve">XXXXXX XXXXXXX XXXXX XXXXXXXXXXX </w:t>
          </w:r>
        </w:p>
      </w:tc>
    </w:tr>
    <w:tr w:rsidR="000C3DD7" w14:paraId="3C3CBEFF" w14:textId="77777777">
      <w:trPr>
        <w:trHeight w:val="228"/>
      </w:trPr>
      <w:tc>
        <w:tcPr>
          <w:tcW w:w="2551" w:type="dxa"/>
          <w:shd w:val="clear" w:color="auto" w:fill="auto"/>
          <w:vAlign w:val="center"/>
        </w:tcPr>
        <w:p w14:paraId="131A592F" w14:textId="77777777" w:rsidR="000C3DD7" w:rsidRDefault="00AC604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119" w:type="dxa"/>
          <w:shd w:val="clear" w:color="auto" w:fill="auto"/>
          <w:vAlign w:val="center"/>
        </w:tcPr>
        <w:p w14:paraId="74DC2322" w14:textId="77777777" w:rsidR="000C3DD7" w:rsidRDefault="00AC604D">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Secretaría de Finanzas.</w:t>
          </w:r>
        </w:p>
      </w:tc>
    </w:tr>
    <w:tr w:rsidR="000C3DD7" w14:paraId="4339D058" w14:textId="77777777">
      <w:tc>
        <w:tcPr>
          <w:tcW w:w="2551" w:type="dxa"/>
          <w:shd w:val="clear" w:color="auto" w:fill="auto"/>
          <w:vAlign w:val="center"/>
        </w:tcPr>
        <w:p w14:paraId="017808FE" w14:textId="77777777" w:rsidR="000C3DD7" w:rsidRDefault="00AC604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9" w:type="dxa"/>
          <w:shd w:val="clear" w:color="auto" w:fill="auto"/>
          <w:vAlign w:val="center"/>
        </w:tcPr>
        <w:p w14:paraId="74FDAF45" w14:textId="77777777" w:rsidR="000C3DD7" w:rsidRDefault="00AC604D">
          <w:pPr>
            <w:ind w:left="-45"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1BFAA31A" w14:textId="77777777" w:rsidR="000C3DD7" w:rsidRDefault="00AC604D">
    <w:pPr>
      <w:pBdr>
        <w:top w:val="nil"/>
        <w:left w:val="nil"/>
        <w:bottom w:val="nil"/>
        <w:right w:val="nil"/>
        <w:between w:val="nil"/>
      </w:pBdr>
      <w:tabs>
        <w:tab w:val="center" w:pos="4252"/>
        <w:tab w:val="right" w:pos="8504"/>
      </w:tabs>
      <w:rPr>
        <w:rFonts w:ascii="Cambria" w:eastAsia="Cambria" w:hAnsi="Cambria" w:cs="Cambria"/>
        <w:color w:val="000000"/>
      </w:rPr>
    </w:pPr>
    <w:r>
      <w:rPr>
        <w:noProof/>
      </w:rPr>
      <w:drawing>
        <wp:anchor distT="0" distB="0" distL="0" distR="0" simplePos="0" relativeHeight="251659264" behindDoc="1" locked="0" layoutInCell="1" hidden="0" allowOverlap="1" wp14:anchorId="17C8B973" wp14:editId="0A7F38F0">
          <wp:simplePos x="0" y="0"/>
          <wp:positionH relativeFrom="column">
            <wp:posOffset>-1089655</wp:posOffset>
          </wp:positionH>
          <wp:positionV relativeFrom="paragraph">
            <wp:posOffset>-1169666</wp:posOffset>
          </wp:positionV>
          <wp:extent cx="7809865" cy="10165715"/>
          <wp:effectExtent l="0" t="0" r="0" b="0"/>
          <wp:wrapNone/>
          <wp:docPr id="4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C1129"/>
    <w:multiLevelType w:val="multilevel"/>
    <w:tmpl w:val="2C96F158"/>
    <w:lvl w:ilvl="0">
      <w:start w:val="1"/>
      <w:numFmt w:val="bullet"/>
      <w:pStyle w:val="Listaconvietas3"/>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61345952"/>
    <w:multiLevelType w:val="multilevel"/>
    <w:tmpl w:val="EC5C16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3DD7"/>
    <w:rsid w:val="000C3DD7"/>
    <w:rsid w:val="00404605"/>
    <w:rsid w:val="004709C5"/>
    <w:rsid w:val="005451EF"/>
    <w:rsid w:val="005F5D99"/>
    <w:rsid w:val="006B2AC1"/>
    <w:rsid w:val="00AC604D"/>
    <w:rsid w:val="00DB3C8D"/>
    <w:rsid w:val="00DC3F28"/>
    <w:rsid w:val="00F8446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2EDEA"/>
  <w15:docId w15:val="{B9AF5C66-3529-487B-8E4D-AA9FF396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20AB"/>
  </w:style>
  <w:style w:type="paragraph" w:styleId="Ttulo1">
    <w:name w:val="heading 1"/>
    <w:basedOn w:val="Normal"/>
    <w:next w:val="Normal"/>
    <w:link w:val="Ttulo1Car"/>
    <w:uiPriority w:val="9"/>
    <w:qFormat/>
    <w:rsid w:val="00603D7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603D7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semiHidden/>
    <w:unhideWhenUsed/>
    <w:qFormat/>
    <w:rsid w:val="003B73CD"/>
    <w:pPr>
      <w:keepNext/>
      <w:tabs>
        <w:tab w:val="num" w:pos="2160"/>
      </w:tabs>
      <w:spacing w:before="240" w:after="60"/>
      <w:ind w:left="2160" w:hanging="720"/>
      <w:outlineLvl w:val="2"/>
    </w:pPr>
    <w:rPr>
      <w:rFonts w:asciiTheme="majorHAnsi" w:eastAsiaTheme="majorEastAsia" w:hAnsiTheme="majorHAnsi" w:cstheme="majorBidi"/>
      <w:b/>
      <w:bCs/>
      <w:sz w:val="26"/>
      <w:szCs w:val="26"/>
      <w:lang w:val="en-US" w:eastAsia="en-US"/>
    </w:rPr>
  </w:style>
  <w:style w:type="paragraph" w:styleId="Ttulo4">
    <w:name w:val="heading 4"/>
    <w:basedOn w:val="Normal"/>
    <w:next w:val="Normal"/>
    <w:link w:val="Ttulo4Car"/>
    <w:uiPriority w:val="9"/>
    <w:semiHidden/>
    <w:unhideWhenUsed/>
    <w:qFormat/>
    <w:rsid w:val="003B73CD"/>
    <w:pPr>
      <w:keepNext/>
      <w:tabs>
        <w:tab w:val="num" w:pos="2880"/>
      </w:tabs>
      <w:spacing w:before="240" w:after="60"/>
      <w:ind w:left="2880" w:hanging="720"/>
      <w:outlineLvl w:val="3"/>
    </w:pPr>
    <w:rPr>
      <w:rFonts w:asciiTheme="minorHAnsi" w:eastAsiaTheme="minorEastAsia" w:hAnsiTheme="minorHAnsi" w:cstheme="minorBidi"/>
      <w:b/>
      <w:bCs/>
      <w:sz w:val="28"/>
      <w:szCs w:val="28"/>
      <w:lang w:val="en-US" w:eastAsia="en-US"/>
    </w:rPr>
  </w:style>
  <w:style w:type="paragraph" w:styleId="Ttulo5">
    <w:name w:val="heading 5"/>
    <w:basedOn w:val="Normal"/>
    <w:next w:val="Normal"/>
    <w:link w:val="Ttulo5Car"/>
    <w:uiPriority w:val="9"/>
    <w:semiHidden/>
    <w:unhideWhenUsed/>
    <w:qFormat/>
    <w:rsid w:val="003B73CD"/>
    <w:pPr>
      <w:tabs>
        <w:tab w:val="num" w:pos="3600"/>
      </w:tabs>
      <w:spacing w:before="240" w:after="60"/>
      <w:ind w:left="3600" w:hanging="720"/>
      <w:outlineLvl w:val="4"/>
    </w:pPr>
    <w:rPr>
      <w:rFonts w:asciiTheme="minorHAnsi" w:eastAsiaTheme="minorEastAsia" w:hAnsiTheme="minorHAnsi" w:cstheme="minorBidi"/>
      <w:b/>
      <w:bCs/>
      <w:i/>
      <w:iCs/>
      <w:sz w:val="26"/>
      <w:szCs w:val="26"/>
      <w:lang w:val="en-US" w:eastAsia="en-US"/>
    </w:rPr>
  </w:style>
  <w:style w:type="paragraph" w:styleId="Ttulo6">
    <w:name w:val="heading 6"/>
    <w:basedOn w:val="Normal"/>
    <w:next w:val="Normal"/>
    <w:link w:val="Ttulo6Car"/>
    <w:semiHidden/>
    <w:unhideWhenUsed/>
    <w:qFormat/>
    <w:rsid w:val="003B73CD"/>
    <w:pPr>
      <w:tabs>
        <w:tab w:val="num" w:pos="4320"/>
      </w:tabs>
      <w:spacing w:before="240" w:after="60"/>
      <w:ind w:left="4320" w:hanging="720"/>
      <w:outlineLvl w:val="5"/>
    </w:pPr>
    <w:rPr>
      <w:b/>
      <w:bCs/>
      <w:sz w:val="22"/>
      <w:szCs w:val="22"/>
      <w:lang w:val="en-US" w:eastAsia="en-US"/>
    </w:rPr>
  </w:style>
  <w:style w:type="paragraph" w:styleId="Ttulo7">
    <w:name w:val="heading 7"/>
    <w:basedOn w:val="Normal"/>
    <w:next w:val="Normal"/>
    <w:link w:val="Ttulo7Car"/>
    <w:uiPriority w:val="9"/>
    <w:semiHidden/>
    <w:unhideWhenUsed/>
    <w:qFormat/>
    <w:rsid w:val="003B73CD"/>
    <w:pPr>
      <w:tabs>
        <w:tab w:val="num" w:pos="5040"/>
      </w:tabs>
      <w:spacing w:before="240" w:after="60"/>
      <w:ind w:left="5040" w:hanging="720"/>
      <w:outlineLvl w:val="6"/>
    </w:pPr>
    <w:rPr>
      <w:rFonts w:asciiTheme="minorHAnsi" w:eastAsiaTheme="minorEastAsia" w:hAnsiTheme="minorHAnsi" w:cstheme="minorBidi"/>
      <w:lang w:val="en-US" w:eastAsia="en-US"/>
    </w:rPr>
  </w:style>
  <w:style w:type="paragraph" w:styleId="Ttulo8">
    <w:name w:val="heading 8"/>
    <w:basedOn w:val="Normal"/>
    <w:next w:val="Normal"/>
    <w:link w:val="Ttulo8Car"/>
    <w:uiPriority w:val="9"/>
    <w:semiHidden/>
    <w:unhideWhenUsed/>
    <w:qFormat/>
    <w:rsid w:val="003B73CD"/>
    <w:pPr>
      <w:tabs>
        <w:tab w:val="num" w:pos="5760"/>
      </w:tabs>
      <w:spacing w:before="240" w:after="60"/>
      <w:ind w:left="5760" w:hanging="720"/>
      <w:outlineLvl w:val="7"/>
    </w:pPr>
    <w:rPr>
      <w:rFonts w:asciiTheme="minorHAnsi" w:eastAsiaTheme="minorEastAsia" w:hAnsiTheme="minorHAnsi" w:cstheme="minorBidi"/>
      <w:i/>
      <w:iCs/>
      <w:lang w:val="en-US" w:eastAsia="en-US"/>
    </w:rPr>
  </w:style>
  <w:style w:type="paragraph" w:styleId="Ttulo9">
    <w:name w:val="heading 9"/>
    <w:basedOn w:val="Normal"/>
    <w:next w:val="Normal"/>
    <w:link w:val="Ttulo9Car"/>
    <w:uiPriority w:val="9"/>
    <w:semiHidden/>
    <w:unhideWhenUsed/>
    <w:qFormat/>
    <w:rsid w:val="003B73CD"/>
    <w:pPr>
      <w:tabs>
        <w:tab w:val="num" w:pos="6480"/>
      </w:tabs>
      <w:spacing w:before="240" w:after="60"/>
      <w:ind w:left="6480" w:hanging="720"/>
      <w:outlineLvl w:val="8"/>
    </w:pPr>
    <w:rPr>
      <w:rFonts w:asciiTheme="majorHAnsi" w:eastAsiaTheme="majorEastAsia" w:hAnsiTheme="majorHAnsi" w:cstheme="majorBidi"/>
      <w:sz w:val="22"/>
      <w:szCs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aliases w:val="Cita textual"/>
    <w:basedOn w:val="Normal"/>
    <w:next w:val="Normal"/>
    <w:link w:val="TtuloCar"/>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C80F8C"/>
  </w:style>
  <w:style w:type="paragraph" w:styleId="Piedepgina">
    <w:name w:val="footer"/>
    <w:basedOn w:val="Normal"/>
    <w:link w:val="Piedepgina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C80F8C"/>
  </w:style>
  <w:style w:type="paragraph" w:styleId="Textodeglobo">
    <w:name w:val="Balloon Text"/>
    <w:basedOn w:val="Normal"/>
    <w:link w:val="TextodegloboCar"/>
    <w:uiPriority w:val="99"/>
    <w:semiHidden/>
    <w:unhideWhenUsed/>
    <w:rsid w:val="00C80F8C"/>
    <w:rPr>
      <w:rFonts w:ascii="Lucida Grande" w:eastAsiaTheme="minorEastAsia" w:hAnsi="Lucida Grande" w:cs="Lucida Grande"/>
      <w:sz w:val="18"/>
      <w:szCs w:val="18"/>
      <w:lang w:val="es-ES_tradnl"/>
    </w:rPr>
  </w:style>
  <w:style w:type="character" w:customStyle="1" w:styleId="TextodegloboCar">
    <w:name w:val="Texto de globo Car"/>
    <w:basedOn w:val="Fuentedeprrafopredeter"/>
    <w:link w:val="Textodeglobo"/>
    <w:uiPriority w:val="99"/>
    <w:semiHidden/>
    <w:rsid w:val="00C80F8C"/>
    <w:rPr>
      <w:rFonts w:ascii="Lucida Grande" w:hAnsi="Lucida Grande" w:cs="Lucida Grande"/>
      <w:sz w:val="18"/>
      <w:szCs w:val="18"/>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70703E"/>
    <w:pPr>
      <w:ind w:left="720"/>
      <w:contextualSpacing/>
    </w:pPr>
  </w:style>
  <w:style w:type="character" w:styleId="Hipervnculo">
    <w:name w:val="Hyperlink"/>
    <w:basedOn w:val="Fuentedeprrafopredeter"/>
    <w:uiPriority w:val="99"/>
    <w:unhideWhenUsed/>
    <w:rsid w:val="00FD7589"/>
    <w:rPr>
      <w:color w:val="0000FF"/>
      <w:u w:val="single"/>
    </w:rPr>
  </w:style>
  <w:style w:type="character" w:customStyle="1" w:styleId="apple-converted-space">
    <w:name w:val="apple-converted-space"/>
    <w:basedOn w:val="Fuentedeprrafopredeter"/>
    <w:rsid w:val="00FD7589"/>
  </w:style>
  <w:style w:type="paragraph" w:customStyle="1" w:styleId="Listavistosa-nfasis11">
    <w:name w:val="Lista vistosa - Énfasis 11"/>
    <w:basedOn w:val="Normal"/>
    <w:link w:val="Listavistosa-nfasis1Car"/>
    <w:uiPriority w:val="34"/>
    <w:qFormat/>
    <w:rsid w:val="000D2D89"/>
    <w:pPr>
      <w:ind w:left="708"/>
    </w:pPr>
  </w:style>
  <w:style w:type="character" w:customStyle="1" w:styleId="Listavistosa-nfasis1Car">
    <w:name w:val="Lista vistosa - Énfasis 1 Car"/>
    <w:link w:val="Listavistosa-nfasis11"/>
    <w:uiPriority w:val="34"/>
    <w:locked/>
    <w:rsid w:val="000D2D89"/>
    <w:rPr>
      <w:rFonts w:ascii="Times New Roman" w:eastAsia="Times New Roman" w:hAnsi="Times New Roman" w:cs="Times New Roman"/>
      <w:lang w:val="es-ES"/>
    </w:rPr>
  </w:style>
  <w:style w:type="paragraph" w:customStyle="1" w:styleId="Texto">
    <w:name w:val="Texto"/>
    <w:basedOn w:val="Normal"/>
    <w:link w:val="TextoCar"/>
    <w:rsid w:val="000470FE"/>
    <w:pPr>
      <w:spacing w:after="101" w:line="216" w:lineRule="exact"/>
      <w:ind w:firstLine="288"/>
      <w:jc w:val="both"/>
    </w:pPr>
    <w:rPr>
      <w:rFonts w:ascii="Arial" w:hAnsi="Arial" w:cs="Arial"/>
      <w:sz w:val="18"/>
      <w:szCs w:val="18"/>
    </w:rPr>
  </w:style>
  <w:style w:type="paragraph" w:styleId="NormalWeb">
    <w:name w:val="Normal (Web)"/>
    <w:basedOn w:val="Normal"/>
    <w:uiPriority w:val="99"/>
    <w:rsid w:val="000470FE"/>
    <w:pPr>
      <w:spacing w:before="100" w:beforeAutospacing="1" w:after="100" w:afterAutospacing="1"/>
    </w:pPr>
  </w:style>
  <w:style w:type="character" w:customStyle="1" w:styleId="apple-style-span">
    <w:name w:val="apple-style-span"/>
    <w:rsid w:val="008846E7"/>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7E1FF4"/>
    <w:rPr>
      <w:rFonts w:ascii="Times New Roman" w:eastAsia="Times New Roman" w:hAnsi="Times New Roman" w:cs="Times New Roman"/>
      <w:lang w:val="es-ES"/>
    </w:rPr>
  </w:style>
  <w:style w:type="character" w:styleId="Textoennegrita">
    <w:name w:val="Strong"/>
    <w:uiPriority w:val="22"/>
    <w:qFormat/>
    <w:rsid w:val="003D1B5F"/>
    <w:rPr>
      <w:b/>
      <w:bC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2944C8"/>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2944C8"/>
    <w:rPr>
      <w:rFonts w:eastAsiaTheme="minorHAnsi"/>
      <w:sz w:val="20"/>
      <w:szCs w:val="20"/>
      <w:lang w:val="es-MX"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iPriority w:val="99"/>
    <w:unhideWhenUsed/>
    <w:qFormat/>
    <w:rsid w:val="002944C8"/>
    <w:rPr>
      <w:vertAlign w:val="superscript"/>
    </w:rPr>
  </w:style>
  <w:style w:type="paragraph" w:styleId="Sinespaciado">
    <w:name w:val="No Spacing"/>
    <w:aliases w:val="Francesa,Fundamentos,INAI"/>
    <w:link w:val="SinespaciadoCar"/>
    <w:uiPriority w:val="1"/>
    <w:qFormat/>
    <w:rsid w:val="002944C8"/>
  </w:style>
  <w:style w:type="paragraph" w:styleId="Textoindependiente2">
    <w:name w:val="Body Text 2"/>
    <w:basedOn w:val="Normal"/>
    <w:link w:val="Textoindependiente2Car"/>
    <w:uiPriority w:val="99"/>
    <w:unhideWhenUsed/>
    <w:rsid w:val="002944C8"/>
    <w:pPr>
      <w:spacing w:after="120" w:line="480" w:lineRule="auto"/>
    </w:pPr>
  </w:style>
  <w:style w:type="character" w:customStyle="1" w:styleId="Textoindependiente2Car">
    <w:name w:val="Texto independiente 2 Car"/>
    <w:basedOn w:val="Fuentedeprrafopredeter"/>
    <w:link w:val="Textoindependiente2"/>
    <w:uiPriority w:val="99"/>
    <w:rsid w:val="002944C8"/>
    <w:rPr>
      <w:rFonts w:ascii="Times New Roman" w:eastAsia="Times New Roman" w:hAnsi="Times New Roman" w:cs="Times New Roman"/>
      <w:lang w:val="es-ES"/>
    </w:rPr>
  </w:style>
  <w:style w:type="paragraph" w:styleId="Textosinformato">
    <w:name w:val="Plain Text"/>
    <w:basedOn w:val="Normal"/>
    <w:link w:val="TextosinformatoCar"/>
    <w:rsid w:val="002944C8"/>
    <w:rPr>
      <w:rFonts w:ascii="Courier New" w:hAnsi="Courier New"/>
      <w:sz w:val="20"/>
      <w:szCs w:val="20"/>
    </w:rPr>
  </w:style>
  <w:style w:type="character" w:customStyle="1" w:styleId="TextosinformatoCar">
    <w:name w:val="Texto sin formato Car"/>
    <w:basedOn w:val="Fuentedeprrafopredeter"/>
    <w:link w:val="Textosinformato"/>
    <w:rsid w:val="002944C8"/>
    <w:rPr>
      <w:rFonts w:ascii="Courier New" w:eastAsia="Times New Roman" w:hAnsi="Courier New" w:cs="Times New Roman"/>
      <w:sz w:val="20"/>
      <w:szCs w:val="20"/>
      <w:lang w:val="es-ES"/>
    </w:rPr>
  </w:style>
  <w:style w:type="paragraph" w:customStyle="1" w:styleId="Standard">
    <w:name w:val="Standard"/>
    <w:rsid w:val="002944C8"/>
    <w:pPr>
      <w:widowControl w:val="0"/>
      <w:suppressAutoHyphens/>
      <w:autoSpaceDN w:val="0"/>
      <w:textAlignment w:val="baseline"/>
    </w:pPr>
    <w:rPr>
      <w:rFonts w:ascii="Liberation Serif" w:eastAsia="DejaVu Sans" w:hAnsi="Liberation Serif" w:cs="Lohit Hindi"/>
      <w:kern w:val="3"/>
      <w:lang w:eastAsia="zh-CN" w:bidi="hi-IN"/>
    </w:rPr>
  </w:style>
  <w:style w:type="character" w:customStyle="1" w:styleId="negritas1">
    <w:name w:val="negritas1"/>
    <w:rsid w:val="002944C8"/>
    <w:rPr>
      <w:rFonts w:ascii="Arial" w:hAnsi="Arial" w:cs="Arial" w:hint="default"/>
      <w:b/>
      <w:bCs/>
      <w:sz w:val="18"/>
      <w:szCs w:val="18"/>
    </w:rPr>
  </w:style>
  <w:style w:type="paragraph" w:customStyle="1" w:styleId="Pa2">
    <w:name w:val="Pa2"/>
    <w:basedOn w:val="Normal"/>
    <w:next w:val="Normal"/>
    <w:uiPriority w:val="99"/>
    <w:rsid w:val="002944C8"/>
    <w:pPr>
      <w:autoSpaceDE w:val="0"/>
      <w:autoSpaceDN w:val="0"/>
      <w:adjustRightInd w:val="0"/>
      <w:spacing w:line="240" w:lineRule="atLeast"/>
    </w:pPr>
    <w:rPr>
      <w:rFonts w:ascii="Helvetica" w:hAnsi="Helvetica"/>
      <w:lang w:val="es-ES_tradnl" w:eastAsia="es-ES_tradnl"/>
    </w:rPr>
  </w:style>
  <w:style w:type="paragraph" w:customStyle="1" w:styleId="Default">
    <w:name w:val="Default"/>
    <w:rsid w:val="002944C8"/>
    <w:pPr>
      <w:autoSpaceDE w:val="0"/>
      <w:autoSpaceDN w:val="0"/>
      <w:adjustRightInd w:val="0"/>
    </w:pPr>
    <w:rPr>
      <w:rFonts w:ascii="Arial" w:eastAsiaTheme="minorHAnsi" w:hAnsi="Arial" w:cs="Arial"/>
      <w:color w:val="000000"/>
      <w:lang w:eastAsia="en-US"/>
    </w:rPr>
  </w:style>
  <w:style w:type="character" w:customStyle="1" w:styleId="f">
    <w:name w:val="f"/>
    <w:basedOn w:val="Fuentedeprrafopredeter"/>
    <w:rsid w:val="002944C8"/>
  </w:style>
  <w:style w:type="paragraph" w:customStyle="1" w:styleId="q">
    <w:name w:val="q"/>
    <w:basedOn w:val="Normal"/>
    <w:rsid w:val="002944C8"/>
    <w:pPr>
      <w:spacing w:before="100" w:beforeAutospacing="1" w:after="100" w:afterAutospacing="1"/>
    </w:pPr>
  </w:style>
  <w:style w:type="character" w:customStyle="1" w:styleId="d">
    <w:name w:val="d"/>
    <w:basedOn w:val="Fuentedeprrafopredeter"/>
    <w:rsid w:val="002944C8"/>
  </w:style>
  <w:style w:type="character" w:customStyle="1" w:styleId="b">
    <w:name w:val="b"/>
    <w:basedOn w:val="Fuentedeprrafopredeter"/>
    <w:rsid w:val="002944C8"/>
  </w:style>
  <w:style w:type="character" w:customStyle="1" w:styleId="k">
    <w:name w:val="k"/>
    <w:basedOn w:val="Fuentedeprrafopredeter"/>
    <w:rsid w:val="002944C8"/>
  </w:style>
  <w:style w:type="character" w:customStyle="1" w:styleId="h">
    <w:name w:val="h"/>
    <w:basedOn w:val="Fuentedeprrafopredeter"/>
    <w:rsid w:val="002944C8"/>
  </w:style>
  <w:style w:type="character" w:styleId="Hipervnculovisitado">
    <w:name w:val="FollowedHyperlink"/>
    <w:basedOn w:val="Fuentedeprrafopredeter"/>
    <w:uiPriority w:val="99"/>
    <w:semiHidden/>
    <w:unhideWhenUsed/>
    <w:rsid w:val="002944C8"/>
    <w:rPr>
      <w:color w:val="800080" w:themeColor="followedHyperlink"/>
      <w:u w:val="single"/>
    </w:rPr>
  </w:style>
  <w:style w:type="character" w:styleId="CitaHTML">
    <w:name w:val="HTML Cite"/>
    <w:uiPriority w:val="99"/>
    <w:semiHidden/>
    <w:unhideWhenUsed/>
    <w:rsid w:val="00B85C7C"/>
    <w:rPr>
      <w:i/>
      <w:iCs/>
    </w:rPr>
  </w:style>
  <w:style w:type="character" w:customStyle="1" w:styleId="SinespaciadoCar">
    <w:name w:val="Sin espaciado Car"/>
    <w:aliases w:val="Francesa Car,Fundamentos Car,INAI Car"/>
    <w:link w:val="Sinespaciado"/>
    <w:uiPriority w:val="1"/>
    <w:locked/>
    <w:rsid w:val="00270539"/>
    <w:rPr>
      <w:rFonts w:ascii="Times New Roman" w:eastAsia="Times New Roman" w:hAnsi="Times New Roman" w:cs="Times New Roman"/>
      <w:lang w:val="es-MX"/>
    </w:rPr>
  </w:style>
  <w:style w:type="character" w:customStyle="1" w:styleId="medium">
    <w:name w:val="medium"/>
    <w:basedOn w:val="Fuentedeprrafopredeter"/>
    <w:rsid w:val="00354DB7"/>
  </w:style>
  <w:style w:type="table" w:styleId="Tablaconcuadrcula">
    <w:name w:val="Table Grid"/>
    <w:basedOn w:val="Tablanormal"/>
    <w:uiPriority w:val="59"/>
    <w:rsid w:val="00BB3A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umeroconsecutivo">
    <w:name w:val="numeroconsecutivo"/>
    <w:basedOn w:val="Fuentedeprrafopredeter"/>
    <w:rsid w:val="00615060"/>
  </w:style>
  <w:style w:type="character" w:customStyle="1" w:styleId="titulorubrolgt">
    <w:name w:val="titulorubrolgt"/>
    <w:basedOn w:val="Fuentedeprrafopredeter"/>
    <w:rsid w:val="00615060"/>
  </w:style>
  <w:style w:type="character" w:customStyle="1" w:styleId="ctr">
    <w:name w:val="ctr"/>
    <w:basedOn w:val="Fuentedeprrafopredeter"/>
    <w:rsid w:val="00615060"/>
  </w:style>
  <w:style w:type="paragraph" w:styleId="Textonotaalfinal">
    <w:name w:val="endnote text"/>
    <w:basedOn w:val="Normal"/>
    <w:link w:val="TextonotaalfinalCar"/>
    <w:uiPriority w:val="99"/>
    <w:semiHidden/>
    <w:unhideWhenUsed/>
    <w:rsid w:val="00D25E88"/>
    <w:rPr>
      <w:sz w:val="20"/>
      <w:szCs w:val="20"/>
    </w:rPr>
  </w:style>
  <w:style w:type="character" w:customStyle="1" w:styleId="TextonotaalfinalCar">
    <w:name w:val="Texto nota al final Car"/>
    <w:basedOn w:val="Fuentedeprrafopredeter"/>
    <w:link w:val="Textonotaalfinal"/>
    <w:uiPriority w:val="99"/>
    <w:semiHidden/>
    <w:rsid w:val="00D25E88"/>
    <w:rPr>
      <w:rFonts w:ascii="Times New Roman" w:eastAsia="Times New Roman" w:hAnsi="Times New Roman" w:cs="Times New Roman"/>
      <w:sz w:val="20"/>
      <w:szCs w:val="20"/>
      <w:lang w:val="es-ES"/>
    </w:rPr>
  </w:style>
  <w:style w:type="character" w:styleId="Refdenotaalfinal">
    <w:name w:val="endnote reference"/>
    <w:basedOn w:val="Fuentedeprrafopredeter"/>
    <w:uiPriority w:val="99"/>
    <w:semiHidden/>
    <w:unhideWhenUsed/>
    <w:rsid w:val="00D25E88"/>
    <w:rPr>
      <w:vertAlign w:val="superscript"/>
    </w:rPr>
  </w:style>
  <w:style w:type="character" w:customStyle="1" w:styleId="A1">
    <w:name w:val="A1"/>
    <w:uiPriority w:val="99"/>
    <w:rsid w:val="00EC4ECD"/>
    <w:rPr>
      <w:rFonts w:ascii="Myriad Pro" w:hAnsi="Myriad Pro" w:cs="Myriad Pro" w:hint="default"/>
      <w:color w:val="000000"/>
      <w:sz w:val="22"/>
      <w:szCs w:val="22"/>
    </w:rPr>
  </w:style>
  <w:style w:type="paragraph" w:customStyle="1" w:styleId="Pa9">
    <w:name w:val="Pa9"/>
    <w:basedOn w:val="Normal"/>
    <w:next w:val="Normal"/>
    <w:uiPriority w:val="99"/>
    <w:rsid w:val="00EC4ECD"/>
    <w:pPr>
      <w:autoSpaceDE w:val="0"/>
      <w:autoSpaceDN w:val="0"/>
      <w:adjustRightInd w:val="0"/>
      <w:spacing w:line="241" w:lineRule="atLeast"/>
    </w:pPr>
    <w:rPr>
      <w:rFonts w:ascii="Myriad Pro" w:eastAsiaTheme="minorHAnsi" w:hAnsi="Myriad Pro" w:cstheme="minorBidi"/>
      <w:lang w:eastAsia="en-US"/>
    </w:rPr>
  </w:style>
  <w:style w:type="paragraph" w:customStyle="1" w:styleId="Pa5">
    <w:name w:val="Pa5"/>
    <w:basedOn w:val="Normal"/>
    <w:next w:val="Normal"/>
    <w:uiPriority w:val="99"/>
    <w:rsid w:val="00EC4ECD"/>
    <w:pPr>
      <w:autoSpaceDE w:val="0"/>
      <w:autoSpaceDN w:val="0"/>
      <w:adjustRightInd w:val="0"/>
      <w:spacing w:line="201" w:lineRule="atLeast"/>
    </w:pPr>
    <w:rPr>
      <w:rFonts w:ascii="Myriad Pro" w:eastAsiaTheme="minorHAnsi" w:hAnsi="Myriad Pro" w:cstheme="minorBidi"/>
      <w:lang w:eastAsia="en-US"/>
    </w:rPr>
  </w:style>
  <w:style w:type="paragraph" w:customStyle="1" w:styleId="m5127500252372250437gmail-paragraph">
    <w:name w:val="m_5127500252372250437gmail-paragraph"/>
    <w:basedOn w:val="Normal"/>
    <w:rsid w:val="00980B7E"/>
    <w:pPr>
      <w:spacing w:before="100" w:beforeAutospacing="1" w:after="100" w:afterAutospacing="1"/>
    </w:pPr>
  </w:style>
  <w:style w:type="character" w:customStyle="1" w:styleId="nombrefraccder">
    <w:name w:val="nombrefraccder"/>
    <w:basedOn w:val="Fuentedeprrafopredeter"/>
    <w:rsid w:val="009B4A68"/>
  </w:style>
  <w:style w:type="character" w:customStyle="1" w:styleId="numberfraccder">
    <w:name w:val="numberfraccder"/>
    <w:basedOn w:val="Fuentedeprrafopredeter"/>
    <w:rsid w:val="009B4A68"/>
  </w:style>
  <w:style w:type="character" w:customStyle="1" w:styleId="TextoCar">
    <w:name w:val="Texto Car"/>
    <w:link w:val="Texto"/>
    <w:locked/>
    <w:rsid w:val="002B0963"/>
    <w:rPr>
      <w:rFonts w:ascii="Arial" w:eastAsia="Times New Roman" w:hAnsi="Arial" w:cs="Arial"/>
      <w:sz w:val="18"/>
      <w:szCs w:val="18"/>
      <w:lang w:val="es-MX"/>
    </w:rPr>
  </w:style>
  <w:style w:type="character" w:styleId="nfasis">
    <w:name w:val="Emphasis"/>
    <w:basedOn w:val="Fuentedeprrafopredeter"/>
    <w:uiPriority w:val="20"/>
    <w:qFormat/>
    <w:rsid w:val="00C536F2"/>
    <w:rPr>
      <w:i/>
      <w:iCs/>
    </w:rPr>
  </w:style>
  <w:style w:type="character" w:customStyle="1" w:styleId="normaltextrun">
    <w:name w:val="normaltextrun"/>
    <w:basedOn w:val="Fuentedeprrafopredeter"/>
    <w:rsid w:val="0011437B"/>
  </w:style>
  <w:style w:type="character" w:customStyle="1" w:styleId="m5127500252372250437gmail-normaltextrun">
    <w:name w:val="m_5127500252372250437gmail-normaltextrun"/>
    <w:basedOn w:val="Fuentedeprrafopredeter"/>
    <w:rsid w:val="0011437B"/>
  </w:style>
  <w:style w:type="paragraph" w:customStyle="1" w:styleId="m-60081275284358516gmail-msolistparagraph">
    <w:name w:val="m_-60081275284358516gmail-msolistparagraph"/>
    <w:basedOn w:val="Normal"/>
    <w:rsid w:val="00207C90"/>
    <w:pPr>
      <w:spacing w:before="100" w:beforeAutospacing="1" w:after="100" w:afterAutospacing="1"/>
    </w:pPr>
  </w:style>
  <w:style w:type="paragraph" w:customStyle="1" w:styleId="ANOTACION">
    <w:name w:val="ANOTACION"/>
    <w:basedOn w:val="Normal"/>
    <w:link w:val="ANOTACIONCar"/>
    <w:rsid w:val="001B5A73"/>
    <w:pPr>
      <w:spacing w:before="101" w:after="101" w:line="216" w:lineRule="atLeast"/>
      <w:jc w:val="center"/>
    </w:pPr>
    <w:rPr>
      <w:b/>
      <w:sz w:val="18"/>
      <w:szCs w:val="20"/>
      <w:lang w:val="es-ES_tradnl"/>
    </w:rPr>
  </w:style>
  <w:style w:type="character" w:customStyle="1" w:styleId="ANOTACIONCar">
    <w:name w:val="ANOTACION Car"/>
    <w:link w:val="ANOTACION"/>
    <w:locked/>
    <w:rsid w:val="001B5A73"/>
    <w:rPr>
      <w:rFonts w:ascii="Times New Roman" w:eastAsia="Times New Roman" w:hAnsi="Times New Roman" w:cs="Times New Roman"/>
      <w:b/>
      <w:sz w:val="18"/>
      <w:szCs w:val="20"/>
    </w:rPr>
  </w:style>
  <w:style w:type="paragraph" w:customStyle="1" w:styleId="j">
    <w:name w:val="j"/>
    <w:basedOn w:val="Normal"/>
    <w:rsid w:val="007B00BD"/>
    <w:pPr>
      <w:spacing w:before="100" w:beforeAutospacing="1" w:after="100" w:afterAutospacing="1"/>
    </w:pPr>
  </w:style>
  <w:style w:type="character" w:customStyle="1" w:styleId="nacep">
    <w:name w:val="n_acep"/>
    <w:basedOn w:val="Fuentedeprrafopredeter"/>
    <w:rsid w:val="007B00BD"/>
  </w:style>
  <w:style w:type="paragraph" w:customStyle="1" w:styleId="k5">
    <w:name w:val="k5"/>
    <w:basedOn w:val="Normal"/>
    <w:rsid w:val="007B00BD"/>
    <w:pPr>
      <w:spacing w:before="100" w:beforeAutospacing="1" w:after="100" w:afterAutospacing="1"/>
    </w:pPr>
  </w:style>
  <w:style w:type="paragraph" w:customStyle="1" w:styleId="m">
    <w:name w:val="m"/>
    <w:basedOn w:val="Normal"/>
    <w:rsid w:val="007B00BD"/>
    <w:pPr>
      <w:spacing w:before="100" w:beforeAutospacing="1" w:after="100" w:afterAutospacing="1"/>
    </w:pPr>
  </w:style>
  <w:style w:type="character" w:styleId="Refdecomentario">
    <w:name w:val="annotation reference"/>
    <w:basedOn w:val="Fuentedeprrafopredeter"/>
    <w:uiPriority w:val="99"/>
    <w:semiHidden/>
    <w:unhideWhenUsed/>
    <w:rsid w:val="003219FE"/>
    <w:rPr>
      <w:sz w:val="16"/>
      <w:szCs w:val="16"/>
    </w:rPr>
  </w:style>
  <w:style w:type="paragraph" w:styleId="Textocomentario">
    <w:name w:val="annotation text"/>
    <w:basedOn w:val="Normal"/>
    <w:link w:val="TextocomentarioCar"/>
    <w:uiPriority w:val="99"/>
    <w:semiHidden/>
    <w:unhideWhenUsed/>
    <w:rsid w:val="003219FE"/>
    <w:rPr>
      <w:sz w:val="20"/>
      <w:szCs w:val="20"/>
    </w:rPr>
  </w:style>
  <w:style w:type="character" w:customStyle="1" w:styleId="TextocomentarioCar">
    <w:name w:val="Texto comentario Car"/>
    <w:basedOn w:val="Fuentedeprrafopredeter"/>
    <w:link w:val="Textocomentario"/>
    <w:uiPriority w:val="99"/>
    <w:semiHidden/>
    <w:rsid w:val="003219FE"/>
    <w:rPr>
      <w:rFonts w:ascii="Times New Roman" w:eastAsia="Times New Roman" w:hAnsi="Times New Roman" w:cs="Times New Roman"/>
      <w:sz w:val="20"/>
      <w:szCs w:val="20"/>
      <w:lang w:val="es-ES"/>
    </w:rPr>
  </w:style>
  <w:style w:type="paragraph" w:styleId="Asuntodelcomentario">
    <w:name w:val="annotation subject"/>
    <w:basedOn w:val="Textocomentario"/>
    <w:next w:val="Textocomentario"/>
    <w:link w:val="AsuntodelcomentarioCar"/>
    <w:uiPriority w:val="99"/>
    <w:semiHidden/>
    <w:unhideWhenUsed/>
    <w:rsid w:val="003219FE"/>
    <w:rPr>
      <w:b/>
      <w:bCs/>
    </w:rPr>
  </w:style>
  <w:style w:type="character" w:customStyle="1" w:styleId="AsuntodelcomentarioCar">
    <w:name w:val="Asunto del comentario Car"/>
    <w:basedOn w:val="TextocomentarioCar"/>
    <w:link w:val="Asuntodelcomentario"/>
    <w:uiPriority w:val="99"/>
    <w:semiHidden/>
    <w:rsid w:val="003219FE"/>
    <w:rPr>
      <w:rFonts w:ascii="Times New Roman" w:eastAsia="Times New Roman" w:hAnsi="Times New Roman" w:cs="Times New Roman"/>
      <w:b/>
      <w:bCs/>
      <w:sz w:val="20"/>
      <w:szCs w:val="20"/>
      <w:lang w:val="es-ES"/>
    </w:rPr>
  </w:style>
  <w:style w:type="paragraph" w:customStyle="1" w:styleId="FAFunotente1">
    <w:name w:val="FA Fu?notente1"/>
    <w:basedOn w:val="Normal"/>
    <w:next w:val="Textonotapie"/>
    <w:uiPriority w:val="99"/>
    <w:unhideWhenUsed/>
    <w:rsid w:val="00A403D3"/>
    <w:rPr>
      <w:rFonts w:asciiTheme="minorHAnsi" w:eastAsia="Cambria" w:hAnsiTheme="minorHAnsi" w:cstheme="minorBidi"/>
      <w:sz w:val="20"/>
      <w:szCs w:val="20"/>
      <w:lang w:eastAsia="en-US"/>
    </w:rPr>
  </w:style>
  <w:style w:type="character" w:customStyle="1" w:styleId="Ttulo1Car">
    <w:name w:val="Título 1 Car"/>
    <w:basedOn w:val="Fuentedeprrafopredeter"/>
    <w:link w:val="Ttulo1"/>
    <w:uiPriority w:val="9"/>
    <w:rsid w:val="00603D72"/>
    <w:rPr>
      <w:rFonts w:asciiTheme="majorHAnsi" w:eastAsiaTheme="majorEastAsia" w:hAnsiTheme="majorHAnsi" w:cstheme="majorBidi"/>
      <w:color w:val="365F91" w:themeColor="accent1" w:themeShade="BF"/>
      <w:sz w:val="32"/>
      <w:szCs w:val="32"/>
      <w:lang w:val="es-ES"/>
    </w:rPr>
  </w:style>
  <w:style w:type="character" w:customStyle="1" w:styleId="Ttulo2Car">
    <w:name w:val="Título 2 Car"/>
    <w:basedOn w:val="Fuentedeprrafopredeter"/>
    <w:link w:val="Ttulo2"/>
    <w:uiPriority w:val="9"/>
    <w:rsid w:val="00603D72"/>
    <w:rPr>
      <w:rFonts w:asciiTheme="majorHAnsi" w:eastAsiaTheme="majorEastAsia" w:hAnsiTheme="majorHAnsi" w:cstheme="majorBidi"/>
      <w:color w:val="365F91" w:themeColor="accent1" w:themeShade="BF"/>
      <w:sz w:val="26"/>
      <w:szCs w:val="26"/>
      <w:lang w:val="es-ES"/>
    </w:rPr>
  </w:style>
  <w:style w:type="paragraph" w:styleId="Lista">
    <w:name w:val="List"/>
    <w:basedOn w:val="Normal"/>
    <w:uiPriority w:val="99"/>
    <w:unhideWhenUsed/>
    <w:rsid w:val="00603D72"/>
    <w:pPr>
      <w:ind w:left="283" w:hanging="283"/>
      <w:contextualSpacing/>
    </w:pPr>
  </w:style>
  <w:style w:type="paragraph" w:styleId="Lista2">
    <w:name w:val="List 2"/>
    <w:basedOn w:val="Normal"/>
    <w:uiPriority w:val="99"/>
    <w:unhideWhenUsed/>
    <w:rsid w:val="00603D72"/>
    <w:pPr>
      <w:ind w:left="566" w:hanging="283"/>
      <w:contextualSpacing/>
    </w:pPr>
  </w:style>
  <w:style w:type="paragraph" w:styleId="Lista3">
    <w:name w:val="List 3"/>
    <w:basedOn w:val="Normal"/>
    <w:uiPriority w:val="99"/>
    <w:unhideWhenUsed/>
    <w:rsid w:val="00603D72"/>
    <w:pPr>
      <w:ind w:left="849" w:hanging="283"/>
      <w:contextualSpacing/>
    </w:pPr>
  </w:style>
  <w:style w:type="paragraph" w:styleId="Listaconvietas3">
    <w:name w:val="List Bullet 3"/>
    <w:basedOn w:val="Normal"/>
    <w:uiPriority w:val="99"/>
    <w:unhideWhenUsed/>
    <w:rsid w:val="00603D72"/>
    <w:pPr>
      <w:numPr>
        <w:numId w:val="2"/>
      </w:numPr>
      <w:contextualSpacing/>
    </w:pPr>
  </w:style>
  <w:style w:type="paragraph" w:styleId="Continuarlista">
    <w:name w:val="List Continue"/>
    <w:basedOn w:val="Normal"/>
    <w:uiPriority w:val="99"/>
    <w:unhideWhenUsed/>
    <w:rsid w:val="00603D72"/>
    <w:pPr>
      <w:spacing w:after="120"/>
      <w:ind w:left="283"/>
      <w:contextualSpacing/>
    </w:pPr>
  </w:style>
  <w:style w:type="paragraph" w:styleId="Continuarlista2">
    <w:name w:val="List Continue 2"/>
    <w:basedOn w:val="Normal"/>
    <w:uiPriority w:val="99"/>
    <w:unhideWhenUsed/>
    <w:rsid w:val="00603D72"/>
    <w:pPr>
      <w:spacing w:after="120"/>
      <w:ind w:left="566"/>
      <w:contextualSpacing/>
    </w:pPr>
  </w:style>
  <w:style w:type="paragraph" w:styleId="Textoindependiente">
    <w:name w:val="Body Text"/>
    <w:basedOn w:val="Normal"/>
    <w:link w:val="TextoindependienteCar"/>
    <w:uiPriority w:val="99"/>
    <w:unhideWhenUsed/>
    <w:rsid w:val="00603D72"/>
    <w:pPr>
      <w:spacing w:after="120"/>
    </w:pPr>
  </w:style>
  <w:style w:type="character" w:customStyle="1" w:styleId="TextoindependienteCar">
    <w:name w:val="Texto independiente Car"/>
    <w:basedOn w:val="Fuentedeprrafopredeter"/>
    <w:link w:val="Textoindependiente"/>
    <w:uiPriority w:val="99"/>
    <w:rsid w:val="00603D72"/>
    <w:rPr>
      <w:rFonts w:ascii="Times New Roman" w:eastAsia="Times New Roman" w:hAnsi="Times New Roman" w:cs="Times New Roman"/>
      <w:lang w:val="es-ES"/>
    </w:rPr>
  </w:style>
  <w:style w:type="paragraph" w:styleId="Sangradetextonormal">
    <w:name w:val="Body Text Indent"/>
    <w:basedOn w:val="Normal"/>
    <w:link w:val="SangradetextonormalCar"/>
    <w:uiPriority w:val="99"/>
    <w:semiHidden/>
    <w:unhideWhenUsed/>
    <w:rsid w:val="00603D72"/>
    <w:pPr>
      <w:spacing w:after="120"/>
      <w:ind w:left="283"/>
    </w:pPr>
  </w:style>
  <w:style w:type="character" w:customStyle="1" w:styleId="SangradetextonormalCar">
    <w:name w:val="Sangría de texto normal Car"/>
    <w:basedOn w:val="Fuentedeprrafopredeter"/>
    <w:link w:val="Sangradetextonormal"/>
    <w:uiPriority w:val="99"/>
    <w:semiHidden/>
    <w:rsid w:val="00603D72"/>
    <w:rPr>
      <w:rFonts w:ascii="Times New Roman" w:eastAsia="Times New Roman" w:hAnsi="Times New Roman" w:cs="Times New Roman"/>
      <w:lang w:val="es-ES"/>
    </w:rPr>
  </w:style>
  <w:style w:type="paragraph" w:styleId="Textoindependienteprimerasangra2">
    <w:name w:val="Body Text First Indent 2"/>
    <w:basedOn w:val="Sangradetextonormal"/>
    <w:link w:val="Textoindependienteprimerasangra2Car"/>
    <w:uiPriority w:val="99"/>
    <w:unhideWhenUsed/>
    <w:rsid w:val="00603D7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603D72"/>
    <w:rPr>
      <w:rFonts w:ascii="Times New Roman" w:eastAsia="Times New Roman" w:hAnsi="Times New Roman" w:cs="Times New Roman"/>
      <w:lang w:val="es-ES"/>
    </w:rPr>
  </w:style>
  <w:style w:type="paragraph" w:customStyle="1" w:styleId="paragraph">
    <w:name w:val="paragraph"/>
    <w:basedOn w:val="Normal"/>
    <w:rsid w:val="00E34821"/>
    <w:pPr>
      <w:spacing w:before="100" w:beforeAutospacing="1" w:after="100" w:afterAutospacing="1"/>
    </w:pPr>
  </w:style>
  <w:style w:type="paragraph" w:customStyle="1" w:styleId="n2">
    <w:name w:val="n2"/>
    <w:basedOn w:val="Normal"/>
    <w:rsid w:val="009D307C"/>
    <w:pPr>
      <w:spacing w:before="100" w:beforeAutospacing="1" w:after="100" w:afterAutospacing="1"/>
    </w:pPr>
  </w:style>
  <w:style w:type="character" w:customStyle="1" w:styleId="u">
    <w:name w:val="u"/>
    <w:basedOn w:val="Fuentedeprrafopredeter"/>
    <w:rsid w:val="009D307C"/>
  </w:style>
  <w:style w:type="paragraph" w:customStyle="1" w:styleId="j1">
    <w:name w:val="j1"/>
    <w:basedOn w:val="Normal"/>
    <w:rsid w:val="009D307C"/>
    <w:pPr>
      <w:spacing w:before="100" w:beforeAutospacing="1" w:after="100" w:afterAutospacing="1"/>
    </w:pPr>
  </w:style>
  <w:style w:type="paragraph" w:customStyle="1" w:styleId="j2">
    <w:name w:val="j2"/>
    <w:basedOn w:val="Normal"/>
    <w:rsid w:val="009D307C"/>
    <w:pPr>
      <w:spacing w:before="100" w:beforeAutospacing="1" w:after="100" w:afterAutospacing="1"/>
    </w:pPr>
  </w:style>
  <w:style w:type="table" w:styleId="Tabladelista1clara-nfasis1">
    <w:name w:val="List Table 1 Light Accent 1"/>
    <w:basedOn w:val="Tablanormal"/>
    <w:uiPriority w:val="46"/>
    <w:rsid w:val="00A01B91"/>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cinsinresolver1">
    <w:name w:val="Mención sin resolver1"/>
    <w:basedOn w:val="Fuentedeprrafopredeter"/>
    <w:uiPriority w:val="99"/>
    <w:semiHidden/>
    <w:unhideWhenUsed/>
    <w:rsid w:val="00457753"/>
    <w:rPr>
      <w:color w:val="605E5C"/>
      <w:shd w:val="clear" w:color="auto" w:fill="E1DFDD"/>
    </w:rPr>
  </w:style>
  <w:style w:type="character" w:customStyle="1" w:styleId="Mencinsinresolver2">
    <w:name w:val="Mención sin resolver2"/>
    <w:basedOn w:val="Fuentedeprrafopredeter"/>
    <w:uiPriority w:val="99"/>
    <w:semiHidden/>
    <w:unhideWhenUsed/>
    <w:rsid w:val="00CE48D4"/>
    <w:rPr>
      <w:color w:val="605E5C"/>
      <w:shd w:val="clear" w:color="auto" w:fill="E1DFDD"/>
    </w:rPr>
  </w:style>
  <w:style w:type="table" w:customStyle="1" w:styleId="Tabladelista1clara-nfasis11">
    <w:name w:val="Tabla de lista 1 clara - Énfasis 11"/>
    <w:basedOn w:val="Tablanormal"/>
    <w:uiPriority w:val="46"/>
    <w:rsid w:val="008F79FD"/>
    <w:rPr>
      <w:rFonts w:eastAsia="MS Mincho"/>
    </w:rPr>
    <w:tblPr>
      <w:tblStyleRowBandSize w:val="1"/>
      <w:tblStyleColBandSize w:val="1"/>
    </w:tblPr>
    <w:tblStylePr w:type="firstRow">
      <w:rPr>
        <w:b/>
        <w:bCs/>
      </w:rPr>
      <w:tblPr/>
      <w:tcPr>
        <w:tcBorders>
          <w:bottom w:val="single" w:sz="4" w:space="0" w:color="95B3D7"/>
        </w:tcBorders>
      </w:tcPr>
    </w:tblStylePr>
    <w:tblStylePr w:type="lastRow">
      <w:rPr>
        <w:b/>
        <w:bCs/>
      </w:rPr>
      <w:tblPr/>
      <w:tcPr>
        <w:tcBorders>
          <w:top w:val="sing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Ttulo3Car">
    <w:name w:val="Título 3 Car"/>
    <w:basedOn w:val="Fuentedeprrafopredeter"/>
    <w:link w:val="Ttulo3"/>
    <w:uiPriority w:val="9"/>
    <w:semiHidden/>
    <w:rsid w:val="003B73CD"/>
    <w:rPr>
      <w:rFonts w:asciiTheme="majorHAnsi" w:eastAsiaTheme="majorEastAsia" w:hAnsiTheme="majorHAnsi" w:cstheme="majorBidi"/>
      <w:b/>
      <w:bCs/>
      <w:sz w:val="26"/>
      <w:szCs w:val="26"/>
      <w:lang w:val="en-US" w:eastAsia="en-US"/>
    </w:rPr>
  </w:style>
  <w:style w:type="character" w:customStyle="1" w:styleId="Ttulo4Car">
    <w:name w:val="Título 4 Car"/>
    <w:basedOn w:val="Fuentedeprrafopredeter"/>
    <w:link w:val="Ttulo4"/>
    <w:uiPriority w:val="9"/>
    <w:semiHidden/>
    <w:rsid w:val="003B73CD"/>
    <w:rPr>
      <w:b/>
      <w:bCs/>
      <w:sz w:val="28"/>
      <w:szCs w:val="28"/>
      <w:lang w:val="en-US" w:eastAsia="en-US"/>
    </w:rPr>
  </w:style>
  <w:style w:type="character" w:customStyle="1" w:styleId="Ttulo5Car">
    <w:name w:val="Título 5 Car"/>
    <w:basedOn w:val="Fuentedeprrafopredeter"/>
    <w:link w:val="Ttulo5"/>
    <w:uiPriority w:val="9"/>
    <w:semiHidden/>
    <w:rsid w:val="003B73CD"/>
    <w:rPr>
      <w:b/>
      <w:bCs/>
      <w:i/>
      <w:iCs/>
      <w:sz w:val="26"/>
      <w:szCs w:val="26"/>
      <w:lang w:val="en-US" w:eastAsia="en-US"/>
    </w:rPr>
  </w:style>
  <w:style w:type="character" w:customStyle="1" w:styleId="Ttulo6Car">
    <w:name w:val="Título 6 Car"/>
    <w:basedOn w:val="Fuentedeprrafopredeter"/>
    <w:link w:val="Ttulo6"/>
    <w:semiHidden/>
    <w:rsid w:val="003B73CD"/>
    <w:rPr>
      <w:rFonts w:ascii="Times New Roman" w:eastAsia="Times New Roman" w:hAnsi="Times New Roman" w:cs="Times New Roman"/>
      <w:b/>
      <w:bCs/>
      <w:sz w:val="22"/>
      <w:szCs w:val="22"/>
      <w:lang w:val="en-US" w:eastAsia="en-US"/>
    </w:rPr>
  </w:style>
  <w:style w:type="character" w:customStyle="1" w:styleId="Ttulo7Car">
    <w:name w:val="Título 7 Car"/>
    <w:basedOn w:val="Fuentedeprrafopredeter"/>
    <w:link w:val="Ttulo7"/>
    <w:uiPriority w:val="9"/>
    <w:semiHidden/>
    <w:rsid w:val="003B73CD"/>
    <w:rPr>
      <w:lang w:val="en-US" w:eastAsia="en-US"/>
    </w:rPr>
  </w:style>
  <w:style w:type="character" w:customStyle="1" w:styleId="Ttulo8Car">
    <w:name w:val="Título 8 Car"/>
    <w:basedOn w:val="Fuentedeprrafopredeter"/>
    <w:link w:val="Ttulo8"/>
    <w:uiPriority w:val="9"/>
    <w:semiHidden/>
    <w:rsid w:val="003B73CD"/>
    <w:rPr>
      <w:i/>
      <w:iCs/>
      <w:lang w:val="en-US" w:eastAsia="en-US"/>
    </w:rPr>
  </w:style>
  <w:style w:type="character" w:customStyle="1" w:styleId="Ttulo9Car">
    <w:name w:val="Título 9 Car"/>
    <w:basedOn w:val="Fuentedeprrafopredeter"/>
    <w:link w:val="Ttulo9"/>
    <w:uiPriority w:val="9"/>
    <w:semiHidden/>
    <w:rsid w:val="003B73CD"/>
    <w:rPr>
      <w:rFonts w:asciiTheme="majorHAnsi" w:eastAsiaTheme="majorEastAsia" w:hAnsiTheme="majorHAnsi" w:cstheme="majorBidi"/>
      <w:sz w:val="22"/>
      <w:szCs w:val="22"/>
      <w:lang w:val="en-US" w:eastAsia="en-U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2"/>
    <w:tblPr>
      <w:tblStyleRowBandSize w:val="1"/>
      <w:tblStyleColBandSize w:val="1"/>
      <w:tblCellMar>
        <w:left w:w="108" w:type="dxa"/>
        <w:right w:w="108" w:type="dxa"/>
      </w:tblCellMar>
    </w:tblPr>
    <w:tblStylePr w:type="firstRow">
      <w:rPr>
        <w:b/>
      </w:rPr>
      <w:tblPr/>
      <w:tcPr>
        <w:tcBorders>
          <w:bottom w:val="single" w:sz="4" w:space="0" w:color="95B3D7"/>
        </w:tcBorders>
      </w:tcPr>
    </w:tblStylePr>
    <w:tblStylePr w:type="lastRow">
      <w:rPr>
        <w:b/>
      </w:rPr>
      <w:tblPr/>
      <w:tcPr>
        <w:tcBorders>
          <w:top w:val="single" w:sz="4" w:space="0" w:color="95B3D7"/>
        </w:tcBorders>
      </w:tcPr>
    </w:tblStylePr>
    <w:tblStylePr w:type="firstCol">
      <w:rPr>
        <w:b/>
      </w:rPr>
    </w:tblStylePr>
    <w:tblStylePr w:type="lastCol">
      <w:rPr>
        <w:b/>
      </w:rPr>
    </w:tblStylePr>
    <w:tblStylePr w:type="band1Vert">
      <w:tblPr/>
      <w:tcPr>
        <w:shd w:val="clear" w:color="auto" w:fill="DBE5F1"/>
      </w:tcPr>
    </w:tblStylePr>
    <w:tblStylePr w:type="band1Horz">
      <w:tblPr/>
      <w:tcPr>
        <w:shd w:val="clear" w:color="auto" w:fill="DBE5F1"/>
      </w:tcPr>
    </w:tblStylePr>
  </w:style>
  <w:style w:type="table" w:customStyle="1" w:styleId="a0">
    <w:basedOn w:val="TableNormal2"/>
    <w:tblPr>
      <w:tblStyleRowBandSize w:val="1"/>
      <w:tblStyleColBandSize w:val="1"/>
      <w:tblCellMar>
        <w:left w:w="115" w:type="dxa"/>
        <w:right w:w="115" w:type="dxa"/>
      </w:tblCellMar>
    </w:tblPr>
  </w:style>
  <w:style w:type="table" w:customStyle="1" w:styleId="a2">
    <w:basedOn w:val="TableNormal2"/>
    <w:tblPr>
      <w:tblStyleRowBandSize w:val="1"/>
      <w:tblStyleColBandSize w:val="1"/>
      <w:tblCellMar>
        <w:left w:w="115" w:type="dxa"/>
        <w:right w:w="115" w:type="dxa"/>
      </w:tblCellMar>
    </w:tblPr>
  </w:style>
  <w:style w:type="table" w:customStyle="1" w:styleId="a3">
    <w:basedOn w:val="TableNormal2"/>
    <w:tblPr>
      <w:tblStyleRowBandSize w:val="1"/>
      <w:tblStyleColBandSize w:val="1"/>
      <w:tblCellMar>
        <w:left w:w="115" w:type="dxa"/>
        <w:right w:w="115" w:type="dxa"/>
      </w:tblCellMar>
    </w:tblPr>
  </w:style>
  <w:style w:type="table" w:customStyle="1" w:styleId="a4">
    <w:basedOn w:val="TableNormal2"/>
    <w:tblPr>
      <w:tblStyleRowBandSize w:val="1"/>
      <w:tblStyleColBandSize w:val="1"/>
      <w:tblCellMar>
        <w:left w:w="115" w:type="dxa"/>
        <w:right w:w="115" w:type="dxa"/>
      </w:tblCellMar>
    </w:tblPr>
  </w:style>
  <w:style w:type="table" w:customStyle="1" w:styleId="a5">
    <w:basedOn w:val="TableNormal1"/>
    <w:tblPr>
      <w:tblStyleRowBandSize w:val="1"/>
      <w:tblStyleColBandSize w:val="1"/>
      <w:tblCellMar>
        <w:left w:w="115" w:type="dxa"/>
        <w:right w:w="115" w:type="dxa"/>
      </w:tblCellMar>
    </w:tblPr>
  </w:style>
  <w:style w:type="table" w:customStyle="1" w:styleId="a6">
    <w:basedOn w:val="TableNormal1"/>
    <w:tblPr>
      <w:tblStyleRowBandSize w:val="1"/>
      <w:tblStyleColBandSize w:val="1"/>
      <w:tblCellMar>
        <w:left w:w="115" w:type="dxa"/>
        <w:right w:w="115" w:type="dxa"/>
      </w:tblCellMar>
    </w:tblPr>
  </w:style>
  <w:style w:type="character" w:customStyle="1" w:styleId="TtuloCar">
    <w:name w:val="Título Car"/>
    <w:aliases w:val="Cita textual Car"/>
    <w:basedOn w:val="Fuentedeprrafopredeter"/>
    <w:link w:val="Ttulo"/>
    <w:uiPriority w:val="10"/>
    <w:rsid w:val="005E6322"/>
    <w:rPr>
      <w:b/>
      <w:sz w:val="72"/>
      <w:szCs w:val="72"/>
    </w:rPr>
  </w:style>
  <w:style w:type="table" w:customStyle="1" w:styleId="a7">
    <w:basedOn w:val="TableNormal0"/>
    <w:tblPr>
      <w:tblStyleRowBandSize w:val="1"/>
      <w:tblStyleColBandSize w:val="1"/>
      <w:tblCellMar>
        <w:left w:w="115" w:type="dxa"/>
        <w:right w:w="115" w:type="dxa"/>
      </w:tblCellMar>
    </w:tblPr>
  </w:style>
  <w:style w:type="table" w:customStyle="1" w:styleId="a8">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saimex.org.mx/saimex/solicitud/downloadAttach/2228318.page" TargetMode="External"/><Relationship Id="rId13" Type="http://schemas.openxmlformats.org/officeDocument/2006/relationships/hyperlink" Target="https://saimex.org.mx/saimex/solicitud/downloadAttach/1986505.page" TargetMode="Externa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saimex.org.mx/saimex/solicitud/downloadAttach/2243523.page" TargetMode="External"/><Relationship Id="rId17" Type="http://schemas.openxmlformats.org/officeDocument/2006/relationships/image" Target="media/image5.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aimex.org.mx/saimex/solicitud/downloadAttach/1986504.pag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2.xml"/><Relationship Id="rId10" Type="http://schemas.openxmlformats.org/officeDocument/2006/relationships/hyperlink" Target="https://saimex.org.mx/saimex/solicitud/downloadAttach/2243522.page" TargetMode="External"/><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https://saimex.org.mx/saimex/solicitud/downloadAttach/2228320.page" TargetMode="External"/><Relationship Id="rId14" Type="http://schemas.openxmlformats.org/officeDocument/2006/relationships/image" Target="media/image1.pn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8dP1IDygX2UyD+la2gV368fk+jQ==">CgMxLjAyCGguZ2pkZ3hzMgloLjMwajB6bGwyCWguMWZvYjl0ZTIIaC50eWpjd3QyCWguM2R5NnZrbTIJaC4yZXQ5MnAwMgloLjN6bnlzaDc4AHIhMWF5dUl3MlpkTkRBcDVqWXNrMTEzcE81d3E4ZmJfWFdv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38</Pages>
  <Words>9862</Words>
  <Characters>54241</Characters>
  <Application>Microsoft Office Word</Application>
  <DocSecurity>0</DocSecurity>
  <Lines>452</Lines>
  <Paragraphs>127</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63976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iMac</dc:creator>
  <cp:lastModifiedBy>Maricela Villagómez Martínez</cp:lastModifiedBy>
  <cp:revision>2</cp:revision>
  <cp:lastPrinted>2024-11-07T23:40:00Z</cp:lastPrinted>
  <dcterms:created xsi:type="dcterms:W3CDTF">2024-11-29T19:22:00Z</dcterms:created>
  <dcterms:modified xsi:type="dcterms:W3CDTF">2024-11-29T19:22:00Z</dcterms:modified>
</cp:coreProperties>
</file>