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a once de diciembre de dos mil veinticuatro. </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formado con motivo del recurso de revisión </w:t>
      </w:r>
      <w:r w:rsidDel="00000000" w:rsidR="00000000" w:rsidRPr="00000000">
        <w:rPr>
          <w:rFonts w:ascii="Palatino Linotype" w:cs="Palatino Linotype" w:eastAsia="Palatino Linotype" w:hAnsi="Palatino Linotype"/>
          <w:b w:val="1"/>
          <w:rtl w:val="0"/>
        </w:rPr>
        <w:t xml:space="preserve">07304/INFOEM/IP/RR/2024</w:t>
      </w:r>
      <w:r w:rsidDel="00000000" w:rsidR="00000000" w:rsidRPr="00000000">
        <w:rPr>
          <w:rFonts w:ascii="Palatino Linotype" w:cs="Palatino Linotype" w:eastAsia="Palatino Linotype" w:hAnsi="Palatino Linotype"/>
          <w:rtl w:val="0"/>
        </w:rPr>
        <w:t xml:space="preserve">, interpuesto por</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b w:val="1"/>
          <w:sz w:val="22"/>
          <w:szCs w:val="22"/>
          <w:rtl w:val="0"/>
        </w:rPr>
        <w:t xml:space="preserve">XXXXXXX XXXXX XXXXXXX</w:t>
      </w: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rtl w:val="0"/>
        </w:rPr>
        <w:t xml:space="preserve"> en lo sucesivo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su solicitud de información con número de folio</w:t>
      </w:r>
      <w:r w:rsidDel="00000000" w:rsidR="00000000" w:rsidRPr="00000000">
        <w:rPr>
          <w:rFonts w:ascii="Palatino Linotype" w:cs="Palatino Linotype" w:eastAsia="Palatino Linotype" w:hAnsi="Palatino Linotype"/>
          <w:b w:val="1"/>
          <w:rtl w:val="0"/>
        </w:rPr>
        <w:t xml:space="preserve"> 00106/CHAPULTE/IP/2024, </w:t>
      </w:r>
      <w:r w:rsidDel="00000000" w:rsidR="00000000" w:rsidRPr="00000000">
        <w:rPr>
          <w:rFonts w:ascii="Palatino Linotype" w:cs="Palatino Linotype" w:eastAsia="Palatino Linotype" w:hAnsi="Palatino Linotype"/>
          <w:rtl w:val="0"/>
        </w:rPr>
        <w:t xml:space="preserve">por parte del </w:t>
      </w:r>
      <w:r w:rsidDel="00000000" w:rsidR="00000000" w:rsidRPr="00000000">
        <w:rPr>
          <w:rFonts w:ascii="Palatino Linotype" w:cs="Palatino Linotype" w:eastAsia="Palatino Linotype" w:hAnsi="Palatino Linotype"/>
          <w:b w:val="1"/>
          <w:rtl w:val="0"/>
        </w:rPr>
        <w:t xml:space="preserve">Ayuntamiento de Chapultepec,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 Solicitud de acceso a la información.</w:t>
      </w:r>
      <w:r w:rsidDel="00000000" w:rsidR="00000000" w:rsidRPr="00000000">
        <w:rPr>
          <w:rFonts w:ascii="Palatino Linotype" w:cs="Palatino Linotype" w:eastAsia="Palatino Linotype" w:hAnsi="Palatino Linotype"/>
          <w:rtl w:val="0"/>
        </w:rPr>
        <w:t xml:space="preserve"> Con fecha </w:t>
      </w:r>
      <w:r w:rsidDel="00000000" w:rsidR="00000000" w:rsidRPr="00000000">
        <w:rPr>
          <w:rFonts w:ascii="Palatino Linotype" w:cs="Palatino Linotype" w:eastAsia="Palatino Linotype" w:hAnsi="Palatino Linotype"/>
          <w:b w:val="1"/>
          <w:rtl w:val="0"/>
        </w:rPr>
        <w:t xml:space="preserve">dieciocho de octubre de dos mil veinticuatro,</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presentó, a través del Sistema de Acceso a la Información Mexiquense, en lo subsecuente 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solicitud de acceso a la información pública, a la que se le asignó el número</w:t>
      </w:r>
      <w:r w:rsidDel="00000000" w:rsidR="00000000" w:rsidRPr="00000000">
        <w:rPr>
          <w:rFonts w:ascii="Palatino Linotype" w:cs="Palatino Linotype" w:eastAsia="Palatino Linotype" w:hAnsi="Palatino Linotype"/>
          <w:b w:val="1"/>
          <w:rtl w:val="0"/>
        </w:rPr>
        <w:t xml:space="preserve"> 00106/CHAPULTE/IP/2024, </w:t>
      </w:r>
      <w:r w:rsidDel="00000000" w:rsidR="00000000" w:rsidRPr="00000000">
        <w:rPr>
          <w:rFonts w:ascii="Palatino Linotype" w:cs="Palatino Linotype" w:eastAsia="Palatino Linotype" w:hAnsi="Palatino Linotype"/>
          <w:rtl w:val="0"/>
        </w:rPr>
        <w:t xml:space="preserve">mediante la cual requirió la información siguiente: </w:t>
      </w:r>
    </w:p>
    <w:p w:rsidR="00000000" w:rsidDel="00000000" w:rsidP="00000000" w:rsidRDefault="00000000" w:rsidRPr="00000000" w14:paraId="00000005">
      <w:pPr>
        <w:spacing w:before="240" w:lineRule="auto"/>
        <w:ind w:left="851" w:right="902" w:firstLine="0"/>
        <w:jc w:val="both"/>
        <w:rPr>
          <w:rFonts w:ascii="Palatino Linotype" w:cs="Palatino Linotype" w:eastAsia="Palatino Linotype" w:hAnsi="Palatino Linotype"/>
          <w:i w:val="1"/>
          <w:sz w:val="22"/>
          <w:szCs w:val="22"/>
        </w:rPr>
      </w:pPr>
      <w:bookmarkStart w:colFirst="0" w:colLast="0" w:name="_heading=h.gjdgxs" w:id="0"/>
      <w:bookmarkEnd w:id="0"/>
      <w:r w:rsidDel="00000000" w:rsidR="00000000" w:rsidRPr="00000000">
        <w:rPr>
          <w:rFonts w:ascii="Palatino Linotype" w:cs="Palatino Linotype" w:eastAsia="Palatino Linotype" w:hAnsi="Palatino Linotype"/>
          <w:i w:val="1"/>
          <w:sz w:val="22"/>
          <w:szCs w:val="22"/>
          <w:rtl w:val="0"/>
        </w:rPr>
        <w:t xml:space="preserve">“En temas de Infraestructura municipal, durante el periodo comprendido de enero 2022 a octubre 2024: Cuáles son las localidades de mayor incidencia delictiva, al inicio de su administración cuántas cámaras de vigilancia había en el municipio y cuántas hay hasta este momento, cuántas de ellas fueron integradas al C2, y que costo tubo la compra de más cámaras de video vigilancia, así como el equipo aéreo de video vigilancia” (Sic)</w:t>
      </w:r>
    </w:p>
    <w:p w:rsidR="00000000" w:rsidDel="00000000" w:rsidP="00000000" w:rsidRDefault="00000000" w:rsidRPr="00000000" w14:paraId="00000006">
      <w:pPr>
        <w:spacing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0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de Entrega:</w:t>
      </w:r>
      <w:r w:rsidDel="00000000" w:rsidR="00000000" w:rsidRPr="00000000">
        <w:rPr>
          <w:rFonts w:ascii="Palatino Linotype" w:cs="Palatino Linotype" w:eastAsia="Palatino Linotype" w:hAnsi="Palatino Linotype"/>
          <w:rtl w:val="0"/>
        </w:rPr>
        <w:t xml:space="preserve"> A través de SAIMEX.</w:t>
      </w:r>
    </w:p>
    <w:p w:rsidR="00000000" w:rsidDel="00000000" w:rsidP="00000000" w:rsidRDefault="00000000" w:rsidRPr="00000000" w14:paraId="0000000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9">
      <w:pPr>
        <w:spacing w:after="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 Prorroga. </w:t>
      </w:r>
      <w:r w:rsidDel="00000000" w:rsidR="00000000" w:rsidRPr="00000000">
        <w:rPr>
          <w:rFonts w:ascii="Palatino Linotype" w:cs="Palatino Linotype" w:eastAsia="Palatino Linotype" w:hAnsi="Palatino Linotype"/>
          <w:rtl w:val="0"/>
        </w:rPr>
        <w:t xml:space="preserve">Con fecha </w:t>
      </w:r>
      <w:r w:rsidDel="00000000" w:rsidR="00000000" w:rsidRPr="00000000">
        <w:rPr>
          <w:rFonts w:ascii="Palatino Linotype" w:cs="Palatino Linotype" w:eastAsia="Palatino Linotype" w:hAnsi="Palatino Linotype"/>
          <w:b w:val="1"/>
          <w:rtl w:val="0"/>
        </w:rPr>
        <w:t xml:space="preserve">once de noviembre de dos mil veinticuatro,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solicitó prórroga mediante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argumentando lo siguiente:</w:t>
      </w:r>
      <w:r w:rsidDel="00000000" w:rsidR="00000000" w:rsidRPr="00000000">
        <w:rPr>
          <w:rtl w:val="0"/>
        </w:rPr>
      </w:r>
    </w:p>
    <w:p w:rsidR="00000000" w:rsidDel="00000000" w:rsidP="00000000" w:rsidRDefault="00000000" w:rsidRPr="00000000" w14:paraId="0000000A">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“...Debido al cierre de administración y falta de personal administrativo…”(Sic)</w:t>
      </w:r>
    </w:p>
    <w:p w:rsidR="00000000" w:rsidDel="00000000" w:rsidP="00000000" w:rsidRDefault="00000000" w:rsidRPr="00000000" w14:paraId="0000000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refiere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no se observaron las formalidades que establece la Ley de la materia, pues no se anexó la resolución mediante la cual el Comité de Transparencia aprobó la ampliación del plazo.</w:t>
      </w:r>
    </w:p>
    <w:p w:rsidR="00000000" w:rsidDel="00000000" w:rsidP="00000000" w:rsidRDefault="00000000" w:rsidRPr="00000000" w14:paraId="0000000D">
      <w:pPr>
        <w:spacing w:after="24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0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Respuesta. </w:t>
      </w:r>
      <w:r w:rsidDel="00000000" w:rsidR="00000000" w:rsidRPr="00000000">
        <w:rPr>
          <w:rFonts w:ascii="Palatino Linotype" w:cs="Palatino Linotype" w:eastAsia="Palatino Linotype" w:hAnsi="Palatino Linotype"/>
          <w:rtl w:val="0"/>
        </w:rPr>
        <w:t xml:space="preserve">Con fecha </w:t>
      </w:r>
      <w:r w:rsidDel="00000000" w:rsidR="00000000" w:rsidRPr="00000000">
        <w:rPr>
          <w:rFonts w:ascii="Palatino Linotype" w:cs="Palatino Linotype" w:eastAsia="Palatino Linotype" w:hAnsi="Palatino Linotype"/>
          <w:b w:val="1"/>
          <w:rtl w:val="0"/>
        </w:rPr>
        <w:t xml:space="preserve">veintiuno de noviembre de dos mil veinticuatro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envió su respuesta a la solicitud de acceso a la información a través de SAIMEX, sustancialmente en los términos siguientes:   </w:t>
      </w:r>
    </w:p>
    <w:p w:rsidR="00000000" w:rsidDel="00000000" w:rsidP="00000000" w:rsidRDefault="00000000" w:rsidRPr="00000000" w14:paraId="0000000F">
      <w:pPr>
        <w:spacing w:after="240" w:lineRule="auto"/>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0">
      <w:pPr>
        <w:spacing w:after="240"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solicitada se encuentra en la siguiente liga https://www.chapultepec.gob.mx/ en el apartado del informe de gobierno...” (Sic)</w:t>
      </w:r>
    </w:p>
    <w:p w:rsidR="00000000" w:rsidDel="00000000" w:rsidP="00000000" w:rsidRDefault="00000000" w:rsidRPr="00000000" w14:paraId="00000011">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Interposición del recurso de revisión. </w:t>
      </w:r>
      <w:r w:rsidDel="00000000" w:rsidR="00000000" w:rsidRPr="00000000">
        <w:rPr>
          <w:rFonts w:ascii="Palatino Linotype" w:cs="Palatino Linotype" w:eastAsia="Palatino Linotype" w:hAnsi="Palatino Linotype"/>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veintiuno de noviembre del dos mil veinticuatro,</w:t>
      </w:r>
      <w:r w:rsidDel="00000000" w:rsidR="00000000" w:rsidRPr="00000000">
        <w:rPr>
          <w:rFonts w:ascii="Palatino Linotype" w:cs="Palatino Linotype" w:eastAsia="Palatino Linotype" w:hAnsi="Palatino Linotype"/>
          <w:rtl w:val="0"/>
        </w:rPr>
        <w:t xml:space="preserve"> la parte recurrente interpuso el recurso de revisión a través de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en donde se manifestó de la siguiente manera:</w:t>
      </w:r>
    </w:p>
    <w:p w:rsidR="00000000" w:rsidDel="00000000" w:rsidP="00000000" w:rsidRDefault="00000000" w:rsidRPr="00000000" w14:paraId="00000012">
      <w:pPr>
        <w:tabs>
          <w:tab w:val="left" w:leader="none" w:pos="2745"/>
        </w:tabs>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Acto impugnado: </w:t>
        <w:tab/>
      </w:r>
    </w:p>
    <w:p w:rsidR="00000000" w:rsidDel="00000000" w:rsidP="00000000" w:rsidRDefault="00000000" w:rsidRPr="00000000" w14:paraId="00000013">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“incumplimiento del sujeto obligado de proporcionar la información requerida” (Sic)</w:t>
      </w:r>
    </w:p>
    <w:p w:rsidR="00000000" w:rsidDel="00000000" w:rsidP="00000000" w:rsidRDefault="00000000" w:rsidRPr="00000000" w14:paraId="00000014">
      <w:pPr>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5">
      <w:pPr>
        <w:spacing w:line="360" w:lineRule="auto"/>
        <w:jc w:val="both"/>
        <w:rPr>
          <w:rFonts w:ascii="Palatino Linotype" w:cs="Palatino Linotype" w:eastAsia="Palatino Linotype" w:hAnsi="Palatino Linotype"/>
        </w:rPr>
      </w:pPr>
      <w:bookmarkStart w:colFirst="0" w:colLast="0" w:name="_heading=h.30j0zll" w:id="1"/>
      <w:bookmarkEnd w:id="1"/>
      <w:r w:rsidDel="00000000" w:rsidR="00000000" w:rsidRPr="00000000">
        <w:rPr>
          <w:rFonts w:ascii="Palatino Linotype" w:cs="Palatino Linotype" w:eastAsia="Palatino Linotype" w:hAnsi="Palatino Linotype"/>
          <w:b w:val="1"/>
          <w:rtl w:val="0"/>
        </w:rPr>
        <w:t xml:space="preserve">Y Razones o motivos de inconformidad</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1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7">
      <w:pPr>
        <w:ind w:left="567" w:right="47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la liga https://www.chapultepec.gob.mx/ aún no se encuentra el apartado del informe de gobierno; aunado a que el sujeto está obligado a proporcionar la información cuando se le requiere y no deslindarse de brindarla proporcionando un link genérico del ayuntamiento en cuestión.” (Sic)</w:t>
      </w:r>
    </w:p>
    <w:p w:rsidR="00000000" w:rsidDel="00000000" w:rsidP="00000000" w:rsidRDefault="00000000" w:rsidRPr="00000000" w14:paraId="00000018">
      <w:pPr>
        <w:spacing w:line="360" w:lineRule="auto"/>
        <w:ind w:right="51"/>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19">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rtl w:val="0"/>
        </w:rPr>
        <w:t xml:space="preserve">Guadalupe Ramírez Peña, </w:t>
      </w:r>
      <w:r w:rsidDel="00000000" w:rsidR="00000000" w:rsidRPr="00000000">
        <w:rPr>
          <w:rFonts w:ascii="Palatino Linotype" w:cs="Palatino Linotype" w:eastAsia="Palatino Linotype" w:hAnsi="Palatino Linotype"/>
          <w:rtl w:val="0"/>
        </w:rPr>
        <w:t xml:space="preserve">a efecto de que analizará sobre su admisión o su desechamiento.</w:t>
      </w:r>
    </w:p>
    <w:p w:rsidR="00000000" w:rsidDel="00000000" w:rsidP="00000000" w:rsidRDefault="00000000" w:rsidRPr="00000000" w14:paraId="0000001A">
      <w:pPr>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B">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Admisión del Recurso de revisión.</w:t>
      </w:r>
      <w:r w:rsidDel="00000000" w:rsidR="00000000" w:rsidRPr="00000000">
        <w:rPr>
          <w:rFonts w:ascii="Palatino Linotype" w:cs="Palatino Linotype" w:eastAsia="Palatino Linotype" w:hAnsi="Palatino Linotype"/>
          <w:rtl w:val="0"/>
        </w:rPr>
        <w:t xml:space="preserve"> Con fecha</w:t>
      </w:r>
      <w:r w:rsidDel="00000000" w:rsidR="00000000" w:rsidRPr="00000000">
        <w:rPr>
          <w:rFonts w:ascii="Palatino Linotype" w:cs="Palatino Linotype" w:eastAsia="Palatino Linotype" w:hAnsi="Palatino Linotype"/>
          <w:b w:val="1"/>
          <w:rtl w:val="0"/>
        </w:rPr>
        <w:t xml:space="preserve"> veintiséis de noviembre de dos mil veinticuatro, </w:t>
      </w:r>
      <w:r w:rsidDel="00000000" w:rsidR="00000000" w:rsidRPr="00000000">
        <w:rPr>
          <w:rFonts w:ascii="Palatino Linotype" w:cs="Palatino Linotype" w:eastAsia="Palatino Linotype" w:hAnsi="Palatino Linotype"/>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presentará su informe justificado.</w:t>
      </w:r>
    </w:p>
    <w:p w:rsidR="00000000" w:rsidDel="00000000" w:rsidP="00000000" w:rsidRDefault="00000000" w:rsidRPr="00000000" w14:paraId="0000001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6. Manifestaciones</w:t>
      </w:r>
      <w:r w:rsidDel="00000000" w:rsidR="00000000" w:rsidRPr="00000000">
        <w:rPr>
          <w:rFonts w:ascii="Palatino Linotype" w:cs="Palatino Linotype" w:eastAsia="Palatino Linotype" w:hAnsi="Palatino Linotype"/>
          <w:rtl w:val="0"/>
        </w:rPr>
        <w:t xml:space="preserve">. De las constancias que obran en el expediente electrónico del SAIMEX se desprende que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no rindió su Informe Justificado, del mismo modo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omitió realizar manifestaciones, como se observa a continuación:</w:t>
      </w:r>
    </w:p>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tabs>
          <w:tab w:val="left" w:leader="none" w:pos="709"/>
        </w:tabs>
        <w:spacing w:after="240" w:before="12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Pr>
        <w:drawing>
          <wp:inline distB="0" distT="0" distL="0" distR="0">
            <wp:extent cx="5612130" cy="1436370"/>
            <wp:effectExtent b="0" l="0" r="0" t="0"/>
            <wp:docPr id="29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612130" cy="143637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tabs>
          <w:tab w:val="left" w:leader="none" w:pos="709"/>
        </w:tabs>
        <w:spacing w:after="240"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Cierre de instrucción. </w:t>
      </w:r>
      <w:r w:rsidDel="00000000" w:rsidR="00000000" w:rsidRPr="00000000">
        <w:rPr>
          <w:rFonts w:ascii="Palatino Linotype" w:cs="Palatino Linotype" w:eastAsia="Palatino Linotype" w:hAnsi="Palatino Linotype"/>
          <w:rtl w:val="0"/>
        </w:rPr>
        <w:t xml:space="preserve">Una vez transcurrido el periodo otorgado a las partes para realizar sus manifestaciones y no habiendo documentos que integrar al expediente, con fecha </w:t>
      </w:r>
      <w:r w:rsidDel="00000000" w:rsidR="00000000" w:rsidRPr="00000000">
        <w:rPr>
          <w:rFonts w:ascii="Palatino Linotype" w:cs="Palatino Linotype" w:eastAsia="Palatino Linotype" w:hAnsi="Palatino Linotype"/>
          <w:b w:val="1"/>
          <w:rtl w:val="0"/>
        </w:rPr>
        <w:t xml:space="preserve">seis de diciembre de dos mil veinticuatro</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1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20">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1">
      <w:pPr>
        <w:widowControl w:val="0"/>
        <w:spacing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 C O N S I D E R A N D O S</w:t>
      </w:r>
    </w:p>
    <w:p w:rsidR="00000000" w:rsidDel="00000000" w:rsidP="00000000" w:rsidRDefault="00000000" w:rsidRPr="00000000" w14:paraId="00000022">
      <w:pPr>
        <w:widowControl w:val="0"/>
        <w:spacing w:line="360" w:lineRule="auto"/>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2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24">
      <w:pPr>
        <w:spacing w:after="240" w:before="240" w:line="360" w:lineRule="auto"/>
        <w:ind w:right="49"/>
        <w:jc w:val="both"/>
        <w:rPr>
          <w:rFonts w:ascii="Palatino Linotype" w:cs="Palatino Linotype" w:eastAsia="Palatino Linotype" w:hAnsi="Palatino Linotype"/>
        </w:rPr>
      </w:pPr>
      <w:bookmarkStart w:colFirst="0" w:colLast="0" w:name="_heading=h.tyjcwt" w:id="2"/>
      <w:bookmarkEnd w:id="2"/>
      <w:r w:rsidDel="00000000" w:rsidR="00000000" w:rsidRPr="00000000">
        <w:rPr>
          <w:rFonts w:ascii="Palatino Linotype" w:cs="Palatino Linotype" w:eastAsia="Palatino Linotype" w:hAnsi="Palatino Linotype"/>
          <w:b w:val="1"/>
          <w:rtl w:val="0"/>
        </w:rPr>
        <w:t xml:space="preserve">Segundo. Oportunidad y Procedibilidad del Recurso de Revisión. </w:t>
      </w:r>
      <w:r w:rsidDel="00000000" w:rsidR="00000000" w:rsidRPr="00000000">
        <w:rPr>
          <w:rFonts w:ascii="Palatino Linotype" w:cs="Palatino Linotype" w:eastAsia="Palatino Linotype" w:hAnsi="Palatino Linotype"/>
          <w:rtl w:val="0"/>
        </w:rPr>
        <w:t xml:space="preserve">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emitió su respuesta a la solicitud planteada por el solicitante el veintiuno de noviembre del año dos mil veinticuatro y mientras que el recurso de revisión interpuesto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se tuvo por presentado el día </w:t>
      </w:r>
      <w:r w:rsidDel="00000000" w:rsidR="00000000" w:rsidRPr="00000000">
        <w:rPr>
          <w:rFonts w:ascii="Palatino Linotype" w:cs="Palatino Linotype" w:eastAsia="Palatino Linotype" w:hAnsi="Palatino Linotype"/>
          <w:b w:val="1"/>
          <w:rtl w:val="0"/>
        </w:rPr>
        <w:t xml:space="preserve">veintiuno de noviembre del año dos mil veinticuatro, </w:t>
      </w:r>
      <w:r w:rsidDel="00000000" w:rsidR="00000000" w:rsidRPr="00000000">
        <w:rPr>
          <w:rFonts w:ascii="Palatino Linotype" w:cs="Palatino Linotype" w:eastAsia="Palatino Linotype" w:hAnsi="Palatino Linotype"/>
          <w:rtl w:val="0"/>
        </w:rPr>
        <w:t xml:space="preserve">esto es, el </w:t>
      </w:r>
      <w:r w:rsidDel="00000000" w:rsidR="00000000" w:rsidRPr="00000000">
        <w:rPr>
          <w:rFonts w:ascii="Palatino Linotype" w:cs="Palatino Linotype" w:eastAsia="Palatino Linotype" w:hAnsi="Palatino Linotype"/>
          <w:b w:val="1"/>
          <w:rtl w:val="0"/>
        </w:rPr>
        <w:t xml:space="preserve">mismo día </w:t>
      </w:r>
      <w:r w:rsidDel="00000000" w:rsidR="00000000" w:rsidRPr="00000000">
        <w:rPr>
          <w:rFonts w:ascii="Palatino Linotype" w:cs="Palatino Linotype" w:eastAsia="Palatino Linotype" w:hAnsi="Palatino Linotype"/>
          <w:rtl w:val="0"/>
        </w:rPr>
        <w:t xml:space="preserve">en que tuvo conocimiento de la respuesta impugnada.</w:t>
      </w:r>
    </w:p>
    <w:p w:rsidR="00000000" w:rsidDel="00000000" w:rsidP="00000000" w:rsidRDefault="00000000" w:rsidRPr="00000000" w14:paraId="0000002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al considerar la fecha en que se formuló la solicitud y la fecha en que respondió a esta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así como la fecha en que se interpuso el recurso de revisión, se concluye que el presente recurso de revisión se encuentra dentro de los márgenes temporales previstos las disposiciones legales referidas.</w:t>
      </w:r>
    </w:p>
    <w:p w:rsidR="00000000" w:rsidDel="00000000" w:rsidP="00000000" w:rsidRDefault="00000000" w:rsidRPr="00000000" w14:paraId="0000002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rsidR="00000000" w:rsidDel="00000000" w:rsidP="00000000" w:rsidRDefault="00000000" w:rsidRPr="00000000" w14:paraId="0000002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“RECURSO DE RECLAMACIÓN. SU INTERPOSICIÓN NO ES EXTEMPORÁNEA SI SE REALIZA ANTES DE QUE INICIE EL PLAZO PARA HACERLO</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28">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000000" w:rsidDel="00000000" w:rsidP="00000000" w:rsidRDefault="00000000" w:rsidRPr="00000000" w14:paraId="0000002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000000" w:rsidDel="00000000" w:rsidP="00000000" w:rsidRDefault="00000000" w:rsidRPr="00000000" w14:paraId="0000002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resulta procedente la interposición del recurso de revisión al rubro anotado, toda vez que se actualiza las hipótesis previstas en el artículo 179, fracción I de la ley de la materia, que a la letra dice:</w:t>
      </w:r>
    </w:p>
    <w:p w:rsidR="00000000" w:rsidDel="00000000" w:rsidP="00000000" w:rsidRDefault="00000000" w:rsidRPr="00000000" w14:paraId="0000002B">
      <w:pPr>
        <w:ind w:left="1276" w:right="175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 </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2C">
      <w:pPr>
        <w:ind w:left="1276" w:right="175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La negativa a la información solicitada…” </w:t>
      </w:r>
    </w:p>
    <w:p w:rsidR="00000000" w:rsidDel="00000000" w:rsidP="00000000" w:rsidRDefault="00000000" w:rsidRPr="00000000" w14:paraId="0000002D">
      <w:pPr>
        <w:spacing w:after="240" w:before="24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2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Revisión</w:t>
      </w:r>
      <w:r w:rsidDel="00000000" w:rsidR="00000000" w:rsidRPr="00000000">
        <w:rPr>
          <w:rFonts w:ascii="Palatino Linotype" w:cs="Palatino Linotype" w:eastAsia="Palatino Linotype" w:hAnsi="Palatino Linotype"/>
          <w:rtl w:val="0"/>
        </w:rPr>
        <w:t xml:space="preserve">: De las constancias que integran el expediente electrónico se advierte que el tema sobre el que este Instituto se pronunciará será: </w:t>
      </w:r>
      <w:r w:rsidDel="00000000" w:rsidR="00000000" w:rsidRPr="00000000">
        <w:rPr>
          <w:rFonts w:ascii="Palatino Linotype" w:cs="Palatino Linotype" w:eastAsia="Palatino Linotype" w:hAnsi="Palatino Linotype"/>
          <w:b w:val="1"/>
          <w:rtl w:val="0"/>
        </w:rPr>
        <w:t xml:space="preserve">verificar si la respuesta otorgada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rtl w:val="0"/>
        </w:rPr>
        <w:t xml:space="preserve">de la parte RECURRENTE, o en su defecto, en caso de ser procedente, ordenar la entrega de información.</w:t>
      </w:r>
    </w:p>
    <w:p w:rsidR="00000000" w:rsidDel="00000000" w:rsidP="00000000" w:rsidRDefault="00000000" w:rsidRPr="00000000" w14:paraId="0000002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Estudio de fondo del asunto. </w:t>
      </w:r>
      <w:r w:rsidDel="00000000" w:rsidR="00000000" w:rsidRPr="00000000">
        <w:rPr>
          <w:rFonts w:ascii="Palatino Linotype" w:cs="Palatino Linotype" w:eastAsia="Palatino Linotype" w:hAnsi="Palatino Linotype"/>
          <w:rtl w:val="0"/>
        </w:rPr>
        <w:t xml:space="preserve">es conveniente analizar si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000000" w:rsidDel="00000000" w:rsidP="00000000" w:rsidRDefault="00000000" w:rsidRPr="00000000" w14:paraId="00000030">
      <w:pPr>
        <w:spacing w:before="240" w:lineRule="auto"/>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31">
      <w:pPr>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32">
      <w:pPr>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000000" w:rsidDel="00000000" w:rsidP="00000000" w:rsidRDefault="00000000" w:rsidRPr="00000000" w14:paraId="00000034">
      <w:pPr>
        <w:ind w:left="567"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35">
      <w:pPr>
        <w:ind w:left="567"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 </w:t>
      </w:r>
      <w:r w:rsidDel="00000000" w:rsidR="00000000" w:rsidRPr="00000000">
        <w:rPr>
          <w:rtl w:val="0"/>
        </w:rPr>
      </w:r>
    </w:p>
    <w:p w:rsidR="00000000" w:rsidDel="00000000" w:rsidP="00000000" w:rsidRDefault="00000000" w:rsidRPr="00000000" w14:paraId="00000036">
      <w:pPr>
        <w:spacing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7">
      <w:pPr>
        <w:spacing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rsidR="00000000" w:rsidDel="00000000" w:rsidP="00000000" w:rsidRDefault="00000000" w:rsidRPr="00000000" w14:paraId="0000003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Sirve de apoyo a lo anterior, el criterio 03-17, expuesto por el Instituto Nacional de Transparencia, Acceso a la Información y Protección de Datos Personales, que dice:</w:t>
      </w:r>
    </w:p>
    <w:p w:rsidR="00000000" w:rsidDel="00000000" w:rsidP="00000000" w:rsidRDefault="00000000" w:rsidRPr="00000000" w14:paraId="0000003A">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03B">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00000" w:rsidDel="00000000" w:rsidP="00000000" w:rsidRDefault="00000000" w:rsidRPr="00000000" w14:paraId="0000003C">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Resoluciones: </w:t>
      </w:r>
    </w:p>
    <w:p w:rsidR="00000000" w:rsidDel="00000000" w:rsidP="00000000" w:rsidRDefault="00000000" w:rsidRPr="00000000" w14:paraId="0000003D">
      <w:pPr>
        <w:ind w:left="851" w:right="901" w:firstLine="0"/>
        <w:jc w:val="both"/>
        <w:rPr>
          <w:rFonts w:ascii="Palatino Linotype" w:cs="Palatino Linotype" w:eastAsia="Palatino Linotype" w:hAnsi="Palatino Linotype"/>
          <w:i w:val="1"/>
          <w:sz w:val="22"/>
          <w:szCs w:val="22"/>
        </w:rPr>
      </w:pPr>
      <w:r w:rsidDel="00000000" w:rsidR="00000000" w:rsidRPr="00000000">
        <w:rPr>
          <w:rFonts w:ascii="Noto Sans Symbols" w:cs="Noto Sans Symbols" w:eastAsia="Noto Sans Symbols" w:hAnsi="Noto Sans Symbols"/>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RRA 0050/16. Instituto Nacional para la Evaluación de la Educación. 13 julio de 2016. Por unanimidad. Comisionado Ponente: Francisco Javier Acuña Llamas.</w:t>
      </w:r>
    </w:p>
    <w:p w:rsidR="00000000" w:rsidDel="00000000" w:rsidP="00000000" w:rsidRDefault="00000000" w:rsidRPr="00000000" w14:paraId="0000003E">
      <w:pPr>
        <w:ind w:left="851" w:right="901" w:firstLine="0"/>
        <w:jc w:val="both"/>
        <w:rPr>
          <w:rFonts w:ascii="Palatino Linotype" w:cs="Palatino Linotype" w:eastAsia="Palatino Linotype" w:hAnsi="Palatino Linotype"/>
          <w:i w:val="1"/>
          <w:sz w:val="22"/>
          <w:szCs w:val="22"/>
        </w:rPr>
      </w:pPr>
      <w:r w:rsidDel="00000000" w:rsidR="00000000" w:rsidRPr="00000000">
        <w:rPr>
          <w:rFonts w:ascii="Noto Sans Symbols" w:cs="Noto Sans Symbols" w:eastAsia="Noto Sans Symbols" w:hAnsi="Noto Sans Symbols"/>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RRA 0310/16. Instituto Nacional de Transparencia, Acceso a la Información y Protección de Datos Personales. 10 de agosto de 2016. Por unanimidad. Comisionada Ponente. Areli Cano Guadiana. </w:t>
      </w:r>
    </w:p>
    <w:p w:rsidR="00000000" w:rsidDel="00000000" w:rsidP="00000000" w:rsidRDefault="00000000" w:rsidRPr="00000000" w14:paraId="0000003F">
      <w:pPr>
        <w:ind w:left="851" w:right="901" w:firstLine="0"/>
        <w:jc w:val="both"/>
        <w:rPr>
          <w:rFonts w:ascii="Palatino Linotype" w:cs="Palatino Linotype" w:eastAsia="Palatino Linotype" w:hAnsi="Palatino Linotype"/>
          <w:i w:val="1"/>
          <w:sz w:val="22"/>
          <w:szCs w:val="22"/>
        </w:rPr>
      </w:pPr>
      <w:r w:rsidDel="00000000" w:rsidR="00000000" w:rsidRPr="00000000">
        <w:rPr>
          <w:rFonts w:ascii="Noto Sans Symbols" w:cs="Noto Sans Symbols" w:eastAsia="Noto Sans Symbols" w:hAnsi="Noto Sans Symbols"/>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RRA 1889/16. Secretaría de Hacienda y Crédito Público. 05 de octubre de 2016. Por unanimidad. Comisionada Ponente. Ximena Puente de la Mora.”</w:t>
      </w:r>
    </w:p>
    <w:p w:rsidR="00000000" w:rsidDel="00000000" w:rsidP="00000000" w:rsidRDefault="00000000" w:rsidRPr="00000000" w14:paraId="0000004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1">
      <w:pPr>
        <w:spacing w:line="360" w:lineRule="auto"/>
        <w:jc w:val="both"/>
        <w:rPr>
          <w:rFonts w:ascii="Palatino Linotype" w:cs="Palatino Linotype" w:eastAsia="Palatino Linotype" w:hAnsi="Palatino Linotype"/>
          <w:strike w:val="1"/>
        </w:rPr>
      </w:pPr>
      <w:r w:rsidDel="00000000" w:rsidR="00000000" w:rsidRPr="00000000">
        <w:rPr>
          <w:rFonts w:ascii="Palatino Linotype" w:cs="Palatino Linotype" w:eastAsia="Palatino Linotype" w:hAnsi="Palatino Linotype"/>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circunstancia que aconteció en el presente asunto que se analiza.  </w:t>
      </w:r>
      <w:r w:rsidDel="00000000" w:rsidR="00000000" w:rsidRPr="00000000">
        <w:rPr>
          <w:rtl w:val="0"/>
        </w:rPr>
      </w:r>
    </w:p>
    <w:p w:rsidR="00000000" w:rsidDel="00000000" w:rsidP="00000000" w:rsidRDefault="00000000" w:rsidRPr="00000000" w14:paraId="0000004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3">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44">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46">
      <w:pPr>
        <w:ind w:left="851" w:right="89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7">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48">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9">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4A">
      <w:pPr>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4C">
      <w:pPr>
        <w:ind w:left="851" w:right="89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D">
      <w:pPr>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w:t>
      </w:r>
    </w:p>
    <w:p w:rsidR="00000000" w:rsidDel="00000000" w:rsidP="00000000" w:rsidRDefault="00000000" w:rsidRPr="00000000" w14:paraId="0000004E">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4F">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50">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51">
      <w:pPr>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52">
      <w:pPr>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 Que se trate de información registrada en cualquier soporte documental, que en ejercicio de las atribuciones conferidas, se encuentre en posesión de los Sujetos Obligados.”</w:t>
      </w:r>
    </w:p>
    <w:p w:rsidR="00000000" w:rsidDel="00000000" w:rsidP="00000000" w:rsidRDefault="00000000" w:rsidRPr="00000000" w14:paraId="0000005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del análisis de la solicitud de información pública que motivó el recurso de revisión que ahora se resuelve, se advierte que el particular requirió al Ayuntamiento de Chapultepec, durante el periodo comprendido de enero del año 2022 al mes de octubre del año 2024, lo siguiente:</w:t>
      </w:r>
    </w:p>
    <w:p w:rsidR="00000000" w:rsidDel="00000000" w:rsidP="00000000" w:rsidRDefault="00000000" w:rsidRPr="00000000" w14:paraId="0000005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-Cuáles son las localidades de mayor incidencia delictiva.</w:t>
      </w:r>
    </w:p>
    <w:p w:rsidR="00000000" w:rsidDel="00000000" w:rsidP="00000000" w:rsidRDefault="00000000" w:rsidRPr="00000000" w14:paraId="0000005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-Cuántas cámaras de vigilancia había en el municipio y cuántas hay hasta este momento, Cuántas de ellas fueron integradas al C2 y qué costo tubo la compra de más cámaras de video vigilancia, así como el equipo aéreo de video vigilancia.</w:t>
      </w:r>
    </w:p>
    <w:p w:rsidR="00000000" w:rsidDel="00000000" w:rsidP="00000000" w:rsidRDefault="00000000" w:rsidRPr="00000000" w14:paraId="00000056">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respuesta,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 través de su Unidad de Transparencia informó que La información solicitada se encuentra en la siguiente liga https://www.chapultepec.gob.mx/ en el apartado del informe de gobierno.</w:t>
      </w:r>
    </w:p>
    <w:p w:rsidR="00000000" w:rsidDel="00000000" w:rsidP="00000000" w:rsidRDefault="00000000" w:rsidRPr="00000000" w14:paraId="00000057">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conforme con la respuesta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interpuso el recurso de revisión que se analiza en el presente asunto, por medio del cual se inconformó en lo medular por la negativa de la información solicitada, además que el Sujeto Obligado está obligado a proporcionar la información cuando se le requiere y no deslindarse de brindarla proporcionando un link genérico del Ayuntamiento.</w:t>
      </w:r>
    </w:p>
    <w:p w:rsidR="00000000" w:rsidDel="00000000" w:rsidP="00000000" w:rsidRDefault="00000000" w:rsidRPr="00000000" w14:paraId="0000005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Ante la interposición del recurso de revisión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fue omiso en rendir su informe justificado.</w:t>
      </w:r>
    </w:p>
    <w:p w:rsidR="00000000" w:rsidDel="00000000" w:rsidP="00000000" w:rsidRDefault="00000000" w:rsidRPr="00000000" w14:paraId="0000005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base en lo precedente, se determina que la información proporcionada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su respuesta, no cumple con lo establecido por los artículos 4, 12, 24 último párrafo y 162 de la Ley de Transparencia y Acceso a la Información Pública del Estado de México y Municipios; por ello, los motivos de inconformidad acontecen parcialmente fundados para revocar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razón de las consideraciones de derecho que a continuación se exponen:</w:t>
      </w:r>
    </w:p>
    <w:p w:rsidR="00000000" w:rsidDel="00000000" w:rsidP="00000000" w:rsidRDefault="00000000" w:rsidRPr="00000000" w14:paraId="0000005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C">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INCIDENCIA DELICTIVA:</w:t>
      </w:r>
    </w:p>
    <w:p w:rsidR="00000000" w:rsidDel="00000000" w:rsidP="00000000" w:rsidRDefault="00000000" w:rsidRPr="00000000" w14:paraId="0000005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Sobre la naturaleza de la información, es oportuno traer a colación los artículos 5, fracción II, XVII, 7, fracción IX, 19, fracción I, 39, inciso b), fracción VI y XI, 118 de la Ley General del Sistema Nacional de Seguridad Pública, los numerales 125, fracción VIII y 142 de la Ley Orgánica Municipal del Estado de México; disposiciones legales que disponen a la literalidad lo siguiente: </w:t>
      </w:r>
    </w:p>
    <w:p w:rsidR="00000000" w:rsidDel="00000000" w:rsidP="00000000" w:rsidRDefault="00000000" w:rsidRPr="00000000" w14:paraId="0000005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0">
      <w:pPr>
        <w:ind w:left="567" w:right="53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Ley General del Sistema Nacional de Seguridad Pública</w:t>
      </w:r>
    </w:p>
    <w:p w:rsidR="00000000" w:rsidDel="00000000" w:rsidP="00000000" w:rsidRDefault="00000000" w:rsidRPr="00000000" w14:paraId="00000061">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5</w:t>
      </w:r>
      <w:r w:rsidDel="00000000" w:rsidR="00000000" w:rsidRPr="00000000">
        <w:rPr>
          <w:rFonts w:ascii="Palatino Linotype" w:cs="Palatino Linotype" w:eastAsia="Palatino Linotype" w:hAnsi="Palatino Linotype"/>
          <w:i w:val="1"/>
          <w:sz w:val="22"/>
          <w:szCs w:val="22"/>
          <w:rtl w:val="0"/>
        </w:rPr>
        <w:t xml:space="preserve">.- Para los efectos de esta Ley, se entenderá por:</w:t>
      </w:r>
    </w:p>
    <w:p w:rsidR="00000000" w:rsidDel="00000000" w:rsidP="00000000" w:rsidRDefault="00000000" w:rsidRPr="00000000" w14:paraId="00000062">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w:t>
      </w:r>
    </w:p>
    <w:p w:rsidR="00000000" w:rsidDel="00000000" w:rsidP="00000000" w:rsidRDefault="00000000" w:rsidRPr="00000000" w14:paraId="00000063">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Bases de Datos: Las bases de datos que constituyen subconjuntos sistematizados de la información contenida en Registros Nacionales en materias relativas a detenciones, armamento, equipo y personal de seguridad pública, medidas cautelares, soluciones alternas y formas de terminación anticipada, así como las bases de datos del Ministerio Público y las instituciones policiales de los tres órdenes de gobierno relativas a la información criminalística, huellas dactilares de personas sujetas a un proceso o investigación penal, teléfonos celulares, personas sentenciadas y servicios de seguridad privada, así como las demás necesarias para la prevención, investigación y persecución de los delitos. El conjunto de bases de datos conformará el Sistema Nacional de Información;</w:t>
      </w:r>
    </w:p>
    <w:p w:rsidR="00000000" w:rsidDel="00000000" w:rsidP="00000000" w:rsidRDefault="00000000" w:rsidRPr="00000000" w14:paraId="00000064">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a XVI…</w:t>
      </w:r>
    </w:p>
    <w:p w:rsidR="00000000" w:rsidDel="00000000" w:rsidP="00000000" w:rsidRDefault="00000000" w:rsidRPr="00000000" w14:paraId="00000065">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XVII. Sistema Nacional de Información: al Sistema Nacional de Información en Seguridad Pública, el cual constituye el conjunto integrado, organizado y sistematizado de las Bases de Datos. Está integrado por elementos metodológicos y procedimentales que permiten a las Instituciones de Seguridad Pública su consulta e interconexión para el desempeño de sus funciones.</w:t>
      </w:r>
    </w:p>
    <w:p w:rsidR="00000000" w:rsidDel="00000000" w:rsidP="00000000" w:rsidRDefault="00000000" w:rsidRPr="00000000" w14:paraId="00000066">
      <w:pPr>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7">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7.-</w:t>
      </w:r>
      <w:r w:rsidDel="00000000" w:rsidR="00000000" w:rsidRPr="00000000">
        <w:rPr>
          <w:rFonts w:ascii="Palatino Linotype" w:cs="Palatino Linotype" w:eastAsia="Palatino Linotype" w:hAnsi="Palatino Linotype"/>
          <w:i w:val="1"/>
          <w:sz w:val="22"/>
          <w:szCs w:val="22"/>
          <w:rtl w:val="0"/>
        </w:rPr>
        <w:t xml:space="preserve"> Conforme a las bases que establece el artículo 21 de la Constitución Política de los Estados Unidos Mexicanos, las Instituciones de Seguridad Pública de la Federación, las entidades federativas y los Municipios, en el ámbito de su competencia y en los términos de esta Ley, deberán coordinarse para:</w:t>
      </w:r>
    </w:p>
    <w:p w:rsidR="00000000" w:rsidDel="00000000" w:rsidP="00000000" w:rsidRDefault="00000000" w:rsidRPr="00000000" w14:paraId="00000068">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a VIII…</w:t>
      </w:r>
    </w:p>
    <w:p w:rsidR="00000000" w:rsidDel="00000000" w:rsidP="00000000" w:rsidRDefault="00000000" w:rsidRPr="00000000" w14:paraId="00000069">
      <w:pPr>
        <w:ind w:left="567" w:right="53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Generar, compartir, intercambiar, ingresar, almacenar y proveer información, archivos y contenidos a las Bases de Datos que integran el Sistema Nacional de Información, de conformidad con lo dispuesto en la legislación en la materia. </w:t>
      </w:r>
    </w:p>
    <w:p w:rsidR="00000000" w:rsidDel="00000000" w:rsidP="00000000" w:rsidRDefault="00000000" w:rsidRPr="00000000" w14:paraId="0000006A">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Tratándose de manejo de datos que provengan del Registro Nacional de Detenciones se atendrá a lo dispuesto en la Ley Nacional del Registro de Detenciones;</w:t>
      </w:r>
    </w:p>
    <w:p w:rsidR="00000000" w:rsidDel="00000000" w:rsidP="00000000" w:rsidRDefault="00000000" w:rsidRPr="00000000" w14:paraId="0000006B">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 a XVI…</w:t>
      </w:r>
    </w:p>
    <w:p w:rsidR="00000000" w:rsidDel="00000000" w:rsidP="00000000" w:rsidRDefault="00000000" w:rsidRPr="00000000" w14:paraId="0000006C">
      <w:pPr>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D">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19.-</w:t>
      </w:r>
      <w:r w:rsidDel="00000000" w:rsidR="00000000" w:rsidRPr="00000000">
        <w:rPr>
          <w:rFonts w:ascii="Palatino Linotype" w:cs="Palatino Linotype" w:eastAsia="Palatino Linotype" w:hAnsi="Palatino Linotype"/>
          <w:i w:val="1"/>
          <w:sz w:val="22"/>
          <w:szCs w:val="22"/>
          <w:rtl w:val="0"/>
        </w:rPr>
        <w:t xml:space="preserve"> El Centro Nacional de Información será el responsable de regular el Sistema Nacional de Información y tendrá, entre otras, las siguientes atribuciones: </w:t>
      </w:r>
    </w:p>
    <w:p w:rsidR="00000000" w:rsidDel="00000000" w:rsidP="00000000" w:rsidRDefault="00000000" w:rsidRPr="00000000" w14:paraId="0000006E">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Determinar los criterios técnicos y de homologación de las Bases de Datos que conforman el Sistema Nacional de Información;</w:t>
      </w:r>
    </w:p>
    <w:p w:rsidR="00000000" w:rsidDel="00000000" w:rsidP="00000000" w:rsidRDefault="00000000" w:rsidRPr="00000000" w14:paraId="0000006F">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a VI…</w:t>
      </w:r>
    </w:p>
    <w:p w:rsidR="00000000" w:rsidDel="00000000" w:rsidP="00000000" w:rsidRDefault="00000000" w:rsidRPr="00000000" w14:paraId="00000070">
      <w:pPr>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1">
      <w:pPr>
        <w:ind w:left="567" w:right="539"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Artículo 39.- La concurrencia de facultades entre la Federación, las entidades federativas y los Municipios, quedará distribuida conforme a lo siguiente:</w:t>
      </w:r>
    </w:p>
    <w:p w:rsidR="00000000" w:rsidDel="00000000" w:rsidP="00000000" w:rsidRDefault="00000000" w:rsidRPr="00000000" w14:paraId="00000072">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w:t>
      </w:r>
    </w:p>
    <w:p w:rsidR="00000000" w:rsidDel="00000000" w:rsidP="00000000" w:rsidRDefault="00000000" w:rsidRPr="00000000" w14:paraId="00000073">
      <w:pPr>
        <w:ind w:left="567" w:right="539"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B. Corresponde a la Federación, a las entidades federativas y a los Municipios, en el ámbito de sus respectivas competencias:</w:t>
      </w:r>
    </w:p>
    <w:p w:rsidR="00000000" w:rsidDel="00000000" w:rsidP="00000000" w:rsidRDefault="00000000" w:rsidRPr="00000000" w14:paraId="00000074">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a V…</w:t>
      </w:r>
    </w:p>
    <w:p w:rsidR="00000000" w:rsidDel="00000000" w:rsidP="00000000" w:rsidRDefault="00000000" w:rsidRPr="00000000" w14:paraId="00000075">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Designar a un responsable del control, suministro y adecuado manejo de la información a que se refiere esta Ley;</w:t>
      </w:r>
    </w:p>
    <w:p w:rsidR="00000000" w:rsidDel="00000000" w:rsidP="00000000" w:rsidRDefault="00000000" w:rsidRPr="00000000" w14:paraId="00000076">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XII a X…</w:t>
      </w:r>
    </w:p>
    <w:p w:rsidR="00000000" w:rsidDel="00000000" w:rsidP="00000000" w:rsidRDefault="00000000" w:rsidRPr="00000000" w14:paraId="00000077">
      <w:pPr>
        <w:ind w:left="567" w:right="539"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XI. Integrar y consultar la información relativa a la operación y Desarrollo Policial para el registro y seguimiento en el Sistema Nacional de Información; </w:t>
      </w:r>
    </w:p>
    <w:p w:rsidR="00000000" w:rsidDel="00000000" w:rsidP="00000000" w:rsidRDefault="00000000" w:rsidRPr="00000000" w14:paraId="00000078">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XII a XV…</w:t>
      </w:r>
    </w:p>
    <w:p w:rsidR="00000000" w:rsidDel="00000000" w:rsidP="00000000" w:rsidRDefault="00000000" w:rsidRPr="00000000" w14:paraId="00000079">
      <w:pPr>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A">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118.-</w:t>
      </w:r>
      <w:r w:rsidDel="00000000" w:rsidR="00000000" w:rsidRPr="00000000">
        <w:rPr>
          <w:rFonts w:ascii="Palatino Linotype" w:cs="Palatino Linotype" w:eastAsia="Palatino Linotype" w:hAnsi="Palatino Linotype"/>
          <w:i w:val="1"/>
          <w:sz w:val="22"/>
          <w:szCs w:val="22"/>
          <w:rtl w:val="0"/>
        </w:rPr>
        <w:t xml:space="preserve"> Las Bases de Datos que integran el Sistema Nacional de Información se actualizarán permanentemente y serán de consulta obligatoria para garantizar la efectividad en las actividades de Seguridad Pública. </w:t>
      </w:r>
    </w:p>
    <w:p w:rsidR="00000000" w:rsidDel="00000000" w:rsidP="00000000" w:rsidRDefault="00000000" w:rsidRPr="00000000" w14:paraId="0000007B">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Bases de Datos criminalísticas se conformarán de la información que aporten las instituciones de procuración de justicia y del sistema penitenciario, relativa a las investigaciones, órdenes de detención y aprehensión, procesos penales, sentencias o ejecución de penas.</w:t>
      </w:r>
    </w:p>
    <w:p w:rsidR="00000000" w:rsidDel="00000000" w:rsidP="00000000" w:rsidRDefault="00000000" w:rsidRPr="00000000" w14:paraId="0000007C">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Registro Nacional de Detenciones se vinculará con las Bases de Datos a que se refiere el presente artículo, mediante el número de identificación al que hace referencia la ley de la materia.</w:t>
      </w:r>
    </w:p>
    <w:p w:rsidR="00000000" w:rsidDel="00000000" w:rsidP="00000000" w:rsidRDefault="00000000" w:rsidRPr="00000000" w14:paraId="0000007D">
      <w:pPr>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E">
      <w:pPr>
        <w:ind w:left="567" w:right="53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Ley Orgánica Municipal del Estado de México</w:t>
      </w:r>
    </w:p>
    <w:p w:rsidR="00000000" w:rsidDel="00000000" w:rsidP="00000000" w:rsidRDefault="00000000" w:rsidRPr="00000000" w14:paraId="0000007F">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125</w:t>
      </w:r>
      <w:r w:rsidDel="00000000" w:rsidR="00000000" w:rsidRPr="00000000">
        <w:rPr>
          <w:rFonts w:ascii="Palatino Linotype" w:cs="Palatino Linotype" w:eastAsia="Palatino Linotype" w:hAnsi="Palatino Linotype"/>
          <w:i w:val="1"/>
          <w:sz w:val="22"/>
          <w:szCs w:val="22"/>
          <w:rtl w:val="0"/>
        </w:rPr>
        <w:t xml:space="preserve">.- Los municipios tendrán a su cargo la prestación, explotación, administración y conservación de los servicios públicos municipales, considerándose enunciativa y no limitativamente, los siguientes:</w:t>
      </w:r>
    </w:p>
    <w:p w:rsidR="00000000" w:rsidDel="00000000" w:rsidP="00000000" w:rsidRDefault="00000000" w:rsidRPr="00000000" w14:paraId="00000080">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a VII…</w:t>
      </w:r>
    </w:p>
    <w:p w:rsidR="00000000" w:rsidDel="00000000" w:rsidP="00000000" w:rsidRDefault="00000000" w:rsidRPr="00000000" w14:paraId="00000081">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Seguridad pública y tránsito;</w:t>
      </w:r>
    </w:p>
    <w:p w:rsidR="00000000" w:rsidDel="00000000" w:rsidP="00000000" w:rsidRDefault="00000000" w:rsidRPr="00000000" w14:paraId="00000082">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a XI…</w:t>
      </w:r>
    </w:p>
    <w:p w:rsidR="00000000" w:rsidDel="00000000" w:rsidP="00000000" w:rsidRDefault="00000000" w:rsidRPr="00000000" w14:paraId="00000083">
      <w:pPr>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4">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142</w:t>
      </w:r>
      <w:r w:rsidDel="00000000" w:rsidR="00000000" w:rsidRPr="00000000">
        <w:rPr>
          <w:rFonts w:ascii="Palatino Linotype" w:cs="Palatino Linotype" w:eastAsia="Palatino Linotype" w:hAnsi="Palatino Linotype"/>
          <w:i w:val="1"/>
          <w:sz w:val="22"/>
          <w:szCs w:val="22"/>
          <w:rtl w:val="0"/>
        </w:rPr>
        <w:t xml:space="preserve">.- Las funciones de seguridad pública del municipio en su respectivo ámbito de competencia, estarán a cargo de un Director de Seguridad Pública Municipal o su equivalente, el cual deberá ser nombrado en los términos y requisitos establecidos en la Ley de Seguridad del Estado de México.</w:t>
      </w:r>
    </w:p>
    <w:p w:rsidR="00000000" w:rsidDel="00000000" w:rsidP="00000000" w:rsidRDefault="00000000" w:rsidRPr="00000000" w14:paraId="00000085">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En cada municipio se deberán integrar cuerpos de seguridad pública, de bomberos y, en su caso, de tránsito, estos servidores públicos preferentemente serán vecinos del municipio, de los cuales el presidente municipal será el jefe inmediato</w:t>
      </w:r>
    </w:p>
    <w:p w:rsidR="00000000" w:rsidDel="00000000" w:rsidP="00000000" w:rsidRDefault="00000000" w:rsidRPr="00000000" w14:paraId="00000086">
      <w:pPr>
        <w:spacing w:line="360" w:lineRule="auto"/>
        <w:ind w:left="56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8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ahí que deba arribarse a la premisa de que la Ley General del Sistema Nacional de Seguridad Pública prevé un esquema de distribución de competencias entre la Federación, los Estados y los Municipios y se destaca qua a partir de sus atribuciones y competencias, existe la necesidad de la integración y actualización de diversas Bases de Datos Criminalísticos. </w:t>
      </w:r>
    </w:p>
    <w:p w:rsidR="00000000" w:rsidDel="00000000" w:rsidP="00000000" w:rsidRDefault="00000000" w:rsidRPr="00000000" w14:paraId="0000008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la misma la Ley General del Sistema Nacional de Seguridad Pública, en la cual se establece en su artículo 43 lo que debe contener el informe policial homologado como se muestra a continuación:</w:t>
      </w:r>
    </w:p>
    <w:p w:rsidR="00000000" w:rsidDel="00000000" w:rsidP="00000000" w:rsidRDefault="00000000" w:rsidRPr="00000000" w14:paraId="0000008A">
      <w:pPr>
        <w:spacing w:line="360" w:lineRule="auto"/>
        <w:rPr/>
      </w:pPr>
      <w:r w:rsidDel="00000000" w:rsidR="00000000" w:rsidRPr="00000000">
        <w:rPr>
          <w:rtl w:val="0"/>
        </w:rPr>
        <w:t xml:space="preserve"> </w:t>
      </w:r>
    </w:p>
    <w:p w:rsidR="00000000" w:rsidDel="00000000" w:rsidP="00000000" w:rsidRDefault="00000000" w:rsidRPr="00000000" w14:paraId="0000008B">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43.- La Federación y las entidades federativas establecerán en las disposiciones legales correspondientes que los integrantes de las Instituciones Policiales deberán llenar un Informe Policial Homologado que contendrá, cuando menos, los siguientes datos:</w:t>
      </w:r>
    </w:p>
    <w:p w:rsidR="00000000" w:rsidDel="00000000" w:rsidP="00000000" w:rsidRDefault="00000000" w:rsidRPr="00000000" w14:paraId="0000008C">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El área que lo emite;</w:t>
      </w:r>
    </w:p>
    <w:p w:rsidR="00000000" w:rsidDel="00000000" w:rsidP="00000000" w:rsidRDefault="00000000" w:rsidRPr="00000000" w14:paraId="0000008D">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usuario capturista;</w:t>
      </w:r>
    </w:p>
    <w:p w:rsidR="00000000" w:rsidDel="00000000" w:rsidP="00000000" w:rsidRDefault="00000000" w:rsidRPr="00000000" w14:paraId="0000008E">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Los Datos Generales de registro;</w:t>
      </w:r>
    </w:p>
    <w:p w:rsidR="00000000" w:rsidDel="00000000" w:rsidP="00000000" w:rsidRDefault="00000000" w:rsidRPr="00000000" w14:paraId="0000008F">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Motivo, que se clasifica en;</w:t>
      </w:r>
    </w:p>
    <w:p w:rsidR="00000000" w:rsidDel="00000000" w:rsidP="00000000" w:rsidRDefault="00000000" w:rsidRPr="00000000" w14:paraId="00000090">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Tipo de evento, y</w:t>
      </w:r>
    </w:p>
    <w:p w:rsidR="00000000" w:rsidDel="00000000" w:rsidP="00000000" w:rsidRDefault="00000000" w:rsidRPr="00000000" w14:paraId="00000091">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 Subtipo de evento.</w:t>
      </w:r>
    </w:p>
    <w:p w:rsidR="00000000" w:rsidDel="00000000" w:rsidP="00000000" w:rsidRDefault="00000000" w:rsidRPr="00000000" w14:paraId="00000092">
      <w:pPr>
        <w:ind w:left="567" w:right="53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La ubicación del evento y en su caso, los caminos;</w:t>
      </w:r>
    </w:p>
    <w:p w:rsidR="00000000" w:rsidDel="00000000" w:rsidP="00000000" w:rsidRDefault="00000000" w:rsidRPr="00000000" w14:paraId="00000093">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La descripción de hechos, que deberá detallar modo, tiempo y lugar, entre otros datos.</w:t>
      </w:r>
    </w:p>
    <w:p w:rsidR="00000000" w:rsidDel="00000000" w:rsidP="00000000" w:rsidRDefault="00000000" w:rsidRPr="00000000" w14:paraId="00000094">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Entrevistas realizadas, y</w:t>
      </w:r>
    </w:p>
    <w:p w:rsidR="00000000" w:rsidDel="00000000" w:rsidP="00000000" w:rsidRDefault="00000000" w:rsidRPr="00000000" w14:paraId="00000095">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En caso de detenciones:</w:t>
      </w:r>
    </w:p>
    <w:p w:rsidR="00000000" w:rsidDel="00000000" w:rsidP="00000000" w:rsidRDefault="00000000" w:rsidRPr="00000000" w14:paraId="00000096">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Señalar los motivos de la detención;</w:t>
      </w:r>
    </w:p>
    <w:p w:rsidR="00000000" w:rsidDel="00000000" w:rsidP="00000000" w:rsidRDefault="00000000" w:rsidRPr="00000000" w14:paraId="00000097">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 Descripción de la persona;</w:t>
      </w:r>
    </w:p>
    <w:p w:rsidR="00000000" w:rsidDel="00000000" w:rsidP="00000000" w:rsidRDefault="00000000" w:rsidRPr="00000000" w14:paraId="00000098">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 El nombre del detenido y apodo, en su caso;</w:t>
      </w:r>
    </w:p>
    <w:p w:rsidR="00000000" w:rsidDel="00000000" w:rsidP="00000000" w:rsidRDefault="00000000" w:rsidRPr="00000000" w14:paraId="00000099">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 Descripción de estado físico aparente;</w:t>
      </w:r>
    </w:p>
    <w:p w:rsidR="00000000" w:rsidDel="00000000" w:rsidP="00000000" w:rsidRDefault="00000000" w:rsidRPr="00000000" w14:paraId="0000009A">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 Objetos que le fueron encontrados;</w:t>
      </w:r>
    </w:p>
    <w:p w:rsidR="00000000" w:rsidDel="00000000" w:rsidP="00000000" w:rsidRDefault="00000000" w:rsidRPr="00000000" w14:paraId="0000009B">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f) Autoridad a la que fue puesto a disposición, y</w:t>
      </w:r>
    </w:p>
    <w:p w:rsidR="00000000" w:rsidDel="00000000" w:rsidP="00000000" w:rsidRDefault="00000000" w:rsidRPr="00000000" w14:paraId="0000009C">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g) Lugar en el que fue puesto a disposición.</w:t>
      </w:r>
    </w:p>
    <w:p w:rsidR="00000000" w:rsidDel="00000000" w:rsidP="00000000" w:rsidRDefault="00000000" w:rsidRPr="00000000" w14:paraId="0000009D">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informe debe ser completo, los hechos deben describirse con continuidad, cronológicamente y resaltando lo importante; no deberá contener afirmaciones sin el soporte de datos o hechos reales, por lo que deberá evitar información de oídas, conjeturas o conclusiones ajenas a la investigación.”</w:t>
      </w:r>
    </w:p>
    <w:p w:rsidR="00000000" w:rsidDel="00000000" w:rsidP="00000000" w:rsidRDefault="00000000" w:rsidRPr="00000000" w14:paraId="0000009E">
      <w:pPr>
        <w:spacing w:line="360" w:lineRule="auto"/>
        <w:rPr>
          <w:sz w:val="20"/>
          <w:szCs w:val="20"/>
        </w:rPr>
      </w:pPr>
      <w:r w:rsidDel="00000000" w:rsidR="00000000" w:rsidRPr="00000000">
        <w:rPr>
          <w:rtl w:val="0"/>
        </w:rPr>
      </w:r>
    </w:p>
    <w:p w:rsidR="00000000" w:rsidDel="00000000" w:rsidP="00000000" w:rsidRDefault="00000000" w:rsidRPr="00000000" w14:paraId="0000009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necesario resaltar que el Informe Policial Homologado, debe tener la ubicación del evento y en su caso, los caminos, pero debemos recordar que el particular sólo quiere conocer las localidades del Municipio de Chapultepec con mayor incidencia delictiva, no así que quiera conocer la dirección del evento, siendo esta última información confidencial, pues los hechos ilícitos, en múltiples ocasiones, son realizados al interior de inmuebles, que son direcciones de Particulares, por lo que es información que se considera como confidencial.</w:t>
      </w:r>
    </w:p>
    <w:p w:rsidR="00000000" w:rsidDel="00000000" w:rsidP="00000000" w:rsidRDefault="00000000" w:rsidRPr="00000000" w14:paraId="000000A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la Ley de Seguridad del Estado de México en su artículo 22 fracción V, confiere al Director de Seguridad Pública Municipal, a contar con las estadísticas delictivas y efectuar la supervisión de las acciones de seguridad pública municipal, como así lo señala:</w:t>
      </w:r>
    </w:p>
    <w:p w:rsidR="00000000" w:rsidDel="00000000" w:rsidP="00000000" w:rsidRDefault="00000000" w:rsidRPr="00000000" w14:paraId="000000A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3">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22.- Son atribuciones del Director de Seguridad Pública Municipal</w:t>
      </w:r>
    </w:p>
    <w:p w:rsidR="00000000" w:rsidDel="00000000" w:rsidP="00000000" w:rsidRDefault="00000000" w:rsidRPr="00000000" w14:paraId="000000A4">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5">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Contar con las estadísticas delictivas y efectuar la supervisión de las acciones de seguridad pública municipal…”</w:t>
      </w:r>
    </w:p>
    <w:p w:rsidR="00000000" w:rsidDel="00000000" w:rsidP="00000000" w:rsidRDefault="00000000" w:rsidRPr="00000000" w14:paraId="000000A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Conforme a lo anterior, se advierte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si genera un base de datos en donde debe constar las localidades de mayor incidencia delictiva correspondiente y por ende que de la información requerida estriba dentro de las fronteras conceptuales del interés general y el alcance público, afirmación que se robustece con los artículos 24, fracción XII y 92, fracción XXXIV de la Ley de Transparencia y Acceso a la Información Pública del Estado de México y Municipios, normatividad invocada cuyo contenido literal es el siguiente:</w:t>
      </w:r>
    </w:p>
    <w:p w:rsidR="00000000" w:rsidDel="00000000" w:rsidP="00000000" w:rsidRDefault="00000000" w:rsidRPr="00000000" w14:paraId="000000A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A">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24. Para el cumplimiento de los objetivos de esta Ley, los sujetos obligados deberán cumplir con las siguientes obligaciones, según corresponda, de acuerdo a su naturaleza:</w:t>
      </w:r>
    </w:p>
    <w:p w:rsidR="00000000" w:rsidDel="00000000" w:rsidP="00000000" w:rsidRDefault="00000000" w:rsidRPr="00000000" w14:paraId="000000AB">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a XI…</w:t>
      </w:r>
    </w:p>
    <w:p w:rsidR="00000000" w:rsidDel="00000000" w:rsidP="00000000" w:rsidRDefault="00000000" w:rsidRPr="00000000" w14:paraId="000000AC">
      <w:pPr>
        <w:ind w:left="567" w:right="53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XII. Publicar y mantener actualizada la información relativa a las obligaciones generales de transparencia previstas en la presente Ley o determinadas así por el Instituto, y en general aquella que sea de interés público;</w:t>
      </w:r>
    </w:p>
    <w:p w:rsidR="00000000" w:rsidDel="00000000" w:rsidP="00000000" w:rsidRDefault="00000000" w:rsidRPr="00000000" w14:paraId="000000AD">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XIII a XXV…</w:t>
      </w:r>
    </w:p>
    <w:p w:rsidR="00000000" w:rsidDel="00000000" w:rsidP="00000000" w:rsidRDefault="00000000" w:rsidRPr="00000000" w14:paraId="000000AE">
      <w:pPr>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F">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92.</w:t>
      </w:r>
      <w:r w:rsidDel="00000000" w:rsidR="00000000" w:rsidRPr="00000000">
        <w:rPr>
          <w:rFonts w:ascii="Palatino Linotype" w:cs="Palatino Linotype" w:eastAsia="Palatino Linotype" w:hAnsi="Palatino Linotype"/>
          <w:i w:val="1"/>
          <w:sz w:val="22"/>
          <w:szCs w:val="22"/>
          <w:rtl w:val="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00000" w:rsidDel="00000000" w:rsidP="00000000" w:rsidRDefault="00000000" w:rsidRPr="00000000" w14:paraId="000000B0">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a XXXIII…</w:t>
      </w:r>
    </w:p>
    <w:p w:rsidR="00000000" w:rsidDel="00000000" w:rsidP="00000000" w:rsidRDefault="00000000" w:rsidRPr="00000000" w14:paraId="000000B1">
      <w:pPr>
        <w:ind w:left="567" w:right="53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XXXIV. Las estadísticas que generen en cumplimiento de sus facultades, competencias o funciones con la mayor desagregación posible</w:t>
      </w:r>
    </w:p>
    <w:p w:rsidR="00000000" w:rsidDel="00000000" w:rsidP="00000000" w:rsidRDefault="00000000" w:rsidRPr="00000000" w14:paraId="000000B2">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XXXV a LII…”</w:t>
      </w:r>
    </w:p>
    <w:p w:rsidR="00000000" w:rsidDel="00000000" w:rsidP="00000000" w:rsidRDefault="00000000" w:rsidRPr="00000000" w14:paraId="000000B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forma complementaria, resulta de nuestro particular interés el criterio 11/09 emitido por el hoy Instituto Nacional de Transparencia, Acceso a la Información y Protección de Datos Personales, que a la letra dispone lo siguiente:</w:t>
      </w:r>
    </w:p>
    <w:p w:rsidR="00000000" w:rsidDel="00000000" w:rsidP="00000000" w:rsidRDefault="00000000" w:rsidRPr="00000000" w14:paraId="000000B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6">
      <w:pPr>
        <w:ind w:left="567" w:right="53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LA INFORMACIÓN ESTADÍSTICA ES DE NATURALEZA PÚBLICA, INDEPENDIENTEMENTE DE LA MATERIA CON LA QUE SE ENCUENTRE VINCULADA.</w:t>
      </w:r>
    </w:p>
    <w:p w:rsidR="00000000" w:rsidDel="00000000" w:rsidP="00000000" w:rsidRDefault="00000000" w:rsidRPr="00000000" w14:paraId="000000B7">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w:t>
      </w:r>
    </w:p>
    <w:p w:rsidR="00000000" w:rsidDel="00000000" w:rsidP="00000000" w:rsidRDefault="00000000" w:rsidRPr="00000000" w14:paraId="000000B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así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se cuenta constreñido a poseer la información de las localidades del Municipio de Chapultepec con mayor incidencia delictiva. </w:t>
      </w:r>
    </w:p>
    <w:p w:rsidR="00000000" w:rsidDel="00000000" w:rsidP="00000000" w:rsidRDefault="00000000" w:rsidRPr="00000000" w14:paraId="000000BA">
      <w:pPr>
        <w:spacing w:line="360" w:lineRule="auto"/>
        <w:rPr/>
      </w:pPr>
      <w:r w:rsidDel="00000000" w:rsidR="00000000" w:rsidRPr="00000000">
        <w:rPr>
          <w:rtl w:val="0"/>
        </w:rPr>
      </w:r>
    </w:p>
    <w:p w:rsidR="00000000" w:rsidDel="00000000" w:rsidP="00000000" w:rsidRDefault="00000000" w:rsidRPr="00000000" w14:paraId="000000BB">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CÁMARAS DE VIGILANCIA Y EQUIPO AÉREO DE VIGILANCIA. </w:t>
      </w:r>
    </w:p>
    <w:p w:rsidR="00000000" w:rsidDel="00000000" w:rsidP="00000000" w:rsidRDefault="00000000" w:rsidRPr="00000000" w14:paraId="000000BC">
      <w:pPr>
        <w:spacing w:line="360" w:lineRule="auto"/>
        <w:rPr/>
      </w:pPr>
      <w:r w:rsidDel="00000000" w:rsidR="00000000" w:rsidRPr="00000000">
        <w:rPr>
          <w:rtl w:val="0"/>
        </w:rPr>
      </w:r>
    </w:p>
    <w:p w:rsidR="00000000" w:rsidDel="00000000" w:rsidP="00000000" w:rsidRDefault="00000000" w:rsidRPr="00000000" w14:paraId="000000B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Sobre el costo, la ley de Contratación Pública del Estado de México y Municipios, la cual tiene por objeto regular los actos relativos a la </w:t>
      </w:r>
      <w:r w:rsidDel="00000000" w:rsidR="00000000" w:rsidRPr="00000000">
        <w:rPr>
          <w:rFonts w:ascii="Palatino Linotype" w:cs="Palatino Linotype" w:eastAsia="Palatino Linotype" w:hAnsi="Palatino Linotype"/>
          <w:b w:val="1"/>
          <w:u w:val="single"/>
          <w:rtl w:val="0"/>
        </w:rPr>
        <w:t xml:space="preserve">planeación, programación, presupuestación</w:t>
      </w:r>
      <w:r w:rsidDel="00000000" w:rsidR="00000000" w:rsidRPr="00000000">
        <w:rPr>
          <w:rFonts w:ascii="Palatino Linotype" w:cs="Palatino Linotype" w:eastAsia="Palatino Linotype" w:hAnsi="Palatino Linotype"/>
          <w:rtl w:val="0"/>
        </w:rPr>
        <w:t xml:space="preserve">, ejecución y control de la </w:t>
      </w:r>
      <w:r w:rsidDel="00000000" w:rsidR="00000000" w:rsidRPr="00000000">
        <w:rPr>
          <w:rFonts w:ascii="Palatino Linotype" w:cs="Palatino Linotype" w:eastAsia="Palatino Linotype" w:hAnsi="Palatino Linotype"/>
          <w:b w:val="1"/>
          <w:u w:val="single"/>
          <w:rtl w:val="0"/>
        </w:rPr>
        <w:t xml:space="preserve">adquisición</w:t>
      </w:r>
      <w:r w:rsidDel="00000000" w:rsidR="00000000" w:rsidRPr="00000000">
        <w:rPr>
          <w:rFonts w:ascii="Palatino Linotype" w:cs="Palatino Linotype" w:eastAsia="Palatino Linotype" w:hAnsi="Palatino Linotype"/>
          <w:rtl w:val="0"/>
        </w:rPr>
        <w:t xml:space="preserve">, enajenación y arrendamiento </w:t>
      </w:r>
      <w:r w:rsidDel="00000000" w:rsidR="00000000" w:rsidRPr="00000000">
        <w:rPr>
          <w:rFonts w:ascii="Palatino Linotype" w:cs="Palatino Linotype" w:eastAsia="Palatino Linotype" w:hAnsi="Palatino Linotype"/>
          <w:b w:val="1"/>
          <w:rtl w:val="0"/>
        </w:rPr>
        <w:t xml:space="preserve">de bienes</w:t>
      </w:r>
      <w:r w:rsidDel="00000000" w:rsidR="00000000" w:rsidRPr="00000000">
        <w:rPr>
          <w:rFonts w:ascii="Palatino Linotype" w:cs="Palatino Linotype" w:eastAsia="Palatino Linotype" w:hAnsi="Palatino Linotype"/>
          <w:rtl w:val="0"/>
        </w:rPr>
        <w:t xml:space="preserve">, y la contratación de servicios de cualquier naturaleza, que realicen los Ayuntamientos del Estado de México; entre ellos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los cuales se adjudicarán a través de licitación pública, invitación restringida o adjudicación directa, tal y como lo establecen los artículos 4, 26 y 27 de dicha Ley, los cuales son del tenor siguiente:</w:t>
      </w:r>
    </w:p>
    <w:p w:rsidR="00000000" w:rsidDel="00000000" w:rsidP="00000000" w:rsidRDefault="00000000" w:rsidRPr="00000000" w14:paraId="000000BE">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Para los efectos de esta Ley, </w:t>
      </w:r>
      <w:r w:rsidDel="00000000" w:rsidR="00000000" w:rsidRPr="00000000">
        <w:rPr>
          <w:rFonts w:ascii="Palatino Linotype" w:cs="Palatino Linotype" w:eastAsia="Palatino Linotype" w:hAnsi="Palatino Linotype"/>
          <w:b w:val="1"/>
          <w:i w:val="1"/>
          <w:sz w:val="22"/>
          <w:szCs w:val="22"/>
          <w:rtl w:val="0"/>
        </w:rPr>
        <w:t xml:space="preserve">en las adquisiciones, enajenaciones, arrendamientos y servicios, quedan comprendidos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F">
      <w:pPr>
        <w:spacing w:after="120" w:before="120" w:lineRule="auto"/>
        <w:ind w:left="1134" w:right="902"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I. La adquisición de bienes muebles.</w:t>
      </w:r>
    </w:p>
    <w:p w:rsidR="00000000" w:rsidDel="00000000" w:rsidP="00000000" w:rsidRDefault="00000000" w:rsidRPr="00000000" w14:paraId="000000C0">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La adquisición de bienes inmuebles, a través de compraventa.</w:t>
      </w:r>
    </w:p>
    <w:p w:rsidR="00000000" w:rsidDel="00000000" w:rsidP="00000000" w:rsidRDefault="00000000" w:rsidRPr="00000000" w14:paraId="000000C1">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enajenación de bienes muebles e inmuebles.</w:t>
      </w:r>
    </w:p>
    <w:p w:rsidR="00000000" w:rsidDel="00000000" w:rsidP="00000000" w:rsidRDefault="00000000" w:rsidRPr="00000000" w14:paraId="000000C2">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El arrendamiento de bienes muebles e inmuebles. </w:t>
      </w:r>
    </w:p>
    <w:p w:rsidR="00000000" w:rsidDel="00000000" w:rsidP="00000000" w:rsidRDefault="00000000" w:rsidRPr="00000000" w14:paraId="000000C3">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La contratación de los servicios, relacionados con bienes muebles que se encuentran incorporados o adheridos a bienes inmuebles, cuya instalación o mantenimiento no implique modificación al bien inmueble.</w:t>
      </w:r>
    </w:p>
    <w:p w:rsidR="00000000" w:rsidDel="00000000" w:rsidP="00000000" w:rsidRDefault="00000000" w:rsidRPr="00000000" w14:paraId="000000C4">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w:t>
      </w:r>
      <w:r w:rsidDel="00000000" w:rsidR="00000000" w:rsidRPr="00000000">
        <w:rPr>
          <w:rFonts w:ascii="Palatino Linotype" w:cs="Palatino Linotype" w:eastAsia="Palatino Linotype" w:hAnsi="Palatino Linotype"/>
          <w:i w:val="1"/>
          <w:sz w:val="22"/>
          <w:szCs w:val="22"/>
          <w:rtl w:val="0"/>
        </w:rPr>
        <w:t xml:space="preserve"> La contratación de los servicios de reconstrucción y mantenimiento de bienes muebles. </w:t>
      </w:r>
    </w:p>
    <w:p w:rsidR="00000000" w:rsidDel="00000000" w:rsidP="00000000" w:rsidRDefault="00000000" w:rsidRPr="00000000" w14:paraId="000000C5">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w:t>
      </w:r>
      <w:r w:rsidDel="00000000" w:rsidR="00000000" w:rsidRPr="00000000">
        <w:rPr>
          <w:rFonts w:ascii="Palatino Linotype" w:cs="Palatino Linotype" w:eastAsia="Palatino Linotype" w:hAnsi="Palatino Linotype"/>
          <w:i w:val="1"/>
          <w:sz w:val="22"/>
          <w:szCs w:val="22"/>
          <w:rtl w:val="0"/>
        </w:rPr>
        <w:t xml:space="preserve"> La contratación de los servicios de maquila, seguros y transportación, así como de los de limpieza y vigilancia de bienes inmuebles. </w:t>
      </w:r>
    </w:p>
    <w:p w:rsidR="00000000" w:rsidDel="00000000" w:rsidP="00000000" w:rsidRDefault="00000000" w:rsidRPr="00000000" w14:paraId="000000C6">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w:t>
      </w:r>
      <w:r w:rsidDel="00000000" w:rsidR="00000000" w:rsidRPr="00000000">
        <w:rPr>
          <w:rFonts w:ascii="Palatino Linotype" w:cs="Palatino Linotype" w:eastAsia="Palatino Linotype" w:hAnsi="Palatino Linotype"/>
          <w:i w:val="1"/>
          <w:sz w:val="22"/>
          <w:szCs w:val="22"/>
          <w:rtl w:val="0"/>
        </w:rPr>
        <w:t xml:space="preserve"> La prestación de servicios profesionales, la contratación de consultorías, asesorías y estudios e investigaciones, excepto la contratación de servicios personales de personas físicas bajo el régimen de honorarios. </w:t>
      </w:r>
    </w:p>
    <w:p w:rsidR="00000000" w:rsidDel="00000000" w:rsidP="00000000" w:rsidRDefault="00000000" w:rsidRPr="00000000" w14:paraId="000000C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general, otros actos que impliquen la contratación de servicios de cualquier naturaleza</w:t>
      </w:r>
    </w:p>
    <w:p w:rsidR="00000000" w:rsidDel="00000000" w:rsidP="00000000" w:rsidRDefault="00000000" w:rsidRPr="00000000" w14:paraId="000000C8">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26.-</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Las adquisiciones, </w:t>
      </w:r>
      <w:r w:rsidDel="00000000" w:rsidR="00000000" w:rsidRPr="00000000">
        <w:rPr>
          <w:rFonts w:ascii="Palatino Linotype" w:cs="Palatino Linotype" w:eastAsia="Palatino Linotype" w:hAnsi="Palatino Linotype"/>
          <w:i w:val="1"/>
          <w:sz w:val="22"/>
          <w:szCs w:val="22"/>
          <w:rtl w:val="0"/>
        </w:rPr>
        <w:t xml:space="preserve">arrendamientos y servicios se adjudicarán a través de licitaciones públicas, mediante convocatoria pública. </w:t>
      </w:r>
    </w:p>
    <w:p w:rsidR="00000000" w:rsidDel="00000000" w:rsidP="00000000" w:rsidRDefault="00000000" w:rsidRPr="00000000" w14:paraId="000000C9">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27.</w:t>
      </w:r>
      <w:r w:rsidDel="00000000" w:rsidR="00000000" w:rsidRPr="00000000">
        <w:rPr>
          <w:rFonts w:ascii="Palatino Linotype" w:cs="Palatino Linotype" w:eastAsia="Palatino Linotype" w:hAnsi="Palatino Linotype"/>
          <w:i w:val="1"/>
          <w:sz w:val="22"/>
          <w:szCs w:val="22"/>
          <w:rtl w:val="0"/>
        </w:rPr>
        <w:t xml:space="preserve">- La Secretaría, las entidades, los tribunales administrativos y los ayuntamientos podrán </w:t>
      </w:r>
      <w:r w:rsidDel="00000000" w:rsidR="00000000" w:rsidRPr="00000000">
        <w:rPr>
          <w:rFonts w:ascii="Palatino Linotype" w:cs="Palatino Linotype" w:eastAsia="Palatino Linotype" w:hAnsi="Palatino Linotype"/>
          <w:b w:val="1"/>
          <w:i w:val="1"/>
          <w:sz w:val="22"/>
          <w:szCs w:val="22"/>
          <w:rtl w:val="0"/>
        </w:rPr>
        <w:t xml:space="preserve">adjudicar adquisiciones, </w:t>
      </w:r>
      <w:r w:rsidDel="00000000" w:rsidR="00000000" w:rsidRPr="00000000">
        <w:rPr>
          <w:rFonts w:ascii="Palatino Linotype" w:cs="Palatino Linotype" w:eastAsia="Palatino Linotype" w:hAnsi="Palatino Linotype"/>
          <w:i w:val="1"/>
          <w:sz w:val="22"/>
          <w:szCs w:val="22"/>
          <w:rtl w:val="0"/>
        </w:rPr>
        <w:t xml:space="preserve">arrendamientos y servicios, mediante las excepciones al procedimiento de licitación que a continuación se señalan:</w:t>
      </w:r>
    </w:p>
    <w:p w:rsidR="00000000" w:rsidDel="00000000" w:rsidP="00000000" w:rsidRDefault="00000000" w:rsidRPr="00000000" w14:paraId="000000CA">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Invitación restringida.</w:t>
      </w:r>
    </w:p>
    <w:p w:rsidR="00000000" w:rsidDel="00000000" w:rsidP="00000000" w:rsidRDefault="00000000" w:rsidRPr="00000000" w14:paraId="000000CB">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Adjudicación directa.”</w:t>
      </w:r>
    </w:p>
    <w:p w:rsidR="00000000" w:rsidDel="00000000" w:rsidP="00000000" w:rsidRDefault="00000000" w:rsidRPr="00000000" w14:paraId="000000C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base en los preceptos citados se advierte que, por regla general, </w:t>
      </w:r>
      <w:r w:rsidDel="00000000" w:rsidR="00000000" w:rsidRPr="00000000">
        <w:rPr>
          <w:rFonts w:ascii="Palatino Linotype" w:cs="Palatino Linotype" w:eastAsia="Palatino Linotype" w:hAnsi="Palatino Linotype"/>
          <w:b w:val="1"/>
          <w:rtl w:val="0"/>
        </w:rPr>
        <w:t xml:space="preserve">las adquisiciones de bienes</w:t>
      </w:r>
      <w:r w:rsidDel="00000000" w:rsidR="00000000" w:rsidRPr="00000000">
        <w:rPr>
          <w:rFonts w:ascii="Palatino Linotype" w:cs="Palatino Linotype" w:eastAsia="Palatino Linotype" w:hAnsi="Palatino Linotype"/>
          <w:rtl w:val="0"/>
        </w:rPr>
        <w:t xml:space="preserve">, enajenaciones, arrendamientos y servicios, que celebren los entes públicos, deben adjudicarse por regla general mediante licitación pública, sin embargo, también se contemplan como excepciones a dicho proceso, la invitación restringida y la adjudicación directa.</w:t>
      </w:r>
    </w:p>
    <w:p w:rsidR="00000000" w:rsidDel="00000000" w:rsidP="00000000" w:rsidRDefault="00000000" w:rsidRPr="00000000" w14:paraId="000000CD">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advierte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conoce de toda la información generada con motivo de las </w:t>
      </w:r>
      <w:r w:rsidDel="00000000" w:rsidR="00000000" w:rsidRPr="00000000">
        <w:rPr>
          <w:rFonts w:ascii="Palatino Linotype" w:cs="Palatino Linotype" w:eastAsia="Palatino Linotype" w:hAnsi="Palatino Linotype"/>
          <w:b w:val="1"/>
          <w:rtl w:val="0"/>
        </w:rPr>
        <w:t xml:space="preserve">licitaciones públicas, invitaciones restringidas o adjudicaciones directas</w:t>
      </w:r>
      <w:r w:rsidDel="00000000" w:rsidR="00000000" w:rsidRPr="00000000">
        <w:rPr>
          <w:rFonts w:ascii="Palatino Linotype" w:cs="Palatino Linotype" w:eastAsia="Palatino Linotype" w:hAnsi="Palatino Linotype"/>
          <w:rtl w:val="0"/>
        </w:rPr>
        <w:t xml:space="preserve"> en las que sea parte.</w:t>
      </w:r>
    </w:p>
    <w:p w:rsidR="00000000" w:rsidDel="00000000" w:rsidP="00000000" w:rsidRDefault="00000000" w:rsidRPr="00000000" w14:paraId="000000CE">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en efecto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cuenta con las atribuciones para generar, poseer o administrar la documentación solicitada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consistente en el costo de las cámaras de vigilancia y equipó aéreo de vigilancia adquirido ya sea por licitación pública, invitación restringida o adjudicación directa, durante las administración pública del Ayuntamiento de Chapultepec 2022-2024, el cual podrá obrar en el propio expediente formado con motivo del procedimiento de licitación que se trate, en específico dentro de los contratos celebrados; en razón de que dicha información se encuentra vinculada a una obligación de transparencia, en términos del artículo 92, fracción XXIX, en donde establece que los Sujetos Obligados se encuentran constreñidos a poner a disposición del público de manera permanente y actualizada de forma sencilla, precisa y entendible, en los respectivos medios electrónicos, de acuerdo con sus facultades, atribuciones, funciones u objeto social, según corresponda, entre otra información, aquella que se relacione con los procesos y resultados sobre procedimientos de adjudicación directa, invitación restringida y licitación de cualquier naturaleza, como se lee enseguida: </w:t>
      </w:r>
    </w:p>
    <w:p w:rsidR="00000000" w:rsidDel="00000000" w:rsidP="00000000" w:rsidRDefault="00000000" w:rsidRPr="00000000" w14:paraId="000000CF">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92</w:t>
      </w:r>
      <w:r w:rsidDel="00000000" w:rsidR="00000000" w:rsidRPr="00000000">
        <w:rPr>
          <w:rFonts w:ascii="Palatino Linotype" w:cs="Palatino Linotype" w:eastAsia="Palatino Linotype" w:hAnsi="Palatino Linotype"/>
          <w:i w:val="1"/>
          <w:sz w:val="22"/>
          <w:szCs w:val="22"/>
          <w:rtl w:val="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00000" w:rsidDel="00000000" w:rsidP="00000000" w:rsidRDefault="00000000" w:rsidRPr="00000000" w14:paraId="000000D0">
      <w:pPr>
        <w:tabs>
          <w:tab w:val="left" w:leader="none" w:pos="426"/>
        </w:tabs>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D1">
      <w:pPr>
        <w:tabs>
          <w:tab w:val="left" w:leader="none" w:pos="426"/>
        </w:tabs>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XXIX.</w:t>
      </w:r>
      <w:r w:rsidDel="00000000" w:rsidR="00000000" w:rsidRPr="00000000">
        <w:rPr>
          <w:rFonts w:ascii="Palatino Linotype" w:cs="Palatino Linotype" w:eastAsia="Palatino Linotype" w:hAnsi="Palatino Linotype"/>
          <w:i w:val="1"/>
          <w:sz w:val="22"/>
          <w:szCs w:val="22"/>
          <w:rtl w:val="0"/>
        </w:rPr>
        <w:t xml:space="preserve"> La </w:t>
      </w:r>
      <w:r w:rsidDel="00000000" w:rsidR="00000000" w:rsidRPr="00000000">
        <w:rPr>
          <w:rFonts w:ascii="Palatino Linotype" w:cs="Palatino Linotype" w:eastAsia="Palatino Linotype" w:hAnsi="Palatino Linotype"/>
          <w:b w:val="1"/>
          <w:i w:val="1"/>
          <w:sz w:val="22"/>
          <w:szCs w:val="22"/>
          <w:rtl w:val="0"/>
        </w:rPr>
        <w:t xml:space="preserve">información sobre los procesos y resultados </w:t>
      </w:r>
      <w:r w:rsidDel="00000000" w:rsidR="00000000" w:rsidRPr="00000000">
        <w:rPr>
          <w:rFonts w:ascii="Palatino Linotype" w:cs="Palatino Linotype" w:eastAsia="Palatino Linotype" w:hAnsi="Palatino Linotype"/>
          <w:b w:val="1"/>
          <w:i w:val="1"/>
          <w:sz w:val="22"/>
          <w:szCs w:val="22"/>
          <w:u w:val="single"/>
          <w:rtl w:val="0"/>
        </w:rPr>
        <w:t xml:space="preserve">sobre procedimientos de</w:t>
      </w:r>
      <w:r w:rsidDel="00000000" w:rsidR="00000000" w:rsidRPr="00000000">
        <w:rPr>
          <w:rFonts w:ascii="Palatino Linotype" w:cs="Palatino Linotype" w:eastAsia="Palatino Linotype" w:hAnsi="Palatino Linotype"/>
          <w:i w:val="1"/>
          <w:sz w:val="22"/>
          <w:szCs w:val="22"/>
          <w:rtl w:val="0"/>
        </w:rPr>
        <w:t xml:space="preserve"> adjudicación directa, invitación restringida</w:t>
      </w:r>
      <w:r w:rsidDel="00000000" w:rsidR="00000000" w:rsidRPr="00000000">
        <w:rPr>
          <w:rFonts w:ascii="Palatino Linotype" w:cs="Palatino Linotype" w:eastAsia="Palatino Linotype" w:hAnsi="Palatino Linotype"/>
          <w:b w:val="1"/>
          <w:i w:val="1"/>
          <w:sz w:val="22"/>
          <w:szCs w:val="22"/>
          <w:u w:val="single"/>
          <w:rtl w:val="0"/>
        </w:rPr>
        <w:t xml:space="preserve"> y licitación de cualquier naturaleza</w:t>
      </w:r>
      <w:r w:rsidDel="00000000" w:rsidR="00000000" w:rsidRPr="00000000">
        <w:rPr>
          <w:rFonts w:ascii="Palatino Linotype" w:cs="Palatino Linotype" w:eastAsia="Palatino Linotype" w:hAnsi="Palatino Linotype"/>
          <w:i w:val="1"/>
          <w:sz w:val="22"/>
          <w:szCs w:val="22"/>
          <w:u w:val="single"/>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incluyendo la versión pública</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del expediente respectivo </w:t>
      </w:r>
      <w:r w:rsidDel="00000000" w:rsidR="00000000" w:rsidRPr="00000000">
        <w:rPr>
          <w:rFonts w:ascii="Palatino Linotype" w:cs="Palatino Linotype" w:eastAsia="Palatino Linotype" w:hAnsi="Palatino Linotype"/>
          <w:i w:val="1"/>
          <w:sz w:val="22"/>
          <w:szCs w:val="22"/>
          <w:rtl w:val="0"/>
        </w:rPr>
        <w:t xml:space="preserve">y de los contratos celebrados, que deberán contener, por los menos, lo siguiente:</w:t>
      </w:r>
    </w:p>
    <w:p w:rsidR="00000000" w:rsidDel="00000000" w:rsidP="00000000" w:rsidRDefault="00000000" w:rsidRPr="00000000" w14:paraId="000000D2">
      <w:pPr>
        <w:tabs>
          <w:tab w:val="left" w:leader="none" w:pos="426"/>
        </w:tabs>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 </w:t>
      </w:r>
      <w:r w:rsidDel="00000000" w:rsidR="00000000" w:rsidRPr="00000000">
        <w:rPr>
          <w:rFonts w:ascii="Palatino Linotype" w:cs="Palatino Linotype" w:eastAsia="Palatino Linotype" w:hAnsi="Palatino Linotype"/>
          <w:i w:val="1"/>
          <w:sz w:val="22"/>
          <w:szCs w:val="22"/>
          <w:rtl w:val="0"/>
        </w:rPr>
        <w:t xml:space="preserve">De licitaciones públicas o procedimientos de invitación restringida:</w:t>
      </w:r>
    </w:p>
    <w:p w:rsidR="00000000" w:rsidDel="00000000" w:rsidP="00000000" w:rsidRDefault="00000000" w:rsidRPr="00000000" w14:paraId="000000D3">
      <w:pPr>
        <w:tabs>
          <w:tab w:val="left" w:leader="none" w:pos="426"/>
        </w:tabs>
        <w:ind w:left="1418" w:right="902" w:firstLine="0"/>
        <w:jc w:val="both"/>
        <w:rPr>
          <w:rFonts w:ascii="Palatino Linotype" w:cs="Palatino Linotype" w:eastAsia="Palatino Linotype" w:hAnsi="Palatino Linotype"/>
          <w:i w:val="1"/>
          <w:sz w:val="22"/>
          <w:szCs w:val="22"/>
        </w:rPr>
      </w:pPr>
      <w:r w:rsidDel="00000000" w:rsidR="00000000" w:rsidRPr="00000000">
        <w:rPr>
          <w:rtl w:val="0"/>
        </w:rPr>
        <w:t xml:space="preserve">1</w:t>
      </w:r>
      <w:r w:rsidDel="00000000" w:rsidR="00000000" w:rsidRPr="00000000">
        <w:rPr>
          <w:rFonts w:ascii="Palatino Linotype" w:cs="Palatino Linotype" w:eastAsia="Palatino Linotype" w:hAnsi="Palatino Linotype"/>
          <w:i w:val="1"/>
          <w:sz w:val="22"/>
          <w:szCs w:val="22"/>
          <w:rtl w:val="0"/>
        </w:rPr>
        <w:t xml:space="preserve">) La convocatoria o invitación emitida, así como los fundamentos legales aplicados para llevarla a cabo; </w:t>
      </w:r>
    </w:p>
    <w:p w:rsidR="00000000" w:rsidDel="00000000" w:rsidP="00000000" w:rsidRDefault="00000000" w:rsidRPr="00000000" w14:paraId="000000D4">
      <w:pPr>
        <w:tabs>
          <w:tab w:val="left" w:leader="none" w:pos="426"/>
        </w:tabs>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Los nombres de los participantes o invitados; </w:t>
      </w:r>
    </w:p>
    <w:p w:rsidR="00000000" w:rsidDel="00000000" w:rsidP="00000000" w:rsidRDefault="00000000" w:rsidRPr="00000000" w14:paraId="000000D5">
      <w:pPr>
        <w:tabs>
          <w:tab w:val="left" w:leader="none" w:pos="426"/>
        </w:tabs>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El nombre del ganador y las razones que lo justifican; </w:t>
      </w:r>
    </w:p>
    <w:p w:rsidR="00000000" w:rsidDel="00000000" w:rsidP="00000000" w:rsidRDefault="00000000" w:rsidRPr="00000000" w14:paraId="000000D6">
      <w:pPr>
        <w:tabs>
          <w:tab w:val="left" w:leader="none" w:pos="426"/>
        </w:tabs>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4) El área solicitante y la responsable de su ejecución; </w:t>
      </w:r>
    </w:p>
    <w:p w:rsidR="00000000" w:rsidDel="00000000" w:rsidP="00000000" w:rsidRDefault="00000000" w:rsidRPr="00000000" w14:paraId="000000D7">
      <w:pPr>
        <w:tabs>
          <w:tab w:val="left" w:leader="none" w:pos="426"/>
        </w:tabs>
        <w:ind w:left="1418"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5) Las convocatorias e invitaciones emitidas</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0D8">
      <w:pPr>
        <w:tabs>
          <w:tab w:val="left" w:leader="none" w:pos="426"/>
        </w:tabs>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6) Los dictámenes y fallo de adjudicación;</w:t>
      </w:r>
    </w:p>
    <w:p w:rsidR="00000000" w:rsidDel="00000000" w:rsidP="00000000" w:rsidRDefault="00000000" w:rsidRPr="00000000" w14:paraId="000000D9">
      <w:pPr>
        <w:tabs>
          <w:tab w:val="left" w:leader="none" w:pos="426"/>
        </w:tabs>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7) El contrato</w:t>
      </w:r>
      <w:r w:rsidDel="00000000" w:rsidR="00000000" w:rsidRPr="00000000">
        <w:rPr>
          <w:rFonts w:ascii="Palatino Linotype" w:cs="Palatino Linotype" w:eastAsia="Palatino Linotype" w:hAnsi="Palatino Linotype"/>
          <w:i w:val="1"/>
          <w:sz w:val="22"/>
          <w:szCs w:val="22"/>
          <w:rtl w:val="0"/>
        </w:rPr>
        <w:t xml:space="preserve"> y, en su caso, sus anexos; </w:t>
      </w:r>
    </w:p>
    <w:p w:rsidR="00000000" w:rsidDel="00000000" w:rsidP="00000000" w:rsidRDefault="00000000" w:rsidRPr="00000000" w14:paraId="000000DA">
      <w:pPr>
        <w:tabs>
          <w:tab w:val="left" w:leader="none" w:pos="426"/>
        </w:tabs>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8) Los mecanismos de vigilancia y supervisión, incluyendo en su caso, los estudios de impacto urbano y ambiental, según corresponda; </w:t>
      </w:r>
    </w:p>
    <w:p w:rsidR="00000000" w:rsidDel="00000000" w:rsidP="00000000" w:rsidRDefault="00000000" w:rsidRPr="00000000" w14:paraId="000000DB">
      <w:pPr>
        <w:tabs>
          <w:tab w:val="left" w:leader="none" w:pos="426"/>
        </w:tabs>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9) La partida presupuestal, de conformidad con el clasificador por objeto del gasto, en el caso de ser aplicable; </w:t>
      </w:r>
    </w:p>
    <w:p w:rsidR="00000000" w:rsidDel="00000000" w:rsidP="00000000" w:rsidRDefault="00000000" w:rsidRPr="00000000" w14:paraId="000000DC">
      <w:pPr>
        <w:tabs>
          <w:tab w:val="left" w:leader="none" w:pos="426"/>
        </w:tabs>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10) Origen de los recursos especificando si son federales, estatales o municipales, así como el tipo de fondo de participación o aportación respectiva; </w:t>
      </w:r>
    </w:p>
    <w:p w:rsidR="00000000" w:rsidDel="00000000" w:rsidP="00000000" w:rsidRDefault="00000000" w:rsidRPr="00000000" w14:paraId="000000DD">
      <w:pPr>
        <w:tabs>
          <w:tab w:val="left" w:leader="none" w:pos="426"/>
        </w:tabs>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11) Los convenios modificatorios que, en su caso, sean firmados, precisando el objeto y la fecha de celebración; </w:t>
      </w:r>
    </w:p>
    <w:p w:rsidR="00000000" w:rsidDel="00000000" w:rsidP="00000000" w:rsidRDefault="00000000" w:rsidRPr="00000000" w14:paraId="000000DE">
      <w:pPr>
        <w:tabs>
          <w:tab w:val="left" w:leader="none" w:pos="426"/>
        </w:tabs>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12) Los informes de avance físico y financiero sobre las obras o servicios contratados; </w:t>
      </w:r>
    </w:p>
    <w:p w:rsidR="00000000" w:rsidDel="00000000" w:rsidP="00000000" w:rsidRDefault="00000000" w:rsidRPr="00000000" w14:paraId="000000DF">
      <w:pPr>
        <w:tabs>
          <w:tab w:val="left" w:leader="none" w:pos="426"/>
        </w:tabs>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13) El convenio de terminación; y </w:t>
      </w:r>
    </w:p>
    <w:p w:rsidR="00000000" w:rsidDel="00000000" w:rsidP="00000000" w:rsidRDefault="00000000" w:rsidRPr="00000000" w14:paraId="000000E0">
      <w:pPr>
        <w:tabs>
          <w:tab w:val="left" w:leader="none" w:pos="426"/>
        </w:tabs>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14) El finiquito.</w:t>
      </w:r>
    </w:p>
    <w:p w:rsidR="00000000" w:rsidDel="00000000" w:rsidP="00000000" w:rsidRDefault="00000000" w:rsidRPr="00000000" w14:paraId="000000E1">
      <w:pPr>
        <w:tabs>
          <w:tab w:val="left" w:leader="none" w:pos="426"/>
        </w:tabs>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b) De las adjudicaciones directas: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E2">
      <w:pPr>
        <w:tabs>
          <w:tab w:val="left" w:leader="none" w:pos="426"/>
        </w:tabs>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La propuesta enviada por el participante; </w:t>
      </w:r>
    </w:p>
    <w:p w:rsidR="00000000" w:rsidDel="00000000" w:rsidP="00000000" w:rsidRDefault="00000000" w:rsidRPr="00000000" w14:paraId="000000E3">
      <w:pPr>
        <w:tabs>
          <w:tab w:val="left" w:leader="none" w:pos="426"/>
        </w:tabs>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Los motivos y fundamentos legales aplicados para llevarla a cabo; </w:t>
      </w:r>
    </w:p>
    <w:p w:rsidR="00000000" w:rsidDel="00000000" w:rsidP="00000000" w:rsidRDefault="00000000" w:rsidRPr="00000000" w14:paraId="000000E4">
      <w:pPr>
        <w:tabs>
          <w:tab w:val="left" w:leader="none" w:pos="426"/>
        </w:tabs>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La autorización del ejercicio de la opción; </w:t>
      </w:r>
    </w:p>
    <w:p w:rsidR="00000000" w:rsidDel="00000000" w:rsidP="00000000" w:rsidRDefault="00000000" w:rsidRPr="00000000" w14:paraId="000000E5">
      <w:pPr>
        <w:tabs>
          <w:tab w:val="left" w:leader="none" w:pos="426"/>
        </w:tabs>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4) En su caso, las cotizaciones consideradas, especificando los nombres de los proveedores y sus montos; </w:t>
      </w:r>
    </w:p>
    <w:p w:rsidR="00000000" w:rsidDel="00000000" w:rsidP="00000000" w:rsidRDefault="00000000" w:rsidRPr="00000000" w14:paraId="000000E6">
      <w:pPr>
        <w:tabs>
          <w:tab w:val="left" w:leader="none" w:pos="426"/>
        </w:tabs>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5) El nombre de la persona física o jurídica colectiva adjudicada; </w:t>
      </w:r>
    </w:p>
    <w:p w:rsidR="00000000" w:rsidDel="00000000" w:rsidP="00000000" w:rsidRDefault="00000000" w:rsidRPr="00000000" w14:paraId="000000E7">
      <w:pPr>
        <w:tabs>
          <w:tab w:val="left" w:leader="none" w:pos="426"/>
        </w:tabs>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6) La unidad administrativa solicitante y la responsable de su ejecución; </w:t>
      </w:r>
    </w:p>
    <w:p w:rsidR="00000000" w:rsidDel="00000000" w:rsidP="00000000" w:rsidRDefault="00000000" w:rsidRPr="00000000" w14:paraId="000000E8">
      <w:pPr>
        <w:tabs>
          <w:tab w:val="left" w:leader="none" w:pos="426"/>
        </w:tabs>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7) El número, fecha, </w:t>
      </w:r>
      <w:r w:rsidDel="00000000" w:rsidR="00000000" w:rsidRPr="00000000">
        <w:rPr>
          <w:rFonts w:ascii="Palatino Linotype" w:cs="Palatino Linotype" w:eastAsia="Palatino Linotype" w:hAnsi="Palatino Linotype"/>
          <w:b w:val="1"/>
          <w:i w:val="1"/>
          <w:sz w:val="22"/>
          <w:szCs w:val="22"/>
          <w:u w:val="single"/>
          <w:rtl w:val="0"/>
        </w:rPr>
        <w:t xml:space="preserve">el monto del contrato</w:t>
      </w:r>
      <w:r w:rsidDel="00000000" w:rsidR="00000000" w:rsidRPr="00000000">
        <w:rPr>
          <w:rFonts w:ascii="Palatino Linotype" w:cs="Palatino Linotype" w:eastAsia="Palatino Linotype" w:hAnsi="Palatino Linotype"/>
          <w:i w:val="1"/>
          <w:sz w:val="22"/>
          <w:szCs w:val="22"/>
          <w:rtl w:val="0"/>
        </w:rPr>
        <w:t xml:space="preserve"> y el plazo de entrega o de ejecución de los servicios u obra; </w:t>
      </w:r>
    </w:p>
    <w:p w:rsidR="00000000" w:rsidDel="00000000" w:rsidP="00000000" w:rsidRDefault="00000000" w:rsidRPr="00000000" w14:paraId="000000E9">
      <w:pPr>
        <w:tabs>
          <w:tab w:val="left" w:leader="none" w:pos="426"/>
        </w:tabs>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8) Los mecanismos de vigilancia y supervisión, incluyendo, en su caso, los estudios de impacto urbano y ambiental, según corresponda; </w:t>
      </w:r>
    </w:p>
    <w:p w:rsidR="00000000" w:rsidDel="00000000" w:rsidP="00000000" w:rsidRDefault="00000000" w:rsidRPr="00000000" w14:paraId="000000EA">
      <w:pPr>
        <w:tabs>
          <w:tab w:val="left" w:leader="none" w:pos="426"/>
        </w:tabs>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9) Los informes de avance sobre las obras o servicios contratados; </w:t>
      </w:r>
    </w:p>
    <w:p w:rsidR="00000000" w:rsidDel="00000000" w:rsidP="00000000" w:rsidRDefault="00000000" w:rsidRPr="00000000" w14:paraId="000000EB">
      <w:pPr>
        <w:tabs>
          <w:tab w:val="left" w:leader="none" w:pos="426"/>
        </w:tabs>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10) El convenio de terminación; y </w:t>
      </w:r>
    </w:p>
    <w:p w:rsidR="00000000" w:rsidDel="00000000" w:rsidP="00000000" w:rsidRDefault="00000000" w:rsidRPr="00000000" w14:paraId="000000EC">
      <w:pPr>
        <w:tabs>
          <w:tab w:val="left" w:leader="none" w:pos="426"/>
        </w:tabs>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11) El finiquito.” </w:t>
      </w:r>
    </w:p>
    <w:p w:rsidR="00000000" w:rsidDel="00000000" w:rsidP="00000000" w:rsidRDefault="00000000" w:rsidRPr="00000000" w14:paraId="000000E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que se robustece con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que establece lo siguiente:</w:t>
      </w:r>
    </w:p>
    <w:p w:rsidR="00000000" w:rsidDel="00000000" w:rsidP="00000000" w:rsidRDefault="00000000" w:rsidRPr="00000000" w14:paraId="000000E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0">
      <w:pPr>
        <w:spacing w:line="276" w:lineRule="auto"/>
        <w:ind w:left="851" w:right="900" w:firstLine="0"/>
        <w:jc w:val="center"/>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OBLIGACIONES DE TRANSPARENCIA COMUNES</w:t>
      </w:r>
    </w:p>
    <w:p w:rsidR="00000000" w:rsidDel="00000000" w:rsidP="00000000" w:rsidRDefault="00000000" w:rsidRPr="00000000" w14:paraId="000000F1">
      <w:pPr>
        <w:spacing w:line="276" w:lineRule="auto"/>
        <w:ind w:left="851" w:right="900" w:firstLine="0"/>
        <w:jc w:val="center"/>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TODOS LOS SUJETOS OBLIGADOS</w:t>
      </w:r>
    </w:p>
    <w:p w:rsidR="00000000" w:rsidDel="00000000" w:rsidP="00000000" w:rsidRDefault="00000000" w:rsidRPr="00000000" w14:paraId="000000F2">
      <w:pPr>
        <w:spacing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Criterios para las obligaciones de transparencia comunes</w:t>
      </w:r>
    </w:p>
    <w:p w:rsidR="00000000" w:rsidDel="00000000" w:rsidP="00000000" w:rsidRDefault="00000000" w:rsidRPr="00000000" w14:paraId="000000F3">
      <w:pPr>
        <w:spacing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catálogo de la información que todos los sujetos obligados deben poner a disposición de las personas en sus portales de Internet y en la Plataforma Nacional está detallado en el Título Quinto, Capítulo II de la Ley General, en el artículo 70, fracciones I a la XLVIII.</w:t>
      </w:r>
    </w:p>
    <w:p w:rsidR="00000000" w:rsidDel="00000000" w:rsidP="00000000" w:rsidRDefault="00000000" w:rsidRPr="00000000" w14:paraId="000000F4">
      <w:pPr>
        <w:spacing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rsidR="00000000" w:rsidDel="00000000" w:rsidP="00000000" w:rsidRDefault="00000000" w:rsidRPr="00000000" w14:paraId="000000F5">
      <w:pPr>
        <w:spacing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artículo 70 dice a la letra:</w:t>
      </w:r>
    </w:p>
    <w:p w:rsidR="00000000" w:rsidDel="00000000" w:rsidP="00000000" w:rsidRDefault="00000000" w:rsidRPr="00000000" w14:paraId="000000F6">
      <w:pPr>
        <w:spacing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rsidR="00000000" w:rsidDel="00000000" w:rsidP="00000000" w:rsidRDefault="00000000" w:rsidRPr="00000000" w14:paraId="000000F7">
      <w:pPr>
        <w:spacing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F8">
      <w:pPr>
        <w:spacing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Periodo de actualización: trimestral</w:t>
      </w:r>
    </w:p>
    <w:p w:rsidR="00000000" w:rsidDel="00000000" w:rsidP="00000000" w:rsidRDefault="00000000" w:rsidRPr="00000000" w14:paraId="000000F9">
      <w:pPr>
        <w:spacing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Conservar en el sitio de Internet: información del ejercicio en curso y la correspondiente a dos ejercicios anteriores</w:t>
      </w:r>
    </w:p>
    <w:p w:rsidR="00000000" w:rsidDel="00000000" w:rsidP="00000000" w:rsidRDefault="00000000" w:rsidRPr="00000000" w14:paraId="000000FA">
      <w:pPr>
        <w:spacing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Aplica a: todos los sujetos obligados</w:t>
      </w:r>
    </w:p>
    <w:p w:rsidR="00000000" w:rsidDel="00000000" w:rsidP="00000000" w:rsidRDefault="00000000" w:rsidRPr="00000000" w14:paraId="000000FB">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XXVIII. 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p w:rsidR="00000000" w:rsidDel="00000000" w:rsidP="00000000" w:rsidRDefault="00000000" w:rsidRPr="00000000" w14:paraId="000000FC">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De licitaciones públicas o procedimientos de invitación restringida: </w:t>
      </w:r>
    </w:p>
    <w:p w:rsidR="00000000" w:rsidDel="00000000" w:rsidP="00000000" w:rsidRDefault="00000000" w:rsidRPr="00000000" w14:paraId="000000FD">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w:t>
      </w:r>
      <w:r w:rsidDel="00000000" w:rsidR="00000000" w:rsidRPr="00000000">
        <w:rPr>
          <w:rFonts w:ascii="Palatino Linotype" w:cs="Palatino Linotype" w:eastAsia="Palatino Linotype" w:hAnsi="Palatino Linotype"/>
          <w:i w:val="1"/>
          <w:sz w:val="22"/>
          <w:szCs w:val="22"/>
          <w:rtl w:val="0"/>
        </w:rPr>
        <w:t xml:space="preserve">. La convocatoria o invitación emitida, así como los fundamentos legales aplicados para llevarla a cabo; </w:t>
      </w:r>
    </w:p>
    <w:p w:rsidR="00000000" w:rsidDel="00000000" w:rsidP="00000000" w:rsidRDefault="00000000" w:rsidRPr="00000000" w14:paraId="000000FE">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Los nombres de los participantes o invitados; </w:t>
      </w:r>
    </w:p>
    <w:p w:rsidR="00000000" w:rsidDel="00000000" w:rsidP="00000000" w:rsidRDefault="00000000" w:rsidRPr="00000000" w14:paraId="000000FF">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El nombre del ganador y las razones que lo justifican; </w:t>
      </w:r>
    </w:p>
    <w:p w:rsidR="00000000" w:rsidDel="00000000" w:rsidP="00000000" w:rsidRDefault="00000000" w:rsidRPr="00000000" w14:paraId="00000100">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4. El área solicitante y la responsable de su ejecución; </w:t>
      </w:r>
    </w:p>
    <w:p w:rsidR="00000000" w:rsidDel="00000000" w:rsidP="00000000" w:rsidRDefault="00000000" w:rsidRPr="00000000" w14:paraId="00000101">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5. Las convocatorias e invitaciones emitidas; </w:t>
      </w:r>
    </w:p>
    <w:p w:rsidR="00000000" w:rsidDel="00000000" w:rsidP="00000000" w:rsidRDefault="00000000" w:rsidRPr="00000000" w14:paraId="00000102">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6. Los dictámenes y fallo de adjudicación; </w:t>
      </w:r>
    </w:p>
    <w:p w:rsidR="00000000" w:rsidDel="00000000" w:rsidP="00000000" w:rsidRDefault="00000000" w:rsidRPr="00000000" w14:paraId="00000103">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7. El contrato y, en su caso, sus anexos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04">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8. Los mecanismos de vigilancia y supervisión, incluyendo, en su caso, los estudios de impacto urbano y ambiental, según corresponda; </w:t>
      </w:r>
    </w:p>
    <w:p w:rsidR="00000000" w:rsidDel="00000000" w:rsidP="00000000" w:rsidRDefault="00000000" w:rsidRPr="00000000" w14:paraId="00000105">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9. La partida presupuestal de conformidad con el clasificador por objeto del gasto, en el caso de ser aplicable; </w:t>
      </w:r>
    </w:p>
    <w:p w:rsidR="00000000" w:rsidDel="00000000" w:rsidP="00000000" w:rsidRDefault="00000000" w:rsidRPr="00000000" w14:paraId="00000106">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10. Origen de los recursos especificando si son federales, estatales o municipales, así como el tipo de fondo de participación o aportación respectiva; </w:t>
      </w:r>
    </w:p>
    <w:p w:rsidR="00000000" w:rsidDel="00000000" w:rsidP="00000000" w:rsidRDefault="00000000" w:rsidRPr="00000000" w14:paraId="00000107">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11. Los convenios modificatorios que, en su caso, sean firmados, precisando el objeto y la fecha de celebración; </w:t>
      </w:r>
    </w:p>
    <w:p w:rsidR="00000000" w:rsidDel="00000000" w:rsidP="00000000" w:rsidRDefault="00000000" w:rsidRPr="00000000" w14:paraId="00000108">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12. Los informes de avance físico y financiero sobre las obras o servicios contratados; </w:t>
      </w:r>
    </w:p>
    <w:p w:rsidR="00000000" w:rsidDel="00000000" w:rsidP="00000000" w:rsidRDefault="00000000" w:rsidRPr="00000000" w14:paraId="00000109">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13. El convenio de terminación; y </w:t>
      </w:r>
    </w:p>
    <w:p w:rsidR="00000000" w:rsidDel="00000000" w:rsidP="00000000" w:rsidRDefault="00000000" w:rsidRPr="00000000" w14:paraId="0000010A">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14. El finiquito” </w:t>
      </w:r>
    </w:p>
    <w:p w:rsidR="00000000" w:rsidDel="00000000" w:rsidP="00000000" w:rsidRDefault="00000000" w:rsidRPr="00000000" w14:paraId="0000010B">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virtud de que en los contratos se establece el monto por la adquisición del bien; es decir, la cantidad de dinero que se gastó en la adquisición del bien mueble. </w:t>
      </w:r>
    </w:p>
    <w:p w:rsidR="00000000" w:rsidDel="00000000" w:rsidP="00000000" w:rsidRDefault="00000000" w:rsidRPr="00000000" w14:paraId="0000010C">
      <w:pPr>
        <w:spacing w:after="240" w:before="240" w:line="360" w:lineRule="auto"/>
        <w:ind w:right="51"/>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b w:val="1"/>
          <w:u w:val="single"/>
          <w:rtl w:val="0"/>
        </w:rPr>
        <w:t xml:space="preserve">En otro orden de ideas, en cuanto al requerimiento relacionado con:</w:t>
      </w:r>
    </w:p>
    <w:p w:rsidR="00000000" w:rsidDel="00000000" w:rsidP="00000000" w:rsidRDefault="00000000" w:rsidRPr="00000000" w14:paraId="0000010D">
      <w:pPr>
        <w:spacing w:after="240" w:before="240" w:line="360" w:lineRule="auto"/>
        <w:ind w:right="51"/>
        <w:jc w:val="both"/>
        <w:rPr>
          <w:rFonts w:ascii="Palatino Linotype" w:cs="Palatino Linotype" w:eastAsia="Palatino Linotype" w:hAnsi="Palatino Linotype"/>
          <w:b w:val="1"/>
          <w:u w:val="single"/>
        </w:rPr>
      </w:pPr>
      <w:r w:rsidDel="00000000" w:rsidR="00000000" w:rsidRPr="00000000">
        <w:rPr>
          <w:rtl w:val="0"/>
        </w:rPr>
      </w:r>
    </w:p>
    <w:p w:rsidR="00000000" w:rsidDel="00000000" w:rsidP="00000000" w:rsidRDefault="00000000" w:rsidRPr="00000000" w14:paraId="0000010E">
      <w:pPr>
        <w:spacing w:after="240" w:before="240" w:line="360" w:lineRule="auto"/>
        <w:ind w:right="51"/>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b w:val="1"/>
          <w:u w:val="single"/>
          <w:rtl w:val="0"/>
        </w:rPr>
        <w:t xml:space="preserve">Cuántas cámaras de vigilancia había en el municipio y cuántas hay hasta este momento, cuántas de ellas fueron integradas al C2.</w:t>
      </w:r>
    </w:p>
    <w:p w:rsidR="00000000" w:rsidDel="00000000" w:rsidP="00000000" w:rsidRDefault="00000000" w:rsidRPr="00000000" w14:paraId="0000010F">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documento que daría cuenta de lo solicitado sería de manera enunciativa más no limitada, el inventario de bienes muebles, toda vez que la Ley Orgánica Municipal del Estado de México, establece en su artículo 97, que la hacienda pública municipal se integra por los bienes muebles e inmuebles propiedad del municipio, por su parte, en el artículo 53, señala que los Síndicos tendrán la atribución de </w:t>
      </w:r>
      <w:r w:rsidDel="00000000" w:rsidR="00000000" w:rsidRPr="00000000">
        <w:rPr>
          <w:rFonts w:ascii="Palatino Linotype" w:cs="Palatino Linotype" w:eastAsia="Palatino Linotype" w:hAnsi="Palatino Linotype"/>
          <w:b w:val="1"/>
          <w:rtl w:val="0"/>
        </w:rPr>
        <w:t xml:space="preserve">intervenir en la formulación del inventario general de los bienes muebles</w:t>
      </w:r>
      <w:r w:rsidDel="00000000" w:rsidR="00000000" w:rsidRPr="00000000">
        <w:rPr>
          <w:rFonts w:ascii="Palatino Linotype" w:cs="Palatino Linotype" w:eastAsia="Palatino Linotype" w:hAnsi="Palatino Linotype"/>
          <w:rtl w:val="0"/>
        </w:rPr>
        <w:t xml:space="preserve"> e inmuebles</w:t>
      </w:r>
      <w:r w:rsidDel="00000000" w:rsidR="00000000" w:rsidRPr="00000000">
        <w:rPr>
          <w:rFonts w:ascii="Palatino Linotype" w:cs="Palatino Linotype" w:eastAsia="Palatino Linotype" w:hAnsi="Palatino Linotype"/>
          <w:b w:val="1"/>
          <w:rtl w:val="0"/>
        </w:rPr>
        <w:t xml:space="preserve"> propiedad del municipio,</w:t>
      </w:r>
      <w:r w:rsidDel="00000000" w:rsidR="00000000" w:rsidRPr="00000000">
        <w:rPr>
          <w:rFonts w:ascii="Palatino Linotype" w:cs="Palatino Linotype" w:eastAsia="Palatino Linotype" w:hAnsi="Palatino Linotype"/>
          <w:rtl w:val="0"/>
        </w:rPr>
        <w:t xml:space="preserve"> haciendo que se inscriban en el libro especial, con expresión de sus valores y de todas las características de identificación, así como el uso y destino de los mismos.</w:t>
      </w:r>
    </w:p>
    <w:p w:rsidR="00000000" w:rsidDel="00000000" w:rsidP="00000000" w:rsidRDefault="00000000" w:rsidRPr="00000000" w14:paraId="00000110">
      <w:pPr>
        <w:spacing w:line="360" w:lineRule="auto"/>
        <w:ind w:right="-2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artículo 91, del mismo ordenamiento legal indicado en el párrafo anterior, señala que la Secretaría del Ayuntamiento estará a cargo de un Secretario, el que, dentro de sus atribuciones se encuentra elaborar con la intervención del Síndico el i</w:t>
      </w:r>
      <w:r w:rsidDel="00000000" w:rsidR="00000000" w:rsidRPr="00000000">
        <w:rPr>
          <w:rFonts w:ascii="Palatino Linotype" w:cs="Palatino Linotype" w:eastAsia="Palatino Linotype" w:hAnsi="Palatino Linotype"/>
          <w:b w:val="1"/>
          <w:rtl w:val="0"/>
        </w:rPr>
        <w:t xml:space="preserve">nventario general de los bienes muebles </w:t>
      </w:r>
      <w:r w:rsidDel="00000000" w:rsidR="00000000" w:rsidRPr="00000000">
        <w:rPr>
          <w:rFonts w:ascii="Palatino Linotype" w:cs="Palatino Linotype" w:eastAsia="Palatino Linotype" w:hAnsi="Palatino Linotype"/>
          <w:rtl w:val="0"/>
        </w:rPr>
        <w:t xml:space="preserve">e inmuebles </w:t>
      </w:r>
      <w:r w:rsidDel="00000000" w:rsidR="00000000" w:rsidRPr="00000000">
        <w:rPr>
          <w:rFonts w:ascii="Palatino Linotype" w:cs="Palatino Linotype" w:eastAsia="Palatino Linotype" w:hAnsi="Palatino Linotype"/>
          <w:b w:val="1"/>
          <w:rtl w:val="0"/>
        </w:rPr>
        <w:t xml:space="preserve">municipales, </w:t>
      </w:r>
      <w:r w:rsidDel="00000000" w:rsidR="00000000" w:rsidRPr="00000000">
        <w:rPr>
          <w:rFonts w:ascii="Palatino Linotype" w:cs="Palatino Linotype" w:eastAsia="Palatino Linotype" w:hAnsi="Palatino Linotype"/>
          <w:rtl w:val="0"/>
        </w:rPr>
        <w:t xml:space="preserve">así como la integración del sistema de información inmobiliaria, que contemple los bienes del dominio público y privado.</w:t>
      </w:r>
    </w:p>
    <w:p w:rsidR="00000000" w:rsidDel="00000000" w:rsidP="00000000" w:rsidRDefault="00000000" w:rsidRPr="00000000" w14:paraId="00000111">
      <w:pPr>
        <w:spacing w:line="360" w:lineRule="auto"/>
        <w:ind w:right="-2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advierte que la Hacienda Pública Municipal se integra, entre otros, </w:t>
      </w:r>
      <w:r w:rsidDel="00000000" w:rsidR="00000000" w:rsidRPr="00000000">
        <w:rPr>
          <w:rFonts w:ascii="Palatino Linotype" w:cs="Palatino Linotype" w:eastAsia="Palatino Linotype" w:hAnsi="Palatino Linotype"/>
          <w:b w:val="1"/>
          <w:rtl w:val="0"/>
        </w:rPr>
        <w:t xml:space="preserve">de los bienes muebles</w:t>
      </w:r>
      <w:r w:rsidDel="00000000" w:rsidR="00000000" w:rsidRPr="00000000">
        <w:rPr>
          <w:rFonts w:ascii="Palatino Linotype" w:cs="Palatino Linotype" w:eastAsia="Palatino Linotype" w:hAnsi="Palatino Linotype"/>
          <w:rtl w:val="0"/>
        </w:rPr>
        <w:t xml:space="preserve"> e inmuebles propiedad del municipio; asimismo que es atribución del Secretario del Ayuntamiento, con intervención del Síndico, la elaboración del inventario general de dichos bienes. Además que, para el control, inventario, ubicación y adjudicación de los bienes muebles e inmuebles propiedad del ayuntamiento, el Secretario del Ayuntamiento deberá aprobar e inscribir en un </w:t>
      </w:r>
      <w:r w:rsidDel="00000000" w:rsidR="00000000" w:rsidRPr="00000000">
        <w:rPr>
          <w:rFonts w:ascii="Palatino Linotype" w:cs="Palatino Linotype" w:eastAsia="Palatino Linotype" w:hAnsi="Palatino Linotype"/>
          <w:b w:val="1"/>
          <w:rtl w:val="0"/>
        </w:rPr>
        <w:t xml:space="preserve">libro especial los movimientos</w:t>
      </w:r>
      <w:r w:rsidDel="00000000" w:rsidR="00000000" w:rsidRPr="00000000">
        <w:rPr>
          <w:rFonts w:ascii="Palatino Linotype" w:cs="Palatino Linotype" w:eastAsia="Palatino Linotype" w:hAnsi="Palatino Linotype"/>
          <w:rtl w:val="0"/>
        </w:rPr>
        <w:t xml:space="preserve"> que se registren y que dicho Libro estará a su cargo.</w:t>
      </w:r>
    </w:p>
    <w:p w:rsidR="00000000" w:rsidDel="00000000" w:rsidP="00000000" w:rsidRDefault="00000000" w:rsidRPr="00000000" w14:paraId="0000011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no pasa desapercibido que los municipios se encuentran constreñidos a generar por mandato del artículo 32 de la Ley de Fiscalización Superior del Estado de México y de los Lineamientos para la Integración y Entrega del Informe Trimestral Municipal 2022, 2023 y 2024, la entrega de informes semestrales ante el Órgano Superior de Fiscalización, como entidades fiscalizables.</w:t>
      </w:r>
    </w:p>
    <w:p w:rsidR="00000000" w:rsidDel="00000000" w:rsidP="00000000" w:rsidRDefault="00000000" w:rsidRPr="00000000" w14:paraId="0000011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a través del Instructivo de Llenado del Módulo 4, se localiza lo correspondiente a la información de los bienes muebles, el cual se trae a colación para mejor proveer del presente estudio:</w:t>
      </w:r>
    </w:p>
    <w:p w:rsidR="00000000" w:rsidDel="00000000" w:rsidP="00000000" w:rsidRDefault="00000000" w:rsidRPr="00000000" w14:paraId="0000011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27018" cy="3572778"/>
            <wp:effectExtent b="0" l="0" r="0" t="0"/>
            <wp:docPr id="294"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627018" cy="3572778"/>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7396" cy="3486445"/>
            <wp:effectExtent b="0" l="0" r="0" t="0"/>
            <wp:docPr id="29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617396" cy="3486445"/>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spacing w:after="240" w:before="24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De las imágenes insertadas previamente, se desprende que el inventario de bienes muebles generado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debe anotar el número consecutivo de los bienes muebles con los que cuenta el Ayuntamiento de Chapultepec y el área o unidad administrativa a la que pertenece el bien mueble, lo que daría cuenta del número de cámaras de vigilancia con las que cuenta el Ayuntamiento Chapultepec y el área a la que se asignó el bien mueble.</w:t>
      </w:r>
      <w:r w:rsidDel="00000000" w:rsidR="00000000" w:rsidRPr="00000000">
        <w:rPr>
          <w:rtl w:val="0"/>
        </w:rPr>
      </w:r>
    </w:p>
    <w:p w:rsidR="00000000" w:rsidDel="00000000" w:rsidP="00000000" w:rsidRDefault="00000000" w:rsidRPr="00000000" w14:paraId="00000119">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Luego entonces con la entrega de dicho documento,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podrá advertir cuantas de esas cámaras habían al comienzo de la administración del Ayuntamiento de Chapultepec en el año 2022 y con las que cuenta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la fecha de la solicitud, además el área a que pertenecen dichas cámaras. </w:t>
      </w:r>
    </w:p>
    <w:p w:rsidR="00000000" w:rsidDel="00000000" w:rsidP="00000000" w:rsidRDefault="00000000" w:rsidRPr="00000000" w14:paraId="0000011A">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Precisado lo anterior, de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primer término, se advierte que la Unidad de Transparencia sólo se concretó a señalar que la información solicitada se encuentra en la siguiente liga https://www.chapultepec.gob.mx/ en el apartado del informe de gobierno; sin embargo, al acceder a ella arrojó la siguiente información:</w:t>
      </w:r>
    </w:p>
    <w:p w:rsidR="00000000" w:rsidDel="00000000" w:rsidP="00000000" w:rsidRDefault="00000000" w:rsidRPr="00000000" w14:paraId="0000011B">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32365" cy="1976251"/>
            <wp:effectExtent b="0" l="0" r="0" t="0"/>
            <wp:docPr id="296"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632365" cy="1976251"/>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cual corresponde a la página oficial del Ayuntamiento de Chapultepec, que incluye gobierno, yo amo Chapultepec, trámites y servicios, mejora regulatoria, gobierno digital, transparencia y archivo municipal, de los cuales se advierte que tiene un cúmulo de información y el particular sólo requirió en concreto cuáles son las localidades de mayor incidencia delictiva, cuántas cámaras de vigilancia había en el municipio y cuántas hay hasta este momento, cuántas de ellas fueron integradas al C2, y qué costo tuvo la compra de las cámaras de video vigilancia, así como el equipo aéreo de video vigilancia; lo que implica que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haga una búsqueda dentro de toda la información que yace en dicha liga electrónica; por consiguiente, no se colmó la pretensión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11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es así en virtud de lo establecido por los artículos 11 y 161 de la Ley de Transparencia y Acceso a la Información Pública del Estado de México y Municipios, en lo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11.</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En la generación, publicación y entrega de información se deberá garantizar que ésta sea accesible, actualizada, completa, congruente, confiable, verificable, veraz, integral, oportuna y expedita</w:t>
      </w:r>
      <w:r w:rsidDel="00000000" w:rsidR="00000000" w:rsidRPr="00000000">
        <w:rPr>
          <w:rFonts w:ascii="Palatino Linotype" w:cs="Palatino Linotype" w:eastAsia="Palatino Linotype" w:hAnsi="Palatino Linotype"/>
          <w:i w:val="1"/>
          <w:sz w:val="22"/>
          <w:szCs w:val="22"/>
          <w:rtl w:val="0"/>
        </w:rPr>
        <w:t xml:space="preserve">, sujeta a un claro régimen de excepciones que deberá estar definido y ser además legítima y estrictamente necesaria en una sociedad democrática, por lo que atenderá las necesidades del derecho de acceso a la información de toda persona.</w:t>
      </w:r>
    </w:p>
    <w:p w:rsidR="00000000" w:rsidDel="00000000" w:rsidP="00000000" w:rsidRDefault="00000000" w:rsidRPr="00000000" w14:paraId="00000121">
      <w:pPr>
        <w:pBdr>
          <w:top w:space="0" w:sz="0" w:val="nil"/>
          <w:left w:space="0" w:sz="0" w:val="nil"/>
          <w:bottom w:space="0" w:sz="0" w:val="nil"/>
          <w:right w:space="0" w:sz="0" w:val="nil"/>
          <w:between w:space="0" w:sz="0" w:val="nil"/>
        </w:pBd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22">
      <w:pPr>
        <w:pBdr>
          <w:top w:space="0" w:sz="0" w:val="nil"/>
          <w:left w:space="0" w:sz="0" w:val="nil"/>
          <w:bottom w:space="0" w:sz="0" w:val="nil"/>
          <w:right w:space="0" w:sz="0" w:val="nil"/>
          <w:between w:space="0" w:sz="0" w:val="nil"/>
        </w:pBdr>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ind w:left="567" w:righ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161.</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Cuando la información requerida por el solicitante ya esté disponible al público</w:t>
      </w:r>
      <w:r w:rsidDel="00000000" w:rsidR="00000000" w:rsidRPr="00000000">
        <w:rPr>
          <w:rFonts w:ascii="Palatino Linotype" w:cs="Palatino Linotype" w:eastAsia="Palatino Linotype" w:hAnsi="Palatino Linotype"/>
          <w:i w:val="1"/>
          <w:sz w:val="22"/>
          <w:szCs w:val="22"/>
          <w:rtl w:val="0"/>
        </w:rPr>
        <w:t xml:space="preserve"> en medios impresos, tales como libros, compendios, trípticos, registros públicos, </w:t>
      </w:r>
      <w:r w:rsidDel="00000000" w:rsidR="00000000" w:rsidRPr="00000000">
        <w:rPr>
          <w:rFonts w:ascii="Palatino Linotype" w:cs="Palatino Linotype" w:eastAsia="Palatino Linotype" w:hAnsi="Palatino Linotype"/>
          <w:b w:val="1"/>
          <w:i w:val="1"/>
          <w:sz w:val="22"/>
          <w:szCs w:val="22"/>
          <w:u w:val="single"/>
          <w:rtl w:val="0"/>
        </w:rPr>
        <w:t xml:space="preserve">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w:t>
      </w: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artículos transcritos se establecen las características que debe tener la información desde el momento de su generación, publicación y entrega; de igual manera se contempla el procedimiento a seguir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7">
      <w:pPr>
        <w:numPr>
          <w:ilvl w:val="0"/>
          <w:numId w:val="2"/>
        </w:numPr>
        <w:pBdr>
          <w:top w:space="0" w:sz="0" w:val="nil"/>
          <w:left w:space="0" w:sz="0" w:val="nil"/>
          <w:bottom w:space="0" w:sz="0" w:val="nil"/>
          <w:right w:space="0" w:sz="0" w:val="nil"/>
          <w:between w:space="0" w:sz="0" w:val="nil"/>
        </w:pBdr>
        <w:ind w:left="1134" w:hanging="56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fuente</w:t>
      </w:r>
    </w:p>
    <w:p w:rsidR="00000000" w:rsidDel="00000000" w:rsidP="00000000" w:rsidRDefault="00000000" w:rsidRPr="00000000" w14:paraId="00000128">
      <w:pPr>
        <w:numPr>
          <w:ilvl w:val="0"/>
          <w:numId w:val="2"/>
        </w:numPr>
        <w:pBdr>
          <w:top w:space="0" w:sz="0" w:val="nil"/>
          <w:left w:space="0" w:sz="0" w:val="nil"/>
          <w:bottom w:space="0" w:sz="0" w:val="nil"/>
          <w:right w:space="0" w:sz="0" w:val="nil"/>
          <w:between w:space="0" w:sz="0" w:val="nil"/>
        </w:pBdr>
        <w:ind w:left="1134" w:hanging="56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lugar y</w:t>
      </w:r>
    </w:p>
    <w:p w:rsidR="00000000" w:rsidDel="00000000" w:rsidP="00000000" w:rsidRDefault="00000000" w:rsidRPr="00000000" w14:paraId="00000129">
      <w:pPr>
        <w:numPr>
          <w:ilvl w:val="0"/>
          <w:numId w:val="2"/>
        </w:numPr>
        <w:pBdr>
          <w:top w:space="0" w:sz="0" w:val="nil"/>
          <w:left w:space="0" w:sz="0" w:val="nil"/>
          <w:bottom w:space="0" w:sz="0" w:val="nil"/>
          <w:right w:space="0" w:sz="0" w:val="nil"/>
          <w:between w:space="0" w:sz="0" w:val="nil"/>
        </w:pBdr>
        <w:ind w:left="1134" w:hanging="56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forma </w:t>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se establece que la fuente de la información deberá ser:</w:t>
      </w:r>
    </w:p>
    <w:p w:rsidR="00000000" w:rsidDel="00000000" w:rsidP="00000000" w:rsidRDefault="00000000" w:rsidRPr="00000000" w14:paraId="0000012C">
      <w:pPr>
        <w:numPr>
          <w:ilvl w:val="0"/>
          <w:numId w:val="3"/>
        </w:numPr>
        <w:pBdr>
          <w:top w:space="0" w:sz="0" w:val="nil"/>
          <w:left w:space="0" w:sz="0" w:val="nil"/>
          <w:bottom w:space="0" w:sz="0" w:val="nil"/>
          <w:right w:space="0" w:sz="0" w:val="nil"/>
          <w:between w:space="0" w:sz="0" w:val="nil"/>
        </w:pBdr>
        <w:ind w:left="1134" w:hanging="556"/>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Precisa</w:t>
      </w:r>
    </w:p>
    <w:p w:rsidR="00000000" w:rsidDel="00000000" w:rsidP="00000000" w:rsidRDefault="00000000" w:rsidRPr="00000000" w14:paraId="0000012D">
      <w:pPr>
        <w:numPr>
          <w:ilvl w:val="0"/>
          <w:numId w:val="3"/>
        </w:numPr>
        <w:pBdr>
          <w:top w:space="0" w:sz="0" w:val="nil"/>
          <w:left w:space="0" w:sz="0" w:val="nil"/>
          <w:bottom w:space="0" w:sz="0" w:val="nil"/>
          <w:right w:space="0" w:sz="0" w:val="nil"/>
          <w:between w:space="0" w:sz="0" w:val="nil"/>
        </w:pBdr>
        <w:ind w:left="1134" w:hanging="556"/>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Concreta</w:t>
      </w:r>
    </w:p>
    <w:p w:rsidR="00000000" w:rsidDel="00000000" w:rsidP="00000000" w:rsidRDefault="00000000" w:rsidRPr="00000000" w14:paraId="0000012E">
      <w:pPr>
        <w:numPr>
          <w:ilvl w:val="0"/>
          <w:numId w:val="3"/>
        </w:numPr>
        <w:pBdr>
          <w:top w:space="0" w:sz="0" w:val="nil"/>
          <w:left w:space="0" w:sz="0" w:val="nil"/>
          <w:bottom w:space="0" w:sz="0" w:val="nil"/>
          <w:right w:space="0" w:sz="0" w:val="nil"/>
          <w:between w:space="0" w:sz="0" w:val="nil"/>
        </w:pBdr>
        <w:ind w:left="1134" w:hanging="556"/>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Y no debe implicar que el solicitante realice una búsqueda en toda la información que se encuentre disponible</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Imperativos legales que establecen el procedimiento que debe seguir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que pueda tomarse como válida su orientación sobre la forma en que puede consultar la información requerida, y que, en el caso en concreto, no acontece; ello porque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se limitó a indicar la dirección electrónica de su página oficial del Ayuntamiento de Chapultepec, sin que señalara puntualmente el procedimiento que el particular debe seguir para acceder a la información requerida, lo que implica que  la fuente no es precisa y no es concreta, sino por el contrario ésta resulta abstracta y genera incertidumbre entre el cúmulo de información que se observa en la página; y por último, su fuente implica que el solicitante realice una búsqueda en toda la información que se encuentra disponible  a fin de localizar únicamente lo que solicitó, lo que a todas luces transgrede el numeral citado.</w:t>
      </w:r>
    </w:p>
    <w:p w:rsidR="00000000" w:rsidDel="00000000" w:rsidP="00000000" w:rsidRDefault="00000000" w:rsidRPr="00000000" w14:paraId="00000131">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se acredita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siguió el procedimiento establecido por el artículo 162 de la Ley de Transparencia y Acceso a la Información Pública del Estado de México y Municipios, ya que, no se puede perder de vista que para otorgar respuesta a la solicitud inicial,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debió turnar la solicitud a las áreas en las que podría obrar la información de conformidad con la fracción XXXIX del artículo tercero de la legislación local vigente en materia de transparencia, el Servidor Público Habilitado es el competente para apoyar, gestionar y entregar la información: </w:t>
      </w:r>
    </w:p>
    <w:p w:rsidR="00000000" w:rsidDel="00000000" w:rsidP="00000000" w:rsidRDefault="00000000" w:rsidRPr="00000000" w14:paraId="00000132">
      <w:pPr>
        <w:spacing w:after="240" w:before="240" w:lineRule="auto"/>
        <w:ind w:left="709" w:right="902"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rsidR="00000000" w:rsidDel="00000000" w:rsidP="00000000" w:rsidRDefault="00000000" w:rsidRPr="00000000" w14:paraId="00000133">
      <w:pPr>
        <w:shd w:fill="ffffff" w:val="clear"/>
        <w:spacing w:after="240" w:before="240" w:line="360" w:lineRule="auto"/>
        <w:jc w:val="both"/>
        <w:rPr/>
      </w:pPr>
      <w:r w:rsidDel="00000000" w:rsidR="00000000" w:rsidRPr="00000000">
        <w:rPr>
          <w:rFonts w:ascii="Palatino Linotype" w:cs="Palatino Linotype" w:eastAsia="Palatino Linotype" w:hAnsi="Palatino Linotype"/>
          <w:rtl w:val="0"/>
        </w:rPr>
        <w:t xml:space="preserve">En este orden de ideas, se advierte que efectivamente la Unidad de Transparencia no cumplió con lo expresado en el artículo 162 de la Ley de Transparencia y Acceso a la Información Pública del Estado de México y Municipios, el cual menciona lo siguiente:</w:t>
      </w:r>
      <w:r w:rsidDel="00000000" w:rsidR="00000000" w:rsidRPr="00000000">
        <w:rPr>
          <w:rtl w:val="0"/>
        </w:rPr>
      </w:r>
    </w:p>
    <w:p w:rsidR="00000000" w:rsidDel="00000000" w:rsidP="00000000" w:rsidRDefault="00000000" w:rsidRPr="00000000" w14:paraId="00000134">
      <w:pPr>
        <w:shd w:fill="ffffff" w:val="clear"/>
        <w:spacing w:after="240" w:lineRule="auto"/>
        <w:ind w:left="993" w:right="1041" w:firstLine="0"/>
        <w:jc w:val="both"/>
        <w:rPr/>
      </w:pPr>
      <w:r w:rsidDel="00000000" w:rsidR="00000000" w:rsidRPr="00000000">
        <w:rPr>
          <w:rFonts w:ascii="Palatino Linotype" w:cs="Palatino Linotype" w:eastAsia="Palatino Linotype" w:hAnsi="Palatino Linotype"/>
          <w:b w:val="1"/>
          <w:i w:val="1"/>
          <w:sz w:val="22"/>
          <w:szCs w:val="22"/>
          <w:rtl w:val="0"/>
        </w:rPr>
        <w:t xml:space="preserve">“Artículo 162.</w:t>
      </w:r>
      <w:r w:rsidDel="00000000" w:rsidR="00000000" w:rsidRPr="00000000">
        <w:rPr>
          <w:rFonts w:ascii="Palatino Linotype" w:cs="Palatino Linotype" w:eastAsia="Palatino Linotype" w:hAnsi="Palatino Linotype"/>
          <w:i w:val="1"/>
          <w:sz w:val="22"/>
          <w:szCs w:val="22"/>
          <w:rtl w:val="0"/>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Del="00000000" w:rsidR="00000000" w:rsidRPr="00000000">
        <w:rPr>
          <w:rtl w:val="0"/>
        </w:rPr>
      </w:r>
    </w:p>
    <w:p w:rsidR="00000000" w:rsidDel="00000000" w:rsidP="00000000" w:rsidRDefault="00000000" w:rsidRPr="00000000" w14:paraId="00000135">
      <w:pPr>
        <w:shd w:fill="ffffff" w:val="clear"/>
        <w:spacing w:line="360" w:lineRule="auto"/>
        <w:jc w:val="both"/>
        <w:rPr/>
      </w:pPr>
      <w:r w:rsidDel="00000000" w:rsidR="00000000" w:rsidRPr="00000000">
        <w:rPr>
          <w:rFonts w:ascii="Palatino Linotype" w:cs="Palatino Linotype" w:eastAsia="Palatino Linotype" w:hAnsi="Palatino Linotype"/>
          <w:rtl w:val="0"/>
        </w:rPr>
        <w:t xml:space="preserve">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r w:rsidDel="00000000" w:rsidR="00000000" w:rsidRPr="00000000">
        <w:rPr>
          <w:rtl w:val="0"/>
        </w:rPr>
      </w:r>
    </w:p>
    <w:p w:rsidR="00000000" w:rsidDel="00000000" w:rsidP="00000000" w:rsidRDefault="00000000" w:rsidRPr="00000000" w14:paraId="00000136">
      <w:pPr>
        <w:shd w:fill="ffffff" w:val="clear"/>
        <w:ind w:left="993" w:right="104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37">
      <w:pPr>
        <w:shd w:fill="ffffff" w:val="clear"/>
        <w:ind w:left="993" w:right="1041" w:firstLine="0"/>
        <w:jc w:val="both"/>
        <w:rPr/>
      </w:pPr>
      <w:r w:rsidDel="00000000" w:rsidR="00000000" w:rsidRPr="00000000">
        <w:rPr>
          <w:rFonts w:ascii="Palatino Linotype" w:cs="Palatino Linotype" w:eastAsia="Palatino Linotype" w:hAnsi="Palatino Linotype"/>
          <w:b w:val="1"/>
          <w:i w:val="1"/>
          <w:sz w:val="22"/>
          <w:szCs w:val="22"/>
          <w:rtl w:val="0"/>
        </w:rPr>
        <w:t xml:space="preserve">“Artículo 160. </w:t>
      </w:r>
      <w:r w:rsidDel="00000000" w:rsidR="00000000" w:rsidRPr="00000000">
        <w:rPr>
          <w:rFonts w:ascii="Palatino Linotype" w:cs="Palatino Linotype" w:eastAsia="Palatino Linotype" w:hAnsi="Palatino Linotype"/>
          <w:i w:val="1"/>
          <w:sz w:val="22"/>
          <w:szCs w:val="22"/>
          <w:rtl w:val="0"/>
        </w:rPr>
        <w:t xml:space="preserve">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Del="00000000" w:rsidR="00000000" w:rsidRPr="00000000">
        <w:rPr>
          <w:rtl w:val="0"/>
        </w:rPr>
      </w:r>
    </w:p>
    <w:p w:rsidR="00000000" w:rsidDel="00000000" w:rsidP="00000000" w:rsidRDefault="00000000" w:rsidRPr="00000000" w14:paraId="00000138">
      <w:pPr>
        <w:shd w:fill="ffffff" w:val="clear"/>
        <w:ind w:left="993" w:right="1041" w:firstLine="0"/>
        <w:jc w:val="both"/>
        <w:rPr/>
      </w:pPr>
      <w:r w:rsidDel="00000000" w:rsidR="00000000" w:rsidRPr="00000000">
        <w:rPr>
          <w:rFonts w:ascii="Palatino Linotype" w:cs="Palatino Linotype" w:eastAsia="Palatino Linotype" w:hAnsi="Palatino Linotype"/>
          <w:i w:val="1"/>
          <w:sz w:val="22"/>
          <w:szCs w:val="22"/>
          <w:rtl w:val="0"/>
        </w:rPr>
        <w:t xml:space="preserve">En caso que la información solicitada consista en bases de datos se deberá privilegiar la entrega de la misma en formatos abiertos.</w:t>
      </w:r>
      <w:r w:rsidDel="00000000" w:rsidR="00000000" w:rsidRPr="00000000">
        <w:rPr>
          <w:rtl w:val="0"/>
        </w:rPr>
      </w:r>
    </w:p>
    <w:p w:rsidR="00000000" w:rsidDel="00000000" w:rsidP="00000000" w:rsidRDefault="00000000" w:rsidRPr="00000000" w14:paraId="00000139">
      <w:pPr>
        <w:shd w:fill="ffffff" w:val="clear"/>
        <w:ind w:left="993" w:right="1041" w:firstLine="0"/>
        <w:jc w:val="both"/>
        <w:rPr/>
      </w:pPr>
      <w:r w:rsidDel="00000000" w:rsidR="00000000" w:rsidRPr="00000000">
        <w:rPr>
          <w:rFonts w:ascii="Palatino Linotype" w:cs="Palatino Linotype" w:eastAsia="Palatino Linotype" w:hAnsi="Palatino Linotype"/>
          <w:b w:val="1"/>
          <w:i w:val="1"/>
          <w:sz w:val="22"/>
          <w:szCs w:val="22"/>
          <w:rtl w:val="0"/>
        </w:rPr>
        <w:t xml:space="preserve">Artículo 163.</w:t>
      </w:r>
      <w:r w:rsidDel="00000000" w:rsidR="00000000" w:rsidRPr="00000000">
        <w:rPr>
          <w:rFonts w:ascii="Palatino Linotype" w:cs="Palatino Linotype" w:eastAsia="Palatino Linotype" w:hAnsi="Palatino Linotype"/>
          <w:i w:val="1"/>
          <w:sz w:val="22"/>
          <w:szCs w:val="22"/>
          <w:rtl w:val="0"/>
        </w:rPr>
        <w:t xml:space="preserve"> La Unidad de Transparencia deberá notificar la respuesta a la solicitud al interesado en el menor tiempo posible, que no podrá exceder de quince días hábiles, contados a partir del día siguiente a la presentación de aquélla.</w:t>
      </w:r>
      <w:r w:rsidDel="00000000" w:rsidR="00000000" w:rsidRPr="00000000">
        <w:rPr>
          <w:rtl w:val="0"/>
        </w:rPr>
      </w:r>
    </w:p>
    <w:p w:rsidR="00000000" w:rsidDel="00000000" w:rsidP="00000000" w:rsidRDefault="00000000" w:rsidRPr="00000000" w14:paraId="0000013A">
      <w:pPr>
        <w:shd w:fill="ffffff" w:val="clear"/>
        <w:ind w:left="993" w:right="1041" w:firstLine="0"/>
        <w:jc w:val="both"/>
        <w:rPr/>
      </w:pPr>
      <w:r w:rsidDel="00000000" w:rsidR="00000000" w:rsidRPr="00000000">
        <w:rPr>
          <w:rFonts w:ascii="Palatino Linotype" w:cs="Palatino Linotype" w:eastAsia="Palatino Linotype" w:hAnsi="Palatino Linotype"/>
          <w:i w:val="1"/>
          <w:sz w:val="22"/>
          <w:szCs w:val="22"/>
          <w:rtl w:val="0"/>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r w:rsidDel="00000000" w:rsidR="00000000" w:rsidRPr="00000000">
        <w:rPr>
          <w:rtl w:val="0"/>
        </w:rPr>
      </w:r>
    </w:p>
    <w:p w:rsidR="00000000" w:rsidDel="00000000" w:rsidP="00000000" w:rsidRDefault="00000000" w:rsidRPr="00000000" w14:paraId="0000013B">
      <w:pPr>
        <w:shd w:fill="ffffff" w:val="clear"/>
        <w:ind w:left="993" w:right="1041" w:firstLine="0"/>
        <w:jc w:val="both"/>
        <w:rPr/>
      </w:pPr>
      <w:r w:rsidDel="00000000" w:rsidR="00000000" w:rsidRPr="00000000">
        <w:rPr>
          <w:rFonts w:ascii="Palatino Linotype" w:cs="Palatino Linotype" w:eastAsia="Palatino Linotype" w:hAnsi="Palatino Linotype"/>
          <w:b w:val="1"/>
          <w:i w:val="1"/>
          <w:sz w:val="22"/>
          <w:szCs w:val="22"/>
          <w:rtl w:val="0"/>
        </w:rPr>
        <w:t xml:space="preserve">Artículo 165.</w:t>
      </w:r>
      <w:r w:rsidDel="00000000" w:rsidR="00000000" w:rsidRPr="00000000">
        <w:rPr>
          <w:rFonts w:ascii="Palatino Linotype" w:cs="Palatino Linotype" w:eastAsia="Palatino Linotype" w:hAnsi="Palatino Linotype"/>
          <w:i w:val="1"/>
          <w:sz w:val="22"/>
          <w:szCs w:val="22"/>
          <w:rtl w:val="0"/>
        </w:rPr>
        <w:t xml:space="preserve"> Los sujetos obligados establecerán la forma y términos en que darán trámite interno a las solicitudes en materia de acceso a la información.</w:t>
      </w:r>
      <w:r w:rsidDel="00000000" w:rsidR="00000000" w:rsidRPr="00000000">
        <w:rPr>
          <w:rtl w:val="0"/>
        </w:rPr>
      </w:r>
    </w:p>
    <w:p w:rsidR="00000000" w:rsidDel="00000000" w:rsidP="00000000" w:rsidRDefault="00000000" w:rsidRPr="00000000" w14:paraId="0000013C">
      <w:pPr>
        <w:shd w:fill="ffffff" w:val="clear"/>
        <w:ind w:left="993" w:right="1041" w:firstLine="0"/>
        <w:jc w:val="both"/>
        <w:rPr/>
      </w:pPr>
      <w:r w:rsidDel="00000000" w:rsidR="00000000" w:rsidRPr="00000000">
        <w:rPr>
          <w:rFonts w:ascii="Palatino Linotype" w:cs="Palatino Linotype" w:eastAsia="Palatino Linotype" w:hAnsi="Palatino Linotype"/>
          <w:i w:val="1"/>
          <w:sz w:val="22"/>
          <w:szCs w:val="22"/>
          <w:rtl w:val="0"/>
        </w:rPr>
        <w:t xml:space="preserve">La información que se entregue en versión pública, cuya modalidad de reproducción o envío tenga un costo, procederá una vez que se acredite el pago respectivo. No puede entenderse como reproducción la elaboración de la misma.</w:t>
      </w:r>
      <w:r w:rsidDel="00000000" w:rsidR="00000000" w:rsidRPr="00000000">
        <w:rPr>
          <w:rtl w:val="0"/>
        </w:rPr>
      </w:r>
    </w:p>
    <w:p w:rsidR="00000000" w:rsidDel="00000000" w:rsidP="00000000" w:rsidRDefault="00000000" w:rsidRPr="00000000" w14:paraId="0000013D">
      <w:pPr>
        <w:shd w:fill="ffffff" w:val="clear"/>
        <w:spacing w:after="240" w:lineRule="auto"/>
        <w:ind w:left="993" w:right="1041" w:firstLine="0"/>
        <w:jc w:val="both"/>
        <w:rPr/>
      </w:pPr>
      <w:r w:rsidDel="00000000" w:rsidR="00000000" w:rsidRPr="00000000">
        <w:rPr>
          <w:rFonts w:ascii="Palatino Linotype" w:cs="Palatino Linotype" w:eastAsia="Palatino Linotype" w:hAnsi="Palatino Linotype"/>
          <w:i w:val="1"/>
          <w:sz w:val="22"/>
          <w:szCs w:val="22"/>
          <w:rtl w:val="0"/>
        </w:rPr>
        <w:t xml:space="preserve">Ante la falta de respuesta a una solicitud en el plazo previsto y en caso de que proceda el acceso, los costos de reproducción y envío correrán a cargo del sujeto obligado.”</w:t>
      </w:r>
      <w:r w:rsidDel="00000000" w:rsidR="00000000" w:rsidRPr="00000000">
        <w:rPr>
          <w:rtl w:val="0"/>
        </w:rPr>
      </w:r>
    </w:p>
    <w:p w:rsidR="00000000" w:rsidDel="00000000" w:rsidP="00000000" w:rsidRDefault="00000000" w:rsidRPr="00000000" w14:paraId="0000013E">
      <w:pPr>
        <w:shd w:fill="ffffff" w:val="clear"/>
        <w:spacing w:after="240" w:before="240" w:line="360" w:lineRule="auto"/>
        <w:jc w:val="both"/>
        <w:rPr/>
      </w:pPr>
      <w:r w:rsidDel="00000000" w:rsidR="00000000" w:rsidRPr="00000000">
        <w:rPr>
          <w:rFonts w:ascii="Palatino Linotype" w:cs="Palatino Linotype" w:eastAsia="Palatino Linotype" w:hAnsi="Palatino Linotype"/>
          <w:rtl w:val="0"/>
        </w:rPr>
        <w:t xml:space="preserve">Finalmente,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Del="00000000" w:rsidR="00000000" w:rsidRPr="00000000">
        <w:rPr>
          <w:rFonts w:ascii="Palatino Linotype" w:cs="Palatino Linotype" w:eastAsia="Palatino Linotype" w:hAnsi="Palatino Linotype"/>
          <w:vertAlign w:val="superscript"/>
        </w:rPr>
        <w:footnoteReference w:customMarkFollows="0" w:id="1"/>
      </w:r>
      <w:r w:rsidDel="00000000" w:rsidR="00000000" w:rsidRPr="00000000">
        <w:rPr>
          <w:rFonts w:ascii="Palatino Linotype" w:cs="Palatino Linotype" w:eastAsia="Palatino Linotype" w:hAnsi="Palatino Linotype"/>
          <w:rtl w:val="0"/>
        </w:rPr>
        <w:t xml:space="preserve">, situación que no se advierte en el presente caso, toda vez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 su Unidad de Transparencia no ha brindado el acceso a la información solicitada por el particular,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r w:rsidDel="00000000" w:rsidR="00000000" w:rsidRPr="00000000">
        <w:rPr>
          <w:rtl w:val="0"/>
        </w:rPr>
      </w:r>
    </w:p>
    <w:p w:rsidR="00000000" w:rsidDel="00000000" w:rsidP="00000000" w:rsidRDefault="00000000" w:rsidRPr="00000000" w14:paraId="0000013F">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mérito de lo anterior, se colige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debió realizar una búsqueda exhaustiva y razonable de la información peticionada en todas las áreas competentes para que se pronunciaran respecto de la solicitud del particular, siendo de manera enunciativa más no limitativa en donde pudiera obrar la información conforme a la normatividad señala en el presente considerando en la Secretaría del Ayuntamiento, así como la propia Dirección de Seguridad Pública Municipal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términos de lo señalado por el artículo 72 y 73 del Bando Municipal del Ayuntamiento de Chapultepec, que establecen:</w:t>
      </w:r>
    </w:p>
    <w:p w:rsidR="00000000" w:rsidDel="00000000" w:rsidP="00000000" w:rsidRDefault="00000000" w:rsidRPr="00000000" w14:paraId="00000140">
      <w:pPr>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1">
      <w:pPr>
        <w:shd w:fill="ffffff" w:val="clea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72.- </w:t>
      </w:r>
      <w:r w:rsidDel="00000000" w:rsidR="00000000" w:rsidRPr="00000000">
        <w:rPr>
          <w:rFonts w:ascii="Palatino Linotype" w:cs="Palatino Linotype" w:eastAsia="Palatino Linotype" w:hAnsi="Palatino Linotype"/>
          <w:b w:val="1"/>
          <w:i w:val="1"/>
          <w:sz w:val="22"/>
          <w:szCs w:val="22"/>
          <w:rtl w:val="0"/>
        </w:rPr>
        <w:t xml:space="preserve">El Ayuntamiento, por conducto de la Dirección de Seguridad Pública Municipal, será el responsable de garantizar el orden público y la paz social, </w:t>
      </w:r>
      <w:r w:rsidDel="00000000" w:rsidR="00000000" w:rsidRPr="00000000">
        <w:rPr>
          <w:rFonts w:ascii="Palatino Linotype" w:cs="Palatino Linotype" w:eastAsia="Palatino Linotype" w:hAnsi="Palatino Linotype"/>
          <w:b w:val="1"/>
          <w:i w:val="1"/>
          <w:sz w:val="22"/>
          <w:szCs w:val="22"/>
          <w:u w:val="single"/>
          <w:rtl w:val="0"/>
        </w:rPr>
        <w:t xml:space="preserve">así como la prevención de la comisión de cualquier delito</w:t>
      </w:r>
      <w:r w:rsidDel="00000000" w:rsidR="00000000" w:rsidRPr="00000000">
        <w:rPr>
          <w:rFonts w:ascii="Palatino Linotype" w:cs="Palatino Linotype" w:eastAsia="Palatino Linotype" w:hAnsi="Palatino Linotype"/>
          <w:i w:val="1"/>
          <w:sz w:val="22"/>
          <w:szCs w:val="22"/>
          <w:rtl w:val="0"/>
        </w:rPr>
        <w:t xml:space="preserve">, inhibiendo la manifestación de conductas antisociales, siempre con estricto respeto de los derechos humanos y de las disposiciones jurídicas vigentes de carácter federal, estatal y municipal; de igual manera fomentará la educación vial, controlando y ejecutando las actividades relacionadas con la vialidad dentro de la jurisdicción municipal, de conformidad al Libro Octavo del Código Administrativo del Estado de México, el Reglamento de Tránsito del Estado de México y demás disposiciones jurídicas aplicables. </w:t>
      </w:r>
    </w:p>
    <w:p w:rsidR="00000000" w:rsidDel="00000000" w:rsidP="00000000" w:rsidRDefault="00000000" w:rsidRPr="00000000" w14:paraId="00000142">
      <w:pPr>
        <w:shd w:fill="ffffff" w:val="clea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73.- </w:t>
      </w:r>
      <w:r w:rsidDel="00000000" w:rsidR="00000000" w:rsidRPr="00000000">
        <w:rPr>
          <w:rFonts w:ascii="Palatino Linotype" w:cs="Palatino Linotype" w:eastAsia="Palatino Linotype" w:hAnsi="Palatino Linotype"/>
          <w:b w:val="1"/>
          <w:i w:val="1"/>
          <w:sz w:val="22"/>
          <w:szCs w:val="22"/>
          <w:rtl w:val="0"/>
        </w:rPr>
        <w:t xml:space="preserve">Son atribuciones del Ayuntamiento, en materia de seguridad pública</w:t>
      </w:r>
      <w:r w:rsidDel="00000000" w:rsidR="00000000" w:rsidRPr="00000000">
        <w:rPr>
          <w:rFonts w:ascii="Palatino Linotype" w:cs="Palatino Linotype" w:eastAsia="Palatino Linotype" w:hAnsi="Palatino Linotype"/>
          <w:i w:val="1"/>
          <w:sz w:val="22"/>
          <w:szCs w:val="22"/>
          <w:rtl w:val="0"/>
        </w:rPr>
        <w:t xml:space="preserve"> y vialidad, las siguientes:</w:t>
      </w:r>
    </w:p>
    <w:p w:rsidR="00000000" w:rsidDel="00000000" w:rsidP="00000000" w:rsidRDefault="00000000" w:rsidRPr="00000000" w14:paraId="00000143">
      <w:pPr>
        <w:shd w:fill="ffffff" w:val="clea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Organizar los servicios de seguridad pública y vialidad, a través de las áreas administrativas, cuyas atribuciones serán otorgadas de conformidad con la legislación y reglamentación federal, estatal y municipal; </w:t>
      </w:r>
    </w:p>
    <w:p w:rsidR="00000000" w:rsidDel="00000000" w:rsidP="00000000" w:rsidRDefault="00000000" w:rsidRPr="00000000" w14:paraId="00000144">
      <w:pPr>
        <w:shd w:fill="ffffff" w:val="clea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Convocar, seleccionar, capacitar, supervisar y evaluar permanentemente al personal que integra la Dirección de Seguridad Pública Municipal, conforme a la ley de la materia; </w:t>
      </w:r>
    </w:p>
    <w:p w:rsidR="00000000" w:rsidDel="00000000" w:rsidP="00000000" w:rsidRDefault="00000000" w:rsidRPr="00000000" w14:paraId="00000145">
      <w:pPr>
        <w:shd w:fill="ffffff" w:val="clea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Suscribir convenios con la Federación, las entidades federativas y otros municipios para ejercer funciones coordinadas en materia de seguridad pública y vialidad; </w:t>
      </w:r>
    </w:p>
    <w:p w:rsidR="00000000" w:rsidDel="00000000" w:rsidP="00000000" w:rsidRDefault="00000000" w:rsidRPr="00000000" w14:paraId="00000146">
      <w:pPr>
        <w:shd w:fill="ffffff" w:val="clea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Suscribir convenios de coordinación y colaboración con el Gobierno del Estado de México, a través de la Secretaría de Seguridad y con otros municipios, con el fin de establecer acciones coordinadas con la Policía Estatal, así como para quienes sean designados mandos municipales, sean evaluados, capacitados y certificados conforme al programa de capacitación del Sistema Nacional de Seguridad Pública; </w:t>
      </w:r>
    </w:p>
    <w:p w:rsidR="00000000" w:rsidDel="00000000" w:rsidP="00000000" w:rsidRDefault="00000000" w:rsidRPr="00000000" w14:paraId="00000147">
      <w:pPr>
        <w:shd w:fill="ffffff" w:val="clea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Establecer vínculos permanentes con organizaciones sociales y, en general, con las y los habitantes del Municipio, para la detección de los problemas y fenómenos sociales que los aquejan en materia de seguridad pública y vialidad; VI. Emitir las disposiciones relativas a la regulación de seguridad pública, así como de vialidad en el territorio municipal; </w:t>
      </w:r>
    </w:p>
    <w:p w:rsidR="00000000" w:rsidDel="00000000" w:rsidP="00000000" w:rsidRDefault="00000000" w:rsidRPr="00000000" w14:paraId="00000148">
      <w:pPr>
        <w:shd w:fill="ffffff" w:val="clea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Coadyuvar con las autoridades federales y estatales, en el ámbito de sus atribuciones, en la prevención, combate y persecución de los delitos; </w:t>
      </w:r>
    </w:p>
    <w:p w:rsidR="00000000" w:rsidDel="00000000" w:rsidP="00000000" w:rsidRDefault="00000000" w:rsidRPr="00000000" w14:paraId="00000149">
      <w:pPr>
        <w:shd w:fill="ffffff" w:val="clea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Promover la participación de los distintos sectores de la población, en la búsqueda de soluciones a la problemática de seguridad pública y vialidad; </w:t>
      </w:r>
    </w:p>
    <w:p w:rsidR="00000000" w:rsidDel="00000000" w:rsidP="00000000" w:rsidRDefault="00000000" w:rsidRPr="00000000" w14:paraId="0000014A">
      <w:pPr>
        <w:shd w:fill="ffffff" w:val="clea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Procurar el acercamiento de la comunidad con la policía, a fin de propiciar una mayor comprensión y participación ciudadana en las funciones que desarrollan; </w:t>
      </w:r>
    </w:p>
    <w:p w:rsidR="00000000" w:rsidDel="00000000" w:rsidP="00000000" w:rsidRDefault="00000000" w:rsidRPr="00000000" w14:paraId="0000014B">
      <w:pPr>
        <w:shd w:fill="ffffff" w:val="clea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 Elaborar el programa municipal de prevención social de la violencia y la delincuencia con participación ciudadana; </w:t>
      </w:r>
    </w:p>
    <w:p w:rsidR="00000000" w:rsidDel="00000000" w:rsidP="00000000" w:rsidRDefault="00000000" w:rsidRPr="00000000" w14:paraId="0000014C">
      <w:pPr>
        <w:shd w:fill="ffffff" w:val="clea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 Formular estrategias y programas apoyados en la técnica policial, tendentes a la prevención e inhibición de las conductas antisociales y de los delitos, así como propiciar el mutuo respeto entre la ciudadanía y los elementos de seguridad pública; </w:t>
      </w:r>
    </w:p>
    <w:p w:rsidR="00000000" w:rsidDel="00000000" w:rsidP="00000000" w:rsidRDefault="00000000" w:rsidRPr="00000000" w14:paraId="0000014D">
      <w:pPr>
        <w:shd w:fill="ffffff" w:val="clea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XII. Promover la formación y difusión de una cultura integral de convivencia armónica y pacífica; </w:t>
      </w:r>
    </w:p>
    <w:p w:rsidR="00000000" w:rsidDel="00000000" w:rsidP="00000000" w:rsidRDefault="00000000" w:rsidRPr="00000000" w14:paraId="0000014E">
      <w:pPr>
        <w:shd w:fill="ffffff" w:val="clea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XIII. Organizar la participación vecinal para la prevención de infracciones, coadyuvando con los sistemas electrónicos de alarmas vecinales que apoyen en la vigilancia, disuasión, esclarecimiento y/o comprobación de faltas administrativas o delitos; </w:t>
      </w:r>
    </w:p>
    <w:p w:rsidR="00000000" w:rsidDel="00000000" w:rsidP="00000000" w:rsidRDefault="00000000" w:rsidRPr="00000000" w14:paraId="0000014F">
      <w:pPr>
        <w:shd w:fill="ffffff" w:val="clea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XIV. Normar, supervisar y operar el Centro de Control y Comando (C-2), así como la red de semaforización, con la finalidad de mejorar el desempeño de los elementos de Seguridad Pública Municipal, mediante la red de video vigilancia Municipal;</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50">
      <w:pPr>
        <w:shd w:fill="ffffff" w:val="clea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 Dotar a los elementos de la Dirección de Seguridad Pública Municipal, de los recursos materiales suficientes para que realicen sus funciones; </w:t>
      </w:r>
    </w:p>
    <w:p w:rsidR="00000000" w:rsidDel="00000000" w:rsidP="00000000" w:rsidRDefault="00000000" w:rsidRPr="00000000" w14:paraId="00000151">
      <w:pPr>
        <w:shd w:fill="ffffff" w:val="clea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XVI. Realizar programas tendentes a la profesionalización de los integrantes de los cuerpos de seguridad pública; </w:t>
      </w:r>
    </w:p>
    <w:p w:rsidR="00000000" w:rsidDel="00000000" w:rsidP="00000000" w:rsidRDefault="00000000" w:rsidRPr="00000000" w14:paraId="00000152">
      <w:pPr>
        <w:shd w:fill="ffffff" w:val="clea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XVII. Llevar registro y estadística de incidencia delictiva</w:t>
      </w:r>
      <w:r w:rsidDel="00000000" w:rsidR="00000000" w:rsidRPr="00000000">
        <w:rPr>
          <w:rFonts w:ascii="Palatino Linotype" w:cs="Palatino Linotype" w:eastAsia="Palatino Linotype" w:hAnsi="Palatino Linotype"/>
          <w:b w:val="1"/>
          <w:i w:val="1"/>
          <w:sz w:val="22"/>
          <w:szCs w:val="22"/>
          <w:rtl w:val="0"/>
        </w:rPr>
        <w:t xml:space="preserve"> o faltas administrativas y reincidencia para que en coordinación con autoridades federales, estatales y municipales se establezcan políticas o procesos de prevención y combate al delito;</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53">
      <w:pPr>
        <w:shd w:fill="ffffff" w:val="clea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XVIII. Contar con una línea telefónica de emergencia que permita atender oportunamente las llamadas telefónicas de auxilio; </w:t>
      </w:r>
    </w:p>
    <w:p w:rsidR="00000000" w:rsidDel="00000000" w:rsidP="00000000" w:rsidRDefault="00000000" w:rsidRPr="00000000" w14:paraId="00000154">
      <w:pPr>
        <w:shd w:fill="ffffff" w:val="clea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XIX. Contar con un programa que promueva y fomente la educación vial y la seguridad integral de la población, en especial en la niñez y adolescencia; </w:t>
      </w:r>
    </w:p>
    <w:p w:rsidR="00000000" w:rsidDel="00000000" w:rsidP="00000000" w:rsidRDefault="00000000" w:rsidRPr="00000000" w14:paraId="00000155">
      <w:pPr>
        <w:shd w:fill="ffffff" w:val="clea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 Realizar estudios y proyectos anuales, con el fin de eficientar la circulación y movilidad vehicular y salvaguardar la seguridad de las personas; XXI. Remitir a los conductores y vehículos que infrinjan las disposiciones del Reglamento de Tránsito del Estado de México y del presente Bando, ante la autoridad competente; </w:t>
      </w:r>
    </w:p>
    <w:p w:rsidR="00000000" w:rsidDel="00000000" w:rsidP="00000000" w:rsidRDefault="00000000" w:rsidRPr="00000000" w14:paraId="00000156">
      <w:pPr>
        <w:shd w:fill="ffffff" w:val="clea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XXII. Vigilar y verificar que los conductores de vehículos particulares y de servicio público que circulan en las vías públicas e infraestructura de jurisdicción municipal, cumplan con sus obligaciones de seguridad personal, salud pública en casos de emergencia sanitaria y las demás disposiciones legales aplicables; </w:t>
      </w:r>
    </w:p>
    <w:p w:rsidR="00000000" w:rsidDel="00000000" w:rsidP="00000000" w:rsidRDefault="00000000" w:rsidRPr="00000000" w14:paraId="00000157">
      <w:pPr>
        <w:shd w:fill="ffffff" w:val="clea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XXIII. Vigilar que las paradas de autobuses del transporte público de pasajeros se realicen exclusivamente en los lugares autorizados, evitando en todo momento obstruir los accesos de peatones y rampas para personas con alguna discapacidad; </w:t>
      </w:r>
    </w:p>
    <w:p w:rsidR="00000000" w:rsidDel="00000000" w:rsidP="00000000" w:rsidRDefault="00000000" w:rsidRPr="00000000" w14:paraId="00000158">
      <w:pPr>
        <w:shd w:fill="ffffff" w:val="clea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XXIV. Instalar, dar mantenimiento y en su caso reponer los señalamientos viales horizontales y verticales; </w:t>
      </w:r>
    </w:p>
    <w:p w:rsidR="00000000" w:rsidDel="00000000" w:rsidP="00000000" w:rsidRDefault="00000000" w:rsidRPr="00000000" w14:paraId="00000159">
      <w:pPr>
        <w:shd w:fill="ffffff" w:val="clea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XXV. Ejecutar acciones y programas tendentes a la prevención de accidentes provocados por consumo de bebidas alcohólicas, drogas o enervantes; </w:t>
      </w:r>
    </w:p>
    <w:p w:rsidR="00000000" w:rsidDel="00000000" w:rsidP="00000000" w:rsidRDefault="00000000" w:rsidRPr="00000000" w14:paraId="0000015A">
      <w:pPr>
        <w:shd w:fill="ffffff" w:val="clea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XXVI. Administrar y mantener en operación y en condiciones el área de retención municipal; </w:t>
      </w:r>
    </w:p>
    <w:p w:rsidR="00000000" w:rsidDel="00000000" w:rsidP="00000000" w:rsidRDefault="00000000" w:rsidRPr="00000000" w14:paraId="0000015B">
      <w:pPr>
        <w:shd w:fill="ffffff" w:val="clea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XXVII. Poner a disposición del Juez Cívico a quienes infrinjan disposiciones de carácter administrativo, contempladas en la Ley de Justicia Cívica del Estado de México y sus Municipios, el Bando Municipal, reglamentos y demás disposiciones, sujetos a calificación; </w:t>
      </w:r>
    </w:p>
    <w:p w:rsidR="00000000" w:rsidDel="00000000" w:rsidP="00000000" w:rsidRDefault="00000000" w:rsidRPr="00000000" w14:paraId="0000015C">
      <w:pPr>
        <w:shd w:fill="ffffff" w:val="clea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XXVIII. Asegurar y remitir a los infractores de disposiciones administrativas al área de retención municipal, priorizando que en caso de que el infractor sea mujer, la función sea realizada por elementos femeninos cuando esta acción sea posible derivado de las acciones realizadas en el lugar; </w:t>
      </w:r>
    </w:p>
    <w:p w:rsidR="00000000" w:rsidDel="00000000" w:rsidP="00000000" w:rsidRDefault="00000000" w:rsidRPr="00000000" w14:paraId="0000015D">
      <w:pPr>
        <w:shd w:fill="ffffff" w:val="clea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XXIX. Solicitar la intervención de los servicios especializados, para el salvamento de personas en accidentes de tránsito, derrumbes, desbarrancamientos, precipitaciones a pozos, ríos, lagunas, zanjas y lugares profundos, así como de aquellos que se encuentren en inminente peligro de perder la vida o sufrir lesiones, cuando exista o pudiera existir intoxicación o asfixia, de acuerdo con los protocolos de actuación aplicables al caso; </w:t>
      </w:r>
    </w:p>
    <w:p w:rsidR="00000000" w:rsidDel="00000000" w:rsidP="00000000" w:rsidRDefault="00000000" w:rsidRPr="00000000" w14:paraId="0000015E">
      <w:pPr>
        <w:shd w:fill="ffffff" w:val="clea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XXX. Solicitar la intervención de los servicios especializados, para atender fugas de gas L. P. o gas natural, en los bienes muebles o inmuebles cuando así se requiera, de acuerdo con los protocolos de actuación aplicables al caso; XXXI. Solicitar la intervención de los servicios especializados, en casos de explosión, en auxilio de la población, de acuerdo con los protocolos de actuación aplicables al caso; </w:t>
      </w:r>
    </w:p>
    <w:p w:rsidR="00000000" w:rsidDel="00000000" w:rsidP="00000000" w:rsidRDefault="00000000" w:rsidRPr="00000000" w14:paraId="0000015F">
      <w:pPr>
        <w:shd w:fill="ffffff" w:val="clea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XXXII. Auxiliar en cualquier desastre que ponga en peligro la integridad física y/o el patrimonio de los vecinos del Municipio, de acuerdo con los protocolos de actuación aplicables al caso; </w:t>
      </w:r>
    </w:p>
    <w:p w:rsidR="00000000" w:rsidDel="00000000" w:rsidP="00000000" w:rsidRDefault="00000000" w:rsidRPr="00000000" w14:paraId="00000160">
      <w:pPr>
        <w:shd w:fill="ffffff" w:val="clea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XXXIII. Proceder cuando sea necesario y justificado por condición de emergencia, necesario para salvaguardar la vida e integridad física de las personas, a la ruptura de cerraduras, puertas o ventanas, paredes o muros de cualquier bien inmueble y/o vehículos en los que se registre algún riesgo, siniestro, accidente y/o desastre, de acuerdo con los protocolos de actuación aplicables al caso; </w:t>
      </w:r>
    </w:p>
    <w:p w:rsidR="00000000" w:rsidDel="00000000" w:rsidP="00000000" w:rsidRDefault="00000000" w:rsidRPr="00000000" w14:paraId="00000161">
      <w:pPr>
        <w:shd w:fill="ffffff" w:val="clea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XXXIV. Coordinar con la Coordinación de Protección Civil, las actividades necesarias para la prevención, auxilio y eliminación de riesgos; </w:t>
      </w:r>
    </w:p>
    <w:p w:rsidR="00000000" w:rsidDel="00000000" w:rsidP="00000000" w:rsidRDefault="00000000" w:rsidRPr="00000000" w14:paraId="00000162">
      <w:pPr>
        <w:shd w:fill="ffffff" w:val="clea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XXXV. Coordinar con el Gobierno del Estado de México y el Ayuntamiento de Chapultepec a través de sus diferentes órganos internos el apoyo a las mujeres en razón de los principios específicos aplicables de la integridad física, psíquica y la libertad sexual de la mujer y los miembros de su familia, tal como lo señala la Ley de Acceso a las Mujeres a una Vida Libre de Violencia del Estado de México y su Reglamento; </w:t>
      </w:r>
    </w:p>
    <w:p w:rsidR="00000000" w:rsidDel="00000000" w:rsidP="00000000" w:rsidRDefault="00000000" w:rsidRPr="00000000" w14:paraId="00000163">
      <w:pPr>
        <w:shd w:fill="ffffff" w:val="clea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XXXVI. Realizar requerimientos para el caso de vehículos en estado de abandono en vía pública o espacios públicos, y en caso de omisión ponerlos a disposición del Juzgado Cívico; </w:t>
      </w:r>
    </w:p>
    <w:p w:rsidR="00000000" w:rsidDel="00000000" w:rsidP="00000000" w:rsidRDefault="00000000" w:rsidRPr="00000000" w14:paraId="00000164">
      <w:pPr>
        <w:shd w:fill="ffffff" w:val="clea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XXXVII. Remitir los vehículos en estado de abandono de manera inmediata ante la autoridad competente, cuando estos constituyan un riesgo a la población en casos de emergencia; y </w:t>
      </w:r>
    </w:p>
    <w:p w:rsidR="00000000" w:rsidDel="00000000" w:rsidP="00000000" w:rsidRDefault="00000000" w:rsidRPr="00000000" w14:paraId="00000165">
      <w:pPr>
        <w:shd w:fill="ffffff" w:val="clea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XXXVIII. Las demás que señalen la Ley de Justicia Cívica del Estado de México y sus Municipios, la Ley Orgánica Municipal y otros ordenamientos legales aplicables…”</w:t>
      </w:r>
    </w:p>
    <w:p w:rsidR="00000000" w:rsidDel="00000000" w:rsidP="00000000" w:rsidRDefault="00000000" w:rsidRPr="00000000" w14:paraId="00000166">
      <w:pPr>
        <w:shd w:fill="ffffff" w:val="clear"/>
        <w:ind w:left="993" w:right="104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67">
      <w:pPr>
        <w:pBdr>
          <w:top w:space="0" w:sz="0" w:val="nil"/>
          <w:left w:space="0" w:sz="0" w:val="nil"/>
          <w:bottom w:space="0" w:sz="0" w:val="nil"/>
          <w:right w:space="0" w:sz="0" w:val="nil"/>
          <w:between w:space="0" w:sz="0" w:val="nil"/>
        </w:pBdr>
        <w:spacing w:after="1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Dirección de Seguridad Pública Municipal, que le corresponde la prevención de la comisión de cualquier delito, normar, supervisar y operar el Centro de Control y Comando (C-2) y llevar registro y estadística de incidencia.</w:t>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after="1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en lo que respecta al número de cámaras que fueron integradas al C2, se colige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 su Dirección Seguridad Pública Municipal de tiene las atribuciones para conocer el número de cámaras con las que cuenta el C2. </w:t>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after="1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consecuencia de todo lo anterior, se determina que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careció de los principios de congruencia y exhaustividad, como refuerzo de lo anterior, resulta crucial el Criterio 02/17, emitido por el Pleno del Instituto Nacional de Transparencia y Acceso a la Información y Protección de Datos Personales, de título y texto siguientes:</w:t>
      </w:r>
    </w:p>
    <w:p w:rsidR="00000000" w:rsidDel="00000000" w:rsidP="00000000" w:rsidRDefault="00000000" w:rsidRPr="00000000" w14:paraId="0000016A">
      <w:pPr>
        <w:spacing w:after="240" w:before="8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“Congruencia y exhaustividad. Sus alcances para garantizar el derecho de acceso a la información. </w:t>
      </w:r>
      <w:r w:rsidDel="00000000" w:rsidR="00000000" w:rsidRPr="00000000">
        <w:rPr>
          <w:rFonts w:ascii="Palatino Linotype" w:cs="Palatino Linotype" w:eastAsia="Palatino Linotype" w:hAnsi="Palatino Linotype"/>
          <w:i w:val="1"/>
          <w:sz w:val="22"/>
          <w:szCs w:val="22"/>
          <w:rtl w:val="0"/>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Del="00000000" w:rsidR="00000000" w:rsidRPr="00000000">
        <w:rPr>
          <w:rFonts w:ascii="Palatino Linotype" w:cs="Palatino Linotype" w:eastAsia="Palatino Linotype" w:hAnsi="Palatino Linotype"/>
          <w:b w:val="1"/>
          <w:i w:val="1"/>
          <w:sz w:val="22"/>
          <w:szCs w:val="22"/>
          <w:rtl w:val="0"/>
        </w:rPr>
        <w:t xml:space="preserve">la congruencia implica que exista concordancia entre el requerimiento formulado por el particular y la respuesta proporcionada por el sujeto obligado</w:t>
      </w:r>
      <w:r w:rsidDel="00000000" w:rsidR="00000000" w:rsidRPr="00000000">
        <w:rPr>
          <w:rFonts w:ascii="Palatino Linotype" w:cs="Palatino Linotype" w:eastAsia="Palatino Linotype" w:hAnsi="Palatino Linotype"/>
          <w:i w:val="1"/>
          <w:sz w:val="22"/>
          <w:szCs w:val="22"/>
          <w:rtl w:val="0"/>
        </w:rPr>
        <w:t xml:space="preserve">; mientras que </w:t>
      </w:r>
      <w:r w:rsidDel="00000000" w:rsidR="00000000" w:rsidRPr="00000000">
        <w:rPr>
          <w:rFonts w:ascii="Palatino Linotype" w:cs="Palatino Linotype" w:eastAsia="Palatino Linotype" w:hAnsi="Palatino Linotype"/>
          <w:b w:val="1"/>
          <w:i w:val="1"/>
          <w:sz w:val="22"/>
          <w:szCs w:val="22"/>
          <w:rtl w:val="0"/>
        </w:rPr>
        <w:t xml:space="preserve">la exhaustividad significa que dicha respuesta se refiera expresamente a cada uno de los puntos solicitados</w:t>
      </w:r>
      <w:r w:rsidDel="00000000" w:rsidR="00000000" w:rsidRPr="00000000">
        <w:rPr>
          <w:rFonts w:ascii="Palatino Linotype" w:cs="Palatino Linotype" w:eastAsia="Palatino Linotype" w:hAnsi="Palatino Linotype"/>
          <w:i w:val="1"/>
          <w:sz w:val="22"/>
          <w:szCs w:val="22"/>
          <w:rtl w:val="0"/>
        </w:rPr>
        <w:t xml:space="preserve">. Por lo anterior, los sujetos obligados cumplirán con los principios de congruencia y exhaustividad, cuando las respuestas que emitan guarden una relación lógica con lo solicitado y atiendan de manera puntual y expresa, cada uno de los contenidos de información.” (Sic)</w:t>
      </w:r>
    </w:p>
    <w:p w:rsidR="00000000" w:rsidDel="00000000" w:rsidP="00000000" w:rsidRDefault="00000000" w:rsidRPr="00000000" w14:paraId="0000016B">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lo procedente es ordenar el documento o documentos en  donde conste las localidades de mayor incidencia delictiva, el número de cámaras de video vigilancia, el número de cámaras que fueron integradas al C2  y el costo de las cámaras de video vigilancia y el equipo aéreo de video vigilancia, en versión pública de ser procedente conforme a lo señalado en el considerando quinto del presente fallo. </w:t>
      </w:r>
    </w:p>
    <w:p w:rsidR="00000000" w:rsidDel="00000000" w:rsidP="00000000" w:rsidRDefault="00000000" w:rsidRPr="00000000" w14:paraId="0000016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Versión Pública. </w:t>
      </w:r>
      <w:r w:rsidDel="00000000" w:rsidR="00000000" w:rsidRPr="00000000">
        <w:rPr>
          <w:rFonts w:ascii="Palatino Linotype" w:cs="Palatino Linotype" w:eastAsia="Palatino Linotype" w:hAnsi="Palatino Linotype"/>
          <w:rtl w:val="0"/>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sin menoscabar el derecho a la protección de los datos personales de terceros.</w:t>
      </w:r>
    </w:p>
    <w:p w:rsidR="00000000" w:rsidDel="00000000" w:rsidP="00000000" w:rsidRDefault="00000000" w:rsidRPr="00000000" w14:paraId="0000016D">
      <w:pPr>
        <w:spacing w:after="240" w:before="24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de conformidad a lo que señalan los artículos 3, fracciones IX, XX, XXXII, XLV; 6, 137 y 143 fracción I, de la Ley de Transparencia y Acceso a la Información Pública del Estado de México y Municipios vigente, que se leen como sigue:</w:t>
      </w:r>
    </w:p>
    <w:p w:rsidR="00000000" w:rsidDel="00000000" w:rsidP="00000000" w:rsidRDefault="00000000" w:rsidRPr="00000000" w14:paraId="0000016E">
      <w:pPr>
        <w:ind w:left="993" w:right="104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“Artículo 3. Para los efectos de la presente Ley se entenderá por:</w:t>
      </w:r>
    </w:p>
    <w:p w:rsidR="00000000" w:rsidDel="00000000" w:rsidP="00000000" w:rsidRDefault="00000000" w:rsidRPr="00000000" w14:paraId="0000016F">
      <w:pP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información concerniente a una persona, identificada o identificable</w:t>
      </w:r>
      <w:r w:rsidDel="00000000" w:rsidR="00000000" w:rsidRPr="00000000">
        <w:rPr>
          <w:rFonts w:ascii="Palatino Linotype" w:cs="Palatino Linotype" w:eastAsia="Palatino Linotype" w:hAnsi="Palatino Linotype"/>
          <w:i w:val="1"/>
          <w:sz w:val="22"/>
          <w:szCs w:val="22"/>
          <w:rtl w:val="0"/>
        </w:rPr>
        <w:t xml:space="preserve"> según lo dispuesto por la Ley de Protección de Datos Personales del Estado de México;</w:t>
      </w:r>
    </w:p>
    <w:p w:rsidR="00000000" w:rsidDel="00000000" w:rsidP="00000000" w:rsidRDefault="00000000" w:rsidRPr="00000000" w14:paraId="00000170">
      <w:pP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 Información clasificada:</w:t>
      </w:r>
      <w:r w:rsidDel="00000000" w:rsidR="00000000" w:rsidRPr="00000000">
        <w:rPr>
          <w:rFonts w:ascii="Palatino Linotype" w:cs="Palatino Linotype" w:eastAsia="Palatino Linotype" w:hAnsi="Palatino Linotype"/>
          <w:i w:val="1"/>
          <w:sz w:val="22"/>
          <w:szCs w:val="22"/>
          <w:rtl w:val="0"/>
        </w:rPr>
        <w:t xml:space="preserve"> Aquella considerada por la presente Ley como reservada o confidencial;</w:t>
      </w:r>
    </w:p>
    <w:p w:rsidR="00000000" w:rsidDel="00000000" w:rsidP="00000000" w:rsidRDefault="00000000" w:rsidRPr="00000000" w14:paraId="00000171">
      <w:pP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XXXII. Protección de Datos Personales:</w:t>
      </w:r>
      <w:r w:rsidDel="00000000" w:rsidR="00000000" w:rsidRPr="00000000">
        <w:rPr>
          <w:rFonts w:ascii="Palatino Linotype" w:cs="Palatino Linotype" w:eastAsia="Palatino Linotype" w:hAnsi="Palatino Linotype"/>
          <w:i w:val="1"/>
          <w:sz w:val="22"/>
          <w:szCs w:val="22"/>
          <w:rtl w:val="0"/>
        </w:rPr>
        <w:t xml:space="preserve"> Derecho humano que tutela la privacidad de datos personales en poder de los sujetos obligados y sujetos particulares;</w:t>
      </w:r>
    </w:p>
    <w:p w:rsidR="00000000" w:rsidDel="00000000" w:rsidP="00000000" w:rsidRDefault="00000000" w:rsidRPr="00000000" w14:paraId="00000172">
      <w:pP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 Versión pública</w:t>
      </w:r>
      <w:r w:rsidDel="00000000" w:rsidR="00000000" w:rsidRPr="00000000">
        <w:rPr>
          <w:rFonts w:ascii="Palatino Linotype" w:cs="Palatino Linotype" w:eastAsia="Palatino Linotype" w:hAnsi="Palatino Linotype"/>
          <w:i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173">
      <w:pPr>
        <w:ind w:left="993" w:right="104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74">
      <w:pP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w:t>
      </w:r>
      <w:r w:rsidDel="00000000" w:rsidR="00000000" w:rsidRPr="00000000">
        <w:rPr>
          <w:rFonts w:ascii="Palatino Linotype" w:cs="Palatino Linotype" w:eastAsia="Palatino Linotype" w:hAnsi="Palatino Linotype"/>
          <w:i w:val="1"/>
          <w:sz w:val="22"/>
          <w:szCs w:val="22"/>
          <w:rtl w:val="0"/>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000000" w:rsidDel="00000000" w:rsidP="00000000" w:rsidRDefault="00000000" w:rsidRPr="00000000" w14:paraId="00000175">
      <w:pPr>
        <w:ind w:left="993" w:right="104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76">
      <w:pPr>
        <w:ind w:left="993" w:right="104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137.</w:t>
      </w:r>
      <w:r w:rsidDel="00000000" w:rsidR="00000000" w:rsidRPr="00000000">
        <w:rPr>
          <w:rFonts w:ascii="Palatino Linotype" w:cs="Palatino Linotype" w:eastAsia="Palatino Linotype" w:hAnsi="Palatino Linotype"/>
          <w:i w:val="1"/>
          <w:sz w:val="22"/>
          <w:szCs w:val="22"/>
          <w:rtl w:val="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r w:rsidDel="00000000" w:rsidR="00000000" w:rsidRPr="00000000">
        <w:rPr>
          <w:rtl w:val="0"/>
        </w:rPr>
      </w:r>
    </w:p>
    <w:p w:rsidR="00000000" w:rsidDel="00000000" w:rsidP="00000000" w:rsidRDefault="00000000" w:rsidRPr="00000000" w14:paraId="00000177">
      <w:pPr>
        <w:ind w:left="993" w:right="104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78">
      <w:pP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79">
      <w:pP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refiera a la información privada y los datos personales concernientes a una persona física o jurídica colectiva identificada o identificable;</w:t>
      </w:r>
    </w:p>
    <w:p w:rsidR="00000000" w:rsidDel="00000000" w:rsidP="00000000" w:rsidRDefault="00000000" w:rsidRPr="00000000" w14:paraId="0000017A">
      <w:pP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17B">
      <w:pP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que presenten los particulares a los sujetos obligados, de conformidad con lo dispuesto por las leyes o los tratados internacionales.” (Sic)</w:t>
      </w:r>
    </w:p>
    <w:p w:rsidR="00000000" w:rsidDel="00000000" w:rsidP="00000000" w:rsidRDefault="00000000" w:rsidRPr="00000000" w14:paraId="0000017C">
      <w:pPr>
        <w:ind w:left="993" w:right="104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7D">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000000" w:rsidDel="00000000" w:rsidP="00000000" w:rsidRDefault="00000000" w:rsidRPr="00000000" w14:paraId="0000017E">
      <w:pPr>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F">
      <w:pPr>
        <w:spacing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000000" w:rsidDel="00000000" w:rsidP="00000000" w:rsidRDefault="00000000" w:rsidRPr="00000000" w14:paraId="00000180">
      <w:pPr>
        <w:spacing w:line="360" w:lineRule="auto"/>
        <w:ind w:right="5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1">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000000" w:rsidDel="00000000" w:rsidP="00000000" w:rsidRDefault="00000000" w:rsidRPr="00000000" w14:paraId="00000182">
      <w:pPr>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3">
      <w:pPr>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49.</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 Comités de Transparencia</w:t>
      </w:r>
      <w:r w:rsidDel="00000000" w:rsidR="00000000" w:rsidRPr="00000000">
        <w:rPr>
          <w:rFonts w:ascii="Palatino Linotype" w:cs="Palatino Linotype" w:eastAsia="Palatino Linotype" w:hAnsi="Palatino Linotype"/>
          <w:i w:val="1"/>
          <w:sz w:val="22"/>
          <w:szCs w:val="22"/>
          <w:rtl w:val="0"/>
        </w:rPr>
        <w:t xml:space="preserve"> tendrán las siguientes atribuciones:</w:t>
      </w:r>
    </w:p>
    <w:p w:rsidR="00000000" w:rsidDel="00000000" w:rsidP="00000000" w:rsidRDefault="00000000" w:rsidRPr="00000000" w14:paraId="00000184">
      <w:pPr>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 Aprobar, modificar o revocar la clasificación de la información</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85">
      <w:pPr>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53.</w:t>
      </w:r>
      <w:r w:rsidDel="00000000" w:rsidR="00000000" w:rsidRPr="00000000">
        <w:rPr>
          <w:rFonts w:ascii="Palatino Linotype" w:cs="Palatino Linotype" w:eastAsia="Palatino Linotype" w:hAnsi="Palatino Linotype"/>
          <w:i w:val="1"/>
          <w:sz w:val="22"/>
          <w:szCs w:val="22"/>
          <w:rtl w:val="0"/>
        </w:rPr>
        <w:t xml:space="preserve"> Las </w:t>
      </w:r>
      <w:r w:rsidDel="00000000" w:rsidR="00000000" w:rsidRPr="00000000">
        <w:rPr>
          <w:rFonts w:ascii="Palatino Linotype" w:cs="Palatino Linotype" w:eastAsia="Palatino Linotype" w:hAnsi="Palatino Linotype"/>
          <w:b w:val="1"/>
          <w:i w:val="1"/>
          <w:sz w:val="22"/>
          <w:szCs w:val="22"/>
          <w:rtl w:val="0"/>
        </w:rPr>
        <w:t xml:space="preserve">Unidades de Transparencia</w:t>
      </w:r>
      <w:r w:rsidDel="00000000" w:rsidR="00000000" w:rsidRPr="00000000">
        <w:rPr>
          <w:rFonts w:ascii="Palatino Linotype" w:cs="Palatino Linotype" w:eastAsia="Palatino Linotype" w:hAnsi="Palatino Linotype"/>
          <w:i w:val="1"/>
          <w:sz w:val="22"/>
          <w:szCs w:val="22"/>
          <w:rtl w:val="0"/>
        </w:rPr>
        <w:t xml:space="preserve"> tendrán las siguientes </w:t>
      </w:r>
      <w:r w:rsidDel="00000000" w:rsidR="00000000" w:rsidRPr="00000000">
        <w:rPr>
          <w:rFonts w:ascii="Palatino Linotype" w:cs="Palatino Linotype" w:eastAsia="Palatino Linotype" w:hAnsi="Palatino Linotype"/>
          <w:b w:val="1"/>
          <w:i w:val="1"/>
          <w:sz w:val="22"/>
          <w:szCs w:val="22"/>
          <w:rtl w:val="0"/>
        </w:rPr>
        <w:t xml:space="preserve">funciones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86">
      <w:pPr>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 Presentar ante el Comité, el proyecto de clasificación de información</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87">
      <w:pPr>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59.</w:t>
      </w:r>
      <w:r w:rsidDel="00000000" w:rsidR="00000000" w:rsidRPr="00000000">
        <w:rPr>
          <w:rFonts w:ascii="Palatino Linotype" w:cs="Palatino Linotype" w:eastAsia="Palatino Linotype" w:hAnsi="Palatino Linotype"/>
          <w:i w:val="1"/>
          <w:sz w:val="22"/>
          <w:szCs w:val="22"/>
          <w:rtl w:val="0"/>
        </w:rPr>
        <w:t xml:space="preserve"> Los </w:t>
      </w:r>
      <w:r w:rsidDel="00000000" w:rsidR="00000000" w:rsidRPr="00000000">
        <w:rPr>
          <w:rFonts w:ascii="Palatino Linotype" w:cs="Palatino Linotype" w:eastAsia="Palatino Linotype" w:hAnsi="Palatino Linotype"/>
          <w:b w:val="1"/>
          <w:i w:val="1"/>
          <w:sz w:val="22"/>
          <w:szCs w:val="22"/>
          <w:rtl w:val="0"/>
        </w:rPr>
        <w:t xml:space="preserve">servidores públicos habilitados</w:t>
      </w:r>
      <w:r w:rsidDel="00000000" w:rsidR="00000000" w:rsidRPr="00000000">
        <w:rPr>
          <w:rFonts w:ascii="Palatino Linotype" w:cs="Palatino Linotype" w:eastAsia="Palatino Linotype" w:hAnsi="Palatino Linotype"/>
          <w:i w:val="1"/>
          <w:sz w:val="22"/>
          <w:szCs w:val="22"/>
          <w:rtl w:val="0"/>
        </w:rPr>
        <w:t xml:space="preserve"> tendrán las </w:t>
      </w:r>
      <w:r w:rsidDel="00000000" w:rsidR="00000000" w:rsidRPr="00000000">
        <w:rPr>
          <w:rFonts w:ascii="Palatino Linotype" w:cs="Palatino Linotype" w:eastAsia="Palatino Linotype" w:hAnsi="Palatino Linotype"/>
          <w:b w:val="1"/>
          <w:i w:val="1"/>
          <w:sz w:val="22"/>
          <w:szCs w:val="22"/>
          <w:rtl w:val="0"/>
        </w:rPr>
        <w:t xml:space="preserve">funciones</w:t>
      </w:r>
      <w:r w:rsidDel="00000000" w:rsidR="00000000" w:rsidRPr="00000000">
        <w:rPr>
          <w:rFonts w:ascii="Palatino Linotype" w:cs="Palatino Linotype" w:eastAsia="Palatino Linotype" w:hAnsi="Palatino Linotype"/>
          <w:i w:val="1"/>
          <w:sz w:val="22"/>
          <w:szCs w:val="22"/>
          <w:rtl w:val="0"/>
        </w:rPr>
        <w:t xml:space="preserve"> siguientes:</w:t>
      </w:r>
    </w:p>
    <w:p w:rsidR="00000000" w:rsidDel="00000000" w:rsidP="00000000" w:rsidRDefault="00000000" w:rsidRPr="00000000" w14:paraId="00000188">
      <w:pPr>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Integrar y presentar al responsable de la Unidad de Transparencia la propuesta de clasificación de información</w:t>
      </w:r>
      <w:r w:rsidDel="00000000" w:rsidR="00000000" w:rsidRPr="00000000">
        <w:rPr>
          <w:rFonts w:ascii="Palatino Linotype" w:cs="Palatino Linotype" w:eastAsia="Palatino Linotype" w:hAnsi="Palatino Linotype"/>
          <w:i w:val="1"/>
          <w:sz w:val="22"/>
          <w:szCs w:val="22"/>
          <w:rtl w:val="0"/>
        </w:rPr>
        <w:t xml:space="preserve">, la cual tendrá los fundamentos y argumentos en que se basa dicha propuesta…”(Sic)</w:t>
      </w:r>
    </w:p>
    <w:p w:rsidR="00000000" w:rsidDel="00000000" w:rsidP="00000000" w:rsidRDefault="00000000" w:rsidRPr="00000000" w14:paraId="00000189">
      <w:pPr>
        <w:ind w:left="992" w:right="1043"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8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esta presente ante al Comité de Transparencia de así resultar procedente el proyecto de clasificación de la información y finalmente sea éste último quien apruebe, modifique o revoque la clasificación de la información solicitada.</w:t>
      </w:r>
    </w:p>
    <w:p w:rsidR="00000000" w:rsidDel="00000000" w:rsidP="00000000" w:rsidRDefault="00000000" w:rsidRPr="00000000" w14:paraId="0000018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lo cual, a su vez en el caso de información de carácter confidencial, se debe atender a lo que señala el artículo 149 de la Ley de Transparencia Local vigente, que se lee como sigue:</w:t>
      </w:r>
    </w:p>
    <w:p w:rsidR="00000000" w:rsidDel="00000000" w:rsidP="00000000" w:rsidRDefault="00000000" w:rsidRPr="00000000" w14:paraId="0000018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E">
      <w:pPr>
        <w:spacing w:after="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149.</w:t>
      </w:r>
      <w:r w:rsidDel="00000000" w:rsidR="00000000" w:rsidRPr="00000000">
        <w:rPr>
          <w:rFonts w:ascii="Palatino Linotype" w:cs="Palatino Linotype" w:eastAsia="Palatino Linotype" w:hAnsi="Palatino Linotype"/>
          <w:i w:val="1"/>
          <w:sz w:val="22"/>
          <w:szCs w:val="22"/>
          <w:rtl w:val="0"/>
        </w:rPr>
        <w:t xml:space="preserve"> El </w:t>
      </w:r>
      <w:r w:rsidDel="00000000" w:rsidR="00000000" w:rsidRPr="00000000">
        <w:rPr>
          <w:rFonts w:ascii="Palatino Linotype" w:cs="Palatino Linotype" w:eastAsia="Palatino Linotype" w:hAnsi="Palatino Linotype"/>
          <w:b w:val="1"/>
          <w:i w:val="1"/>
          <w:sz w:val="22"/>
          <w:szCs w:val="22"/>
          <w:rtl w:val="0"/>
        </w:rPr>
        <w:t xml:space="preserve">acuerdo que clasifique la información como confidencial</w:t>
      </w:r>
      <w:r w:rsidDel="00000000" w:rsidR="00000000" w:rsidRPr="00000000">
        <w:rPr>
          <w:rFonts w:ascii="Palatino Linotype" w:cs="Palatino Linotype" w:eastAsia="Palatino Linotype" w:hAnsi="Palatino Linotype"/>
          <w:i w:val="1"/>
          <w:sz w:val="22"/>
          <w:szCs w:val="22"/>
          <w:rtl w:val="0"/>
        </w:rPr>
        <w:t xml:space="preserve"> deberá contener un razonamiento lógico en el que demuestre que la información se encuentra en alguna o algunas de las hipótesis previstas en la presente Ley.”</w:t>
      </w:r>
    </w:p>
    <w:p w:rsidR="00000000" w:rsidDel="00000000" w:rsidP="00000000" w:rsidRDefault="00000000" w:rsidRPr="00000000" w14:paraId="0000018F">
      <w:pPr>
        <w:spacing w:before="240" w:line="360" w:lineRule="auto"/>
        <w:ind w:right="51"/>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90">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000000" w:rsidDel="00000000" w:rsidP="00000000" w:rsidRDefault="00000000" w:rsidRPr="00000000" w14:paraId="00000191">
      <w:pPr>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al </w:t>
      </w:r>
      <w:r w:rsidDel="00000000" w:rsidR="00000000" w:rsidRPr="00000000">
        <w:rPr>
          <w:rFonts w:ascii="Palatino Linotype" w:cs="Palatino Linotype" w:eastAsia="Palatino Linotype" w:hAnsi="Palatino Linotype"/>
          <w:b w:val="1"/>
          <w:rtl w:val="0"/>
        </w:rPr>
        <w:t xml:space="preserve">número de cuenta bancaria de los particulares</w:t>
      </w:r>
      <w:r w:rsidDel="00000000" w:rsidR="00000000" w:rsidRPr="00000000">
        <w:rPr>
          <w:rFonts w:ascii="Palatino Linotype" w:cs="Palatino Linotype" w:eastAsia="Palatino Linotype" w:hAnsi="Palatino Linotype"/>
          <w:rtl w:val="0"/>
        </w:rPr>
        <w:t xml:space="preserve"> debe ser clasificado como confidencial con fundamento en las fracciones I y II del artículo 143 de la Ley de la Materia de la Entidad; en razón de que, con su difusión se estaría poniendo en riesgo la seguridad de su titular.</w:t>
      </w:r>
    </w:p>
    <w:p w:rsidR="00000000" w:rsidDel="00000000" w:rsidP="00000000" w:rsidRDefault="00000000" w:rsidRPr="00000000" w14:paraId="00000193">
      <w:pPr>
        <w:spacing w:after="240" w:before="240" w:line="360" w:lineRule="auto"/>
        <w:ind w:right="4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w:t>
      </w:r>
    </w:p>
    <w:p w:rsidR="00000000" w:rsidDel="00000000" w:rsidP="00000000" w:rsidRDefault="00000000" w:rsidRPr="00000000" w14:paraId="00000194">
      <w:pPr>
        <w:spacing w:after="240" w:before="240" w:line="360" w:lineRule="auto"/>
        <w:ind w:right="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encuentra sustento en el criterio 10/17 emitido por el Instituto Nacional de Transparencia y Acceso a la Información Pública del Estado de México y Municipios, que a la letra dicen:</w:t>
      </w:r>
    </w:p>
    <w:p w:rsidR="00000000" w:rsidDel="00000000" w:rsidP="00000000" w:rsidRDefault="00000000" w:rsidRPr="00000000" w14:paraId="00000195">
      <w:pPr>
        <w:spacing w:after="240" w:before="240" w:line="360" w:lineRule="auto"/>
        <w:ind w:right="4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196">
      <w:pPr>
        <w:spacing w:line="276" w:lineRule="auto"/>
        <w:ind w:left="860" w:right="62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Cuentas bancarias y/o CLABE interbancaria de personas físicas y morales privadas.</w:t>
      </w:r>
      <w:r w:rsidDel="00000000" w:rsidR="00000000" w:rsidRPr="00000000">
        <w:rPr>
          <w:rFonts w:ascii="Palatino Linotype" w:cs="Palatino Linotype" w:eastAsia="Palatino Linotype" w:hAnsi="Palatino Linotype"/>
          <w:i w:val="1"/>
          <w:sz w:val="22"/>
          <w:szCs w:val="22"/>
          <w:rtl w:val="0"/>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000000" w:rsidDel="00000000" w:rsidP="00000000" w:rsidRDefault="00000000" w:rsidRPr="00000000" w14:paraId="00000197">
      <w:pPr>
        <w:spacing w:line="360" w:lineRule="auto"/>
        <w:ind w:left="860" w:right="900"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198">
      <w:pPr>
        <w:spacing w:after="240" w:before="240" w:line="360" w:lineRule="auto"/>
        <w:ind w:right="4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por cuanto hace a las cuentas bancarias de los Sujetos obligados, dicha información no puede considerarse como confidencial, pues la difusión de dichas cuentas o clabes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rsidR="00000000" w:rsidDel="00000000" w:rsidP="00000000" w:rsidRDefault="00000000" w:rsidRPr="00000000" w14:paraId="00000199">
      <w:pPr>
        <w:spacing w:after="240" w:before="240" w:lineRule="auto"/>
        <w:ind w:left="566" w:right="77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Cuentas bancarias y/o CLABE interbancaria de sujetos obligados que reciben y/o transfieren recursos públicos, son información pública.</w:t>
      </w:r>
      <w:r w:rsidDel="00000000" w:rsidR="00000000" w:rsidRPr="00000000">
        <w:rPr>
          <w:rFonts w:ascii="Palatino Linotype" w:cs="Palatino Linotype" w:eastAsia="Palatino Linotype" w:hAnsi="Palatino Linotype"/>
          <w:i w:val="1"/>
          <w:sz w:val="22"/>
          <w:szCs w:val="22"/>
          <w:rtl w:val="0"/>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rsidR="00000000" w:rsidDel="00000000" w:rsidP="00000000" w:rsidRDefault="00000000" w:rsidRPr="00000000" w14:paraId="0000019A">
      <w:pPr>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B">
      <w:pPr>
        <w:spacing w:after="240" w:before="24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Sobre el RFC, dada la naturaleza de la información que se ordena, es importante resaltar que, 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w:t>
      </w:r>
    </w:p>
    <w:p w:rsidR="00000000" w:rsidDel="00000000" w:rsidP="00000000" w:rsidRDefault="00000000" w:rsidRPr="00000000" w14:paraId="0000019C">
      <w:pPr>
        <w:spacing w:after="240" w:before="24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el domicilio fiscal, de acuerdo a lo señalado en el artículo 2.21 del Código Civil del Estado de México, el domicilio de las personas morales, es aquel donde se halle su administración, o bien, las sucursales que operen en lugares distintos de donde radica la casa matriz. Además, respecto al domicilio fiscal, resulta necesario traer el artículo 10 del Código Fiscal de la Federación, que establece que tratándose de personas morales, el domicilio fiscal corresponderá al local donde se encuentra la administración principal del negocio. Ahora bien, en el caso de que el domicilio corresponda al lugar donde realiza sus actividades empresariales, como es el caso de las personas morales, se considera necesario traer a colación, los formatos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tal como se muestran a continuación: </w:t>
      </w:r>
    </w:p>
    <w:p w:rsidR="00000000" w:rsidDel="00000000" w:rsidP="00000000" w:rsidRDefault="00000000" w:rsidRPr="00000000" w14:paraId="0000019D">
      <w:pPr>
        <w:spacing w:after="240" w:before="240" w:line="360" w:lineRule="auto"/>
        <w:ind w:right="50"/>
        <w:jc w:val="both"/>
        <w:rPr>
          <w:rFonts w:ascii="Palatino Linotype" w:cs="Palatino Linotype" w:eastAsia="Palatino Linotype" w:hAnsi="Palatino Linotype"/>
        </w:rPr>
      </w:pPr>
      <w:r w:rsidDel="00000000" w:rsidR="00000000" w:rsidRPr="00000000">
        <w:rPr/>
        <w:drawing>
          <wp:inline distB="0" distT="0" distL="0" distR="0">
            <wp:extent cx="5664200" cy="1257300"/>
            <wp:effectExtent b="0" l="0" r="0" t="0"/>
            <wp:docPr id="295" name="image1.png"/>
            <a:graphic>
              <a:graphicData uri="http://schemas.openxmlformats.org/drawingml/2006/picture">
                <pic:pic>
                  <pic:nvPicPr>
                    <pic:cNvPr id="0" name="image1.png"/>
                    <pic:cNvPicPr preferRelativeResize="0"/>
                  </pic:nvPicPr>
                  <pic:blipFill>
                    <a:blip r:embed="rId12"/>
                    <a:srcRect b="14951" l="43210" r="28791" t="71135"/>
                    <a:stretch>
                      <a:fillRect/>
                    </a:stretch>
                  </pic:blipFill>
                  <pic:spPr>
                    <a:xfrm>
                      <a:off x="0" y="0"/>
                      <a:ext cx="5664200" cy="1257300"/>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spacing w:after="240" w:before="24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logra observar, es obligación de transparencia proporcionar el domicilio fiscal de los proveedores, por lo que, se considera que dicho dato, al corresponder a un local o al lugar donde realiza la persona moral sus actividades empresariales, es que guarda la naturaleza de público. De tal suerte que, tratándose de proveedores (jurídico-colectivas), el domicilio fiscal, no actualiza la causal de clasificación, establecida en el artículo 143, fracción I de la Ley de Transparencia y Acceso a la Información Pública del Estado de México y Municipios.</w:t>
      </w:r>
    </w:p>
    <w:p w:rsidR="00000000" w:rsidDel="00000000" w:rsidP="00000000" w:rsidRDefault="00000000" w:rsidRPr="00000000" w14:paraId="0000019F">
      <w:pPr>
        <w:spacing w:after="240" w:before="24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rsidR="00000000" w:rsidDel="00000000" w:rsidP="00000000" w:rsidRDefault="00000000" w:rsidRPr="00000000" w14:paraId="000001A0">
      <w:pPr>
        <w:spacing w:after="240" w:before="24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rsidR="00000000" w:rsidDel="00000000" w:rsidP="00000000" w:rsidRDefault="00000000" w:rsidRPr="00000000" w14:paraId="000001A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se destaca que la versión pública que elabore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Del="00000000" w:rsidR="00000000" w:rsidRPr="00000000">
        <w:rPr>
          <w:rFonts w:ascii="Palatino Linotype" w:cs="Palatino Linotype" w:eastAsia="Palatino Linotype" w:hAnsi="Palatino Linotype"/>
          <w:b w:val="1"/>
          <w:rtl w:val="0"/>
        </w:rPr>
        <w:t xml:space="preserve">LINEAMIENTOS GENERALES EN MATERIA DE CLASIFICACIÓN Y DESCLASIFICACIÓN DE LA INFORMACIÓN, ASÍ COMO PARA LA ELABORACIÓN DE VERSIONES PÚBLICAS</w:t>
      </w:r>
      <w:r w:rsidDel="00000000" w:rsidR="00000000" w:rsidRPr="00000000">
        <w:rPr>
          <w:rFonts w:ascii="Palatino Linotype" w:cs="Palatino Linotype" w:eastAsia="Palatino Linotype" w:hAnsi="Palatino Linotype"/>
          <w:rtl w:val="0"/>
        </w:rPr>
        <w:t xml:space="preserve">,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rsidR="00000000" w:rsidDel="00000000" w:rsidP="00000000" w:rsidRDefault="00000000" w:rsidRPr="00000000" w14:paraId="000001A2">
      <w:pPr>
        <w:ind w:left="709" w:right="709"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A3">
      <w:pPr>
        <w:ind w:left="709" w:right="709" w:firstLine="0"/>
        <w:jc w:val="both"/>
        <w:rPr/>
      </w:pPr>
      <w:r w:rsidDel="00000000" w:rsidR="00000000" w:rsidRPr="00000000">
        <w:rPr>
          <w:rFonts w:ascii="Palatino Linotype" w:cs="Palatino Linotype" w:eastAsia="Palatino Linotype" w:hAnsi="Palatino Linotype"/>
          <w:b w:val="1"/>
          <w:i w:val="1"/>
          <w:sz w:val="22"/>
          <w:szCs w:val="22"/>
          <w:rtl w:val="0"/>
        </w:rPr>
        <w:t xml:space="preserve">“Lineamientos Generales en materia de Clasificación y Desclasificación de la Información, así como para la elaboración de Versiones Públicas</w:t>
      </w:r>
      <w:r w:rsidDel="00000000" w:rsidR="00000000" w:rsidRPr="00000000">
        <w:rPr>
          <w:rtl w:val="0"/>
        </w:rPr>
      </w:r>
    </w:p>
    <w:p w:rsidR="00000000" w:rsidDel="00000000" w:rsidP="00000000" w:rsidRDefault="00000000" w:rsidRPr="00000000" w14:paraId="000001A4">
      <w:pPr>
        <w:ind w:left="709" w:right="709" w:firstLine="0"/>
        <w:jc w:val="both"/>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Segundo.-</w:t>
      </w:r>
      <w:r w:rsidDel="00000000" w:rsidR="00000000" w:rsidRPr="00000000">
        <w:rPr>
          <w:rFonts w:ascii="Palatino Linotype" w:cs="Palatino Linotype" w:eastAsia="Palatino Linotype" w:hAnsi="Palatino Linotype"/>
          <w:i w:val="1"/>
          <w:sz w:val="22"/>
          <w:szCs w:val="22"/>
          <w:rtl w:val="0"/>
        </w:rPr>
        <w:t xml:space="preserve"> Para efectos de los presentes Lineamientos Generales, se entenderá por:</w:t>
      </w:r>
      <w:r w:rsidDel="00000000" w:rsidR="00000000" w:rsidRPr="00000000">
        <w:rPr>
          <w:rtl w:val="0"/>
        </w:rPr>
      </w:r>
    </w:p>
    <w:p w:rsidR="00000000" w:rsidDel="00000000" w:rsidP="00000000" w:rsidRDefault="00000000" w:rsidRPr="00000000" w14:paraId="000001A5">
      <w:pPr>
        <w:ind w:left="709" w:right="709" w:firstLine="0"/>
        <w:jc w:val="both"/>
        <w:rPr/>
      </w:pPr>
      <w:r w:rsidDel="00000000" w:rsidR="00000000" w:rsidRPr="00000000">
        <w:rPr>
          <w:rFonts w:ascii="Palatino Linotype" w:cs="Palatino Linotype" w:eastAsia="Palatino Linotype" w:hAnsi="Palatino Linotype"/>
          <w:b w:val="1"/>
          <w:i w:val="1"/>
          <w:sz w:val="22"/>
          <w:szCs w:val="22"/>
          <w:rtl w:val="0"/>
        </w:rPr>
        <w:t xml:space="preserve">XVIII.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Versión pública:</w:t>
      </w:r>
      <w:r w:rsidDel="00000000" w:rsidR="00000000" w:rsidRPr="00000000">
        <w:rPr>
          <w:rFonts w:ascii="Palatino Linotype" w:cs="Palatino Linotype" w:eastAsia="Palatino Linotype" w:hAnsi="Palatino Linotype"/>
          <w:i w:val="1"/>
          <w:sz w:val="22"/>
          <w:szCs w:val="22"/>
          <w:rtl w:val="0"/>
        </w:rPr>
        <w:t xml:space="preserve"> El documento a partir del que se otorga acceso a la información, en el que se testan partes o secciones clasificadas, indicando el contenido de éstas de manera genérica, </w:t>
      </w:r>
      <w:r w:rsidDel="00000000" w:rsidR="00000000" w:rsidRPr="00000000">
        <w:rPr>
          <w:rFonts w:ascii="Palatino Linotype" w:cs="Palatino Linotype" w:eastAsia="Palatino Linotype" w:hAnsi="Palatino Linotype"/>
          <w:b w:val="1"/>
          <w:i w:val="1"/>
          <w:sz w:val="22"/>
          <w:szCs w:val="22"/>
          <w:u w:val="single"/>
          <w:rtl w:val="0"/>
        </w:rPr>
        <w:t xml:space="preserve">fundando y motivando la</w:t>
      </w:r>
      <w:r w:rsidDel="00000000" w:rsidR="00000000" w:rsidRPr="00000000">
        <w:rPr>
          <w:rFonts w:ascii="Palatino Linotype" w:cs="Palatino Linotype" w:eastAsia="Palatino Linotype" w:hAnsi="Palatino Linotype"/>
          <w:i w:val="1"/>
          <w:sz w:val="22"/>
          <w:szCs w:val="22"/>
          <w:rtl w:val="0"/>
        </w:rPr>
        <w:t xml:space="preserve"> reserva o </w:t>
      </w:r>
      <w:r w:rsidDel="00000000" w:rsidR="00000000" w:rsidRPr="00000000">
        <w:rPr>
          <w:rFonts w:ascii="Palatino Linotype" w:cs="Palatino Linotype" w:eastAsia="Palatino Linotype" w:hAnsi="Palatino Linotype"/>
          <w:b w:val="1"/>
          <w:i w:val="1"/>
          <w:sz w:val="22"/>
          <w:szCs w:val="22"/>
          <w:u w:val="single"/>
          <w:rtl w:val="0"/>
        </w:rPr>
        <w:t xml:space="preserve">confidencialidad</w:t>
      </w:r>
      <w:r w:rsidDel="00000000" w:rsidR="00000000" w:rsidRPr="00000000">
        <w:rPr>
          <w:rFonts w:ascii="Palatino Linotype" w:cs="Palatino Linotype" w:eastAsia="Palatino Linotype" w:hAnsi="Palatino Linotype"/>
          <w:i w:val="1"/>
          <w:sz w:val="22"/>
          <w:szCs w:val="22"/>
          <w:rtl w:val="0"/>
        </w:rPr>
        <w:t xml:space="preserve">, a través de la resolución que para tal efecto emita el Comité de Transparencia.</w:t>
      </w:r>
      <w:r w:rsidDel="00000000" w:rsidR="00000000" w:rsidRPr="00000000">
        <w:rPr>
          <w:rtl w:val="0"/>
        </w:rPr>
      </w:r>
    </w:p>
    <w:p w:rsidR="00000000" w:rsidDel="00000000" w:rsidP="00000000" w:rsidRDefault="00000000" w:rsidRPr="00000000" w14:paraId="000001A6">
      <w:pPr>
        <w:ind w:left="709" w:right="709" w:firstLine="0"/>
        <w:jc w:val="both"/>
        <w:rPr/>
      </w:pPr>
      <w:r w:rsidDel="00000000" w:rsidR="00000000" w:rsidRPr="00000000">
        <w:rPr>
          <w:rFonts w:ascii="Palatino Linotype" w:cs="Palatino Linotype" w:eastAsia="Palatino Linotype" w:hAnsi="Palatino Linotype"/>
          <w:b w:val="1"/>
          <w:i w:val="1"/>
          <w:sz w:val="22"/>
          <w:szCs w:val="22"/>
          <w:rtl w:val="0"/>
        </w:rPr>
        <w:t xml:space="preserve">Cuarto.</w:t>
      </w:r>
      <w:r w:rsidDel="00000000" w:rsidR="00000000" w:rsidRPr="00000000">
        <w:rPr>
          <w:rFonts w:ascii="Palatino Linotype" w:cs="Palatino Linotype" w:eastAsia="Palatino Linotype" w:hAnsi="Palatino Linotype"/>
          <w:i w:val="1"/>
          <w:sz w:val="22"/>
          <w:szCs w:val="22"/>
          <w:rtl w:val="0"/>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r w:rsidDel="00000000" w:rsidR="00000000" w:rsidRPr="00000000">
        <w:rPr>
          <w:rtl w:val="0"/>
        </w:rPr>
      </w:r>
    </w:p>
    <w:p w:rsidR="00000000" w:rsidDel="00000000" w:rsidP="00000000" w:rsidRDefault="00000000" w:rsidRPr="00000000" w14:paraId="000001A7">
      <w:pPr>
        <w:ind w:left="709" w:right="709" w:firstLine="0"/>
        <w:jc w:val="both"/>
        <w:rPr/>
      </w:pPr>
      <w:r w:rsidDel="00000000" w:rsidR="00000000" w:rsidRPr="00000000">
        <w:rPr>
          <w:rFonts w:ascii="Palatino Linotype" w:cs="Palatino Linotype" w:eastAsia="Palatino Linotype" w:hAnsi="Palatino Linotype"/>
          <w:i w:val="1"/>
          <w:sz w:val="22"/>
          <w:szCs w:val="22"/>
          <w:rtl w:val="0"/>
        </w:rPr>
        <w:t xml:space="preserve">Los sujetos obligados deberán aplicar, de manera estricta, las excepciones al derecho de acceso a la información y sólo podrán invocarlas cuando acrediten su procedencia.</w:t>
      </w:r>
      <w:r w:rsidDel="00000000" w:rsidR="00000000" w:rsidRPr="00000000">
        <w:rPr>
          <w:rtl w:val="0"/>
        </w:rPr>
      </w:r>
    </w:p>
    <w:p w:rsidR="00000000" w:rsidDel="00000000" w:rsidP="00000000" w:rsidRDefault="00000000" w:rsidRPr="00000000" w14:paraId="000001A8">
      <w:pPr>
        <w:ind w:left="709" w:right="709" w:firstLine="0"/>
        <w:jc w:val="both"/>
        <w:rPr/>
      </w:pPr>
      <w:r w:rsidDel="00000000" w:rsidR="00000000" w:rsidRPr="00000000">
        <w:rPr>
          <w:rFonts w:ascii="Palatino Linotype" w:cs="Palatino Linotype" w:eastAsia="Palatino Linotype" w:hAnsi="Palatino Linotype"/>
          <w:b w:val="1"/>
          <w:i w:val="1"/>
          <w:sz w:val="22"/>
          <w:szCs w:val="22"/>
          <w:rtl w:val="0"/>
        </w:rPr>
        <w:t xml:space="preserve">Quinto.</w:t>
      </w:r>
      <w:r w:rsidDel="00000000" w:rsidR="00000000" w:rsidRPr="00000000">
        <w:rPr>
          <w:rFonts w:ascii="Palatino Linotype" w:cs="Palatino Linotype" w:eastAsia="Palatino Linotype" w:hAnsi="Palatino Linotype"/>
          <w:i w:val="1"/>
          <w:sz w:val="22"/>
          <w:szCs w:val="22"/>
          <w:rtl w:val="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r w:rsidDel="00000000" w:rsidR="00000000" w:rsidRPr="00000000">
        <w:rPr>
          <w:rtl w:val="0"/>
        </w:rPr>
      </w:r>
    </w:p>
    <w:p w:rsidR="00000000" w:rsidDel="00000000" w:rsidP="00000000" w:rsidRDefault="00000000" w:rsidRPr="00000000" w14:paraId="000001A9">
      <w:pPr>
        <w:ind w:left="709" w:right="709" w:firstLine="0"/>
        <w:jc w:val="both"/>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1AA">
      <w:pPr>
        <w:ind w:left="709" w:right="709" w:firstLine="0"/>
        <w:jc w:val="both"/>
        <w:rPr/>
      </w:pPr>
      <w:r w:rsidDel="00000000" w:rsidR="00000000" w:rsidRPr="00000000">
        <w:rPr>
          <w:rFonts w:ascii="Palatino Linotype" w:cs="Palatino Linotype" w:eastAsia="Palatino Linotype" w:hAnsi="Palatino Linotype"/>
          <w:b w:val="1"/>
          <w:i w:val="1"/>
          <w:sz w:val="22"/>
          <w:szCs w:val="22"/>
          <w:rtl w:val="0"/>
        </w:rPr>
        <w:t xml:space="preserve">Séptimo.</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r w:rsidDel="00000000" w:rsidR="00000000" w:rsidRPr="00000000">
        <w:rPr>
          <w:rtl w:val="0"/>
        </w:rPr>
      </w:r>
    </w:p>
    <w:p w:rsidR="00000000" w:rsidDel="00000000" w:rsidP="00000000" w:rsidRDefault="00000000" w:rsidRPr="00000000" w14:paraId="000001AB">
      <w:pPr>
        <w:ind w:left="709" w:right="709" w:firstLine="0"/>
        <w:jc w:val="both"/>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r w:rsidDel="00000000" w:rsidR="00000000" w:rsidRPr="00000000">
        <w:rPr>
          <w:rtl w:val="0"/>
        </w:rPr>
      </w:r>
    </w:p>
    <w:p w:rsidR="00000000" w:rsidDel="00000000" w:rsidP="00000000" w:rsidRDefault="00000000" w:rsidRPr="00000000" w14:paraId="000001AC">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del Comité de Transparencia, el órgano garante </w:t>
      </w:r>
    </w:p>
    <w:p w:rsidR="00000000" w:rsidDel="00000000" w:rsidP="00000000" w:rsidRDefault="00000000" w:rsidRPr="00000000" w14:paraId="000001AD">
      <w:pPr>
        <w:ind w:left="709" w:right="709" w:firstLine="0"/>
        <w:jc w:val="both"/>
        <w:rPr/>
      </w:pPr>
      <w:r w:rsidDel="00000000" w:rsidR="00000000" w:rsidRPr="00000000">
        <w:rPr>
          <w:rFonts w:ascii="Palatino Linotype" w:cs="Palatino Linotype" w:eastAsia="Palatino Linotype" w:hAnsi="Palatino Linotype"/>
          <w:i w:val="1"/>
          <w:sz w:val="22"/>
          <w:szCs w:val="22"/>
          <w:rtl w:val="0"/>
        </w:rPr>
        <w:t xml:space="preserve">competente, o en cumplimiento a una sentencia del Poder Judicial; o</w:t>
      </w:r>
      <w:r w:rsidDel="00000000" w:rsidR="00000000" w:rsidRPr="00000000">
        <w:rPr>
          <w:rtl w:val="0"/>
        </w:rPr>
      </w:r>
    </w:p>
    <w:p w:rsidR="00000000" w:rsidDel="00000000" w:rsidP="00000000" w:rsidRDefault="00000000" w:rsidRPr="00000000" w14:paraId="000001AE">
      <w:pPr>
        <w:ind w:left="709" w:right="709" w:firstLine="0"/>
        <w:jc w:val="both"/>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la Ley General, la Ley Federal y las correspondientes de las entidades federativas.</w:t>
      </w:r>
      <w:r w:rsidDel="00000000" w:rsidR="00000000" w:rsidRPr="00000000">
        <w:rPr>
          <w:rtl w:val="0"/>
        </w:rPr>
      </w:r>
    </w:p>
    <w:p w:rsidR="00000000" w:rsidDel="00000000" w:rsidP="00000000" w:rsidRDefault="00000000" w:rsidRPr="00000000" w14:paraId="000001AF">
      <w:pPr>
        <w:ind w:left="709" w:right="709" w:firstLine="0"/>
        <w:jc w:val="both"/>
        <w:rPr/>
      </w:pPr>
      <w:r w:rsidDel="00000000" w:rsidR="00000000" w:rsidRPr="00000000">
        <w:rPr>
          <w:rFonts w:ascii="Palatino Linotype" w:cs="Palatino Linotype" w:eastAsia="Palatino Linotype" w:hAnsi="Palatino Linotype"/>
          <w:i w:val="1"/>
          <w:sz w:val="22"/>
          <w:szCs w:val="22"/>
          <w:rtl w:val="0"/>
        </w:rPr>
        <w:t xml:space="preserve">Los titulares de las áreas deberán revisar la clasificación al momento de la recepción de una solicitud de acceso a la información, para verificar si encuadra en una causal de reserva o de confidencialidad.</w:t>
      </w:r>
      <w:r w:rsidDel="00000000" w:rsidR="00000000" w:rsidRPr="00000000">
        <w:rPr>
          <w:rtl w:val="0"/>
        </w:rPr>
      </w:r>
    </w:p>
    <w:p w:rsidR="00000000" w:rsidDel="00000000" w:rsidP="00000000" w:rsidRDefault="00000000" w:rsidRPr="00000000" w14:paraId="000001B0">
      <w:pPr>
        <w:ind w:left="709" w:right="709" w:firstLine="0"/>
        <w:jc w:val="both"/>
        <w:rPr/>
      </w:pPr>
      <w:r w:rsidDel="00000000" w:rsidR="00000000" w:rsidRPr="00000000">
        <w:rPr>
          <w:rFonts w:ascii="Palatino Linotype" w:cs="Palatino Linotype" w:eastAsia="Palatino Linotype" w:hAnsi="Palatino Linotype"/>
          <w:b w:val="1"/>
          <w:i w:val="1"/>
          <w:sz w:val="22"/>
          <w:szCs w:val="22"/>
          <w:rtl w:val="0"/>
        </w:rPr>
        <w:t xml:space="preserve">Octavo.</w:t>
      </w:r>
      <w:r w:rsidDel="00000000" w:rsidR="00000000" w:rsidRPr="00000000">
        <w:rPr>
          <w:rFonts w:ascii="Palatino Linotype" w:cs="Palatino Linotype" w:eastAsia="Palatino Linotype" w:hAnsi="Palatino Linotype"/>
          <w:i w:val="1"/>
          <w:sz w:val="22"/>
          <w:szCs w:val="22"/>
          <w:rtl w:val="0"/>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r w:rsidDel="00000000" w:rsidR="00000000" w:rsidRPr="00000000">
        <w:rPr>
          <w:rtl w:val="0"/>
        </w:rPr>
      </w:r>
    </w:p>
    <w:p w:rsidR="00000000" w:rsidDel="00000000" w:rsidP="00000000" w:rsidRDefault="00000000" w:rsidRPr="00000000" w14:paraId="000001B1">
      <w:pPr>
        <w:ind w:left="709" w:right="709" w:firstLine="0"/>
        <w:jc w:val="both"/>
        <w:rPr/>
      </w:pPr>
      <w:r w:rsidDel="00000000" w:rsidR="00000000" w:rsidRPr="00000000">
        <w:rPr>
          <w:rFonts w:ascii="Palatino Linotype" w:cs="Palatino Linotype" w:eastAsia="Palatino Linotype" w:hAnsi="Palatino Linotype"/>
          <w:i w:val="1"/>
          <w:sz w:val="22"/>
          <w:szCs w:val="22"/>
          <w:rtl w:val="0"/>
        </w:rPr>
        <w:t xml:space="preserve">Para motivar la clasificación se deberán señalar las razones o circunstancias especiales que lo llevaron a concluir que el caso particular se ajusta al supuesto previsto por la norma legal invocada como fundamento.</w:t>
      </w:r>
      <w:r w:rsidDel="00000000" w:rsidR="00000000" w:rsidRPr="00000000">
        <w:rPr>
          <w:rtl w:val="0"/>
        </w:rPr>
      </w:r>
    </w:p>
    <w:p w:rsidR="00000000" w:rsidDel="00000000" w:rsidP="00000000" w:rsidRDefault="00000000" w:rsidRPr="00000000" w14:paraId="000001B2">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rsidR="00000000" w:rsidDel="00000000" w:rsidP="00000000" w:rsidRDefault="00000000" w:rsidRPr="00000000" w14:paraId="000001B3">
      <w:pPr>
        <w:ind w:left="709" w:right="709" w:firstLine="0"/>
        <w:jc w:val="both"/>
        <w:rPr/>
      </w:pPr>
      <w:r w:rsidDel="00000000" w:rsidR="00000000" w:rsidRPr="00000000">
        <w:rPr>
          <w:rFonts w:ascii="Palatino Linotype" w:cs="Palatino Linotype" w:eastAsia="Palatino Linotype" w:hAnsi="Palatino Linotype"/>
          <w:b w:val="1"/>
          <w:i w:val="1"/>
          <w:sz w:val="22"/>
          <w:szCs w:val="22"/>
          <w:rtl w:val="0"/>
        </w:rPr>
        <w:t xml:space="preserve">Noveno.</w:t>
      </w:r>
      <w:r w:rsidDel="00000000" w:rsidR="00000000" w:rsidRPr="00000000">
        <w:rPr>
          <w:rFonts w:ascii="Palatino Linotype" w:cs="Palatino Linotype" w:eastAsia="Palatino Linotype" w:hAnsi="Palatino Linotype"/>
          <w:i w:val="1"/>
          <w:sz w:val="22"/>
          <w:szCs w:val="22"/>
          <w:rtl w:val="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r w:rsidDel="00000000" w:rsidR="00000000" w:rsidRPr="00000000">
        <w:rPr>
          <w:rtl w:val="0"/>
        </w:rPr>
      </w:r>
    </w:p>
    <w:p w:rsidR="00000000" w:rsidDel="00000000" w:rsidP="00000000" w:rsidRDefault="00000000" w:rsidRPr="00000000" w14:paraId="000001B4">
      <w:pPr>
        <w:ind w:left="709" w:right="709" w:firstLine="0"/>
        <w:jc w:val="both"/>
        <w:rPr/>
      </w:pPr>
      <w:r w:rsidDel="00000000" w:rsidR="00000000" w:rsidRPr="00000000">
        <w:rPr>
          <w:rFonts w:ascii="Palatino Linotype" w:cs="Palatino Linotype" w:eastAsia="Palatino Linotype" w:hAnsi="Palatino Linotype"/>
          <w:b w:val="1"/>
          <w:i w:val="1"/>
          <w:sz w:val="22"/>
          <w:szCs w:val="22"/>
          <w:rtl w:val="0"/>
        </w:rPr>
        <w:t xml:space="preserve">Décimo.</w:t>
      </w:r>
      <w:r w:rsidDel="00000000" w:rsidR="00000000" w:rsidRPr="00000000">
        <w:rPr>
          <w:rFonts w:ascii="Palatino Linotype" w:cs="Palatino Linotype" w:eastAsia="Palatino Linotype" w:hAnsi="Palatino Linotype"/>
          <w:i w:val="1"/>
          <w:sz w:val="22"/>
          <w:szCs w:val="22"/>
          <w:rtl w:val="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r w:rsidDel="00000000" w:rsidR="00000000" w:rsidRPr="00000000">
        <w:rPr>
          <w:rtl w:val="0"/>
        </w:rPr>
      </w:r>
    </w:p>
    <w:p w:rsidR="00000000" w:rsidDel="00000000" w:rsidP="00000000" w:rsidRDefault="00000000" w:rsidRPr="00000000" w14:paraId="000001B5">
      <w:pPr>
        <w:ind w:left="709" w:right="709" w:firstLine="0"/>
        <w:jc w:val="both"/>
        <w:rPr/>
      </w:pPr>
      <w:r w:rsidDel="00000000" w:rsidR="00000000" w:rsidRPr="00000000">
        <w:rPr>
          <w:rFonts w:ascii="Palatino Linotype" w:cs="Palatino Linotype" w:eastAsia="Palatino Linotype" w:hAnsi="Palatino Linotype"/>
          <w:i w:val="1"/>
          <w:sz w:val="22"/>
          <w:szCs w:val="22"/>
          <w:rtl w:val="0"/>
        </w:rPr>
        <w:t xml:space="preserve">En ausencia de los titulares de las áreas, la información será clasificada o desclasificada por la persona que lo supla, en términos de la normativa que rija la actuación del sujeto obligado.</w:t>
      </w:r>
      <w:r w:rsidDel="00000000" w:rsidR="00000000" w:rsidRPr="00000000">
        <w:rPr>
          <w:rtl w:val="0"/>
        </w:rPr>
      </w:r>
    </w:p>
    <w:p w:rsidR="00000000" w:rsidDel="00000000" w:rsidP="00000000" w:rsidRDefault="00000000" w:rsidRPr="00000000" w14:paraId="000001B6">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Décimo primero.</w:t>
      </w:r>
      <w:r w:rsidDel="00000000" w:rsidR="00000000" w:rsidRPr="00000000">
        <w:rPr>
          <w:rFonts w:ascii="Palatino Linotype" w:cs="Palatino Linotype" w:eastAsia="Palatino Linotype" w:hAnsi="Palatino Linotype"/>
          <w:i w:val="1"/>
          <w:sz w:val="22"/>
          <w:szCs w:val="22"/>
          <w:rtl w:val="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000000" w:rsidDel="00000000" w:rsidP="00000000" w:rsidRDefault="00000000" w:rsidRPr="00000000" w14:paraId="000001B7">
      <w:pPr>
        <w:ind w:right="709"/>
        <w:jc w:val="both"/>
        <w:rPr/>
      </w:pPr>
      <w:r w:rsidDel="00000000" w:rsidR="00000000" w:rsidRPr="00000000">
        <w:rPr>
          <w:rtl w:val="0"/>
        </w:rPr>
      </w:r>
    </w:p>
    <w:p w:rsidR="00000000" w:rsidDel="00000000" w:rsidP="00000000" w:rsidRDefault="00000000" w:rsidRPr="00000000" w14:paraId="000001B8">
      <w:pPr>
        <w:ind w:left="709" w:right="709" w:firstLine="0"/>
        <w:jc w:val="both"/>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1B9">
      <w:pPr>
        <w:ind w:left="709" w:right="709" w:firstLine="0"/>
        <w:jc w:val="center"/>
        <w:rPr/>
      </w:pPr>
      <w:r w:rsidDel="00000000" w:rsidR="00000000" w:rsidRPr="00000000">
        <w:rPr>
          <w:rFonts w:ascii="Palatino Linotype" w:cs="Palatino Linotype" w:eastAsia="Palatino Linotype" w:hAnsi="Palatino Linotype"/>
          <w:b w:val="1"/>
          <w:i w:val="1"/>
          <w:sz w:val="22"/>
          <w:szCs w:val="22"/>
          <w:rtl w:val="0"/>
        </w:rPr>
        <w:t xml:space="preserve">CAPÍTULO VIII</w:t>
      </w:r>
      <w:r w:rsidDel="00000000" w:rsidR="00000000" w:rsidRPr="00000000">
        <w:rPr>
          <w:rtl w:val="0"/>
        </w:rPr>
      </w:r>
    </w:p>
    <w:p w:rsidR="00000000" w:rsidDel="00000000" w:rsidP="00000000" w:rsidRDefault="00000000" w:rsidRPr="00000000" w14:paraId="000001BA">
      <w:pPr>
        <w:ind w:left="709" w:right="709"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 LOS ELEMENTOS PARA LA CLASIFICACIÓN</w:t>
      </w:r>
    </w:p>
    <w:p w:rsidR="00000000" w:rsidDel="00000000" w:rsidP="00000000" w:rsidRDefault="00000000" w:rsidRPr="00000000" w14:paraId="000001BB">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w:t>
      </w:r>
      <w:r w:rsidDel="00000000" w:rsidR="00000000" w:rsidRPr="00000000">
        <w:rPr>
          <w:rFonts w:ascii="Palatino Linotype" w:cs="Palatino Linotype" w:eastAsia="Palatino Linotype" w:hAnsi="Palatino Linotype"/>
          <w:i w:val="1"/>
          <w:sz w:val="22"/>
          <w:szCs w:val="22"/>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rsidR="00000000" w:rsidDel="00000000" w:rsidP="00000000" w:rsidRDefault="00000000" w:rsidRPr="00000000" w14:paraId="000001BC">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primero</w:t>
      </w:r>
      <w:r w:rsidDel="00000000" w:rsidR="00000000" w:rsidRPr="00000000">
        <w:rPr>
          <w:rFonts w:ascii="Palatino Linotype" w:cs="Palatino Linotype" w:eastAsia="Palatino Linotype" w:hAnsi="Palatino Linotype"/>
          <w:i w:val="1"/>
          <w:sz w:val="22"/>
          <w:szCs w:val="22"/>
          <w:rtl w:val="0"/>
        </w:rPr>
        <w:t xml:space="preserve">. Toda acta del Comité de Transparencia deberá contener:</w:t>
      </w:r>
    </w:p>
    <w:p w:rsidR="00000000" w:rsidDel="00000000" w:rsidP="00000000" w:rsidRDefault="00000000" w:rsidRPr="00000000" w14:paraId="000001BD">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El número de sesión y fecha; </w:t>
      </w:r>
    </w:p>
    <w:p w:rsidR="00000000" w:rsidDel="00000000" w:rsidP="00000000" w:rsidRDefault="00000000" w:rsidRPr="00000000" w14:paraId="000001BE">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nombre del área que solicitó la clasificación de información;</w:t>
      </w:r>
    </w:p>
    <w:p w:rsidR="00000000" w:rsidDel="00000000" w:rsidP="00000000" w:rsidRDefault="00000000" w:rsidRPr="00000000" w14:paraId="000001BF">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fundamentación legal y motivación correspondiente;</w:t>
      </w:r>
    </w:p>
    <w:p w:rsidR="00000000" w:rsidDel="00000000" w:rsidP="00000000" w:rsidRDefault="00000000" w:rsidRPr="00000000" w14:paraId="000001C0">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La resolución o resoluciones aprobadas; y</w:t>
      </w:r>
    </w:p>
    <w:p w:rsidR="00000000" w:rsidDel="00000000" w:rsidP="00000000" w:rsidRDefault="00000000" w:rsidRPr="00000000" w14:paraId="000001C1">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 rúbrica o firma digital de cada integrante del Comité de Transparencia. </w:t>
      </w:r>
    </w:p>
    <w:p w:rsidR="00000000" w:rsidDel="00000000" w:rsidP="00000000" w:rsidRDefault="00000000" w:rsidRPr="00000000" w14:paraId="000001C2">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resoluciones del Comité en las que se haya determinado confirmar o modificar la clasificación de información pública como reservada, deberán incluir, cuando menos:</w:t>
      </w:r>
    </w:p>
    <w:p w:rsidR="00000000" w:rsidDel="00000000" w:rsidP="00000000" w:rsidRDefault="00000000" w:rsidRPr="00000000" w14:paraId="000001C3">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Los motivos y razonamientos que sustenten la confirmación o modificación de la prueba de daño;</w:t>
      </w:r>
    </w:p>
    <w:p w:rsidR="00000000" w:rsidDel="00000000" w:rsidP="00000000" w:rsidRDefault="00000000" w:rsidRPr="00000000" w14:paraId="000001C4">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Descripción de las partes o secciones reservadas, en caso de clasificación parcial;</w:t>
      </w:r>
    </w:p>
    <w:p w:rsidR="00000000" w:rsidDel="00000000" w:rsidP="00000000" w:rsidRDefault="00000000" w:rsidRPr="00000000" w14:paraId="000001C5">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El periodo por el que mantendrá su clasificación y fecha de expiración; y</w:t>
      </w:r>
    </w:p>
    <w:p w:rsidR="00000000" w:rsidDel="00000000" w:rsidP="00000000" w:rsidRDefault="00000000" w:rsidRPr="00000000" w14:paraId="000001C6">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El nombre del titular y área encargada de realizar la versión pública del documento, en su caso.</w:t>
      </w:r>
    </w:p>
    <w:p w:rsidR="00000000" w:rsidDel="00000000" w:rsidP="00000000" w:rsidRDefault="00000000" w:rsidRPr="00000000" w14:paraId="000001C7">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1C8">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1C9">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segundo</w:t>
      </w:r>
      <w:r w:rsidDel="00000000" w:rsidR="00000000" w:rsidRPr="00000000">
        <w:rPr>
          <w:rFonts w:ascii="Palatino Linotype" w:cs="Palatino Linotype" w:eastAsia="Palatino Linotype" w:hAnsi="Palatino Linotype"/>
          <w:i w:val="1"/>
          <w:sz w:val="22"/>
          <w:szCs w:val="22"/>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1CA">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específico de la clasificación y elaboración de versiones públicas de documentos que contengan información confidencial, las áreas de los sujetos obligados deberán:</w:t>
      </w:r>
    </w:p>
    <w:p w:rsidR="00000000" w:rsidDel="00000000" w:rsidP="00000000" w:rsidRDefault="00000000" w:rsidRPr="00000000" w14:paraId="000001CB">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Fijar la fecha en que se elaboró la versión pública y la fecha en la cual el Comité de Transparencia confirmó dicha versión;</w:t>
      </w:r>
    </w:p>
    <w:p w:rsidR="00000000" w:rsidDel="00000000" w:rsidP="00000000" w:rsidRDefault="00000000" w:rsidRPr="00000000" w14:paraId="000001CC">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1CD">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Señalar las personas o instancias autorizadas a acceder a la información clasificada.</w:t>
      </w:r>
    </w:p>
    <w:p w:rsidR="00000000" w:rsidDel="00000000" w:rsidP="00000000" w:rsidRDefault="00000000" w:rsidRPr="00000000" w14:paraId="000001CE">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1CF">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1D0">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rsidR="00000000" w:rsidDel="00000000" w:rsidP="00000000" w:rsidRDefault="00000000" w:rsidRPr="00000000" w14:paraId="000001D1">
      <w:pPr>
        <w:ind w:left="709" w:right="709" w:firstLine="0"/>
        <w:jc w:val="both"/>
        <w:rPr/>
      </w:pPr>
      <w:r w:rsidDel="00000000" w:rsidR="00000000" w:rsidRPr="00000000">
        <w:rPr>
          <w:rFonts w:ascii="Palatino Linotype" w:cs="Palatino Linotype" w:eastAsia="Palatino Linotype" w:hAnsi="Palatino Linotype"/>
          <w:i w:val="1"/>
          <w:sz w:val="22"/>
          <w:szCs w:val="22"/>
          <w:rtl w:val="0"/>
        </w:rPr>
        <w:t xml:space="preserve">Quincuagésimo quinto.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r w:rsidDel="00000000" w:rsidR="00000000" w:rsidRPr="00000000">
        <w:rPr>
          <w:rtl w:val="0"/>
        </w:rPr>
      </w:r>
    </w:p>
    <w:p w:rsidR="00000000" w:rsidDel="00000000" w:rsidP="00000000" w:rsidRDefault="00000000" w:rsidRPr="00000000" w14:paraId="000001D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Efectivamente, cuando se clasifica información como confidencial es importante someterlo al Comité de Transparencia, quien debe confirmar, modificar o revocar la clasificación.</w:t>
      </w:r>
    </w:p>
    <w:p w:rsidR="00000000" w:rsidDel="00000000" w:rsidP="00000000" w:rsidRDefault="00000000" w:rsidRPr="00000000" w14:paraId="000001D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4">
      <w:pPr>
        <w:shd w:fill="ffffff" w:val="clea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D5">
      <w:pPr>
        <w:shd w:fill="ffffff" w:val="clear"/>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rsidR="00000000" w:rsidDel="00000000" w:rsidP="00000000" w:rsidRDefault="00000000" w:rsidRPr="00000000" w14:paraId="000001D7">
      <w:pPr>
        <w:tabs>
          <w:tab w:val="left" w:leader="none" w:pos="0"/>
        </w:tabs>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Especificaciones de las cámaras de video vigilancia y equipo aéreo de vigilancia que pueden estar contenidas dentro de la información que se ordena entregar. </w:t>
      </w:r>
    </w:p>
    <w:p w:rsidR="00000000" w:rsidDel="00000000" w:rsidP="00000000" w:rsidRDefault="00000000" w:rsidRPr="00000000" w14:paraId="000001D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cabe señalar que la pretensión del Particular es acceder a información en la que puede estar contenidas las especificaciones de las cámaras de video vigilancia y equipo aéreo de vigilancia; por lo que, en principio resulta necesario traer a colación la Ley que Regula el Uso de Tecnologías de la Información y Comunicación para la Seguridad Pública del Estado de México, que establece lo siguiente:</w:t>
      </w:r>
    </w:p>
    <w:p w:rsidR="00000000" w:rsidDel="00000000" w:rsidP="00000000" w:rsidRDefault="00000000" w:rsidRPr="00000000" w14:paraId="000001D9">
      <w:pPr>
        <w:pBdr>
          <w:top w:space="0" w:sz="0" w:val="nil"/>
          <w:left w:space="0" w:sz="0" w:val="nil"/>
          <w:bottom w:space="0" w:sz="0" w:val="nil"/>
          <w:right w:space="0" w:sz="0" w:val="nil"/>
          <w:between w:space="0" w:sz="0" w:val="nil"/>
        </w:pBdr>
        <w:tabs>
          <w:tab w:val="left" w:leader="none" w:pos="567"/>
        </w:tabs>
        <w:spacing w:before="240"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 fracciones I, II, V y XX):</w:t>
      </w:r>
      <w:r w:rsidDel="00000000" w:rsidR="00000000" w:rsidRPr="00000000">
        <w:rPr>
          <w:rFonts w:ascii="Palatino Linotype" w:cs="Palatino Linotype" w:eastAsia="Palatino Linotype" w:hAnsi="Palatino Linotype"/>
          <w:i w:val="1"/>
          <w:sz w:val="22"/>
          <w:szCs w:val="22"/>
          <w:rtl w:val="0"/>
        </w:rPr>
        <w:t xml:space="preserve"> Establece las siguientes definiciones:</w:t>
      </w:r>
    </w:p>
    <w:p w:rsidR="00000000" w:rsidDel="00000000" w:rsidP="00000000" w:rsidRDefault="00000000" w:rsidRPr="00000000" w14:paraId="000001DA">
      <w:pPr>
        <w:numPr>
          <w:ilvl w:val="0"/>
          <w:numId w:val="1"/>
        </w:numPr>
        <w:pBdr>
          <w:top w:space="0" w:sz="0" w:val="nil"/>
          <w:left w:space="0" w:sz="0" w:val="nil"/>
          <w:bottom w:space="0" w:sz="0" w:val="nil"/>
          <w:right w:space="0" w:sz="0" w:val="nil"/>
          <w:between w:space="0" w:sz="0" w:val="nil"/>
        </w:pBdr>
        <w:tabs>
          <w:tab w:val="left" w:leader="none" w:pos="567"/>
        </w:tabs>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Centro de Control, Comando, Cómputo y Comunicaciones, es el conjunto de recursos humanos y de herramientas tecnológicas modernas, que facilitan el rápido acceso a los usuarios de seguridad pública.</w:t>
      </w:r>
    </w:p>
    <w:p w:rsidR="00000000" w:rsidDel="00000000" w:rsidP="00000000" w:rsidRDefault="00000000" w:rsidRPr="00000000" w14:paraId="000001DB">
      <w:pPr>
        <w:numPr>
          <w:ilvl w:val="0"/>
          <w:numId w:val="1"/>
        </w:numPr>
        <w:pBdr>
          <w:top w:space="0" w:sz="0" w:val="nil"/>
          <w:left w:space="0" w:sz="0" w:val="nil"/>
          <w:bottom w:space="0" w:sz="0" w:val="nil"/>
          <w:right w:space="0" w:sz="0" w:val="nil"/>
          <w:between w:space="0" w:sz="0" w:val="nil"/>
        </w:pBdr>
        <w:tabs>
          <w:tab w:val="left" w:leader="none" w:pos="567"/>
        </w:tabs>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Centro de Mando Municipal, es el área que se encarga de operar el sistema de emergencia, la consulta de la base de datos, así como de administrar y controlar el sistema de videovigilancia municipal.</w:t>
      </w:r>
    </w:p>
    <w:p w:rsidR="00000000" w:rsidDel="00000000" w:rsidP="00000000" w:rsidRDefault="00000000" w:rsidRPr="00000000" w14:paraId="000001DC">
      <w:pPr>
        <w:numPr>
          <w:ilvl w:val="0"/>
          <w:numId w:val="1"/>
        </w:numPr>
        <w:pBdr>
          <w:top w:space="0" w:sz="0" w:val="nil"/>
          <w:left w:space="0" w:sz="0" w:val="nil"/>
          <w:bottom w:space="0" w:sz="0" w:val="nil"/>
          <w:right w:space="0" w:sz="0" w:val="nil"/>
          <w:between w:space="0" w:sz="0" w:val="nil"/>
        </w:pBdr>
        <w:tabs>
          <w:tab w:val="left" w:leader="none" w:pos="567"/>
        </w:tabs>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Equipos y Sistemas Tecnológicos, que son el conjunto de aparatos y dispositivos dentro de la categoría de tecnologías de la información y comunicación para la seguridad pública, adecuados para al tratamiento de voz e imagen.</w:t>
      </w:r>
    </w:p>
    <w:p w:rsidR="00000000" w:rsidDel="00000000" w:rsidP="00000000" w:rsidRDefault="00000000" w:rsidRPr="00000000" w14:paraId="000001DD">
      <w:pPr>
        <w:numPr>
          <w:ilvl w:val="0"/>
          <w:numId w:val="1"/>
        </w:numPr>
        <w:pBdr>
          <w:top w:space="0" w:sz="0" w:val="nil"/>
          <w:left w:space="0" w:sz="0" w:val="nil"/>
          <w:bottom w:space="0" w:sz="0" w:val="nil"/>
          <w:right w:space="0" w:sz="0" w:val="nil"/>
          <w:between w:space="0" w:sz="0" w:val="nil"/>
        </w:pBdr>
        <w:tabs>
          <w:tab w:val="left" w:leader="none" w:pos="567"/>
        </w:tabs>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Tecnología, que es el conjunto de recursos, procedimientos y técnicas usadas para el procesamiento, almacenamiento y transmisión de la información, utilizados para apoyar tareas de seguridad pública.</w:t>
      </w:r>
    </w:p>
    <w:p w:rsidR="00000000" w:rsidDel="00000000" w:rsidP="00000000" w:rsidRDefault="00000000" w:rsidRPr="00000000" w14:paraId="000001DE">
      <w:pPr>
        <w:pBdr>
          <w:top w:space="0" w:sz="0" w:val="nil"/>
          <w:left w:space="0" w:sz="0" w:val="nil"/>
          <w:bottom w:space="0" w:sz="0" w:val="nil"/>
          <w:right w:space="0" w:sz="0" w:val="nil"/>
          <w:between w:space="0" w:sz="0" w:val="nil"/>
        </w:pBdr>
        <w:tabs>
          <w:tab w:val="left" w:leader="none" w:pos="567"/>
        </w:tabs>
        <w:ind w:left="567" w:right="85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DF">
      <w:pPr>
        <w:pBdr>
          <w:top w:space="0" w:sz="0" w:val="nil"/>
          <w:left w:space="0" w:sz="0" w:val="nil"/>
          <w:bottom w:space="0" w:sz="0" w:val="nil"/>
          <w:right w:space="0" w:sz="0" w:val="nil"/>
          <w:between w:space="0" w:sz="0" w:val="nil"/>
        </w:pBdr>
        <w:tabs>
          <w:tab w:val="left" w:leader="none" w:pos="567"/>
        </w:tabs>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15):</w:t>
      </w:r>
      <w:r w:rsidDel="00000000" w:rsidR="00000000" w:rsidRPr="00000000">
        <w:rPr>
          <w:rFonts w:ascii="Palatino Linotype" w:cs="Palatino Linotype" w:eastAsia="Palatino Linotype" w:hAnsi="Palatino Linotype"/>
          <w:i w:val="1"/>
          <w:sz w:val="22"/>
          <w:szCs w:val="22"/>
          <w:rtl w:val="0"/>
        </w:rPr>
        <w:t xml:space="preserve"> Establece cuáles son los criterios para la instalación y operación de equipos y sistemas tecnológicos, tales como las zonas escolares, áreas públicas, lugares que registren los delitos de mayor impacto para la sociedad, las intersecciones viales más conflictivas, zonas de mayor índice de percepción de inseguridad, entre otras. </w:t>
      </w:r>
    </w:p>
    <w:p w:rsidR="00000000" w:rsidDel="00000000" w:rsidP="00000000" w:rsidRDefault="00000000" w:rsidRPr="00000000" w14:paraId="000001E0">
      <w:pPr>
        <w:pBdr>
          <w:top w:space="0" w:sz="0" w:val="nil"/>
          <w:left w:space="0" w:sz="0" w:val="nil"/>
          <w:bottom w:space="0" w:sz="0" w:val="nil"/>
          <w:right w:space="0" w:sz="0" w:val="nil"/>
          <w:between w:space="0" w:sz="0" w:val="nil"/>
        </w:pBdr>
        <w:tabs>
          <w:tab w:val="left" w:leader="none" w:pos="567"/>
        </w:tabs>
        <w:ind w:left="567"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E1">
      <w:pPr>
        <w:pBdr>
          <w:top w:space="0" w:sz="0" w:val="nil"/>
          <w:left w:space="0" w:sz="0" w:val="nil"/>
          <w:bottom w:space="0" w:sz="0" w:val="nil"/>
          <w:right w:space="0" w:sz="0" w:val="nil"/>
          <w:between w:space="0" w:sz="0" w:val="nil"/>
        </w:pBdr>
        <w:tabs>
          <w:tab w:val="left" w:leader="none" w:pos="567"/>
        </w:tabs>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18):</w:t>
      </w:r>
      <w:r w:rsidDel="00000000" w:rsidR="00000000" w:rsidRPr="00000000">
        <w:rPr>
          <w:rFonts w:ascii="Palatino Linotype" w:cs="Palatino Linotype" w:eastAsia="Palatino Linotype" w:hAnsi="Palatino Linotype"/>
          <w:i w:val="1"/>
          <w:sz w:val="22"/>
          <w:szCs w:val="22"/>
          <w:rtl w:val="0"/>
        </w:rPr>
        <w:t xml:space="preserve"> El Estado de México, regulará el Centro de Control, Comando, Cómputo y Comunicaciones, así como los centros de Mando Municipales para el manejo de la información obtenida con equipos y sistemas tecnológicos. </w:t>
      </w:r>
    </w:p>
    <w:p w:rsidR="00000000" w:rsidDel="00000000" w:rsidP="00000000" w:rsidRDefault="00000000" w:rsidRPr="00000000" w14:paraId="000001E2">
      <w:pPr>
        <w:pBdr>
          <w:top w:space="0" w:sz="0" w:val="nil"/>
          <w:left w:space="0" w:sz="0" w:val="nil"/>
          <w:bottom w:space="0" w:sz="0" w:val="nil"/>
          <w:right w:space="0" w:sz="0" w:val="nil"/>
          <w:between w:space="0" w:sz="0" w:val="nil"/>
        </w:pBdr>
        <w:tabs>
          <w:tab w:val="left" w:leader="none" w:pos="567"/>
        </w:tabs>
        <w:ind w:left="567"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E3">
      <w:pPr>
        <w:pBdr>
          <w:top w:space="0" w:sz="0" w:val="nil"/>
          <w:left w:space="0" w:sz="0" w:val="nil"/>
          <w:bottom w:space="0" w:sz="0" w:val="nil"/>
          <w:right w:space="0" w:sz="0" w:val="nil"/>
          <w:between w:space="0" w:sz="0" w:val="nil"/>
        </w:pBdr>
        <w:tabs>
          <w:tab w:val="left" w:leader="none" w:pos="567"/>
        </w:tabs>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19):</w:t>
      </w:r>
      <w:r w:rsidDel="00000000" w:rsidR="00000000" w:rsidRPr="00000000">
        <w:rPr>
          <w:rFonts w:ascii="Palatino Linotype" w:cs="Palatino Linotype" w:eastAsia="Palatino Linotype" w:hAnsi="Palatino Linotype"/>
          <w:i w:val="1"/>
          <w:sz w:val="22"/>
          <w:szCs w:val="22"/>
          <w:rtl w:val="0"/>
        </w:rPr>
        <w:t xml:space="preserve"> Los equipos y sistemas tecnológicos utilizados por las áreas de la administración pública central, por organismos auxiliares del Gobierno del Estado de México, por los municipios y por las instituciones de seguridad privada, se incorporarán al Registro. </w:t>
      </w:r>
    </w:p>
    <w:p w:rsidR="00000000" w:rsidDel="00000000" w:rsidP="00000000" w:rsidRDefault="00000000" w:rsidRPr="00000000" w14:paraId="000001E4">
      <w:pPr>
        <w:pBdr>
          <w:top w:space="0" w:sz="0" w:val="nil"/>
          <w:left w:space="0" w:sz="0" w:val="nil"/>
          <w:bottom w:space="0" w:sz="0" w:val="nil"/>
          <w:right w:space="0" w:sz="0" w:val="nil"/>
          <w:between w:space="0" w:sz="0" w:val="nil"/>
        </w:pBdr>
        <w:tabs>
          <w:tab w:val="left" w:leader="none" w:pos="567"/>
        </w:tabs>
        <w:ind w:left="567" w:right="85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E5">
      <w:pPr>
        <w:pBdr>
          <w:top w:space="0" w:sz="0" w:val="nil"/>
          <w:left w:space="0" w:sz="0" w:val="nil"/>
          <w:bottom w:space="0" w:sz="0" w:val="nil"/>
          <w:right w:space="0" w:sz="0" w:val="nil"/>
          <w:between w:space="0" w:sz="0" w:val="nil"/>
        </w:pBdr>
        <w:tabs>
          <w:tab w:val="left" w:leader="none" w:pos="567"/>
        </w:tabs>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20):</w:t>
      </w:r>
      <w:r w:rsidDel="00000000" w:rsidR="00000000" w:rsidRPr="00000000">
        <w:rPr>
          <w:rFonts w:ascii="Palatino Linotype" w:cs="Palatino Linotype" w:eastAsia="Palatino Linotype" w:hAnsi="Palatino Linotype"/>
          <w:i w:val="1"/>
          <w:sz w:val="22"/>
          <w:szCs w:val="22"/>
          <w:rtl w:val="0"/>
        </w:rPr>
        <w:t xml:space="preserve"> La videovigilancia tiene por objeto regular, el uso, localización y operación de videocámaras para graba o captar imágenes con o sin sonido, en lugares públicos o en lugares privados con acceso al público, en materia de seguridad pública. Además, que la videovigilancia en vías públicas, será función exclusiva de los cuerpos de seguridad pública estatal y municipal.  </w:t>
      </w:r>
    </w:p>
    <w:p w:rsidR="00000000" w:rsidDel="00000000" w:rsidP="00000000" w:rsidRDefault="00000000" w:rsidRPr="00000000" w14:paraId="000001E6">
      <w:pPr>
        <w:pBdr>
          <w:top w:space="0" w:sz="0" w:val="nil"/>
          <w:left w:space="0" w:sz="0" w:val="nil"/>
          <w:bottom w:space="0" w:sz="0" w:val="nil"/>
          <w:right w:space="0" w:sz="0" w:val="nil"/>
          <w:between w:space="0" w:sz="0" w:val="nil"/>
        </w:pBdr>
        <w:tabs>
          <w:tab w:val="left" w:leader="none" w:pos="567"/>
        </w:tabs>
        <w:ind w:left="567" w:right="85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E7">
      <w:pPr>
        <w:pBdr>
          <w:top w:space="0" w:sz="0" w:val="nil"/>
          <w:left w:space="0" w:sz="0" w:val="nil"/>
          <w:bottom w:space="0" w:sz="0" w:val="nil"/>
          <w:right w:space="0" w:sz="0" w:val="nil"/>
          <w:between w:space="0" w:sz="0" w:val="nil"/>
        </w:pBdr>
        <w:tabs>
          <w:tab w:val="left" w:leader="none" w:pos="567"/>
        </w:tabs>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28):</w:t>
      </w:r>
      <w:r w:rsidDel="00000000" w:rsidR="00000000" w:rsidRPr="00000000">
        <w:rPr>
          <w:rFonts w:ascii="Palatino Linotype" w:cs="Palatino Linotype" w:eastAsia="Palatino Linotype" w:hAnsi="Palatino Linotype"/>
          <w:i w:val="1"/>
          <w:sz w:val="22"/>
          <w:szCs w:val="22"/>
          <w:rtl w:val="0"/>
        </w:rPr>
        <w:t xml:space="preserve"> La información en materia de seguridad pública compuesta por imágenes o sonidos captados a través de equipos o sistemas tecnológicos, podrá ser utilizada, la prevención de delitos e infracciones administrativas, investigación de estos, imposición de sanciones y reacción inmediata, en casos, donde se aprecie la comisión de un hecho delictuoso o infracción. </w:t>
      </w:r>
    </w:p>
    <w:p w:rsidR="00000000" w:rsidDel="00000000" w:rsidP="00000000" w:rsidRDefault="00000000" w:rsidRPr="00000000" w14:paraId="000001E8">
      <w:pPr>
        <w:pBdr>
          <w:top w:space="0" w:sz="0" w:val="nil"/>
          <w:left w:space="0" w:sz="0" w:val="nil"/>
          <w:bottom w:space="0" w:sz="0" w:val="nil"/>
          <w:right w:space="0" w:sz="0" w:val="nil"/>
          <w:between w:space="0" w:sz="0" w:val="nil"/>
        </w:pBdr>
        <w:tabs>
          <w:tab w:val="left" w:leader="none" w:pos="567"/>
        </w:tabs>
        <w:ind w:left="567" w:right="85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E9">
      <w:pPr>
        <w:pBdr>
          <w:top w:space="0" w:sz="0" w:val="nil"/>
          <w:left w:space="0" w:sz="0" w:val="nil"/>
          <w:bottom w:space="0" w:sz="0" w:val="nil"/>
          <w:right w:space="0" w:sz="0" w:val="nil"/>
          <w:between w:space="0" w:sz="0" w:val="nil"/>
        </w:pBdr>
        <w:tabs>
          <w:tab w:val="left" w:leader="none" w:pos="567"/>
        </w:tabs>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34):</w:t>
      </w:r>
      <w:r w:rsidDel="00000000" w:rsidR="00000000" w:rsidRPr="00000000">
        <w:rPr>
          <w:rFonts w:ascii="Palatino Linotype" w:cs="Palatino Linotype" w:eastAsia="Palatino Linotype" w:hAnsi="Palatino Linotype"/>
          <w:i w:val="1"/>
          <w:sz w:val="22"/>
          <w:szCs w:val="22"/>
          <w:rtl w:val="0"/>
        </w:rPr>
        <w:t xml:space="preserve"> Toda información recabada, será considerada reservada en los siguientes casos:</w:t>
      </w:r>
    </w:p>
    <w:p w:rsidR="00000000" w:rsidDel="00000000" w:rsidP="00000000" w:rsidRDefault="00000000" w:rsidRPr="00000000" w14:paraId="000001EA">
      <w:pPr>
        <w:pBdr>
          <w:top w:space="0" w:sz="0" w:val="nil"/>
          <w:left w:space="0" w:sz="0" w:val="nil"/>
          <w:bottom w:space="0" w:sz="0" w:val="nil"/>
          <w:right w:space="0" w:sz="0" w:val="nil"/>
          <w:between w:space="0" w:sz="0" w:val="nil"/>
        </w:pBdr>
        <w:tabs>
          <w:tab w:val="left" w:leader="none" w:pos="567"/>
        </w:tabs>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Cuando su divulgación implique la revelación de normas, procedimientos, métodos, fuentes, especificaciones técnicas, sistemas, tecnología o equipo útiles para la prevención o el combate a la delincuencia, y</w:t>
      </w:r>
    </w:p>
    <w:p w:rsidR="00000000" w:rsidDel="00000000" w:rsidP="00000000" w:rsidRDefault="00000000" w:rsidRPr="00000000" w14:paraId="000001EB">
      <w:pPr>
        <w:pBdr>
          <w:top w:space="0" w:sz="0" w:val="nil"/>
          <w:left w:space="0" w:sz="0" w:val="nil"/>
          <w:bottom w:space="0" w:sz="0" w:val="nil"/>
          <w:right w:space="0" w:sz="0" w:val="nil"/>
          <w:between w:space="0" w:sz="0" w:val="nil"/>
        </w:pBdr>
        <w:tabs>
          <w:tab w:val="left" w:leader="none" w:pos="567"/>
        </w:tabs>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Cuya revelación pueda ser utilizada para actualizar o potencias una amenaza la seguridad pública o instituciones del Estado de México.</w:t>
      </w:r>
    </w:p>
    <w:p w:rsidR="00000000" w:rsidDel="00000000" w:rsidP="00000000" w:rsidRDefault="00000000" w:rsidRPr="00000000" w14:paraId="000001EC">
      <w:pPr>
        <w:pBdr>
          <w:top w:space="0" w:sz="0" w:val="nil"/>
          <w:left w:space="0" w:sz="0" w:val="nil"/>
          <w:bottom w:space="0" w:sz="0" w:val="nil"/>
          <w:right w:space="0" w:sz="0" w:val="nil"/>
          <w:between w:space="0" w:sz="0" w:val="nil"/>
        </w:pBdr>
        <w:tabs>
          <w:tab w:val="left" w:leader="none" w:pos="567"/>
        </w:tabs>
        <w:ind w:left="567" w:right="85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ED">
      <w:pPr>
        <w:pBdr>
          <w:top w:space="0" w:sz="0" w:val="nil"/>
          <w:left w:space="0" w:sz="0" w:val="nil"/>
          <w:bottom w:space="0" w:sz="0" w:val="nil"/>
          <w:right w:space="0" w:sz="0" w:val="nil"/>
          <w:between w:space="0" w:sz="0" w:val="nil"/>
        </w:pBdr>
        <w:tabs>
          <w:tab w:val="left" w:leader="none" w:pos="567"/>
        </w:tabs>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37 y 40):</w:t>
      </w:r>
      <w:r w:rsidDel="00000000" w:rsidR="00000000" w:rsidRPr="00000000">
        <w:rPr>
          <w:rFonts w:ascii="Palatino Linotype" w:cs="Palatino Linotype" w:eastAsia="Palatino Linotype" w:hAnsi="Palatino Linotype"/>
          <w:i w:val="1"/>
          <w:sz w:val="22"/>
          <w:szCs w:val="22"/>
          <w:rtl w:val="0"/>
        </w:rPr>
        <w:t xml:space="preserve"> Los datos obtenidos con equipos y sistemas tecnológicos, podrán constituir un dato o medio de prueba, en los procedimientos seguidos ante las autoridades competentes; por lo que, queda prohibido su suministro o intercambio con personas físicas o jurídico colectivas.</w:t>
      </w:r>
    </w:p>
    <w:p w:rsidR="00000000" w:rsidDel="00000000" w:rsidP="00000000" w:rsidRDefault="00000000" w:rsidRPr="00000000" w14:paraId="000001EE">
      <w:pPr>
        <w:pBdr>
          <w:top w:space="0" w:sz="0" w:val="nil"/>
          <w:left w:space="0" w:sz="0" w:val="nil"/>
          <w:bottom w:space="0" w:sz="0" w:val="nil"/>
          <w:right w:space="0" w:sz="0" w:val="nil"/>
          <w:between w:space="0" w:sz="0" w:val="nil"/>
        </w:pBdr>
        <w:shd w:fill="fcfcfc" w:val="clea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el Reglamento de la Ley que Regula el Uso de Tecnologías de la Información y Comunicación para la Seguridad Pública del Estado de México, establece lo siguiente: </w:t>
      </w:r>
    </w:p>
    <w:p w:rsidR="00000000" w:rsidDel="00000000" w:rsidP="00000000" w:rsidRDefault="00000000" w:rsidRPr="00000000" w14:paraId="000001F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1">
      <w:pPr>
        <w:pBdr>
          <w:top w:space="0" w:sz="0" w:val="nil"/>
          <w:left w:space="0" w:sz="0" w:val="nil"/>
          <w:bottom w:space="0" w:sz="0" w:val="nil"/>
          <w:right w:space="0" w:sz="0" w:val="nil"/>
          <w:between w:space="0" w:sz="0" w:val="nil"/>
        </w:pBd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3°, fracción XXVIII):</w:t>
      </w:r>
      <w:r w:rsidDel="00000000" w:rsidR="00000000" w:rsidRPr="00000000">
        <w:rPr>
          <w:rFonts w:ascii="Palatino Linotype" w:cs="Palatino Linotype" w:eastAsia="Palatino Linotype" w:hAnsi="Palatino Linotype"/>
          <w:i w:val="1"/>
          <w:sz w:val="22"/>
          <w:szCs w:val="22"/>
          <w:rtl w:val="0"/>
        </w:rPr>
        <w:t xml:space="preserve"> El sistema de videovigilancia, es el conjunto de elementos físicos, normativos, procedimentales e institucionales en materia de seguridad pública que interactúan en la videovigilancia urbana del territorio del Estado de México. </w:t>
      </w:r>
    </w:p>
    <w:p w:rsidR="00000000" w:rsidDel="00000000" w:rsidP="00000000" w:rsidRDefault="00000000" w:rsidRPr="00000000" w14:paraId="000001F2">
      <w:pPr>
        <w:pBdr>
          <w:top w:space="0" w:sz="0" w:val="nil"/>
          <w:left w:space="0" w:sz="0" w:val="nil"/>
          <w:bottom w:space="0" w:sz="0" w:val="nil"/>
          <w:right w:space="0" w:sz="0" w:val="nil"/>
          <w:between w:space="0" w:sz="0" w:val="nil"/>
        </w:pBdr>
        <w:ind w:left="567"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F3">
      <w:pPr>
        <w:pBdr>
          <w:top w:space="0" w:sz="0" w:val="nil"/>
          <w:left w:space="0" w:sz="0" w:val="nil"/>
          <w:bottom w:space="0" w:sz="0" w:val="nil"/>
          <w:right w:space="0" w:sz="0" w:val="nil"/>
          <w:between w:space="0" w:sz="0" w:val="nil"/>
        </w:pBd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28, fracción IV y V):</w:t>
      </w:r>
      <w:r w:rsidDel="00000000" w:rsidR="00000000" w:rsidRPr="00000000">
        <w:rPr>
          <w:rFonts w:ascii="Palatino Linotype" w:cs="Palatino Linotype" w:eastAsia="Palatino Linotype" w:hAnsi="Palatino Linotype"/>
          <w:i w:val="1"/>
          <w:sz w:val="22"/>
          <w:szCs w:val="22"/>
          <w:rtl w:val="0"/>
        </w:rPr>
        <w:t xml:space="preserve"> Los Centros de Mando Municipal son los encargados de atender y visualizar las imágenes captadas por las cámaras de videovigilancia urbana móviles o fijas de operar, procesar y custodiar los equipos de grabación o medio tecnológico analógico, digital, óptico, electrónico o cualquier sistema de videovigilancia que permita captar o grabar imágenes con o sin sonido.</w:t>
      </w:r>
    </w:p>
    <w:p w:rsidR="00000000" w:rsidDel="00000000" w:rsidP="00000000" w:rsidRDefault="00000000" w:rsidRPr="00000000" w14:paraId="000001F4">
      <w:pPr>
        <w:pBdr>
          <w:top w:space="0" w:sz="0" w:val="nil"/>
          <w:left w:space="0" w:sz="0" w:val="nil"/>
          <w:bottom w:space="0" w:sz="0" w:val="nil"/>
          <w:right w:space="0" w:sz="0" w:val="nil"/>
          <w:between w:space="0" w:sz="0" w:val="nil"/>
        </w:pBdr>
        <w:ind w:left="567"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F5">
      <w:pPr>
        <w:pBdr>
          <w:top w:space="0" w:sz="0" w:val="nil"/>
          <w:left w:space="0" w:sz="0" w:val="nil"/>
          <w:bottom w:space="0" w:sz="0" w:val="nil"/>
          <w:right w:space="0" w:sz="0" w:val="nil"/>
          <w:between w:space="0" w:sz="0" w:val="nil"/>
        </w:pBd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30, fracción IV): </w:t>
      </w:r>
      <w:r w:rsidDel="00000000" w:rsidR="00000000" w:rsidRPr="00000000">
        <w:rPr>
          <w:rFonts w:ascii="Palatino Linotype" w:cs="Palatino Linotype" w:eastAsia="Palatino Linotype" w:hAnsi="Palatino Linotype"/>
          <w:i w:val="1"/>
          <w:sz w:val="22"/>
          <w:szCs w:val="22"/>
          <w:rtl w:val="0"/>
        </w:rPr>
        <w:t xml:space="preserve">Para la instalación de los Centros de Mando Municipal, es necesario contar con un área para el sistema de videovigilancia urbana. </w:t>
      </w:r>
    </w:p>
    <w:p w:rsidR="00000000" w:rsidDel="00000000" w:rsidP="00000000" w:rsidRDefault="00000000" w:rsidRPr="00000000" w14:paraId="000001F6">
      <w:pPr>
        <w:pBdr>
          <w:top w:space="0" w:sz="0" w:val="nil"/>
          <w:left w:space="0" w:sz="0" w:val="nil"/>
          <w:bottom w:space="0" w:sz="0" w:val="nil"/>
          <w:right w:space="0" w:sz="0" w:val="nil"/>
          <w:between w:space="0" w:sz="0" w:val="nil"/>
        </w:pBdr>
        <w:ind w:left="567" w:right="902"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F7">
      <w:pPr>
        <w:pBdr>
          <w:top w:space="0" w:sz="0" w:val="nil"/>
          <w:left w:space="0" w:sz="0" w:val="nil"/>
          <w:bottom w:space="0" w:sz="0" w:val="nil"/>
          <w:right w:space="0" w:sz="0" w:val="nil"/>
          <w:between w:space="0" w:sz="0" w:val="nil"/>
        </w:pBd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54):</w:t>
      </w:r>
      <w:r w:rsidDel="00000000" w:rsidR="00000000" w:rsidRPr="00000000">
        <w:rPr>
          <w:rFonts w:ascii="Palatino Linotype" w:cs="Palatino Linotype" w:eastAsia="Palatino Linotype" w:hAnsi="Palatino Linotype"/>
          <w:i w:val="1"/>
          <w:sz w:val="22"/>
          <w:szCs w:val="22"/>
          <w:rtl w:val="0"/>
        </w:rPr>
        <w:t xml:space="preserve"> Los Centros de Mando Municipal que operen sistemas de videovigilancia, están obligados a dar el siguiente tratamiento a las grabaciones:</w:t>
      </w:r>
    </w:p>
    <w:p w:rsidR="00000000" w:rsidDel="00000000" w:rsidP="00000000" w:rsidRDefault="00000000" w:rsidRPr="00000000" w14:paraId="000001F8">
      <w:pPr>
        <w:pBdr>
          <w:top w:space="0" w:sz="0" w:val="nil"/>
          <w:left w:space="0" w:sz="0" w:val="nil"/>
          <w:bottom w:space="0" w:sz="0" w:val="nil"/>
          <w:right w:space="0" w:sz="0" w:val="nil"/>
          <w:between w:space="0" w:sz="0" w:val="nil"/>
        </w:pBd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Si capta o graba la probable comisión de un delito, infracción o falta administrativa, dará aviso y copia de la grabación a la autoridad administrativa o ministerial; </w:t>
      </w:r>
    </w:p>
    <w:p w:rsidR="00000000" w:rsidDel="00000000" w:rsidP="00000000" w:rsidRDefault="00000000" w:rsidRPr="00000000" w14:paraId="000001F9">
      <w:pPr>
        <w:pBdr>
          <w:top w:space="0" w:sz="0" w:val="nil"/>
          <w:left w:space="0" w:sz="0" w:val="nil"/>
          <w:bottom w:space="0" w:sz="0" w:val="nil"/>
          <w:right w:space="0" w:sz="0" w:val="nil"/>
          <w:between w:space="0" w:sz="0" w:val="nil"/>
        </w:pBd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Las grabaciones deberán de ser almacenadas en lugar óptimo, seguro y determinado; </w:t>
      </w:r>
    </w:p>
    <w:p w:rsidR="00000000" w:rsidDel="00000000" w:rsidP="00000000" w:rsidRDefault="00000000" w:rsidRPr="00000000" w14:paraId="000001FA">
      <w:pPr>
        <w:pBdr>
          <w:top w:space="0" w:sz="0" w:val="nil"/>
          <w:left w:space="0" w:sz="0" w:val="nil"/>
          <w:bottom w:space="0" w:sz="0" w:val="nil"/>
          <w:right w:space="0" w:sz="0" w:val="nil"/>
          <w:between w:space="0" w:sz="0" w:val="nil"/>
        </w:pBd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Queda prohibida la exhibición, entrega o transferencia total o parcial de grabaciones a persona o autoridad alguna, sin la orden debidamente fundada y motivada; </w:t>
      </w:r>
    </w:p>
    <w:p w:rsidR="00000000" w:rsidDel="00000000" w:rsidP="00000000" w:rsidRDefault="00000000" w:rsidRPr="00000000" w14:paraId="000001FB">
      <w:pPr>
        <w:pBdr>
          <w:top w:space="0" w:sz="0" w:val="nil"/>
          <w:left w:space="0" w:sz="0" w:val="nil"/>
          <w:bottom w:space="0" w:sz="0" w:val="nil"/>
          <w:right w:space="0" w:sz="0" w:val="nil"/>
          <w:between w:space="0" w:sz="0" w:val="nil"/>
        </w:pBd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4. Queda prohibida toda manipulación que se produzca en la grabación, alteración, daño u otro que genere duda de su autenticidad; </w:t>
      </w:r>
    </w:p>
    <w:p w:rsidR="00000000" w:rsidDel="00000000" w:rsidP="00000000" w:rsidRDefault="00000000" w:rsidRPr="00000000" w14:paraId="000001FC">
      <w:pPr>
        <w:pBdr>
          <w:top w:space="0" w:sz="0" w:val="nil"/>
          <w:left w:space="0" w:sz="0" w:val="nil"/>
          <w:bottom w:space="0" w:sz="0" w:val="nil"/>
          <w:right w:space="0" w:sz="0" w:val="nil"/>
          <w:between w:space="0" w:sz="0" w:val="nil"/>
        </w:pBd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5. Es responsabilidad directa y exclusiva de la autoridad o del Permisionario de Servicios de Seguridad Privada, que llevan a cabo acciones de videovigilancia, y </w:t>
      </w:r>
    </w:p>
    <w:p w:rsidR="00000000" w:rsidDel="00000000" w:rsidP="00000000" w:rsidRDefault="00000000" w:rsidRPr="00000000" w14:paraId="000001FD">
      <w:pPr>
        <w:pBdr>
          <w:top w:space="0" w:sz="0" w:val="nil"/>
          <w:left w:space="0" w:sz="0" w:val="nil"/>
          <w:bottom w:space="0" w:sz="0" w:val="nil"/>
          <w:right w:space="0" w:sz="0" w:val="nil"/>
          <w:between w:space="0" w:sz="0" w:val="nil"/>
        </w:pBd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6. Si durante los treinta días naturales contados, a partir de la fecha de grabación, no se requiere información de videos se procederá a realizar su depuración, en virtud de la capacidad de memoria de almacenamiento.</w:t>
      </w:r>
    </w:p>
    <w:p w:rsidR="00000000" w:rsidDel="00000000" w:rsidP="00000000" w:rsidRDefault="00000000" w:rsidRPr="00000000" w14:paraId="000001FE">
      <w:pPr>
        <w:pBdr>
          <w:top w:space="0" w:sz="0" w:val="nil"/>
          <w:left w:space="0" w:sz="0" w:val="nil"/>
          <w:bottom w:space="0" w:sz="0" w:val="nil"/>
          <w:right w:space="0" w:sz="0" w:val="nil"/>
          <w:between w:space="0" w:sz="0" w:val="nil"/>
        </w:pBdr>
        <w:ind w:left="567" w:right="902"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FF">
      <w:pPr>
        <w:pBdr>
          <w:top w:space="0" w:sz="0" w:val="nil"/>
          <w:left w:space="0" w:sz="0" w:val="nil"/>
          <w:bottom w:space="0" w:sz="0" w:val="nil"/>
          <w:right w:space="0" w:sz="0" w:val="nil"/>
          <w:between w:space="0" w:sz="0" w:val="nil"/>
        </w:pBd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59):</w:t>
      </w:r>
      <w:r w:rsidDel="00000000" w:rsidR="00000000" w:rsidRPr="00000000">
        <w:rPr>
          <w:rFonts w:ascii="Palatino Linotype" w:cs="Palatino Linotype" w:eastAsia="Palatino Linotype" w:hAnsi="Palatino Linotype"/>
          <w:i w:val="1"/>
          <w:sz w:val="22"/>
          <w:szCs w:val="22"/>
          <w:rtl w:val="0"/>
        </w:rPr>
        <w:t xml:space="preserve"> La instalación de cámaras de videovigilancia, se hará en lugares estratégicos: accesos y salidas de cabeceras municipales, vías primarias, cruces principales, primer cuadro y áreas de interés.”</w:t>
      </w:r>
    </w:p>
    <w:p w:rsidR="00000000" w:rsidDel="00000000" w:rsidP="00000000" w:rsidRDefault="00000000" w:rsidRPr="00000000" w14:paraId="00000200">
      <w:pPr>
        <w:pBdr>
          <w:top w:space="0" w:sz="0" w:val="nil"/>
          <w:left w:space="0" w:sz="0" w:val="nil"/>
          <w:bottom w:space="0" w:sz="0" w:val="nil"/>
          <w:right w:space="0" w:sz="0" w:val="nil"/>
          <w:between w:space="0" w:sz="0" w:val="nil"/>
        </w:pBdr>
        <w:spacing w:line="360" w:lineRule="auto"/>
        <w:ind w:left="567" w:right="90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01">
      <w:pPr>
        <w:pBdr>
          <w:top w:space="0" w:sz="0" w:val="nil"/>
          <w:left w:space="0" w:sz="0" w:val="nil"/>
          <w:bottom w:space="0" w:sz="0" w:val="nil"/>
          <w:right w:space="0" w:sz="0" w:val="nil"/>
          <w:between w:space="0" w:sz="0" w:val="nil"/>
        </w:pBdr>
        <w:shd w:fill="fcfcfc" w:val="clea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termino Infraestructura se define como el conjunto de medios técnicos, de servicios e instalaciones que promueven el desarrollo de una actividad determinada, en este caso al tratarse de instalación de cámaras de video vigilancia, al referirse el término infraestructura, se deduce que se compone de todos aquellos elementos ya sea técnicos físicos o digitales, que a su vez, contienen especificaciones de seguridad para el correcto funcionamiento y eficacia, al ser públicos generarían vulnerabilidad, entorpeciendo la prevención o el combate a la delincuencia, de ahí que la divulgación de dicha información generaría un riesgo de perjuicio demostrable que rebasaría el interés público protegido, como lo es la seguridad pública.</w:t>
      </w:r>
    </w:p>
    <w:p w:rsidR="00000000" w:rsidDel="00000000" w:rsidP="00000000" w:rsidRDefault="00000000" w:rsidRPr="00000000" w14:paraId="00000202">
      <w:pPr>
        <w:pBdr>
          <w:top w:space="0" w:sz="0" w:val="nil"/>
          <w:left w:space="0" w:sz="0" w:val="nil"/>
          <w:bottom w:space="0" w:sz="0" w:val="nil"/>
          <w:right w:space="0" w:sz="0" w:val="nil"/>
          <w:between w:space="0" w:sz="0" w:val="nil"/>
        </w:pBdr>
        <w:shd w:fill="fcfcfc" w:val="clea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0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respecto a las especificaciones técnicas respecto a las cámaras de video vigilancia y equipo aéreo de video vigilancia, en materia de seguridad pública, constituye  información susceptible de ser clasificada como reservada.</w:t>
      </w:r>
    </w:p>
    <w:p w:rsidR="00000000" w:rsidDel="00000000" w:rsidP="00000000" w:rsidRDefault="00000000" w:rsidRPr="00000000" w14:paraId="0000020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0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establecido lo anterior, es necesario resaltar que el artículo 110 de la Ley del Sistema Nacional de Seguridad Pública, 81 de la Ley de Seguridad del Estado de México, 34 de la Ley que Regula el Uso de Tecnologías de la Información y Comunicación para la Seguridad Pública del Estado de México y 58 del Reglamento de la Ley que Regula el Uso de Tecnologías de la Información y Comunicación para la Seguridad Pública del Estado de México, establecen una prohibición para entregar información respecto las especificaciones técnicas, sistemas, tecnologías utilizadas en para la seguridad pública y por lo tanto, precisa que dicha información es reservada.</w:t>
      </w:r>
    </w:p>
    <w:p w:rsidR="00000000" w:rsidDel="00000000" w:rsidP="00000000" w:rsidRDefault="00000000" w:rsidRPr="00000000" w14:paraId="00000206">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0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contexto, se puede deducir que las cámaras de video vigilancia, tienen como finalidad de cuidar y/o vigilar a la ciudadanía para evitar la comisión de hechos constitutivos de delitos, impedir la comisión o continuidad de los mismos, así como la investigación de delitos. Por ello, dar a conocer las especificaciones técnicas de las cámaras, vinculado con el hecho que son destinadas a proporcionar seguridad en el municipio, las vuelve identificables y posiblemente susceptibles de ser hackeadas por grupos delictivos, puesto que pueden conocer las características de los equipos para la generación de seguridad pública y dicha información puede ser utilizada para poner en riesgo el combate a la delincuencia.</w:t>
      </w:r>
    </w:p>
    <w:p w:rsidR="00000000" w:rsidDel="00000000" w:rsidP="00000000" w:rsidRDefault="00000000" w:rsidRPr="00000000" w14:paraId="00000208">
      <w:pPr>
        <w:pBdr>
          <w:top w:space="0" w:sz="0" w:val="nil"/>
          <w:left w:space="0" w:sz="0" w:val="nil"/>
          <w:bottom w:space="0" w:sz="0" w:val="nil"/>
          <w:right w:space="0" w:sz="0" w:val="nil"/>
          <w:between w:space="0" w:sz="0" w:val="nil"/>
        </w:pBdr>
        <w:ind w:left="720"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0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Por su parte, los Lineamientos generales en materia de clasificación y desclasificación de la información, así como para la elaboración de versiones públicas, que literalmente expresan:</w:t>
      </w:r>
      <w:r w:rsidDel="00000000" w:rsidR="00000000" w:rsidRPr="00000000">
        <w:rPr>
          <w:rtl w:val="0"/>
        </w:rPr>
      </w:r>
    </w:p>
    <w:p w:rsidR="00000000" w:rsidDel="00000000" w:rsidP="00000000" w:rsidRDefault="00000000" w:rsidRPr="00000000" w14:paraId="0000020A">
      <w:pPr>
        <w:pBdr>
          <w:top w:space="0" w:sz="0" w:val="nil"/>
          <w:left w:space="0" w:sz="0" w:val="nil"/>
          <w:bottom w:space="0" w:sz="0" w:val="nil"/>
          <w:right w:space="0" w:sz="0" w:val="nil"/>
          <w:between w:space="0" w:sz="0" w:val="nil"/>
        </w:pBdr>
        <w:tabs>
          <w:tab w:val="left" w:leader="none" w:pos="567"/>
        </w:tabs>
        <w:spacing w:line="360" w:lineRule="auto"/>
        <w:ind w:right="851"/>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20B">
      <w:pPr>
        <w:pBdr>
          <w:top w:space="0" w:sz="0" w:val="nil"/>
          <w:left w:space="0" w:sz="0" w:val="nil"/>
          <w:bottom w:space="0" w:sz="0" w:val="nil"/>
          <w:right w:space="0" w:sz="0" w:val="nil"/>
          <w:between w:space="0" w:sz="0" w:val="nil"/>
        </w:pBdr>
        <w:tabs>
          <w:tab w:val="left" w:leader="none" w:pos="567"/>
        </w:tabs>
        <w:ind w:left="567"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Décimo octavo.</w:t>
      </w:r>
      <w:r w:rsidDel="00000000" w:rsidR="00000000" w:rsidRPr="00000000">
        <w:rPr>
          <w:rFonts w:ascii="Palatino Linotype" w:cs="Palatino Linotype" w:eastAsia="Palatino Linotype" w:hAnsi="Palatino Linotype"/>
          <w:i w:val="1"/>
          <w:sz w:val="22"/>
          <w:szCs w:val="22"/>
          <w:rtl w:val="0"/>
        </w:rPr>
        <w:t xml:space="preserve"> De conformidad con el artículo 113, fracción I de la Ley General, podrá considerarse como información reservada, aquella que </w:t>
      </w:r>
      <w:r w:rsidDel="00000000" w:rsidR="00000000" w:rsidRPr="00000000">
        <w:rPr>
          <w:rFonts w:ascii="Palatino Linotype" w:cs="Palatino Linotype" w:eastAsia="Palatino Linotype" w:hAnsi="Palatino Linotype"/>
          <w:b w:val="1"/>
          <w:i w:val="1"/>
          <w:sz w:val="22"/>
          <w:szCs w:val="22"/>
          <w:rtl w:val="0"/>
        </w:rPr>
        <w:t xml:space="preserve">comprometa la seguridad pública, al poner en peligro las funciones a cargo de</w:t>
      </w:r>
      <w:r w:rsidDel="00000000" w:rsidR="00000000" w:rsidRPr="00000000">
        <w:rPr>
          <w:rFonts w:ascii="Palatino Linotype" w:cs="Palatino Linotype" w:eastAsia="Palatino Linotype" w:hAnsi="Palatino Linotype"/>
          <w:i w:val="1"/>
          <w:sz w:val="22"/>
          <w:szCs w:val="22"/>
          <w:rtl w:val="0"/>
        </w:rPr>
        <w:t xml:space="preserve"> la Federación, la Ciudad de México, los Estados y </w:t>
      </w:r>
      <w:r w:rsidDel="00000000" w:rsidR="00000000" w:rsidRPr="00000000">
        <w:rPr>
          <w:rFonts w:ascii="Palatino Linotype" w:cs="Palatino Linotype" w:eastAsia="Palatino Linotype" w:hAnsi="Palatino Linotype"/>
          <w:b w:val="1"/>
          <w:i w:val="1"/>
          <w:sz w:val="22"/>
          <w:szCs w:val="22"/>
          <w:rtl w:val="0"/>
        </w:rPr>
        <w:t xml:space="preserve">los Municipios,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tendientes a preservar y resguardar la vida,</w:t>
      </w:r>
      <w:r w:rsidDel="00000000" w:rsidR="00000000" w:rsidRPr="00000000">
        <w:rPr>
          <w:rFonts w:ascii="Palatino Linotype" w:cs="Palatino Linotype" w:eastAsia="Palatino Linotype" w:hAnsi="Palatino Linotype"/>
          <w:i w:val="1"/>
          <w:sz w:val="22"/>
          <w:szCs w:val="22"/>
          <w:rtl w:val="0"/>
        </w:rPr>
        <w:t xml:space="preserve"> la salud, </w:t>
      </w:r>
      <w:r w:rsidDel="00000000" w:rsidR="00000000" w:rsidRPr="00000000">
        <w:rPr>
          <w:rFonts w:ascii="Palatino Linotype" w:cs="Palatino Linotype" w:eastAsia="Palatino Linotype" w:hAnsi="Palatino Linotype"/>
          <w:b w:val="1"/>
          <w:i w:val="1"/>
          <w:sz w:val="22"/>
          <w:szCs w:val="22"/>
          <w:rtl w:val="0"/>
        </w:rPr>
        <w:t xml:space="preserve">la integridad</w:t>
      </w:r>
      <w:r w:rsidDel="00000000" w:rsidR="00000000" w:rsidRPr="00000000">
        <w:rPr>
          <w:rFonts w:ascii="Palatino Linotype" w:cs="Palatino Linotype" w:eastAsia="Palatino Linotype" w:hAnsi="Palatino Linotype"/>
          <w:i w:val="1"/>
          <w:sz w:val="22"/>
          <w:szCs w:val="22"/>
          <w:rtl w:val="0"/>
        </w:rPr>
        <w:t xml:space="preserve"> y el ejercicio de los derechos de las personas, </w:t>
      </w:r>
      <w:r w:rsidDel="00000000" w:rsidR="00000000" w:rsidRPr="00000000">
        <w:rPr>
          <w:rFonts w:ascii="Palatino Linotype" w:cs="Palatino Linotype" w:eastAsia="Palatino Linotype" w:hAnsi="Palatino Linotype"/>
          <w:b w:val="1"/>
          <w:i w:val="1"/>
          <w:sz w:val="22"/>
          <w:szCs w:val="22"/>
          <w:rtl w:val="0"/>
        </w:rPr>
        <w:t xml:space="preserve">así como para el mantenimiento del orden público. </w:t>
      </w:r>
    </w:p>
    <w:p w:rsidR="00000000" w:rsidDel="00000000" w:rsidP="00000000" w:rsidRDefault="00000000" w:rsidRPr="00000000" w14:paraId="0000020C">
      <w:pPr>
        <w:pBdr>
          <w:top w:space="0" w:sz="0" w:val="nil"/>
          <w:left w:space="0" w:sz="0" w:val="nil"/>
          <w:bottom w:space="0" w:sz="0" w:val="nil"/>
          <w:right w:space="0" w:sz="0" w:val="nil"/>
          <w:between w:space="0" w:sz="0" w:val="nil"/>
        </w:pBdr>
        <w:tabs>
          <w:tab w:val="left" w:leader="none" w:pos="567"/>
        </w:tabs>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 pone en peligro el orden público </w:t>
      </w:r>
      <w:r w:rsidDel="00000000" w:rsidR="00000000" w:rsidRPr="00000000">
        <w:rPr>
          <w:rFonts w:ascii="Palatino Linotype" w:cs="Palatino Linotype" w:eastAsia="Palatino Linotype" w:hAnsi="Palatino Linotype"/>
          <w:b w:val="1"/>
          <w:i w:val="1"/>
          <w:sz w:val="22"/>
          <w:szCs w:val="22"/>
          <w:rtl w:val="0"/>
        </w:rPr>
        <w:t xml:space="preserve">cuando la difusión de la información pueda entorpecer los sistemas de coordinación interinstitucional en materia de seguridad pública,</w:t>
      </w:r>
      <w:r w:rsidDel="00000000" w:rsidR="00000000" w:rsidRPr="00000000">
        <w:rPr>
          <w:rFonts w:ascii="Palatino Linotype" w:cs="Palatino Linotype" w:eastAsia="Palatino Linotype" w:hAnsi="Palatino Linotype"/>
          <w:i w:val="1"/>
          <w:sz w:val="22"/>
          <w:szCs w:val="22"/>
          <w:rtl w:val="0"/>
        </w:rPr>
        <w:t xml:space="preserve"> menoscabar o dificultar las estrategias contra la evasión de reos; o menoscabar o limitar la capacidad de las autoridades encaminadas a disuadir o prevenir disturbios sociales. </w:t>
      </w:r>
    </w:p>
    <w:p w:rsidR="00000000" w:rsidDel="00000000" w:rsidP="00000000" w:rsidRDefault="00000000" w:rsidRPr="00000000" w14:paraId="0000020D">
      <w:pPr>
        <w:pBdr>
          <w:top w:space="0" w:sz="0" w:val="nil"/>
          <w:left w:space="0" w:sz="0" w:val="nil"/>
          <w:bottom w:space="0" w:sz="0" w:val="nil"/>
          <w:right w:space="0" w:sz="0" w:val="nil"/>
          <w:between w:space="0" w:sz="0" w:val="nil"/>
        </w:pBdr>
        <w:tabs>
          <w:tab w:val="left" w:leader="none" w:pos="567"/>
        </w:tabs>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Asimismo, podrá considerarse como reservada </w:t>
      </w:r>
      <w:r w:rsidDel="00000000" w:rsidR="00000000" w:rsidRPr="00000000">
        <w:rPr>
          <w:rFonts w:ascii="Palatino Linotype" w:cs="Palatino Linotype" w:eastAsia="Palatino Linotype" w:hAnsi="Palatino Linotype"/>
          <w:b w:val="1"/>
          <w:i w:val="1"/>
          <w:sz w:val="22"/>
          <w:szCs w:val="22"/>
          <w:rtl w:val="0"/>
        </w:rPr>
        <w:t xml:space="preserve">aquella que revele datos que pudieran ser aprovechados para conocer la capacidad de reacción de las instituciones encargadas de la seguridad pública,</w:t>
      </w:r>
      <w:r w:rsidDel="00000000" w:rsidR="00000000" w:rsidRPr="00000000">
        <w:rPr>
          <w:rFonts w:ascii="Palatino Linotype" w:cs="Palatino Linotype" w:eastAsia="Palatino Linotype" w:hAnsi="Palatino Linotype"/>
          <w:i w:val="1"/>
          <w:sz w:val="22"/>
          <w:szCs w:val="22"/>
          <w:rtl w:val="0"/>
        </w:rPr>
        <w:t xml:space="preserve"> sus planes, estrategias, tecnología, información, sistemas de comunicaciones.”</w:t>
      </w:r>
    </w:p>
    <w:p w:rsidR="00000000" w:rsidDel="00000000" w:rsidP="00000000" w:rsidRDefault="00000000" w:rsidRPr="00000000" w14:paraId="0000020E">
      <w:pPr>
        <w:pBdr>
          <w:top w:space="0" w:sz="0" w:val="nil"/>
          <w:left w:space="0" w:sz="0" w:val="nil"/>
          <w:bottom w:space="0" w:sz="0" w:val="nil"/>
          <w:right w:space="0" w:sz="0" w:val="nil"/>
          <w:between w:space="0" w:sz="0" w:val="nil"/>
        </w:pBdr>
        <w:spacing w:line="360" w:lineRule="auto"/>
        <w:ind w:right="851"/>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20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Así, es posible observar que podrá clasificarse como información reservada, aquélla que comprometa la seguridad pública o bien, entorpezca los sistemas de coordinación interinstitucional en materia de seguridad pública, menoscabar o dificultar las estrategias contra la evasión de reos o la capacidad de las autoridades para disuadir o prevenir disturbios sociales</w:t>
      </w:r>
      <w:r w:rsidDel="00000000" w:rsidR="00000000" w:rsidRPr="00000000">
        <w:rPr>
          <w:rtl w:val="0"/>
        </w:rPr>
      </w:r>
    </w:p>
    <w:p w:rsidR="00000000" w:rsidDel="00000000" w:rsidP="00000000" w:rsidRDefault="00000000" w:rsidRPr="00000000" w14:paraId="00000210">
      <w:pPr>
        <w:pBdr>
          <w:top w:space="0" w:sz="0" w:val="nil"/>
          <w:left w:space="0" w:sz="0" w:val="nil"/>
          <w:bottom w:space="0" w:sz="0" w:val="nil"/>
          <w:right w:space="0" w:sz="0" w:val="nil"/>
          <w:between w:space="0" w:sz="0" w:val="nil"/>
        </w:pBdr>
        <w:tabs>
          <w:tab w:val="left" w:leader="none" w:pos="567"/>
        </w:tabs>
        <w:spacing w:line="360" w:lineRule="auto"/>
        <w:ind w:right="851"/>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21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De la misma manera, será información reservada aquella que revele datos que pudieran ser aprovechados para conocer la capacidad de reacción de las instituciones encargadas de la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rtl w:val="0"/>
        </w:rPr>
        <w:t xml:space="preserve">seguridad pública, sus planes, estrategias, tecnología, información, sistemas de comunicaciones.</w:t>
      </w:r>
      <w:r w:rsidDel="00000000" w:rsidR="00000000" w:rsidRPr="00000000">
        <w:rPr>
          <w:rtl w:val="0"/>
        </w:rPr>
      </w:r>
    </w:p>
    <w:p w:rsidR="00000000" w:rsidDel="00000000" w:rsidP="00000000" w:rsidRDefault="00000000" w:rsidRPr="00000000" w14:paraId="00000212">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21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En ese orden de ideas, el artículo 110 de la Ley del Sistema Nacional de Seguridad Pública, precisa que se clasifica como reservada la información contenida en todas y cada una de las Bases de Datos del Sistema Nacional de Información, así como de los Registros Nacional y la información contenida en ellos, en materia de detenciones, información criminal, armamento, equipo, vehículos, medidas cautelares, soluciones alternas y formas de terminación anticipada, entre otros; además, que su consulta es exclusiva de las Instituciones de Seguridad Pública, que estén facultadas en cada caso, a través de los servidores públicos que cada institución designe, por lo que, el público no tendrá acceso a la información que en ellos se contenga.</w:t>
      </w:r>
      <w:r w:rsidDel="00000000" w:rsidR="00000000" w:rsidRPr="00000000">
        <w:rPr>
          <w:rtl w:val="0"/>
        </w:rPr>
      </w:r>
    </w:p>
    <w:p w:rsidR="00000000" w:rsidDel="00000000" w:rsidP="00000000" w:rsidRDefault="00000000" w:rsidRPr="00000000" w14:paraId="00000214">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21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En ese contexto, el artículo 81 de la Ley de Seguridad del Estado de México, que establece lo siguiente:</w:t>
      </w:r>
      <w:r w:rsidDel="00000000" w:rsidR="00000000" w:rsidRPr="00000000">
        <w:rPr>
          <w:rtl w:val="0"/>
        </w:rPr>
      </w:r>
    </w:p>
    <w:p w:rsidR="00000000" w:rsidDel="00000000" w:rsidP="00000000" w:rsidRDefault="00000000" w:rsidRPr="00000000" w14:paraId="00000216">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217">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81.-</w:t>
      </w:r>
      <w:r w:rsidDel="00000000" w:rsidR="00000000" w:rsidRPr="00000000">
        <w:rPr>
          <w:rFonts w:ascii="Palatino Linotype" w:cs="Palatino Linotype" w:eastAsia="Palatino Linotype" w:hAnsi="Palatino Linotype"/>
          <w:i w:val="1"/>
          <w:sz w:val="22"/>
          <w:szCs w:val="22"/>
          <w:rtl w:val="0"/>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rsidR="00000000" w:rsidDel="00000000" w:rsidP="00000000" w:rsidRDefault="00000000" w:rsidRPr="00000000" w14:paraId="00000218">
      <w:pPr>
        <w:ind w:left="567"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19">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Aquella cuya divulgación implique la revelación de normas, procedimientos, métodos, fuentes, especificaciones técnicas, sistemas, tecnología o equipos útiles a la generación de inteligencia para la seguridad pública o el combate a la delincuencia en el Estado de México; </w:t>
      </w:r>
    </w:p>
    <w:p w:rsidR="00000000" w:rsidDel="00000000" w:rsidP="00000000" w:rsidRDefault="00000000" w:rsidRPr="00000000" w14:paraId="0000021A">
      <w:pPr>
        <w:ind w:left="567"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1B">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Aquella cuya revelación pueda ser utilizada para actualizar o potenciar una amenaza a la seguridad pública o a las instituciones del Estado de México; </w:t>
      </w:r>
    </w:p>
    <w:p w:rsidR="00000000" w:rsidDel="00000000" w:rsidP="00000000" w:rsidRDefault="00000000" w:rsidRPr="00000000" w14:paraId="0000021C">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1D">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w:t>
      </w:r>
      <w:r w:rsidDel="00000000" w:rsidR="00000000" w:rsidRPr="00000000">
        <w:rPr>
          <w:rFonts w:ascii="Palatino Linotype" w:cs="Palatino Linotype" w:eastAsia="Palatino Linotype" w:hAnsi="Palatino Linotype"/>
          <w:i w:val="1"/>
          <w:sz w:val="22"/>
          <w:szCs w:val="22"/>
          <w:rtl w:val="0"/>
        </w:rPr>
        <w:t xml:space="preserve">La que sea producto de una intervención de comunicaciones privadas autorizadas conforme a la Constitución Federal y las disposiciones legales correspondientes; y </w:t>
      </w:r>
    </w:p>
    <w:p w:rsidR="00000000" w:rsidDel="00000000" w:rsidP="00000000" w:rsidRDefault="00000000" w:rsidRPr="00000000" w14:paraId="0000021E">
      <w:pPr>
        <w:ind w:left="567"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1F">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La contenida en averiguaciones previas, carpetas de investigación, expedientes y demás archivos relativos a la investigación para la prevención y la investigación de los delitos y faltas administrativas, en términos de las disposiciones aplicables.”</w:t>
      </w:r>
    </w:p>
    <w:p w:rsidR="00000000" w:rsidDel="00000000" w:rsidP="00000000" w:rsidRDefault="00000000" w:rsidRPr="00000000" w14:paraId="00000220">
      <w:pPr>
        <w:spacing w:line="360" w:lineRule="auto"/>
        <w:ind w:left="567" w:right="900" w:firstLine="0"/>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21">
      <w:pPr>
        <w:pBdr>
          <w:top w:space="0" w:sz="0" w:val="nil"/>
          <w:left w:space="0" w:sz="0" w:val="nil"/>
          <w:bottom w:space="0" w:sz="0" w:val="nil"/>
          <w:right w:space="0" w:sz="0" w:val="nil"/>
          <w:between w:space="0" w:sz="0" w:val="nil"/>
        </w:pBdr>
        <w:tabs>
          <w:tab w:val="left" w:leader="none" w:pos="0"/>
        </w:tabs>
        <w:spacing w:before="24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De lo anterior, se logra desprender que es información reservada, aquella que pueda revelar las normas, procedimientos, métodos, fuentes, técnicas, sistemas, tecnología, útiles a la generación de inteligencia para la seguridad pública o el combate a la delincuencia, que pueda potenciar o amenazar la seguridad pública o las instituciones del Estado de México, la que sea producto de un intervención de comunicaciones privadas, o bien, la contenida en las averiguaciones previas, carpetas de investigación de los delitos y faltas administrativas.</w:t>
      </w:r>
      <w:r w:rsidDel="00000000" w:rsidR="00000000" w:rsidRPr="00000000">
        <w:rPr>
          <w:rtl w:val="0"/>
        </w:rPr>
      </w:r>
    </w:p>
    <w:p w:rsidR="00000000" w:rsidDel="00000000" w:rsidP="00000000" w:rsidRDefault="00000000" w:rsidRPr="00000000" w14:paraId="00000222">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2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tales consideraciones, resulta procedente clasificar como información reservada las especificaciones técnicas de las cámaras de video vigilancia y equipo aéreo de video vigilancia, en términos del artículo 140, fracción I, de la Ley de Transparencia y Acceso a la Información Pública del Estado de México y Municipios.</w:t>
      </w:r>
    </w:p>
    <w:p w:rsidR="00000000" w:rsidDel="00000000" w:rsidP="00000000" w:rsidRDefault="00000000" w:rsidRPr="00000000" w14:paraId="0000022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25">
      <w:pPr>
        <w:pBdr>
          <w:top w:space="0" w:sz="0" w:val="nil"/>
          <w:left w:space="0" w:sz="0" w:val="nil"/>
          <w:bottom w:space="0" w:sz="0" w:val="nil"/>
          <w:right w:space="0" w:sz="0" w:val="nil"/>
          <w:between w:space="0" w:sz="0" w:val="nil"/>
        </w:pBdr>
        <w:shd w:fill="ffffff" w:val="clear"/>
        <w:spacing w:after="20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22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27">
      <w:pPr>
        <w:widowControl w:val="0"/>
        <w:spacing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 R E S U E L V E:</w:t>
      </w:r>
    </w:p>
    <w:p w:rsidR="00000000" w:rsidDel="00000000" w:rsidP="00000000" w:rsidRDefault="00000000" w:rsidRPr="00000000" w14:paraId="00000228">
      <w:pPr>
        <w:spacing w:line="360" w:lineRule="auto"/>
        <w:jc w:val="both"/>
        <w:rPr>
          <w:rFonts w:ascii="Palatino Linotype" w:cs="Palatino Linotype" w:eastAsia="Palatino Linotype" w:hAnsi="Palatino Linotype"/>
          <w:b w:val="1"/>
          <w:u w:val="single"/>
        </w:rPr>
      </w:pPr>
      <w:r w:rsidDel="00000000" w:rsidR="00000000" w:rsidRPr="00000000">
        <w:rPr>
          <w:rtl w:val="0"/>
        </w:rPr>
      </w:r>
    </w:p>
    <w:p w:rsidR="00000000" w:rsidDel="00000000" w:rsidP="00000000" w:rsidRDefault="00000000" w:rsidRPr="00000000" w14:paraId="0000022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Se</w:t>
      </w:r>
      <w:r w:rsidDel="00000000" w:rsidR="00000000" w:rsidRPr="00000000">
        <w:rPr>
          <w:rtl w:val="0"/>
        </w:rPr>
        <w:t xml:space="preserve"> </w:t>
      </w:r>
      <w:r w:rsidDel="00000000" w:rsidR="00000000" w:rsidRPr="00000000">
        <w:rPr>
          <w:rFonts w:ascii="Palatino Linotype" w:cs="Palatino Linotype" w:eastAsia="Palatino Linotype" w:hAnsi="Palatino Linotype"/>
          <w:b w:val="1"/>
          <w:rtl w:val="0"/>
        </w:rPr>
        <w:t xml:space="preserve">REVOCA </w:t>
      </w:r>
      <w:r w:rsidDel="00000000" w:rsidR="00000000" w:rsidRPr="00000000">
        <w:rPr>
          <w:rFonts w:ascii="Palatino Linotype" w:cs="Palatino Linotype" w:eastAsia="Palatino Linotype" w:hAnsi="Palatino Linotype"/>
          <w:rtl w:val="0"/>
        </w:rPr>
        <w:t xml:space="preserve">la respuesta entregada por </w:t>
      </w:r>
      <w:r w:rsidDel="00000000" w:rsidR="00000000" w:rsidRPr="00000000">
        <w:rPr>
          <w:rFonts w:ascii="Palatino Linotype" w:cs="Palatino Linotype" w:eastAsia="Palatino Linotype" w:hAnsi="Palatino Linotype"/>
          <w:b w:val="1"/>
          <w:rtl w:val="0"/>
        </w:rPr>
        <w:t xml:space="preserve">EL SUJETO OBLIGADO </w:t>
      </w:r>
      <w:r w:rsidDel="00000000" w:rsidR="00000000" w:rsidRPr="00000000">
        <w:rPr>
          <w:rFonts w:ascii="Palatino Linotype" w:cs="Palatino Linotype" w:eastAsia="Palatino Linotype" w:hAnsi="Palatino Linotype"/>
          <w:rtl w:val="0"/>
        </w:rPr>
        <w:t xml:space="preserve">a la solicitud de información </w:t>
      </w:r>
      <w:r w:rsidDel="00000000" w:rsidR="00000000" w:rsidRPr="00000000">
        <w:rPr>
          <w:rFonts w:ascii="Palatino Linotype" w:cs="Palatino Linotype" w:eastAsia="Palatino Linotype" w:hAnsi="Palatino Linotype"/>
          <w:b w:val="1"/>
          <w:rtl w:val="0"/>
        </w:rPr>
        <w:t xml:space="preserve">00106/CHAPULTE/IP/2024, </w:t>
      </w:r>
      <w:r w:rsidDel="00000000" w:rsidR="00000000" w:rsidRPr="00000000">
        <w:rPr>
          <w:rFonts w:ascii="Palatino Linotype" w:cs="Palatino Linotype" w:eastAsia="Palatino Linotype" w:hAnsi="Palatino Linotype"/>
          <w:rtl w:val="0"/>
        </w:rPr>
        <w:t xml:space="preserve">por resultar fundadas las razones o motivos de inconformidad hechos valer por </w:t>
      </w:r>
      <w:r w:rsidDel="00000000" w:rsidR="00000000" w:rsidRPr="00000000">
        <w:rPr>
          <w:rFonts w:ascii="Palatino Linotype" w:cs="Palatino Linotype" w:eastAsia="Palatino Linotype" w:hAnsi="Palatino Linotype"/>
          <w:b w:val="1"/>
          <w:rtl w:val="0"/>
        </w:rPr>
        <w:t xml:space="preserve">la parte RECURRENTE, </w:t>
      </w:r>
      <w:r w:rsidDel="00000000" w:rsidR="00000000" w:rsidRPr="00000000">
        <w:rPr>
          <w:rFonts w:ascii="Palatino Linotype" w:cs="Palatino Linotype" w:eastAsia="Palatino Linotype" w:hAnsi="Palatino Linotype"/>
          <w:rtl w:val="0"/>
        </w:rPr>
        <w:t xml:space="preserve">en el recurso de revisión </w:t>
      </w:r>
      <w:r w:rsidDel="00000000" w:rsidR="00000000" w:rsidRPr="00000000">
        <w:rPr>
          <w:rFonts w:ascii="Palatino Linotype" w:cs="Palatino Linotype" w:eastAsia="Palatino Linotype" w:hAnsi="Palatino Linotype"/>
          <w:b w:val="1"/>
          <w:rtl w:val="0"/>
        </w:rPr>
        <w:t xml:space="preserve">07304/INFOEM/IP/RR/2024,</w:t>
      </w:r>
      <w:r w:rsidDel="00000000" w:rsidR="00000000" w:rsidRPr="00000000">
        <w:rPr>
          <w:rFonts w:ascii="Palatino Linotype" w:cs="Palatino Linotype" w:eastAsia="Palatino Linotype" w:hAnsi="Palatino Linotype"/>
          <w:rtl w:val="0"/>
        </w:rPr>
        <w:t xml:space="preserve"> en términos del considerando </w:t>
      </w: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de la presente Resolución.</w:t>
      </w:r>
    </w:p>
    <w:p w:rsidR="00000000" w:rsidDel="00000000" w:rsidP="00000000" w:rsidRDefault="00000000" w:rsidRPr="00000000" w14:paraId="0000022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2B">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w:t>
      </w:r>
      <w:r w:rsidDel="00000000" w:rsidR="00000000" w:rsidRPr="00000000">
        <w:rPr>
          <w:rFonts w:ascii="Palatino Linotype" w:cs="Palatino Linotype" w:eastAsia="Palatino Linotype" w:hAnsi="Palatino Linotype"/>
          <w:rtl w:val="0"/>
        </w:rPr>
        <w:t xml:space="preserve">Se</w:t>
      </w:r>
      <w:r w:rsidDel="00000000" w:rsidR="00000000" w:rsidRPr="00000000">
        <w:rPr>
          <w:rFonts w:ascii="Palatino Linotype" w:cs="Palatino Linotype" w:eastAsia="Palatino Linotype" w:hAnsi="Palatino Linotype"/>
          <w:b w:val="1"/>
          <w:rtl w:val="0"/>
        </w:rPr>
        <w:t xml:space="preserve"> ORDENA </w:t>
      </w:r>
      <w:r w:rsidDel="00000000" w:rsidR="00000000" w:rsidRPr="00000000">
        <w:rPr>
          <w:rFonts w:ascii="Palatino Linotype" w:cs="Palatino Linotype" w:eastAsia="Palatino Linotype" w:hAnsi="Palatino Linotype"/>
          <w:rtl w:val="0"/>
        </w:rPr>
        <w:t xml:space="preserve">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que,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en términos del Considerando Cuarto y Quinto, haga entrega vía Sistema de Acceso a la Información Mexiquense (SAIMEX), en versión pública de ser procedente, previa búsqueda exhaustiva y razonable, del documento o documentos en donde conste lo siguiente:</w:t>
      </w:r>
    </w:p>
    <w:p w:rsidR="00000000" w:rsidDel="00000000" w:rsidP="00000000" w:rsidRDefault="00000000" w:rsidRPr="00000000" w14:paraId="0000022C">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Del periodo comprendido del primero de enero del año dos mil veintidós al dieciocho de octubre del año dos mil veinticuatro:</w:t>
      </w:r>
    </w:p>
    <w:p w:rsidR="00000000" w:rsidDel="00000000" w:rsidP="00000000" w:rsidRDefault="00000000" w:rsidRPr="00000000" w14:paraId="0000022D">
      <w:pPr>
        <w:numPr>
          <w:ilvl w:val="0"/>
          <w:numId w:val="4"/>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Las localidades del Municipio de Chapultepec con mayor incidencia delictiva.</w:t>
      </w:r>
    </w:p>
    <w:p w:rsidR="00000000" w:rsidDel="00000000" w:rsidP="00000000" w:rsidRDefault="00000000" w:rsidRPr="00000000" w14:paraId="0000022E">
      <w:pPr>
        <w:numPr>
          <w:ilvl w:val="0"/>
          <w:numId w:val="4"/>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número de cámaras de video vigilancia, el costo de las mismas y las integradas al C2.  </w:t>
      </w:r>
    </w:p>
    <w:p w:rsidR="00000000" w:rsidDel="00000000" w:rsidP="00000000" w:rsidRDefault="00000000" w:rsidRPr="00000000" w14:paraId="0000022F">
      <w:pPr>
        <w:numPr>
          <w:ilvl w:val="0"/>
          <w:numId w:val="4"/>
        </w:numPr>
        <w:pBdr>
          <w:top w:space="0" w:sz="0" w:val="nil"/>
          <w:left w:space="0" w:sz="0" w:val="nil"/>
          <w:bottom w:space="0" w:sz="0" w:val="nil"/>
          <w:right w:space="0" w:sz="0" w:val="nil"/>
          <w:between w:space="0" w:sz="0" w:val="nil"/>
        </w:pBdr>
        <w:spacing w:line="360" w:lineRule="auto"/>
        <w:ind w:left="720" w:right="51" w:hanging="36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rtl w:val="0"/>
        </w:rPr>
        <w:t xml:space="preserve">El costo del equipo aéreo de video vigilancia.</w:t>
      </w:r>
      <w:r w:rsidDel="00000000" w:rsidR="00000000" w:rsidRPr="00000000">
        <w:rPr>
          <w:rtl w:val="0"/>
        </w:rPr>
      </w:r>
    </w:p>
    <w:p w:rsidR="00000000" w:rsidDel="00000000" w:rsidP="00000000" w:rsidRDefault="00000000" w:rsidRPr="00000000" w14:paraId="00000230">
      <w:pPr>
        <w:pBdr>
          <w:top w:space="0" w:sz="0" w:val="nil"/>
          <w:left w:space="0" w:sz="0" w:val="nil"/>
          <w:bottom w:space="0" w:sz="0" w:val="nil"/>
          <w:right w:space="0" w:sz="0" w:val="nil"/>
          <w:between w:space="0" w:sz="0" w:val="nil"/>
        </w:pBdr>
        <w:spacing w:line="360" w:lineRule="auto"/>
        <w:ind w:left="720" w:right="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31">
      <w:pPr>
        <w:pBdr>
          <w:top w:space="0" w:sz="0" w:val="nil"/>
          <w:left w:space="0" w:sz="0" w:val="nil"/>
          <w:bottom w:space="0" w:sz="0" w:val="nil"/>
          <w:right w:space="0" w:sz="0" w:val="nil"/>
          <w:between w:space="0" w:sz="0" w:val="nil"/>
        </w:pBdr>
        <w:spacing w:after="240" w:lineRule="auto"/>
        <w:ind w:left="720" w:right="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 ser procedente, 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rsidR="00000000" w:rsidDel="00000000" w:rsidP="00000000" w:rsidRDefault="00000000" w:rsidRPr="00000000" w14:paraId="00000232">
      <w:pPr>
        <w:pBdr>
          <w:top w:space="0" w:sz="0" w:val="nil"/>
          <w:left w:space="0" w:sz="0" w:val="nil"/>
          <w:bottom w:space="0" w:sz="0" w:val="nil"/>
          <w:right w:space="0" w:sz="0" w:val="nil"/>
          <w:between w:space="0" w:sz="0" w:val="nil"/>
        </w:pBdr>
        <w:ind w:left="720" w:right="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33">
      <w:pPr>
        <w:pBdr>
          <w:top w:space="0" w:sz="0" w:val="nil"/>
          <w:left w:space="0" w:sz="0" w:val="nil"/>
          <w:bottom w:space="0" w:sz="0" w:val="nil"/>
          <w:right w:space="0" w:sz="0" w:val="nil"/>
          <w:between w:space="0" w:sz="0" w:val="nil"/>
        </w:pBdr>
        <w:ind w:right="51"/>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34">
      <w:pPr>
        <w:spacing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la presente resolución al T</w:t>
      </w:r>
      <w:r w:rsidDel="00000000" w:rsidR="00000000" w:rsidRPr="00000000">
        <w:rPr>
          <w:rFonts w:ascii="Palatino Linotype" w:cs="Palatino Linotype" w:eastAsia="Palatino Linotype" w:hAnsi="Palatino Linotype"/>
          <w:b w:val="1"/>
          <w:rtl w:val="0"/>
        </w:rPr>
        <w:t xml:space="preserve">itular de la Unidad de Transparencia </w:t>
      </w:r>
      <w:r w:rsidDel="00000000" w:rsidR="00000000" w:rsidRPr="00000000">
        <w:rPr>
          <w:rFonts w:ascii="Palatino Linotype" w:cs="Palatino Linotype" w:eastAsia="Palatino Linotype" w:hAnsi="Palatino Linotype"/>
          <w:rtl w:val="0"/>
        </w:rPr>
        <w:t xml:space="preserve">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235">
      <w:pPr>
        <w:spacing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3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w:t>
      </w:r>
      <w:r w:rsidDel="00000000" w:rsidR="00000000" w:rsidRPr="00000000">
        <w:rPr>
          <w:rFonts w:ascii="Palatino Linotype" w:cs="Palatino Linotype" w:eastAsia="Palatino Linotype" w:hAnsi="Palatino Linotype"/>
          <w:rtl w:val="0"/>
        </w:rPr>
        <w:t xml:space="preserve">De conformidad con el artículo 198 de la Ley de Transparencia y Acceso a la Información Pública del Estado de México y Municipios, de considerarlo procedente,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de manera fundada y motivada, podrá solicitar una ampliación de plazo para el cumplimiento de la presente resolución.</w:t>
      </w:r>
    </w:p>
    <w:p w:rsidR="00000000" w:rsidDel="00000000" w:rsidP="00000000" w:rsidRDefault="00000000" w:rsidRPr="00000000" w14:paraId="0000023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38">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Notifíquese vía SAIMEX</w:t>
      </w:r>
      <w:r w:rsidDel="00000000" w:rsidR="00000000" w:rsidRPr="00000000">
        <w:rPr>
          <w:rFonts w:ascii="Palatino Linotype" w:cs="Palatino Linotype" w:eastAsia="Palatino Linotype" w:hAnsi="Palatino Linotype"/>
          <w:rtl w:val="0"/>
        </w:rPr>
        <w:t xml:space="preserve">, a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rsidR="00000000" w:rsidDel="00000000" w:rsidP="00000000" w:rsidRDefault="00000000" w:rsidRPr="00000000" w14:paraId="0000023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3A">
      <w:pPr>
        <w:spacing w:after="240" w:before="240" w:line="360" w:lineRule="auto"/>
        <w:jc w:val="both"/>
        <w:rPr>
          <w:rFonts w:ascii="Palatino Linotype" w:cs="Palatino Linotype" w:eastAsia="Palatino Linotype" w:hAnsi="Palatino Linotype"/>
        </w:rPr>
        <w:sectPr>
          <w:headerReference r:id="rId13" w:type="default"/>
          <w:headerReference r:id="rId14" w:type="first"/>
          <w:footerReference r:id="rId15" w:type="default"/>
          <w:footerReference r:id="rId16" w:type="first"/>
          <w:pgSz w:h="15840" w:w="12240" w:orient="portrait"/>
          <w:pgMar w:bottom="1701" w:top="1985" w:left="1701" w:right="1701" w:header="709" w:footer="709"/>
          <w:pgNumType w:start="1"/>
          <w:titlePg w:val="1"/>
        </w:sectPr>
      </w:pPr>
      <w:bookmarkStart w:colFirst="0" w:colLast="0" w:name="_heading=h.1fob9te" w:id="3"/>
      <w:bookmarkEnd w:id="3"/>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EMITIENDO VOTO PARTICULAR Y GUADALUPE RAMÍREZ PEÑA; EN LA CUADRAGÉSIMA TERCERA SESIÓN ORDINARIA CELEBRADA EL ONCE DE DICIEMBRE DE DOS MIL VEINTICUATRO, ANTE EL SECRETARIO TÉCNICO DEL PLENO ALEXIS TAPIA RAMÍREZ.  </w:t>
      </w:r>
    </w:p>
    <w:p w:rsidR="00000000" w:rsidDel="00000000" w:rsidP="00000000" w:rsidRDefault="00000000" w:rsidRPr="00000000" w14:paraId="0000023B">
      <w:pPr>
        <w:spacing w:after="240" w:before="240" w:line="360" w:lineRule="auto"/>
        <w:jc w:val="both"/>
        <w:rPr>
          <w:rFonts w:ascii="Palatino Linotype" w:cs="Palatino Linotype" w:eastAsia="Palatino Linotype" w:hAnsi="Palatino Linotype"/>
        </w:rPr>
      </w:pPr>
      <w:r w:rsidDel="00000000" w:rsidR="00000000" w:rsidRPr="00000000">
        <w:rPr>
          <w:rtl w:val="0"/>
        </w:rPr>
      </w:r>
    </w:p>
    <w:sectPr>
      <w:headerReference r:id="rId17" w:type="first"/>
      <w:type w:val="nextPage"/>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2">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53">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4">
    <w:pPr>
      <w:pBdr>
        <w:top w:space="0" w:sz="0" w:val="nil"/>
        <w:left w:space="0" w:sz="0" w:val="nil"/>
        <w:bottom w:space="0" w:sz="0" w:val="nil"/>
        <w:right w:space="0" w:sz="0" w:val="nil"/>
        <w:between w:space="0" w:sz="0" w:val="nil"/>
      </w:pBdr>
      <w:tabs>
        <w:tab w:val="center" w:leader="none" w:pos="4419"/>
        <w:tab w:val="right" w:leader="none" w:pos="8838"/>
      </w:tabs>
      <w:jc w:val="right"/>
      <w:rPr>
        <w:color w:val="000000"/>
      </w:rPr>
    </w:pPr>
    <w:r w:rsidDel="00000000" w:rsidR="00000000" w:rsidRPr="00000000">
      <w:rPr>
        <w:color w:val="000000"/>
        <w:rtl w:val="0"/>
      </w:rPr>
      <w:t xml:space="preserve">Página </w:t>
    </w:r>
    <w:r w:rsidDel="00000000" w:rsidR="00000000" w:rsidRPr="00000000">
      <w:rPr>
        <w:b w:val="1"/>
        <w:color w:val="000000"/>
        <w:rtl w:val="0"/>
      </w:rPr>
      <w:t xml:space="preserve">62</w:t>
    </w:r>
    <w:r w:rsidDel="00000000" w:rsidR="00000000" w:rsidRPr="00000000">
      <w:rPr>
        <w:color w:val="000000"/>
        <w:rtl w:val="0"/>
      </w:rPr>
      <w:t xml:space="preserve"> de </w:t>
    </w:r>
    <w:r w:rsidDel="00000000" w:rsidR="00000000" w:rsidRPr="00000000">
      <w:rPr>
        <w:b w:val="1"/>
        <w:color w:val="00000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55">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3C">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Artículo 150 de la Ley de Transparencia y Acceso a la Información Pública del Estado de México y Municipios</w:t>
      </w:r>
    </w:p>
  </w:footnote>
  <w:footnote w:id="1">
    <w:p w:rsidR="00000000" w:rsidDel="00000000" w:rsidP="00000000" w:rsidRDefault="00000000" w:rsidRPr="00000000" w14:paraId="0000023D">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Artículo 165, ibídem</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E">
    <w:pPr>
      <w:pBdr>
        <w:top w:space="0" w:sz="0" w:val="nil"/>
        <w:left w:space="0" w:sz="0" w:val="nil"/>
        <w:bottom w:space="0" w:sz="0" w:val="nil"/>
        <w:right w:space="0" w:sz="0" w:val="nil"/>
        <w:between w:space="0" w:sz="0" w:val="nil"/>
      </w:pBdr>
      <w:tabs>
        <w:tab w:val="center" w:leader="none" w:pos="4252"/>
        <w:tab w:val="right" w:leader="none" w:pos="8504"/>
        <w:tab w:val="left" w:leader="none" w:pos="2326"/>
      </w:tabs>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-1080127</wp:posOffset>
          </wp:positionH>
          <wp:positionV relativeFrom="paragraph">
            <wp:posOffset>-488307</wp:posOffset>
          </wp:positionV>
          <wp:extent cx="7809865" cy="10165715"/>
          <wp:effectExtent b="0" l="0" r="0" t="0"/>
          <wp:wrapNone/>
          <wp:docPr id="290"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1"/>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23F">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240">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07304/INFOEM/IP/RR/2024</w:t>
          </w:r>
        </w:p>
      </w:tc>
    </w:tr>
    <w:tr>
      <w:trPr>
        <w:cantSplit w:val="0"/>
        <w:trHeight w:val="228" w:hRule="atLeast"/>
        <w:tblHeader w:val="0"/>
      </w:trPr>
      <w:tc>
        <w:tcPr>
          <w:shd w:fill="auto" w:val="clear"/>
          <w:vAlign w:val="center"/>
        </w:tcPr>
        <w:p w:rsidR="00000000" w:rsidDel="00000000" w:rsidP="00000000" w:rsidRDefault="00000000" w:rsidRPr="00000000" w14:paraId="00000241">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242">
          <w:pPr>
            <w:ind w:right="31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Chapultepec.</w:t>
          </w:r>
        </w:p>
      </w:tc>
    </w:tr>
    <w:tr>
      <w:trPr>
        <w:cantSplit w:val="0"/>
        <w:tblHeader w:val="0"/>
      </w:trPr>
      <w:tc>
        <w:tcPr>
          <w:shd w:fill="auto" w:val="clear"/>
          <w:vAlign w:val="center"/>
        </w:tcPr>
        <w:p w:rsidR="00000000" w:rsidDel="00000000" w:rsidP="00000000" w:rsidRDefault="00000000" w:rsidRPr="00000000" w14:paraId="00000243">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244">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245">
    <w:pPr>
      <w:pBdr>
        <w:top w:space="0" w:sz="0" w:val="nil"/>
        <w:left w:space="0" w:sz="0" w:val="nil"/>
        <w:bottom w:space="0" w:sz="0" w:val="nil"/>
        <w:right w:space="0" w:sz="0" w:val="nil"/>
        <w:between w:space="0" w:sz="0" w:val="nil"/>
      </w:pBdr>
      <w:tabs>
        <w:tab w:val="center" w:leader="none" w:pos="4252"/>
        <w:tab w:val="right" w:leader="none" w:pos="8504"/>
        <w:tab w:val="left" w:leader="none" w:pos="2326"/>
      </w:tabs>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6">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p>
  <w:tbl>
    <w:tblPr>
      <w:tblStyle w:val="Table2"/>
      <w:tblW w:w="5670.0" w:type="dxa"/>
      <w:jc w:val="left"/>
      <w:tblInd w:w="3261.0" w:type="dxa"/>
      <w:tblLayout w:type="fixed"/>
      <w:tblLook w:val="0400"/>
    </w:tblPr>
    <w:tblGrid>
      <w:gridCol w:w="2551"/>
      <w:gridCol w:w="3119"/>
      <w:tblGridChange w:id="0">
        <w:tblGrid>
          <w:gridCol w:w="2551"/>
          <w:gridCol w:w="3119"/>
        </w:tblGrid>
      </w:tblGridChange>
    </w:tblGrid>
    <w:tr>
      <w:trPr>
        <w:cantSplit w:val="0"/>
        <w:tblHeader w:val="0"/>
      </w:trPr>
      <w:tc>
        <w:tcPr>
          <w:shd w:fill="auto" w:val="clear"/>
          <w:vAlign w:val="center"/>
        </w:tcPr>
        <w:p w:rsidR="00000000" w:rsidDel="00000000" w:rsidP="00000000" w:rsidRDefault="00000000" w:rsidRPr="00000000" w14:paraId="00000247">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248">
          <w:pPr>
            <w:tabs>
              <w:tab w:val="left" w:leader="none"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07304/INFOEM/IP/RR/2024</w:t>
          </w:r>
        </w:p>
      </w:tc>
    </w:tr>
    <w:tr>
      <w:trPr>
        <w:cantSplit w:val="0"/>
        <w:trHeight w:val="130" w:hRule="atLeast"/>
        <w:tblHeader w:val="0"/>
      </w:trPr>
      <w:tc>
        <w:tcPr>
          <w:shd w:fill="auto" w:val="clear"/>
          <w:vAlign w:val="center"/>
        </w:tcPr>
        <w:p w:rsidR="00000000" w:rsidDel="00000000" w:rsidP="00000000" w:rsidRDefault="00000000" w:rsidRPr="00000000" w14:paraId="0000024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24A">
          <w:pPr>
            <w:tabs>
              <w:tab w:val="left" w:leader="none"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XXXXXXX XXXXX XXXXXXX </w:t>
          </w:r>
        </w:p>
      </w:tc>
    </w:tr>
    <w:tr>
      <w:trPr>
        <w:cantSplit w:val="0"/>
        <w:trHeight w:val="228" w:hRule="atLeast"/>
        <w:tblHeader w:val="0"/>
      </w:trPr>
      <w:tc>
        <w:tcPr>
          <w:shd w:fill="auto" w:val="clear"/>
          <w:vAlign w:val="center"/>
        </w:tcPr>
        <w:p w:rsidR="00000000" w:rsidDel="00000000" w:rsidP="00000000" w:rsidRDefault="00000000" w:rsidRPr="00000000" w14:paraId="0000024B">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24C">
          <w:pPr>
            <w:tabs>
              <w:tab w:val="left" w:leader="none"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Chapultepec</w:t>
          </w:r>
        </w:p>
      </w:tc>
    </w:tr>
    <w:tr>
      <w:trPr>
        <w:cantSplit w:val="0"/>
        <w:tblHeader w:val="0"/>
      </w:trPr>
      <w:tc>
        <w:tcPr>
          <w:shd w:fill="auto" w:val="clear"/>
          <w:vAlign w:val="center"/>
        </w:tcPr>
        <w:p w:rsidR="00000000" w:rsidDel="00000000" w:rsidP="00000000" w:rsidRDefault="00000000" w:rsidRPr="00000000" w14:paraId="0000024D">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24E">
          <w:pPr>
            <w:ind w:left="-45"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24F">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-1089652</wp:posOffset>
          </wp:positionH>
          <wp:positionV relativeFrom="paragraph">
            <wp:posOffset>-1169661</wp:posOffset>
          </wp:positionV>
          <wp:extent cx="7809865" cy="10165715"/>
          <wp:effectExtent b="0" l="0" r="0" t="0"/>
          <wp:wrapNone/>
          <wp:docPr id="29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0">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p>
  <w:p w:rsidR="00000000" w:rsidDel="00000000" w:rsidP="00000000" w:rsidRDefault="00000000" w:rsidRPr="00000000" w14:paraId="00000251">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1974" w:hanging="840"/>
      </w:pPr>
      <w:rPr/>
    </w:lvl>
    <w:lvl w:ilvl="1">
      <w:start w:val="1"/>
      <w:numFmt w:val="lowerLetter"/>
      <w:lvlText w:val="%2."/>
      <w:lvlJc w:val="left"/>
      <w:pPr>
        <w:ind w:left="2007" w:hanging="360"/>
      </w:pPr>
      <w:rPr/>
    </w:lvl>
    <w:lvl w:ilvl="2">
      <w:start w:val="1"/>
      <w:numFmt w:val="lowerRoman"/>
      <w:lvlText w:val="%3."/>
      <w:lvlJc w:val="right"/>
      <w:pPr>
        <w:ind w:left="2727" w:hanging="180"/>
      </w:pPr>
      <w:rPr/>
    </w:lvl>
    <w:lvl w:ilvl="3">
      <w:start w:val="1"/>
      <w:numFmt w:val="decimal"/>
      <w:lvlText w:val="%4."/>
      <w:lvlJc w:val="left"/>
      <w:pPr>
        <w:ind w:left="3447" w:hanging="360"/>
      </w:pPr>
      <w:rPr/>
    </w:lvl>
    <w:lvl w:ilvl="4">
      <w:start w:val="1"/>
      <w:numFmt w:val="lowerLetter"/>
      <w:lvlText w:val="%5."/>
      <w:lvlJc w:val="left"/>
      <w:pPr>
        <w:ind w:left="4167" w:hanging="360"/>
      </w:pPr>
      <w:rPr/>
    </w:lvl>
    <w:lvl w:ilvl="5">
      <w:start w:val="1"/>
      <w:numFmt w:val="lowerRoman"/>
      <w:lvlText w:val="%6."/>
      <w:lvlJc w:val="right"/>
      <w:pPr>
        <w:ind w:left="4887" w:hanging="180"/>
      </w:pPr>
      <w:rPr/>
    </w:lvl>
    <w:lvl w:ilvl="6">
      <w:start w:val="1"/>
      <w:numFmt w:val="decimal"/>
      <w:lvlText w:val="%7."/>
      <w:lvlJc w:val="left"/>
      <w:pPr>
        <w:ind w:left="5607" w:hanging="360"/>
      </w:pPr>
      <w:rPr/>
    </w:lvl>
    <w:lvl w:ilvl="7">
      <w:start w:val="1"/>
      <w:numFmt w:val="lowerLetter"/>
      <w:lvlText w:val="%8."/>
      <w:lvlJc w:val="left"/>
      <w:pPr>
        <w:ind w:left="6327" w:hanging="360"/>
      </w:pPr>
      <w:rPr/>
    </w:lvl>
    <w:lvl w:ilvl="8">
      <w:start w:val="1"/>
      <w:numFmt w:val="lowerRoman"/>
      <w:lvlText w:val="%9."/>
      <w:lvlJc w:val="right"/>
      <w:pPr>
        <w:ind w:left="7047"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before="240"/>
      <w:outlineLvl w:val="0"/>
    </w:pPr>
    <w:rPr>
      <w:rFonts w:ascii="Calibri" w:cs="Calibri" w:eastAsia="Calibri" w:hAnsi="Calibri"/>
      <w:color w:val="366091"/>
      <w:sz w:val="32"/>
      <w:szCs w:val="32"/>
    </w:rPr>
  </w:style>
  <w:style w:type="paragraph" w:styleId="Ttulo2">
    <w:name w:val="heading 2"/>
    <w:basedOn w:val="Normal"/>
    <w:next w:val="Normal"/>
    <w:uiPriority w:val="9"/>
    <w:semiHidden w:val="1"/>
    <w:unhideWhenUsed w:val="1"/>
    <w:qFormat w:val="1"/>
    <w:pPr>
      <w:keepNext w:val="1"/>
      <w:keepLines w:val="1"/>
      <w:spacing w:before="40"/>
      <w:outlineLvl w:val="1"/>
    </w:pPr>
    <w:rPr>
      <w:rFonts w:ascii="Calibri" w:cs="Calibri" w:eastAsia="Calibri" w:hAnsi="Calibri"/>
      <w:color w:val="366091"/>
      <w:sz w:val="26"/>
      <w:szCs w:val="26"/>
    </w:rPr>
  </w:style>
  <w:style w:type="paragraph" w:styleId="Ttulo3">
    <w:name w:val="heading 3"/>
    <w:basedOn w:val="Normal"/>
    <w:next w:val="Normal"/>
    <w:uiPriority w:val="9"/>
    <w:semiHidden w:val="1"/>
    <w:unhideWhenUsed w:val="1"/>
    <w:qFormat w:val="1"/>
    <w:pPr>
      <w:keepNext w:val="1"/>
      <w:spacing w:after="60" w:before="240"/>
      <w:ind w:left="2160" w:hanging="720"/>
      <w:outlineLvl w:val="2"/>
    </w:pPr>
    <w:rPr>
      <w:rFonts w:ascii="Calibri" w:cs="Calibri" w:eastAsia="Calibri" w:hAnsi="Calibri"/>
      <w:b w:val="1"/>
      <w:sz w:val="26"/>
      <w:szCs w:val="26"/>
    </w:rPr>
  </w:style>
  <w:style w:type="paragraph" w:styleId="Ttulo4">
    <w:name w:val="heading 4"/>
    <w:basedOn w:val="Normal"/>
    <w:next w:val="Normal"/>
    <w:uiPriority w:val="9"/>
    <w:semiHidden w:val="1"/>
    <w:unhideWhenUsed w:val="1"/>
    <w:qFormat w:val="1"/>
    <w:pPr>
      <w:keepNext w:val="1"/>
      <w:spacing w:after="60" w:before="240"/>
      <w:ind w:left="2880" w:hanging="720"/>
      <w:outlineLvl w:val="3"/>
    </w:pPr>
    <w:rPr>
      <w:rFonts w:ascii="Cambria" w:cs="Cambria" w:eastAsia="Cambria" w:hAnsi="Cambria"/>
      <w:b w:val="1"/>
      <w:sz w:val="28"/>
      <w:szCs w:val="28"/>
    </w:rPr>
  </w:style>
  <w:style w:type="paragraph" w:styleId="Ttulo5">
    <w:name w:val="heading 5"/>
    <w:basedOn w:val="Normal"/>
    <w:next w:val="Normal"/>
    <w:uiPriority w:val="9"/>
    <w:semiHidden w:val="1"/>
    <w:unhideWhenUsed w:val="1"/>
    <w:qFormat w:val="1"/>
    <w:pPr>
      <w:spacing w:after="60" w:before="240"/>
      <w:ind w:left="3600" w:hanging="720"/>
      <w:outlineLvl w:val="4"/>
    </w:pPr>
    <w:rPr>
      <w:rFonts w:ascii="Cambria" w:cs="Cambria" w:eastAsia="Cambria" w:hAnsi="Cambria"/>
      <w:b w:val="1"/>
      <w:i w:val="1"/>
      <w:sz w:val="26"/>
      <w:szCs w:val="26"/>
    </w:rPr>
  </w:style>
  <w:style w:type="paragraph" w:styleId="Ttulo6">
    <w:name w:val="heading 6"/>
    <w:basedOn w:val="Normal"/>
    <w:next w:val="Normal"/>
    <w:uiPriority w:val="9"/>
    <w:semiHidden w:val="1"/>
    <w:unhideWhenUsed w:val="1"/>
    <w:qFormat w:val="1"/>
    <w:pPr>
      <w:spacing w:after="60" w:before="240"/>
      <w:ind w:left="4320" w:hanging="720"/>
      <w:outlineLvl w:val="5"/>
    </w:pPr>
    <w:rPr>
      <w:b w:val="1"/>
      <w:sz w:val="22"/>
      <w:szCs w:val="2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3"/>
    <w:tblPr>
      <w:tblStyleRowBandSize w:val="1"/>
      <w:tblStyleColBandSize w:val="1"/>
      <w:tblCellMar>
        <w:left w:w="115.0" w:type="dxa"/>
        <w:right w:w="115.0" w:type="dxa"/>
      </w:tblCellMar>
    </w:tblPr>
  </w:style>
  <w:style w:type="table" w:styleId="a0" w:customStyle="1">
    <w:basedOn w:val="TableNormal3"/>
    <w:tblPr>
      <w:tblStyleRowBandSize w:val="1"/>
      <w:tblStyleColBandSize w:val="1"/>
      <w:tblCellMar>
        <w:left w:w="115.0" w:type="dxa"/>
        <w:right w:w="115.0" w:type="dxa"/>
      </w:tblCellMar>
    </w:tblPr>
  </w:style>
  <w:style w:type="paragraph" w:styleId="Encabezado">
    <w:name w:val="header"/>
    <w:basedOn w:val="Normal"/>
    <w:link w:val="EncabezadoCar"/>
    <w:uiPriority w:val="99"/>
    <w:unhideWhenUsed w:val="1"/>
    <w:rsid w:val="005E3D1F"/>
    <w:pPr>
      <w:tabs>
        <w:tab w:val="center" w:pos="4419"/>
        <w:tab w:val="right" w:pos="8838"/>
      </w:tabs>
    </w:pPr>
  </w:style>
  <w:style w:type="character" w:styleId="EncabezadoCar" w:customStyle="1">
    <w:name w:val="Encabezado Car"/>
    <w:basedOn w:val="Fuentedeprrafopredeter"/>
    <w:link w:val="Encabezado"/>
    <w:uiPriority w:val="99"/>
    <w:rsid w:val="005E3D1F"/>
  </w:style>
  <w:style w:type="paragraph" w:styleId="Piedepgina">
    <w:name w:val="footer"/>
    <w:basedOn w:val="Normal"/>
    <w:link w:val="PiedepginaCar"/>
    <w:uiPriority w:val="99"/>
    <w:unhideWhenUsed w:val="1"/>
    <w:rsid w:val="005E3D1F"/>
    <w:pPr>
      <w:tabs>
        <w:tab w:val="center" w:pos="4419"/>
        <w:tab w:val="right" w:pos="8838"/>
      </w:tabs>
    </w:pPr>
  </w:style>
  <w:style w:type="character" w:styleId="PiedepginaCar" w:customStyle="1">
    <w:name w:val="Pie de página Car"/>
    <w:basedOn w:val="Fuentedeprrafopredeter"/>
    <w:link w:val="Piedepgina"/>
    <w:uiPriority w:val="99"/>
    <w:rsid w:val="005E3D1F"/>
  </w:style>
  <w:style w:type="character" w:styleId="Hipervnculo">
    <w:name w:val="Hyperlink"/>
    <w:basedOn w:val="Fuentedeprrafopredeter"/>
    <w:uiPriority w:val="99"/>
    <w:unhideWhenUsed w:val="1"/>
    <w:rsid w:val="005E3D1F"/>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val="1"/>
    <w:rsid w:val="00CF0F6F"/>
    <w:pPr>
      <w:ind w:left="720"/>
      <w:contextualSpacing w:val="1"/>
    </w:p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val="1"/>
    <w:locked w:val="1"/>
    <w:rsid w:val="000011D2"/>
  </w:style>
  <w:style w:type="table" w:styleId="Tablaconcuadrcula">
    <w:name w:val="Table Grid"/>
    <w:basedOn w:val="Tablanormal"/>
    <w:uiPriority w:val="39"/>
    <w:rsid w:val="008B5C6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1" w:customStyle="1">
    <w:basedOn w:val="TableNormal3"/>
    <w:tblPr>
      <w:tblStyleRowBandSize w:val="1"/>
      <w:tblStyleColBandSize w:val="1"/>
      <w:tblCellMar>
        <w:left w:w="108.0" w:type="dxa"/>
        <w:right w:w="108.0" w:type="dxa"/>
      </w:tblCellMar>
    </w:tblPr>
  </w:style>
  <w:style w:type="table" w:styleId="a2" w:customStyle="1">
    <w:basedOn w:val="TableNormal3"/>
    <w:tblPr>
      <w:tblStyleRowBandSize w:val="1"/>
      <w:tblStyleColBandSize w:val="1"/>
      <w:tblCellMar>
        <w:left w:w="115.0" w:type="dxa"/>
        <w:right w:w="115.0" w:type="dxa"/>
      </w:tblCellMar>
    </w:tblPr>
  </w:style>
  <w:style w:type="table" w:styleId="a3" w:customStyle="1">
    <w:basedOn w:val="TableNormal3"/>
    <w:tblPr>
      <w:tblStyleRowBandSize w:val="1"/>
      <w:tblStyleColBandSize w:val="1"/>
      <w:tblCellMar>
        <w:left w:w="115.0" w:type="dxa"/>
        <w:right w:w="115.0" w:type="dxa"/>
      </w:tblCellMar>
    </w:tblPr>
  </w:style>
  <w:style w:type="table" w:styleId="a4" w:customStyle="1">
    <w:basedOn w:val="TableNormal3"/>
    <w:tblPr>
      <w:tblStyleRowBandSize w:val="1"/>
      <w:tblStyleColBandSize w:val="1"/>
      <w:tblCellMar>
        <w:left w:w="115.0" w:type="dxa"/>
        <w:right w:w="115.0" w:type="dxa"/>
      </w:tblCellMar>
    </w:tblPr>
  </w:style>
  <w:style w:type="table" w:styleId="a5" w:customStyle="1">
    <w:basedOn w:val="TableNormal2"/>
    <w:tblPr>
      <w:tblStyleRowBandSize w:val="1"/>
      <w:tblStyleColBandSize w:val="1"/>
      <w:tblCellMar>
        <w:left w:w="115.0" w:type="dxa"/>
        <w:right w:w="115.0" w:type="dxa"/>
      </w:tblCellMar>
    </w:tblPr>
  </w:style>
  <w:style w:type="table" w:styleId="a6" w:customStyle="1">
    <w:basedOn w:val="TableNormal2"/>
    <w:tblPr>
      <w:tblStyleRowBandSize w:val="1"/>
      <w:tblStyleColBandSize w:val="1"/>
      <w:tblCellMar>
        <w:left w:w="115.0" w:type="dxa"/>
        <w:right w:w="115.0" w:type="dxa"/>
      </w:tblCellMar>
    </w:tblPr>
  </w:style>
  <w:style w:type="table" w:styleId="a7" w:customStyle="1">
    <w:basedOn w:val="TableNormal2"/>
    <w:tblPr>
      <w:tblStyleRowBandSize w:val="1"/>
      <w:tblStyleColBandSize w:val="1"/>
      <w:tblCellMar>
        <w:left w:w="115.0" w:type="dxa"/>
        <w:right w:w="115.0" w:type="dxa"/>
      </w:tblCellMar>
    </w:tblPr>
  </w:style>
  <w:style w:type="character" w:styleId="Hipervnculovisitado">
    <w:name w:val="FollowedHyperlink"/>
    <w:basedOn w:val="Fuentedeprrafopredeter"/>
    <w:uiPriority w:val="99"/>
    <w:semiHidden w:val="1"/>
    <w:unhideWhenUsed w:val="1"/>
    <w:rsid w:val="006624D2"/>
    <w:rPr>
      <w:color w:val="800080" w:themeColor="followedHyperlink"/>
      <w:u w:val="single"/>
    </w:rPr>
  </w:style>
  <w:style w:type="paragraph" w:styleId="Sinespaciado">
    <w:name w:val="No Spacing"/>
    <w:aliases w:val="Francesa,INAI"/>
    <w:link w:val="SinespaciadoCar"/>
    <w:uiPriority w:val="1"/>
    <w:qFormat w:val="1"/>
    <w:rsid w:val="008C4DE7"/>
    <w:rPr>
      <w:lang w:val="es-MX"/>
    </w:rPr>
  </w:style>
  <w:style w:type="character" w:styleId="SinespaciadoCar" w:customStyle="1">
    <w:name w:val="Sin espaciado Car"/>
    <w:aliases w:val="Francesa Car,INAI Car"/>
    <w:link w:val="Sinespaciado"/>
    <w:uiPriority w:val="1"/>
    <w:locked w:val="1"/>
    <w:rsid w:val="008C4DE7"/>
    <w:rPr>
      <w:lang w:val="es-MX"/>
    </w:rPr>
  </w:style>
  <w:style w:type="table" w:styleId="a8" w:customStyle="1">
    <w:basedOn w:val="TableNormal1"/>
    <w:tblPr>
      <w:tblStyleRowBandSize w:val="1"/>
      <w:tblStyleColBandSize w:val="1"/>
      <w:tblCellMar>
        <w:left w:w="115.0" w:type="dxa"/>
        <w:right w:w="115.0" w:type="dxa"/>
      </w:tblCellMar>
    </w:tblPr>
  </w:style>
  <w:style w:type="table" w:styleId="a9" w:customStyle="1">
    <w:basedOn w:val="TableNormal1"/>
    <w:tblPr>
      <w:tblStyleRowBandSize w:val="1"/>
      <w:tblStyleColBandSize w:val="1"/>
      <w:tblCellMar>
        <w:left w:w="115.0" w:type="dxa"/>
        <w:right w:w="115.0" w:type="dxa"/>
      </w:tblCellMar>
    </w:tblPr>
  </w:style>
  <w:style w:type="table" w:styleId="aa" w:customStyle="1">
    <w:basedOn w:val="TableNormal1"/>
    <w:tblPr>
      <w:tblStyleRowBandSize w:val="1"/>
      <w:tblStyleColBandSize w:val="1"/>
      <w:tblCellMar>
        <w:left w:w="115.0" w:type="dxa"/>
        <w:right w:w="115.0" w:type="dxa"/>
      </w:tblCellMar>
    </w:tblPr>
  </w:style>
  <w:style w:type="table" w:styleId="ab" w:customStyle="1">
    <w:basedOn w:val="TableNormal1"/>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4.png"/><Relationship Id="rId13" Type="http://schemas.openxmlformats.org/officeDocument/2006/relationships/header" Target="header1.xm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6.png"/><Relationship Id="rId15" Type="http://schemas.openxmlformats.org/officeDocument/2006/relationships/footer" Target="footer1.xml"/><Relationship Id="rId14" Type="http://schemas.openxmlformats.org/officeDocument/2006/relationships/header" Target="header2.xml"/><Relationship Id="rId17" Type="http://schemas.openxmlformats.org/officeDocument/2006/relationships/header" Target="header3.xml"/><Relationship Id="rId16"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iOIDT2Ocbaee0gnIqX3J/yi+3Q==">CgMxLjAyCGguZ2pkZ3hzMgloLjMwajB6bGwyCGgudHlqY3d0MgloLjFmb2I5dGU4AHIhMWV4UUlULXdYVzAzMm9DajhlX3RzbFBaakN6cVRoaGhi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2025-01-16T18:09:00Z</dcterms:created>
  <dc:creator>USUARIO</dc:creator>
</cp:coreProperties>
</file>