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A8521" w14:textId="28EF2FD2"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w:t>
      </w:r>
      <w:r w:rsidR="00F82F3F">
        <w:rPr>
          <w:rFonts w:ascii="Palatino Linotype" w:eastAsia="Times New Roman" w:hAnsi="Palatino Linotype" w:cs="Arial"/>
          <w:color w:val="000000"/>
          <w:sz w:val="24"/>
          <w:szCs w:val="24"/>
          <w:lang w:eastAsia="es-MX"/>
        </w:rPr>
        <w:t xml:space="preserve">trece de marzo </w:t>
      </w:r>
      <w:r w:rsidRPr="00DB6E06">
        <w:rPr>
          <w:rFonts w:ascii="Palatino Linotype" w:eastAsia="Times New Roman" w:hAnsi="Palatino Linotype" w:cs="Arial"/>
          <w:color w:val="000000"/>
          <w:sz w:val="24"/>
          <w:szCs w:val="24"/>
          <w:lang w:eastAsia="es-MX"/>
        </w:rPr>
        <w:t>de dos mil veinticuatro.</w:t>
      </w:r>
    </w:p>
    <w:p w14:paraId="11620FF1" w14:textId="77777777"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
          <w:szCs w:val="24"/>
          <w:lang w:eastAsia="es-MX"/>
        </w:rPr>
      </w:pPr>
    </w:p>
    <w:p w14:paraId="7A0A58EE" w14:textId="77777777" w:rsidR="0051753E" w:rsidRPr="00DB6E06" w:rsidRDefault="0051753E" w:rsidP="0051753E">
      <w:pPr>
        <w:tabs>
          <w:tab w:val="left" w:pos="1701"/>
        </w:tabs>
        <w:spacing w:after="0" w:line="360" w:lineRule="auto"/>
        <w:jc w:val="both"/>
        <w:rPr>
          <w:rFonts w:ascii="Palatino Linotype" w:eastAsia="Times New Roman" w:hAnsi="Palatino Linotype" w:cs="Arial"/>
          <w:b/>
          <w:sz w:val="24"/>
        </w:rPr>
      </w:pPr>
    </w:p>
    <w:p w14:paraId="7A028E21" w14:textId="5D749A25"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4"/>
        </w:rPr>
        <w:t>VISTO</w:t>
      </w:r>
      <w:r w:rsidRPr="00DB6E06">
        <w:rPr>
          <w:rFonts w:ascii="Palatino Linotype" w:eastAsia="Times New Roman" w:hAnsi="Palatino Linotype" w:cs="Arial"/>
          <w:sz w:val="24"/>
        </w:rPr>
        <w:t xml:space="preserve"> el expediente electrónico formado con motivo del recurso de revisión número </w:t>
      </w:r>
      <w:bookmarkStart w:id="0" w:name="_GoBack"/>
      <w:r w:rsidR="001C01EF">
        <w:rPr>
          <w:rFonts w:ascii="Palatino Linotype" w:eastAsia="Times New Roman" w:hAnsi="Palatino Linotype" w:cs="Arial"/>
          <w:b/>
          <w:sz w:val="24"/>
        </w:rPr>
        <w:t>00205</w:t>
      </w:r>
      <w:r w:rsidRPr="00DB6E06">
        <w:rPr>
          <w:rFonts w:ascii="Palatino Linotype" w:eastAsia="Times New Roman" w:hAnsi="Palatino Linotype" w:cs="Arial"/>
          <w:b/>
          <w:bCs/>
          <w:sz w:val="24"/>
          <w:lang w:eastAsia="es-MX"/>
        </w:rPr>
        <w:t>/INFOEM/IP/RR/202</w:t>
      </w:r>
      <w:r>
        <w:rPr>
          <w:rFonts w:ascii="Palatino Linotype" w:eastAsia="Times New Roman" w:hAnsi="Palatino Linotype" w:cs="Arial"/>
          <w:b/>
          <w:bCs/>
          <w:sz w:val="24"/>
          <w:lang w:eastAsia="es-MX"/>
        </w:rPr>
        <w:t>4</w:t>
      </w:r>
      <w:bookmarkEnd w:id="0"/>
      <w:r w:rsidRPr="00DB6E06">
        <w:rPr>
          <w:rFonts w:ascii="Palatino Linotype" w:eastAsia="Times New Roman" w:hAnsi="Palatino Linotype" w:cs="Arial"/>
          <w:sz w:val="24"/>
        </w:rPr>
        <w:t xml:space="preserve">, </w:t>
      </w:r>
      <w:r w:rsidR="00F82F3F" w:rsidRPr="00DB6E06">
        <w:rPr>
          <w:rFonts w:ascii="Palatino Linotype" w:eastAsia="Times New Roman" w:hAnsi="Palatino Linotype" w:cs="Arial"/>
          <w:sz w:val="24"/>
          <w:szCs w:val="24"/>
        </w:rPr>
        <w:t xml:space="preserve">interpuesto </w:t>
      </w:r>
      <w:r w:rsidR="00F82F3F" w:rsidRPr="00DB6E06">
        <w:rPr>
          <w:rFonts w:ascii="Palatino Linotype" w:eastAsia="Times New Roman" w:hAnsi="Palatino Linotype" w:cs="Arial"/>
          <w:bCs/>
          <w:sz w:val="24"/>
          <w:szCs w:val="24"/>
        </w:rPr>
        <w:t>por</w:t>
      </w:r>
      <w:r w:rsidR="00F82F3F">
        <w:rPr>
          <w:rFonts w:ascii="Palatino Linotype" w:eastAsia="Times New Roman" w:hAnsi="Palatino Linotype" w:cs="Arial"/>
          <w:sz w:val="24"/>
          <w:szCs w:val="24"/>
        </w:rPr>
        <w:t xml:space="preserve"> un particular que no proporciono nombre o seudónimo, </w:t>
      </w:r>
      <w:r w:rsidR="00F82F3F" w:rsidRPr="00DB6E06">
        <w:rPr>
          <w:rFonts w:ascii="Palatino Linotype" w:eastAsia="Times New Roman" w:hAnsi="Palatino Linotype" w:cs="Arial"/>
          <w:sz w:val="24"/>
          <w:szCs w:val="24"/>
        </w:rPr>
        <w:t xml:space="preserve">en lo sucesivo </w:t>
      </w:r>
      <w:r w:rsidR="00F82F3F" w:rsidRPr="00DB6E06">
        <w:rPr>
          <w:rFonts w:ascii="Palatino Linotype" w:eastAsia="Times New Roman" w:hAnsi="Palatino Linotype" w:cs="Arial"/>
          <w:b/>
          <w:bCs/>
          <w:sz w:val="24"/>
          <w:szCs w:val="24"/>
        </w:rPr>
        <w:t>el Recurrente</w:t>
      </w:r>
      <w:r w:rsidR="00F82F3F" w:rsidRPr="00DB6E06">
        <w:rPr>
          <w:rFonts w:ascii="Palatino Linotype" w:eastAsia="Times New Roman" w:hAnsi="Palatino Linotype" w:cs="Arial"/>
          <w:sz w:val="24"/>
          <w:szCs w:val="24"/>
        </w:rPr>
        <w:t>,</w:t>
      </w:r>
      <w:r w:rsidRPr="00DB6E06">
        <w:rPr>
          <w:rFonts w:ascii="Palatino Linotype" w:eastAsia="Times New Roman" w:hAnsi="Palatino Linotype" w:cs="Arial"/>
          <w:sz w:val="24"/>
          <w:szCs w:val="24"/>
        </w:rPr>
        <w:t xml:space="preserve"> en contra de la falta de respuesta del</w:t>
      </w:r>
      <w:r>
        <w:rPr>
          <w:rFonts w:ascii="Palatino Linotype" w:hAnsi="Palatino Linotype"/>
          <w:b/>
          <w:bCs/>
          <w:color w:val="000000"/>
          <w:sz w:val="24"/>
          <w:szCs w:val="24"/>
        </w:rPr>
        <w:t xml:space="preserve"> </w:t>
      </w:r>
      <w:r w:rsidR="00F82F3F" w:rsidRPr="00F82F3F">
        <w:rPr>
          <w:rFonts w:ascii="Palatino Linotype" w:hAnsi="Palatino Linotype"/>
          <w:b/>
          <w:bCs/>
          <w:color w:val="000000"/>
          <w:sz w:val="24"/>
          <w:szCs w:val="24"/>
        </w:rPr>
        <w:t>Ayuntamiento de Capulhuac</w:t>
      </w:r>
      <w:r w:rsidRPr="00DB6E06">
        <w:rPr>
          <w:rFonts w:ascii="Palatino Linotype" w:eastAsia="Times New Roman" w:hAnsi="Palatino Linotype" w:cs="Arial"/>
          <w:sz w:val="24"/>
          <w:szCs w:val="24"/>
        </w:rPr>
        <w:t>, en lo subsecuente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se procede a</w:t>
      </w:r>
      <w:r w:rsidRPr="00DB6E06">
        <w:rPr>
          <w:rFonts w:ascii="Palatino Linotype" w:eastAsia="Times New Roman" w:hAnsi="Palatino Linotype" w:cs="Arial"/>
          <w:sz w:val="24"/>
        </w:rPr>
        <w:t xml:space="preserve"> dictar la presente resolución.</w:t>
      </w:r>
    </w:p>
    <w:p w14:paraId="4F1388F0" w14:textId="77777777"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p>
    <w:p w14:paraId="3B795041" w14:textId="77777777" w:rsidR="0051753E" w:rsidRPr="00DB6E06" w:rsidRDefault="0051753E" w:rsidP="0051753E">
      <w:pPr>
        <w:spacing w:after="0" w:line="360" w:lineRule="auto"/>
        <w:jc w:val="center"/>
        <w:rPr>
          <w:rFonts w:ascii="Palatino Linotype" w:eastAsia="Times New Roman" w:hAnsi="Palatino Linotype" w:cs="Times New Roman"/>
          <w:b/>
          <w:sz w:val="28"/>
        </w:rPr>
      </w:pPr>
      <w:r w:rsidRPr="00DB6E06">
        <w:rPr>
          <w:rFonts w:ascii="Palatino Linotype" w:eastAsia="Times New Roman" w:hAnsi="Palatino Linotype" w:cs="Times New Roman"/>
          <w:b/>
          <w:sz w:val="28"/>
        </w:rPr>
        <w:t>A N T E C E D E N T E S   D E L   A S U N T O</w:t>
      </w:r>
    </w:p>
    <w:p w14:paraId="3808AB20" w14:textId="77777777" w:rsidR="0051753E" w:rsidRPr="00DB6E06" w:rsidRDefault="0051753E" w:rsidP="0051753E">
      <w:pPr>
        <w:spacing w:after="0" w:line="360" w:lineRule="auto"/>
        <w:jc w:val="center"/>
        <w:rPr>
          <w:rFonts w:ascii="Palatino Linotype" w:eastAsia="Times New Roman" w:hAnsi="Palatino Linotype" w:cs="Times New Roman"/>
          <w:b/>
          <w:sz w:val="24"/>
        </w:rPr>
      </w:pPr>
    </w:p>
    <w:p w14:paraId="3F99B87A" w14:textId="77777777" w:rsidR="0051753E" w:rsidRPr="00DB6E06" w:rsidRDefault="0051753E" w:rsidP="0051753E">
      <w:pPr>
        <w:spacing w:after="0" w:line="360" w:lineRule="auto"/>
        <w:jc w:val="both"/>
        <w:rPr>
          <w:rFonts w:ascii="Palatino Linotype" w:eastAsia="Times New Roman" w:hAnsi="Palatino Linotype" w:cs="Times New Roman"/>
        </w:rPr>
      </w:pPr>
      <w:r w:rsidRPr="00DB6E06">
        <w:rPr>
          <w:rFonts w:ascii="Palatino Linotype" w:eastAsia="Times New Roman" w:hAnsi="Palatino Linotype" w:cs="Arial"/>
          <w:b/>
          <w:sz w:val="28"/>
        </w:rPr>
        <w:t>PRIMERO.</w:t>
      </w:r>
      <w:r w:rsidRPr="00DB6E06">
        <w:rPr>
          <w:rFonts w:ascii="Palatino Linotype" w:eastAsia="Times New Roman" w:hAnsi="Palatino Linotype" w:cs="Arial"/>
        </w:rPr>
        <w:t xml:space="preserve"> </w:t>
      </w:r>
      <w:r w:rsidRPr="00DB6E06">
        <w:rPr>
          <w:rFonts w:ascii="Palatino Linotype" w:eastAsia="Times New Roman" w:hAnsi="Palatino Linotype" w:cs="Times New Roman"/>
          <w:b/>
          <w:sz w:val="28"/>
          <w:szCs w:val="28"/>
        </w:rPr>
        <w:t>De la Solicitud de Información.</w:t>
      </w:r>
    </w:p>
    <w:p w14:paraId="0746EF99" w14:textId="3FB7EEDB" w:rsidR="0051753E" w:rsidRPr="00DB6E06" w:rsidRDefault="0051753E" w:rsidP="0051753E">
      <w:pPr>
        <w:spacing w:after="0" w:line="360" w:lineRule="auto"/>
        <w:jc w:val="both"/>
        <w:rPr>
          <w:rFonts w:eastAsia="Times New Roman" w:cs="Times New Roman"/>
          <w:color w:val="000000"/>
          <w:sz w:val="27"/>
          <w:szCs w:val="27"/>
        </w:rPr>
      </w:pPr>
      <w:r w:rsidRPr="00DB6E06">
        <w:rPr>
          <w:rFonts w:ascii="Palatino Linotype" w:eastAsia="Times New Roman" w:hAnsi="Palatino Linotype" w:cs="Arial"/>
          <w:sz w:val="24"/>
        </w:rPr>
        <w:t xml:space="preserve">En fecha </w:t>
      </w:r>
      <w:r w:rsidR="00F82F3F">
        <w:rPr>
          <w:rFonts w:ascii="Palatino Linotype" w:eastAsia="Times New Roman" w:hAnsi="Palatino Linotype" w:cs="Arial"/>
          <w:sz w:val="24"/>
        </w:rPr>
        <w:t>veintiocho de noviembre de</w:t>
      </w:r>
      <w:r>
        <w:rPr>
          <w:rFonts w:ascii="Palatino Linotype" w:eastAsia="Times New Roman" w:hAnsi="Palatino Linotype" w:cs="Arial"/>
          <w:sz w:val="24"/>
        </w:rPr>
        <w:t xml:space="preserve"> dos mil </w:t>
      </w:r>
      <w:r w:rsidR="001C01EF">
        <w:rPr>
          <w:rFonts w:ascii="Palatino Linotype" w:eastAsia="Times New Roman" w:hAnsi="Palatino Linotype" w:cs="Arial"/>
          <w:sz w:val="24"/>
        </w:rPr>
        <w:t>veintitrés</w:t>
      </w:r>
      <w:r w:rsidRPr="00DB6E06">
        <w:rPr>
          <w:rFonts w:ascii="Palatino Linotype" w:eastAsia="Times New Roman" w:hAnsi="Palatino Linotype" w:cs="Arial"/>
          <w:sz w:val="24"/>
        </w:rPr>
        <w:t xml:space="preserve">, el </w:t>
      </w:r>
      <w:r w:rsidRPr="00DB6E06">
        <w:rPr>
          <w:rFonts w:ascii="Palatino Linotype" w:eastAsia="Times New Roman" w:hAnsi="Palatino Linotype" w:cs="Arial"/>
          <w:b/>
          <w:sz w:val="24"/>
        </w:rPr>
        <w:t>Recurrente</w:t>
      </w:r>
      <w:r w:rsidRPr="00DB6E06">
        <w:rPr>
          <w:rFonts w:ascii="Palatino Linotype" w:eastAsia="Times New Roman" w:hAnsi="Palatino Linotype" w:cs="Arial"/>
          <w:sz w:val="24"/>
        </w:rPr>
        <w:t xml:space="preserve">, </w:t>
      </w:r>
      <w:r w:rsidRPr="00DB6E06">
        <w:rPr>
          <w:rFonts w:ascii="Palatino Linotype" w:eastAsia="Times New Roman" w:hAnsi="Palatino Linotype" w:cs="Times New Roman"/>
          <w:sz w:val="24"/>
          <w:szCs w:val="24"/>
        </w:rPr>
        <w:t>presentó a través del Sistema de Acceso a la Información Mexiquense (SAIMEX), ante el Sujeto Obligado, la solicitud de acceso a la información pública,</w:t>
      </w:r>
      <w:r w:rsidRPr="00DB6E06">
        <w:rPr>
          <w:rFonts w:eastAsia="Times New Roman" w:cs="Times New Roman"/>
        </w:rPr>
        <w:t xml:space="preserve"> </w:t>
      </w:r>
      <w:r w:rsidRPr="00DB6E06">
        <w:rPr>
          <w:rFonts w:ascii="Palatino Linotype" w:eastAsia="Times New Roman" w:hAnsi="Palatino Linotype" w:cs="Arial"/>
          <w:sz w:val="24"/>
        </w:rPr>
        <w:t>a la que se le asignó el número de expediente</w:t>
      </w:r>
      <w:r w:rsidRPr="00DB6E06">
        <w:rPr>
          <w:rFonts w:eastAsia="Times New Roman" w:cs="Times New Roman"/>
          <w:color w:val="000000"/>
          <w:sz w:val="27"/>
          <w:szCs w:val="27"/>
        </w:rPr>
        <w:t> </w:t>
      </w:r>
      <w:r w:rsidR="00F82F3F" w:rsidRPr="00F82F3F">
        <w:rPr>
          <w:rFonts w:ascii="Palatino Linotype" w:hAnsi="Palatino Linotype"/>
          <w:b/>
          <w:bCs/>
          <w:sz w:val="24"/>
          <w:szCs w:val="24"/>
        </w:rPr>
        <w:t>00192/CAPULHUA/IP/2023</w:t>
      </w:r>
      <w:r w:rsidRPr="0051753E">
        <w:rPr>
          <w:rFonts w:ascii="Verdana" w:hAnsi="Verdana"/>
          <w:b/>
          <w:bCs/>
        </w:rPr>
        <w:t xml:space="preserve"> </w:t>
      </w:r>
      <w:r w:rsidRPr="00DB6E06">
        <w:rPr>
          <w:rFonts w:ascii="Palatino Linotype" w:eastAsia="Times New Roman" w:hAnsi="Palatino Linotype" w:cs="Arial"/>
          <w:sz w:val="24"/>
        </w:rPr>
        <w:t>mediante la cual solicitó lo siguiente:</w:t>
      </w:r>
    </w:p>
    <w:p w14:paraId="47627ACD" w14:textId="77777777" w:rsidR="0051753E" w:rsidRPr="00DB6E06" w:rsidRDefault="0051753E" w:rsidP="0051753E">
      <w:pPr>
        <w:spacing w:after="0" w:line="360" w:lineRule="auto"/>
        <w:jc w:val="both"/>
        <w:rPr>
          <w:rFonts w:ascii="Palatino Linotype" w:eastAsia="Times New Roman" w:hAnsi="Palatino Linotype" w:cs="Arial"/>
          <w:i/>
          <w:sz w:val="24"/>
          <w:szCs w:val="24"/>
        </w:rPr>
      </w:pPr>
    </w:p>
    <w:p w14:paraId="280DE97C" w14:textId="2FC2FF05" w:rsidR="0051753E" w:rsidRPr="00DB6E06" w:rsidRDefault="0051753E" w:rsidP="0051753E">
      <w:pPr>
        <w:spacing w:line="360" w:lineRule="auto"/>
        <w:ind w:left="567"/>
        <w:jc w:val="both"/>
        <w:rPr>
          <w:rFonts w:ascii="Palatino Linotype" w:eastAsia="Times New Roman" w:hAnsi="Palatino Linotype" w:cs="Arial"/>
          <w:sz w:val="24"/>
        </w:rPr>
      </w:pPr>
      <w:bookmarkStart w:id="1" w:name="_Hlk82038186"/>
      <w:r w:rsidRPr="0051753E">
        <w:rPr>
          <w:rFonts w:ascii="Palatino Linotype" w:eastAsia="Times New Roman" w:hAnsi="Palatino Linotype" w:cs="Times New Roman"/>
          <w:color w:val="000000"/>
          <w:sz w:val="24"/>
          <w:szCs w:val="24"/>
        </w:rPr>
        <w:t>“</w:t>
      </w:r>
      <w:r w:rsidR="00F82F3F" w:rsidRPr="00F82F3F">
        <w:rPr>
          <w:rFonts w:ascii="Palatino Linotype" w:hAnsi="Palatino Linotype"/>
          <w:i/>
          <w:color w:val="000000"/>
          <w:sz w:val="24"/>
          <w:szCs w:val="24"/>
        </w:rPr>
        <w:t xml:space="preserve">1.- COPIA DEL ACTA DE LA SEXAGÉSIMA NOVENA SESIÓN ORDINARIA DE CABILDO DE FECHA 24 DE NOVIEMBRE DE 2023, CON LAS FIRMAS DE LOS EDILES. 2.- COPIA DE LA VERSIÓN VIDEOGRABADA, SIN EDITAR, DE LA </w:t>
      </w:r>
      <w:r w:rsidR="00F82F3F" w:rsidRPr="00F82F3F">
        <w:rPr>
          <w:rFonts w:ascii="Palatino Linotype" w:hAnsi="Palatino Linotype"/>
          <w:i/>
          <w:color w:val="000000"/>
          <w:sz w:val="24"/>
          <w:szCs w:val="24"/>
        </w:rPr>
        <w:lastRenderedPageBreak/>
        <w:t>SEXAGÉSIMA SESIÓN ORDINARIA DE CABILDO DE FECHA 24 DE NOVIEMBRE DE 2023.</w:t>
      </w:r>
      <w:r w:rsidRPr="0051753E">
        <w:rPr>
          <w:rFonts w:ascii="Palatino Linotype" w:eastAsia="Times New Roman" w:hAnsi="Palatino Linotype" w:cs="Arial"/>
          <w:i/>
          <w:sz w:val="24"/>
          <w:szCs w:val="24"/>
        </w:rPr>
        <w:t>”</w:t>
      </w:r>
      <w:r w:rsidRPr="00DB6E06">
        <w:rPr>
          <w:rFonts w:ascii="Palatino Linotype" w:eastAsia="Times New Roman" w:hAnsi="Palatino Linotype" w:cs="Arial"/>
          <w:i/>
          <w:sz w:val="24"/>
        </w:rPr>
        <w:t xml:space="preserve"> (Sic</w:t>
      </w:r>
      <w:r w:rsidRPr="00DB6E06">
        <w:rPr>
          <w:rFonts w:ascii="Palatino Linotype" w:eastAsia="Times New Roman" w:hAnsi="Palatino Linotype" w:cs="Arial"/>
          <w:sz w:val="24"/>
        </w:rPr>
        <w:t>).</w:t>
      </w:r>
    </w:p>
    <w:bookmarkEnd w:id="1"/>
    <w:p w14:paraId="38C2F9D0"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2AF66A25"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4A52CF27"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65E1F078"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27D31B9D"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68D71EB7"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1FC233AA" w14:textId="77777777" w:rsidR="0051753E" w:rsidRPr="00DB6E06" w:rsidRDefault="0051753E" w:rsidP="0051753E">
      <w:pPr>
        <w:spacing w:after="0" w:line="360" w:lineRule="auto"/>
        <w:jc w:val="both"/>
        <w:rPr>
          <w:rFonts w:ascii="Arial" w:eastAsia="Times New Roman" w:hAnsi="Arial" w:cs="Arial"/>
          <w:shd w:val="clear" w:color="auto" w:fill="FFFFFF"/>
        </w:rPr>
      </w:pPr>
      <w:r w:rsidRPr="00DB6E06">
        <w:rPr>
          <w:rFonts w:ascii="Palatino Linotype" w:eastAsia="Times New Roman" w:hAnsi="Palatino Linotype" w:cs="Arial"/>
          <w:b/>
          <w:sz w:val="24"/>
        </w:rPr>
        <w:t>MODALIDAD DE ENTREGA: a</w:t>
      </w:r>
      <w:r w:rsidRPr="00DB6E06">
        <w:rPr>
          <w:rFonts w:ascii="Palatino Linotype" w:eastAsia="Times New Roman" w:hAnsi="Palatino Linotype" w:cs="Arial"/>
          <w:sz w:val="24"/>
        </w:rPr>
        <w:t xml:space="preserve"> través de</w:t>
      </w:r>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SAIMEX</w:t>
      </w:r>
    </w:p>
    <w:p w14:paraId="7844CAC9" w14:textId="77777777" w:rsidR="0051753E" w:rsidRPr="00DB6E06" w:rsidRDefault="0051753E" w:rsidP="0051753E">
      <w:pPr>
        <w:spacing w:after="0" w:line="360" w:lineRule="auto"/>
        <w:jc w:val="both"/>
        <w:rPr>
          <w:rFonts w:ascii="Palatino Linotype" w:eastAsia="Times New Roman" w:hAnsi="Palatino Linotype" w:cs="Arial"/>
          <w:sz w:val="24"/>
        </w:rPr>
      </w:pPr>
    </w:p>
    <w:p w14:paraId="02246C8C" w14:textId="0A6D1A77" w:rsidR="0051753E" w:rsidRPr="00DB6E06" w:rsidRDefault="0051753E" w:rsidP="0051753E">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DB6E06">
        <w:rPr>
          <w:rFonts w:ascii="Palatino Linotype" w:eastAsiaTheme="majorEastAsia" w:hAnsi="Palatino Linotype" w:cs="Arial"/>
          <w:b/>
          <w:color w:val="000000" w:themeColor="text1"/>
          <w:sz w:val="28"/>
          <w:szCs w:val="26"/>
          <w:lang w:val="es-ES_tradnl" w:eastAsia="es-MX"/>
        </w:rPr>
        <w:t xml:space="preserve">SEGUNDO. </w:t>
      </w:r>
      <w:r w:rsidRPr="00DB6E06">
        <w:rPr>
          <w:rFonts w:ascii="Palatino Linotype" w:eastAsia="Times New Roman" w:hAnsi="Palatino Linotype" w:cs="Times New Roman"/>
          <w:b/>
          <w:color w:val="000000" w:themeColor="text1"/>
          <w:sz w:val="28"/>
          <w:szCs w:val="26"/>
          <w:lang w:val="es-ES_tradnl" w:eastAsia="es-MX"/>
        </w:rPr>
        <w:t xml:space="preserve">De </w:t>
      </w:r>
      <w:r w:rsidRPr="00DB6E06">
        <w:rPr>
          <w:rFonts w:ascii="Palatino Linotype" w:eastAsiaTheme="majorEastAsia" w:hAnsi="Palatino Linotype" w:cs="Arial"/>
          <w:b/>
          <w:color w:val="000000" w:themeColor="text1"/>
          <w:sz w:val="28"/>
          <w:szCs w:val="20"/>
          <w:lang w:val="es-ES_tradnl" w:eastAsia="es-MX"/>
        </w:rPr>
        <w:t>la falta de respuesta del Sujeto Obligado.</w:t>
      </w:r>
    </w:p>
    <w:p w14:paraId="4A64DD26" w14:textId="77777777" w:rsidR="0051753E" w:rsidRPr="00DB6E06" w:rsidRDefault="0051753E" w:rsidP="0051753E">
      <w:pPr>
        <w:spacing w:before="24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En el expediente electrónico </w:t>
      </w:r>
      <w:r w:rsidRPr="00DB6E06">
        <w:rPr>
          <w:rFonts w:ascii="Palatino Linotype" w:eastAsia="Times New Roman" w:hAnsi="Palatino Linotype" w:cs="Arial"/>
          <w:b/>
          <w:sz w:val="24"/>
          <w:szCs w:val="24"/>
        </w:rPr>
        <w:t>SAIMEX</w:t>
      </w:r>
      <w:r w:rsidRPr="00DB6E06">
        <w:rPr>
          <w:rFonts w:ascii="Palatino Linotype" w:eastAsia="Times New Roman" w:hAnsi="Palatino Linotype" w:cs="Arial"/>
          <w:sz w:val="24"/>
          <w:szCs w:val="24"/>
        </w:rPr>
        <w:t xml:space="preserve">, se aprecia que </w:t>
      </w:r>
      <w:r w:rsidRPr="00DB6E06">
        <w:rPr>
          <w:rFonts w:ascii="Palatino Linotype" w:eastAsia="Times New Roman" w:hAnsi="Palatino Linotype" w:cs="Arial"/>
          <w:b/>
          <w:sz w:val="24"/>
          <w:szCs w:val="24"/>
        </w:rPr>
        <w:t xml:space="preserve">El Sujeto Obligado </w:t>
      </w:r>
      <w:r w:rsidRPr="00DB6E06">
        <w:rPr>
          <w:rFonts w:ascii="Palatino Linotype" w:eastAsia="Times New Roman" w:hAnsi="Palatino Linotype" w:cs="Arial"/>
          <w:sz w:val="24"/>
          <w:szCs w:val="24"/>
        </w:rPr>
        <w:t xml:space="preserve">fue omiso en dar respuesta a la solicitud de información presentada por </w:t>
      </w:r>
      <w:r w:rsidRPr="00DB6E06">
        <w:rPr>
          <w:rFonts w:ascii="Palatino Linotype" w:eastAsia="Times New Roman" w:hAnsi="Palatino Linotype" w:cs="Arial"/>
          <w:b/>
          <w:sz w:val="24"/>
          <w:szCs w:val="24"/>
        </w:rPr>
        <w:t xml:space="preserve">el Recurrente, </w:t>
      </w:r>
      <w:r w:rsidRPr="00DB6E06">
        <w:rPr>
          <w:rFonts w:ascii="Palatino Linotype" w:eastAsia="Times New Roman" w:hAnsi="Palatino Linotype" w:cs="Arial"/>
          <w:sz w:val="24"/>
          <w:szCs w:val="24"/>
        </w:rPr>
        <w:t xml:space="preserve">derivado de lo anterior, se constituye la figura de la </w:t>
      </w:r>
      <w:r w:rsidRPr="00DB6E06">
        <w:rPr>
          <w:rFonts w:ascii="Palatino Linotype" w:eastAsia="Times New Roman" w:hAnsi="Palatino Linotype" w:cs="Arial"/>
          <w:b/>
          <w:sz w:val="24"/>
          <w:szCs w:val="24"/>
        </w:rPr>
        <w:t xml:space="preserve">NEGATIVA FICTA, </w:t>
      </w:r>
      <w:r w:rsidRPr="00DB6E06">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1A84CDAE" w14:textId="77777777" w:rsidR="0051753E" w:rsidRPr="00DB6E06" w:rsidRDefault="0051753E" w:rsidP="0051753E">
      <w:pPr>
        <w:spacing w:after="0" w:line="360" w:lineRule="auto"/>
        <w:jc w:val="both"/>
        <w:rPr>
          <w:rFonts w:ascii="Palatino Linotype" w:eastAsia="Times New Roman" w:hAnsi="Palatino Linotype" w:cs="Arial"/>
          <w:sz w:val="24"/>
        </w:rPr>
      </w:pPr>
    </w:p>
    <w:p w14:paraId="73D352A4" w14:textId="77777777" w:rsidR="0051753E" w:rsidRPr="00DB6E06" w:rsidRDefault="0051753E" w:rsidP="0051753E">
      <w:pPr>
        <w:spacing w:after="0" w:line="360" w:lineRule="auto"/>
        <w:jc w:val="both"/>
        <w:rPr>
          <w:rFonts w:ascii="Palatino Linotype" w:eastAsia="Times New Roman" w:hAnsi="Palatino Linotype" w:cs="Arial"/>
          <w:b/>
          <w:sz w:val="28"/>
        </w:rPr>
      </w:pPr>
      <w:r w:rsidRPr="00DB6E06">
        <w:rPr>
          <w:rFonts w:ascii="Palatino Linotype" w:eastAsia="Times New Roman" w:hAnsi="Palatino Linotype" w:cs="Arial"/>
          <w:b/>
          <w:sz w:val="28"/>
        </w:rPr>
        <w:t xml:space="preserve">TERCERO. </w:t>
      </w:r>
      <w:r w:rsidRPr="00DB6E06">
        <w:rPr>
          <w:rFonts w:ascii="Palatino Linotype" w:eastAsia="Times New Roman" w:hAnsi="Palatino Linotype" w:cs="Times New Roman"/>
          <w:b/>
          <w:sz w:val="28"/>
        </w:rPr>
        <w:t>Del recurso de revisión.</w:t>
      </w:r>
    </w:p>
    <w:p w14:paraId="0D1653E5" w14:textId="568B3CFB"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sz w:val="24"/>
          <w:szCs w:val="24"/>
        </w:rPr>
        <w:t>Inconforme con la falta de respuesta notificada por 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el Recurrente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interpuso el presente recurso de revisión, en fecha </w:t>
      </w:r>
      <w:r w:rsidR="00F82F3F">
        <w:rPr>
          <w:rFonts w:ascii="Palatino Linotype" w:eastAsia="Times New Roman" w:hAnsi="Palatino Linotype" w:cs="Times New Roman"/>
          <w:b/>
          <w:bCs/>
          <w:sz w:val="24"/>
        </w:rPr>
        <w:t xml:space="preserve">veintitrés de enero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el cual fue registrado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en el sistema electrónico con el expediente número </w:t>
      </w:r>
      <w:r w:rsidR="001C01EF">
        <w:rPr>
          <w:rFonts w:ascii="Palatino Linotype" w:eastAsia="Times New Roman" w:hAnsi="Palatino Linotype" w:cs="Arial"/>
          <w:b/>
          <w:sz w:val="24"/>
          <w:szCs w:val="24"/>
        </w:rPr>
        <w:t>00205</w:t>
      </w:r>
      <w:r w:rsidRPr="00DB6E06">
        <w:rPr>
          <w:rFonts w:ascii="Palatino Linotype" w:eastAsia="Times New Roman" w:hAnsi="Palatino Linotype" w:cs="Arial"/>
          <w:b/>
          <w:bCs/>
          <w:sz w:val="24"/>
          <w:szCs w:val="24"/>
          <w:lang w:eastAsia="es-MX"/>
        </w:rPr>
        <w:t>/INFOEM/IP/RR/202</w:t>
      </w:r>
      <w:r>
        <w:rPr>
          <w:rFonts w:ascii="Palatino Linotype" w:eastAsia="Times New Roman" w:hAnsi="Palatino Linotype" w:cs="Arial"/>
          <w:b/>
          <w:bCs/>
          <w:sz w:val="24"/>
          <w:szCs w:val="24"/>
          <w:lang w:eastAsia="es-MX"/>
        </w:rPr>
        <w:t>4</w:t>
      </w:r>
      <w:r w:rsidRPr="00DB6E06">
        <w:rPr>
          <w:rFonts w:ascii="Palatino Linotype" w:eastAsia="Times New Roman" w:hAnsi="Palatino Linotype" w:cs="Arial"/>
          <w:sz w:val="24"/>
          <w:szCs w:val="24"/>
        </w:rPr>
        <w:t xml:space="preserve">, en el cual </w:t>
      </w:r>
      <w:r w:rsidRPr="00DB6E06">
        <w:rPr>
          <w:rFonts w:ascii="Palatino Linotype" w:eastAsia="Times New Roman" w:hAnsi="Palatino Linotype" w:cs="Arial"/>
          <w:sz w:val="24"/>
        </w:rPr>
        <w:t>arguye, las siguientes manifestaciones:</w:t>
      </w:r>
    </w:p>
    <w:p w14:paraId="2C9D247A" w14:textId="77777777" w:rsidR="0051753E" w:rsidRPr="00DB6E06" w:rsidRDefault="0051753E" w:rsidP="0051753E">
      <w:pPr>
        <w:spacing w:after="0" w:line="360" w:lineRule="auto"/>
        <w:jc w:val="both"/>
        <w:rPr>
          <w:rFonts w:ascii="Palatino Linotype" w:eastAsia="Times New Roman" w:hAnsi="Palatino Linotype" w:cs="Arial"/>
          <w:sz w:val="24"/>
        </w:rPr>
      </w:pPr>
    </w:p>
    <w:p w14:paraId="238D1D36" w14:textId="77777777" w:rsidR="0051753E" w:rsidRPr="00DB6E06" w:rsidRDefault="0051753E" w:rsidP="0051753E">
      <w:pPr>
        <w:spacing w:after="0" w:line="240" w:lineRule="auto"/>
        <w:ind w:left="720"/>
        <w:jc w:val="both"/>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4"/>
          <w:szCs w:val="24"/>
          <w:lang w:val="es-ES" w:eastAsia="es-ES"/>
        </w:rPr>
        <w:t xml:space="preserve">Acto Impugnado </w:t>
      </w:r>
    </w:p>
    <w:p w14:paraId="77A65FA1" w14:textId="1FC04DE3"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r w:rsidRPr="00DB6E06">
        <w:rPr>
          <w:rFonts w:ascii="Palatino Linotype" w:eastAsia="Times New Roman" w:hAnsi="Palatino Linotype" w:cs="Times New Roman"/>
          <w:i/>
          <w:color w:val="000000"/>
          <w:lang w:val="es-ES" w:eastAsia="es-ES"/>
        </w:rPr>
        <w:t>“</w:t>
      </w:r>
      <w:r w:rsidR="00957837" w:rsidRPr="00957837">
        <w:rPr>
          <w:rFonts w:ascii="Palatino Linotype" w:hAnsi="Palatino Linotype"/>
          <w:i/>
          <w:color w:val="000000"/>
        </w:rPr>
        <w:t>FALTA DE RESPUESTA A LA SOLICITUD DE INFORMACIÓN</w:t>
      </w:r>
      <w:r w:rsidRPr="0051753E">
        <w:rPr>
          <w:rFonts w:ascii="Palatino Linotype" w:eastAsia="Times New Roman" w:hAnsi="Palatino Linotype" w:cs="Times New Roman"/>
          <w:i/>
          <w:color w:val="000000"/>
          <w:lang w:val="es-ES" w:eastAsia="es-ES"/>
        </w:rPr>
        <w:t>”</w:t>
      </w:r>
      <w:r w:rsidRPr="00DB6E06">
        <w:rPr>
          <w:rFonts w:ascii="Palatino Linotype" w:eastAsia="Times New Roman" w:hAnsi="Palatino Linotype" w:cs="Times New Roman"/>
          <w:i/>
          <w:color w:val="000000"/>
          <w:sz w:val="24"/>
          <w:szCs w:val="24"/>
          <w:lang w:val="es-ES" w:eastAsia="es-ES"/>
        </w:rPr>
        <w:t xml:space="preserve"> (sic)</w:t>
      </w:r>
    </w:p>
    <w:p w14:paraId="44AF9A79" w14:textId="77777777"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p>
    <w:p w14:paraId="1FC5FEE2" w14:textId="77777777" w:rsidR="0051753E" w:rsidRPr="00DB6E06" w:rsidRDefault="0051753E" w:rsidP="0051753E">
      <w:pPr>
        <w:spacing w:after="0" w:line="240" w:lineRule="auto"/>
        <w:ind w:left="720"/>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Times New Roman"/>
          <w:b/>
          <w:sz w:val="24"/>
          <w:szCs w:val="24"/>
          <w:lang w:val="es-ES" w:eastAsia="es-ES"/>
        </w:rPr>
        <w:t>Razones o motivos de inconformidad:</w:t>
      </w:r>
    </w:p>
    <w:p w14:paraId="09CFDF4C" w14:textId="769CB22C" w:rsidR="0051753E" w:rsidRPr="0051753E" w:rsidRDefault="0051753E" w:rsidP="0051753E">
      <w:pPr>
        <w:spacing w:after="0" w:line="240" w:lineRule="auto"/>
        <w:ind w:left="720"/>
        <w:jc w:val="both"/>
        <w:rPr>
          <w:rFonts w:ascii="Palatino Linotype" w:eastAsia="Times New Roman" w:hAnsi="Palatino Linotype" w:cs="Times New Roman"/>
          <w:color w:val="000000"/>
          <w:lang w:val="es-ES" w:eastAsia="es-ES"/>
        </w:rPr>
      </w:pPr>
      <w:r w:rsidRPr="0051753E">
        <w:rPr>
          <w:rFonts w:ascii="Palatino Linotype" w:eastAsia="Times New Roman" w:hAnsi="Palatino Linotype" w:cs="Times New Roman"/>
          <w:color w:val="000000"/>
          <w:lang w:val="es-ES" w:eastAsia="es-ES"/>
        </w:rPr>
        <w:t>“</w:t>
      </w:r>
      <w:r w:rsidR="00957837" w:rsidRPr="00957837">
        <w:rPr>
          <w:rFonts w:ascii="Palatino Linotype" w:hAnsi="Palatino Linotype"/>
          <w:i/>
          <w:color w:val="000000"/>
        </w:rPr>
        <w:t>FALTA DE ATENCIÓN A LA SOLICITUD DE INFORMACIÓN</w:t>
      </w:r>
      <w:r w:rsidRPr="0051753E">
        <w:rPr>
          <w:rFonts w:ascii="Palatino Linotype" w:eastAsia="Times New Roman" w:hAnsi="Palatino Linotype" w:cs="Times New Roman"/>
          <w:iCs/>
          <w:color w:val="000000"/>
          <w:lang w:val="es-ES" w:eastAsia="es-ES"/>
        </w:rPr>
        <w:t>"(</w:t>
      </w:r>
      <w:r w:rsidRPr="0051753E">
        <w:rPr>
          <w:rFonts w:ascii="Palatino Linotype" w:eastAsia="Times New Roman" w:hAnsi="Palatino Linotype" w:cs="Times New Roman"/>
          <w:color w:val="000000"/>
          <w:lang w:val="es-ES" w:eastAsia="es-ES"/>
        </w:rPr>
        <w:t>sic)</w:t>
      </w:r>
    </w:p>
    <w:p w14:paraId="06B62D1F" w14:textId="77777777" w:rsidR="0051753E" w:rsidRPr="00DB6E06" w:rsidRDefault="0051753E" w:rsidP="0051753E">
      <w:pPr>
        <w:spacing w:after="0" w:line="240" w:lineRule="auto"/>
        <w:jc w:val="both"/>
        <w:rPr>
          <w:rFonts w:ascii="Palatino Linotype" w:eastAsia="Times New Roman" w:hAnsi="Palatino Linotype" w:cs="Times New Roman"/>
          <w:i/>
          <w:lang w:eastAsia="es-ES"/>
        </w:rPr>
      </w:pPr>
    </w:p>
    <w:p w14:paraId="15EDAED1"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5A585660" w14:textId="77777777" w:rsidR="0051753E" w:rsidRPr="00DB6E06" w:rsidRDefault="0051753E" w:rsidP="0051753E">
      <w:pPr>
        <w:spacing w:after="0" w:line="360" w:lineRule="auto"/>
        <w:jc w:val="both"/>
        <w:rPr>
          <w:rFonts w:ascii="Palatino Linotype" w:eastAsia="Times New Roman" w:hAnsi="Palatino Linotype" w:cs="Arial"/>
          <w:b/>
          <w:sz w:val="24"/>
          <w:szCs w:val="24"/>
        </w:rPr>
      </w:pPr>
      <w:r w:rsidRPr="00DB6E06">
        <w:rPr>
          <w:rFonts w:ascii="Palatino Linotype" w:eastAsia="Times New Roman" w:hAnsi="Palatino Linotype" w:cs="Arial"/>
          <w:b/>
          <w:sz w:val="28"/>
        </w:rPr>
        <w:t>CUARTO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b/>
          <w:sz w:val="28"/>
          <w:szCs w:val="28"/>
        </w:rPr>
        <w:t>Del turno y admisión del recurso de revisión.</w:t>
      </w:r>
    </w:p>
    <w:p w14:paraId="09F68189" w14:textId="45B1366B"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lastRenderedPageBreak/>
        <w:t xml:space="preserve">El medio de impugnación le fue turnado al Comisionado Presidente </w:t>
      </w:r>
      <w:r w:rsidRPr="00DB6E06">
        <w:rPr>
          <w:rFonts w:ascii="Palatino Linotype" w:eastAsia="Times New Roman" w:hAnsi="Palatino Linotype" w:cs="Arial"/>
          <w:b/>
          <w:sz w:val="24"/>
          <w:szCs w:val="24"/>
        </w:rPr>
        <w:t>José Martínez Vilchis</w:t>
      </w:r>
      <w:r w:rsidRPr="00DB6E06">
        <w:rPr>
          <w:rFonts w:ascii="Palatino Linotype" w:eastAsia="Times New Roman" w:hAnsi="Palatino Linotype" w:cs="Arial"/>
          <w:sz w:val="24"/>
          <w:szCs w:val="24"/>
        </w:rPr>
        <w:t xml:space="preserve">, por medio del sistema electrónico en términos del arábigo 185, fracción I, de la Ley de Transparencia y Acceso a la información Pública del Estado de México y Municipios, del cual recayó el </w:t>
      </w:r>
      <w:r w:rsidRPr="00DB6E06">
        <w:rPr>
          <w:rFonts w:ascii="Palatino Linotype" w:eastAsia="Times New Roman" w:hAnsi="Palatino Linotype" w:cs="Arial"/>
          <w:b/>
          <w:sz w:val="24"/>
          <w:szCs w:val="24"/>
        </w:rPr>
        <w:t>acuerdo de admisión</w:t>
      </w:r>
      <w:r w:rsidRPr="00DB6E06">
        <w:rPr>
          <w:rFonts w:ascii="Palatino Linotype" w:eastAsia="Times New Roman" w:hAnsi="Palatino Linotype" w:cs="Arial"/>
          <w:sz w:val="24"/>
          <w:szCs w:val="24"/>
        </w:rPr>
        <w:t xml:space="preserve"> en fecha </w:t>
      </w:r>
      <w:r w:rsidR="00957837">
        <w:rPr>
          <w:rFonts w:ascii="Palatino Linotype" w:eastAsia="Times New Roman" w:hAnsi="Palatino Linotype" w:cs="Times New Roman"/>
          <w:sz w:val="24"/>
        </w:rPr>
        <w:t xml:space="preserve">veintinueve de enero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determinándose en él, un plazo de siete días para que las partes manifestaran lo que a su derecho corresponda en términos del numeral ya citado.</w:t>
      </w:r>
    </w:p>
    <w:p w14:paraId="50D42462"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7584A59B"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QUINTO. </w:t>
      </w:r>
      <w:r w:rsidRPr="00DB6E06">
        <w:rPr>
          <w:rFonts w:ascii="Palatino Linotype" w:eastAsia="Times New Roman" w:hAnsi="Palatino Linotype" w:cs="Arial"/>
          <w:b/>
          <w:sz w:val="28"/>
          <w:szCs w:val="28"/>
        </w:rPr>
        <w:t>De la etapa de instrucción.</w:t>
      </w:r>
    </w:p>
    <w:p w14:paraId="7CD21B9F"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Una vez abierta la etapa de instrucción, se advierte que 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fue omiso en rendir sus informes justificados. De igual manera, se advierte que el Recurrente</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omitió rendir dentro del término de Ley, las manifestaciones que a sus intereses conviniera.</w:t>
      </w:r>
    </w:p>
    <w:p w14:paraId="237AADC1" w14:textId="77777777" w:rsidR="0051753E" w:rsidRPr="00DB6E06" w:rsidRDefault="0051753E" w:rsidP="0051753E">
      <w:pPr>
        <w:spacing w:after="0" w:line="360" w:lineRule="auto"/>
        <w:rPr>
          <w:rFonts w:ascii="Palatino Linotype" w:eastAsia="Times New Roman" w:hAnsi="Palatino Linotype" w:cs="Arial"/>
          <w:sz w:val="24"/>
          <w:szCs w:val="24"/>
        </w:rPr>
      </w:pPr>
    </w:p>
    <w:p w14:paraId="34689CDB"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2C564BEF"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05ABE984"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SEXTO. </w:t>
      </w:r>
      <w:r w:rsidRPr="00DB6E06">
        <w:rPr>
          <w:rFonts w:ascii="Palatino Linotype" w:eastAsia="Times New Roman" w:hAnsi="Palatino Linotype" w:cs="Arial"/>
          <w:b/>
          <w:sz w:val="28"/>
          <w:szCs w:val="28"/>
        </w:rPr>
        <w:t>Del cierre de la etapa de instrucción.</w:t>
      </w:r>
    </w:p>
    <w:p w14:paraId="2F2A30B1" w14:textId="5983CF9D"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En fecha</w:t>
      </w:r>
      <w:r w:rsidRPr="00DB6E06">
        <w:rPr>
          <w:rFonts w:ascii="Palatino Linotype" w:eastAsia="Times New Roman" w:hAnsi="Palatino Linotype" w:cs="Arial"/>
          <w:b/>
          <w:bCs/>
          <w:sz w:val="24"/>
          <w:szCs w:val="24"/>
        </w:rPr>
        <w:t xml:space="preserve"> </w:t>
      </w:r>
      <w:r w:rsidR="00957837">
        <w:rPr>
          <w:rFonts w:ascii="Palatino Linotype" w:eastAsia="Times New Roman" w:hAnsi="Palatino Linotype" w:cs="Arial"/>
          <w:b/>
          <w:bCs/>
          <w:sz w:val="24"/>
          <w:szCs w:val="24"/>
        </w:rPr>
        <w:t xml:space="preserve">veintisiete de febrero </w:t>
      </w:r>
      <w:r w:rsidRPr="00DB6E06">
        <w:rPr>
          <w:rFonts w:ascii="Palatino Linotype" w:eastAsia="Times New Roman" w:hAnsi="Palatino Linotype" w:cs="Times New Roman"/>
          <w:sz w:val="24"/>
        </w:rPr>
        <w:t>de dos mil veinticuatro</w:t>
      </w:r>
      <w:r w:rsidRPr="00DB6E06">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009AB193"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499AFB84" w14:textId="77777777" w:rsidR="0051753E" w:rsidRPr="00DB6E06" w:rsidRDefault="0051753E" w:rsidP="0051753E">
      <w:pPr>
        <w:spacing w:after="0" w:line="360" w:lineRule="auto"/>
        <w:jc w:val="center"/>
        <w:rPr>
          <w:rFonts w:ascii="Palatino Linotype" w:eastAsia="Times New Roman" w:hAnsi="Palatino Linotype" w:cs="Arial"/>
          <w:b/>
          <w:sz w:val="28"/>
        </w:rPr>
      </w:pPr>
      <w:r w:rsidRPr="00DB6E06">
        <w:rPr>
          <w:rFonts w:ascii="Palatino Linotype" w:eastAsia="Times New Roman" w:hAnsi="Palatino Linotype" w:cs="Arial"/>
          <w:b/>
          <w:sz w:val="28"/>
        </w:rPr>
        <w:lastRenderedPageBreak/>
        <w:t xml:space="preserve">C O N S I D E R A N D O </w:t>
      </w:r>
    </w:p>
    <w:p w14:paraId="59AFC9C0" w14:textId="77777777" w:rsidR="0051753E" w:rsidRPr="00DB6E06" w:rsidRDefault="0051753E" w:rsidP="0051753E">
      <w:pPr>
        <w:spacing w:after="0" w:line="360" w:lineRule="auto"/>
        <w:jc w:val="center"/>
        <w:rPr>
          <w:rFonts w:ascii="Palatino Linotype" w:eastAsia="Times New Roman" w:hAnsi="Palatino Linotype" w:cs="Arial"/>
          <w:b/>
          <w:sz w:val="28"/>
        </w:rPr>
      </w:pPr>
    </w:p>
    <w:p w14:paraId="47DBA50A"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505745C0" w14:textId="77777777"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8"/>
        </w:rPr>
        <w:t>PRIMERO.</w:t>
      </w:r>
      <w:r w:rsidRPr="00DB6E06">
        <w:rPr>
          <w:rFonts w:ascii="Palatino Linotype" w:eastAsia="Times New Roman" w:hAnsi="Palatino Linotype" w:cs="Arial"/>
          <w:b/>
        </w:rPr>
        <w:t xml:space="preserve"> </w:t>
      </w:r>
      <w:r w:rsidRPr="00DB6E06">
        <w:rPr>
          <w:rFonts w:ascii="Palatino Linotype" w:eastAsia="Times New Roman" w:hAnsi="Palatino Linotype" w:cs="Arial"/>
          <w:b/>
          <w:sz w:val="28"/>
          <w:szCs w:val="28"/>
        </w:rPr>
        <w:t>De la competencia</w:t>
      </w:r>
      <w:r w:rsidRPr="00DB6E06">
        <w:rPr>
          <w:rFonts w:ascii="Palatino Linotype" w:eastAsia="Times New Roman" w:hAnsi="Palatino Linotype" w:cs="Arial"/>
          <w:sz w:val="28"/>
          <w:szCs w:val="28"/>
        </w:rPr>
        <w:t>.</w:t>
      </w:r>
    </w:p>
    <w:p w14:paraId="3F1BBDC7"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DB6E06">
          <w:rPr>
            <w:rFonts w:ascii="Palatino Linotype" w:eastAsia="Times New Roman" w:hAnsi="Palatino Linotype" w:cs="Arial"/>
            <w:sz w:val="24"/>
            <w:szCs w:val="24"/>
            <w:lang w:val="es-ES" w:eastAsia="es-ES"/>
          </w:rPr>
          <w:t>176, 178, 179, 181</w:t>
        </w:r>
      </w:hyperlink>
      <w:r w:rsidRPr="00DB6E06">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264C4BC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58037B30"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b/>
          <w:bCs/>
          <w:sz w:val="28"/>
          <w:szCs w:val="28"/>
        </w:rPr>
      </w:pPr>
      <w:r w:rsidRPr="00DB6E06">
        <w:rPr>
          <w:rFonts w:ascii="Palatino Linotype" w:eastAsia="Times New Roman" w:hAnsi="Palatino Linotype" w:cs="Arial"/>
          <w:b/>
          <w:sz w:val="28"/>
        </w:rPr>
        <w:t>SEGUNDO</w:t>
      </w:r>
      <w:r w:rsidRPr="00DB6E06">
        <w:rPr>
          <w:rFonts w:ascii="Palatino Linotype" w:eastAsia="Times New Roman" w:hAnsi="Palatino Linotype" w:cs="Arial"/>
          <w:b/>
        </w:rPr>
        <w:t xml:space="preserve">. </w:t>
      </w:r>
      <w:r w:rsidRPr="00DB6E06">
        <w:rPr>
          <w:rFonts w:ascii="Palatino Linotype" w:eastAsia="Times New Roman" w:hAnsi="Palatino Linotype" w:cs="Times New Roman"/>
          <w:b/>
          <w:bCs/>
          <w:sz w:val="28"/>
          <w:szCs w:val="28"/>
        </w:rPr>
        <w:t>Sobre los alcances del recurso de revisión</w:t>
      </w:r>
    </w:p>
    <w:p w14:paraId="1899CA3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eastAsia="Times New Roman" w:cs="Times New Roman"/>
        </w:rPr>
        <w:t xml:space="preserve"> </w:t>
      </w:r>
      <w:r w:rsidRPr="00DB6E06">
        <w:rPr>
          <w:rFonts w:ascii="Palatino Linotype" w:eastAsia="Times New Roman"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EF04BE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439D545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05B9122E"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27FB2543"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163.</w:t>
      </w:r>
      <w:r w:rsidRPr="00DB6E06">
        <w:rPr>
          <w:rFonts w:ascii="Palatino Linotype" w:eastAsia="Times New Roman" w:hAnsi="Palatino Linotype" w:cs="Arial"/>
          <w:i/>
          <w:lang w:val="es-ES" w:eastAsia="es-ES"/>
        </w:rPr>
        <w:t xml:space="preserve"> </w:t>
      </w:r>
      <w:r w:rsidRPr="00DB6E06">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68D137CE"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D56CA14"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45933ED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3CDF060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la interpretación al precepto legal inserto, se advierte que el plazo que les asiste a los </w:t>
      </w:r>
      <w:r w:rsidRPr="00DB6E06">
        <w:rPr>
          <w:rFonts w:ascii="Palatino Linotype" w:eastAsia="Times New Roman" w:hAnsi="Palatino Linotype" w:cs="Arial"/>
          <w:b/>
          <w:sz w:val="24"/>
          <w:szCs w:val="24"/>
        </w:rPr>
        <w:t>sujetos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obligados</w:t>
      </w:r>
      <w:r w:rsidRPr="00DB6E06">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52F6929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5863254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Se constituye la figura jurídica de la </w:t>
      </w:r>
      <w:r w:rsidRPr="00DB6E06">
        <w:rPr>
          <w:rFonts w:ascii="Palatino Linotype" w:eastAsia="Times New Roman" w:hAnsi="Palatino Linotype" w:cs="Arial"/>
          <w:b/>
          <w:i/>
          <w:sz w:val="24"/>
          <w:szCs w:val="24"/>
        </w:rPr>
        <w:t>NEGATIVA FICTA</w:t>
      </w:r>
      <w:r w:rsidRPr="00DB6E06">
        <w:rPr>
          <w:rFonts w:ascii="Palatino Linotype" w:eastAsia="Times New Roman" w:hAnsi="Palatino Linotype" w:cs="Arial"/>
          <w:sz w:val="24"/>
          <w:szCs w:val="24"/>
        </w:rPr>
        <w:t xml:space="preserve">, cuya esencia consiste en atribuir un efecto negativo al silencio de la autoridad administrativa frente a las instancias y solicitudes que hagan los particulares. Por su parte el artículo 178 de la Ley </w:t>
      </w:r>
      <w:r w:rsidRPr="00DB6E06">
        <w:rPr>
          <w:rFonts w:ascii="Palatino Linotype" w:eastAsia="Times New Roman" w:hAnsi="Palatino Linotype" w:cs="Arial"/>
          <w:sz w:val="24"/>
          <w:szCs w:val="24"/>
        </w:rPr>
        <w:lastRenderedPageBreak/>
        <w:t>de Transparencia y Acceso a la Información Pública del Estado de México y Municipios, establece:</w:t>
      </w:r>
    </w:p>
    <w:p w14:paraId="6E997D30" w14:textId="77777777" w:rsidR="0051753E" w:rsidRPr="00DB6E06" w:rsidRDefault="0051753E" w:rsidP="0051753E">
      <w:pPr>
        <w:spacing w:after="0" w:line="240" w:lineRule="auto"/>
        <w:rPr>
          <w:rFonts w:ascii="Palatino Linotype" w:eastAsia="Times New Roman" w:hAnsi="Palatino Linotype" w:cs="Times New Roman"/>
        </w:rPr>
      </w:pPr>
    </w:p>
    <w:p w14:paraId="11649253"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178.</w:t>
      </w:r>
      <w:r w:rsidRPr="00DB6E06">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4E459B"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07D121C8"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B6E06">
        <w:rPr>
          <w:rFonts w:ascii="Palatino Linotype" w:eastAsia="Times New Roman" w:hAnsi="Palatino Linotype" w:cs="Arial"/>
          <w:i/>
          <w:lang w:val="es-ES" w:eastAsia="es-ES"/>
        </w:rPr>
        <w:t>, acompañado con el documento que pruebe la fecha en que presentó la solicitud.</w:t>
      </w:r>
    </w:p>
    <w:p w14:paraId="7D099A4B"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47128A1"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34308C38"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5801131"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5D205E4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3DCD2BE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0319DE3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706E95ED" w14:textId="77777777" w:rsidR="00DF28AA" w:rsidRPr="00DF28AA" w:rsidRDefault="00DF28AA" w:rsidP="00DF28AA">
      <w:pPr>
        <w:pStyle w:val="Ttulo2"/>
        <w:rPr>
          <w:rFonts w:eastAsia="Palatino Linotype"/>
          <w:sz w:val="24"/>
          <w:szCs w:val="24"/>
        </w:rPr>
      </w:pPr>
      <w:r w:rsidRPr="00DF28AA">
        <w:rPr>
          <w:rFonts w:eastAsia="Palatino Linotype"/>
          <w:sz w:val="24"/>
          <w:szCs w:val="24"/>
        </w:rPr>
        <w:lastRenderedPageBreak/>
        <w:t>TERCERO. Cuestiones de previo y especial pronunciamiento.</w:t>
      </w:r>
    </w:p>
    <w:p w14:paraId="5D7A8A2D" w14:textId="77777777" w:rsidR="00DF28AA" w:rsidRPr="00DF28AA" w:rsidRDefault="00DF28AA" w:rsidP="00DF28AA">
      <w:pPr>
        <w:spacing w:line="360" w:lineRule="auto"/>
        <w:contextualSpacing/>
        <w:jc w:val="both"/>
        <w:rPr>
          <w:rFonts w:ascii="Palatino Linotype" w:eastAsia="Palatino Linotype" w:hAnsi="Palatino Linotype" w:cs="Palatino Linotype"/>
          <w:sz w:val="24"/>
          <w:szCs w:val="24"/>
        </w:rPr>
      </w:pPr>
      <w:r w:rsidRPr="00DF28AA">
        <w:rPr>
          <w:rFonts w:ascii="Palatino Linotype" w:eastAsia="Palatino Linotype" w:hAnsi="Palatino Linotype" w:cs="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4113BB89" w14:textId="77777777" w:rsidR="00DF28AA" w:rsidRPr="00DF28AA" w:rsidRDefault="00DF28AA" w:rsidP="00DF28AA">
      <w:pPr>
        <w:spacing w:line="360" w:lineRule="auto"/>
        <w:contextualSpacing/>
        <w:jc w:val="both"/>
        <w:rPr>
          <w:rFonts w:ascii="Palatino Linotype" w:eastAsia="Palatino Linotype" w:hAnsi="Palatino Linotype" w:cs="Palatino Linotype"/>
          <w:sz w:val="24"/>
          <w:szCs w:val="24"/>
        </w:rPr>
      </w:pPr>
    </w:p>
    <w:p w14:paraId="2D0E52C8"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t xml:space="preserve">Artículo 180. </w:t>
      </w:r>
      <w:r w:rsidRPr="00DF28AA">
        <w:rPr>
          <w:rFonts w:ascii="Palatino Linotype" w:eastAsia="Palatino Linotype" w:hAnsi="Palatino Linotype" w:cs="Palatino Linotype"/>
          <w:i/>
          <w:sz w:val="24"/>
          <w:szCs w:val="24"/>
        </w:rPr>
        <w:t>El recurso de revisión contendrá:</w:t>
      </w:r>
    </w:p>
    <w:p w14:paraId="198A9E99"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75F3022F"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I. El sujeto obligado ante la cual se presentó la solicitud;</w:t>
      </w:r>
    </w:p>
    <w:p w14:paraId="06A7C488"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t>II. El nombre del solicitante que recurre</w:t>
      </w:r>
      <w:r w:rsidRPr="00DF28AA">
        <w:rPr>
          <w:rFonts w:ascii="Palatino Linotype" w:eastAsia="Palatino Linotype" w:hAnsi="Palatino Linotype" w:cs="Palatino Linotype"/>
          <w:i/>
          <w:sz w:val="24"/>
          <w:szCs w:val="24"/>
        </w:rPr>
        <w:t xml:space="preserve"> o de su representante y, en su caso, del tercero interesado, así como la dirección o medio que señale para recibir notificaciones;</w:t>
      </w:r>
    </w:p>
    <w:p w14:paraId="6D2B47D5"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III. El número de folio de respuesta de la solicitud de acceso;</w:t>
      </w:r>
    </w:p>
    <w:p w14:paraId="306F9996"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IV. La fecha en que fue notificada la respuesta al solicitante o tuvo conocimiento del acto reclamado, o de presentación de la solicitud, en caso de falta de respuesta;</w:t>
      </w:r>
    </w:p>
    <w:p w14:paraId="4463D5DA"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V. El acto que se recurre;</w:t>
      </w:r>
    </w:p>
    <w:p w14:paraId="450FD52D"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VI. Las razones o motivos de inconformidad;</w:t>
      </w:r>
    </w:p>
    <w:p w14:paraId="0B71F60B"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VII. La copia de la respuesta que se impugna y, en su caso, de la notificación correspondiente, en el caso de respuesta de la solicitud; y</w:t>
      </w:r>
    </w:p>
    <w:p w14:paraId="2DF8BD8B"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VIII. Firma del recurrente, en su caso, cuando se presente por escrito, requisito sin el cual se dará trámite al recurso.</w:t>
      </w:r>
    </w:p>
    <w:p w14:paraId="3A8C4427"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321F7106"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Adicionalmente, se podrán anexar las pruebas y demás elementos que considere procedentes someter a juicio del Instituto.</w:t>
      </w:r>
    </w:p>
    <w:p w14:paraId="7B3FB962"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56B7EC5F"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lastRenderedPageBreak/>
        <w:t>En ningún caso será necesario que el particular ratifique el recurso de revisión interpuesto.</w:t>
      </w:r>
    </w:p>
    <w:p w14:paraId="68F3D772"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6D9D0F92"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t>En caso de que el recurso se interponga de manera electrónica no será indispensable que contengan los requisitos establecidos en las fracciones II</w:t>
      </w:r>
      <w:r w:rsidRPr="00DF28AA">
        <w:rPr>
          <w:rFonts w:ascii="Palatino Linotype" w:eastAsia="Palatino Linotype" w:hAnsi="Palatino Linotype" w:cs="Palatino Linotype"/>
          <w:i/>
          <w:sz w:val="24"/>
          <w:szCs w:val="24"/>
        </w:rPr>
        <w:t>, IV, VII y VIII.</w:t>
      </w:r>
    </w:p>
    <w:p w14:paraId="3D6B481A" w14:textId="77777777" w:rsidR="00DF28AA" w:rsidRPr="00DF28AA" w:rsidRDefault="00DF28AA" w:rsidP="00DF28AA">
      <w:pPr>
        <w:spacing w:line="360" w:lineRule="auto"/>
        <w:contextualSpacing/>
        <w:jc w:val="both"/>
        <w:rPr>
          <w:rFonts w:ascii="Palatino Linotype" w:eastAsia="Palatino Linotype" w:hAnsi="Palatino Linotype" w:cs="Palatino Linotype"/>
          <w:b/>
          <w:i/>
          <w:sz w:val="24"/>
          <w:szCs w:val="24"/>
        </w:rPr>
      </w:pPr>
    </w:p>
    <w:p w14:paraId="57B9F538" w14:textId="77777777" w:rsidR="00DF28AA" w:rsidRPr="00DF28AA" w:rsidRDefault="00DF28AA" w:rsidP="00DF28AA">
      <w:pPr>
        <w:spacing w:line="360" w:lineRule="auto"/>
        <w:contextualSpacing/>
        <w:jc w:val="both"/>
        <w:rPr>
          <w:rFonts w:ascii="Palatino Linotype" w:eastAsia="Palatino Linotype" w:hAnsi="Palatino Linotype" w:cs="Palatino Linotype"/>
          <w:sz w:val="24"/>
          <w:szCs w:val="24"/>
        </w:rPr>
      </w:pPr>
      <w:r w:rsidRPr="00DF28AA">
        <w:rPr>
          <w:rFonts w:ascii="Palatino Linotype" w:eastAsia="Palatino Linotype" w:hAnsi="Palatino Linotype" w:cs="Palatino Linotype"/>
          <w:sz w:val="24"/>
          <w:szCs w:val="24"/>
        </w:rPr>
        <w:t>Cabe señalar que el hoy Recurrente no se identificó de manera alguna;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14015524" w14:textId="77777777" w:rsidR="00DF28AA" w:rsidRPr="00DF28AA" w:rsidRDefault="00DF28AA" w:rsidP="00DF28AA">
      <w:pPr>
        <w:spacing w:line="360" w:lineRule="auto"/>
        <w:contextualSpacing/>
        <w:jc w:val="both"/>
        <w:rPr>
          <w:rFonts w:ascii="Palatino Linotype" w:eastAsia="Palatino Linotype" w:hAnsi="Palatino Linotype" w:cs="Palatino Linotype"/>
          <w:sz w:val="24"/>
          <w:szCs w:val="24"/>
        </w:rPr>
      </w:pPr>
    </w:p>
    <w:p w14:paraId="122BF9DB"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t>Artículo 155.</w:t>
      </w:r>
      <w:r w:rsidRPr="00DF28AA">
        <w:rPr>
          <w:rFonts w:ascii="Palatino Linotype" w:eastAsia="Palatino Linotype" w:hAnsi="Palatino Linotype" w:cs="Palatino Linotype"/>
          <w:i/>
          <w:sz w:val="24"/>
          <w:szCs w:val="24"/>
        </w:rPr>
        <w:t xml:space="preserve"> […]</w:t>
      </w:r>
    </w:p>
    <w:p w14:paraId="3C1D0DBE"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41A4FAEE"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t>Las solicitudes anónimas</w:t>
      </w:r>
      <w:r w:rsidRPr="00DF28AA">
        <w:rPr>
          <w:rFonts w:ascii="Palatino Linotype" w:eastAsia="Palatino Linotype" w:hAnsi="Palatino Linotype" w:cs="Palatino Linotype"/>
          <w:i/>
          <w:sz w:val="24"/>
          <w:szCs w:val="24"/>
        </w:rPr>
        <w:t xml:space="preserve">, con nombre incompleto o seudónimo </w:t>
      </w:r>
      <w:r w:rsidRPr="00DF28AA">
        <w:rPr>
          <w:rFonts w:ascii="Palatino Linotype" w:eastAsia="Palatino Linotype" w:hAnsi="Palatino Linotype" w:cs="Palatino Linotype"/>
          <w:b/>
          <w:i/>
          <w:sz w:val="24"/>
          <w:szCs w:val="24"/>
        </w:rPr>
        <w:t>serán procedentes para su trámite</w:t>
      </w:r>
      <w:r w:rsidRPr="00DF28AA">
        <w:rPr>
          <w:rFonts w:ascii="Palatino Linotype" w:eastAsia="Palatino Linotype" w:hAnsi="Palatino Linotype" w:cs="Palatino Linotype"/>
          <w:i/>
          <w:sz w:val="24"/>
          <w:szCs w:val="24"/>
        </w:rPr>
        <w:t xml:space="preserve"> por parte del sujeto obligado ante quien se presente. No podrá requerirse información adicional con motivo del nombre proporcionado por el solicitante.</w:t>
      </w:r>
    </w:p>
    <w:p w14:paraId="713B4C2F" w14:textId="77777777" w:rsidR="00DF28AA" w:rsidRPr="00DF28AA" w:rsidRDefault="00DF28AA" w:rsidP="00DF28AA">
      <w:pPr>
        <w:spacing w:line="360" w:lineRule="auto"/>
        <w:contextualSpacing/>
        <w:jc w:val="both"/>
        <w:rPr>
          <w:rFonts w:ascii="Palatino Linotype" w:eastAsia="Palatino Linotype" w:hAnsi="Palatino Linotype" w:cs="Palatino Linotype"/>
          <w:sz w:val="24"/>
          <w:szCs w:val="24"/>
        </w:rPr>
      </w:pPr>
    </w:p>
    <w:p w14:paraId="0AE68B1B" w14:textId="77777777" w:rsidR="00DF28AA" w:rsidRPr="00DF28AA" w:rsidRDefault="00DF28AA" w:rsidP="00DF28AA">
      <w:pPr>
        <w:spacing w:line="360" w:lineRule="auto"/>
        <w:contextualSpacing/>
        <w:jc w:val="both"/>
        <w:rPr>
          <w:rFonts w:ascii="Palatino Linotype" w:eastAsia="Palatino Linotype" w:hAnsi="Palatino Linotype" w:cs="Palatino Linotype"/>
          <w:sz w:val="24"/>
          <w:szCs w:val="24"/>
        </w:rPr>
      </w:pPr>
      <w:r w:rsidRPr="00DF28AA">
        <w:rPr>
          <w:rFonts w:ascii="Palatino Linotype" w:eastAsia="Palatino Linotype" w:hAnsi="Palatino Linotype" w:cs="Palatino Linotype"/>
          <w:sz w:val="24"/>
          <w:szCs w:val="24"/>
        </w:rPr>
        <w:t xml:space="preserve">Robusteciendo lo anterior se encuentra lo dispuesto en los artículos 6, Apartado A, fracciones III y IV de la Constitución Política de los Estados Unidos Mexicanos y 5 </w:t>
      </w:r>
      <w:r w:rsidRPr="00DF28AA">
        <w:rPr>
          <w:rFonts w:ascii="Palatino Linotype" w:eastAsia="Palatino Linotype" w:hAnsi="Palatino Linotype" w:cs="Palatino Linotype"/>
          <w:sz w:val="24"/>
          <w:szCs w:val="24"/>
        </w:rPr>
        <w:lastRenderedPageBreak/>
        <w:t>párrafos vigésimo, vigésimo primero y vigésimo segundo, de la Constitución Política del Estado Libre y Soberano de México, se establece lo siguiente:</w:t>
      </w:r>
    </w:p>
    <w:p w14:paraId="4973512A" w14:textId="77777777" w:rsidR="00DF28AA" w:rsidRPr="00DF28AA" w:rsidRDefault="00DF28AA" w:rsidP="00DF28AA">
      <w:pPr>
        <w:spacing w:line="360" w:lineRule="auto"/>
        <w:contextualSpacing/>
        <w:jc w:val="both"/>
        <w:rPr>
          <w:rFonts w:ascii="Palatino Linotype" w:eastAsia="Palatino Linotype" w:hAnsi="Palatino Linotype" w:cs="Palatino Linotype"/>
          <w:sz w:val="24"/>
          <w:szCs w:val="24"/>
        </w:rPr>
      </w:pPr>
    </w:p>
    <w:p w14:paraId="67FDA799"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b/>
          <w:i/>
          <w:sz w:val="24"/>
          <w:szCs w:val="24"/>
          <w:u w:val="single"/>
        </w:rPr>
      </w:pPr>
      <w:r w:rsidRPr="00DF28AA">
        <w:rPr>
          <w:rFonts w:ascii="Palatino Linotype" w:eastAsia="Palatino Linotype" w:hAnsi="Palatino Linotype" w:cs="Palatino Linotype"/>
          <w:b/>
          <w:i/>
          <w:sz w:val="24"/>
          <w:szCs w:val="24"/>
          <w:u w:val="single"/>
        </w:rPr>
        <w:t>Constitución Política de los Estados Unidos Mexicanos</w:t>
      </w:r>
    </w:p>
    <w:p w14:paraId="091395A4"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t>Artículo 6</w:t>
      </w:r>
      <w:r w:rsidRPr="00DF28AA">
        <w:rPr>
          <w:rFonts w:ascii="Palatino Linotype" w:eastAsia="Palatino Linotype" w:hAnsi="Palatino Linotype" w:cs="Palatino Linotype"/>
          <w:i/>
          <w:sz w:val="24"/>
          <w:szCs w:val="24"/>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F606E1F"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w:t>
      </w:r>
    </w:p>
    <w:p w14:paraId="416D8848"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 xml:space="preserve">Para efectos de lo dispuesto en el presente artículo se observará lo siguiente: </w:t>
      </w:r>
    </w:p>
    <w:p w14:paraId="22121703"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2B09944D"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A. Para el ejercicio del derecho de acceso a la información, la Federación, los Estados y el Distrito Federal, en el ámbito de sus respectivas competencias, se regirán por los siguientes principios y bases:</w:t>
      </w:r>
    </w:p>
    <w:p w14:paraId="298B0905"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w:t>
      </w:r>
    </w:p>
    <w:p w14:paraId="55E5BD63"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 xml:space="preserve">III. Toda persona, sin necesidad de acreditar interés alguno o justificar su utilización, tendrá acceso gratuito a la información pública, a sus datos personales o a la rectificación de éstos. </w:t>
      </w:r>
    </w:p>
    <w:p w14:paraId="699F5E1F"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IV. Se establecerán mecanismos de acceso a la información y procedimientos de revisión expeditos que se sustanciarán ante los organismos autónomos especializados e imparciales que establece esta Constitución.</w:t>
      </w:r>
    </w:p>
    <w:p w14:paraId="21EABF54"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45BABADA"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b/>
          <w:i/>
          <w:sz w:val="24"/>
          <w:szCs w:val="24"/>
          <w:u w:val="single"/>
        </w:rPr>
      </w:pPr>
      <w:r w:rsidRPr="00DF28AA">
        <w:rPr>
          <w:rFonts w:ascii="Palatino Linotype" w:eastAsia="Palatino Linotype" w:hAnsi="Palatino Linotype" w:cs="Palatino Linotype"/>
          <w:b/>
          <w:i/>
          <w:sz w:val="24"/>
          <w:szCs w:val="24"/>
          <w:u w:val="single"/>
        </w:rPr>
        <w:t>Constitución Política del Estado Libre y Soberano de México</w:t>
      </w:r>
    </w:p>
    <w:p w14:paraId="279F2606"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lastRenderedPageBreak/>
        <w:t>Artículo 5</w:t>
      </w:r>
      <w:r w:rsidRPr="00DF28AA">
        <w:rPr>
          <w:rFonts w:ascii="Palatino Linotype" w:eastAsia="Palatino Linotype" w:hAnsi="Palatino Linotype" w:cs="Palatino Linotype"/>
          <w:i/>
          <w:sz w:val="24"/>
          <w:szCs w:val="24"/>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F826C14"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w:t>
      </w:r>
    </w:p>
    <w:p w14:paraId="69790212"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Toda persona en el Estado de México, tiene derecho al libre acceso a la información plural y oportuna, así como a buscar recibir y difundir información e ideas de toda índole por cualquier medio de expresión.</w:t>
      </w:r>
    </w:p>
    <w:p w14:paraId="62515F54"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w:t>
      </w:r>
    </w:p>
    <w:p w14:paraId="66C2FDD8"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 xml:space="preserve">El derecho a la información será garantizado por el Estado. La ley establecerá las previsiones que permitan asegurar la protección, el respeto y la difusión de este derecho. </w:t>
      </w:r>
    </w:p>
    <w:p w14:paraId="619129A0"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18F6B705"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BD7F0C4"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363C60A7"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Este derecho se regirá por los principios y bases siguientes:</w:t>
      </w:r>
    </w:p>
    <w:p w14:paraId="4554AB27"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w:t>
      </w:r>
    </w:p>
    <w:p w14:paraId="5C36D1C1"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lastRenderedPageBreak/>
        <w:t>III.</w:t>
      </w:r>
      <w:r w:rsidRPr="00DF28AA">
        <w:rPr>
          <w:rFonts w:ascii="Palatino Linotype" w:eastAsia="Palatino Linotype" w:hAnsi="Palatino Linotype" w:cs="Palatino Linotype"/>
          <w:i/>
          <w:sz w:val="24"/>
          <w:szCs w:val="24"/>
        </w:rPr>
        <w:t xml:space="preserve"> Toda persona, sin necesidad de acreditar interés alguno o justificar su utilización, tendrá acceso gratuito a la información pública, a sus datos personales o a la rectificación de éstos;</w:t>
      </w:r>
    </w:p>
    <w:p w14:paraId="3E19CA1B"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t>IV.</w:t>
      </w:r>
      <w:r w:rsidRPr="00DF28AA">
        <w:rPr>
          <w:rFonts w:ascii="Palatino Linotype" w:eastAsia="Palatino Linotype" w:hAnsi="Palatino Linotype" w:cs="Palatino Linotype"/>
          <w:i/>
          <w:sz w:val="24"/>
          <w:szCs w:val="24"/>
        </w:rPr>
        <w:t xml:space="preserve"> Se establecerán mecanismos de acceso a la información y procedimientos de revisión expeditos que se sustanciarán ante el organismo autónomo especializado e imparcial que establece esta Constitución.</w:t>
      </w:r>
    </w:p>
    <w:p w14:paraId="7E6B4459"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w:t>
      </w:r>
    </w:p>
    <w:p w14:paraId="742A02AA"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t>VIII.</w:t>
      </w:r>
      <w:r w:rsidRPr="00DF28AA">
        <w:rPr>
          <w:rFonts w:ascii="Palatino Linotype" w:eastAsia="Palatino Linotype" w:hAnsi="Palatino Linotype" w:cs="Palatino Linotype"/>
          <w:i/>
          <w:sz w:val="24"/>
          <w:szCs w:val="24"/>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AB5292D"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w:t>
      </w:r>
    </w:p>
    <w:p w14:paraId="62F948BC"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sz w:val="24"/>
          <w:szCs w:val="24"/>
        </w:rPr>
      </w:pPr>
    </w:p>
    <w:p w14:paraId="106846A4" w14:textId="77777777" w:rsidR="00DF28AA" w:rsidRPr="00DF28AA" w:rsidRDefault="00DF28AA" w:rsidP="00DF28AA">
      <w:pPr>
        <w:spacing w:line="360" w:lineRule="auto"/>
        <w:ind w:right="49"/>
        <w:contextualSpacing/>
        <w:jc w:val="both"/>
        <w:rPr>
          <w:rFonts w:ascii="Palatino Linotype" w:eastAsia="Palatino Linotype" w:hAnsi="Palatino Linotype" w:cs="Palatino Linotype"/>
          <w:sz w:val="24"/>
          <w:szCs w:val="24"/>
        </w:rPr>
      </w:pPr>
      <w:r w:rsidRPr="00DF28AA">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14:paraId="0B6ABC1A" w14:textId="77777777" w:rsidR="00DF28AA" w:rsidRPr="00DF28AA" w:rsidRDefault="00DF28AA" w:rsidP="00DF28AA">
      <w:pPr>
        <w:spacing w:line="360" w:lineRule="auto"/>
        <w:ind w:right="49"/>
        <w:contextualSpacing/>
        <w:jc w:val="both"/>
        <w:rPr>
          <w:rFonts w:ascii="Palatino Linotype" w:eastAsia="Palatino Linotype" w:hAnsi="Palatino Linotype" w:cs="Palatino Linotype"/>
          <w:sz w:val="24"/>
          <w:szCs w:val="24"/>
        </w:rPr>
      </w:pPr>
    </w:p>
    <w:p w14:paraId="18BEDF9B"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b/>
          <w:i/>
          <w:sz w:val="24"/>
          <w:szCs w:val="24"/>
        </w:rPr>
        <w:t>Artículo 1o</w:t>
      </w:r>
      <w:r w:rsidRPr="00DF28AA">
        <w:rPr>
          <w:rFonts w:ascii="Palatino Linotype" w:eastAsia="Palatino Linotype" w:hAnsi="Palatino Linotype" w:cs="Palatino Linotype"/>
          <w:i/>
          <w:sz w:val="24"/>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D94EC96"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054527F0"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lastRenderedPageBreak/>
        <w:t>Las normas relativas a los derechos humanos se interpretarán de conformidad con esta Constitución y con los tratados internacionales de la materia favoreciendo en todo tiempo a las personas la protección más amplia.</w:t>
      </w:r>
    </w:p>
    <w:p w14:paraId="4919D5F6"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p>
    <w:p w14:paraId="7F322BE9" w14:textId="77777777" w:rsidR="00DF28AA" w:rsidRPr="00DF28AA" w:rsidRDefault="00DF28AA" w:rsidP="00DF28AA">
      <w:pPr>
        <w:spacing w:line="360" w:lineRule="auto"/>
        <w:ind w:left="567" w:right="567"/>
        <w:contextualSpacing/>
        <w:jc w:val="both"/>
        <w:rPr>
          <w:rFonts w:ascii="Palatino Linotype" w:eastAsia="Palatino Linotype" w:hAnsi="Palatino Linotype" w:cs="Palatino Linotype"/>
          <w:i/>
          <w:sz w:val="24"/>
          <w:szCs w:val="24"/>
        </w:rPr>
      </w:pPr>
      <w:r w:rsidRPr="00DF28AA">
        <w:rPr>
          <w:rFonts w:ascii="Palatino Linotype" w:eastAsia="Palatino Linotype" w:hAnsi="Palatino Linotype" w:cs="Palatino Linotype"/>
          <w:i/>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2CB78EA" w14:textId="77777777" w:rsidR="00DF28AA" w:rsidRPr="00DF28AA" w:rsidRDefault="00DF28AA" w:rsidP="00DF28AA">
      <w:pPr>
        <w:spacing w:line="360" w:lineRule="auto"/>
        <w:jc w:val="both"/>
        <w:rPr>
          <w:rFonts w:ascii="Palatino Linotype" w:hAnsi="Palatino Linotype"/>
          <w:sz w:val="24"/>
          <w:szCs w:val="24"/>
        </w:rPr>
      </w:pPr>
    </w:p>
    <w:p w14:paraId="12EA78CF" w14:textId="77777777" w:rsidR="00DF28AA" w:rsidRPr="00DF28AA" w:rsidRDefault="00DF28AA" w:rsidP="00DF28AA">
      <w:pPr>
        <w:spacing w:line="360" w:lineRule="auto"/>
        <w:jc w:val="both"/>
        <w:rPr>
          <w:rFonts w:ascii="Palatino Linotype" w:eastAsia="Palatino Linotype" w:hAnsi="Palatino Linotype" w:cs="Palatino Linotype"/>
          <w:sz w:val="24"/>
          <w:szCs w:val="24"/>
        </w:rPr>
      </w:pPr>
      <w:r w:rsidRPr="00DF28AA">
        <w:rPr>
          <w:rFonts w:ascii="Palatino Linotype" w:eastAsia="Palatino Linotype" w:hAnsi="Palatino Linotype" w:cs="Palatino Linotype"/>
          <w:sz w:val="24"/>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82961D5" w14:textId="77777777" w:rsidR="00DF28AA" w:rsidRPr="00DF28AA" w:rsidRDefault="00DF28AA" w:rsidP="00DF28AA">
      <w:pPr>
        <w:spacing w:line="360" w:lineRule="auto"/>
        <w:jc w:val="both"/>
        <w:rPr>
          <w:rFonts w:ascii="Palatino Linotype" w:eastAsia="Palatino Linotype" w:hAnsi="Palatino Linotype" w:cs="Palatino Linotype"/>
          <w:sz w:val="24"/>
          <w:szCs w:val="24"/>
        </w:rPr>
      </w:pPr>
    </w:p>
    <w:p w14:paraId="769B10E7" w14:textId="77777777" w:rsidR="00DF28AA" w:rsidRPr="00DF28AA" w:rsidRDefault="00DF28AA" w:rsidP="00DF28AA">
      <w:pPr>
        <w:spacing w:line="360" w:lineRule="auto"/>
        <w:jc w:val="both"/>
        <w:rPr>
          <w:rFonts w:ascii="Palatino Linotype" w:eastAsia="Palatino Linotype" w:hAnsi="Palatino Linotype" w:cs="Palatino Linotype"/>
          <w:color w:val="000000"/>
          <w:sz w:val="24"/>
          <w:szCs w:val="24"/>
        </w:rPr>
      </w:pPr>
      <w:r w:rsidRPr="00DF28AA">
        <w:rPr>
          <w:rFonts w:ascii="Palatino Linotype" w:eastAsia="Palatino Linotype" w:hAnsi="Palatino Linotype" w:cs="Palatino Linotype"/>
          <w:color w:val="000000"/>
          <w:sz w:val="24"/>
          <w:szCs w:val="24"/>
        </w:rPr>
        <w:t>En conclusión, se cubrieron los requisitos de procedencia y procedibilidad y conforme a las constancias que obran en el expediente.</w:t>
      </w:r>
    </w:p>
    <w:p w14:paraId="35E456AB" w14:textId="77777777" w:rsidR="00DF28AA" w:rsidRPr="00DF28AA" w:rsidRDefault="00DF28AA" w:rsidP="00DF28AA">
      <w:pPr>
        <w:spacing w:line="360" w:lineRule="auto"/>
        <w:jc w:val="both"/>
        <w:rPr>
          <w:rFonts w:ascii="Palatino Linotype" w:eastAsia="Palatino Linotype" w:hAnsi="Palatino Linotype" w:cs="Palatino Linotype"/>
          <w:color w:val="000000"/>
          <w:sz w:val="24"/>
          <w:szCs w:val="24"/>
        </w:rPr>
      </w:pPr>
    </w:p>
    <w:p w14:paraId="13DDB591" w14:textId="77777777" w:rsidR="00DF28AA" w:rsidRPr="00DF28AA" w:rsidRDefault="00DF28AA" w:rsidP="00DF28AA">
      <w:pPr>
        <w:pStyle w:val="Ttulo2"/>
        <w:rPr>
          <w:rFonts w:eastAsia="Palatino Linotype"/>
          <w:sz w:val="28"/>
          <w:szCs w:val="28"/>
        </w:rPr>
      </w:pPr>
      <w:r w:rsidRPr="00DF28AA">
        <w:rPr>
          <w:rFonts w:eastAsia="Palatino Linotype"/>
          <w:sz w:val="28"/>
          <w:szCs w:val="28"/>
        </w:rPr>
        <w:lastRenderedPageBreak/>
        <w:t>CUARTO. De las causas de improcedencia.</w:t>
      </w:r>
    </w:p>
    <w:p w14:paraId="3B8B2E2E" w14:textId="77777777" w:rsidR="00DF28AA" w:rsidRPr="00DF28AA" w:rsidRDefault="00DF28AA" w:rsidP="00DF28A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DF28AA">
        <w:rPr>
          <w:rFonts w:ascii="Palatino Linotype" w:eastAsia="Palatino Linotype" w:hAnsi="Palatino Linotype" w:cs="Palatino Linotype"/>
          <w:color w:val="000000"/>
          <w:sz w:val="24"/>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5775E85" w14:textId="77777777" w:rsidR="00DF28AA" w:rsidRPr="00DF28AA" w:rsidRDefault="00DF28AA" w:rsidP="00DF28A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2F71FCEB" w14:textId="77777777" w:rsidR="00DF28AA" w:rsidRPr="00DF28AA" w:rsidRDefault="00DF28AA" w:rsidP="00DF28A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DF28AA">
        <w:rPr>
          <w:rFonts w:ascii="Palatino Linotype" w:eastAsia="Palatino Linotype" w:hAnsi="Palatino Linotype" w:cs="Palatino Linotype"/>
          <w:color w:val="000000"/>
          <w:sz w:val="24"/>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DF28AA">
        <w:rPr>
          <w:rFonts w:ascii="Palatino Linotype" w:eastAsia="Palatino Linotype" w:hAnsi="Palatino Linotype" w:cs="Palatino Linotype"/>
          <w:color w:val="000000"/>
          <w:sz w:val="24"/>
          <w:szCs w:val="24"/>
          <w:vertAlign w:val="superscript"/>
        </w:rPr>
        <w:footnoteReference w:id="1"/>
      </w:r>
      <w:r w:rsidRPr="00DF28AA">
        <w:rPr>
          <w:rFonts w:ascii="Palatino Linotype" w:eastAsia="Palatino Linotype" w:hAnsi="Palatino Linotype" w:cs="Palatino Linotype"/>
          <w:color w:val="000000"/>
          <w:sz w:val="24"/>
          <w:szCs w:val="24"/>
        </w:rPr>
        <w:t xml:space="preserve">, la cual permite dilucidar </w:t>
      </w:r>
      <w:r w:rsidRPr="00DF28AA">
        <w:rPr>
          <w:rFonts w:ascii="Palatino Linotype" w:eastAsia="Palatino Linotype" w:hAnsi="Palatino Linotype" w:cs="Palatino Linotype"/>
          <w:color w:val="000000"/>
          <w:sz w:val="24"/>
          <w:szCs w:val="24"/>
        </w:rPr>
        <w:lastRenderedPageBreak/>
        <w:t>alguna causal que impida el estudio y resolución, cuando una vez admitido el recurso de revisión se advierta una causa de improcedencia que permita sobreseerlo, sin estudiar el fondo del asunto.</w:t>
      </w:r>
    </w:p>
    <w:p w14:paraId="43008CBA" w14:textId="77777777" w:rsidR="00DF28AA" w:rsidRPr="00DF28AA" w:rsidRDefault="00DF28AA" w:rsidP="00DF28A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7238EBF" w14:textId="77777777" w:rsidR="00DF28AA" w:rsidRPr="00DF28AA" w:rsidRDefault="00DF28AA" w:rsidP="00DF28A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DF28AA">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A27DA53" w14:textId="77777777" w:rsidR="00DF28AA" w:rsidRPr="00DF28AA" w:rsidRDefault="00DF28AA" w:rsidP="00DF28A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44C14759" w14:textId="12ECAB1E" w:rsidR="0051753E" w:rsidRPr="00DF28AA" w:rsidRDefault="00DF28AA" w:rsidP="00DF28AA">
      <w:pPr>
        <w:autoSpaceDE w:val="0"/>
        <w:autoSpaceDN w:val="0"/>
        <w:adjustRightInd w:val="0"/>
        <w:spacing w:after="0" w:line="360" w:lineRule="auto"/>
        <w:jc w:val="both"/>
        <w:rPr>
          <w:rFonts w:ascii="Palatino Linotype" w:eastAsia="Times New Roman" w:hAnsi="Palatino Linotype" w:cs="Arial"/>
          <w:b/>
          <w:bCs/>
          <w:sz w:val="32"/>
          <w:szCs w:val="28"/>
          <w:lang w:val="es-ES" w:eastAsia="es-ES"/>
        </w:rPr>
      </w:pPr>
      <w:r w:rsidRPr="00DF28AA">
        <w:rPr>
          <w:rFonts w:ascii="Palatino Linotype" w:eastAsia="Palatino Linotype" w:hAnsi="Palatino Linotype"/>
          <w:b/>
          <w:bCs/>
          <w:sz w:val="28"/>
          <w:szCs w:val="28"/>
        </w:rPr>
        <w:t>QUINTO. Estudio y resolución del asunto</w:t>
      </w:r>
    </w:p>
    <w:p w14:paraId="45DB05E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24EE5A9D" w14:textId="77777777" w:rsidR="000C15E4" w:rsidRPr="000C15E4" w:rsidRDefault="000C15E4" w:rsidP="000C15E4">
      <w:pPr>
        <w:spacing w:line="360" w:lineRule="auto"/>
        <w:jc w:val="both"/>
        <w:rPr>
          <w:rFonts w:ascii="Palatino Linotype" w:hAnsi="Palatino Linotype"/>
          <w:sz w:val="24"/>
        </w:rPr>
      </w:pPr>
      <w:r w:rsidRPr="000C15E4">
        <w:rPr>
          <w:rFonts w:ascii="Palatino Linotype" w:hAnsi="Palatino Linotype"/>
          <w:sz w:val="24"/>
        </w:rPr>
        <w:t xml:space="preserve">Antes del entrar al estudio, cabe precisar que </w:t>
      </w:r>
      <w:r w:rsidRPr="000C15E4">
        <w:rPr>
          <w:rFonts w:ascii="Palatino Linotype" w:hAnsi="Palatino Linotype"/>
          <w:b/>
          <w:sz w:val="24"/>
        </w:rPr>
        <w:t>El Sujeto Obligado</w:t>
      </w:r>
      <w:r w:rsidRPr="000C15E4">
        <w:rPr>
          <w:rFonts w:ascii="Palatino Linotype" w:hAnsi="Palatino Linotype"/>
          <w:sz w:val="24"/>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0C15E4">
        <w:rPr>
          <w:rFonts w:ascii="Palatino Linotype" w:eastAsia="Calibri" w:hAnsi="Palatino Linotype"/>
          <w:sz w:val="24"/>
        </w:rPr>
        <w:t xml:space="preserve"> en las fracciones I y VII, del artículo 179, de la Ley de Transparencia y Acceso a la Información Pública del Estado </w:t>
      </w:r>
      <w:r w:rsidRPr="000C15E4">
        <w:rPr>
          <w:rFonts w:ascii="Palatino Linotype" w:eastAsia="Calibri" w:hAnsi="Palatino Linotype"/>
          <w:sz w:val="24"/>
        </w:rPr>
        <w:lastRenderedPageBreak/>
        <w:t>de México y Municipios,</w:t>
      </w:r>
      <w:r w:rsidRPr="000C15E4">
        <w:rPr>
          <w:rFonts w:ascii="Palatino Linotype" w:eastAsia="Calibri" w:hAnsi="Palatino Linotype"/>
          <w:b/>
          <w:sz w:val="24"/>
        </w:rPr>
        <w:t xml:space="preserve"> </w:t>
      </w:r>
      <w:r w:rsidRPr="000C15E4">
        <w:rPr>
          <w:rFonts w:ascii="Palatino Linotype" w:hAnsi="Palatino Linotype"/>
          <w:sz w:val="24"/>
        </w:rPr>
        <w:t>resultando procedente la interposición del recurso de revisión cuando no se dé respuesta a una solicitud de información.</w:t>
      </w:r>
    </w:p>
    <w:p w14:paraId="6717017D" w14:textId="77777777" w:rsidR="000C15E4" w:rsidRPr="000C15E4" w:rsidRDefault="000C15E4" w:rsidP="000C15E4">
      <w:pPr>
        <w:spacing w:line="360" w:lineRule="auto"/>
        <w:jc w:val="both"/>
        <w:rPr>
          <w:rFonts w:ascii="Palatino Linotype" w:hAnsi="Palatino Linotype"/>
          <w:sz w:val="24"/>
        </w:rPr>
      </w:pPr>
    </w:p>
    <w:p w14:paraId="78A10B0C" w14:textId="77777777" w:rsidR="000C15E4" w:rsidRPr="000C15E4" w:rsidRDefault="000C15E4" w:rsidP="000C15E4">
      <w:pPr>
        <w:spacing w:line="360" w:lineRule="auto"/>
        <w:jc w:val="both"/>
        <w:rPr>
          <w:rFonts w:ascii="Palatino Linotype" w:hAnsi="Palatino Linotype"/>
          <w:sz w:val="24"/>
        </w:rPr>
      </w:pPr>
      <w:r w:rsidRPr="000C15E4">
        <w:rPr>
          <w:rFonts w:ascii="Palatino Linotype" w:hAnsi="Palatino Linotype"/>
          <w:sz w:val="24"/>
        </w:rPr>
        <w:t xml:space="preserve">Así las cosas, ante la omisión del Sujeto Obligado para dar respuesta al </w:t>
      </w:r>
      <w:r w:rsidRPr="000C15E4">
        <w:rPr>
          <w:rFonts w:ascii="Palatino Linotype" w:hAnsi="Palatino Linotype"/>
          <w:b/>
          <w:sz w:val="24"/>
        </w:rPr>
        <w:t>Recurrente</w:t>
      </w:r>
      <w:r w:rsidRPr="000C15E4">
        <w:rPr>
          <w:rFonts w:ascii="Palatino Linotype" w:hAnsi="Palatino Linotype"/>
          <w:sz w:val="24"/>
        </w:rPr>
        <w:t xml:space="preserve">, se advierte lo que en la doctrina se le conoce como </w:t>
      </w:r>
      <w:r w:rsidRPr="000C15E4">
        <w:rPr>
          <w:rFonts w:ascii="Palatino Linotype" w:hAnsi="Palatino Linotype"/>
          <w:b/>
          <w:i/>
          <w:sz w:val="24"/>
        </w:rPr>
        <w:t>negativa ficta</w:t>
      </w:r>
      <w:r w:rsidRPr="000C15E4">
        <w:rPr>
          <w:rFonts w:ascii="Palatino Linotype" w:hAnsi="Palatino Linotype"/>
          <w:sz w:val="24"/>
        </w:rPr>
        <w:t>, figura jurídica cuya esencia consiste en atribuir un efecto negativo al silencio de la autoridad administrativa frente a las instancias y solicitudes que hagan los particulares.</w:t>
      </w:r>
    </w:p>
    <w:p w14:paraId="5531C81D" w14:textId="77777777" w:rsidR="000C15E4" w:rsidRPr="000C15E4" w:rsidRDefault="000C15E4" w:rsidP="000C15E4">
      <w:pPr>
        <w:spacing w:line="360" w:lineRule="auto"/>
        <w:jc w:val="both"/>
        <w:rPr>
          <w:rFonts w:ascii="Palatino Linotype" w:hAnsi="Palatino Linotype"/>
          <w:sz w:val="24"/>
        </w:rPr>
      </w:pPr>
    </w:p>
    <w:p w14:paraId="71D6EB01" w14:textId="77777777" w:rsidR="000C15E4" w:rsidRPr="000C15E4" w:rsidRDefault="000C15E4" w:rsidP="000C15E4">
      <w:pPr>
        <w:spacing w:line="360" w:lineRule="auto"/>
        <w:jc w:val="both"/>
        <w:rPr>
          <w:rFonts w:ascii="Palatino Linotype" w:hAnsi="Palatino Linotype"/>
          <w:sz w:val="24"/>
        </w:rPr>
      </w:pPr>
      <w:r w:rsidRPr="000C15E4">
        <w:rPr>
          <w:rFonts w:ascii="Palatino Linotype" w:hAnsi="Palatino Linotype"/>
          <w:sz w:val="24"/>
        </w:rPr>
        <w:t xml:space="preserve">En este sentido la </w:t>
      </w:r>
      <w:r w:rsidRPr="000C15E4">
        <w:rPr>
          <w:rFonts w:ascii="Palatino Linotype" w:hAnsi="Palatino Linotype"/>
          <w:i/>
          <w:sz w:val="24"/>
        </w:rPr>
        <w:t>negativa ficta</w:t>
      </w:r>
      <w:r w:rsidRPr="000C15E4">
        <w:rPr>
          <w:rFonts w:ascii="Palatino Linotype" w:hAnsi="Palatino Linotype"/>
          <w:sz w:val="24"/>
        </w:rPr>
        <w:t xml:space="preserve"> constituye una presunción legal, en el entendido de que donde no hubo respuesta por parte del Sujeto Obligado</w:t>
      </w:r>
      <w:r w:rsidRPr="000C15E4">
        <w:rPr>
          <w:rFonts w:ascii="Palatino Linotype" w:hAnsi="Palatino Linotype"/>
          <w:b/>
          <w:sz w:val="24"/>
        </w:rPr>
        <w:t xml:space="preserve"> </w:t>
      </w:r>
      <w:r w:rsidRPr="000C15E4">
        <w:rPr>
          <w:rFonts w:ascii="Palatino Linotype" w:hAnsi="Palatino Linotype"/>
          <w:sz w:val="24"/>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0C15E4">
        <w:rPr>
          <w:rFonts w:ascii="Palatino Linotype" w:hAnsi="Palatino Linotype"/>
          <w:i/>
          <w:sz w:val="24"/>
        </w:rPr>
        <w:t>Estado de Derecho</w:t>
      </w:r>
      <w:r w:rsidRPr="000C15E4">
        <w:rPr>
          <w:rFonts w:ascii="Palatino Linotype" w:hAnsi="Palatino Linotype"/>
          <w:sz w:val="24"/>
        </w:rPr>
        <w:t xml:space="preserve"> en el que, el particular, tiene siempre una vía de defensa.</w:t>
      </w:r>
    </w:p>
    <w:p w14:paraId="5D0289D6" w14:textId="77777777" w:rsidR="000C15E4" w:rsidRPr="000C15E4" w:rsidRDefault="000C15E4" w:rsidP="000C15E4">
      <w:pPr>
        <w:spacing w:line="360" w:lineRule="auto"/>
        <w:jc w:val="both"/>
        <w:rPr>
          <w:rFonts w:ascii="Palatino Linotype" w:hAnsi="Palatino Linotype"/>
          <w:sz w:val="24"/>
        </w:rPr>
      </w:pPr>
    </w:p>
    <w:p w14:paraId="456EB5FA" w14:textId="77777777" w:rsidR="000C15E4" w:rsidRPr="000C15E4" w:rsidRDefault="000C15E4" w:rsidP="000C15E4">
      <w:pPr>
        <w:spacing w:line="360" w:lineRule="auto"/>
        <w:jc w:val="both"/>
        <w:rPr>
          <w:rFonts w:ascii="Palatino Linotype" w:hAnsi="Palatino Linotype"/>
          <w:sz w:val="24"/>
        </w:rPr>
      </w:pPr>
      <w:r w:rsidRPr="000C15E4">
        <w:rPr>
          <w:rFonts w:ascii="Palatino Linotype" w:hAnsi="Palatino Linotype"/>
          <w:sz w:val="24"/>
        </w:rPr>
        <w:t xml:space="preserve">En este sentido en el marco del derecho de acceso a la información pública, la figura de la </w:t>
      </w:r>
      <w:r w:rsidRPr="000C15E4">
        <w:rPr>
          <w:rFonts w:ascii="Palatino Linotype" w:hAnsi="Palatino Linotype"/>
          <w:i/>
          <w:sz w:val="24"/>
        </w:rPr>
        <w:t>negativa ficta</w:t>
      </w:r>
      <w:r w:rsidRPr="000C15E4">
        <w:rPr>
          <w:rFonts w:ascii="Palatino Linotype" w:hAnsi="Palatino Linotype"/>
          <w:sz w:val="24"/>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w:t>
      </w:r>
      <w:r w:rsidRPr="000C15E4">
        <w:rPr>
          <w:rFonts w:ascii="Palatino Linotype" w:hAnsi="Palatino Linotype"/>
          <w:sz w:val="24"/>
        </w:rPr>
        <w:lastRenderedPageBreak/>
        <w:t>Sujetos Obligados, conforme a los artículos 4, 12, 24, último párrafo y 160, de la Ley local en la materia, que a la letra citan:</w:t>
      </w:r>
    </w:p>
    <w:p w14:paraId="43480C7D" w14:textId="77777777" w:rsidR="000C15E4" w:rsidRPr="00931547" w:rsidRDefault="000C15E4" w:rsidP="000C15E4">
      <w:pPr>
        <w:pStyle w:val="Sinespaciado"/>
      </w:pPr>
    </w:p>
    <w:p w14:paraId="3E13FAFE"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b/>
          <w:i/>
        </w:rPr>
        <w:t>Artículo 4.</w:t>
      </w:r>
      <w:r w:rsidRPr="00931547">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F90A51D" w14:textId="77777777" w:rsidR="000C15E4" w:rsidRPr="00931547" w:rsidRDefault="000C15E4" w:rsidP="000C15E4">
      <w:pPr>
        <w:ind w:left="567" w:right="567"/>
        <w:jc w:val="both"/>
        <w:rPr>
          <w:rFonts w:ascii="Palatino Linotype" w:hAnsi="Palatino Linotype"/>
          <w:i/>
        </w:rPr>
      </w:pPr>
    </w:p>
    <w:p w14:paraId="0B1AFDEA"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58BAC36" w14:textId="77777777" w:rsidR="000C15E4" w:rsidRPr="00931547" w:rsidRDefault="000C15E4" w:rsidP="000C15E4">
      <w:pPr>
        <w:ind w:left="567" w:right="567"/>
        <w:jc w:val="both"/>
        <w:rPr>
          <w:rFonts w:ascii="Palatino Linotype" w:hAnsi="Palatino Linotype"/>
          <w:i/>
        </w:rPr>
      </w:pPr>
    </w:p>
    <w:p w14:paraId="7A5A61EA"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14:paraId="786B4717" w14:textId="77777777" w:rsidR="000C15E4" w:rsidRPr="00931547" w:rsidRDefault="000C15E4" w:rsidP="000C15E4">
      <w:pPr>
        <w:ind w:left="567" w:right="567"/>
        <w:jc w:val="both"/>
        <w:rPr>
          <w:rFonts w:ascii="Palatino Linotype" w:hAnsi="Palatino Linotype"/>
          <w:i/>
        </w:rPr>
      </w:pPr>
    </w:p>
    <w:p w14:paraId="46932B93"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b/>
          <w:i/>
        </w:rPr>
        <w:t>Artículo 12.</w:t>
      </w:r>
      <w:r w:rsidRPr="00931547">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16FB87BD"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A930F43"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i/>
        </w:rPr>
        <w:t>(…)</w:t>
      </w:r>
    </w:p>
    <w:p w14:paraId="06BD60A0" w14:textId="77777777" w:rsidR="000C15E4" w:rsidRPr="00931547" w:rsidRDefault="000C15E4" w:rsidP="000C15E4">
      <w:pPr>
        <w:ind w:left="567" w:right="567"/>
        <w:jc w:val="both"/>
        <w:rPr>
          <w:rFonts w:ascii="Palatino Linotype" w:hAnsi="Palatino Linotype"/>
          <w:b/>
          <w:i/>
        </w:rPr>
      </w:pPr>
    </w:p>
    <w:p w14:paraId="2A308117" w14:textId="77777777" w:rsidR="000C15E4" w:rsidRPr="00931547" w:rsidRDefault="000C15E4" w:rsidP="000C15E4">
      <w:pPr>
        <w:ind w:left="567" w:right="567"/>
        <w:jc w:val="both"/>
        <w:rPr>
          <w:rFonts w:ascii="Palatino Linotype" w:hAnsi="Palatino Linotype"/>
          <w:b/>
          <w:i/>
        </w:rPr>
      </w:pPr>
      <w:r w:rsidRPr="00931547">
        <w:rPr>
          <w:rFonts w:ascii="Palatino Linotype" w:hAnsi="Palatino Linotype"/>
          <w:b/>
          <w:i/>
        </w:rPr>
        <w:lastRenderedPageBreak/>
        <w:t xml:space="preserve">Artículo 24. </w:t>
      </w:r>
    </w:p>
    <w:p w14:paraId="21D51437"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i/>
        </w:rPr>
        <w:t>(…)</w:t>
      </w:r>
    </w:p>
    <w:p w14:paraId="0675590D"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i/>
        </w:rPr>
        <w:t>Los sujetos obligados solo proporcionarán la información pública que generen, administren o posean en el ejercicio de sus atribuciones.”</w:t>
      </w:r>
    </w:p>
    <w:p w14:paraId="5EE5FDBF"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i/>
        </w:rPr>
        <w:t>(…)</w:t>
      </w:r>
    </w:p>
    <w:p w14:paraId="384460CE"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b/>
          <w:i/>
        </w:rPr>
        <w:t>Artículo 160.</w:t>
      </w:r>
      <w:r w:rsidRPr="00931547">
        <w:rPr>
          <w:rFonts w:ascii="Palatino Linotype" w:hAnsi="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2427F33" w14:textId="77777777" w:rsidR="000C15E4" w:rsidRPr="00931547" w:rsidRDefault="000C15E4" w:rsidP="000C15E4">
      <w:pPr>
        <w:ind w:left="567" w:right="567"/>
        <w:jc w:val="both"/>
        <w:rPr>
          <w:rFonts w:ascii="Palatino Linotype" w:hAnsi="Palatino Linotype"/>
          <w:i/>
        </w:rPr>
      </w:pPr>
    </w:p>
    <w:p w14:paraId="3C16A27E"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i/>
        </w:rPr>
        <w:t>En caso que la información solicitada consista en bases de datos se deberá privilegiar la entrega de la misma en formatos abiertos.</w:t>
      </w:r>
    </w:p>
    <w:p w14:paraId="4B6482E1" w14:textId="77777777" w:rsidR="000C15E4" w:rsidRPr="00931547" w:rsidRDefault="000C15E4" w:rsidP="000C15E4">
      <w:pPr>
        <w:spacing w:line="360" w:lineRule="auto"/>
        <w:jc w:val="both"/>
        <w:rPr>
          <w:rFonts w:ascii="Palatino Linotype" w:hAnsi="Palatino Linotype"/>
        </w:rPr>
      </w:pPr>
    </w:p>
    <w:p w14:paraId="69FDDA09" w14:textId="77777777" w:rsidR="000C15E4" w:rsidRPr="000C15E4" w:rsidRDefault="000C15E4" w:rsidP="000C15E4">
      <w:pPr>
        <w:spacing w:line="360" w:lineRule="auto"/>
        <w:jc w:val="both"/>
        <w:rPr>
          <w:rFonts w:ascii="Palatino Linotype" w:hAnsi="Palatino Linotype"/>
          <w:sz w:val="24"/>
        </w:rPr>
      </w:pPr>
      <w:r w:rsidRPr="000C15E4">
        <w:rPr>
          <w:rFonts w:ascii="Palatino Linotype" w:hAnsi="Palatino Linotype"/>
          <w:sz w:val="24"/>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0C15E4">
        <w:rPr>
          <w:rFonts w:ascii="Palatino Linotype" w:hAnsi="Palatino Linotype"/>
          <w:bCs/>
          <w:sz w:val="24"/>
        </w:rPr>
        <w:t>de la Ley local en la materia, que se reproduce de la siguiente forma</w:t>
      </w:r>
      <w:r w:rsidRPr="000C15E4">
        <w:rPr>
          <w:rFonts w:ascii="Palatino Linotype" w:hAnsi="Palatino Linotype"/>
          <w:sz w:val="24"/>
        </w:rPr>
        <w:t>:</w:t>
      </w:r>
    </w:p>
    <w:p w14:paraId="4AA2857A" w14:textId="77777777" w:rsidR="000C15E4" w:rsidRPr="00931547" w:rsidRDefault="000C15E4" w:rsidP="000C15E4">
      <w:pPr>
        <w:pStyle w:val="Sinespaciado"/>
      </w:pPr>
    </w:p>
    <w:p w14:paraId="57E77CF9" w14:textId="77777777" w:rsidR="000C15E4" w:rsidRPr="00931547" w:rsidRDefault="000C15E4" w:rsidP="000C15E4">
      <w:pPr>
        <w:ind w:left="567" w:right="567"/>
        <w:jc w:val="both"/>
        <w:rPr>
          <w:rFonts w:ascii="Palatino Linotype" w:hAnsi="Palatino Linotype" w:cs="Arial"/>
          <w:i/>
        </w:rPr>
      </w:pPr>
      <w:r w:rsidRPr="00931547">
        <w:rPr>
          <w:rFonts w:ascii="Palatino Linotype" w:hAnsi="Palatino Linotype" w:cs="Arial"/>
          <w:b/>
          <w:i/>
        </w:rPr>
        <w:t>Artículo 166.</w:t>
      </w:r>
      <w:r w:rsidRPr="00931547">
        <w:rPr>
          <w:rFonts w:ascii="Palatino Linotype" w:hAnsi="Palatino Linotype" w:cs="Arial"/>
          <w:i/>
        </w:rPr>
        <w:t xml:space="preserve"> La obligación de acceso a la información pública se tendrá por cumplida cuando el solicitante tenga a su disposición la información requerida, o cuando realice la consulta de la misma en el lugar en el que ésta se localice.</w:t>
      </w:r>
    </w:p>
    <w:p w14:paraId="66B24C9F" w14:textId="77777777" w:rsidR="000C15E4" w:rsidRPr="00931547" w:rsidRDefault="000C15E4" w:rsidP="000C15E4">
      <w:pPr>
        <w:spacing w:line="360" w:lineRule="auto"/>
        <w:jc w:val="both"/>
        <w:rPr>
          <w:rFonts w:ascii="Palatino Linotype" w:hAnsi="Palatino Linotype"/>
        </w:rPr>
      </w:pPr>
    </w:p>
    <w:p w14:paraId="61326CBE" w14:textId="77777777" w:rsidR="000C15E4" w:rsidRPr="000C15E4" w:rsidRDefault="000C15E4" w:rsidP="000C15E4">
      <w:pPr>
        <w:spacing w:line="360" w:lineRule="auto"/>
        <w:jc w:val="both"/>
        <w:rPr>
          <w:rFonts w:ascii="Palatino Linotype" w:hAnsi="Palatino Linotype"/>
          <w:sz w:val="24"/>
        </w:rPr>
      </w:pPr>
      <w:r w:rsidRPr="000C15E4">
        <w:rPr>
          <w:rFonts w:ascii="Palatino Linotype" w:hAnsi="Palatino Linotype"/>
          <w:sz w:val="24"/>
        </w:rPr>
        <w:t xml:space="preserve">De lo anterior, conforme a las acciones del Sujeto Obligado, se establece que éste vulnera el derecho de acceso a la información pública del Recurrente, toda vez que no entrega </w:t>
      </w:r>
      <w:r w:rsidRPr="000C15E4">
        <w:rPr>
          <w:rFonts w:ascii="Palatino Linotype" w:hAnsi="Palatino Linotype"/>
          <w:sz w:val="24"/>
        </w:rPr>
        <w:lastRenderedPageBreak/>
        <w:t>respuesta a la solicitud de información presentada, de conformidad a lo establecido en los artículos 24 fracción XI, y 166, de la ley local en la materia, y que señalan:</w:t>
      </w:r>
    </w:p>
    <w:p w14:paraId="66828DF6" w14:textId="77777777" w:rsidR="000C15E4" w:rsidRPr="00931547" w:rsidRDefault="000C15E4" w:rsidP="000C15E4">
      <w:pPr>
        <w:pStyle w:val="Sinespaciado"/>
      </w:pPr>
    </w:p>
    <w:p w14:paraId="398D0782"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b/>
          <w:i/>
        </w:rPr>
        <w:t>A</w:t>
      </w:r>
      <w:r w:rsidRPr="00931547">
        <w:rPr>
          <w:rFonts w:ascii="Palatino Linotype" w:hAnsi="Palatino Linotype"/>
          <w:b/>
          <w:bCs/>
          <w:i/>
        </w:rPr>
        <w:t>rtículo 24.</w:t>
      </w:r>
      <w:r w:rsidRPr="00931547">
        <w:rPr>
          <w:rFonts w:ascii="Palatino Linotype" w:hAnsi="Palatino Linotype"/>
          <w:bCs/>
          <w:i/>
        </w:rPr>
        <w:t xml:space="preserve"> </w:t>
      </w:r>
      <w:r w:rsidRPr="00931547">
        <w:rPr>
          <w:rFonts w:ascii="Palatino Linotype" w:hAnsi="Palatino Linotype"/>
          <w:i/>
        </w:rPr>
        <w:t>Para el cumplimiento de los objetivos de esta Ley, los sujetos obligados deberán cumplir con las siguientes obligaciones, según corresponda, de acuerdo a su naturaleza:</w:t>
      </w:r>
    </w:p>
    <w:p w14:paraId="7265EAB4" w14:textId="77777777" w:rsidR="000C15E4" w:rsidRPr="00931547" w:rsidRDefault="000C15E4" w:rsidP="000C15E4">
      <w:pPr>
        <w:ind w:left="567" w:right="567"/>
        <w:jc w:val="both"/>
        <w:rPr>
          <w:rFonts w:ascii="Palatino Linotype" w:hAnsi="Palatino Linotype"/>
          <w:i/>
        </w:rPr>
      </w:pPr>
      <w:r w:rsidRPr="00931547">
        <w:rPr>
          <w:rFonts w:ascii="Palatino Linotype" w:hAnsi="Palatino Linotype"/>
          <w:bCs/>
          <w:i/>
        </w:rPr>
        <w:t>(..</w:t>
      </w:r>
      <w:r w:rsidRPr="00931547">
        <w:rPr>
          <w:rFonts w:ascii="Palatino Linotype" w:hAnsi="Palatino Linotype"/>
          <w:i/>
        </w:rPr>
        <w:t>.)</w:t>
      </w:r>
    </w:p>
    <w:p w14:paraId="4AE9EB7C" w14:textId="77777777" w:rsidR="000C15E4" w:rsidRPr="00931547" w:rsidRDefault="000C15E4" w:rsidP="000C15E4">
      <w:pPr>
        <w:ind w:left="567" w:right="567"/>
        <w:jc w:val="both"/>
        <w:rPr>
          <w:rFonts w:ascii="Palatino Linotype" w:hAnsi="Palatino Linotype"/>
          <w:bCs/>
          <w:i/>
        </w:rPr>
      </w:pPr>
      <w:r w:rsidRPr="00931547">
        <w:rPr>
          <w:rFonts w:ascii="Palatino Linotype" w:hAnsi="Palatino Linotype"/>
          <w:b/>
          <w:bCs/>
          <w:i/>
        </w:rPr>
        <w:t>XI.</w:t>
      </w:r>
      <w:r w:rsidRPr="00931547">
        <w:rPr>
          <w:rFonts w:ascii="Palatino Linotype" w:hAnsi="Palatino Linotype"/>
          <w:bCs/>
          <w:i/>
        </w:rPr>
        <w:t xml:space="preserve"> Dar acceso a la información pública que le sea requerida, en los términos de la Ley General, esta Ley y demás disposiciones jurídicas aplicables;</w:t>
      </w:r>
    </w:p>
    <w:p w14:paraId="0AFBC3B3" w14:textId="77777777" w:rsidR="000C15E4" w:rsidRPr="00931547" w:rsidRDefault="000C15E4" w:rsidP="000C15E4">
      <w:pPr>
        <w:pStyle w:val="Prrafodelista"/>
        <w:autoSpaceDE w:val="0"/>
        <w:autoSpaceDN w:val="0"/>
        <w:adjustRightInd w:val="0"/>
        <w:spacing w:line="360" w:lineRule="auto"/>
        <w:ind w:left="0"/>
        <w:jc w:val="both"/>
        <w:rPr>
          <w:rFonts w:ascii="Palatino Linotype" w:hAnsi="Palatino Linotype" w:cs="Arial"/>
        </w:rPr>
      </w:pPr>
    </w:p>
    <w:p w14:paraId="778F60B9"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r w:rsidRPr="000C15E4">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527E89F9"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p>
    <w:p w14:paraId="5B7FFD88" w14:textId="77777777" w:rsidR="000C15E4" w:rsidRPr="000C15E4" w:rsidRDefault="000C15E4" w:rsidP="000C15E4">
      <w:pPr>
        <w:tabs>
          <w:tab w:val="left" w:pos="709"/>
        </w:tabs>
        <w:spacing w:line="360" w:lineRule="auto"/>
        <w:ind w:right="51"/>
        <w:jc w:val="both"/>
        <w:rPr>
          <w:rFonts w:ascii="Palatino Linotype" w:hAnsi="Palatino Linotype"/>
          <w:sz w:val="24"/>
          <w:szCs w:val="24"/>
        </w:rPr>
      </w:pPr>
      <w:r w:rsidRPr="000C15E4">
        <w:rPr>
          <w:rFonts w:ascii="Palatino Linotype" w:hAnsi="Palatino Linotype"/>
          <w:sz w:val="24"/>
          <w:szCs w:val="24"/>
        </w:rPr>
        <w:t xml:space="preserve">En este tenor, de forma objetiva al desentrañar las solicitudes de información, podemos identificar que la parte </w:t>
      </w:r>
      <w:r w:rsidRPr="000C15E4">
        <w:rPr>
          <w:rFonts w:ascii="Palatino Linotype" w:hAnsi="Palatino Linotype"/>
          <w:b/>
          <w:sz w:val="24"/>
          <w:szCs w:val="24"/>
        </w:rPr>
        <w:t xml:space="preserve">Recurrente </w:t>
      </w:r>
      <w:r w:rsidRPr="000C15E4">
        <w:rPr>
          <w:rFonts w:ascii="Palatino Linotype" w:hAnsi="Palatino Linotype"/>
          <w:sz w:val="24"/>
          <w:szCs w:val="24"/>
        </w:rPr>
        <w:t xml:space="preserve">peticiona el o los documentos, donde conste lo subsecuente: </w:t>
      </w:r>
    </w:p>
    <w:p w14:paraId="7EE922C5" w14:textId="434B1805" w:rsidR="000C15E4" w:rsidRDefault="000C15E4" w:rsidP="000C15E4">
      <w:pPr>
        <w:pStyle w:val="Prrafodelista"/>
        <w:numPr>
          <w:ilvl w:val="0"/>
          <w:numId w:val="5"/>
        </w:numPr>
        <w:tabs>
          <w:tab w:val="left" w:pos="709"/>
        </w:tabs>
        <w:spacing w:line="360" w:lineRule="auto"/>
        <w:ind w:right="51"/>
        <w:jc w:val="both"/>
        <w:rPr>
          <w:rFonts w:ascii="Palatino Linotype" w:hAnsi="Palatino Linotype"/>
          <w:color w:val="000000"/>
          <w:szCs w:val="14"/>
        </w:rPr>
      </w:pPr>
      <w:r>
        <w:rPr>
          <w:rFonts w:ascii="Palatino Linotype" w:hAnsi="Palatino Linotype"/>
          <w:color w:val="000000"/>
          <w:szCs w:val="14"/>
        </w:rPr>
        <w:t>C</w:t>
      </w:r>
      <w:r w:rsidRPr="000C15E4">
        <w:rPr>
          <w:rFonts w:ascii="Palatino Linotype" w:hAnsi="Palatino Linotype"/>
          <w:color w:val="000000"/>
          <w:szCs w:val="14"/>
        </w:rPr>
        <w:t>opia del acta de la sexagésima novena sesión ordinaria de cabildo de fecha 24 de noviembre de 2023, con las firmas de los ediles</w:t>
      </w:r>
      <w:r>
        <w:rPr>
          <w:rFonts w:ascii="Palatino Linotype" w:hAnsi="Palatino Linotype"/>
          <w:color w:val="000000"/>
          <w:szCs w:val="14"/>
        </w:rPr>
        <w:t>.</w:t>
      </w:r>
    </w:p>
    <w:p w14:paraId="262E97CC" w14:textId="23F5DAA2" w:rsidR="000C15E4" w:rsidRDefault="000C15E4" w:rsidP="000C15E4">
      <w:pPr>
        <w:pStyle w:val="Prrafodelista"/>
        <w:numPr>
          <w:ilvl w:val="0"/>
          <w:numId w:val="5"/>
        </w:numPr>
        <w:tabs>
          <w:tab w:val="left" w:pos="709"/>
        </w:tabs>
        <w:spacing w:line="360" w:lineRule="auto"/>
        <w:ind w:right="51"/>
        <w:jc w:val="both"/>
        <w:rPr>
          <w:rFonts w:ascii="Palatino Linotype" w:hAnsi="Palatino Linotype"/>
          <w:color w:val="000000"/>
          <w:szCs w:val="14"/>
        </w:rPr>
      </w:pPr>
      <w:r>
        <w:rPr>
          <w:rFonts w:ascii="Palatino Linotype" w:hAnsi="Palatino Linotype"/>
          <w:color w:val="000000"/>
          <w:szCs w:val="14"/>
        </w:rPr>
        <w:t>C</w:t>
      </w:r>
      <w:r w:rsidRPr="000C15E4">
        <w:rPr>
          <w:rFonts w:ascii="Palatino Linotype" w:hAnsi="Palatino Linotype"/>
          <w:color w:val="000000"/>
          <w:szCs w:val="14"/>
        </w:rPr>
        <w:t>opia de la versión videograbada, sin editar, de la sexagésima sesión ordinaria de cabildo de fecha 24 de noviembre de 2023</w:t>
      </w:r>
      <w:r>
        <w:rPr>
          <w:rFonts w:ascii="Palatino Linotype" w:hAnsi="Palatino Linotype"/>
          <w:color w:val="000000"/>
          <w:szCs w:val="14"/>
        </w:rPr>
        <w:t>.</w:t>
      </w:r>
    </w:p>
    <w:p w14:paraId="73089F8B" w14:textId="77777777" w:rsidR="000C15E4" w:rsidRDefault="000C15E4" w:rsidP="000C15E4">
      <w:pPr>
        <w:pStyle w:val="Prrafodelista"/>
        <w:autoSpaceDE w:val="0"/>
        <w:autoSpaceDN w:val="0"/>
        <w:adjustRightInd w:val="0"/>
        <w:spacing w:line="360" w:lineRule="auto"/>
        <w:ind w:left="0"/>
        <w:jc w:val="both"/>
        <w:rPr>
          <w:rFonts w:ascii="Palatino Linotype" w:hAnsi="Palatino Linotype"/>
          <w:color w:val="000000"/>
          <w:szCs w:val="14"/>
        </w:rPr>
      </w:pPr>
    </w:p>
    <w:p w14:paraId="2CDD94ED" w14:textId="77777777" w:rsidR="000C15E4" w:rsidRPr="009625FF" w:rsidRDefault="000C15E4" w:rsidP="000C15E4">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otra parte, al referirnos al acto impugnado por </w:t>
      </w:r>
      <w:r w:rsidRPr="009625FF">
        <w:rPr>
          <w:rFonts w:ascii="Palatino Linotype" w:hAnsi="Palatino Linotype" w:cs="Arial"/>
          <w:b/>
        </w:rPr>
        <w:t xml:space="preserve">El Recurrente, </w:t>
      </w:r>
      <w:r w:rsidRPr="009625FF">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4BA724A2" w14:textId="77777777" w:rsidR="000C15E4" w:rsidRPr="009625FF" w:rsidRDefault="000C15E4" w:rsidP="000C15E4">
      <w:pPr>
        <w:pStyle w:val="Sinespaciado"/>
      </w:pPr>
    </w:p>
    <w:p w14:paraId="66354134" w14:textId="77777777" w:rsidR="000C15E4" w:rsidRPr="009625FF" w:rsidRDefault="000C15E4" w:rsidP="000C15E4">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
          <w:bCs/>
          <w:i/>
          <w:sz w:val="22"/>
          <w:szCs w:val="22"/>
        </w:rPr>
        <w:t xml:space="preserve">“Artículo 179. </w:t>
      </w:r>
      <w:r w:rsidRPr="009625FF">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24134661" w14:textId="77777777" w:rsidR="000C15E4" w:rsidRPr="009625FF" w:rsidRDefault="000C15E4" w:rsidP="000C15E4">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Cs/>
          <w:i/>
          <w:sz w:val="22"/>
          <w:szCs w:val="22"/>
        </w:rPr>
        <w:t>(…</w:t>
      </w:r>
      <w:r w:rsidRPr="009625FF">
        <w:rPr>
          <w:rFonts w:ascii="Palatino Linotype" w:hAnsi="Palatino Linotype"/>
          <w:i/>
          <w:sz w:val="22"/>
          <w:szCs w:val="22"/>
        </w:rPr>
        <w:t>)</w:t>
      </w:r>
    </w:p>
    <w:p w14:paraId="127FAC97" w14:textId="77777777" w:rsidR="000C15E4" w:rsidRPr="009625FF" w:rsidRDefault="000C15E4" w:rsidP="000C15E4">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
          <w:bCs/>
          <w:i/>
          <w:sz w:val="22"/>
          <w:szCs w:val="22"/>
        </w:rPr>
        <w:t xml:space="preserve">VII. </w:t>
      </w:r>
      <w:r w:rsidRPr="009625FF">
        <w:rPr>
          <w:rFonts w:ascii="Palatino Linotype" w:hAnsi="Palatino Linotype"/>
          <w:i/>
          <w:sz w:val="22"/>
          <w:szCs w:val="22"/>
        </w:rPr>
        <w:t>La falta de respuesta a una solicitud de acceso a la información</w:t>
      </w:r>
    </w:p>
    <w:p w14:paraId="470CDCEB" w14:textId="77777777" w:rsidR="000C15E4" w:rsidRPr="009625FF" w:rsidRDefault="000C15E4" w:rsidP="000C15E4">
      <w:pPr>
        <w:pStyle w:val="Prrafodelista"/>
        <w:autoSpaceDE w:val="0"/>
        <w:autoSpaceDN w:val="0"/>
        <w:adjustRightInd w:val="0"/>
        <w:ind w:left="851" w:right="851"/>
        <w:rPr>
          <w:rFonts w:ascii="Palatino Linotype" w:hAnsi="Palatino Linotype" w:cs="Arial"/>
          <w:i/>
          <w:sz w:val="22"/>
          <w:szCs w:val="22"/>
        </w:rPr>
      </w:pPr>
      <w:r w:rsidRPr="009625FF">
        <w:rPr>
          <w:rFonts w:ascii="Palatino Linotype" w:hAnsi="Palatino Linotype" w:cs="Arial"/>
          <w:i/>
          <w:sz w:val="22"/>
          <w:szCs w:val="22"/>
        </w:rPr>
        <w:t xml:space="preserve">(…)” </w:t>
      </w:r>
    </w:p>
    <w:p w14:paraId="538408D3" w14:textId="77777777" w:rsidR="000C15E4" w:rsidRPr="009625FF" w:rsidRDefault="000C15E4" w:rsidP="000C15E4">
      <w:pPr>
        <w:pStyle w:val="Prrafodelista"/>
        <w:autoSpaceDE w:val="0"/>
        <w:autoSpaceDN w:val="0"/>
        <w:adjustRightInd w:val="0"/>
        <w:spacing w:line="360" w:lineRule="auto"/>
        <w:ind w:left="0"/>
        <w:jc w:val="both"/>
        <w:rPr>
          <w:rFonts w:ascii="Palatino Linotype" w:hAnsi="Palatino Linotype" w:cs="Arial"/>
        </w:rPr>
      </w:pPr>
    </w:p>
    <w:p w14:paraId="0B535E3F" w14:textId="77777777" w:rsidR="000C15E4" w:rsidRPr="009625FF" w:rsidRDefault="000C15E4" w:rsidP="000C15E4">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Dicho lo anterior, considerando la información requerida por </w:t>
      </w:r>
      <w:r w:rsidRPr="009625FF">
        <w:rPr>
          <w:rFonts w:ascii="Palatino Linotype" w:hAnsi="Palatino Linotype" w:cs="Arial"/>
          <w:b/>
        </w:rPr>
        <w:t xml:space="preserve">El Recurrente </w:t>
      </w:r>
      <w:r w:rsidRPr="009625FF">
        <w:rPr>
          <w:rFonts w:ascii="Palatino Linotype" w:hAnsi="Palatino Linotype" w:cs="Arial"/>
        </w:rPr>
        <w:t xml:space="preserve">en su solicitud de información, y ante la falta de respuesta, se establece que la materia de estudio se centrará en las atribuciones del </w:t>
      </w:r>
      <w:r w:rsidRPr="009625FF">
        <w:rPr>
          <w:rFonts w:ascii="Palatino Linotype" w:hAnsi="Palatino Linotype" w:cs="Arial"/>
          <w:b/>
        </w:rPr>
        <w:t xml:space="preserve">Sujeto Obligado, </w:t>
      </w:r>
      <w:r w:rsidRPr="009625FF">
        <w:rPr>
          <w:rFonts w:ascii="Palatino Linotype" w:hAnsi="Palatino Linotype" w:cs="Arial"/>
        </w:rPr>
        <w:t>a efecto de determinar si éste genera, posee o administra dicha información.</w:t>
      </w:r>
    </w:p>
    <w:p w14:paraId="5C405BCA" w14:textId="77777777" w:rsidR="000C15E4" w:rsidRDefault="000C15E4" w:rsidP="000C15E4">
      <w:pPr>
        <w:pStyle w:val="Prrafodelista"/>
        <w:autoSpaceDE w:val="0"/>
        <w:autoSpaceDN w:val="0"/>
        <w:adjustRightInd w:val="0"/>
        <w:spacing w:line="360" w:lineRule="auto"/>
        <w:ind w:left="0"/>
        <w:jc w:val="both"/>
        <w:rPr>
          <w:rFonts w:ascii="Palatino Linotype" w:hAnsi="Palatino Linotype" w:cs="Arial"/>
        </w:rPr>
      </w:pPr>
    </w:p>
    <w:p w14:paraId="18535754" w14:textId="77777777" w:rsidR="000C15E4" w:rsidRPr="009625FF" w:rsidRDefault="000C15E4" w:rsidP="000C15E4">
      <w:pPr>
        <w:pStyle w:val="Prrafodelista"/>
        <w:autoSpaceDE w:val="0"/>
        <w:autoSpaceDN w:val="0"/>
        <w:adjustRightInd w:val="0"/>
        <w:spacing w:line="360" w:lineRule="auto"/>
        <w:ind w:left="0"/>
        <w:jc w:val="both"/>
        <w:rPr>
          <w:rFonts w:ascii="Palatino Linotype" w:hAnsi="Palatino Linotype" w:cs="Arial"/>
          <w:b/>
        </w:rPr>
      </w:pPr>
      <w:r w:rsidRPr="009625FF">
        <w:rPr>
          <w:rFonts w:ascii="Palatino Linotype" w:hAnsi="Palatino Linotype" w:cs="Arial"/>
        </w:rPr>
        <w:t xml:space="preserve">Una vez establecida y delimitada la materia del presente recurso de revisión, y atentos a </w:t>
      </w:r>
      <w:r w:rsidRPr="009625FF">
        <w:rPr>
          <w:rFonts w:ascii="Palatino Linotype" w:hAnsi="Palatino Linotype"/>
          <w:lang w:eastAsia="es-MX"/>
        </w:rPr>
        <w:t xml:space="preserve">la falta de respuesta del </w:t>
      </w:r>
      <w:r w:rsidRPr="009625FF">
        <w:rPr>
          <w:rFonts w:ascii="Palatino Linotype" w:hAnsi="Palatino Linotype"/>
          <w:b/>
          <w:lang w:eastAsia="es-MX"/>
        </w:rPr>
        <w:t>Sujeto Obligado</w:t>
      </w:r>
      <w:r w:rsidRPr="009625FF">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9625FF">
        <w:rPr>
          <w:rFonts w:ascii="Palatino Linotype" w:hAnsi="Palatino Linotype"/>
          <w:b/>
          <w:lang w:eastAsia="es-MX"/>
        </w:rPr>
        <w:t>Sujeto Obligado</w:t>
      </w:r>
      <w:r w:rsidRPr="009625FF">
        <w:rPr>
          <w:rFonts w:ascii="Palatino Linotype" w:hAnsi="Palatino Linotype"/>
          <w:lang w:eastAsia="es-MX"/>
        </w:rPr>
        <w:t xml:space="preserve"> de la misma, tal y como lo constituyen </w:t>
      </w:r>
      <w:r w:rsidRPr="009625FF">
        <w:rPr>
          <w:rFonts w:ascii="Palatino Linotype" w:hAnsi="Palatino Linotype" w:cs="Arial"/>
        </w:rPr>
        <w:t xml:space="preserve">los artículos, 7 y 23, fracción IV, de la Ley de Transparencia y Acceso a la Información Pública del Estado de </w:t>
      </w:r>
      <w:r w:rsidRPr="009625FF">
        <w:rPr>
          <w:rFonts w:ascii="Palatino Linotype" w:hAnsi="Palatino Linotype" w:cs="Arial"/>
        </w:rPr>
        <w:lastRenderedPageBreak/>
        <w:t>México y Municipios, que establecen como deber de los sujetos obligados el hacer pública toda la información en su posesión, como se aprecia a continuación:</w:t>
      </w:r>
    </w:p>
    <w:p w14:paraId="5049ED15" w14:textId="77777777" w:rsidR="000C15E4" w:rsidRPr="009625FF" w:rsidRDefault="000C15E4" w:rsidP="000C15E4">
      <w:pPr>
        <w:pStyle w:val="Sinespaciado"/>
        <w:rPr>
          <w:sz w:val="12"/>
        </w:rPr>
      </w:pPr>
    </w:p>
    <w:p w14:paraId="3F1927FA" w14:textId="77777777" w:rsidR="000C15E4" w:rsidRPr="009625FF" w:rsidRDefault="000C15E4" w:rsidP="000C15E4">
      <w:pPr>
        <w:pStyle w:val="Sinespaciado"/>
        <w:rPr>
          <w:rFonts w:ascii="Palatino Linotype" w:hAnsi="Palatino Linotype"/>
        </w:rPr>
      </w:pPr>
    </w:p>
    <w:p w14:paraId="431F8A7F" w14:textId="77777777" w:rsidR="000C15E4" w:rsidRPr="009625FF" w:rsidRDefault="000C15E4" w:rsidP="000C15E4">
      <w:pPr>
        <w:autoSpaceDE w:val="0"/>
        <w:autoSpaceDN w:val="0"/>
        <w:adjustRightInd w:val="0"/>
        <w:ind w:left="567" w:right="567"/>
        <w:jc w:val="both"/>
        <w:rPr>
          <w:rFonts w:ascii="Palatino Linotype" w:hAnsi="Palatino Linotype" w:cs="Arial"/>
          <w:i/>
        </w:rPr>
      </w:pPr>
      <w:r w:rsidRPr="009625FF">
        <w:rPr>
          <w:rFonts w:ascii="Palatino Linotype" w:hAnsi="Palatino Linotype" w:cs="Arial"/>
          <w:i/>
        </w:rPr>
        <w:t>“</w:t>
      </w:r>
      <w:r w:rsidRPr="009625FF">
        <w:rPr>
          <w:rFonts w:ascii="Palatino Linotype" w:hAnsi="Palatino Linotype" w:cs="Arial"/>
          <w:b/>
          <w:i/>
        </w:rPr>
        <w:t>Artículo 7. El Estado de México garantizará el efectivo acceso de toda persona a la información en posesión de cualquier entidad,</w:t>
      </w:r>
      <w:r w:rsidRPr="009625FF">
        <w:rPr>
          <w:rFonts w:ascii="Palatino Linotype" w:hAnsi="Palatino Linotype" w:cs="Arial"/>
          <w:i/>
        </w:rPr>
        <w:t xml:space="preserve"> autoridad, órgano y organismo de los poderes Ejecutivo, Legislativo y Judicial, órganos autónomos, partidos políticos, fideicomisos y fondos públicos, así como de cualquier persona física, jurídico colectiva o sindicato </w:t>
      </w:r>
      <w:r w:rsidRPr="009625FF">
        <w:rPr>
          <w:rFonts w:ascii="Palatino Linotype" w:hAnsi="Palatino Linotype" w:cs="Arial"/>
          <w:b/>
          <w:i/>
        </w:rPr>
        <w:t>que reciba y ejerza recursos públicos</w:t>
      </w:r>
      <w:r w:rsidRPr="009625FF">
        <w:rPr>
          <w:rFonts w:ascii="Palatino Linotype" w:hAnsi="Palatino Linotype" w:cs="Arial"/>
          <w:i/>
        </w:rPr>
        <w:t xml:space="preserve"> o realice actos de autoridad en el ámbito de competencia del Estado de México y sus municipios. </w:t>
      </w:r>
    </w:p>
    <w:p w14:paraId="2C10FA76" w14:textId="77777777" w:rsidR="000C15E4" w:rsidRPr="009625FF" w:rsidRDefault="000C15E4" w:rsidP="000C15E4">
      <w:pPr>
        <w:autoSpaceDE w:val="0"/>
        <w:autoSpaceDN w:val="0"/>
        <w:adjustRightInd w:val="0"/>
        <w:ind w:left="567" w:right="567"/>
        <w:jc w:val="both"/>
        <w:rPr>
          <w:rFonts w:ascii="Palatino Linotype" w:hAnsi="Palatino Linotype" w:cs="Arial"/>
          <w:i/>
        </w:rPr>
      </w:pPr>
    </w:p>
    <w:p w14:paraId="22654FEB" w14:textId="77777777" w:rsidR="000C15E4" w:rsidRPr="009625FF" w:rsidRDefault="000C15E4" w:rsidP="000C15E4">
      <w:pPr>
        <w:autoSpaceDE w:val="0"/>
        <w:autoSpaceDN w:val="0"/>
        <w:adjustRightInd w:val="0"/>
        <w:ind w:left="567" w:right="567"/>
        <w:jc w:val="both"/>
        <w:rPr>
          <w:rFonts w:ascii="Palatino Linotype" w:hAnsi="Palatino Linotype" w:cs="Arial"/>
          <w:bCs/>
          <w:i/>
        </w:rPr>
      </w:pPr>
      <w:r w:rsidRPr="009625FF">
        <w:rPr>
          <w:rFonts w:ascii="Palatino Linotype" w:hAnsi="Palatino Linotype" w:cs="Arial"/>
          <w:b/>
          <w:bCs/>
          <w:i/>
        </w:rPr>
        <w:t>Artículo 23</w:t>
      </w:r>
      <w:r w:rsidRPr="009625FF">
        <w:rPr>
          <w:rFonts w:ascii="Palatino Linotype" w:hAnsi="Palatino Linotype" w:cs="Arial"/>
          <w:bCs/>
          <w:i/>
        </w:rPr>
        <w:t xml:space="preserve">. Son sujetos obligados a transparentar y permitir el acceso a su información y proteger los datos personales que obren en su poder: </w:t>
      </w:r>
    </w:p>
    <w:p w14:paraId="23B7B60D" w14:textId="77777777" w:rsidR="000C15E4" w:rsidRPr="009625FF" w:rsidRDefault="000C15E4" w:rsidP="000C15E4">
      <w:pPr>
        <w:ind w:left="567" w:right="709"/>
        <w:jc w:val="both"/>
        <w:rPr>
          <w:rFonts w:ascii="Palatino Linotype" w:hAnsi="Palatino Linotype" w:cs="Arial"/>
          <w:bCs/>
          <w:i/>
        </w:rPr>
      </w:pPr>
      <w:r w:rsidRPr="009625FF">
        <w:rPr>
          <w:rFonts w:ascii="Palatino Linotype" w:hAnsi="Palatino Linotype" w:cs="Arial"/>
          <w:bCs/>
          <w:i/>
        </w:rPr>
        <w:t>(…)</w:t>
      </w:r>
    </w:p>
    <w:p w14:paraId="59CFD5BB" w14:textId="77777777" w:rsidR="000C15E4" w:rsidRPr="009625FF" w:rsidRDefault="000C15E4" w:rsidP="000C15E4">
      <w:pPr>
        <w:ind w:left="567" w:right="709"/>
        <w:jc w:val="both"/>
        <w:rPr>
          <w:rFonts w:ascii="Palatino Linotype" w:hAnsi="Palatino Linotype" w:cs="Arial"/>
          <w:bCs/>
          <w:i/>
        </w:rPr>
      </w:pPr>
      <w:r w:rsidRPr="009625FF">
        <w:rPr>
          <w:rFonts w:ascii="Palatino Linotype" w:hAnsi="Palatino Linotype" w:cs="Arial"/>
          <w:b/>
          <w:bCs/>
          <w:i/>
        </w:rPr>
        <w:t xml:space="preserve">IV. </w:t>
      </w:r>
      <w:r w:rsidRPr="009625FF">
        <w:rPr>
          <w:rFonts w:ascii="Palatino Linotype" w:hAnsi="Palatino Linotype" w:cs="Arial"/>
          <w:b/>
          <w:bCs/>
          <w:i/>
          <w:u w:val="single"/>
        </w:rPr>
        <w:t>Los ayuntamientos y las dependencias, organismos, órganos y entidades de la administración municipal</w:t>
      </w:r>
      <w:r w:rsidRPr="009625FF">
        <w:rPr>
          <w:rFonts w:ascii="Palatino Linotype" w:hAnsi="Palatino Linotype" w:cs="Arial"/>
          <w:bCs/>
          <w:i/>
        </w:rPr>
        <w:t>;</w:t>
      </w:r>
    </w:p>
    <w:p w14:paraId="15474BF1" w14:textId="77777777" w:rsidR="000C15E4" w:rsidRPr="009625FF" w:rsidRDefault="000C15E4" w:rsidP="000C15E4">
      <w:pPr>
        <w:pStyle w:val="Sinespaciado"/>
        <w:rPr>
          <w:sz w:val="8"/>
        </w:rPr>
      </w:pPr>
    </w:p>
    <w:p w14:paraId="6B390A54" w14:textId="77777777" w:rsidR="000C15E4" w:rsidRPr="009625FF" w:rsidRDefault="000C15E4" w:rsidP="000C15E4">
      <w:pPr>
        <w:spacing w:line="360" w:lineRule="auto"/>
        <w:contextualSpacing/>
        <w:jc w:val="both"/>
        <w:rPr>
          <w:rFonts w:ascii="Palatino Linotype" w:eastAsia="MS Mincho" w:hAnsi="Palatino Linotype"/>
          <w:lang w:val="es-ES_tradnl"/>
        </w:rPr>
      </w:pPr>
    </w:p>
    <w:p w14:paraId="064E380C" w14:textId="77777777" w:rsidR="000C15E4" w:rsidRPr="000C15E4" w:rsidRDefault="000C15E4" w:rsidP="000C15E4">
      <w:pPr>
        <w:spacing w:line="360" w:lineRule="auto"/>
        <w:contextualSpacing/>
        <w:jc w:val="both"/>
        <w:rPr>
          <w:rFonts w:ascii="Palatino Linotype" w:eastAsia="MS Mincho" w:hAnsi="Palatino Linotype" w:cs="Arial"/>
          <w:i/>
          <w:sz w:val="24"/>
          <w:szCs w:val="24"/>
        </w:rPr>
      </w:pPr>
      <w:r w:rsidRPr="000C15E4">
        <w:rPr>
          <w:rFonts w:ascii="Palatino Linotype" w:eastAsia="MS Mincho" w:hAnsi="Palatino Linotype"/>
          <w:sz w:val="24"/>
          <w:szCs w:val="24"/>
          <w:lang w:val="es-ES_tradnl"/>
        </w:rPr>
        <w:t xml:space="preserve">Resulta necesario señalar que el derecho de acceso a la información pública es un </w:t>
      </w:r>
      <w:r w:rsidRPr="000C15E4">
        <w:rPr>
          <w:rFonts w:ascii="Palatino Linotype"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0C15E4">
        <w:rPr>
          <w:rFonts w:ascii="Palatino Linotype" w:hAnsi="Palatino Linotype" w:cs="Arial"/>
          <w:color w:val="000000"/>
          <w:sz w:val="24"/>
          <w:szCs w:val="24"/>
          <w:lang w:val="es-ES_tradnl"/>
        </w:rPr>
        <w:t xml:space="preserve"> </w:t>
      </w:r>
      <w:r w:rsidRPr="000C15E4">
        <w:rPr>
          <w:rFonts w:ascii="Palatino Linotype" w:hAnsi="Palatino Linotype" w:cs="Arial"/>
          <w:b/>
          <w:color w:val="000000"/>
          <w:sz w:val="24"/>
          <w:szCs w:val="24"/>
          <w:lang w:val="es-ES_tradnl"/>
        </w:rPr>
        <w:t>Sujeto Obligado</w:t>
      </w:r>
      <w:r w:rsidRPr="000C15E4">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0C15E4">
        <w:rPr>
          <w:rFonts w:ascii="Palatino Linotype" w:hAnsi="Palatino Linotype" w:cs="Arial"/>
          <w:b/>
          <w:color w:val="000000"/>
          <w:sz w:val="24"/>
          <w:szCs w:val="24"/>
          <w:lang w:val="es-ES_tradnl"/>
        </w:rPr>
        <w:t xml:space="preserve">Constitución Política de los Estados Unidos Mexicanos </w:t>
      </w:r>
      <w:r w:rsidRPr="000C15E4">
        <w:rPr>
          <w:rFonts w:ascii="Palatino Linotype" w:hAnsi="Palatino Linotype" w:cs="Arial"/>
          <w:color w:val="000000"/>
          <w:sz w:val="24"/>
          <w:szCs w:val="24"/>
          <w:lang w:val="es-ES_tradnl"/>
        </w:rPr>
        <w:t xml:space="preserve">al señalar la obligación de “promover, </w:t>
      </w:r>
      <w:r w:rsidRPr="000C15E4">
        <w:rPr>
          <w:rFonts w:ascii="Palatino Linotype" w:hAnsi="Palatino Linotype" w:cs="Arial"/>
          <w:b/>
          <w:color w:val="000000"/>
          <w:sz w:val="24"/>
          <w:szCs w:val="24"/>
          <w:lang w:val="es-ES_tradnl"/>
        </w:rPr>
        <w:t>respetar</w:t>
      </w:r>
      <w:r w:rsidRPr="000C15E4">
        <w:rPr>
          <w:rFonts w:ascii="Palatino Linotype" w:hAnsi="Palatino Linotype" w:cs="Arial"/>
          <w:color w:val="000000"/>
          <w:sz w:val="24"/>
          <w:szCs w:val="24"/>
          <w:lang w:val="es-ES_tradnl"/>
        </w:rPr>
        <w:t xml:space="preserve">, </w:t>
      </w:r>
      <w:r w:rsidRPr="000C15E4">
        <w:rPr>
          <w:rFonts w:ascii="Palatino Linotype" w:hAnsi="Palatino Linotype" w:cs="Arial"/>
          <w:b/>
          <w:color w:val="000000"/>
          <w:sz w:val="24"/>
          <w:szCs w:val="24"/>
          <w:lang w:val="es-ES_tradnl"/>
        </w:rPr>
        <w:t>proteger</w:t>
      </w:r>
      <w:r w:rsidRPr="000C15E4">
        <w:rPr>
          <w:rFonts w:ascii="Palatino Linotype" w:hAnsi="Palatino Linotype" w:cs="Arial"/>
          <w:color w:val="000000"/>
          <w:sz w:val="24"/>
          <w:szCs w:val="24"/>
          <w:lang w:val="es-ES_tradnl"/>
        </w:rPr>
        <w:t xml:space="preserve"> y </w:t>
      </w:r>
      <w:r w:rsidRPr="000C15E4">
        <w:rPr>
          <w:rFonts w:ascii="Palatino Linotype" w:hAnsi="Palatino Linotype" w:cs="Arial"/>
          <w:b/>
          <w:color w:val="000000"/>
          <w:sz w:val="24"/>
          <w:szCs w:val="24"/>
          <w:lang w:val="es-ES_tradnl"/>
        </w:rPr>
        <w:t>garantizar</w:t>
      </w:r>
      <w:r w:rsidRPr="000C15E4">
        <w:rPr>
          <w:rFonts w:ascii="Palatino Linotype" w:hAnsi="Palatino Linotype" w:cs="Arial"/>
          <w:color w:val="000000"/>
          <w:sz w:val="24"/>
          <w:szCs w:val="24"/>
          <w:lang w:val="es-ES_tradnl"/>
        </w:rPr>
        <w:t xml:space="preserve"> los derechos humanos”, entre los cuales se encuentra dicho derecho.</w:t>
      </w:r>
    </w:p>
    <w:p w14:paraId="01C8DDD5" w14:textId="77777777" w:rsidR="000C15E4" w:rsidRPr="000C15E4" w:rsidRDefault="000C15E4" w:rsidP="000C15E4">
      <w:pPr>
        <w:spacing w:line="360" w:lineRule="auto"/>
        <w:contextualSpacing/>
        <w:jc w:val="both"/>
        <w:rPr>
          <w:rFonts w:ascii="Palatino Linotype" w:hAnsi="Palatino Linotype" w:cs="Arial"/>
          <w:color w:val="000000"/>
          <w:sz w:val="24"/>
          <w:szCs w:val="24"/>
          <w:lang w:val="es-ES_tradnl"/>
        </w:rPr>
      </w:pPr>
    </w:p>
    <w:p w14:paraId="11F2F412" w14:textId="77777777" w:rsidR="000C15E4" w:rsidRPr="000C15E4" w:rsidRDefault="000C15E4" w:rsidP="000C15E4">
      <w:pPr>
        <w:spacing w:line="360" w:lineRule="auto"/>
        <w:contextualSpacing/>
        <w:jc w:val="both"/>
        <w:rPr>
          <w:rFonts w:ascii="Palatino Linotype" w:eastAsia="MS Mincho" w:hAnsi="Palatino Linotype" w:cs="Arial"/>
          <w:i/>
          <w:sz w:val="24"/>
          <w:szCs w:val="24"/>
        </w:rPr>
      </w:pPr>
      <w:r w:rsidRPr="000C15E4">
        <w:rPr>
          <w:rFonts w:ascii="Palatino Linotype" w:hAnsi="Palatino Linotype" w:cs="Arial"/>
          <w:color w:val="000000"/>
          <w:sz w:val="24"/>
          <w:szCs w:val="24"/>
          <w:lang w:val="es-ES_tradnl"/>
        </w:rPr>
        <w:t>El acceso a la información pública es el derecho humano a través del cual se puede solicitar aquellos documentos que generen, administren o posean las autoridades en ejercicio de sus respectivas atribuciones y competencia.</w:t>
      </w:r>
    </w:p>
    <w:p w14:paraId="308A1927" w14:textId="77777777" w:rsidR="000C15E4" w:rsidRPr="000C15E4" w:rsidRDefault="000C15E4" w:rsidP="000C15E4">
      <w:pPr>
        <w:spacing w:line="360" w:lineRule="auto"/>
        <w:contextualSpacing/>
        <w:jc w:val="both"/>
        <w:rPr>
          <w:rFonts w:ascii="Palatino Linotype" w:hAnsi="Palatino Linotype" w:cs="Arial"/>
          <w:color w:val="000000"/>
          <w:sz w:val="24"/>
          <w:szCs w:val="24"/>
          <w:lang w:val="es-ES_tradnl"/>
        </w:rPr>
      </w:pPr>
    </w:p>
    <w:p w14:paraId="3CF3CA01" w14:textId="77777777" w:rsidR="000C15E4" w:rsidRPr="000C15E4" w:rsidRDefault="000C15E4" w:rsidP="000C15E4">
      <w:pPr>
        <w:spacing w:line="360" w:lineRule="auto"/>
        <w:contextualSpacing/>
        <w:jc w:val="both"/>
        <w:rPr>
          <w:rFonts w:ascii="Palatino Linotype" w:eastAsia="MS Mincho" w:hAnsi="Palatino Linotype" w:cs="Arial"/>
          <w:i/>
          <w:sz w:val="24"/>
          <w:szCs w:val="24"/>
        </w:rPr>
      </w:pPr>
      <w:r w:rsidRPr="000C15E4">
        <w:rPr>
          <w:rFonts w:ascii="Palatino Linotype" w:hAnsi="Palatino Linotype" w:cs="Arial"/>
          <w:color w:val="000000"/>
          <w:sz w:val="24"/>
          <w:szCs w:val="24"/>
          <w:lang w:val="es-ES_tradnl"/>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6F996439" w14:textId="77777777" w:rsidR="000C15E4" w:rsidRPr="000C15E4" w:rsidRDefault="000C15E4" w:rsidP="000C15E4">
      <w:pPr>
        <w:pStyle w:val="Prrafodelista"/>
        <w:spacing w:line="360" w:lineRule="auto"/>
        <w:ind w:left="0"/>
        <w:contextualSpacing/>
        <w:jc w:val="both"/>
        <w:rPr>
          <w:rFonts w:ascii="Palatino Linotype" w:eastAsia="MS Mincho" w:hAnsi="Palatino Linotype"/>
          <w:lang w:val="es-ES_tradnl"/>
        </w:rPr>
      </w:pPr>
    </w:p>
    <w:p w14:paraId="6AA6D312" w14:textId="77777777" w:rsidR="000C15E4" w:rsidRPr="000C15E4" w:rsidRDefault="000C15E4" w:rsidP="000C15E4">
      <w:pPr>
        <w:pStyle w:val="Prrafodelista"/>
        <w:spacing w:line="360" w:lineRule="auto"/>
        <w:ind w:left="0"/>
        <w:contextualSpacing/>
        <w:jc w:val="both"/>
        <w:rPr>
          <w:rFonts w:ascii="Palatino Linotype" w:hAnsi="Palatino Linotype"/>
          <w:lang w:eastAsia="es-MX"/>
        </w:rPr>
      </w:pPr>
      <w:r w:rsidRPr="000C15E4">
        <w:rPr>
          <w:rFonts w:ascii="Palatino Linotype" w:eastAsia="MS Mincho" w:hAnsi="Palatino Linotype"/>
          <w:lang w:val="es-ES_tradnl"/>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1CFC36D4" w14:textId="77777777" w:rsidR="000C15E4" w:rsidRPr="000C15E4" w:rsidRDefault="000C15E4" w:rsidP="000C15E4">
      <w:pPr>
        <w:pStyle w:val="Prrafodelista"/>
        <w:spacing w:line="360" w:lineRule="auto"/>
        <w:ind w:left="0"/>
        <w:contextualSpacing/>
        <w:jc w:val="both"/>
        <w:rPr>
          <w:rFonts w:ascii="Palatino Linotype" w:hAnsi="Palatino Linotype"/>
          <w:lang w:eastAsia="es-MX"/>
        </w:rPr>
      </w:pPr>
    </w:p>
    <w:p w14:paraId="12D01BF7" w14:textId="77777777" w:rsidR="000C15E4" w:rsidRPr="000C15E4" w:rsidRDefault="000C15E4" w:rsidP="000C15E4">
      <w:pPr>
        <w:pStyle w:val="Prrafodelista"/>
        <w:spacing w:line="360" w:lineRule="auto"/>
        <w:ind w:left="0"/>
        <w:contextualSpacing/>
        <w:jc w:val="both"/>
        <w:rPr>
          <w:rFonts w:ascii="Palatino Linotype" w:hAnsi="Palatino Linotype" w:cs="Arial"/>
        </w:rPr>
      </w:pPr>
      <w:r w:rsidRPr="000C15E4">
        <w:rPr>
          <w:rFonts w:ascii="Palatino Linotype" w:hAnsi="Palatino Linotype" w:cs="Arial"/>
        </w:rPr>
        <w:t xml:space="preserve">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w:t>
      </w:r>
      <w:r w:rsidRPr="000C15E4">
        <w:rPr>
          <w:rFonts w:ascii="Palatino Linotype" w:hAnsi="Palatino Linotype" w:cs="Arial"/>
        </w:rPr>
        <w:lastRenderedPageBreak/>
        <w:t>del ejercicio de sus facultades, competencias o funciones. En ese sentido, debe privilegiarse en todo momento el principio de máxima publicidad.</w:t>
      </w:r>
    </w:p>
    <w:p w14:paraId="54CD8801" w14:textId="77777777" w:rsidR="000C15E4" w:rsidRPr="000C15E4" w:rsidRDefault="000C15E4" w:rsidP="000C15E4">
      <w:pPr>
        <w:spacing w:line="360" w:lineRule="auto"/>
        <w:jc w:val="both"/>
        <w:rPr>
          <w:rFonts w:ascii="Palatino Linotype" w:hAnsi="Palatino Linotype" w:cs="Arial"/>
          <w:b/>
          <w:sz w:val="24"/>
          <w:szCs w:val="24"/>
        </w:rPr>
      </w:pPr>
    </w:p>
    <w:p w14:paraId="6BE76DD2"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r w:rsidRPr="000C15E4">
        <w:rPr>
          <w:rFonts w:ascii="Palatino Linotype" w:hAnsi="Palatino Linotype" w:cs="Arial"/>
        </w:rPr>
        <w:t xml:space="preserve">Por lo que en cumplimiento a las obligaciones que establece nuestra Carta Magna, la Constitución Estatal y la Ley de la materia le imponen, el </w:t>
      </w:r>
      <w:r w:rsidRPr="000C15E4">
        <w:rPr>
          <w:rFonts w:ascii="Palatino Linotype" w:hAnsi="Palatino Linotype" w:cs="Arial"/>
          <w:b/>
        </w:rPr>
        <w:t>Sujeto Obligado</w:t>
      </w:r>
      <w:r w:rsidRPr="000C15E4">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0C15E4">
        <w:rPr>
          <w:rFonts w:ascii="Palatino Linotype" w:hAnsi="Palatino Linotype" w:cs="Arial"/>
          <w:b/>
        </w:rPr>
        <w:t>Sujeto Obligado</w:t>
      </w:r>
      <w:r w:rsidRPr="000C15E4">
        <w:rPr>
          <w:rFonts w:ascii="Palatino Linotype" w:hAnsi="Palatino Linotype" w:cs="Arial"/>
        </w:rPr>
        <w:t xml:space="preserve"> fue omiso en dar respuesta a la solicitud.</w:t>
      </w:r>
    </w:p>
    <w:p w14:paraId="286CFADD"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p>
    <w:p w14:paraId="77E0C793"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r w:rsidRPr="000C15E4">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055543B3"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p>
    <w:p w14:paraId="3312CFB8" w14:textId="77777777" w:rsidR="000C15E4" w:rsidRPr="000C15E4" w:rsidRDefault="000C15E4" w:rsidP="000C15E4">
      <w:pPr>
        <w:pStyle w:val="Prrafodelista"/>
        <w:autoSpaceDE w:val="0"/>
        <w:autoSpaceDN w:val="0"/>
        <w:adjustRightInd w:val="0"/>
        <w:spacing w:line="360" w:lineRule="auto"/>
        <w:ind w:left="0"/>
        <w:jc w:val="both"/>
        <w:rPr>
          <w:rFonts w:ascii="Palatino Linotype" w:eastAsia="Calibri" w:hAnsi="Palatino Linotype"/>
          <w:i/>
        </w:rPr>
      </w:pPr>
      <w:r w:rsidRPr="000C15E4">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0C15E4">
        <w:rPr>
          <w:rFonts w:ascii="Palatino Linotype" w:eastAsia="Calibri" w:hAnsi="Palatino Linotype"/>
          <w:i/>
        </w:rPr>
        <w:t xml:space="preserve">en el ámbito de sus atribuciones, de promover, respetar, proteger y </w:t>
      </w:r>
      <w:r w:rsidRPr="000C15E4">
        <w:rPr>
          <w:rFonts w:ascii="Palatino Linotype" w:eastAsia="Calibri" w:hAnsi="Palatino Linotype"/>
          <w:b/>
          <w:i/>
        </w:rPr>
        <w:t>garantizar</w:t>
      </w:r>
      <w:r w:rsidRPr="000C15E4">
        <w:rPr>
          <w:rFonts w:ascii="Palatino Linotype" w:eastAsia="Calibri" w:hAnsi="Palatino Linotype"/>
          <w:i/>
        </w:rPr>
        <w:t xml:space="preserve"> los derechos humanos. </w:t>
      </w:r>
    </w:p>
    <w:p w14:paraId="73B78754" w14:textId="77777777" w:rsidR="000C15E4" w:rsidRPr="000C15E4" w:rsidRDefault="000C15E4" w:rsidP="000C15E4">
      <w:pPr>
        <w:pStyle w:val="Prrafodelista"/>
        <w:autoSpaceDE w:val="0"/>
        <w:autoSpaceDN w:val="0"/>
        <w:adjustRightInd w:val="0"/>
        <w:spacing w:line="360" w:lineRule="auto"/>
        <w:ind w:left="0"/>
        <w:jc w:val="both"/>
        <w:rPr>
          <w:rFonts w:ascii="Palatino Linotype" w:eastAsia="Calibri" w:hAnsi="Palatino Linotype"/>
        </w:rPr>
      </w:pPr>
    </w:p>
    <w:p w14:paraId="62CF9846"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r w:rsidRPr="000C15E4">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w:t>
      </w:r>
      <w:r w:rsidRPr="000C15E4">
        <w:rPr>
          <w:rFonts w:ascii="Palatino Linotype" w:eastAsia="Calibri" w:hAnsi="Palatino Linotype"/>
        </w:rPr>
        <w:lastRenderedPageBreak/>
        <w:t xml:space="preserve">el </w:t>
      </w:r>
      <w:r w:rsidRPr="000C15E4">
        <w:rPr>
          <w:rFonts w:ascii="Palatino Linotype" w:eastAsia="Calibri" w:hAnsi="Palatino Linotype"/>
          <w:i/>
        </w:rPr>
        <w:t>procedimiento de acceso a la información es la garantía primaria del derecho en cuestión.</w:t>
      </w:r>
      <w:r w:rsidRPr="000C15E4">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0C15E4">
        <w:rPr>
          <w:rFonts w:ascii="Palatino Linotype" w:eastAsia="Calibri" w:hAnsi="Palatino Linotype"/>
          <w:i/>
        </w:rPr>
        <w:t>investigar, sancionar y reparar las violaciones a los derechos humanos.</w:t>
      </w:r>
    </w:p>
    <w:p w14:paraId="5111B1E3"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p>
    <w:p w14:paraId="2EE21FFE"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r w:rsidRPr="000C15E4">
        <w:rPr>
          <w:rFonts w:ascii="Palatino Linotype" w:hAnsi="Palatino Linotype" w:cs="Arial"/>
        </w:rPr>
        <w:t xml:space="preserve">Por lo que en cumplimiento a esta resolución, el </w:t>
      </w:r>
      <w:r w:rsidRPr="000C15E4">
        <w:rPr>
          <w:rFonts w:ascii="Palatino Linotype" w:hAnsi="Palatino Linotype" w:cs="Arial"/>
          <w:b/>
        </w:rPr>
        <w:t xml:space="preserve">Sujeto Obligado </w:t>
      </w:r>
      <w:r w:rsidRPr="000C15E4">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33F21489"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p>
    <w:p w14:paraId="690AADA0"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r w:rsidRPr="000C15E4">
        <w:rPr>
          <w:rFonts w:ascii="Palatino Linotype" w:hAnsi="Palatino Linotype" w:cs="Arial"/>
        </w:rPr>
        <w:t xml:space="preserve">En consecuencia, para responder a la solicitud de acceso a la información en cuestión el </w:t>
      </w:r>
      <w:r w:rsidRPr="000C15E4">
        <w:rPr>
          <w:rFonts w:ascii="Palatino Linotype" w:hAnsi="Palatino Linotype" w:cs="Arial"/>
          <w:b/>
        </w:rPr>
        <w:t>Sujeto Obligado</w:t>
      </w:r>
      <w:r w:rsidRPr="000C15E4">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9B3B581"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p>
    <w:p w14:paraId="5E4702A8" w14:textId="77777777" w:rsidR="000C15E4" w:rsidRPr="000C15E4" w:rsidRDefault="000C15E4" w:rsidP="000C15E4">
      <w:pPr>
        <w:pStyle w:val="Prrafodelista"/>
        <w:autoSpaceDE w:val="0"/>
        <w:autoSpaceDN w:val="0"/>
        <w:adjustRightInd w:val="0"/>
        <w:spacing w:line="360" w:lineRule="auto"/>
        <w:ind w:left="0"/>
        <w:jc w:val="both"/>
        <w:rPr>
          <w:rFonts w:ascii="Palatino Linotype" w:hAnsi="Palatino Linotype" w:cs="Arial"/>
        </w:rPr>
      </w:pPr>
      <w:r w:rsidRPr="000C15E4">
        <w:rPr>
          <w:rFonts w:ascii="Palatino Linotype" w:hAnsi="Palatino Linotype" w:cs="Arial"/>
        </w:rPr>
        <w:lastRenderedPageBreak/>
        <w:t xml:space="preserve">En cualquiera de los casos, imperativamente, el </w:t>
      </w:r>
      <w:r w:rsidRPr="000C15E4">
        <w:rPr>
          <w:rFonts w:ascii="Palatino Linotype" w:hAnsi="Palatino Linotype" w:cs="Arial"/>
          <w:b/>
        </w:rPr>
        <w:t>Sujeto Obligado</w:t>
      </w:r>
      <w:r w:rsidRPr="000C15E4">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653DDD57" w14:textId="77777777" w:rsidR="000C15E4" w:rsidRPr="000C15E4" w:rsidRDefault="000C15E4" w:rsidP="000C15E4">
      <w:pPr>
        <w:tabs>
          <w:tab w:val="left" w:pos="709"/>
        </w:tabs>
        <w:spacing w:line="360" w:lineRule="auto"/>
        <w:jc w:val="both"/>
        <w:rPr>
          <w:rFonts w:ascii="Palatino Linotype" w:eastAsia="Calibri" w:hAnsi="Palatino Linotype" w:cs="Arial"/>
          <w:sz w:val="24"/>
          <w:szCs w:val="24"/>
        </w:rPr>
      </w:pPr>
    </w:p>
    <w:p w14:paraId="11614B8B" w14:textId="77777777" w:rsidR="000C15E4" w:rsidRPr="000C15E4" w:rsidRDefault="000C15E4" w:rsidP="000C15E4">
      <w:pPr>
        <w:spacing w:line="360" w:lineRule="auto"/>
        <w:jc w:val="both"/>
        <w:rPr>
          <w:rFonts w:ascii="Palatino Linotype" w:eastAsia="MS Mincho" w:hAnsi="Palatino Linotype"/>
          <w:sz w:val="24"/>
          <w:szCs w:val="24"/>
        </w:rPr>
      </w:pPr>
      <w:r w:rsidRPr="000C15E4">
        <w:rPr>
          <w:rFonts w:ascii="Palatino Linotype" w:eastAsia="MS Mincho" w:hAnsi="Palatino Linotype"/>
          <w:sz w:val="24"/>
          <w:szCs w:val="24"/>
        </w:rPr>
        <w:t xml:space="preserve">Dicho lo anterior, no existe causal por la que el </w:t>
      </w:r>
      <w:r w:rsidRPr="000C15E4">
        <w:rPr>
          <w:rFonts w:ascii="Palatino Linotype" w:eastAsia="MS Mincho" w:hAnsi="Palatino Linotype"/>
          <w:b/>
          <w:sz w:val="24"/>
          <w:szCs w:val="24"/>
        </w:rPr>
        <w:t>Sujeto Obligado</w:t>
      </w:r>
      <w:r w:rsidRPr="000C15E4">
        <w:rPr>
          <w:rFonts w:ascii="Palatino Linotype" w:eastAsia="MS Mincho" w:hAnsi="Palatino Linotype"/>
          <w:sz w:val="24"/>
          <w:szCs w:val="24"/>
        </w:rPr>
        <w:t xml:space="preserve"> pueda excusar o negar la información solicitada, ya que la naturaleza de dicha información y de acuerdo a los principios rectores de la administración pública, se encuentra clasificada para que su contenido tenga la mayor publicidad, por lo que el asentamiento en actas, informes, archivos o cualquier acervo del Ayuntamiento, y también de aquellas que impliquen posteriores modificatorias, deberán de constar por escrito y la Autoridad Municipal tiene la obligación de hacer público su contenido a la mayor brevedad posible.</w:t>
      </w:r>
    </w:p>
    <w:p w14:paraId="5C9BCD6A" w14:textId="77777777" w:rsidR="000C15E4" w:rsidRPr="009625FF" w:rsidRDefault="000C15E4" w:rsidP="000C15E4">
      <w:pPr>
        <w:spacing w:line="360" w:lineRule="auto"/>
        <w:jc w:val="both"/>
      </w:pPr>
    </w:p>
    <w:p w14:paraId="60244501" w14:textId="77777777" w:rsidR="000C15E4" w:rsidRPr="009625FF" w:rsidRDefault="000C15E4" w:rsidP="000C15E4">
      <w:pPr>
        <w:pStyle w:val="Sinespaciado"/>
        <w:rPr>
          <w:sz w:val="8"/>
        </w:rPr>
      </w:pPr>
    </w:p>
    <w:p w14:paraId="6A782DF9" w14:textId="77777777" w:rsidR="000C15E4" w:rsidRPr="009625FF" w:rsidRDefault="000C15E4" w:rsidP="000C15E4">
      <w:pPr>
        <w:pStyle w:val="Prrafodelista"/>
        <w:numPr>
          <w:ilvl w:val="0"/>
          <w:numId w:val="4"/>
        </w:numPr>
        <w:autoSpaceDE w:val="0"/>
        <w:autoSpaceDN w:val="0"/>
        <w:adjustRightInd w:val="0"/>
        <w:spacing w:line="360" w:lineRule="auto"/>
        <w:jc w:val="both"/>
        <w:rPr>
          <w:rFonts w:ascii="Palatino Linotype" w:hAnsi="Palatino Linotype"/>
          <w:b/>
          <w:i/>
          <w:sz w:val="28"/>
          <w:u w:val="single"/>
        </w:rPr>
      </w:pPr>
      <w:r w:rsidRPr="009625FF">
        <w:rPr>
          <w:rFonts w:ascii="Palatino Linotype" w:hAnsi="Palatino Linotype"/>
          <w:b/>
          <w:i/>
          <w:sz w:val="28"/>
          <w:u w:val="single"/>
        </w:rPr>
        <w:t>De la Versión Pública</w:t>
      </w:r>
    </w:p>
    <w:p w14:paraId="1F8897E7" w14:textId="77777777" w:rsidR="000C15E4" w:rsidRPr="000C15E4" w:rsidRDefault="000C15E4" w:rsidP="000C15E4">
      <w:pPr>
        <w:autoSpaceDE w:val="0"/>
        <w:autoSpaceDN w:val="0"/>
        <w:adjustRightInd w:val="0"/>
        <w:spacing w:line="360" w:lineRule="auto"/>
        <w:jc w:val="both"/>
        <w:rPr>
          <w:rFonts w:ascii="Palatino Linotype" w:hAnsi="Palatino Linotype" w:cs="Arial"/>
          <w:sz w:val="24"/>
        </w:rPr>
      </w:pPr>
      <w:r w:rsidRPr="000C15E4">
        <w:rPr>
          <w:rFonts w:ascii="Palatino Linotype" w:hAnsi="Palatino Linotype" w:cs="Arial"/>
          <w:sz w:val="24"/>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563848B7" w14:textId="77777777" w:rsidR="000C15E4" w:rsidRPr="000C15E4" w:rsidRDefault="000C15E4" w:rsidP="000C15E4">
      <w:pPr>
        <w:autoSpaceDE w:val="0"/>
        <w:autoSpaceDN w:val="0"/>
        <w:adjustRightInd w:val="0"/>
        <w:spacing w:after="0" w:line="360" w:lineRule="auto"/>
        <w:jc w:val="both"/>
        <w:rPr>
          <w:rFonts w:ascii="Palatino Linotype" w:hAnsi="Palatino Linotype" w:cs="Arial"/>
          <w:sz w:val="24"/>
        </w:rPr>
      </w:pPr>
    </w:p>
    <w:p w14:paraId="484A7F7A" w14:textId="77777777" w:rsidR="000C15E4" w:rsidRPr="000C15E4" w:rsidRDefault="000C15E4" w:rsidP="000C15E4">
      <w:pPr>
        <w:spacing w:line="360" w:lineRule="auto"/>
        <w:jc w:val="both"/>
        <w:rPr>
          <w:rFonts w:ascii="Palatino Linotype" w:hAnsi="Palatino Linotype" w:cs="Arial"/>
          <w:sz w:val="24"/>
        </w:rPr>
      </w:pPr>
      <w:r w:rsidRPr="000C15E4">
        <w:rPr>
          <w:rFonts w:ascii="Palatino Linotype" w:hAnsi="Palatino Linotype" w:cs="Arial"/>
          <w:sz w:val="24"/>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6D0953D8" w14:textId="77777777" w:rsidR="000C15E4" w:rsidRPr="009625FF" w:rsidRDefault="000C15E4" w:rsidP="000C15E4">
      <w:pPr>
        <w:pStyle w:val="Sinespaciado"/>
      </w:pPr>
    </w:p>
    <w:p w14:paraId="19E26E39"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Artículo 3.</w:t>
      </w:r>
      <w:r w:rsidRPr="009625FF">
        <w:rPr>
          <w:rFonts w:ascii="Palatino Linotype" w:hAnsi="Palatino Linotype" w:cs="Arial"/>
          <w:i/>
        </w:rPr>
        <w:t xml:space="preserve"> Para los efectos de la presente Ley se entenderá por:</w:t>
      </w:r>
    </w:p>
    <w:p w14:paraId="1EAB31CA"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i/>
        </w:rPr>
        <w:t>[…]</w:t>
      </w:r>
    </w:p>
    <w:p w14:paraId="28A1C4E3" w14:textId="77777777" w:rsidR="000C15E4" w:rsidRPr="009625FF" w:rsidRDefault="000C15E4" w:rsidP="000C15E4">
      <w:pPr>
        <w:ind w:left="567" w:right="616"/>
        <w:jc w:val="both"/>
        <w:rPr>
          <w:rFonts w:ascii="Palatino Linotype" w:hAnsi="Palatino Linotype" w:cs="Arial"/>
          <w:i/>
        </w:rPr>
      </w:pPr>
    </w:p>
    <w:p w14:paraId="610AFC46"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IX. Datos personales:</w:t>
      </w:r>
      <w:r w:rsidRPr="009625FF">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7D7CF207"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XX. Información clasificada:</w:t>
      </w:r>
      <w:r w:rsidRPr="009625FF">
        <w:rPr>
          <w:rFonts w:ascii="Palatino Linotype" w:hAnsi="Palatino Linotype" w:cs="Arial"/>
          <w:i/>
        </w:rPr>
        <w:t xml:space="preserve"> Aquella considerada por la presente Ley como reservada o confidencial;</w:t>
      </w:r>
    </w:p>
    <w:p w14:paraId="3D5DE643" w14:textId="77777777" w:rsidR="000C15E4" w:rsidRPr="009625FF" w:rsidRDefault="000C15E4" w:rsidP="000C15E4">
      <w:pPr>
        <w:ind w:left="567" w:right="616"/>
        <w:jc w:val="both"/>
        <w:rPr>
          <w:rFonts w:ascii="Palatino Linotype" w:hAnsi="Palatino Linotype" w:cs="Arial"/>
          <w:b/>
          <w:i/>
        </w:rPr>
      </w:pPr>
    </w:p>
    <w:p w14:paraId="56576B96"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XXI. Información confidencial:</w:t>
      </w:r>
      <w:r w:rsidRPr="009625FF">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2C72BC3" w14:textId="77777777" w:rsidR="000C15E4" w:rsidRPr="009625FF" w:rsidRDefault="000C15E4" w:rsidP="000C15E4">
      <w:pPr>
        <w:ind w:left="567" w:right="616"/>
        <w:jc w:val="both"/>
        <w:rPr>
          <w:rFonts w:ascii="Palatino Linotype" w:hAnsi="Palatino Linotype" w:cs="Arial"/>
          <w:b/>
          <w:i/>
        </w:rPr>
      </w:pPr>
    </w:p>
    <w:p w14:paraId="5DE6C29C"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XLV. Versión pública:</w:t>
      </w:r>
      <w:r w:rsidRPr="009625FF">
        <w:rPr>
          <w:rFonts w:ascii="Palatino Linotype" w:hAnsi="Palatino Linotype" w:cs="Arial"/>
          <w:i/>
        </w:rPr>
        <w:t xml:space="preserve"> Documento en el que se elimine, suprime o borra la información clasificada como reservada o confidencial para permitir su acceso.</w:t>
      </w:r>
    </w:p>
    <w:p w14:paraId="78C4D4BA"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i/>
        </w:rPr>
        <w:t>[…]</w:t>
      </w:r>
    </w:p>
    <w:p w14:paraId="3221DFA7" w14:textId="77777777" w:rsidR="000C15E4" w:rsidRPr="009625FF" w:rsidRDefault="000C15E4" w:rsidP="000C15E4">
      <w:pPr>
        <w:ind w:left="567" w:right="616"/>
        <w:jc w:val="both"/>
        <w:rPr>
          <w:rFonts w:ascii="Palatino Linotype" w:hAnsi="Palatino Linotype" w:cs="Arial"/>
          <w:b/>
          <w:i/>
        </w:rPr>
      </w:pPr>
    </w:p>
    <w:p w14:paraId="588DDBB7"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Artículo 91.</w:t>
      </w:r>
      <w:r w:rsidRPr="009625FF">
        <w:rPr>
          <w:rFonts w:ascii="Palatino Linotype" w:hAnsi="Palatino Linotype" w:cs="Arial"/>
          <w:i/>
        </w:rPr>
        <w:t xml:space="preserve"> El acceso a la información pública será restringido excepcionalmente, cuando ésta sea clasificada como reservada o confidencial.</w:t>
      </w:r>
    </w:p>
    <w:p w14:paraId="5532D159" w14:textId="77777777" w:rsidR="000C15E4" w:rsidRPr="009625FF" w:rsidRDefault="000C15E4" w:rsidP="000C15E4">
      <w:pPr>
        <w:ind w:left="567" w:right="616"/>
        <w:jc w:val="both"/>
        <w:rPr>
          <w:rFonts w:ascii="Palatino Linotype" w:hAnsi="Palatino Linotype" w:cs="Arial"/>
          <w:i/>
        </w:rPr>
      </w:pPr>
    </w:p>
    <w:p w14:paraId="19962351"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Artículo 132.</w:t>
      </w:r>
      <w:r w:rsidRPr="009625FF">
        <w:rPr>
          <w:rFonts w:ascii="Palatino Linotype" w:hAnsi="Palatino Linotype" w:cs="Arial"/>
          <w:i/>
        </w:rPr>
        <w:t xml:space="preserve"> </w:t>
      </w:r>
      <w:r w:rsidRPr="009625FF">
        <w:rPr>
          <w:rFonts w:ascii="Palatino Linotype" w:hAnsi="Palatino Linotype" w:cs="Arial"/>
          <w:i/>
          <w:u w:val="single"/>
        </w:rPr>
        <w:t>La clasificación de la información se llevará a cabo en el momento en que</w:t>
      </w:r>
      <w:r w:rsidRPr="009625FF">
        <w:rPr>
          <w:rFonts w:ascii="Palatino Linotype" w:hAnsi="Palatino Linotype" w:cs="Arial"/>
          <w:i/>
        </w:rPr>
        <w:t>:</w:t>
      </w:r>
    </w:p>
    <w:p w14:paraId="2FD5A80E" w14:textId="77777777" w:rsidR="000C15E4" w:rsidRPr="009625FF" w:rsidRDefault="000C15E4" w:rsidP="000C15E4">
      <w:pPr>
        <w:ind w:left="567" w:right="616"/>
        <w:jc w:val="both"/>
        <w:rPr>
          <w:rFonts w:ascii="Palatino Linotype" w:hAnsi="Palatino Linotype" w:cs="Arial"/>
          <w:b/>
          <w:i/>
        </w:rPr>
      </w:pPr>
    </w:p>
    <w:p w14:paraId="329CDB75"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I.</w:t>
      </w:r>
      <w:r w:rsidRPr="009625FF">
        <w:rPr>
          <w:rFonts w:ascii="Palatino Linotype" w:hAnsi="Palatino Linotype" w:cs="Arial"/>
          <w:i/>
        </w:rPr>
        <w:t xml:space="preserve"> Se reciba una solicitud de acceso a la información;</w:t>
      </w:r>
    </w:p>
    <w:p w14:paraId="469BDE16" w14:textId="77777777" w:rsidR="000C15E4" w:rsidRPr="009625FF" w:rsidRDefault="000C15E4" w:rsidP="000C15E4">
      <w:pPr>
        <w:ind w:left="567" w:right="616"/>
        <w:jc w:val="both"/>
        <w:rPr>
          <w:rFonts w:ascii="Palatino Linotype" w:hAnsi="Palatino Linotype" w:cs="Arial"/>
          <w:i/>
          <w:u w:val="single"/>
        </w:rPr>
      </w:pPr>
      <w:r w:rsidRPr="009625FF">
        <w:rPr>
          <w:rFonts w:ascii="Palatino Linotype" w:hAnsi="Palatino Linotype" w:cs="Arial"/>
          <w:b/>
          <w:i/>
        </w:rPr>
        <w:t>II.</w:t>
      </w:r>
      <w:r w:rsidRPr="009625FF">
        <w:rPr>
          <w:rFonts w:ascii="Palatino Linotype" w:hAnsi="Palatino Linotype" w:cs="Arial"/>
          <w:i/>
        </w:rPr>
        <w:t xml:space="preserve"> </w:t>
      </w:r>
      <w:r w:rsidRPr="009625FF">
        <w:rPr>
          <w:rFonts w:ascii="Palatino Linotype" w:hAnsi="Palatino Linotype" w:cs="Arial"/>
          <w:i/>
          <w:u w:val="single"/>
        </w:rPr>
        <w:t>Se determine mediante resolución de autoridad competente; o</w:t>
      </w:r>
    </w:p>
    <w:p w14:paraId="64A3CFE0" w14:textId="77777777" w:rsidR="000C15E4" w:rsidRPr="009625FF" w:rsidRDefault="000C15E4" w:rsidP="000C15E4">
      <w:pPr>
        <w:ind w:left="567" w:right="616"/>
        <w:jc w:val="both"/>
        <w:rPr>
          <w:rFonts w:ascii="Palatino Linotype" w:hAnsi="Palatino Linotype" w:cs="Arial"/>
          <w:i/>
          <w:u w:val="single"/>
        </w:rPr>
      </w:pPr>
      <w:r w:rsidRPr="009625FF">
        <w:rPr>
          <w:rFonts w:ascii="Palatino Linotype" w:hAnsi="Palatino Linotype" w:cs="Arial"/>
          <w:b/>
          <w:i/>
        </w:rPr>
        <w:t>III.</w:t>
      </w:r>
      <w:r w:rsidRPr="009625FF">
        <w:rPr>
          <w:rFonts w:ascii="Palatino Linotype" w:hAnsi="Palatino Linotype" w:cs="Arial"/>
          <w:i/>
        </w:rPr>
        <w:t xml:space="preserve"> </w:t>
      </w:r>
      <w:r w:rsidRPr="009625FF">
        <w:rPr>
          <w:rFonts w:ascii="Palatino Linotype" w:hAnsi="Palatino Linotype" w:cs="Arial"/>
          <w:i/>
          <w:u w:val="single"/>
        </w:rPr>
        <w:t>Se generen versiones públicas para dar cumplimiento a las obligaciones de transparencia previstas en esta Ley.</w:t>
      </w:r>
    </w:p>
    <w:p w14:paraId="7B6AB510"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i/>
        </w:rPr>
        <w:t>[…]</w:t>
      </w:r>
    </w:p>
    <w:p w14:paraId="47B12E35" w14:textId="77777777" w:rsidR="000C15E4" w:rsidRPr="009625FF" w:rsidRDefault="000C15E4" w:rsidP="000C15E4">
      <w:pPr>
        <w:ind w:left="567" w:right="616"/>
        <w:jc w:val="both"/>
        <w:rPr>
          <w:rFonts w:ascii="Palatino Linotype" w:hAnsi="Palatino Linotype" w:cs="Arial"/>
          <w:i/>
        </w:rPr>
      </w:pPr>
    </w:p>
    <w:p w14:paraId="734689C8"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Artículo 143.</w:t>
      </w:r>
      <w:r w:rsidRPr="009625FF">
        <w:rPr>
          <w:rFonts w:ascii="Palatino Linotype" w:hAnsi="Palatino Linotype" w:cs="Arial"/>
          <w:i/>
        </w:rPr>
        <w:t xml:space="preserve"> </w:t>
      </w:r>
      <w:r w:rsidRPr="009625FF">
        <w:rPr>
          <w:rFonts w:ascii="Palatino Linotype" w:hAnsi="Palatino Linotype" w:cs="Arial"/>
          <w:i/>
          <w:u w:val="single"/>
        </w:rPr>
        <w:t>Para los efectos de esta Ley se considera información confidencial, la clasificada como tal, de manera permanente, por su naturaleza, cuando</w:t>
      </w:r>
      <w:r w:rsidRPr="009625FF">
        <w:rPr>
          <w:rFonts w:ascii="Palatino Linotype" w:hAnsi="Palatino Linotype" w:cs="Arial"/>
          <w:i/>
        </w:rPr>
        <w:t>:</w:t>
      </w:r>
    </w:p>
    <w:p w14:paraId="7420B863" w14:textId="77777777" w:rsidR="000C15E4" w:rsidRPr="009625FF" w:rsidRDefault="000C15E4" w:rsidP="000C15E4">
      <w:pPr>
        <w:ind w:left="567" w:right="616"/>
        <w:jc w:val="both"/>
        <w:rPr>
          <w:rFonts w:ascii="Palatino Linotype" w:hAnsi="Palatino Linotype" w:cs="Arial"/>
          <w:b/>
          <w:i/>
        </w:rPr>
      </w:pPr>
    </w:p>
    <w:p w14:paraId="264E9C30"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I.</w:t>
      </w:r>
      <w:r w:rsidRPr="009625FF">
        <w:rPr>
          <w:rFonts w:ascii="Palatino Linotype" w:hAnsi="Palatino Linotype" w:cs="Arial"/>
          <w:i/>
        </w:rPr>
        <w:t xml:space="preserve"> </w:t>
      </w:r>
      <w:r w:rsidRPr="009625FF">
        <w:rPr>
          <w:rFonts w:ascii="Palatino Linotype" w:hAnsi="Palatino Linotype" w:cs="Arial"/>
          <w:i/>
          <w:u w:val="single"/>
        </w:rPr>
        <w:t>Se refiera a la información privada y los datos personales concernientes a una persona física o jurídico colectiva identificada o identificable</w:t>
      </w:r>
      <w:r w:rsidRPr="009625FF">
        <w:rPr>
          <w:rFonts w:ascii="Palatino Linotype" w:hAnsi="Palatino Linotype" w:cs="Arial"/>
          <w:i/>
        </w:rPr>
        <w:t>;</w:t>
      </w:r>
    </w:p>
    <w:p w14:paraId="30CA9868" w14:textId="77777777" w:rsidR="000C15E4" w:rsidRPr="009625FF" w:rsidRDefault="000C15E4" w:rsidP="000C15E4">
      <w:pPr>
        <w:ind w:left="567" w:right="616"/>
        <w:jc w:val="both"/>
        <w:rPr>
          <w:rFonts w:ascii="Palatino Linotype" w:hAnsi="Palatino Linotype" w:cs="Arial"/>
          <w:i/>
          <w:u w:val="single"/>
        </w:rPr>
      </w:pPr>
      <w:r w:rsidRPr="009625FF">
        <w:rPr>
          <w:rFonts w:ascii="Palatino Linotype" w:hAnsi="Palatino Linotype" w:cs="Arial"/>
          <w:b/>
          <w:i/>
        </w:rPr>
        <w:t>II.</w:t>
      </w:r>
      <w:r w:rsidRPr="009625FF">
        <w:rPr>
          <w:rFonts w:ascii="Palatino Linotype" w:hAnsi="Palatino Linotype" w:cs="Arial"/>
          <w:i/>
        </w:rPr>
        <w:t xml:space="preserve"> </w:t>
      </w:r>
      <w:r w:rsidRPr="009625FF">
        <w:rPr>
          <w:rFonts w:ascii="Palatino Linotype" w:hAnsi="Palatino Linotype" w:cs="Arial"/>
          <w:i/>
          <w:u w:val="single"/>
        </w:rPr>
        <w:t>Los secretos bancario, fiduciario, industrial, comercial, fiscal, bursátil y postal, cuya titularidad corresponda a particulares, sujetos de derecho internacional o a sujetos obligados cuando no involucren el ejercicio de recursos públicos; y</w:t>
      </w:r>
    </w:p>
    <w:p w14:paraId="6745A5BF"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b/>
          <w:i/>
        </w:rPr>
        <w:t>III.</w:t>
      </w:r>
      <w:r w:rsidRPr="009625FF">
        <w:rPr>
          <w:rFonts w:ascii="Palatino Linotype" w:hAnsi="Palatino Linotype" w:cs="Arial"/>
          <w:i/>
        </w:rPr>
        <w:t xml:space="preserve"> La que presenten los particulares a los sujetos obligados, de conformidad con lo dispuesto por las leyes o los tratados internacionales.</w:t>
      </w:r>
    </w:p>
    <w:p w14:paraId="75F473AA" w14:textId="77777777" w:rsidR="000C15E4" w:rsidRPr="009625FF" w:rsidRDefault="000C15E4" w:rsidP="000C15E4">
      <w:pPr>
        <w:ind w:left="567" w:right="616"/>
        <w:jc w:val="both"/>
        <w:rPr>
          <w:rFonts w:ascii="Palatino Linotype" w:hAnsi="Palatino Linotype" w:cs="Arial"/>
          <w:i/>
        </w:rPr>
      </w:pPr>
    </w:p>
    <w:p w14:paraId="3E063473"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i/>
        </w:rPr>
        <w:t>La información confidencial no estará sujeta a temporalidad alguna y sólo podrán tener acceso a ella los titulares de la misma, sus representantes y los servidores públicos facultados para ello.</w:t>
      </w:r>
    </w:p>
    <w:p w14:paraId="0F16E4A4" w14:textId="77777777" w:rsidR="000C15E4" w:rsidRPr="009625FF" w:rsidRDefault="000C15E4" w:rsidP="000C15E4">
      <w:pPr>
        <w:ind w:left="567" w:right="616"/>
        <w:jc w:val="both"/>
        <w:rPr>
          <w:rFonts w:ascii="Palatino Linotype" w:hAnsi="Palatino Linotype" w:cs="Arial"/>
          <w:i/>
        </w:rPr>
      </w:pPr>
    </w:p>
    <w:p w14:paraId="7C4E1847" w14:textId="77777777" w:rsidR="000C15E4" w:rsidRPr="009625FF" w:rsidRDefault="000C15E4" w:rsidP="000C15E4">
      <w:pPr>
        <w:ind w:left="567" w:right="616"/>
        <w:jc w:val="both"/>
        <w:rPr>
          <w:rFonts w:ascii="Palatino Linotype" w:hAnsi="Palatino Linotype" w:cs="Arial"/>
          <w:i/>
        </w:rPr>
      </w:pPr>
      <w:r w:rsidRPr="009625FF">
        <w:rPr>
          <w:rFonts w:ascii="Palatino Linotype" w:hAnsi="Palatino Linotype" w:cs="Arial"/>
          <w:i/>
        </w:rPr>
        <w:t>No se considerará confidencial la información que se encuentre en los registros públicos o en fuentes de acceso público, ni tampoco la que sea considerada por la presente ley como información pública. [Sic]</w:t>
      </w:r>
    </w:p>
    <w:p w14:paraId="5B065E8B" w14:textId="77777777" w:rsidR="000C15E4" w:rsidRPr="009625FF" w:rsidRDefault="000C15E4" w:rsidP="000C15E4">
      <w:pPr>
        <w:spacing w:line="360" w:lineRule="auto"/>
        <w:jc w:val="both"/>
        <w:rPr>
          <w:rFonts w:ascii="Palatino Linotype" w:hAnsi="Palatino Linotype"/>
        </w:rPr>
      </w:pPr>
    </w:p>
    <w:p w14:paraId="1E65D2FD" w14:textId="77777777" w:rsidR="000C15E4" w:rsidRPr="000C15E4" w:rsidRDefault="000C15E4" w:rsidP="000C15E4">
      <w:pPr>
        <w:spacing w:line="360" w:lineRule="auto"/>
        <w:jc w:val="both"/>
        <w:rPr>
          <w:rFonts w:ascii="Palatino Linotype" w:hAnsi="Palatino Linotype"/>
          <w:sz w:val="24"/>
        </w:rPr>
      </w:pPr>
      <w:r w:rsidRPr="000C15E4">
        <w:rPr>
          <w:rFonts w:ascii="Palatino Linotype" w:hAnsi="Palatino Linotype"/>
          <w:sz w:val="24"/>
        </w:rPr>
        <w:lastRenderedPageBreak/>
        <w:t xml:space="preserve">Igualmente, los </w:t>
      </w:r>
      <w:r w:rsidRPr="000C15E4">
        <w:rPr>
          <w:rFonts w:ascii="Palatino Linotype" w:hAnsi="Palatino Linotype"/>
          <w:i/>
          <w:sz w:val="24"/>
        </w:rPr>
        <w:t>Lineamientos Generales en Materia de Clasificación y Desclasificación de la Información, así como para la elaboración de Versiones Públicas</w:t>
      </w:r>
      <w:r w:rsidRPr="000C15E4">
        <w:rPr>
          <w:rFonts w:ascii="Palatino Linotype" w:hAnsi="Palatino Linotype"/>
          <w:sz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35BFB3E" w14:textId="77777777" w:rsidR="000C15E4" w:rsidRPr="000C15E4" w:rsidRDefault="000C15E4" w:rsidP="000C15E4">
      <w:pPr>
        <w:spacing w:line="360" w:lineRule="auto"/>
        <w:jc w:val="both"/>
        <w:rPr>
          <w:rFonts w:ascii="Palatino Linotype" w:hAnsi="Palatino Linotype" w:cs="Arial"/>
          <w:sz w:val="24"/>
          <w:lang w:eastAsia="es-CO"/>
        </w:rPr>
      </w:pPr>
    </w:p>
    <w:p w14:paraId="3AC2505E" w14:textId="77777777" w:rsidR="000C15E4" w:rsidRPr="000C15E4" w:rsidRDefault="000C15E4" w:rsidP="000C15E4">
      <w:pPr>
        <w:spacing w:line="360" w:lineRule="auto"/>
        <w:jc w:val="both"/>
        <w:rPr>
          <w:rFonts w:ascii="Palatino Linotype" w:hAnsi="Palatino Linotype" w:cs="Arial"/>
          <w:sz w:val="24"/>
          <w:lang w:eastAsia="es-CO"/>
        </w:rPr>
      </w:pPr>
      <w:r w:rsidRPr="000C15E4">
        <w:rPr>
          <w:rFonts w:ascii="Palatino Linotype" w:hAnsi="Palatino Linotype" w:cs="Arial"/>
          <w:sz w:val="24"/>
          <w:lang w:eastAsia="es-CO"/>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B91EDA1" w14:textId="77777777" w:rsidR="000C15E4" w:rsidRPr="009625FF" w:rsidRDefault="000C15E4" w:rsidP="000C15E4">
      <w:pPr>
        <w:spacing w:line="360" w:lineRule="auto"/>
        <w:jc w:val="both"/>
        <w:rPr>
          <w:rFonts w:ascii="Palatino Linotype" w:hAnsi="Palatino Linotype" w:cs="Arial"/>
          <w:lang w:eastAsia="es-CO"/>
        </w:rPr>
      </w:pPr>
    </w:p>
    <w:p w14:paraId="38561E45" w14:textId="77777777" w:rsidR="000C15E4" w:rsidRPr="009625FF" w:rsidRDefault="000C15E4" w:rsidP="000C15E4">
      <w:pPr>
        <w:pStyle w:val="Prrafodelista"/>
        <w:numPr>
          <w:ilvl w:val="0"/>
          <w:numId w:val="4"/>
        </w:numPr>
        <w:autoSpaceDE w:val="0"/>
        <w:autoSpaceDN w:val="0"/>
        <w:adjustRightInd w:val="0"/>
        <w:spacing w:line="360" w:lineRule="auto"/>
        <w:jc w:val="both"/>
        <w:rPr>
          <w:rFonts w:ascii="Palatino Linotype" w:hAnsi="Palatino Linotype"/>
          <w:b/>
          <w:i/>
          <w:sz w:val="28"/>
          <w:u w:val="single"/>
        </w:rPr>
      </w:pPr>
      <w:r w:rsidRPr="009625FF">
        <w:rPr>
          <w:rFonts w:ascii="Palatino Linotype" w:hAnsi="Palatino Linotype"/>
          <w:b/>
          <w:i/>
          <w:sz w:val="28"/>
          <w:u w:val="single"/>
        </w:rPr>
        <w:t xml:space="preserve">Vista a los Órganos Internos de Control.  </w:t>
      </w:r>
    </w:p>
    <w:p w14:paraId="5AD3FC4E" w14:textId="77777777" w:rsidR="000C15E4" w:rsidRPr="000C15E4" w:rsidRDefault="000C15E4" w:rsidP="000C15E4">
      <w:pPr>
        <w:spacing w:line="360" w:lineRule="auto"/>
        <w:contextualSpacing/>
        <w:jc w:val="both"/>
        <w:rPr>
          <w:rFonts w:ascii="Palatino Linotype" w:eastAsia="MS Mincho" w:hAnsi="Palatino Linotype"/>
          <w:sz w:val="24"/>
          <w:lang w:val="es-ES_tradnl"/>
        </w:rPr>
      </w:pPr>
      <w:r w:rsidRPr="000C15E4">
        <w:rPr>
          <w:rFonts w:ascii="Palatino Linotype" w:eastAsia="MS Mincho" w:hAnsi="Palatino Linotype"/>
          <w:sz w:val="24"/>
          <w:lang w:val="es-ES_tradnl"/>
        </w:rPr>
        <w:t xml:space="preserve">Por último, es necesario resaltar que el recurso de revisión previsto en la Ley de la materia no es el medio para investigar y en su caso, sancionar a servidores públicos por </w:t>
      </w:r>
      <w:r w:rsidRPr="000C15E4">
        <w:rPr>
          <w:rFonts w:ascii="Palatino Linotype" w:eastAsia="MS Mincho" w:hAnsi="Palatino Linotype"/>
          <w:sz w:val="24"/>
          <w:lang w:val="es-ES_tradnl"/>
        </w:rPr>
        <w:lastRenderedPageBreak/>
        <w:t xml:space="preserve">la omisión de la entrega de información pública o en la atención a solicitudes de información; sin embargo, dados los planteamientos que se formularon al presentarse el recurso de revisión, se dará vista al área competente para que en ejercicio de sus atribuciones realice las investigaciones pertinentes por las omisiones detectadas atribuibles al </w:t>
      </w:r>
      <w:r w:rsidRPr="000C15E4">
        <w:rPr>
          <w:rFonts w:ascii="Palatino Linotype" w:eastAsia="MS Mincho" w:hAnsi="Palatino Linotype"/>
          <w:b/>
          <w:sz w:val="24"/>
          <w:lang w:val="es-ES_tradnl"/>
        </w:rPr>
        <w:t>Sujeto Obligado</w:t>
      </w:r>
      <w:r w:rsidRPr="000C15E4">
        <w:rPr>
          <w:rFonts w:ascii="Palatino Linotype" w:eastAsia="MS Mincho" w:hAnsi="Palatino Linotype"/>
          <w:sz w:val="24"/>
          <w:lang w:val="es-ES_tradnl"/>
        </w:rPr>
        <w:t>.</w:t>
      </w:r>
    </w:p>
    <w:p w14:paraId="118321DE" w14:textId="77777777" w:rsidR="000C15E4" w:rsidRPr="000C15E4" w:rsidRDefault="000C15E4" w:rsidP="000C15E4">
      <w:pPr>
        <w:spacing w:line="360" w:lineRule="auto"/>
        <w:contextualSpacing/>
        <w:jc w:val="both"/>
        <w:rPr>
          <w:rFonts w:ascii="Palatino Linotype" w:eastAsia="MS Mincho" w:hAnsi="Palatino Linotype"/>
          <w:sz w:val="24"/>
          <w:lang w:val="es-ES_tradnl"/>
        </w:rPr>
      </w:pPr>
    </w:p>
    <w:p w14:paraId="6EB6F9D8" w14:textId="77777777" w:rsidR="000C15E4" w:rsidRPr="000C15E4" w:rsidRDefault="000C15E4" w:rsidP="000C15E4">
      <w:pPr>
        <w:spacing w:line="360" w:lineRule="auto"/>
        <w:contextualSpacing/>
        <w:jc w:val="both"/>
        <w:rPr>
          <w:rFonts w:ascii="Palatino Linotype" w:eastAsia="MS Mincho" w:hAnsi="Palatino Linotype"/>
          <w:sz w:val="24"/>
        </w:rPr>
      </w:pPr>
      <w:r w:rsidRPr="000C15E4">
        <w:rPr>
          <w:rFonts w:ascii="Palatino Linotype" w:eastAsia="MS Mincho" w:hAnsi="Palatino Linotype"/>
          <w:sz w:val="24"/>
        </w:rPr>
        <w:t>Por ello, es conveniente señalar la fracción X, del artículo 36, de la Ley de Transparencia y Acceso a la Información Pública del Estado de México y Municipios, que establece:</w:t>
      </w:r>
    </w:p>
    <w:p w14:paraId="7C9BB625" w14:textId="77777777" w:rsidR="000C15E4" w:rsidRPr="009625FF" w:rsidRDefault="000C15E4" w:rsidP="000C15E4">
      <w:pPr>
        <w:pStyle w:val="Sinespaciado"/>
        <w:rPr>
          <w:rFonts w:eastAsia="MS Mincho"/>
        </w:rPr>
      </w:pPr>
    </w:p>
    <w:p w14:paraId="7CA7B22F" w14:textId="77777777" w:rsidR="000C15E4" w:rsidRPr="009625FF" w:rsidRDefault="000C15E4" w:rsidP="000C15E4">
      <w:pPr>
        <w:ind w:left="567" w:right="567"/>
        <w:contextualSpacing/>
        <w:jc w:val="both"/>
        <w:rPr>
          <w:rFonts w:ascii="Palatino Linotype" w:eastAsia="MS Mincho" w:hAnsi="Palatino Linotype"/>
          <w:i/>
        </w:rPr>
      </w:pPr>
      <w:r w:rsidRPr="009625FF">
        <w:rPr>
          <w:rFonts w:ascii="Palatino Linotype" w:eastAsia="MS Mincho" w:hAnsi="Palatino Linotype"/>
          <w:b/>
          <w:i/>
        </w:rPr>
        <w:t>Artículo 36.</w:t>
      </w:r>
      <w:r w:rsidRPr="009625FF">
        <w:rPr>
          <w:rFonts w:ascii="Palatino Linotype" w:eastAsia="MS Mincho" w:hAnsi="Palatino Linotype"/>
          <w:i/>
        </w:rPr>
        <w:t xml:space="preserve"> El Instituto tendrá, en el ámbito de su competencia, las siguientes atribuciones:</w:t>
      </w:r>
    </w:p>
    <w:p w14:paraId="486BA1F2" w14:textId="77777777" w:rsidR="000C15E4" w:rsidRPr="009625FF" w:rsidRDefault="000C15E4" w:rsidP="000C15E4">
      <w:pPr>
        <w:ind w:left="567" w:right="567"/>
        <w:contextualSpacing/>
        <w:jc w:val="both"/>
        <w:rPr>
          <w:rFonts w:ascii="Palatino Linotype" w:eastAsia="MS Mincho" w:hAnsi="Palatino Linotype"/>
          <w:i/>
        </w:rPr>
      </w:pPr>
      <w:r w:rsidRPr="009625FF">
        <w:rPr>
          <w:rFonts w:ascii="Palatino Linotype" w:eastAsia="MS Mincho" w:hAnsi="Palatino Linotype"/>
          <w:i/>
        </w:rPr>
        <w:t>(…)</w:t>
      </w:r>
    </w:p>
    <w:p w14:paraId="643097E7" w14:textId="77777777" w:rsidR="000C15E4" w:rsidRPr="009625FF" w:rsidRDefault="000C15E4" w:rsidP="000C15E4">
      <w:pPr>
        <w:ind w:left="567" w:right="567"/>
        <w:contextualSpacing/>
        <w:jc w:val="both"/>
        <w:rPr>
          <w:rFonts w:ascii="Palatino Linotype" w:eastAsia="MS Mincho" w:hAnsi="Palatino Linotype"/>
          <w:i/>
        </w:rPr>
      </w:pPr>
      <w:r w:rsidRPr="009625FF">
        <w:rPr>
          <w:rFonts w:ascii="Palatino Linotype" w:eastAsia="MS Mincho" w:hAnsi="Palatino Linotype"/>
          <w:b/>
          <w:bCs/>
          <w:i/>
        </w:rPr>
        <w:t>X.</w:t>
      </w:r>
      <w:r w:rsidRPr="009625FF">
        <w:rPr>
          <w:rFonts w:ascii="Palatino Linotype" w:eastAsia="MS Mincho" w:hAnsi="Palatino Linotype"/>
          <w:i/>
        </w:rPr>
        <w:t xml:space="preserve"> Hacer del conocimiento del órgano de control interno o equivalente de cada Sujeto Obligado las infracciones a esta Ley; </w:t>
      </w:r>
    </w:p>
    <w:p w14:paraId="374074B3" w14:textId="77777777" w:rsidR="000C15E4" w:rsidRPr="009625FF" w:rsidRDefault="000C15E4" w:rsidP="000C15E4">
      <w:pPr>
        <w:spacing w:line="360" w:lineRule="auto"/>
        <w:contextualSpacing/>
        <w:jc w:val="both"/>
        <w:rPr>
          <w:rFonts w:ascii="Palatino Linotype" w:eastAsia="MS Mincho" w:hAnsi="Palatino Linotype"/>
        </w:rPr>
      </w:pPr>
    </w:p>
    <w:p w14:paraId="3EC9D390" w14:textId="77777777" w:rsidR="000C15E4" w:rsidRPr="000C15E4" w:rsidRDefault="000C15E4" w:rsidP="000C15E4">
      <w:pPr>
        <w:spacing w:line="360" w:lineRule="auto"/>
        <w:jc w:val="both"/>
        <w:rPr>
          <w:rFonts w:ascii="Palatino Linotype" w:eastAsia="MS Mincho" w:hAnsi="Palatino Linotype"/>
          <w:sz w:val="24"/>
          <w:lang w:val="es-ES_tradnl"/>
        </w:rPr>
      </w:pPr>
      <w:r w:rsidRPr="000C15E4">
        <w:rPr>
          <w:rFonts w:ascii="Palatino Linotype" w:eastAsia="MS Mincho" w:hAnsi="Palatino Linotype"/>
          <w:sz w:val="24"/>
          <w:lang w:val="es-ES_tradnl"/>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5FC621AA" w14:textId="77777777" w:rsidR="000C15E4" w:rsidRPr="009625FF" w:rsidRDefault="000C15E4" w:rsidP="000C15E4">
      <w:pPr>
        <w:spacing w:line="360" w:lineRule="auto"/>
        <w:jc w:val="both"/>
        <w:rPr>
          <w:rFonts w:ascii="Palatino Linotype" w:eastAsia="MS Mincho" w:hAnsi="Palatino Linotype"/>
          <w:lang w:val="es-ES_tradnl"/>
        </w:rPr>
      </w:pPr>
    </w:p>
    <w:p w14:paraId="4F06553E" w14:textId="77777777" w:rsidR="000C15E4" w:rsidRPr="000C15E4" w:rsidRDefault="000C15E4" w:rsidP="000C15E4">
      <w:pPr>
        <w:spacing w:line="360" w:lineRule="auto"/>
        <w:jc w:val="both"/>
        <w:rPr>
          <w:rFonts w:ascii="Palatino Linotype" w:eastAsia="MS Mincho" w:hAnsi="Palatino Linotype"/>
          <w:sz w:val="24"/>
          <w:lang w:val="es-ES_tradnl"/>
        </w:rPr>
      </w:pPr>
      <w:r w:rsidRPr="000C15E4">
        <w:rPr>
          <w:rFonts w:ascii="Palatino Linotype" w:eastAsia="MS Mincho" w:hAnsi="Palatino Linotype"/>
          <w:sz w:val="24"/>
          <w:lang w:val="es-ES_tradnl"/>
        </w:rPr>
        <w:lastRenderedPageBreak/>
        <w:t xml:space="preserve">En efecto, la Secretaría Técnica del Pleno hará del conocimiento del órgano interno de control competente de las infracciones en que el </w:t>
      </w:r>
      <w:r w:rsidRPr="000C15E4">
        <w:rPr>
          <w:rFonts w:ascii="Palatino Linotype" w:eastAsia="MS Mincho" w:hAnsi="Palatino Linotype"/>
          <w:b/>
          <w:bCs/>
          <w:sz w:val="24"/>
          <w:lang w:val="es-ES_tradnl"/>
        </w:rPr>
        <w:t xml:space="preserve">Sujeto Obligado </w:t>
      </w:r>
      <w:r w:rsidRPr="000C15E4">
        <w:rPr>
          <w:rFonts w:ascii="Palatino Linotype" w:eastAsia="MS Mincho" w:hAnsi="Palatino Linotype"/>
          <w:sz w:val="24"/>
          <w:lang w:val="es-ES_tradnl"/>
        </w:rPr>
        <w:t>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4101073C" w14:textId="77777777" w:rsidR="000C15E4" w:rsidRPr="009625FF" w:rsidRDefault="000C15E4" w:rsidP="000C15E4">
      <w:pPr>
        <w:pStyle w:val="Sinespaciado"/>
        <w:rPr>
          <w:rFonts w:eastAsia="MS Mincho"/>
        </w:rPr>
      </w:pPr>
    </w:p>
    <w:p w14:paraId="5F7F6F39" w14:textId="77777777" w:rsidR="000C15E4" w:rsidRPr="009625FF" w:rsidRDefault="000C15E4" w:rsidP="000C15E4">
      <w:pPr>
        <w:ind w:left="567" w:right="616"/>
        <w:contextualSpacing/>
        <w:jc w:val="both"/>
        <w:rPr>
          <w:rFonts w:ascii="Palatino Linotype" w:eastAsia="MS Mincho" w:hAnsi="Palatino Linotype"/>
          <w:i/>
          <w:lang w:val="es-ES_tradnl"/>
        </w:rPr>
      </w:pPr>
      <w:r w:rsidRPr="009625FF">
        <w:rPr>
          <w:rFonts w:ascii="Palatino Linotype" w:eastAsia="MS Mincho" w:hAnsi="Palatino Linotype"/>
          <w:i/>
          <w:lang w:val="es-ES_tradnl"/>
        </w:rPr>
        <w:t>“</w:t>
      </w:r>
      <w:r w:rsidRPr="009625FF">
        <w:rPr>
          <w:rFonts w:ascii="Palatino Linotype" w:eastAsia="MS Mincho" w:hAnsi="Palatino Linotype"/>
          <w:b/>
          <w:i/>
          <w:lang w:val="es-ES_tradnl"/>
        </w:rPr>
        <w:t>Artículo 190.</w:t>
      </w:r>
      <w:r w:rsidRPr="009625FF">
        <w:rPr>
          <w:rFonts w:ascii="Palatino Linotype" w:eastAsia="MS Mincho" w:hAnsi="Palatino Linotype"/>
          <w:i/>
          <w:lang w:val="es-ES_tradnl"/>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w:t>
      </w:r>
      <w:bookmarkStart w:id="2" w:name="_Hlk143599338"/>
      <w:r w:rsidRPr="009625FF">
        <w:rPr>
          <w:rFonts w:ascii="Palatino Linotype" w:eastAsia="MS Mincho" w:hAnsi="Palatino Linotype"/>
          <w:i/>
          <w:lang w:val="es-ES_tradnl"/>
        </w:rPr>
        <w:t xml:space="preserve">órgano de control interno </w:t>
      </w:r>
      <w:bookmarkEnd w:id="2"/>
      <w:r w:rsidRPr="009625FF">
        <w:rPr>
          <w:rFonts w:ascii="Palatino Linotype" w:eastAsia="MS Mincho" w:hAnsi="Palatino Linotype"/>
          <w:i/>
          <w:lang w:val="es-ES_tradnl"/>
        </w:rPr>
        <w:t>de la instancia competente para que éste inicie, en su caso, el procedimiento de responsabilidad respectivo, cuyo resultado deberá de ser informado al Instituto</w:t>
      </w:r>
    </w:p>
    <w:p w14:paraId="36DAC329" w14:textId="77777777" w:rsidR="000C15E4" w:rsidRDefault="000C15E4" w:rsidP="000C15E4">
      <w:pPr>
        <w:ind w:left="567" w:right="616"/>
        <w:contextualSpacing/>
        <w:jc w:val="both"/>
        <w:rPr>
          <w:rFonts w:ascii="Palatino Linotype" w:eastAsia="MS Mincho" w:hAnsi="Palatino Linotype"/>
          <w:b/>
          <w:i/>
          <w:lang w:val="es-ES_tradnl"/>
        </w:rPr>
      </w:pPr>
    </w:p>
    <w:p w14:paraId="017DD37D" w14:textId="77777777" w:rsidR="000C15E4" w:rsidRPr="009625FF" w:rsidRDefault="000C15E4" w:rsidP="000C15E4">
      <w:pPr>
        <w:ind w:left="567" w:right="616"/>
        <w:contextualSpacing/>
        <w:jc w:val="both"/>
        <w:rPr>
          <w:rFonts w:ascii="Palatino Linotype" w:eastAsia="MS Mincho" w:hAnsi="Palatino Linotype"/>
          <w:i/>
          <w:lang w:val="es-ES_tradnl"/>
        </w:rPr>
      </w:pPr>
      <w:r w:rsidRPr="009625FF">
        <w:rPr>
          <w:rFonts w:ascii="Palatino Linotype" w:eastAsia="MS Mincho" w:hAnsi="Palatino Linotype"/>
          <w:b/>
          <w:i/>
          <w:lang w:val="es-ES_tradnl"/>
        </w:rPr>
        <w:t>Artículo 222.</w:t>
      </w:r>
      <w:r w:rsidRPr="009625FF">
        <w:rPr>
          <w:rFonts w:ascii="Palatino Linotype" w:eastAsia="MS Mincho" w:hAnsi="Palatino Linotype"/>
          <w:i/>
          <w:lang w:val="es-ES_tradnl"/>
        </w:rPr>
        <w:t xml:space="preserve"> Son causas de responsabilidad administrativa de los servidores públicos de los sujetos obligados, por incumplimiento de las obligaciones establecidas en la materia de la presente Ley, las siguientes:</w:t>
      </w:r>
    </w:p>
    <w:p w14:paraId="532722D9" w14:textId="77777777" w:rsidR="000C15E4" w:rsidRPr="009625FF" w:rsidRDefault="000C15E4" w:rsidP="000C15E4">
      <w:pPr>
        <w:ind w:left="567" w:right="616"/>
        <w:contextualSpacing/>
        <w:jc w:val="both"/>
        <w:rPr>
          <w:rFonts w:ascii="Palatino Linotype" w:eastAsia="MS Mincho" w:hAnsi="Palatino Linotype"/>
          <w:i/>
          <w:lang w:val="es-ES_tradnl"/>
        </w:rPr>
      </w:pPr>
      <w:r w:rsidRPr="009625FF">
        <w:rPr>
          <w:rFonts w:ascii="Palatino Linotype" w:eastAsia="MS Mincho" w:hAnsi="Palatino Linotype"/>
          <w:i/>
          <w:lang w:val="es-ES_tradnl"/>
        </w:rPr>
        <w:t>(…)</w:t>
      </w:r>
    </w:p>
    <w:p w14:paraId="1F70C0C4" w14:textId="77777777" w:rsidR="000C15E4" w:rsidRPr="009625FF" w:rsidRDefault="000C15E4" w:rsidP="000C15E4">
      <w:pPr>
        <w:ind w:left="567" w:right="616"/>
        <w:contextualSpacing/>
        <w:jc w:val="both"/>
        <w:rPr>
          <w:rFonts w:ascii="Palatino Linotype" w:eastAsia="MS Mincho" w:hAnsi="Palatino Linotype"/>
          <w:i/>
          <w:lang w:val="es-ES_tradnl"/>
        </w:rPr>
      </w:pPr>
      <w:r w:rsidRPr="009625FF">
        <w:rPr>
          <w:rFonts w:ascii="Palatino Linotype" w:eastAsia="MS Mincho" w:hAnsi="Palatino Linotype"/>
          <w:b/>
          <w:i/>
          <w:lang w:val="es-ES_tradnl"/>
        </w:rPr>
        <w:t>I.</w:t>
      </w:r>
      <w:r w:rsidRPr="009625FF">
        <w:rPr>
          <w:rFonts w:ascii="Palatino Linotype" w:eastAsia="MS Mincho" w:hAnsi="Palatino Linotype"/>
          <w:i/>
          <w:lang w:val="es-ES_tradnl"/>
        </w:rPr>
        <w:t xml:space="preserve"> Cualquier acto u omisión que provoque la suspensión o deficiencia en la atención de las solicitudes de información;</w:t>
      </w:r>
    </w:p>
    <w:p w14:paraId="439FEDA7" w14:textId="77777777" w:rsidR="000C15E4" w:rsidRPr="009625FF" w:rsidRDefault="000C15E4" w:rsidP="000C15E4">
      <w:pPr>
        <w:ind w:left="567" w:right="616"/>
        <w:contextualSpacing/>
        <w:jc w:val="both"/>
        <w:rPr>
          <w:rFonts w:ascii="Palatino Linotype" w:eastAsia="MS Mincho" w:hAnsi="Palatino Linotype"/>
          <w:i/>
          <w:lang w:val="es-ES_tradnl"/>
        </w:rPr>
      </w:pPr>
      <w:r w:rsidRPr="009625FF">
        <w:rPr>
          <w:rFonts w:ascii="Palatino Linotype" w:eastAsia="MS Mincho" w:hAnsi="Palatino Linotype"/>
          <w:b/>
          <w:i/>
          <w:lang w:val="es-ES_tradnl"/>
        </w:rPr>
        <w:t>II.</w:t>
      </w:r>
      <w:r w:rsidRPr="009625FF">
        <w:rPr>
          <w:rFonts w:ascii="Palatino Linotype" w:eastAsia="MS Mincho" w:hAnsi="Palatino Linotype"/>
          <w:i/>
          <w:lang w:val="es-ES_tradnl"/>
        </w:rPr>
        <w:t xml:space="preserve"> La falta de respuesta a las solicitudes de información en los plazos señalados en la normatividad aplicable;</w:t>
      </w:r>
    </w:p>
    <w:p w14:paraId="696D0053" w14:textId="77777777" w:rsidR="000C15E4" w:rsidRPr="009625FF" w:rsidRDefault="000C15E4" w:rsidP="000C15E4">
      <w:pPr>
        <w:ind w:left="567" w:right="616"/>
        <w:contextualSpacing/>
        <w:jc w:val="both"/>
        <w:rPr>
          <w:rFonts w:ascii="Palatino Linotype" w:eastAsia="MS Mincho" w:hAnsi="Palatino Linotype"/>
          <w:i/>
          <w:lang w:val="es-ES_tradnl"/>
        </w:rPr>
      </w:pPr>
      <w:r w:rsidRPr="009625FF">
        <w:rPr>
          <w:rFonts w:ascii="Palatino Linotype" w:eastAsia="MS Mincho" w:hAnsi="Palatino Linotype"/>
          <w:i/>
          <w:lang w:val="es-ES_tradnl"/>
        </w:rPr>
        <w:t>(…)” (Sic)</w:t>
      </w:r>
    </w:p>
    <w:p w14:paraId="15B25622" w14:textId="77777777" w:rsidR="000C15E4" w:rsidRPr="009625FF" w:rsidRDefault="000C15E4" w:rsidP="000C15E4">
      <w:pPr>
        <w:spacing w:line="360" w:lineRule="auto"/>
        <w:jc w:val="both"/>
        <w:rPr>
          <w:rFonts w:ascii="Palatino Linotype" w:eastAsia="MS Mincho" w:hAnsi="Palatino Linotype"/>
          <w:lang w:val="es-ES_tradnl"/>
        </w:rPr>
      </w:pPr>
    </w:p>
    <w:p w14:paraId="759F11FE" w14:textId="77777777" w:rsidR="000C15E4" w:rsidRPr="000C15E4" w:rsidRDefault="000C15E4" w:rsidP="000C15E4">
      <w:pPr>
        <w:spacing w:line="360" w:lineRule="auto"/>
        <w:jc w:val="both"/>
        <w:rPr>
          <w:rFonts w:ascii="Palatino Linotype" w:eastAsia="MS Mincho" w:hAnsi="Palatino Linotype"/>
          <w:sz w:val="24"/>
          <w:lang w:val="es-ES_tradnl"/>
        </w:rPr>
      </w:pPr>
      <w:r w:rsidRPr="000C15E4">
        <w:rPr>
          <w:rFonts w:ascii="Palatino Linotype" w:eastAsia="MS Mincho" w:hAnsi="Palatino Linotype"/>
          <w:sz w:val="24"/>
          <w:lang w:val="es-ES_tradnl"/>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72822D97" w14:textId="77777777" w:rsidR="000C15E4" w:rsidRPr="009625FF" w:rsidRDefault="000C15E4" w:rsidP="000C15E4">
      <w:pPr>
        <w:pStyle w:val="Sinespaciado"/>
        <w:rPr>
          <w:rFonts w:eastAsia="MS Mincho"/>
        </w:rPr>
      </w:pPr>
    </w:p>
    <w:p w14:paraId="071BDE7D" w14:textId="77777777" w:rsidR="000C15E4" w:rsidRPr="009625FF" w:rsidRDefault="000C15E4" w:rsidP="000C15E4">
      <w:pPr>
        <w:ind w:left="567" w:right="616"/>
        <w:contextualSpacing/>
        <w:jc w:val="both"/>
        <w:rPr>
          <w:rFonts w:ascii="Palatino Linotype" w:eastAsia="MS Mincho" w:hAnsi="Palatino Linotype"/>
          <w:i/>
          <w:lang w:val="es-ES_tradnl"/>
        </w:rPr>
      </w:pPr>
      <w:r w:rsidRPr="009625FF">
        <w:rPr>
          <w:rFonts w:ascii="Palatino Linotype" w:eastAsia="MS Mincho" w:hAnsi="Palatino Linotype"/>
          <w:i/>
          <w:lang w:val="es-ES_tradnl"/>
        </w:rPr>
        <w:lastRenderedPageBreak/>
        <w:t>“</w:t>
      </w:r>
      <w:r w:rsidRPr="009625FF">
        <w:rPr>
          <w:rFonts w:ascii="Palatino Linotype" w:eastAsia="MS Mincho" w:hAnsi="Palatino Linotype"/>
          <w:b/>
          <w:i/>
          <w:lang w:val="es-ES_tradnl"/>
        </w:rPr>
        <w:t>Artículo 19.</w:t>
      </w:r>
      <w:r w:rsidRPr="009625FF">
        <w:rPr>
          <w:rFonts w:ascii="Palatino Linotype" w:eastAsia="MS Mincho" w:hAnsi="Palatino Linotype"/>
          <w:i/>
          <w:lang w:val="es-ES_tradnl"/>
        </w:rPr>
        <w:t xml:space="preserve"> Corresponde a la Secretaría Técnica del Pleno ejercer las atribuciones siguientes:</w:t>
      </w:r>
    </w:p>
    <w:p w14:paraId="533312C9" w14:textId="77777777" w:rsidR="000C15E4" w:rsidRPr="009625FF" w:rsidRDefault="000C15E4" w:rsidP="000C15E4">
      <w:pPr>
        <w:ind w:left="567" w:right="616"/>
        <w:contextualSpacing/>
        <w:jc w:val="both"/>
        <w:rPr>
          <w:rFonts w:ascii="Palatino Linotype" w:eastAsia="MS Mincho" w:hAnsi="Palatino Linotype"/>
          <w:i/>
          <w:lang w:val="es-ES_tradnl"/>
        </w:rPr>
      </w:pPr>
      <w:r w:rsidRPr="009625FF">
        <w:rPr>
          <w:rFonts w:ascii="Palatino Linotype" w:eastAsia="MS Mincho" w:hAnsi="Palatino Linotype"/>
          <w:i/>
          <w:lang w:val="es-ES_tradnl"/>
        </w:rPr>
        <w:t>(…)</w:t>
      </w:r>
    </w:p>
    <w:p w14:paraId="69649DC1" w14:textId="77777777" w:rsidR="000C15E4" w:rsidRPr="009625FF" w:rsidRDefault="000C15E4" w:rsidP="000C15E4">
      <w:pPr>
        <w:ind w:left="567" w:right="616"/>
        <w:contextualSpacing/>
        <w:jc w:val="both"/>
        <w:rPr>
          <w:rFonts w:ascii="Palatino Linotype" w:eastAsia="MS Mincho" w:hAnsi="Palatino Linotype"/>
          <w:i/>
          <w:lang w:val="es-ES_tradnl"/>
        </w:rPr>
      </w:pPr>
      <w:r w:rsidRPr="009625FF">
        <w:rPr>
          <w:rFonts w:ascii="Palatino Linotype" w:eastAsia="MS Mincho" w:hAnsi="Palatino Linotype"/>
          <w:b/>
          <w:i/>
          <w:lang w:val="es-ES_tradnl"/>
        </w:rPr>
        <w:t>XXVII.</w:t>
      </w:r>
      <w:r w:rsidRPr="009625FF">
        <w:rPr>
          <w:rFonts w:ascii="Palatino Linotype" w:eastAsia="MS Mincho" w:hAnsi="Palatino Linotype"/>
          <w:i/>
          <w:lang w:val="es-ES_tradnl"/>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5404F52A" w14:textId="77777777" w:rsidR="000C15E4" w:rsidRPr="009625FF" w:rsidRDefault="000C15E4" w:rsidP="000C15E4">
      <w:pPr>
        <w:spacing w:line="360" w:lineRule="auto"/>
        <w:jc w:val="both"/>
        <w:rPr>
          <w:rFonts w:ascii="Palatino Linotype" w:eastAsia="MS Mincho" w:hAnsi="Palatino Linotype"/>
          <w:lang w:val="es-ES_tradnl"/>
        </w:rPr>
      </w:pPr>
    </w:p>
    <w:p w14:paraId="5D3E365B" w14:textId="60821A27" w:rsidR="000C15E4" w:rsidRPr="000C15E4" w:rsidRDefault="000C15E4" w:rsidP="000C15E4">
      <w:pPr>
        <w:spacing w:line="360" w:lineRule="auto"/>
        <w:jc w:val="both"/>
        <w:rPr>
          <w:rFonts w:ascii="Palatino Linotype" w:eastAsia="MS Mincho" w:hAnsi="Palatino Linotype"/>
          <w:sz w:val="24"/>
          <w:lang w:val="es-ES_tradnl"/>
        </w:rPr>
      </w:pPr>
      <w:r w:rsidRPr="000C15E4">
        <w:rPr>
          <w:rFonts w:ascii="Palatino Linotype" w:eastAsia="MS Mincho" w:hAnsi="Palatino Linotype"/>
          <w:sz w:val="24"/>
          <w:lang w:val="es-ES_tradnl"/>
        </w:rPr>
        <w:t xml:space="preserve">Por lo que es menester en este asunto, dar vista a la Secretaría Técnica del Pleno a efecto de que ejerza las atribuciones previstas en la normatividad aplicable y comunique al  </w:t>
      </w:r>
      <w:r w:rsidRPr="009829FB">
        <w:rPr>
          <w:rFonts w:ascii="Palatino Linotype" w:eastAsia="MS Mincho" w:hAnsi="Palatino Linotype"/>
          <w:sz w:val="24"/>
          <w:lang w:val="es-ES_tradnl"/>
        </w:rPr>
        <w:t xml:space="preserve">Órgano </w:t>
      </w:r>
      <w:r w:rsidR="001C01EF" w:rsidRPr="009829FB">
        <w:rPr>
          <w:rFonts w:ascii="Palatino Linotype" w:eastAsia="MS Mincho" w:hAnsi="Palatino Linotype"/>
          <w:sz w:val="24"/>
          <w:lang w:val="es-ES_tradnl"/>
        </w:rPr>
        <w:t>Interno de Control</w:t>
      </w:r>
      <w:r w:rsidRPr="009829FB">
        <w:rPr>
          <w:rFonts w:ascii="Palatino Linotype" w:eastAsia="MS Mincho" w:hAnsi="Palatino Linotype"/>
          <w:sz w:val="24"/>
          <w:lang w:val="es-ES_tradnl"/>
        </w:rPr>
        <w:t xml:space="preserve"> competente</w:t>
      </w:r>
      <w:r w:rsidRPr="000C15E4">
        <w:rPr>
          <w:rFonts w:ascii="Palatino Linotype" w:eastAsia="MS Mincho" w:hAnsi="Palatino Linotype"/>
          <w:sz w:val="24"/>
          <w:lang w:val="es-ES_tradnl"/>
        </w:rPr>
        <w:t xml:space="preserv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36B822B1" w14:textId="77777777" w:rsidR="000C15E4" w:rsidRPr="000C15E4" w:rsidRDefault="000C15E4" w:rsidP="000C15E4">
      <w:pPr>
        <w:autoSpaceDE w:val="0"/>
        <w:autoSpaceDN w:val="0"/>
        <w:adjustRightInd w:val="0"/>
        <w:spacing w:line="360" w:lineRule="auto"/>
        <w:jc w:val="both"/>
        <w:rPr>
          <w:rFonts w:ascii="Palatino Linotype" w:hAnsi="Palatino Linotype" w:cs="Arial"/>
          <w:sz w:val="24"/>
        </w:rPr>
      </w:pPr>
    </w:p>
    <w:p w14:paraId="5117ADC7" w14:textId="5382EC94" w:rsidR="000C15E4" w:rsidRPr="000C15E4" w:rsidRDefault="000C15E4" w:rsidP="000C15E4">
      <w:pPr>
        <w:autoSpaceDE w:val="0"/>
        <w:autoSpaceDN w:val="0"/>
        <w:adjustRightInd w:val="0"/>
        <w:spacing w:line="360" w:lineRule="auto"/>
        <w:jc w:val="both"/>
        <w:rPr>
          <w:rFonts w:ascii="Palatino Linotype" w:hAnsi="Palatino Linotype" w:cs="Arial"/>
          <w:sz w:val="24"/>
        </w:rPr>
      </w:pPr>
      <w:r w:rsidRPr="000C15E4">
        <w:rPr>
          <w:rFonts w:ascii="Palatino Linotype" w:hAnsi="Palatino Linotype" w:cs="Arial"/>
          <w:sz w:val="24"/>
        </w:rPr>
        <w:t xml:space="preserve">Por lo tanto, en mérito de lo expuesto en líneas anteriores, con fundamento en la fracción IV, del artículo 186, de la Ley de Transparencia y Acceso a la Información Pública del Estado de México y Municipios, se </w:t>
      </w:r>
      <w:r w:rsidRPr="000C15E4">
        <w:rPr>
          <w:rFonts w:ascii="Palatino Linotype" w:hAnsi="Palatino Linotype" w:cs="Arial"/>
          <w:b/>
          <w:sz w:val="24"/>
        </w:rPr>
        <w:t>ORDENA</w:t>
      </w:r>
      <w:r w:rsidRPr="000C15E4">
        <w:rPr>
          <w:rFonts w:ascii="Palatino Linotype" w:hAnsi="Palatino Linotype" w:cs="Arial"/>
          <w:sz w:val="24"/>
        </w:rPr>
        <w:t xml:space="preserve"> al </w:t>
      </w:r>
      <w:r w:rsidRPr="000C15E4">
        <w:rPr>
          <w:rFonts w:ascii="Palatino Linotype" w:hAnsi="Palatino Linotype" w:cs="Arial"/>
          <w:b/>
          <w:sz w:val="24"/>
        </w:rPr>
        <w:t>Sujeto Obligado</w:t>
      </w:r>
      <w:r w:rsidRPr="000C15E4">
        <w:rPr>
          <w:rFonts w:ascii="Palatino Linotype" w:hAnsi="Palatino Linotype" w:cs="Arial"/>
          <w:sz w:val="24"/>
        </w:rPr>
        <w:t xml:space="preserve">, atienda las solicitudes de información </w:t>
      </w:r>
      <w:r w:rsidRPr="000C15E4">
        <w:rPr>
          <w:rFonts w:ascii="Palatino Linotype" w:hAnsi="Palatino Linotype" w:cs="Arial"/>
          <w:b/>
          <w:sz w:val="24"/>
          <w:szCs w:val="23"/>
        </w:rPr>
        <w:t>00192/CAPULHUA/IP/2023</w:t>
      </w:r>
      <w:r w:rsidRPr="000C15E4">
        <w:rPr>
          <w:rFonts w:ascii="Palatino Linotype" w:hAnsi="Palatino Linotype" w:cs="Arial"/>
          <w:sz w:val="24"/>
        </w:rPr>
        <w:t>, que ha sido materia del presente fallo.</w:t>
      </w:r>
    </w:p>
    <w:p w14:paraId="14727E17" w14:textId="77777777" w:rsidR="000C15E4" w:rsidRPr="009625FF" w:rsidRDefault="000C15E4" w:rsidP="000C15E4">
      <w:pPr>
        <w:autoSpaceDE w:val="0"/>
        <w:autoSpaceDN w:val="0"/>
        <w:adjustRightInd w:val="0"/>
        <w:spacing w:line="360" w:lineRule="auto"/>
        <w:jc w:val="both"/>
        <w:rPr>
          <w:rFonts w:ascii="Palatino Linotype" w:hAnsi="Palatino Linotype" w:cs="Arial"/>
        </w:rPr>
      </w:pPr>
    </w:p>
    <w:p w14:paraId="075C072F" w14:textId="77777777" w:rsidR="000C15E4" w:rsidRPr="009625FF" w:rsidRDefault="000C15E4" w:rsidP="000C15E4">
      <w:pPr>
        <w:autoSpaceDE w:val="0"/>
        <w:autoSpaceDN w:val="0"/>
        <w:adjustRightInd w:val="0"/>
        <w:spacing w:line="360" w:lineRule="auto"/>
        <w:jc w:val="both"/>
        <w:rPr>
          <w:rFonts w:ascii="Palatino Linotype" w:hAnsi="Palatino Linotype"/>
        </w:rPr>
      </w:pPr>
      <w:r w:rsidRPr="009625FF">
        <w:rPr>
          <w:rFonts w:ascii="Palatino Linotype" w:hAnsi="Palatino Linotype"/>
        </w:rPr>
        <w:t>Por lo antes expuesto y fundado es de resolverse y;</w:t>
      </w:r>
    </w:p>
    <w:p w14:paraId="708C4CD8" w14:textId="77777777" w:rsidR="000C15E4" w:rsidRPr="009625FF" w:rsidRDefault="000C15E4" w:rsidP="000C15E4">
      <w:pPr>
        <w:rPr>
          <w:rStyle w:val="Refdenotaalpie"/>
        </w:rPr>
      </w:pPr>
    </w:p>
    <w:p w14:paraId="516CF234" w14:textId="77777777" w:rsidR="000C15E4" w:rsidRPr="009625FF" w:rsidRDefault="000C15E4" w:rsidP="000C15E4">
      <w:pPr>
        <w:spacing w:line="360" w:lineRule="auto"/>
        <w:ind w:right="-234"/>
        <w:jc w:val="center"/>
        <w:rPr>
          <w:rFonts w:ascii="Palatino Linotype" w:hAnsi="Palatino Linotype"/>
          <w:b/>
          <w:sz w:val="28"/>
          <w:lang w:val="pt-BR"/>
        </w:rPr>
      </w:pPr>
      <w:r w:rsidRPr="009625FF">
        <w:rPr>
          <w:rFonts w:ascii="Palatino Linotype" w:hAnsi="Palatino Linotype"/>
          <w:b/>
          <w:sz w:val="28"/>
          <w:lang w:val="pt-BR"/>
        </w:rPr>
        <w:t>S E     R E S U E L V E</w:t>
      </w:r>
    </w:p>
    <w:p w14:paraId="5B9498EB" w14:textId="77777777" w:rsidR="000C15E4" w:rsidRPr="009625FF" w:rsidRDefault="000C15E4" w:rsidP="000C15E4">
      <w:pPr>
        <w:pStyle w:val="Sinespaciado"/>
      </w:pPr>
    </w:p>
    <w:p w14:paraId="6EBB5C04" w14:textId="441F3660" w:rsidR="000C15E4" w:rsidRPr="009625FF" w:rsidRDefault="000C15E4" w:rsidP="000C15E4">
      <w:pPr>
        <w:autoSpaceDE w:val="0"/>
        <w:autoSpaceDN w:val="0"/>
        <w:adjustRightInd w:val="0"/>
        <w:spacing w:line="360" w:lineRule="auto"/>
        <w:ind w:right="49"/>
        <w:jc w:val="both"/>
        <w:rPr>
          <w:rFonts w:ascii="Palatino Linotype" w:hAnsi="Palatino Linotype" w:cs="Arial"/>
        </w:rPr>
      </w:pPr>
      <w:r w:rsidRPr="009625FF">
        <w:rPr>
          <w:rFonts w:ascii="Palatino Linotype" w:hAnsi="Palatino Linotype" w:cs="Arial"/>
          <w:b/>
          <w:sz w:val="28"/>
          <w:szCs w:val="28"/>
          <w:lang w:val="es-ES_tradnl"/>
        </w:rPr>
        <w:t>PRIMERO.</w:t>
      </w:r>
      <w:r w:rsidRPr="009625FF">
        <w:rPr>
          <w:rFonts w:ascii="Palatino Linotype" w:hAnsi="Palatino Linotype" w:cs="Arial"/>
        </w:rPr>
        <w:t xml:space="preserve"> </w:t>
      </w:r>
      <w:r w:rsidRPr="000C15E4">
        <w:rPr>
          <w:rFonts w:ascii="Palatino Linotype" w:hAnsi="Palatino Linotype" w:cs="Arial"/>
          <w:sz w:val="24"/>
        </w:rPr>
        <w:t xml:space="preserve">Resultan fundadas las razones o motivos de inconformidad hechos valer por la parte </w:t>
      </w:r>
      <w:r w:rsidRPr="000C15E4">
        <w:rPr>
          <w:rFonts w:ascii="Palatino Linotype" w:hAnsi="Palatino Linotype" w:cs="Arial"/>
          <w:b/>
          <w:sz w:val="24"/>
        </w:rPr>
        <w:t>Recurrente,</w:t>
      </w:r>
      <w:r w:rsidRPr="000C15E4">
        <w:rPr>
          <w:rFonts w:ascii="Palatino Linotype" w:hAnsi="Palatino Linotype" w:cs="Arial"/>
          <w:sz w:val="24"/>
        </w:rPr>
        <w:t xml:space="preserve"> en términos del Considerando </w:t>
      </w:r>
      <w:r w:rsidR="00931832">
        <w:rPr>
          <w:rFonts w:ascii="Palatino Linotype" w:hAnsi="Palatino Linotype" w:cs="Arial"/>
          <w:b/>
          <w:sz w:val="24"/>
        </w:rPr>
        <w:t>QUINTO</w:t>
      </w:r>
      <w:r w:rsidRPr="000C15E4">
        <w:rPr>
          <w:rFonts w:ascii="Palatino Linotype" w:hAnsi="Palatino Linotype" w:cs="Arial"/>
          <w:b/>
          <w:sz w:val="24"/>
        </w:rPr>
        <w:t xml:space="preserve"> </w:t>
      </w:r>
      <w:r w:rsidRPr="000C15E4">
        <w:rPr>
          <w:rFonts w:ascii="Palatino Linotype" w:hAnsi="Palatino Linotype" w:cs="Arial"/>
          <w:sz w:val="24"/>
        </w:rPr>
        <w:t>de la presente resolución.</w:t>
      </w:r>
    </w:p>
    <w:p w14:paraId="24C5EDD5" w14:textId="77777777" w:rsidR="000C15E4" w:rsidRPr="009625FF" w:rsidRDefault="000C15E4" w:rsidP="000C15E4">
      <w:pPr>
        <w:spacing w:line="360" w:lineRule="auto"/>
        <w:jc w:val="both"/>
        <w:rPr>
          <w:rFonts w:ascii="Palatino Linotype" w:hAnsi="Palatino Linotype" w:cs="Calibri"/>
          <w:b/>
          <w:bCs/>
          <w:color w:val="222222"/>
          <w:shd w:val="clear" w:color="auto" w:fill="FFFFFF"/>
          <w:lang w:val="es-ES_tradnl"/>
        </w:rPr>
      </w:pPr>
    </w:p>
    <w:p w14:paraId="5841B8E7" w14:textId="6EBD3CA1" w:rsidR="000C15E4" w:rsidRPr="009625FF" w:rsidRDefault="000C15E4" w:rsidP="000C15E4">
      <w:pPr>
        <w:spacing w:line="360" w:lineRule="auto"/>
        <w:jc w:val="both"/>
        <w:rPr>
          <w:rFonts w:ascii="Palatino Linotype" w:hAnsi="Palatino Linotype"/>
          <w:color w:val="222222"/>
          <w:shd w:val="clear" w:color="auto" w:fill="FFFFFF"/>
        </w:rPr>
      </w:pPr>
      <w:r w:rsidRPr="009625FF">
        <w:rPr>
          <w:rFonts w:ascii="Palatino Linotype" w:hAnsi="Palatino Linotype" w:cs="Calibri"/>
          <w:b/>
          <w:bCs/>
          <w:color w:val="222222"/>
          <w:sz w:val="28"/>
          <w:shd w:val="clear" w:color="auto" w:fill="FFFFFF"/>
          <w:lang w:val="es-ES_tradnl"/>
        </w:rPr>
        <w:t>SEGUNDO</w:t>
      </w:r>
      <w:r w:rsidRPr="009625FF">
        <w:rPr>
          <w:rFonts w:ascii="Palatino Linotype" w:hAnsi="Palatino Linotype"/>
          <w:color w:val="222222"/>
          <w:sz w:val="28"/>
          <w:shd w:val="clear" w:color="auto" w:fill="FFFFFF"/>
        </w:rPr>
        <w:t>.</w:t>
      </w:r>
      <w:r w:rsidRPr="009625FF">
        <w:rPr>
          <w:rFonts w:ascii="Palatino Linotype" w:hAnsi="Palatino Linotype"/>
          <w:color w:val="222222"/>
          <w:shd w:val="clear" w:color="auto" w:fill="FFFFFF"/>
        </w:rPr>
        <w:t> </w:t>
      </w:r>
      <w:r w:rsidRPr="000C15E4">
        <w:rPr>
          <w:rFonts w:ascii="Palatino Linotype" w:hAnsi="Palatino Linotype"/>
          <w:color w:val="222222"/>
          <w:sz w:val="24"/>
          <w:shd w:val="clear" w:color="auto" w:fill="FFFFFF"/>
        </w:rPr>
        <w:t>Se</w:t>
      </w:r>
      <w:r w:rsidRPr="000C15E4">
        <w:rPr>
          <w:rFonts w:ascii="Palatino Linotype" w:hAnsi="Palatino Linotype"/>
          <w:b/>
          <w:bCs/>
          <w:color w:val="222222"/>
          <w:sz w:val="24"/>
          <w:shd w:val="clear" w:color="auto" w:fill="FFFFFF"/>
        </w:rPr>
        <w:t> </w:t>
      </w:r>
      <w:r w:rsidRPr="000C15E4">
        <w:rPr>
          <w:rFonts w:ascii="Palatino Linotype" w:hAnsi="Palatino Linotype"/>
          <w:b/>
          <w:bCs/>
          <w:sz w:val="24"/>
          <w:shd w:val="clear" w:color="auto" w:fill="FFFFFF"/>
        </w:rPr>
        <w:t>ORDENA</w:t>
      </w:r>
      <w:r w:rsidRPr="000C15E4">
        <w:rPr>
          <w:rFonts w:ascii="Palatino Linotype" w:hAnsi="Palatino Linotype"/>
          <w:b/>
          <w:bCs/>
          <w:color w:val="222222"/>
          <w:sz w:val="24"/>
          <w:shd w:val="clear" w:color="auto" w:fill="FFFFFF"/>
        </w:rPr>
        <w:t> </w:t>
      </w:r>
      <w:r w:rsidRPr="000C15E4">
        <w:rPr>
          <w:rFonts w:ascii="Palatino Linotype" w:hAnsi="Palatino Linotype"/>
          <w:color w:val="222222"/>
          <w:sz w:val="24"/>
          <w:shd w:val="clear" w:color="auto" w:fill="FFFFFF"/>
        </w:rPr>
        <w:t xml:space="preserve">al </w:t>
      </w:r>
      <w:r w:rsidRPr="000C15E4">
        <w:rPr>
          <w:rFonts w:ascii="Palatino Linotype" w:hAnsi="Palatino Linotype"/>
          <w:b/>
          <w:color w:val="222222"/>
          <w:sz w:val="24"/>
          <w:shd w:val="clear" w:color="auto" w:fill="FFFFFF"/>
        </w:rPr>
        <w:t>Sujeto Obligado</w:t>
      </w:r>
      <w:r w:rsidRPr="000C15E4">
        <w:rPr>
          <w:rFonts w:ascii="Palatino Linotype" w:hAnsi="Palatino Linotype"/>
          <w:color w:val="222222"/>
          <w:sz w:val="24"/>
          <w:shd w:val="clear" w:color="auto" w:fill="FFFFFF"/>
        </w:rPr>
        <w:t>, atienda la solicitud de información número</w:t>
      </w:r>
      <w:r w:rsidRPr="000C15E4">
        <w:rPr>
          <w:rFonts w:ascii="Palatino Linotype" w:hAnsi="Palatino Linotype"/>
          <w:b/>
          <w:bCs/>
          <w:color w:val="222222"/>
          <w:sz w:val="24"/>
          <w:shd w:val="clear" w:color="auto" w:fill="FFFFFF"/>
        </w:rPr>
        <w:t xml:space="preserve"> </w:t>
      </w:r>
      <w:r w:rsidRPr="000C15E4">
        <w:rPr>
          <w:rFonts w:ascii="Palatino Linotype" w:hAnsi="Palatino Linotype" w:cs="Arial"/>
          <w:b/>
          <w:sz w:val="24"/>
          <w:szCs w:val="23"/>
        </w:rPr>
        <w:t>00192/CAPULHUA/IP/2023</w:t>
      </w:r>
      <w:r w:rsidRPr="000C15E4">
        <w:rPr>
          <w:rFonts w:ascii="Palatino Linotype" w:hAnsi="Palatino Linotype"/>
          <w:color w:val="222222"/>
          <w:sz w:val="24"/>
          <w:shd w:val="clear" w:color="auto" w:fill="FFFFFF"/>
        </w:rPr>
        <w:t xml:space="preserve">, en términos del Considerando </w:t>
      </w:r>
      <w:r w:rsidR="00931832">
        <w:rPr>
          <w:rFonts w:ascii="Palatino Linotype" w:hAnsi="Palatino Linotype"/>
          <w:b/>
          <w:color w:val="222222"/>
          <w:sz w:val="24"/>
          <w:shd w:val="clear" w:color="auto" w:fill="FFFFFF"/>
        </w:rPr>
        <w:t>QUINTO</w:t>
      </w:r>
      <w:r w:rsidRPr="000C15E4">
        <w:rPr>
          <w:rFonts w:ascii="Palatino Linotype" w:hAnsi="Palatino Linotype"/>
          <w:color w:val="222222"/>
          <w:sz w:val="24"/>
          <w:shd w:val="clear" w:color="auto" w:fill="FFFFFF"/>
        </w:rPr>
        <w:t xml:space="preserve"> de esta resolución, vía Sistema de Acceso a la Información Mexiquense </w:t>
      </w:r>
      <w:r w:rsidRPr="000C15E4">
        <w:rPr>
          <w:rFonts w:ascii="Palatino Linotype" w:hAnsi="Palatino Linotype"/>
          <w:b/>
          <w:color w:val="222222"/>
          <w:sz w:val="24"/>
          <w:shd w:val="clear" w:color="auto" w:fill="FFFFFF"/>
        </w:rPr>
        <w:t>(SAIMEX)</w:t>
      </w:r>
      <w:r w:rsidRPr="000C15E4">
        <w:rPr>
          <w:rFonts w:ascii="Palatino Linotype" w:hAnsi="Palatino Linotype"/>
          <w:color w:val="222222"/>
          <w:sz w:val="24"/>
          <w:shd w:val="clear" w:color="auto" w:fill="FFFFFF"/>
        </w:rPr>
        <w:t>.</w:t>
      </w:r>
    </w:p>
    <w:p w14:paraId="6C5F5C6B" w14:textId="77777777" w:rsidR="000C15E4" w:rsidRPr="009625FF" w:rsidRDefault="000C15E4" w:rsidP="000C15E4">
      <w:pPr>
        <w:spacing w:line="360" w:lineRule="auto"/>
        <w:jc w:val="both"/>
        <w:rPr>
          <w:rFonts w:ascii="Palatino Linotype" w:hAnsi="Palatino Linotype"/>
          <w:color w:val="222222"/>
          <w:shd w:val="clear" w:color="auto" w:fill="FFFFFF"/>
        </w:rPr>
      </w:pPr>
    </w:p>
    <w:p w14:paraId="2169614B" w14:textId="77777777" w:rsidR="000C15E4" w:rsidRPr="009625FF" w:rsidRDefault="000C15E4" w:rsidP="000C15E4">
      <w:pPr>
        <w:autoSpaceDE w:val="0"/>
        <w:autoSpaceDN w:val="0"/>
        <w:adjustRightInd w:val="0"/>
        <w:spacing w:line="360" w:lineRule="auto"/>
        <w:ind w:right="49"/>
        <w:jc w:val="both"/>
        <w:rPr>
          <w:rFonts w:ascii="Palatino Linotype" w:hAnsi="Palatino Linotype" w:cs="Arial"/>
          <w:szCs w:val="28"/>
          <w:lang w:val="es-ES_tradnl"/>
        </w:rPr>
      </w:pPr>
      <w:r w:rsidRPr="009625FF">
        <w:rPr>
          <w:rFonts w:ascii="Palatino Linotype" w:hAnsi="Palatino Linotype" w:cs="Arial"/>
          <w:b/>
          <w:sz w:val="28"/>
        </w:rPr>
        <w:t xml:space="preserve">TERCERO. </w:t>
      </w:r>
      <w:r w:rsidRPr="000C15E4">
        <w:rPr>
          <w:rFonts w:ascii="Palatino Linotype" w:hAnsi="Palatino Linotype" w:cs="Arial"/>
          <w:b/>
          <w:sz w:val="24"/>
          <w:szCs w:val="28"/>
          <w:lang w:val="es-ES_tradnl"/>
        </w:rPr>
        <w:t xml:space="preserve">NOTIFÍQUESE </w:t>
      </w:r>
      <w:r w:rsidRPr="000C15E4">
        <w:rPr>
          <w:rFonts w:ascii="Palatino Linotype" w:hAnsi="Palatino Linotype" w:cs="Arial"/>
          <w:sz w:val="24"/>
          <w:szCs w:val="28"/>
          <w:lang w:val="es-ES_tradnl"/>
        </w:rPr>
        <w:t xml:space="preserve">la presente resolución </w:t>
      </w:r>
      <w:r w:rsidRPr="000C15E4">
        <w:rPr>
          <w:rFonts w:ascii="Palatino Linotype" w:hAnsi="Palatino Linotype" w:cs="Arial"/>
          <w:sz w:val="24"/>
        </w:rPr>
        <w:t xml:space="preserve">a través del Sistema de Acceso a la Información Mexiquense </w:t>
      </w:r>
      <w:r w:rsidRPr="000C15E4">
        <w:rPr>
          <w:rFonts w:ascii="Palatino Linotype" w:hAnsi="Palatino Linotype" w:cs="Arial"/>
          <w:b/>
          <w:sz w:val="24"/>
        </w:rPr>
        <w:t>(SAIMEX)</w:t>
      </w:r>
      <w:r w:rsidRPr="000C15E4">
        <w:rPr>
          <w:rFonts w:ascii="Palatino Linotype" w:hAnsi="Palatino Linotype" w:cs="Arial"/>
          <w:sz w:val="24"/>
          <w:szCs w:val="28"/>
          <w:lang w:val="es-ES_tradnl"/>
        </w:rPr>
        <w:t xml:space="preserve"> al Titular de la Unidad de Transparencia del </w:t>
      </w:r>
      <w:r w:rsidRPr="000C15E4">
        <w:rPr>
          <w:rFonts w:ascii="Palatino Linotype" w:hAnsi="Palatino Linotype" w:cs="Arial"/>
          <w:b/>
          <w:sz w:val="24"/>
          <w:szCs w:val="28"/>
          <w:lang w:val="es-ES_tradnl"/>
        </w:rPr>
        <w:t>Sujeto Obligado</w:t>
      </w:r>
      <w:r w:rsidRPr="000C15E4">
        <w:rPr>
          <w:rFonts w:ascii="Palatino Linotype" w:hAnsi="Palatino Linotype" w:cs="Arial"/>
          <w:sz w:val="24"/>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Pr="000C15E4">
        <w:rPr>
          <w:rFonts w:ascii="Palatino Linotype" w:hAnsi="Palatino Linotype" w:cs="Arial"/>
          <w:sz w:val="24"/>
          <w:szCs w:val="28"/>
          <w:lang w:val="es-ES_tradnl"/>
        </w:rPr>
        <w:lastRenderedPageBreak/>
        <w:t>y 216 de la Ley  de Transparencia y Acceso a la Información Pública del Estado de México y Municipios.</w:t>
      </w:r>
    </w:p>
    <w:p w14:paraId="62C64DCA" w14:textId="77777777" w:rsidR="000C15E4" w:rsidRPr="009625FF" w:rsidRDefault="000C15E4" w:rsidP="000C15E4">
      <w:pPr>
        <w:autoSpaceDE w:val="0"/>
        <w:autoSpaceDN w:val="0"/>
        <w:adjustRightInd w:val="0"/>
        <w:spacing w:line="360" w:lineRule="auto"/>
        <w:jc w:val="both"/>
        <w:rPr>
          <w:rFonts w:ascii="Palatino Linotype" w:hAnsi="Palatino Linotype" w:cs="Arial"/>
        </w:rPr>
      </w:pPr>
    </w:p>
    <w:p w14:paraId="6CA32C86" w14:textId="77777777" w:rsidR="000C15E4" w:rsidRPr="009625FF" w:rsidRDefault="000C15E4" w:rsidP="000C15E4">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b/>
          <w:sz w:val="28"/>
        </w:rPr>
        <w:t xml:space="preserve">CUARTO. </w:t>
      </w:r>
      <w:r w:rsidRPr="000C15E4">
        <w:rPr>
          <w:rFonts w:ascii="Palatino Linotype" w:hAnsi="Palatino Linotype" w:cs="Arial"/>
          <w:b/>
          <w:sz w:val="24"/>
        </w:rPr>
        <w:t xml:space="preserve">NOTIFÍQUESE </w:t>
      </w:r>
      <w:r w:rsidRPr="000C15E4">
        <w:rPr>
          <w:rFonts w:ascii="Palatino Linotype" w:hAnsi="Palatino Linotype" w:cs="Arial"/>
          <w:sz w:val="24"/>
        </w:rPr>
        <w:t xml:space="preserve">a la parte </w:t>
      </w:r>
      <w:r w:rsidRPr="000C15E4">
        <w:rPr>
          <w:rFonts w:ascii="Palatino Linotype" w:hAnsi="Palatino Linotype" w:cs="Arial"/>
          <w:b/>
          <w:sz w:val="24"/>
        </w:rPr>
        <w:t xml:space="preserve">Recurrente </w:t>
      </w:r>
      <w:r w:rsidRPr="000C15E4">
        <w:rPr>
          <w:rFonts w:ascii="Palatino Linotype" w:hAnsi="Palatino Linotype" w:cs="Arial"/>
          <w:sz w:val="24"/>
        </w:rPr>
        <w:t>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AF01155" w14:textId="77777777" w:rsidR="000C15E4" w:rsidRPr="009625FF" w:rsidRDefault="000C15E4" w:rsidP="000C15E4">
      <w:pPr>
        <w:autoSpaceDE w:val="0"/>
        <w:autoSpaceDN w:val="0"/>
        <w:adjustRightInd w:val="0"/>
        <w:spacing w:line="360" w:lineRule="auto"/>
        <w:jc w:val="both"/>
        <w:rPr>
          <w:rFonts w:ascii="Palatino Linotype" w:hAnsi="Palatino Linotype" w:cs="Arial"/>
        </w:rPr>
      </w:pPr>
    </w:p>
    <w:p w14:paraId="76D5BF12" w14:textId="04542F6A" w:rsidR="000C15E4" w:rsidRPr="009625FF" w:rsidRDefault="000C15E4" w:rsidP="000C15E4">
      <w:pPr>
        <w:spacing w:line="360" w:lineRule="auto"/>
        <w:jc w:val="both"/>
        <w:rPr>
          <w:rFonts w:ascii="Palatino Linotype" w:hAnsi="Palatino Linotype" w:cstheme="minorHAnsi"/>
          <w:bCs/>
          <w:lang w:val="es-ES_tradnl"/>
        </w:rPr>
      </w:pPr>
      <w:r w:rsidRPr="009625FF">
        <w:rPr>
          <w:rFonts w:ascii="Palatino Linotype" w:hAnsi="Palatino Linotype" w:cs="Arial"/>
          <w:b/>
          <w:sz w:val="28"/>
        </w:rPr>
        <w:t xml:space="preserve">QUINTO. </w:t>
      </w:r>
      <w:r w:rsidRPr="000C15E4">
        <w:rPr>
          <w:rFonts w:ascii="Palatino Linotype" w:hAnsi="Palatino Linotype" w:cstheme="minorHAnsi"/>
          <w:b/>
          <w:sz w:val="24"/>
          <w:lang w:val="es-ES_tradnl"/>
        </w:rPr>
        <w:t xml:space="preserve">GÍRESE </w:t>
      </w:r>
      <w:r w:rsidRPr="000C15E4">
        <w:rPr>
          <w:rFonts w:ascii="Palatino Linotype" w:hAnsi="Palatino Linotype" w:cstheme="minorHAnsi"/>
          <w:bCs/>
          <w:sz w:val="24"/>
          <w:lang w:val="es-ES_tradnl"/>
        </w:rPr>
        <w:t xml:space="preserve">oficio a la Secretaría Técnica del Pleno de este Instituto para hacer del conocimiento del </w:t>
      </w:r>
      <w:r w:rsidRPr="009829FB">
        <w:rPr>
          <w:rFonts w:ascii="Palatino Linotype" w:hAnsi="Palatino Linotype" w:cstheme="minorHAnsi"/>
          <w:bCs/>
          <w:sz w:val="24"/>
          <w:lang w:val="es-ES_tradnl"/>
        </w:rPr>
        <w:t xml:space="preserve">Órgano </w:t>
      </w:r>
      <w:r w:rsidR="001C01EF" w:rsidRPr="009829FB">
        <w:rPr>
          <w:rFonts w:ascii="Palatino Linotype" w:hAnsi="Palatino Linotype" w:cstheme="minorHAnsi"/>
          <w:bCs/>
          <w:sz w:val="24"/>
          <w:lang w:val="es-ES_tradnl"/>
        </w:rPr>
        <w:t>Interno de Control</w:t>
      </w:r>
      <w:r w:rsidRPr="000C15E4">
        <w:rPr>
          <w:rFonts w:ascii="Palatino Linotype" w:hAnsi="Palatino Linotype" w:cstheme="minorHAnsi"/>
          <w:bCs/>
          <w:sz w:val="24"/>
          <w:lang w:val="es-ES_tradnl"/>
        </w:rPr>
        <w:t xml:space="preserve"> de la instancia competente la presente resolución, a fin de que de conformidad con el artículo 190, de la Ley de Transparencia y Acceso a la Información Pública del Estado de México y Municipios se determine lo conducente, en términos de lo señalado en el Considerando </w:t>
      </w:r>
      <w:r w:rsidR="00931832">
        <w:rPr>
          <w:rFonts w:ascii="Palatino Linotype" w:hAnsi="Palatino Linotype" w:cstheme="minorHAnsi"/>
          <w:b/>
          <w:sz w:val="24"/>
          <w:lang w:val="es-ES_tradnl"/>
        </w:rPr>
        <w:t>QUINTO</w:t>
      </w:r>
      <w:r w:rsidRPr="000C15E4">
        <w:rPr>
          <w:rFonts w:ascii="Palatino Linotype" w:hAnsi="Palatino Linotype" w:cstheme="minorHAnsi"/>
          <w:bCs/>
          <w:sz w:val="24"/>
          <w:lang w:val="es-ES_tradnl"/>
        </w:rPr>
        <w:t xml:space="preserve"> de la presente resolución.</w:t>
      </w:r>
    </w:p>
    <w:p w14:paraId="0110038A" w14:textId="77777777" w:rsidR="000C15E4" w:rsidRPr="009625FF" w:rsidRDefault="000C15E4" w:rsidP="000C15E4">
      <w:pPr>
        <w:spacing w:line="360" w:lineRule="auto"/>
        <w:jc w:val="both"/>
        <w:rPr>
          <w:rFonts w:ascii="Palatino Linotype" w:hAnsi="Palatino Linotype" w:cstheme="minorHAnsi"/>
          <w:bCs/>
          <w:lang w:val="es-ES_tradnl"/>
        </w:rPr>
      </w:pPr>
    </w:p>
    <w:p w14:paraId="14488537" w14:textId="00E21FE5" w:rsidR="0051753E" w:rsidRPr="00DB6E06" w:rsidRDefault="000C15E4" w:rsidP="000C15E4">
      <w:pPr>
        <w:spacing w:after="0" w:line="360" w:lineRule="auto"/>
        <w:jc w:val="both"/>
        <w:rPr>
          <w:rFonts w:ascii="Palatino Linotype" w:eastAsia="Times New Roman" w:hAnsi="Palatino Linotype" w:cs="Times New Roman"/>
          <w:sz w:val="24"/>
          <w:szCs w:val="24"/>
          <w:lang w:eastAsia="es-ES_tradnl"/>
        </w:rPr>
      </w:pPr>
      <w:r w:rsidRPr="009625FF">
        <w:rPr>
          <w:rFonts w:ascii="Palatino Linotype" w:eastAsia="Calibri" w:hAnsi="Palatino Linotype" w:cs="Tahoma"/>
          <w:b/>
          <w:bCs/>
          <w:iCs/>
          <w:sz w:val="28"/>
          <w:lang w:eastAsia="es-ES_tradnl"/>
        </w:rPr>
        <w:t>SEXTO.</w:t>
      </w:r>
      <w:r w:rsidRPr="009625FF">
        <w:rPr>
          <w:rFonts w:ascii="Palatino Linotype" w:eastAsia="Calibri" w:hAnsi="Palatino Linotype" w:cs="Tahoma"/>
          <w:bCs/>
          <w:iCs/>
          <w:sz w:val="28"/>
          <w:lang w:eastAsia="es-ES_tradnl"/>
        </w:rPr>
        <w:t xml:space="preserve"> </w:t>
      </w:r>
      <w:r w:rsidRPr="000C15E4">
        <w:rPr>
          <w:rFonts w:ascii="Palatino Linotype" w:eastAsia="Calibri" w:hAnsi="Palatino Linotype" w:cs="Tahoma"/>
          <w:bCs/>
          <w:iCs/>
          <w:sz w:val="24"/>
          <w:lang w:eastAsia="es-ES_tradnl"/>
        </w:rPr>
        <w:t xml:space="preserve">Se hace del conocimiento de la parte </w:t>
      </w:r>
      <w:r w:rsidRPr="000C15E4">
        <w:rPr>
          <w:rFonts w:ascii="Palatino Linotype" w:eastAsia="Calibri" w:hAnsi="Palatino Linotype" w:cs="Tahoma"/>
          <w:b/>
          <w:bCs/>
          <w:iCs/>
          <w:sz w:val="24"/>
          <w:lang w:eastAsia="es-ES_tradnl"/>
        </w:rPr>
        <w:t xml:space="preserve">Recurrente </w:t>
      </w:r>
      <w:r w:rsidRPr="000C15E4">
        <w:rPr>
          <w:rFonts w:ascii="Palatino Linotype" w:eastAsia="Calibri" w:hAnsi="Palatino Linotype" w:cs="Tahoma"/>
          <w:bCs/>
          <w:iCs/>
          <w:sz w:val="24"/>
          <w:lang w:eastAsia="es-ES_tradnl"/>
        </w:rPr>
        <w:t xml:space="preserve">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0C15E4">
        <w:rPr>
          <w:rFonts w:ascii="Palatino Linotype" w:eastAsia="Calibri" w:hAnsi="Palatino Linotype" w:cs="Tahoma"/>
          <w:b/>
          <w:bCs/>
          <w:iCs/>
          <w:sz w:val="24"/>
          <w:lang w:eastAsia="es-ES_tradnl"/>
        </w:rPr>
        <w:t>Sujeto Obligado</w:t>
      </w:r>
      <w:r w:rsidRPr="000C15E4">
        <w:rPr>
          <w:rFonts w:ascii="Palatino Linotype" w:eastAsia="Calibri" w:hAnsi="Palatino Linotype" w:cs="Tahoma"/>
          <w:bCs/>
          <w:iCs/>
          <w:sz w:val="24"/>
          <w:lang w:eastAsia="es-ES_tradnl"/>
        </w:rPr>
        <w:t>, en cumplimiento a esta Resolución.</w:t>
      </w:r>
    </w:p>
    <w:p w14:paraId="3D2B43BB"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3FD231FA" w14:textId="77777777" w:rsidR="0051753E" w:rsidRDefault="0051753E" w:rsidP="0051753E">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7DD423E0" w14:textId="1CC671CF" w:rsidR="0051753E" w:rsidRPr="00DB6E06" w:rsidRDefault="0051753E" w:rsidP="000C15E4">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heme="minorEastAsia" w:hAnsi="Palatino Linotype" w:cs="Times New Roman"/>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C15E4">
        <w:rPr>
          <w:rFonts w:ascii="Palatino Linotype" w:eastAsiaTheme="minorEastAsia" w:hAnsi="Palatino Linotype" w:cs="Times New Roman"/>
          <w:color w:val="000000" w:themeColor="text1"/>
          <w:sz w:val="24"/>
          <w:szCs w:val="24"/>
          <w:lang w:val="es-ES_tradnl" w:eastAsia="es-ES"/>
        </w:rPr>
        <w:t>NOVENA</w:t>
      </w:r>
      <w:r w:rsidR="00E64942">
        <w:rPr>
          <w:rFonts w:ascii="Palatino Linotype" w:eastAsiaTheme="minorEastAsia" w:hAnsi="Palatino Linotype" w:cs="Times New Roman"/>
          <w:color w:val="000000" w:themeColor="text1"/>
          <w:sz w:val="24"/>
          <w:szCs w:val="24"/>
          <w:lang w:val="es-ES_tradnl" w:eastAsia="es-ES"/>
        </w:rPr>
        <w:t xml:space="preserve"> </w:t>
      </w:r>
      <w:r w:rsidRPr="00DB6E06">
        <w:rPr>
          <w:rFonts w:ascii="Palatino Linotype" w:eastAsiaTheme="minorEastAsia" w:hAnsi="Palatino Linotype" w:cs="Times New Roman"/>
          <w:color w:val="000000" w:themeColor="text1"/>
          <w:sz w:val="24"/>
          <w:szCs w:val="24"/>
          <w:lang w:val="es-ES_tradnl" w:eastAsia="es-ES"/>
        </w:rPr>
        <w:t xml:space="preserve">SESIÓN ORDINARIA CELEBRADA EL </w:t>
      </w:r>
      <w:r w:rsidR="000C15E4">
        <w:rPr>
          <w:rFonts w:ascii="Palatino Linotype" w:eastAsiaTheme="minorEastAsia" w:hAnsi="Palatino Linotype" w:cs="Times New Roman"/>
          <w:color w:val="000000" w:themeColor="text1"/>
          <w:sz w:val="24"/>
          <w:szCs w:val="24"/>
          <w:lang w:val="es-ES_tradnl" w:eastAsia="es-ES"/>
        </w:rPr>
        <w:t xml:space="preserve">TRECE DE MARZO </w:t>
      </w:r>
      <w:r w:rsidRPr="00DB6E06">
        <w:rPr>
          <w:rFonts w:ascii="Palatino Linotype" w:eastAsiaTheme="minorEastAsia" w:hAnsi="Palatino Linotype" w:cs="Times New Roman"/>
          <w:color w:val="000000" w:themeColor="text1"/>
          <w:sz w:val="24"/>
          <w:szCs w:val="24"/>
          <w:lang w:val="es-ES_tradnl" w:eastAsia="es-ES"/>
        </w:rPr>
        <w:t>DE DOS MIL VEINTICUATRO, ANTE EL SECRETARIO TÉCNICO DEL PLENO</w:t>
      </w:r>
      <w:r w:rsidR="000C15E4">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 xml:space="preserve"> ALEXIS TAPIA RAMÍREZ.------------------------------------------------------------------------------------------------------------------------------------------------------------------------------------------------------------------------------------------------------------------------------------------------------------------------------------------------------------------------------------------------------------------------------------------------------------------------------------------------------------------------------------------------------------------------------------------------------------------------------------</w:t>
      </w:r>
      <w:r w:rsidR="00411360">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w:t>
      </w:r>
      <w:r w:rsidR="00411360" w:rsidRPr="00F444C4">
        <w:rPr>
          <w:rFonts w:ascii="Palatino Linotype" w:eastAsia="Times New Roman" w:hAnsi="Palatino Linotype" w:cs="Arial"/>
          <w:sz w:val="24"/>
          <w:szCs w:val="24"/>
          <w:lang w:val="es-ES_tradnl" w:eastAsia="es-MX"/>
        </w:rPr>
        <w:t>-----------------------------------------------------------------------------------------------------------------------------------------------------------------</w:t>
      </w:r>
      <w:r w:rsidR="000C15E4">
        <w:rPr>
          <w:rFonts w:ascii="Palatino Linotype" w:eastAsia="Times New Roman" w:hAnsi="Palatino Linotype" w:cs="Arial"/>
          <w:sz w:val="24"/>
          <w:szCs w:val="24"/>
          <w:lang w:val="es-ES_tradnl" w:eastAsia="es-MX"/>
        </w:rPr>
        <w:t>----------------</w:t>
      </w:r>
      <w:r w:rsidR="000C15E4" w:rsidRPr="00F444C4">
        <w:rPr>
          <w:rFonts w:ascii="Palatino Linotype" w:eastAsia="Times New Roman" w:hAnsi="Palatino Linotype" w:cs="Arial"/>
          <w:sz w:val="24"/>
          <w:szCs w:val="24"/>
          <w:lang w:val="es-ES_tradnl" w:eastAsia="es-MX"/>
        </w:rPr>
        <w:t>-----------------------------------------------------------------------------------------------------------------------------------------------------------------------------------------------------------------------------------------------------------------------------------------------------------------------------------------------------------------------------------------------------------------------------------------</w:t>
      </w:r>
      <w:r w:rsidR="000C15E4" w:rsidRPr="000C15E4">
        <w:rPr>
          <w:rFonts w:ascii="Palatino Linotype" w:eastAsia="Times New Roman" w:hAnsi="Palatino Linotype" w:cs="Arial"/>
          <w:sz w:val="24"/>
          <w:szCs w:val="24"/>
          <w:lang w:val="es-ES_tradnl" w:eastAsia="es-MX"/>
        </w:rPr>
        <w:t xml:space="preserve"> </w:t>
      </w:r>
      <w:r w:rsidR="000C15E4" w:rsidRPr="00F444C4">
        <w:rPr>
          <w:rFonts w:ascii="Palatino Linotype" w:eastAsia="Times New Roman" w:hAnsi="Palatino Linotype" w:cs="Arial"/>
          <w:sz w:val="24"/>
          <w:szCs w:val="24"/>
          <w:lang w:val="es-ES_tradnl" w:eastAsia="es-MX"/>
        </w:rPr>
        <w:t>----------------------------------------------------------------------------------------</w:t>
      </w:r>
      <w:r w:rsidR="000C15E4">
        <w:rPr>
          <w:rFonts w:ascii="Palatino Linotype" w:eastAsia="Times New Roman" w:hAnsi="Palatino Linotype" w:cs="Arial"/>
          <w:sz w:val="24"/>
          <w:szCs w:val="24"/>
          <w:lang w:val="es-ES_tradnl" w:eastAsia="es-MX"/>
        </w:rPr>
        <w:t>---------------------------</w:t>
      </w:r>
    </w:p>
    <w:p w14:paraId="4E714355" w14:textId="7251A845" w:rsidR="0051753E" w:rsidRPr="00DB6E06" w:rsidRDefault="000C15E4" w:rsidP="0051753E">
      <w:pPr>
        <w:spacing w:after="0" w:line="360" w:lineRule="auto"/>
        <w:jc w:val="both"/>
        <w:rPr>
          <w:rFonts w:ascii="Palatino Linotype" w:eastAsiaTheme="minorEastAsia" w:hAnsi="Palatino Linotype" w:cs="Times New Roman"/>
          <w:color w:val="000000" w:themeColor="text1"/>
          <w:sz w:val="24"/>
          <w:szCs w:val="24"/>
          <w:lang w:val="es-ES_tradnl" w:eastAsia="es-ES"/>
        </w:rPr>
      </w:pPr>
      <w:r>
        <w:rPr>
          <w:rFonts w:ascii="Palatino Linotype" w:eastAsia="Times New Roman" w:hAnsi="Palatino Linotype" w:cs="Times New Roman"/>
          <w:sz w:val="16"/>
          <w:szCs w:val="18"/>
        </w:rPr>
        <w:t>JMV/CCR/</w:t>
      </w:r>
    </w:p>
    <w:p w14:paraId="6A30F090" w14:textId="77777777" w:rsidR="0051753E" w:rsidRPr="00DB6E06" w:rsidRDefault="0051753E" w:rsidP="0051753E">
      <w:pPr>
        <w:rPr>
          <w:rFonts w:eastAsia="Times New Roman" w:cs="Times New Roman"/>
        </w:rPr>
      </w:pPr>
    </w:p>
    <w:p w14:paraId="7289B899" w14:textId="77777777" w:rsidR="0051753E" w:rsidRPr="00DB6E06" w:rsidRDefault="0051753E" w:rsidP="0051753E">
      <w:pPr>
        <w:rPr>
          <w:rFonts w:eastAsia="Times New Roman" w:cs="Times New Roman"/>
        </w:rPr>
      </w:pPr>
    </w:p>
    <w:p w14:paraId="287BC231" w14:textId="77777777" w:rsidR="0051753E" w:rsidRPr="00DB6E06" w:rsidRDefault="0051753E" w:rsidP="0051753E">
      <w:pPr>
        <w:rPr>
          <w:rFonts w:eastAsia="Times New Roman" w:cs="Times New Roman"/>
        </w:rPr>
      </w:pPr>
    </w:p>
    <w:p w14:paraId="2ED587FA" w14:textId="77777777" w:rsidR="0051753E" w:rsidRPr="00DB6E06" w:rsidRDefault="0051753E" w:rsidP="0051753E">
      <w:pPr>
        <w:rPr>
          <w:rFonts w:eastAsia="Times New Roman" w:cs="Times New Roman"/>
        </w:rPr>
      </w:pPr>
    </w:p>
    <w:p w14:paraId="50CE41CF" w14:textId="77777777" w:rsidR="0051753E" w:rsidRPr="00DB6E06" w:rsidRDefault="0051753E" w:rsidP="0051753E">
      <w:pPr>
        <w:rPr>
          <w:rFonts w:eastAsia="Times New Roman" w:cs="Times New Roman"/>
        </w:rPr>
      </w:pPr>
    </w:p>
    <w:p w14:paraId="13BF80B0" w14:textId="77777777" w:rsidR="0051753E" w:rsidRPr="00DB6E06" w:rsidRDefault="0051753E" w:rsidP="0051753E">
      <w:pPr>
        <w:rPr>
          <w:rFonts w:eastAsia="Times New Roman" w:cs="Times New Roman"/>
        </w:rPr>
      </w:pPr>
    </w:p>
    <w:p w14:paraId="34B8954A" w14:textId="77777777" w:rsidR="0051753E" w:rsidRPr="00DB6E06" w:rsidRDefault="0051753E" w:rsidP="0051753E">
      <w:pPr>
        <w:rPr>
          <w:rFonts w:eastAsia="Times New Roman" w:cs="Times New Roman"/>
        </w:rPr>
      </w:pPr>
    </w:p>
    <w:p w14:paraId="2843F7F3" w14:textId="77777777" w:rsidR="0051753E" w:rsidRPr="00DB6E06" w:rsidRDefault="0051753E" w:rsidP="0051753E">
      <w:pPr>
        <w:rPr>
          <w:rFonts w:eastAsia="Times New Roman" w:cs="Times New Roman"/>
        </w:rPr>
      </w:pPr>
    </w:p>
    <w:p w14:paraId="528BE45E" w14:textId="77777777" w:rsidR="0051753E" w:rsidRPr="00DB6E06" w:rsidRDefault="0051753E" w:rsidP="0051753E">
      <w:pPr>
        <w:rPr>
          <w:rFonts w:eastAsia="Times New Roman" w:cs="Times New Roman"/>
        </w:rPr>
      </w:pPr>
    </w:p>
    <w:p w14:paraId="5BC4C1BD" w14:textId="77777777" w:rsidR="0051753E" w:rsidRPr="00DB6E06" w:rsidRDefault="0051753E" w:rsidP="0051753E">
      <w:pPr>
        <w:rPr>
          <w:rFonts w:eastAsia="Times New Roman" w:cs="Times New Roman"/>
        </w:rPr>
      </w:pPr>
    </w:p>
    <w:p w14:paraId="26495677" w14:textId="77777777" w:rsidR="0051753E" w:rsidRPr="00DB6E06" w:rsidRDefault="0051753E" w:rsidP="0051753E">
      <w:pPr>
        <w:rPr>
          <w:rFonts w:eastAsia="Times New Roman" w:cs="Times New Roman"/>
        </w:rPr>
      </w:pPr>
    </w:p>
    <w:p w14:paraId="6686CECC" w14:textId="77777777" w:rsidR="0051753E" w:rsidRPr="00DB6E06" w:rsidRDefault="0051753E" w:rsidP="0051753E">
      <w:pPr>
        <w:rPr>
          <w:rFonts w:eastAsia="Times New Roman" w:cs="Times New Roman"/>
        </w:rPr>
      </w:pPr>
    </w:p>
    <w:p w14:paraId="5CB85175" w14:textId="77777777" w:rsidR="0051753E" w:rsidRPr="00DB6E06" w:rsidRDefault="0051753E" w:rsidP="0051753E">
      <w:pPr>
        <w:rPr>
          <w:rFonts w:eastAsia="Times New Roman" w:cs="Times New Roman"/>
        </w:rPr>
      </w:pPr>
    </w:p>
    <w:p w14:paraId="2619DE2E" w14:textId="77777777" w:rsidR="0051753E" w:rsidRPr="00DB6E06" w:rsidRDefault="0051753E" w:rsidP="0051753E">
      <w:pPr>
        <w:rPr>
          <w:rFonts w:eastAsia="Times New Roman" w:cs="Times New Roman"/>
        </w:rPr>
      </w:pPr>
    </w:p>
    <w:p w14:paraId="496D5B09" w14:textId="77777777" w:rsidR="0051753E" w:rsidRPr="00DB6E06" w:rsidRDefault="0051753E" w:rsidP="0051753E">
      <w:pPr>
        <w:rPr>
          <w:rFonts w:eastAsia="Times New Roman" w:cs="Times New Roman"/>
        </w:rPr>
      </w:pPr>
    </w:p>
    <w:p w14:paraId="034A3753" w14:textId="77777777" w:rsidR="0051753E" w:rsidRPr="00DB6E06" w:rsidRDefault="0051753E" w:rsidP="0051753E">
      <w:pPr>
        <w:rPr>
          <w:rFonts w:eastAsia="Times New Roman" w:cs="Times New Roman"/>
        </w:rPr>
      </w:pPr>
    </w:p>
    <w:p w14:paraId="51391077" w14:textId="77777777" w:rsidR="0051753E" w:rsidRPr="00DB6E06" w:rsidRDefault="0051753E" w:rsidP="0051753E">
      <w:pPr>
        <w:rPr>
          <w:rFonts w:eastAsia="Times New Roman" w:cs="Times New Roman"/>
        </w:rPr>
      </w:pPr>
    </w:p>
    <w:p w14:paraId="1539909C" w14:textId="77777777" w:rsidR="0051753E" w:rsidRPr="00DB6E06" w:rsidRDefault="0051753E" w:rsidP="0051753E">
      <w:pPr>
        <w:rPr>
          <w:rFonts w:eastAsia="Times New Roman" w:cs="Times New Roman"/>
        </w:rPr>
      </w:pPr>
    </w:p>
    <w:p w14:paraId="5C6D5FF3" w14:textId="77777777" w:rsidR="0051753E" w:rsidRPr="00DB6E06" w:rsidRDefault="0051753E" w:rsidP="0051753E">
      <w:pPr>
        <w:rPr>
          <w:rFonts w:eastAsia="Times New Roman" w:cs="Times New Roman"/>
        </w:rPr>
      </w:pPr>
    </w:p>
    <w:p w14:paraId="6B06DEB7" w14:textId="77777777" w:rsidR="0051753E" w:rsidRPr="00DB6E06" w:rsidRDefault="0051753E" w:rsidP="0051753E">
      <w:pPr>
        <w:rPr>
          <w:rFonts w:eastAsia="Times New Roman" w:cs="Times New Roman"/>
        </w:rPr>
      </w:pPr>
    </w:p>
    <w:p w14:paraId="019B12D6" w14:textId="77777777" w:rsidR="0051753E" w:rsidRPr="00DB6E06" w:rsidRDefault="0051753E" w:rsidP="0051753E">
      <w:pPr>
        <w:rPr>
          <w:rFonts w:eastAsia="Times New Roman" w:cs="Times New Roman"/>
        </w:rPr>
      </w:pPr>
    </w:p>
    <w:p w14:paraId="352E5510" w14:textId="77777777" w:rsidR="0051753E" w:rsidRPr="00DB6E06" w:rsidRDefault="0051753E" w:rsidP="0051753E">
      <w:pPr>
        <w:rPr>
          <w:rFonts w:eastAsia="Times New Roman" w:cs="Times New Roman"/>
        </w:rPr>
      </w:pPr>
    </w:p>
    <w:p w14:paraId="4D821EEE" w14:textId="77777777" w:rsidR="0051753E" w:rsidRPr="00DB6E06" w:rsidRDefault="0051753E" w:rsidP="0051753E">
      <w:pPr>
        <w:rPr>
          <w:rFonts w:eastAsia="Times New Roman" w:cs="Times New Roman"/>
        </w:rPr>
      </w:pPr>
    </w:p>
    <w:p w14:paraId="13E966D2" w14:textId="77777777" w:rsidR="0051753E" w:rsidRPr="00DB6E06" w:rsidRDefault="0051753E" w:rsidP="0051753E">
      <w:pPr>
        <w:rPr>
          <w:rFonts w:eastAsia="Times New Roman" w:cs="Times New Roman"/>
        </w:rPr>
      </w:pPr>
    </w:p>
    <w:p w14:paraId="7C1A33B1" w14:textId="77777777" w:rsidR="0051753E" w:rsidRPr="00DB6E06" w:rsidRDefault="0051753E" w:rsidP="0051753E">
      <w:pPr>
        <w:rPr>
          <w:rFonts w:eastAsia="Times New Roman" w:cs="Times New Roman"/>
        </w:rPr>
      </w:pPr>
    </w:p>
    <w:p w14:paraId="143E105A" w14:textId="77777777" w:rsidR="0051753E" w:rsidRDefault="0051753E" w:rsidP="0051753E"/>
    <w:p w14:paraId="2C061AB2" w14:textId="77777777" w:rsidR="00DF613E" w:rsidRDefault="00DF613E"/>
    <w:sectPr w:rsidR="00DF613E" w:rsidSect="00D47A61">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CB355" w14:textId="77777777" w:rsidR="00D47A61" w:rsidRDefault="00D47A61" w:rsidP="0051753E">
      <w:pPr>
        <w:spacing w:after="0" w:line="240" w:lineRule="auto"/>
      </w:pPr>
      <w:r>
        <w:separator/>
      </w:r>
    </w:p>
  </w:endnote>
  <w:endnote w:type="continuationSeparator" w:id="0">
    <w:p w14:paraId="2480DC47" w14:textId="77777777" w:rsidR="00D47A61" w:rsidRDefault="00D47A61" w:rsidP="005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F5170" w14:textId="77777777" w:rsidR="00411360"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955A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955A6">
      <w:rPr>
        <w:rFonts w:ascii="Palatino Linotype" w:hAnsi="Palatino Linotype"/>
        <w:bCs/>
        <w:noProof/>
        <w:sz w:val="20"/>
      </w:rPr>
      <w:t>34</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1BC34" w14:textId="77777777" w:rsidR="00411360"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955A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955A6">
      <w:rPr>
        <w:rFonts w:ascii="Palatino Linotype" w:hAnsi="Palatino Linotype"/>
        <w:bCs/>
        <w:noProof/>
        <w:sz w:val="20"/>
      </w:rPr>
      <w:t>34</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89F6" w14:textId="77777777" w:rsidR="00D47A61" w:rsidRDefault="00D47A61" w:rsidP="0051753E">
      <w:pPr>
        <w:spacing w:after="0" w:line="240" w:lineRule="auto"/>
      </w:pPr>
      <w:r>
        <w:separator/>
      </w:r>
    </w:p>
  </w:footnote>
  <w:footnote w:type="continuationSeparator" w:id="0">
    <w:p w14:paraId="7BA938AE" w14:textId="77777777" w:rsidR="00D47A61" w:rsidRDefault="00D47A61" w:rsidP="0051753E">
      <w:pPr>
        <w:spacing w:after="0" w:line="240" w:lineRule="auto"/>
      </w:pPr>
      <w:r>
        <w:continuationSeparator/>
      </w:r>
    </w:p>
  </w:footnote>
  <w:footnote w:id="1">
    <w:p w14:paraId="329C4C9B" w14:textId="77777777" w:rsidR="00DF28AA" w:rsidRPr="009829FB" w:rsidRDefault="00DF28AA" w:rsidP="009829FB">
      <w:pPr>
        <w:pBdr>
          <w:top w:val="nil"/>
          <w:left w:val="nil"/>
          <w:bottom w:val="nil"/>
          <w:right w:val="nil"/>
          <w:between w:val="nil"/>
        </w:pBdr>
        <w:spacing w:line="240" w:lineRule="auto"/>
        <w:jc w:val="both"/>
        <w:rPr>
          <w:rFonts w:ascii="Palatino Linotype" w:eastAsia="Palatino Linotype" w:hAnsi="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9829FB">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133A895" w14:textId="77777777" w:rsidR="00DF28AA" w:rsidRPr="009829FB" w:rsidRDefault="00DF28AA" w:rsidP="009829FB">
      <w:pPr>
        <w:pBdr>
          <w:top w:val="nil"/>
          <w:left w:val="nil"/>
          <w:bottom w:val="nil"/>
          <w:right w:val="nil"/>
          <w:between w:val="nil"/>
        </w:pBdr>
        <w:spacing w:line="240" w:lineRule="auto"/>
        <w:jc w:val="both"/>
        <w:rPr>
          <w:rFonts w:ascii="Palatino Linotype" w:eastAsia="Palatino Linotype" w:hAnsi="Palatino Linotype" w:cs="Palatino Linotype"/>
          <w:color w:val="000000"/>
          <w:sz w:val="20"/>
          <w:szCs w:val="20"/>
        </w:rPr>
      </w:pPr>
    </w:p>
    <w:p w14:paraId="25D7208A" w14:textId="77777777" w:rsidR="00DF28AA" w:rsidRPr="009829FB" w:rsidRDefault="00DF28AA" w:rsidP="009829FB">
      <w:pPr>
        <w:spacing w:line="240" w:lineRule="auto"/>
        <w:jc w:val="both"/>
        <w:rPr>
          <w:rFonts w:ascii="Palatino Linotype" w:eastAsia="Palatino Linotype" w:hAnsi="Palatino Linotype" w:cs="Palatino Linotype"/>
          <w:b/>
          <w:i/>
          <w:sz w:val="20"/>
          <w:szCs w:val="20"/>
        </w:rPr>
      </w:pPr>
      <w:r w:rsidRPr="009829FB">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90821C1" w14:textId="77777777" w:rsidR="00DF28AA" w:rsidRPr="0031280C" w:rsidRDefault="00DF28AA" w:rsidP="009829FB">
      <w:pPr>
        <w:spacing w:line="240" w:lineRule="auto"/>
        <w:jc w:val="both"/>
        <w:rPr>
          <w:rFonts w:eastAsia="Palatino Linotype" w:cs="Palatino Linotype"/>
          <w:i/>
          <w:sz w:val="20"/>
          <w:szCs w:val="20"/>
        </w:rPr>
      </w:pPr>
      <w:r w:rsidRPr="009829FB">
        <w:rPr>
          <w:rFonts w:ascii="Palatino Linotype" w:eastAsia="Palatino Linotype" w:hAnsi="Palatino Linotype" w:cs="Palatino Linotype"/>
          <w:i/>
          <w:sz w:val="20"/>
          <w:szCs w:val="20"/>
        </w:rPr>
        <w:t xml:space="preserve">Del examen de compatibilidad de los artículos </w:t>
      </w:r>
      <w:hyperlink r:id="rId1">
        <w:r w:rsidRPr="009829FB">
          <w:rPr>
            <w:rFonts w:ascii="Palatino Linotype" w:eastAsia="Palatino Linotype" w:hAnsi="Palatino Linotype" w:cs="Palatino Linotype"/>
            <w:i/>
            <w:color w:val="000000"/>
            <w:sz w:val="20"/>
            <w:szCs w:val="20"/>
            <w:u w:val="single"/>
          </w:rPr>
          <w:t>73 y 74 de la Ley de Amparo</w:t>
        </w:r>
      </w:hyperlink>
      <w:r w:rsidRPr="009829FB">
        <w:rPr>
          <w:rFonts w:ascii="Palatino Linotype" w:eastAsia="Palatino Linotype" w:hAnsi="Palatino Linotype" w:cs="Palatino Linotype"/>
          <w:i/>
          <w:sz w:val="20"/>
          <w:szCs w:val="20"/>
        </w:rPr>
        <w:t xml:space="preserve"> con el artículo </w:t>
      </w:r>
      <w:hyperlink r:id="rId2">
        <w:r w:rsidRPr="009829FB">
          <w:rPr>
            <w:rFonts w:ascii="Palatino Linotype" w:eastAsia="Palatino Linotype" w:hAnsi="Palatino Linotype" w:cs="Palatino Linotype"/>
            <w:i/>
            <w:color w:val="000000"/>
            <w:sz w:val="20"/>
            <w:szCs w:val="20"/>
            <w:u w:val="single"/>
          </w:rPr>
          <w:t>25.1 de la Convención Americana sobre Derechos Humanos</w:t>
        </w:r>
      </w:hyperlink>
      <w:r w:rsidRPr="009829FB">
        <w:rPr>
          <w:rFonts w:ascii="Palatino Linotype" w:eastAsia="Palatino Linotype" w:hAnsi="Palatino Linotype" w:cs="Palatino Linotype"/>
          <w:i/>
          <w:sz w:val="20"/>
          <w:szCs w:val="20"/>
        </w:rPr>
        <w:t xml:space="preserve"> </w:t>
      </w:r>
      <w:r w:rsidRPr="009829FB">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829FB">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w:t>
      </w:r>
      <w:r w:rsidRPr="0031280C">
        <w:rPr>
          <w:rFonts w:eastAsia="Palatino Linotype" w:cs="Palatino Linotype"/>
          <w:i/>
          <w:sz w:val="20"/>
          <w:szCs w:val="20"/>
        </w:rPr>
        <w:t xml:space="preserve">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B0CB0" w14:textId="77777777" w:rsidR="00411360" w:rsidRDefault="00F955A6">
    <w:pPr>
      <w:pStyle w:val="Encabezado"/>
    </w:pPr>
    <w:r>
      <w:rPr>
        <w:noProof/>
        <w:lang w:val="es-MX" w:eastAsia="es-MX"/>
      </w:rPr>
      <w:pict w14:anchorId="6A3E7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772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4236A" w14:textId="77777777" w:rsidR="00411360" w:rsidRDefault="00F955A6">
    <w:pPr>
      <w:pStyle w:val="Encabezado"/>
    </w:pPr>
    <w:r>
      <w:rPr>
        <w:noProof/>
        <w:lang w:val="es-MX" w:eastAsia="es-MX"/>
      </w:rPr>
      <w:pict w14:anchorId="7A7BC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119.15pt;margin-top:-140.85pt;width:736.5pt;height:960pt;z-index:-251659776;mso-position-horizontal-relative:margin;mso-position-vertical-relative:margin"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67758B" w14:paraId="5A70730B" w14:textId="77777777" w:rsidTr="00F45B4A">
      <w:trPr>
        <w:trHeight w:val="227"/>
      </w:trPr>
      <w:tc>
        <w:tcPr>
          <w:tcW w:w="5949" w:type="dxa"/>
          <w:hideMark/>
        </w:tcPr>
        <w:p w14:paraId="4F9F7C90" w14:textId="77777777" w:rsidR="00411360" w:rsidRDefault="00541833"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347A7F3F" w14:textId="1090F17F" w:rsidR="00411360" w:rsidRPr="00B4142F" w:rsidRDefault="00F82F3F"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00205</w:t>
          </w:r>
          <w:r w:rsidR="00541833">
            <w:rPr>
              <w:rFonts w:ascii="Palatino Linotype" w:hAnsi="Palatino Linotype" w:cs="Arial"/>
              <w:bCs/>
              <w:sz w:val="24"/>
              <w:lang w:eastAsia="es-MX"/>
            </w:rPr>
            <w:t>/INFOEM/IP/RR/2024</w:t>
          </w:r>
        </w:p>
      </w:tc>
    </w:tr>
    <w:tr w:rsidR="0051753E" w14:paraId="0290EEA2" w14:textId="77777777" w:rsidTr="00F45B4A">
      <w:trPr>
        <w:trHeight w:val="242"/>
      </w:trPr>
      <w:tc>
        <w:tcPr>
          <w:tcW w:w="5949" w:type="dxa"/>
          <w:hideMark/>
        </w:tcPr>
        <w:p w14:paraId="26FA6110" w14:textId="77777777" w:rsidR="0051753E" w:rsidRDefault="0051753E" w:rsidP="0051753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6E6A6426" w14:textId="7D03F246" w:rsidR="0051753E" w:rsidRPr="005B65B0" w:rsidRDefault="00F82F3F" w:rsidP="0051753E">
          <w:pPr>
            <w:spacing w:after="120" w:line="240" w:lineRule="auto"/>
            <w:ind w:left="-70" w:right="68"/>
            <w:jc w:val="right"/>
            <w:rPr>
              <w:rFonts w:ascii="Palatino Linotype" w:hAnsi="Palatino Linotype" w:cs="Arial"/>
              <w:sz w:val="24"/>
              <w:szCs w:val="24"/>
            </w:rPr>
          </w:pPr>
          <w:r w:rsidRPr="00F82F3F">
            <w:rPr>
              <w:rFonts w:ascii="Palatino Linotype" w:hAnsi="Palatino Linotype"/>
              <w:color w:val="000000"/>
              <w:sz w:val="24"/>
              <w:szCs w:val="24"/>
            </w:rPr>
            <w:t>Ayuntamiento de Capulhuac</w:t>
          </w:r>
        </w:p>
      </w:tc>
    </w:tr>
    <w:tr w:rsidR="0051753E" w14:paraId="249EAB43" w14:textId="77777777" w:rsidTr="00F45B4A">
      <w:trPr>
        <w:trHeight w:val="342"/>
      </w:trPr>
      <w:tc>
        <w:tcPr>
          <w:tcW w:w="5949" w:type="dxa"/>
          <w:hideMark/>
        </w:tcPr>
        <w:p w14:paraId="0D1F74D4" w14:textId="77777777" w:rsidR="0051753E" w:rsidRDefault="0051753E" w:rsidP="0051753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0AD1906F" w14:textId="77777777" w:rsidR="0051753E" w:rsidRDefault="0051753E" w:rsidP="0051753E">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761CF5B8" w14:textId="77777777" w:rsidR="00411360" w:rsidRDefault="0041136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03F83" w14:textId="77777777" w:rsidR="00411360" w:rsidRDefault="00F955A6">
    <w:pPr>
      <w:pStyle w:val="Encabezado"/>
    </w:pPr>
    <w:r>
      <w:rPr>
        <w:noProof/>
        <w:lang w:val="es-MX" w:eastAsia="es-MX"/>
      </w:rPr>
      <w:pict w14:anchorId="7A6EC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107.05pt;margin-top:-155.75pt;width:736.5pt;height:960pt;z-index:-251658752;mso-position-horizontal-relative:margin;mso-position-vertical-relative:margin" o:allowincell="f">
          <v:imagedata r:id="rId1" o:title=""/>
          <w10:wrap anchorx="margin" anchory="margin"/>
        </v:shape>
      </w:pict>
    </w: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67758B" w:rsidRPr="00303CFF" w14:paraId="3035C7CB" w14:textId="77777777" w:rsidTr="006B2F74">
      <w:trPr>
        <w:trHeight w:val="227"/>
      </w:trPr>
      <w:tc>
        <w:tcPr>
          <w:tcW w:w="5103" w:type="dxa"/>
          <w:hideMark/>
        </w:tcPr>
        <w:p w14:paraId="533167A5" w14:textId="77777777" w:rsidR="00411360"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296203BA" w14:textId="753272E3" w:rsidR="00411360" w:rsidRPr="00303CFF" w:rsidRDefault="00541833"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w:t>
          </w:r>
          <w:r w:rsidR="00F82F3F">
            <w:rPr>
              <w:rFonts w:ascii="Palatino Linotype" w:hAnsi="Palatino Linotype" w:cs="Arial"/>
              <w:b/>
              <w:bCs/>
              <w:sz w:val="24"/>
              <w:szCs w:val="24"/>
            </w:rPr>
            <w:t>0205</w:t>
          </w:r>
          <w:r w:rsidRPr="00303CFF">
            <w:rPr>
              <w:rFonts w:ascii="Palatino Linotype" w:hAnsi="Palatino Linotype" w:cs="Arial"/>
              <w:b/>
              <w:bCs/>
              <w:sz w:val="24"/>
              <w:szCs w:val="24"/>
            </w:rPr>
            <w:t>/INFOEM/IP/RR/202</w:t>
          </w:r>
          <w:r>
            <w:rPr>
              <w:rFonts w:ascii="Palatino Linotype" w:hAnsi="Palatino Linotype" w:cs="Arial"/>
              <w:b/>
              <w:bCs/>
              <w:sz w:val="24"/>
              <w:szCs w:val="24"/>
            </w:rPr>
            <w:t>4</w:t>
          </w:r>
        </w:p>
      </w:tc>
    </w:tr>
    <w:tr w:rsidR="0051753E" w:rsidRPr="00303CFF" w14:paraId="094F4E56" w14:textId="77777777" w:rsidTr="006B2F74">
      <w:trPr>
        <w:trHeight w:val="227"/>
      </w:trPr>
      <w:tc>
        <w:tcPr>
          <w:tcW w:w="5103" w:type="dxa"/>
        </w:tcPr>
        <w:p w14:paraId="1A3E8CB1" w14:textId="77777777" w:rsidR="0051753E" w:rsidRPr="00303CFF" w:rsidRDefault="0051753E"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Recurrente</w:t>
          </w:r>
        </w:p>
      </w:tc>
      <w:tc>
        <w:tcPr>
          <w:tcW w:w="4395" w:type="dxa"/>
        </w:tcPr>
        <w:p w14:paraId="6CA822E3" w14:textId="5A9FDDE8" w:rsidR="0051753E" w:rsidRDefault="00F955A6" w:rsidP="00303CFF">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w:t>
          </w:r>
        </w:p>
      </w:tc>
    </w:tr>
    <w:tr w:rsidR="0067758B" w:rsidRPr="00303CFF" w14:paraId="30EACAA1" w14:textId="77777777" w:rsidTr="006B2F74">
      <w:trPr>
        <w:trHeight w:val="242"/>
      </w:trPr>
      <w:tc>
        <w:tcPr>
          <w:tcW w:w="5103" w:type="dxa"/>
          <w:hideMark/>
        </w:tcPr>
        <w:p w14:paraId="427CF410" w14:textId="77777777" w:rsidR="00411360"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4EABD3D7" w14:textId="195FA726" w:rsidR="00411360" w:rsidRPr="005B65B0" w:rsidRDefault="00F82F3F" w:rsidP="00303CFF">
          <w:pPr>
            <w:spacing w:after="120" w:line="240" w:lineRule="auto"/>
            <w:ind w:left="-70" w:right="68"/>
            <w:jc w:val="right"/>
            <w:rPr>
              <w:rFonts w:ascii="Palatino Linotype" w:hAnsi="Palatino Linotype" w:cs="Arial"/>
              <w:sz w:val="24"/>
              <w:szCs w:val="24"/>
            </w:rPr>
          </w:pPr>
          <w:r w:rsidRPr="00F82F3F">
            <w:rPr>
              <w:rFonts w:ascii="Palatino Linotype" w:hAnsi="Palatino Linotype"/>
              <w:color w:val="000000"/>
              <w:sz w:val="24"/>
              <w:szCs w:val="24"/>
            </w:rPr>
            <w:t>Ayuntamiento de Capulhuac</w:t>
          </w:r>
        </w:p>
      </w:tc>
    </w:tr>
    <w:tr w:rsidR="0067758B" w:rsidRPr="00303CFF" w14:paraId="7D0FD82D" w14:textId="77777777" w:rsidTr="006B2F74">
      <w:trPr>
        <w:trHeight w:val="342"/>
      </w:trPr>
      <w:tc>
        <w:tcPr>
          <w:tcW w:w="5103" w:type="dxa"/>
          <w:hideMark/>
        </w:tcPr>
        <w:p w14:paraId="3A6C4F11" w14:textId="77777777" w:rsidR="00411360" w:rsidRPr="00303CFF" w:rsidRDefault="00541833"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68220B13" w14:textId="77777777" w:rsidR="00411360" w:rsidRPr="00303CFF" w:rsidRDefault="00541833"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63E53559" w14:textId="77777777" w:rsidR="00411360" w:rsidRDefault="004113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75F3D"/>
    <w:multiLevelType w:val="multilevel"/>
    <w:tmpl w:val="08F895BC"/>
    <w:lvl w:ilvl="0">
      <w:start w:val="1"/>
      <w:numFmt w:val="decimal"/>
      <w:lvlText w:val="%1."/>
      <w:lvlJc w:val="left"/>
      <w:pPr>
        <w:ind w:left="720" w:hanging="360"/>
      </w:pPr>
      <w:rPr>
        <w:rFonts w:ascii="Palatino Linotype" w:hAnsi="Palatino Linotype" w:hint="default"/>
        <w:b/>
        <w:color w:val="000000"/>
        <w:sz w:val="24"/>
        <w:szCs w:val="24"/>
      </w:rPr>
    </w:lvl>
    <w:lvl w:ilvl="1">
      <w:start w:val="1"/>
      <w:numFmt w:val="decimal"/>
      <w:isLgl/>
      <w:lvlText w:val="%1.%2."/>
      <w:lvlJc w:val="left"/>
      <w:pPr>
        <w:ind w:left="1080" w:hanging="36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 w15:restartNumberingAfterBreak="0">
    <w:nsid w:val="70070418"/>
    <w:multiLevelType w:val="hybridMultilevel"/>
    <w:tmpl w:val="D6562A56"/>
    <w:lvl w:ilvl="0" w:tplc="9FB8F1B8">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3E"/>
    <w:rsid w:val="000C15E4"/>
    <w:rsid w:val="00177005"/>
    <w:rsid w:val="001C01EF"/>
    <w:rsid w:val="001C5D1A"/>
    <w:rsid w:val="00411360"/>
    <w:rsid w:val="0051753E"/>
    <w:rsid w:val="00541833"/>
    <w:rsid w:val="00931832"/>
    <w:rsid w:val="0094387A"/>
    <w:rsid w:val="00957837"/>
    <w:rsid w:val="009829FB"/>
    <w:rsid w:val="00B309C9"/>
    <w:rsid w:val="00D47A61"/>
    <w:rsid w:val="00DF28AA"/>
    <w:rsid w:val="00DF613E"/>
    <w:rsid w:val="00E64942"/>
    <w:rsid w:val="00EA501D"/>
    <w:rsid w:val="00F82F3F"/>
    <w:rsid w:val="00F95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C06A4"/>
  <w15:chartTrackingRefBased/>
  <w15:docId w15:val="{98EF4313-BF35-4E08-A962-A71D2B1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53E"/>
  </w:style>
  <w:style w:type="paragraph" w:styleId="Ttulo2">
    <w:name w:val="heading 2"/>
    <w:aliases w:val="Subtítulos"/>
    <w:basedOn w:val="Normal"/>
    <w:next w:val="Normal"/>
    <w:link w:val="Ttulo2Car"/>
    <w:uiPriority w:val="9"/>
    <w:unhideWhenUsed/>
    <w:qFormat/>
    <w:rsid w:val="00DF28AA"/>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1753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1753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1753E"/>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1753E"/>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753E"/>
    <w:rPr>
      <w:rFonts w:cs="Times New Roman"/>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C15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C15E4"/>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0C15E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qFormat/>
    <w:locked/>
    <w:rsid w:val="000C15E4"/>
    <w:rPr>
      <w:rFonts w:ascii="Times New Roman" w:eastAsia="Times New Roman" w:hAnsi="Times New Roman" w:cs="Times New Roman"/>
      <w:sz w:val="24"/>
      <w:szCs w:val="24"/>
      <w:lang w:eastAsia="es-ES"/>
    </w:rPr>
  </w:style>
  <w:style w:type="paragraph" w:styleId="Revisin">
    <w:name w:val="Revision"/>
    <w:hidden/>
    <w:uiPriority w:val="99"/>
    <w:semiHidden/>
    <w:rsid w:val="001C01EF"/>
    <w:pPr>
      <w:spacing w:after="0" w:line="240" w:lineRule="auto"/>
    </w:pPr>
  </w:style>
  <w:style w:type="character" w:customStyle="1" w:styleId="Ttulo2Car">
    <w:name w:val="Título 2 Car"/>
    <w:aliases w:val="Subtítulos Car"/>
    <w:basedOn w:val="Fuentedeprrafopredeter"/>
    <w:link w:val="Ttulo2"/>
    <w:uiPriority w:val="9"/>
    <w:rsid w:val="00DF28AA"/>
    <w:rPr>
      <w:rFonts w:ascii="Palatino Linotype" w:eastAsiaTheme="majorEastAsia" w:hAnsi="Palatino Linotype" w:cstheme="majorBidi"/>
      <w:b/>
      <w:color w:val="000000" w:themeColor="text1"/>
      <w:sz w:val="26"/>
      <w:szCs w:val="26"/>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34</Pages>
  <Words>7700</Words>
  <Characters>42350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5</cp:revision>
  <dcterms:created xsi:type="dcterms:W3CDTF">2024-03-07T02:28:00Z</dcterms:created>
  <dcterms:modified xsi:type="dcterms:W3CDTF">2024-04-04T21:19:00Z</dcterms:modified>
</cp:coreProperties>
</file>