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DE093" w14:textId="77777777" w:rsidR="006B0FFC" w:rsidRDefault="006B0FFC">
      <w:pPr>
        <w:widowControl w:val="0"/>
        <w:pBdr>
          <w:top w:val="nil"/>
          <w:left w:val="nil"/>
          <w:bottom w:val="nil"/>
          <w:right w:val="nil"/>
          <w:between w:val="nil"/>
        </w:pBdr>
        <w:spacing w:line="276" w:lineRule="auto"/>
      </w:pPr>
    </w:p>
    <w:p w14:paraId="5D6D15C8" w14:textId="77777777" w:rsidR="006B0FFC" w:rsidRDefault="006B0FFC">
      <w:pPr>
        <w:widowControl w:val="0"/>
        <w:pBdr>
          <w:top w:val="nil"/>
          <w:left w:val="nil"/>
          <w:bottom w:val="nil"/>
          <w:right w:val="nil"/>
          <w:between w:val="nil"/>
        </w:pBdr>
        <w:spacing w:line="276" w:lineRule="auto"/>
      </w:pPr>
    </w:p>
    <w:p w14:paraId="3CE98434" w14:textId="77777777" w:rsidR="006B0FFC" w:rsidRDefault="00B4290D">
      <w:pPr>
        <w:tabs>
          <w:tab w:val="left" w:pos="3465"/>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w:t>
      </w:r>
      <w:r w:rsidR="00D000C9">
        <w:rPr>
          <w:rFonts w:ascii="Palatino Linotype" w:eastAsia="Palatino Linotype" w:hAnsi="Palatino Linotype" w:cs="Palatino Linotype"/>
        </w:rPr>
        <w:t>tado de México; de fecha seis (06)</w:t>
      </w:r>
      <w:r>
        <w:rPr>
          <w:rFonts w:ascii="Palatino Linotype" w:eastAsia="Palatino Linotype" w:hAnsi="Palatino Linotype" w:cs="Palatino Linotype"/>
        </w:rPr>
        <w:t xml:space="preserve"> de </w:t>
      </w:r>
      <w:r w:rsidR="00D000C9">
        <w:rPr>
          <w:rFonts w:ascii="Palatino Linotype" w:eastAsia="Palatino Linotype" w:hAnsi="Palatino Linotype" w:cs="Palatino Linotype"/>
        </w:rPr>
        <w:t>noviembre</w:t>
      </w:r>
      <w:r>
        <w:rPr>
          <w:rFonts w:ascii="Palatino Linotype" w:eastAsia="Palatino Linotype" w:hAnsi="Palatino Linotype" w:cs="Palatino Linotype"/>
        </w:rPr>
        <w:t xml:space="preserve"> de dos mil veinticuatro.</w:t>
      </w:r>
    </w:p>
    <w:p w14:paraId="6581A3F8" w14:textId="77777777" w:rsidR="006B0FFC" w:rsidRDefault="006B0FFC">
      <w:pPr>
        <w:tabs>
          <w:tab w:val="left" w:pos="3465"/>
        </w:tabs>
        <w:spacing w:line="360" w:lineRule="auto"/>
        <w:jc w:val="both"/>
        <w:rPr>
          <w:rFonts w:ascii="Palatino Linotype" w:eastAsia="Palatino Linotype" w:hAnsi="Palatino Linotype" w:cs="Palatino Linotype"/>
        </w:rPr>
      </w:pPr>
    </w:p>
    <w:p w14:paraId="397C3C35" w14:textId="4D595DE3" w:rsidR="006B0FFC" w:rsidRDefault="00B4290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electrónico formado con motivo del recurso de revisión </w:t>
      </w:r>
      <w:r>
        <w:rPr>
          <w:rFonts w:ascii="Palatino Linotype" w:eastAsia="Palatino Linotype" w:hAnsi="Palatino Linotype" w:cs="Palatino Linotype"/>
          <w:b/>
        </w:rPr>
        <w:t xml:space="preserve">01558/INFOEM/IP/RR/2024, </w:t>
      </w:r>
      <w:r>
        <w:rPr>
          <w:rFonts w:ascii="Palatino Linotype" w:eastAsia="Palatino Linotype" w:hAnsi="Palatino Linotype" w:cs="Palatino Linotype"/>
        </w:rPr>
        <w:t>promovido por</w:t>
      </w:r>
      <w:r>
        <w:rPr>
          <w:rFonts w:ascii="Palatino Linotype" w:eastAsia="Palatino Linotype" w:hAnsi="Palatino Linotype" w:cs="Palatino Linotype"/>
          <w:b/>
        </w:rPr>
        <w:t xml:space="preserve"> </w:t>
      </w:r>
      <w:r w:rsidR="00D40EC3">
        <w:rPr>
          <w:rFonts w:ascii="Palatino Linotype" w:eastAsia="Palatino Linotype" w:hAnsi="Palatino Linotype" w:cs="Palatino Linotype"/>
          <w:b/>
        </w:rPr>
        <w:t>XXX XXX</w:t>
      </w:r>
      <w:r>
        <w:rPr>
          <w:rFonts w:ascii="Palatino Linotype" w:eastAsia="Palatino Linotype" w:hAnsi="Palatino Linotype" w:cs="Palatino Linotype"/>
        </w:rPr>
        <w:t xml:space="preserve">, a quien en lo sucesivo se le identificará como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en contra de la respuesta de la </w:t>
      </w:r>
      <w:r>
        <w:rPr>
          <w:rFonts w:ascii="Palatino Linotype" w:eastAsia="Palatino Linotype" w:hAnsi="Palatino Linotype" w:cs="Palatino Linotype"/>
          <w:b/>
        </w:rPr>
        <w:t xml:space="preserve">Secretaría de Salud, </w:t>
      </w:r>
      <w:r>
        <w:rPr>
          <w:rFonts w:ascii="Palatino Linotype" w:eastAsia="Palatino Linotype" w:hAnsi="Palatino Linotype" w:cs="Palatino Linotype"/>
        </w:rPr>
        <w:t>en lo sucesivo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se procede a dictar la presente resolución, con base en los siguientes:</w:t>
      </w:r>
    </w:p>
    <w:p w14:paraId="6E1E924C" w14:textId="77777777" w:rsidR="006B0FFC" w:rsidRDefault="006B0FFC">
      <w:pPr>
        <w:spacing w:line="360" w:lineRule="auto"/>
        <w:jc w:val="both"/>
        <w:rPr>
          <w:rFonts w:ascii="Palatino Linotype" w:eastAsia="Palatino Linotype" w:hAnsi="Palatino Linotype" w:cs="Palatino Linotype"/>
          <w:b/>
        </w:rPr>
      </w:pPr>
    </w:p>
    <w:p w14:paraId="25DF4DAB" w14:textId="77777777" w:rsidR="006B0FFC" w:rsidRDefault="00B4290D">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Pr>
          <w:rFonts w:ascii="Palatino Linotype" w:eastAsia="Palatino Linotype" w:hAnsi="Palatino Linotype" w:cs="Palatino Linotype"/>
          <w:b/>
          <w:color w:val="000000"/>
          <w:sz w:val="24"/>
          <w:szCs w:val="24"/>
        </w:rPr>
        <w:t>ANTECEDENTES</w:t>
      </w:r>
    </w:p>
    <w:p w14:paraId="02B36DDE" w14:textId="77777777" w:rsidR="006B0FFC" w:rsidRDefault="006B0FFC"/>
    <w:p w14:paraId="388AA1D5" w14:textId="77777777" w:rsidR="006B0FFC" w:rsidRDefault="00B4290D" w:rsidP="00A46A62">
      <w:pPr>
        <w:pStyle w:val="Ttulo1"/>
        <w:spacing w:before="0"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SOLICITUD</w:t>
      </w:r>
    </w:p>
    <w:p w14:paraId="396F4D76" w14:textId="77777777" w:rsidR="006B0FFC" w:rsidRDefault="00B4290D">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día</w:t>
      </w:r>
      <w:r>
        <w:rPr>
          <w:rFonts w:ascii="Palatino Linotype" w:eastAsia="Palatino Linotype" w:hAnsi="Palatino Linotype" w:cs="Palatino Linotype"/>
          <w:b/>
          <w:color w:val="000000"/>
        </w:rPr>
        <w:t xml:space="preserve"> veintidós de febrero de dos mil veinticuatro, </w:t>
      </w:r>
      <w:r>
        <w:rPr>
          <w:rFonts w:ascii="Palatino Linotype" w:eastAsia="Palatino Linotype" w:hAnsi="Palatino Linotype" w:cs="Palatino Linotype"/>
          <w:color w:val="000000"/>
        </w:rPr>
        <w:t xml:space="preserve">se presentó ante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vía SAIMEX, la solicitud de información pública registrada con el número</w:t>
      </w:r>
      <w:r>
        <w:rPr>
          <w:rFonts w:ascii="Palatino Linotype" w:eastAsia="Palatino Linotype" w:hAnsi="Palatino Linotype" w:cs="Palatino Linotype"/>
          <w:b/>
          <w:color w:val="000000"/>
        </w:rPr>
        <w:t xml:space="preserve"> 00067/SSALUD/IP/2024; </w:t>
      </w:r>
      <w:r>
        <w:rPr>
          <w:rFonts w:ascii="Palatino Linotype" w:eastAsia="Palatino Linotype" w:hAnsi="Palatino Linotype" w:cs="Palatino Linotype"/>
          <w:color w:val="000000"/>
        </w:rPr>
        <w:t>mediante la cual se solicitó la siguiente información:</w:t>
      </w:r>
    </w:p>
    <w:p w14:paraId="7DFB739E" w14:textId="77777777" w:rsidR="006B0FFC" w:rsidRDefault="006B0FF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28F66BD" w14:textId="77777777" w:rsidR="006B0FFC" w:rsidRDefault="00B4290D">
      <w:pPr>
        <w:pBdr>
          <w:top w:val="nil"/>
          <w:left w:val="nil"/>
          <w:bottom w:val="nil"/>
          <w:right w:val="nil"/>
          <w:between w:val="nil"/>
        </w:pBdr>
        <w:ind w:left="426" w:right="47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“Proporcionar el convenio firmado por el Instituto de Seguridad y Servicios Sociales de los Trabajadores y el Instituto de Salud del Estado de México, derivado de la clausula vigésima segunda, en cuanto a las retenciones de los trabajadores, correspondiente al Acuerdo de Coordinación firmado por la Secretaría de Salud, de Hacienda y Crédito Público, de Contraloría y Desarrollo Administrativo, firmado </w:t>
      </w:r>
      <w:r>
        <w:rPr>
          <w:rFonts w:ascii="Palatino Linotype" w:eastAsia="Palatino Linotype" w:hAnsi="Palatino Linotype" w:cs="Palatino Linotype"/>
          <w:i/>
          <w:color w:val="000000"/>
        </w:rPr>
        <w:lastRenderedPageBreak/>
        <w:t>el 19 de febrero de 1998 en Toluca de Lerdo, Mex, que se encontba vigente en la quincena 8 del ejercicio fiscal del año 2017”</w:t>
      </w:r>
    </w:p>
    <w:p w14:paraId="426541B1" w14:textId="77777777" w:rsidR="006B0FFC" w:rsidRDefault="006B0FFC">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rPr>
      </w:pPr>
    </w:p>
    <w:p w14:paraId="419605C2" w14:textId="77777777" w:rsidR="006B0FFC" w:rsidRDefault="00B4290D">
      <w:pPr>
        <w:numPr>
          <w:ilvl w:val="0"/>
          <w:numId w:val="2"/>
        </w:numPr>
        <w:pBdr>
          <w:top w:val="nil"/>
          <w:left w:val="nil"/>
          <w:bottom w:val="nil"/>
          <w:right w:val="nil"/>
          <w:between w:val="nil"/>
        </w:pBdr>
        <w:spacing w:line="360" w:lineRule="auto"/>
        <w:ind w:left="851" w:right="47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eligió como modalidad de entrega de la información: A través del </w:t>
      </w:r>
      <w:r>
        <w:rPr>
          <w:rFonts w:ascii="Palatino Linotype" w:eastAsia="Palatino Linotype" w:hAnsi="Palatino Linotype" w:cs="Palatino Linotype"/>
          <w:b/>
          <w:color w:val="000000"/>
        </w:rPr>
        <w:t>SAIMEX.</w:t>
      </w:r>
    </w:p>
    <w:p w14:paraId="3367B0E1" w14:textId="77777777" w:rsidR="006B0FFC" w:rsidRDefault="00B4290D">
      <w:pPr>
        <w:pStyle w:val="Ttulo1"/>
        <w:spacing w:before="0" w:line="360" w:lineRule="auto"/>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RESPUESTA </w:t>
      </w:r>
    </w:p>
    <w:p w14:paraId="2BF97391" w14:textId="77777777" w:rsidR="006B0FFC" w:rsidRDefault="006B0FFC">
      <w:pPr>
        <w:pBdr>
          <w:top w:val="nil"/>
          <w:left w:val="nil"/>
          <w:bottom w:val="nil"/>
          <w:right w:val="nil"/>
          <w:between w:val="nil"/>
        </w:pBdr>
        <w:tabs>
          <w:tab w:val="left" w:pos="0"/>
        </w:tabs>
        <w:spacing w:line="360" w:lineRule="auto"/>
        <w:ind w:left="360" w:right="51"/>
        <w:jc w:val="both"/>
        <w:rPr>
          <w:rFonts w:ascii="Palatino Linotype" w:eastAsia="Palatino Linotype" w:hAnsi="Palatino Linotype" w:cs="Palatino Linotype"/>
          <w:i/>
          <w:color w:val="000000"/>
        </w:rPr>
      </w:pPr>
    </w:p>
    <w:p w14:paraId="1BD354A0" w14:textId="77777777" w:rsidR="006B0FFC" w:rsidRDefault="00B4290D">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quince</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de marzo de dos mil veinticuatro</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declino su incompetencia a traes del archivo</w:t>
      </w:r>
      <w:r>
        <w:rPr>
          <w:rFonts w:ascii="Palatino Linotype" w:eastAsia="Palatino Linotype" w:hAnsi="Palatino Linotype" w:cs="Palatino Linotype"/>
          <w:b/>
          <w:i/>
          <w:color w:val="000000"/>
        </w:rPr>
        <w:t xml:space="preserve"> </w:t>
      </w:r>
      <w:hyperlink r:id="rId8">
        <w:r>
          <w:rPr>
            <w:rFonts w:ascii="Palatino Linotype" w:eastAsia="Palatino Linotype" w:hAnsi="Palatino Linotype" w:cs="Palatino Linotype"/>
            <w:b/>
            <w:i/>
            <w:color w:val="000000"/>
          </w:rPr>
          <w:t>sol 00067 2024.pdf</w:t>
        </w:r>
      </w:hyperlink>
      <w:r>
        <w:rPr>
          <w:rFonts w:ascii="Palatino Linotype" w:eastAsia="Palatino Linotype" w:hAnsi="Palatino Linotype" w:cs="Palatino Linotype"/>
          <w:b/>
          <w:i/>
          <w:color w:val="000000"/>
        </w:rPr>
        <w:t xml:space="preserve">, </w:t>
      </w:r>
      <w:r>
        <w:rPr>
          <w:rFonts w:ascii="Palatino Linotype" w:eastAsia="Palatino Linotype" w:hAnsi="Palatino Linotype" w:cs="Palatino Linotype"/>
          <w:color w:val="000000"/>
        </w:rPr>
        <w:t>manifestando lo siguiente:</w:t>
      </w:r>
    </w:p>
    <w:p w14:paraId="15623487" w14:textId="77777777" w:rsidR="006B0FFC" w:rsidRDefault="006B0FFC">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rPr>
      </w:pPr>
    </w:p>
    <w:p w14:paraId="7385CD92" w14:textId="77777777" w:rsidR="006B0FFC" w:rsidRDefault="00B4290D">
      <w:pPr>
        <w:pBdr>
          <w:top w:val="nil"/>
          <w:left w:val="nil"/>
          <w:bottom w:val="nil"/>
          <w:right w:val="nil"/>
          <w:between w:val="nil"/>
        </w:pBdr>
        <w:spacing w:line="276" w:lineRule="auto"/>
        <w:ind w:left="426" w:right="61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“Como lo dispone el Manual de Organización del Instituto de Seguridad Social del Estado de México y Municipios (ISSEMYM) “es un organismo público descentralizado, que tiene el carácter de autónomo”, razón por la cual, este Instituto de Salud del Estado de México, no cuenta con la información requerida ya que el organismo a que hace referencia, no forma parte del patrimonio institucional. </w:t>
      </w:r>
    </w:p>
    <w:p w14:paraId="6F2C5285" w14:textId="77777777" w:rsidR="006B0FFC" w:rsidRDefault="006B0FFC">
      <w:pPr>
        <w:pBdr>
          <w:top w:val="nil"/>
          <w:left w:val="nil"/>
          <w:bottom w:val="nil"/>
          <w:right w:val="nil"/>
          <w:between w:val="nil"/>
        </w:pBdr>
        <w:spacing w:line="276" w:lineRule="auto"/>
        <w:ind w:left="426" w:right="616"/>
        <w:jc w:val="both"/>
        <w:rPr>
          <w:rFonts w:ascii="Palatino Linotype" w:eastAsia="Palatino Linotype" w:hAnsi="Palatino Linotype" w:cs="Palatino Linotype"/>
          <w:i/>
          <w:color w:val="000000"/>
        </w:rPr>
      </w:pPr>
    </w:p>
    <w:p w14:paraId="1266BB85" w14:textId="77777777" w:rsidR="006B0FFC" w:rsidRDefault="00B4290D">
      <w:pPr>
        <w:pBdr>
          <w:top w:val="nil"/>
          <w:left w:val="nil"/>
          <w:bottom w:val="nil"/>
          <w:right w:val="nil"/>
          <w:between w:val="nil"/>
        </w:pBdr>
        <w:spacing w:line="276" w:lineRule="auto"/>
        <w:ind w:left="426" w:right="61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En tal razón y de conformidad con lo expuesto en el Código Administrativo del Estado de México, en su CAPITULO CUARTO Del Instituto de Salud del Estado de México Artículo 2.5., el Instituto de Salud del Estado de México es un organismo público descentralizado, con personalidad jurídica y patrimonio propios, que tiene por objeto la prestación de los servicios de salud en la Entidad, por lo que este sujeto obligado está imposibilitado de dar atención positiva a su petición.</w:t>
      </w:r>
    </w:p>
    <w:p w14:paraId="0A3492E5" w14:textId="77777777" w:rsidR="006B0FFC" w:rsidRDefault="006B0FFC">
      <w:pPr>
        <w:pBdr>
          <w:top w:val="nil"/>
          <w:left w:val="nil"/>
          <w:bottom w:val="nil"/>
          <w:right w:val="nil"/>
          <w:between w:val="nil"/>
        </w:pBdr>
        <w:spacing w:line="276" w:lineRule="auto"/>
        <w:ind w:left="426" w:right="616"/>
        <w:jc w:val="both"/>
        <w:rPr>
          <w:rFonts w:ascii="Palatino Linotype" w:eastAsia="Palatino Linotype" w:hAnsi="Palatino Linotype" w:cs="Palatino Linotype"/>
          <w:i/>
          <w:color w:val="000000"/>
        </w:rPr>
      </w:pPr>
    </w:p>
    <w:p w14:paraId="1DF409CD" w14:textId="77777777" w:rsidR="006B0FFC" w:rsidRDefault="00B4290D">
      <w:pPr>
        <w:pBdr>
          <w:top w:val="nil"/>
          <w:left w:val="nil"/>
          <w:bottom w:val="nil"/>
          <w:right w:val="nil"/>
          <w:between w:val="nil"/>
        </w:pBdr>
        <w:spacing w:line="276" w:lineRule="auto"/>
        <w:ind w:left="426" w:right="61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Bajo ese contexto, de acuerdo al Directorio de Sujetos Obligados emitido por el Pleno del Instituto de Transparencia, Acceso a la Información y Protección de </w:t>
      </w:r>
      <w:r>
        <w:rPr>
          <w:rFonts w:ascii="Palatino Linotype" w:eastAsia="Palatino Linotype" w:hAnsi="Palatino Linotype" w:cs="Palatino Linotype"/>
          <w:i/>
          <w:color w:val="000000"/>
        </w:rPr>
        <w:lastRenderedPageBreak/>
        <w:t>Datos Personales del Estado de México y Municipios, mismo que puede ser consultado en la dirección electrónica: https://www.infoem.org.mx/es/contenido/transparencia/directorio-de-sujetos-obligados; la Secretaria de Salud del Estado de México y el Instituto de Salud del Estado de México, son Sujetos Obligados disímiles.”</w:t>
      </w:r>
    </w:p>
    <w:p w14:paraId="3628B033" w14:textId="77777777" w:rsidR="006B0FFC" w:rsidRDefault="006B0FFC">
      <w:pPr>
        <w:pBdr>
          <w:top w:val="nil"/>
          <w:left w:val="nil"/>
          <w:bottom w:val="nil"/>
          <w:right w:val="nil"/>
          <w:between w:val="nil"/>
        </w:pBdr>
        <w:tabs>
          <w:tab w:val="left" w:pos="0"/>
        </w:tabs>
        <w:ind w:left="851" w:right="616"/>
        <w:jc w:val="both"/>
        <w:rPr>
          <w:rFonts w:ascii="Palatino Linotype" w:eastAsia="Palatino Linotype" w:hAnsi="Palatino Linotype" w:cs="Palatino Linotype"/>
          <w:i/>
          <w:color w:val="000000"/>
        </w:rPr>
      </w:pPr>
    </w:p>
    <w:p w14:paraId="51FC6D3E" w14:textId="77777777" w:rsidR="006B0FFC" w:rsidRDefault="00B4290D" w:rsidP="00A46A62">
      <w:pPr>
        <w:pStyle w:val="Ttulo1"/>
        <w:spacing w:before="0"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INCONFORMIDAD</w:t>
      </w:r>
    </w:p>
    <w:p w14:paraId="5BF7BFC2" w14:textId="77777777" w:rsidR="006B0FFC" w:rsidRDefault="006B0FFC">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rPr>
      </w:pPr>
    </w:p>
    <w:p w14:paraId="4A846651" w14:textId="77777777" w:rsidR="006B0FFC" w:rsidRDefault="00B4290D">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veintidós de marzo de dos mil veinticuatro</w:t>
      </w:r>
      <w:r>
        <w:rPr>
          <w:rFonts w:ascii="Palatino Linotype" w:eastAsia="Palatino Linotype" w:hAnsi="Palatino Linotype" w:cs="Palatino Linotype"/>
          <w:color w:val="000000"/>
        </w:rPr>
        <w:t>, el particular interpuso el recurso de revisión en contra de la respuesta, manifestando las siguientes razones o motivos de inconformidad:</w:t>
      </w:r>
    </w:p>
    <w:p w14:paraId="54562065" w14:textId="77777777" w:rsidR="006B0FFC" w:rsidRDefault="006B0FFC">
      <w:pPr>
        <w:pBdr>
          <w:top w:val="nil"/>
          <w:left w:val="nil"/>
          <w:bottom w:val="nil"/>
          <w:right w:val="nil"/>
          <w:between w:val="nil"/>
        </w:pBdr>
        <w:tabs>
          <w:tab w:val="left" w:pos="0"/>
        </w:tabs>
        <w:spacing w:line="360" w:lineRule="auto"/>
        <w:ind w:right="1183"/>
        <w:jc w:val="both"/>
        <w:rPr>
          <w:rFonts w:ascii="Palatino Linotype" w:eastAsia="Palatino Linotype" w:hAnsi="Palatino Linotype" w:cs="Palatino Linotype"/>
          <w:i/>
          <w:color w:val="000000"/>
        </w:rPr>
      </w:pPr>
    </w:p>
    <w:p w14:paraId="07259CE9" w14:textId="77777777" w:rsidR="006B0FFC" w:rsidRDefault="00B4290D">
      <w:pPr>
        <w:numPr>
          <w:ilvl w:val="0"/>
          <w:numId w:val="2"/>
        </w:numPr>
        <w:pBdr>
          <w:top w:val="nil"/>
          <w:left w:val="nil"/>
          <w:bottom w:val="nil"/>
          <w:right w:val="nil"/>
          <w:between w:val="nil"/>
        </w:pBdr>
        <w:ind w:left="851" w:right="758"/>
        <w:jc w:val="both"/>
        <w:rPr>
          <w:rFonts w:ascii="Palatino Linotype" w:eastAsia="Palatino Linotype" w:hAnsi="Palatino Linotype" w:cs="Palatino Linotype"/>
          <w:i/>
          <w:color w:val="000000"/>
        </w:rPr>
      </w:pPr>
      <w:bookmarkStart w:id="1" w:name="_heading=h.30j0zll" w:colFirst="0" w:colLast="0"/>
      <w:bookmarkEnd w:id="1"/>
      <w:r>
        <w:rPr>
          <w:rFonts w:ascii="Palatino Linotype" w:eastAsia="Palatino Linotype" w:hAnsi="Palatino Linotype" w:cs="Palatino Linotype"/>
          <w:b/>
          <w:color w:val="000000"/>
        </w:rPr>
        <w:t xml:space="preserve">Acto impugnado: </w:t>
      </w:r>
      <w:r>
        <w:rPr>
          <w:rFonts w:ascii="Palatino Linotype" w:eastAsia="Palatino Linotype" w:hAnsi="Palatino Linotype" w:cs="Palatino Linotype"/>
          <w:i/>
          <w:color w:val="000000"/>
        </w:rPr>
        <w:t>“Solicitud con número de folio 00067/SSALUD/IP/2024, presentada el día veintidós de febrero de dos mil veinticuatro.”</w:t>
      </w:r>
    </w:p>
    <w:p w14:paraId="49013E6E" w14:textId="77777777" w:rsidR="006B0FFC" w:rsidRDefault="00B4290D">
      <w:pPr>
        <w:pBdr>
          <w:top w:val="nil"/>
          <w:left w:val="nil"/>
          <w:bottom w:val="nil"/>
          <w:right w:val="nil"/>
          <w:between w:val="nil"/>
        </w:pBdr>
        <w:tabs>
          <w:tab w:val="left" w:pos="7020"/>
        </w:tabs>
        <w:ind w:left="851" w:right="758"/>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ab/>
      </w:r>
    </w:p>
    <w:p w14:paraId="4FC4ED1C" w14:textId="77777777" w:rsidR="006B0FFC" w:rsidRDefault="00B4290D">
      <w:pPr>
        <w:numPr>
          <w:ilvl w:val="0"/>
          <w:numId w:val="2"/>
        </w:numPr>
        <w:pBdr>
          <w:top w:val="nil"/>
          <w:left w:val="nil"/>
          <w:bottom w:val="nil"/>
          <w:right w:val="nil"/>
          <w:between w:val="nil"/>
        </w:pBdr>
        <w:ind w:left="851" w:right="758"/>
        <w:jc w:val="both"/>
        <w:rPr>
          <w:rFonts w:ascii="Palatino Linotype" w:eastAsia="Palatino Linotype" w:hAnsi="Palatino Linotype" w:cs="Palatino Linotype"/>
          <w:i/>
          <w:color w:val="000000"/>
        </w:rPr>
      </w:pPr>
      <w:bookmarkStart w:id="2" w:name="_heading=h.1fob9te" w:colFirst="0" w:colLast="0"/>
      <w:bookmarkEnd w:id="2"/>
      <w:r>
        <w:rPr>
          <w:rFonts w:ascii="Palatino Linotype" w:eastAsia="Palatino Linotype" w:hAnsi="Palatino Linotype" w:cs="Palatino Linotype"/>
          <w:b/>
          <w:color w:val="000000"/>
        </w:rPr>
        <w:t xml:space="preserve">Razones o Motivos de inconformidad: </w:t>
      </w:r>
      <w:r>
        <w:rPr>
          <w:rFonts w:ascii="Palatino Linotype" w:eastAsia="Palatino Linotype" w:hAnsi="Palatino Linotype" w:cs="Palatino Linotype"/>
          <w:i/>
          <w:color w:val="000000"/>
        </w:rPr>
        <w:t>“No se esta de acuerdo con lo recibido ya que se solicito información sobre el convenio firmado por el Instituto de Seguridad y Servicios Sociales de los Trabajadores del Estado (ISSSTE) y el Instituto de Salud del Estado de México, más no con el ISSEMYN, por lo que no se atendió a la información solicitada..”</w:t>
      </w:r>
    </w:p>
    <w:p w14:paraId="50C91B45" w14:textId="77777777" w:rsidR="006B0FFC" w:rsidRDefault="006B0FFC">
      <w:pPr>
        <w:pBdr>
          <w:top w:val="nil"/>
          <w:left w:val="nil"/>
          <w:bottom w:val="nil"/>
          <w:right w:val="nil"/>
          <w:between w:val="nil"/>
        </w:pBdr>
        <w:ind w:left="720"/>
        <w:rPr>
          <w:rFonts w:ascii="Palatino Linotype" w:eastAsia="Palatino Linotype" w:hAnsi="Palatino Linotype" w:cs="Palatino Linotype"/>
          <w:i/>
          <w:color w:val="000000"/>
        </w:rPr>
      </w:pPr>
    </w:p>
    <w:p w14:paraId="4E280693" w14:textId="77777777" w:rsidR="006B0FFC" w:rsidRDefault="006B0FFC">
      <w:pPr>
        <w:jc w:val="both"/>
        <w:rPr>
          <w:rFonts w:ascii="Palatino Linotype" w:eastAsia="Palatino Linotype" w:hAnsi="Palatino Linotype" w:cs="Palatino Linotype"/>
        </w:rPr>
      </w:pPr>
    </w:p>
    <w:p w14:paraId="70910D71" w14:textId="77777777" w:rsidR="006B0FFC" w:rsidRDefault="00B4290D" w:rsidP="00A46A62">
      <w:pPr>
        <w:pStyle w:val="Ttulo1"/>
        <w:spacing w:before="0"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MANIFESTACIONES</w:t>
      </w:r>
    </w:p>
    <w:p w14:paraId="07BD924E" w14:textId="77777777" w:rsidR="006B0FFC" w:rsidRDefault="006B0FFC">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14:paraId="0EA25D55" w14:textId="77777777" w:rsidR="006B0FFC" w:rsidRDefault="00B4290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notificado en fecha </w:t>
      </w:r>
      <w:r>
        <w:rPr>
          <w:rFonts w:ascii="Palatino Linotype" w:eastAsia="Palatino Linotype" w:hAnsi="Palatino Linotype" w:cs="Palatino Linotype"/>
          <w:b/>
          <w:color w:val="000000"/>
        </w:rPr>
        <w:t>primero de abril de dos mil veinticuatro</w:t>
      </w:r>
      <w:r>
        <w:rPr>
          <w:rFonts w:ascii="Palatino Linotype" w:eastAsia="Palatino Linotype" w:hAnsi="Palatino Linotype" w:cs="Palatino Linotype"/>
          <w:color w:val="000000"/>
        </w:rPr>
        <w:t xml:space="preserve">, puso a disposición de las partes el expediente electrónico vía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 xml:space="preserve">a efecto de que en un plazo máximo de siete </w:t>
      </w:r>
      <w:r>
        <w:rPr>
          <w:rFonts w:ascii="Palatino Linotype" w:eastAsia="Palatino Linotype" w:hAnsi="Palatino Linotype" w:cs="Palatino Linotype"/>
          <w:color w:val="000000"/>
        </w:rPr>
        <w:lastRenderedPageBreak/>
        <w:t xml:space="preserve">días manifestaran lo que a su derecho conviniera, ofrecieran pruebas y alegatos según corresponda a los casos concretos, y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presentara el Informe Justificado procedente.</w:t>
      </w:r>
    </w:p>
    <w:p w14:paraId="05E332B1" w14:textId="77777777" w:rsidR="006B0FFC" w:rsidRDefault="006B0FF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81C553D" w14:textId="77777777" w:rsidR="006B0FFC" w:rsidRDefault="00B4290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en fecha veinticinco de abril de dos mil veinticuatro, presentó su informe justificado, mismo que fue puesto a la vista el veinticuatro de octubre del mismo año, a través del archivo siguiente:</w:t>
      </w:r>
    </w:p>
    <w:p w14:paraId="71FEF40D" w14:textId="77777777" w:rsidR="006B0FFC" w:rsidRDefault="006B0FFC">
      <w:pPr>
        <w:pBdr>
          <w:top w:val="nil"/>
          <w:left w:val="nil"/>
          <w:bottom w:val="nil"/>
          <w:right w:val="nil"/>
          <w:between w:val="nil"/>
        </w:pBdr>
        <w:ind w:left="720"/>
        <w:rPr>
          <w:rFonts w:ascii="Palatino Linotype" w:eastAsia="Palatino Linotype" w:hAnsi="Palatino Linotype" w:cs="Palatino Linotype"/>
          <w:color w:val="000000"/>
        </w:rPr>
      </w:pPr>
    </w:p>
    <w:p w14:paraId="5CE59054" w14:textId="77777777" w:rsidR="006B0FFC" w:rsidRDefault="0096265C">
      <w:pPr>
        <w:numPr>
          <w:ilvl w:val="0"/>
          <w:numId w:val="10"/>
        </w:numPr>
        <w:pBdr>
          <w:top w:val="nil"/>
          <w:left w:val="nil"/>
          <w:bottom w:val="nil"/>
          <w:right w:val="nil"/>
          <w:between w:val="nil"/>
        </w:pBdr>
        <w:ind w:right="758"/>
        <w:jc w:val="both"/>
        <w:rPr>
          <w:rFonts w:ascii="Palatino Linotype" w:eastAsia="Palatino Linotype" w:hAnsi="Palatino Linotype" w:cs="Palatino Linotype"/>
          <w:b/>
        </w:rPr>
      </w:pPr>
      <w:hyperlink r:id="rId9">
        <w:r w:rsidR="00B4290D">
          <w:rPr>
            <w:rFonts w:ascii="Palatino Linotype" w:eastAsia="Palatino Linotype" w:hAnsi="Palatino Linotype" w:cs="Palatino Linotype"/>
            <w:b/>
            <w:i/>
            <w:color w:val="000000"/>
          </w:rPr>
          <w:t>saimex CASS12-04-2024-114915.pdf</w:t>
        </w:r>
      </w:hyperlink>
      <w:r w:rsidR="00B4290D">
        <w:rPr>
          <w:rFonts w:ascii="Palatino Linotype" w:eastAsia="Palatino Linotype" w:hAnsi="Palatino Linotype" w:cs="Palatino Linotype"/>
          <w:b/>
          <w:i/>
        </w:rPr>
        <w:t xml:space="preserve">, </w:t>
      </w:r>
      <w:r w:rsidR="00B4290D">
        <w:rPr>
          <w:rFonts w:ascii="Palatino Linotype" w:eastAsia="Palatino Linotype" w:hAnsi="Palatino Linotype" w:cs="Palatino Linotype"/>
        </w:rPr>
        <w:t>del que se desprende el oficio de once de abril de dos mil veinticuatro, firmado por la Coordinadora Administrativa por el cual informo lo siguiente:</w:t>
      </w:r>
    </w:p>
    <w:p w14:paraId="6DDEDF39" w14:textId="77777777" w:rsidR="006B0FFC" w:rsidRDefault="006B0FFC">
      <w:pPr>
        <w:pBdr>
          <w:top w:val="nil"/>
          <w:left w:val="nil"/>
          <w:bottom w:val="nil"/>
          <w:right w:val="nil"/>
          <w:between w:val="nil"/>
        </w:pBdr>
        <w:ind w:left="1080" w:right="758"/>
        <w:jc w:val="both"/>
        <w:rPr>
          <w:rFonts w:ascii="Palatino Linotype" w:eastAsia="Palatino Linotype" w:hAnsi="Palatino Linotype" w:cs="Palatino Linotype"/>
        </w:rPr>
      </w:pPr>
    </w:p>
    <w:p w14:paraId="1A267F73" w14:textId="77777777" w:rsidR="006B0FFC" w:rsidRDefault="00B4290D">
      <w:pPr>
        <w:pBdr>
          <w:top w:val="nil"/>
          <w:left w:val="nil"/>
          <w:bottom w:val="nil"/>
          <w:right w:val="nil"/>
          <w:between w:val="nil"/>
        </w:pBdr>
        <w:ind w:left="1080" w:right="758"/>
        <w:jc w:val="both"/>
        <w:rPr>
          <w:rFonts w:ascii="Palatino Linotype" w:eastAsia="Palatino Linotype" w:hAnsi="Palatino Linotype" w:cs="Palatino Linotype"/>
          <w:b/>
          <w:i/>
        </w:rPr>
      </w:pPr>
      <w:r>
        <w:rPr>
          <w:rFonts w:ascii="Palatino Linotype" w:eastAsia="Palatino Linotype" w:hAnsi="Palatino Linotype" w:cs="Palatino Linotype"/>
          <w:i/>
        </w:rPr>
        <w:t>“Le informo que esta Coordinación Administrativa de la Secretaria de Salud del Estado de México, se ve imposibilitada de proporcionar la información requerida, en virtud de que no está en el ámbito de nuestras atribuciones poseer tal documentación; sin embargo, se le sugiere respetuosamente, redireccionar su petición al Instituto de Seguridad y Servicios Sociales de los Trabajadores o el Instituto de Salud del Estado de México” (sic)</w:t>
      </w:r>
    </w:p>
    <w:p w14:paraId="51F42E6D" w14:textId="77777777" w:rsidR="006B0FFC" w:rsidRDefault="006B0FFC">
      <w:pPr>
        <w:pBdr>
          <w:top w:val="nil"/>
          <w:left w:val="nil"/>
          <w:bottom w:val="nil"/>
          <w:right w:val="nil"/>
          <w:between w:val="nil"/>
        </w:pBdr>
        <w:ind w:left="1080" w:right="758"/>
        <w:jc w:val="both"/>
        <w:rPr>
          <w:rFonts w:ascii="Palatino Linotype" w:eastAsia="Palatino Linotype" w:hAnsi="Palatino Linotype" w:cs="Palatino Linotype"/>
          <w:color w:val="000000"/>
        </w:rPr>
      </w:pPr>
    </w:p>
    <w:p w14:paraId="1FA5E8A9" w14:textId="77777777" w:rsidR="006B0FFC" w:rsidRDefault="00B4290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su parte el </w:t>
      </w:r>
      <w:r>
        <w:rPr>
          <w:rFonts w:ascii="Palatino Linotype" w:eastAsia="Palatino Linotype" w:hAnsi="Palatino Linotype" w:cs="Palatino Linotype"/>
          <w:b/>
          <w:color w:val="000000"/>
        </w:rPr>
        <w:t xml:space="preserve">PARTICULAR, </w:t>
      </w:r>
      <w:r>
        <w:rPr>
          <w:rFonts w:ascii="Palatino Linotype" w:eastAsia="Palatino Linotype" w:hAnsi="Palatino Linotype" w:cs="Palatino Linotype"/>
          <w:color w:val="000000"/>
        </w:rPr>
        <w:t>hizo uso de su derecho a través de los archivos de fecha doce y cuatro de abril del dos mil veinticuatro, de los cuales se desprende lo siguiente:</w:t>
      </w:r>
    </w:p>
    <w:p w14:paraId="3ADB65CD" w14:textId="77777777" w:rsidR="006B0FFC" w:rsidRDefault="006B0FFC">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rPr>
      </w:pPr>
    </w:p>
    <w:p w14:paraId="0DDD2B1D" w14:textId="77777777" w:rsidR="006B0FFC" w:rsidRDefault="0096265C">
      <w:pPr>
        <w:numPr>
          <w:ilvl w:val="0"/>
          <w:numId w:val="5"/>
        </w:numPr>
        <w:pBdr>
          <w:top w:val="nil"/>
          <w:left w:val="nil"/>
          <w:bottom w:val="nil"/>
          <w:right w:val="nil"/>
          <w:between w:val="nil"/>
        </w:pBdr>
        <w:spacing w:line="360" w:lineRule="auto"/>
        <w:rPr>
          <w:rFonts w:ascii="Palatino Linotype" w:eastAsia="Palatino Linotype" w:hAnsi="Palatino Linotype" w:cs="Palatino Linotype"/>
          <w:b/>
          <w:i/>
          <w:color w:val="000000"/>
        </w:rPr>
      </w:pPr>
      <w:hyperlink r:id="rId10">
        <w:r w:rsidR="00B4290D">
          <w:rPr>
            <w:rFonts w:ascii="Palatino Linotype" w:eastAsia="Palatino Linotype" w:hAnsi="Palatino Linotype" w:cs="Palatino Linotype"/>
            <w:b/>
            <w:i/>
            <w:color w:val="000000"/>
          </w:rPr>
          <w:t>sol 00067 2024 (1).pdf</w:t>
        </w:r>
      </w:hyperlink>
      <w:r w:rsidR="00B4290D">
        <w:rPr>
          <w:rFonts w:ascii="Palatino Linotype" w:eastAsia="Palatino Linotype" w:hAnsi="Palatino Linotype" w:cs="Palatino Linotype"/>
          <w:b/>
          <w:i/>
          <w:color w:val="000000"/>
        </w:rPr>
        <w:t xml:space="preserve">; </w:t>
      </w:r>
      <w:r w:rsidR="00B4290D">
        <w:rPr>
          <w:rFonts w:ascii="Palatino Linotype" w:eastAsia="Palatino Linotype" w:hAnsi="Palatino Linotype" w:cs="Palatino Linotype"/>
          <w:color w:val="000000"/>
        </w:rPr>
        <w:lastRenderedPageBreak/>
        <w:t xml:space="preserve">cuyo contenido corresponde a la respuesta proporcionada por el </w:t>
      </w:r>
      <w:r w:rsidR="00B4290D">
        <w:rPr>
          <w:rFonts w:ascii="Palatino Linotype" w:eastAsia="Palatino Linotype" w:hAnsi="Palatino Linotype" w:cs="Palatino Linotype"/>
          <w:b/>
          <w:color w:val="000000"/>
        </w:rPr>
        <w:t>SUJETO OBLIGADO.</w:t>
      </w:r>
    </w:p>
    <w:p w14:paraId="78CBAF81" w14:textId="77777777" w:rsidR="006B0FFC" w:rsidRDefault="006B0FFC">
      <w:pPr>
        <w:spacing w:line="360" w:lineRule="auto"/>
        <w:ind w:left="360"/>
        <w:rPr>
          <w:rFonts w:ascii="Palatino Linotype" w:eastAsia="Palatino Linotype" w:hAnsi="Palatino Linotype" w:cs="Palatino Linotype"/>
          <w:b/>
          <w:i/>
        </w:rPr>
      </w:pPr>
    </w:p>
    <w:p w14:paraId="3918DC01" w14:textId="77777777" w:rsidR="006B0FFC" w:rsidRDefault="00B4290D">
      <w:pPr>
        <w:numPr>
          <w:ilvl w:val="0"/>
          <w:numId w:val="5"/>
        </w:numPr>
        <w:pBdr>
          <w:top w:val="nil"/>
          <w:left w:val="nil"/>
          <w:bottom w:val="nil"/>
          <w:right w:val="nil"/>
          <w:between w:val="nil"/>
        </w:pBdr>
        <w:spacing w:line="360" w:lineRule="auto"/>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 xml:space="preserve">saimex CASS12-04-2024-114915.pdf </w:t>
      </w:r>
      <w:r>
        <w:rPr>
          <w:rFonts w:ascii="Palatino Linotype" w:eastAsia="Palatino Linotype" w:hAnsi="Palatino Linotype" w:cs="Palatino Linotype"/>
          <w:color w:val="000000"/>
        </w:rPr>
        <w:t xml:space="preserve">cuyo contenido corresponde al informe justificado remitido por el </w:t>
      </w:r>
      <w:r>
        <w:rPr>
          <w:rFonts w:ascii="Palatino Linotype" w:eastAsia="Palatino Linotype" w:hAnsi="Palatino Linotype" w:cs="Palatino Linotype"/>
          <w:b/>
          <w:color w:val="000000"/>
        </w:rPr>
        <w:t>SUJETO OBLIGADO.</w:t>
      </w:r>
    </w:p>
    <w:p w14:paraId="09BCDAD3" w14:textId="77777777" w:rsidR="006B0FFC" w:rsidRDefault="006B0FFC">
      <w:pPr>
        <w:pBdr>
          <w:top w:val="nil"/>
          <w:left w:val="nil"/>
          <w:bottom w:val="nil"/>
          <w:right w:val="nil"/>
          <w:between w:val="nil"/>
        </w:pBdr>
        <w:ind w:left="720"/>
        <w:rPr>
          <w:rFonts w:ascii="Palatino Linotype" w:eastAsia="Palatino Linotype" w:hAnsi="Palatino Linotype" w:cs="Palatino Linotype"/>
          <w:b/>
          <w:i/>
          <w:color w:val="000000"/>
        </w:rPr>
      </w:pPr>
    </w:p>
    <w:p w14:paraId="2D237691" w14:textId="77777777" w:rsidR="006B0FFC" w:rsidRDefault="006B0FFC">
      <w:pPr>
        <w:pBdr>
          <w:top w:val="nil"/>
          <w:left w:val="nil"/>
          <w:bottom w:val="nil"/>
          <w:right w:val="nil"/>
          <w:between w:val="nil"/>
        </w:pBdr>
        <w:spacing w:line="360" w:lineRule="auto"/>
        <w:ind w:left="720"/>
        <w:rPr>
          <w:rFonts w:ascii="Palatino Linotype" w:eastAsia="Palatino Linotype" w:hAnsi="Palatino Linotype" w:cs="Palatino Linotype"/>
          <w:b/>
          <w:i/>
          <w:color w:val="000000"/>
        </w:rPr>
      </w:pPr>
    </w:p>
    <w:p w14:paraId="44886F11" w14:textId="77777777" w:rsidR="006B0FFC" w:rsidRDefault="00B4290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3" w:name="_heading=h.3znysh7" w:colFirst="0" w:colLast="0"/>
      <w:bookmarkEnd w:id="3"/>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 xml:space="preserve">once de junio de dos mil veinticuatro, </w:t>
      </w:r>
      <w:r>
        <w:rPr>
          <w:rFonts w:ascii="Palatino Linotype" w:eastAsia="Palatino Linotype" w:hAnsi="Palatino Linotype" w:cs="Palatino Linotype"/>
          <w:color w:val="000000"/>
        </w:rPr>
        <w:t xml:space="preserve"> se notificó el acuerdo por el que se amplió el plazo para la resolución del presente proyecto.</w:t>
      </w:r>
    </w:p>
    <w:p w14:paraId="4119C993" w14:textId="77777777" w:rsidR="006B0FFC" w:rsidRDefault="006B0FFC">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1556E38C" w14:textId="77777777" w:rsidR="006B0FFC" w:rsidRDefault="00B4290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41642EDA" w14:textId="77777777" w:rsidR="006B0FFC" w:rsidRDefault="006B0FFC">
      <w:pPr>
        <w:pBdr>
          <w:top w:val="nil"/>
          <w:left w:val="nil"/>
          <w:bottom w:val="nil"/>
          <w:right w:val="nil"/>
          <w:between w:val="nil"/>
        </w:pBdr>
        <w:ind w:left="720"/>
        <w:rPr>
          <w:rFonts w:ascii="Palatino Linotype" w:eastAsia="Palatino Linotype" w:hAnsi="Palatino Linotype" w:cs="Palatino Linotype"/>
          <w:color w:val="000000"/>
        </w:rPr>
      </w:pPr>
    </w:p>
    <w:p w14:paraId="3B66357E" w14:textId="77777777" w:rsidR="006B0FFC" w:rsidRDefault="00B4290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5B1EE383" w14:textId="77777777" w:rsidR="006B0FFC" w:rsidRDefault="006B0FFC">
      <w:pPr>
        <w:pBdr>
          <w:top w:val="nil"/>
          <w:left w:val="nil"/>
          <w:bottom w:val="nil"/>
          <w:right w:val="nil"/>
          <w:between w:val="nil"/>
        </w:pBdr>
        <w:ind w:left="720"/>
        <w:rPr>
          <w:rFonts w:ascii="Palatino Linotype" w:eastAsia="Palatino Linotype" w:hAnsi="Palatino Linotype" w:cs="Palatino Linotype"/>
          <w:color w:val="000000"/>
        </w:rPr>
      </w:pPr>
    </w:p>
    <w:p w14:paraId="4B0AF008" w14:textId="77777777" w:rsidR="006B0FFC" w:rsidRDefault="00B4290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DA73BC5" w14:textId="77777777" w:rsidR="006B0FFC" w:rsidRDefault="006B0FFC">
      <w:pPr>
        <w:pBdr>
          <w:top w:val="nil"/>
          <w:left w:val="nil"/>
          <w:bottom w:val="nil"/>
          <w:right w:val="nil"/>
          <w:between w:val="nil"/>
        </w:pBdr>
        <w:ind w:left="720"/>
        <w:rPr>
          <w:rFonts w:ascii="Palatino Linotype" w:eastAsia="Palatino Linotype" w:hAnsi="Palatino Linotype" w:cs="Palatino Linotype"/>
          <w:color w:val="000000"/>
        </w:rPr>
      </w:pPr>
    </w:p>
    <w:p w14:paraId="13ACDEBE" w14:textId="77777777" w:rsidR="006B0FFC" w:rsidRDefault="00B4290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9E9E155" w14:textId="77777777" w:rsidR="006B0FFC" w:rsidRDefault="006B0FFC">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4C767091" w14:textId="77777777" w:rsidR="006B0FFC" w:rsidRDefault="00B4290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Por ello, excepcionalmente, si un asunto es resuelto con posterioridad a los plazos señalados por la norma debe analizarse la razonabilidad de dicha dilación atendiendo a los siguientes criterios:</w:t>
      </w:r>
    </w:p>
    <w:p w14:paraId="76C939B9" w14:textId="77777777" w:rsidR="006B0FFC" w:rsidRDefault="00B4290D">
      <w:pPr>
        <w:numPr>
          <w:ilvl w:val="0"/>
          <w:numId w:val="6"/>
        </w:num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20B86040" w14:textId="77777777" w:rsidR="006B0FFC" w:rsidRDefault="00B4290D">
      <w:pPr>
        <w:numPr>
          <w:ilvl w:val="0"/>
          <w:numId w:val="6"/>
        </w:num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Actividad Procesal del interesado. Acciones u omisiones del interesado.</w:t>
      </w:r>
    </w:p>
    <w:p w14:paraId="5C513C68" w14:textId="77777777" w:rsidR="006B0FFC" w:rsidRDefault="00B4290D">
      <w:pPr>
        <w:numPr>
          <w:ilvl w:val="0"/>
          <w:numId w:val="6"/>
        </w:num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Conducta de la Autoridad: Las Acciones u omisiones realizadas en el procedimiento. Así como si la autoridad actuó con la debida diligencia.</w:t>
      </w:r>
    </w:p>
    <w:p w14:paraId="338754B9" w14:textId="77777777" w:rsidR="006B0FFC" w:rsidRDefault="00B4290D">
      <w:pPr>
        <w:spacing w:line="360" w:lineRule="auto"/>
        <w:ind w:left="851" w:hanging="284"/>
        <w:jc w:val="both"/>
        <w:rPr>
          <w:rFonts w:ascii="Palatino Linotype" w:eastAsia="Palatino Linotype" w:hAnsi="Palatino Linotype" w:cs="Palatino Linotype"/>
        </w:rPr>
      </w:pPr>
      <w:r>
        <w:rPr>
          <w:rFonts w:ascii="Palatino Linotype" w:eastAsia="Palatino Linotype" w:hAnsi="Palatino Linotype" w:cs="Palatino Linotype"/>
        </w:rPr>
        <w:t>d) La afectación generada en la situación jurídica de la persona involucrada en el proceso: Violación a sus derechos humanos.</w:t>
      </w:r>
    </w:p>
    <w:p w14:paraId="69CA091B" w14:textId="77777777" w:rsidR="006B0FFC" w:rsidRDefault="006B0FFC">
      <w:pPr>
        <w:ind w:left="708"/>
        <w:rPr>
          <w:rFonts w:ascii="Palatino Linotype" w:eastAsia="Palatino Linotype" w:hAnsi="Palatino Linotype" w:cs="Palatino Linotype"/>
          <w:b/>
          <w:color w:val="000000"/>
        </w:rPr>
      </w:pPr>
    </w:p>
    <w:p w14:paraId="06CC5117" w14:textId="77777777" w:rsidR="006B0FFC" w:rsidRDefault="00B4290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De modo que, cuando se trate de un asunto excepcional, por alguna o todas las características mencionadas o bien, cuando el ingreso de asuntos al órgano jurisdiccional o cuasi jurisdiccional respectivo supere notoriamente al que podría </w:t>
      </w:r>
      <w:r>
        <w:rPr>
          <w:rFonts w:ascii="Palatino Linotype" w:eastAsia="Palatino Linotype" w:hAnsi="Palatino Linotype" w:cs="Palatino Linotype"/>
          <w:color w:val="000000"/>
        </w:rPr>
        <w:lastRenderedPageBreak/>
        <w:t>considerarse normal, debe concluirse que es una excluyente de responsabilidad en relación con la actuación del funcionario, como ha acontecido en el caso que nos ocupa.</w:t>
      </w:r>
    </w:p>
    <w:p w14:paraId="674F91A1" w14:textId="77777777" w:rsidR="006B0FFC" w:rsidRDefault="006B0FFC">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7292C91E" w14:textId="77777777" w:rsidR="006B0FFC" w:rsidRDefault="00B4290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de rubro </w:t>
      </w:r>
      <w:r>
        <w:rPr>
          <w:rFonts w:ascii="Palatino Linotype" w:eastAsia="Palatino Linotype" w:hAnsi="Palatino Linotype" w:cs="Palatino Linotype"/>
          <w:i/>
          <w:color w:val="000000"/>
        </w:rPr>
        <w:t xml:space="preserve">“TÉRMINOS PROCESALES. PARA DETERMINAR SI UN FUNCIONARIO JUDICIAL ACTUÓ </w:t>
      </w:r>
      <w:r>
        <w:rPr>
          <w:rFonts w:ascii="Palatino Linotype" w:eastAsia="Palatino Linotype" w:hAnsi="Palatino Linotype" w:cs="Palatino Linotype"/>
          <w:color w:val="000000"/>
        </w:rPr>
        <w:t>INDEBIDAMENTE</w:t>
      </w:r>
      <w:r>
        <w:rPr>
          <w:rFonts w:ascii="Palatino Linotype" w:eastAsia="Palatino Linotype" w:hAnsi="Palatino Linotype" w:cs="Palatino Linotype"/>
          <w:i/>
          <w:color w:val="000000"/>
        </w:rPr>
        <w:t xml:space="preserve"> POR NO RESPETARLOS SE DEBE ATENDER AL PRESUPUESTO QUE CONSIDERÓ EL LEGISLADOR AL FIJARLOS Y LAS CARACTERÍSTICAS DEL CASO.”</w:t>
      </w:r>
      <w:r>
        <w:rPr>
          <w:rFonts w:ascii="Palatino Linotype" w:eastAsia="Palatino Linotype" w:hAnsi="Palatino Linotype" w:cs="Palatino Linotype"/>
          <w:color w:val="000000"/>
        </w:rPr>
        <w:t>, visible en la Gaceta del Seminario Judicial de la Federación con el registro digital 205635.</w:t>
      </w:r>
    </w:p>
    <w:p w14:paraId="043A78DE" w14:textId="77777777" w:rsidR="006B0FFC" w:rsidRDefault="006B0FFC">
      <w:pPr>
        <w:pBdr>
          <w:top w:val="nil"/>
          <w:left w:val="nil"/>
          <w:bottom w:val="nil"/>
          <w:right w:val="nil"/>
          <w:between w:val="nil"/>
        </w:pBdr>
        <w:ind w:left="720"/>
        <w:rPr>
          <w:rFonts w:ascii="Palatino Linotype" w:eastAsia="Palatino Linotype" w:hAnsi="Palatino Linotype" w:cs="Palatino Linotype"/>
          <w:b/>
          <w:color w:val="000000"/>
        </w:rPr>
      </w:pPr>
    </w:p>
    <w:p w14:paraId="523B7E97" w14:textId="77777777" w:rsidR="006B0FFC" w:rsidRDefault="00B4290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F744B8F" w14:textId="77777777" w:rsidR="006B0FFC" w:rsidRDefault="006B0FFC">
      <w:pPr>
        <w:pBdr>
          <w:top w:val="nil"/>
          <w:left w:val="nil"/>
          <w:bottom w:val="nil"/>
          <w:right w:val="nil"/>
          <w:between w:val="nil"/>
        </w:pBdr>
        <w:ind w:left="720"/>
        <w:rPr>
          <w:rFonts w:ascii="Palatino Linotype" w:eastAsia="Palatino Linotype" w:hAnsi="Palatino Linotype" w:cs="Palatino Linotype"/>
          <w:b/>
          <w:color w:val="000000"/>
        </w:rPr>
      </w:pPr>
    </w:p>
    <w:p w14:paraId="3B838B96" w14:textId="77777777" w:rsidR="006B0FFC" w:rsidRDefault="00B4290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lastRenderedPageBreak/>
        <w:t>Por ello, este organismo garante comprometido con la tutela de los derechos humanos confiados, señala que este exceso del plazo legal para resolver el presente asunto, resulta de carácter excepcional.</w:t>
      </w:r>
    </w:p>
    <w:p w14:paraId="408EBCC7" w14:textId="77777777" w:rsidR="006B0FFC" w:rsidRDefault="006B0FFC">
      <w:pPr>
        <w:pBdr>
          <w:top w:val="nil"/>
          <w:left w:val="nil"/>
          <w:bottom w:val="nil"/>
          <w:right w:val="nil"/>
          <w:between w:val="nil"/>
        </w:pBdr>
        <w:ind w:left="720"/>
        <w:rPr>
          <w:rFonts w:ascii="Palatino Linotype" w:eastAsia="Palatino Linotype" w:hAnsi="Palatino Linotype" w:cs="Palatino Linotype"/>
          <w:b/>
          <w:color w:val="000000"/>
        </w:rPr>
      </w:pPr>
    </w:p>
    <w:p w14:paraId="3EECFC7A" w14:textId="77777777" w:rsidR="006B0FFC" w:rsidRDefault="00B4290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249EBA86" w14:textId="77777777" w:rsidR="006B0FFC" w:rsidRDefault="006B0FFC">
      <w:pPr>
        <w:pBdr>
          <w:top w:val="nil"/>
          <w:left w:val="nil"/>
          <w:bottom w:val="nil"/>
          <w:right w:val="nil"/>
          <w:between w:val="nil"/>
        </w:pBdr>
        <w:ind w:left="720"/>
        <w:rPr>
          <w:rFonts w:ascii="Palatino Linotype" w:eastAsia="Palatino Linotype" w:hAnsi="Palatino Linotype" w:cs="Palatino Linotype"/>
          <w:b/>
          <w:color w:val="000000"/>
        </w:rPr>
      </w:pPr>
    </w:p>
    <w:p w14:paraId="78667739" w14:textId="77777777" w:rsidR="006B0FFC" w:rsidRDefault="006B0FFC">
      <w:pPr>
        <w:spacing w:line="360" w:lineRule="auto"/>
        <w:jc w:val="both"/>
        <w:rPr>
          <w:rFonts w:ascii="Palatino Linotype" w:eastAsia="Palatino Linotype" w:hAnsi="Palatino Linotype" w:cs="Palatino Linotype"/>
          <w:b/>
          <w:color w:val="000000"/>
        </w:rPr>
      </w:pPr>
    </w:p>
    <w:p w14:paraId="0DF8D007" w14:textId="77777777" w:rsidR="006B0FFC" w:rsidRDefault="00B4290D">
      <w:pPr>
        <w:spacing w:line="360" w:lineRule="auto"/>
        <w:ind w:left="425" w:right="47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“PLAZO RAZONABLE PARA RESOLVER. DIMENSIÓN Y EFECTOS DE ESTE CONCEPTO CUANDO SE ADUCE EXCESIVA CARGA DE TRABAJO.”</w:t>
      </w:r>
      <w:r>
        <w:rPr>
          <w:rFonts w:ascii="Palatino Linotype" w:eastAsia="Palatino Linotype" w:hAnsi="Palatino Linotype" w:cs="Palatino Linotype"/>
          <w:sz w:val="22"/>
          <w:szCs w:val="22"/>
        </w:rPr>
        <w:t xml:space="preserve"> consultable en el Seminario Judicial de la Federación y su gaceta, con el registro digital 2002351.</w:t>
      </w:r>
    </w:p>
    <w:p w14:paraId="1D515C02" w14:textId="77777777" w:rsidR="006B0FFC" w:rsidRDefault="006B0FFC">
      <w:pPr>
        <w:spacing w:line="360" w:lineRule="auto"/>
        <w:ind w:left="425" w:right="476"/>
        <w:jc w:val="both"/>
        <w:rPr>
          <w:rFonts w:ascii="Palatino Linotype" w:eastAsia="Palatino Linotype" w:hAnsi="Palatino Linotype" w:cs="Palatino Linotype"/>
          <w:b/>
          <w:sz w:val="22"/>
          <w:szCs w:val="22"/>
        </w:rPr>
      </w:pPr>
    </w:p>
    <w:p w14:paraId="55438CCC" w14:textId="77777777" w:rsidR="006B0FFC" w:rsidRDefault="00B4290D">
      <w:pPr>
        <w:spacing w:line="360" w:lineRule="auto"/>
        <w:ind w:left="425" w:right="47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Pr>
          <w:rFonts w:ascii="Palatino Linotype" w:eastAsia="Palatino Linotype" w:hAnsi="Palatino Linotype" w:cs="Palatino Linotype"/>
          <w:sz w:val="22"/>
          <w:szCs w:val="22"/>
        </w:rPr>
        <w:t>, visible en el Seminario Judicial de la Federación y su gaceta, con el registro digital 2002350.”</w:t>
      </w:r>
    </w:p>
    <w:p w14:paraId="1B7D404F" w14:textId="77777777" w:rsidR="006B0FFC" w:rsidRDefault="006B0FFC">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2F18D424" w14:textId="77777777" w:rsidR="006B0FFC" w:rsidRDefault="00B4290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Seguidamente, mediante acuerdo de fecha</w:t>
      </w:r>
      <w:r>
        <w:rPr>
          <w:rFonts w:ascii="Palatino Linotype" w:eastAsia="Palatino Linotype" w:hAnsi="Palatino Linotype" w:cs="Palatino Linotype"/>
          <w:b/>
          <w:color w:val="000000"/>
        </w:rPr>
        <w:t xml:space="preserve"> treinta de octubre de dos mil veinticuatro</w:t>
      </w:r>
      <w:r>
        <w:rPr>
          <w:rFonts w:ascii="Palatino Linotype" w:eastAsia="Palatino Linotype" w:hAnsi="Palatino Linotype" w:cs="Palatino Linotype"/>
          <w:color w:val="000000"/>
        </w:rPr>
        <w:t xml:space="preserve"> se decretó el cierre de instrucción, por lo que no habiendo más que hacer constar, y--------------------------------------------------------------------------------------------------------------------------------------------------------------------------------------------------------</w:t>
      </w:r>
    </w:p>
    <w:p w14:paraId="668F40D1" w14:textId="77777777" w:rsidR="006B0FFC" w:rsidRDefault="006B0FFC" w:rsidP="00F762A4">
      <w:pPr>
        <w:pBdr>
          <w:top w:val="nil"/>
          <w:left w:val="nil"/>
          <w:bottom w:val="nil"/>
          <w:right w:val="nil"/>
          <w:between w:val="nil"/>
        </w:pBdr>
        <w:spacing w:line="360" w:lineRule="auto"/>
        <w:rPr>
          <w:rFonts w:ascii="Palatino Linotype" w:eastAsia="Palatino Linotype" w:hAnsi="Palatino Linotype" w:cs="Palatino Linotype"/>
          <w:b/>
          <w:color w:val="000000"/>
        </w:rPr>
      </w:pPr>
    </w:p>
    <w:p w14:paraId="20B686AB" w14:textId="77777777" w:rsidR="006B0FFC" w:rsidRDefault="00B4290D">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CONSIDERANDO</w:t>
      </w:r>
    </w:p>
    <w:p w14:paraId="15590173" w14:textId="77777777" w:rsidR="006B0FFC" w:rsidRDefault="006B0FFC">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14:paraId="12995C84" w14:textId="77777777" w:rsidR="006B0FFC" w:rsidRDefault="00B4290D">
      <w:pPr>
        <w:pStyle w:val="Ttulo2"/>
        <w:spacing w:before="0" w:line="360" w:lineRule="auto"/>
        <w:rPr>
          <w:rFonts w:ascii="Palatino Linotype" w:eastAsia="Palatino Linotype" w:hAnsi="Palatino Linotype" w:cs="Palatino Linotype"/>
          <w:b/>
          <w:color w:val="000000"/>
          <w:sz w:val="24"/>
          <w:szCs w:val="24"/>
        </w:rPr>
      </w:pPr>
      <w:bookmarkStart w:id="4" w:name="_heading=h.2et92p0" w:colFirst="0" w:colLast="0"/>
      <w:bookmarkEnd w:id="4"/>
      <w:r>
        <w:rPr>
          <w:rFonts w:ascii="Palatino Linotype" w:eastAsia="Palatino Linotype" w:hAnsi="Palatino Linotype" w:cs="Palatino Linotype"/>
          <w:b/>
          <w:color w:val="000000"/>
          <w:sz w:val="24"/>
          <w:szCs w:val="24"/>
        </w:rPr>
        <w:lastRenderedPageBreak/>
        <w:t>PRIMERO. De la competencia</w:t>
      </w:r>
    </w:p>
    <w:p w14:paraId="207EEF39" w14:textId="77777777" w:rsidR="006B0FFC" w:rsidRDefault="006B0FFC">
      <w:pPr>
        <w:spacing w:line="360" w:lineRule="auto"/>
        <w:rPr>
          <w:rFonts w:ascii="Palatino Linotype" w:eastAsia="Palatino Linotype" w:hAnsi="Palatino Linotype" w:cs="Palatino Linotype"/>
        </w:rPr>
      </w:pPr>
    </w:p>
    <w:p w14:paraId="40AC2B2F" w14:textId="77777777" w:rsidR="006B0FFC" w:rsidRDefault="00B4290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28017CDF" w14:textId="77777777" w:rsidR="006B0FFC" w:rsidRDefault="006B0FFC">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5C2045D6" w14:textId="77777777" w:rsidR="006B0FFC" w:rsidRDefault="00B4290D">
      <w:pPr>
        <w:pStyle w:val="Ttulo2"/>
        <w:spacing w:before="0" w:line="360" w:lineRule="auto"/>
        <w:rPr>
          <w:rFonts w:ascii="Palatino Linotype" w:eastAsia="Palatino Linotype" w:hAnsi="Palatino Linotype" w:cs="Palatino Linotype"/>
          <w:b/>
          <w:color w:val="000000"/>
          <w:sz w:val="24"/>
          <w:szCs w:val="24"/>
        </w:rPr>
      </w:pPr>
      <w:bookmarkStart w:id="5" w:name="_heading=h.tyjcwt" w:colFirst="0" w:colLast="0"/>
      <w:bookmarkEnd w:id="5"/>
      <w:r>
        <w:rPr>
          <w:rFonts w:ascii="Palatino Linotype" w:eastAsia="Palatino Linotype" w:hAnsi="Palatino Linotype" w:cs="Palatino Linotype"/>
          <w:b/>
          <w:color w:val="000000"/>
          <w:sz w:val="24"/>
          <w:szCs w:val="24"/>
        </w:rPr>
        <w:t>SEGUNDO. De la oportunidad y procedencia.</w:t>
      </w:r>
    </w:p>
    <w:p w14:paraId="5D23FFE0" w14:textId="77777777" w:rsidR="006B0FFC" w:rsidRDefault="006B0FFC">
      <w:pPr>
        <w:spacing w:line="360" w:lineRule="auto"/>
        <w:rPr>
          <w:rFonts w:ascii="Palatino Linotype" w:eastAsia="Palatino Linotype" w:hAnsi="Palatino Linotype" w:cs="Palatino Linotype"/>
        </w:rPr>
      </w:pPr>
    </w:p>
    <w:p w14:paraId="491C2C1C" w14:textId="77777777" w:rsidR="006B0FFC" w:rsidRDefault="00B4290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medio de impugnación fue presentado a través del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declino incompetencia el </w:t>
      </w:r>
      <w:r>
        <w:rPr>
          <w:rFonts w:ascii="Palatino Linotype" w:eastAsia="Palatino Linotype" w:hAnsi="Palatino Linotype" w:cs="Palatino Linotype"/>
          <w:b/>
          <w:color w:val="000000"/>
        </w:rPr>
        <w:t>quince de marzo de dos mil veinticuatro</w:t>
      </w:r>
      <w:r>
        <w:rPr>
          <w:rFonts w:ascii="Palatino Linotype" w:eastAsia="Palatino Linotype" w:hAnsi="Palatino Linotype" w:cs="Palatino Linotype"/>
          <w:color w:val="000000"/>
        </w:rPr>
        <w:t xml:space="preserve">, de tal forma que el plazo para interponer el recurso de revisión transcurrió del día </w:t>
      </w:r>
      <w:r>
        <w:rPr>
          <w:rFonts w:ascii="Palatino Linotype" w:eastAsia="Palatino Linotype" w:hAnsi="Palatino Linotype" w:cs="Palatino Linotype"/>
          <w:b/>
          <w:color w:val="000000"/>
        </w:rPr>
        <w:t>diecinueve de marzo al quince de abril de dos mil veinticuatro</w:t>
      </w:r>
      <w:r>
        <w:rPr>
          <w:rFonts w:ascii="Palatino Linotype" w:eastAsia="Palatino Linotype" w:hAnsi="Palatino Linotype" w:cs="Palatino Linotype"/>
          <w:color w:val="000000"/>
        </w:rPr>
        <w:t xml:space="preserve">; en consecuencia, el ahora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presentó su inconformidad el </w:t>
      </w:r>
      <w:r>
        <w:rPr>
          <w:rFonts w:ascii="Palatino Linotype" w:eastAsia="Palatino Linotype" w:hAnsi="Palatino Linotype" w:cs="Palatino Linotype"/>
          <w:b/>
          <w:color w:val="000000"/>
        </w:rPr>
        <w:t xml:space="preserve">día veintidós de marzo de dos mil </w:t>
      </w:r>
      <w:r>
        <w:rPr>
          <w:rFonts w:ascii="Palatino Linotype" w:eastAsia="Palatino Linotype" w:hAnsi="Palatino Linotype" w:cs="Palatino Linotype"/>
          <w:b/>
          <w:color w:val="000000"/>
        </w:rPr>
        <w:lastRenderedPageBreak/>
        <w:t>veinticuatro</w:t>
      </w:r>
      <w:r>
        <w:rPr>
          <w:rFonts w:ascii="Palatino Linotype" w:eastAsia="Palatino Linotype" w:hAnsi="Palatino Linotype" w:cs="Palatino Linotype"/>
          <w:color w:val="000000"/>
        </w:rPr>
        <w:t>; por lo que se estima que la inconformidad se presentó dentro del lapso legalmente establecido para tal efecto.</w:t>
      </w:r>
    </w:p>
    <w:p w14:paraId="58D5120D" w14:textId="77777777" w:rsidR="006B0FFC" w:rsidRDefault="006B0FFC">
      <w:pPr>
        <w:pBdr>
          <w:top w:val="nil"/>
          <w:left w:val="nil"/>
          <w:bottom w:val="nil"/>
          <w:right w:val="nil"/>
          <w:between w:val="nil"/>
        </w:pBdr>
        <w:ind w:left="720"/>
        <w:rPr>
          <w:rFonts w:ascii="Palatino Linotype" w:eastAsia="Palatino Linotype" w:hAnsi="Palatino Linotype" w:cs="Palatino Linotype"/>
          <w:i/>
          <w:color w:val="000000"/>
        </w:rPr>
      </w:pPr>
    </w:p>
    <w:p w14:paraId="01225B70" w14:textId="77777777" w:rsidR="006B0FFC" w:rsidRDefault="006B0FFC">
      <w:pPr>
        <w:rPr>
          <w:rFonts w:ascii="Palatino Linotype" w:eastAsia="Palatino Linotype" w:hAnsi="Palatino Linotype" w:cs="Palatino Linotype"/>
        </w:rPr>
      </w:pPr>
    </w:p>
    <w:p w14:paraId="1E1A7B95" w14:textId="77777777" w:rsidR="006B0FFC" w:rsidRDefault="00B4290D">
      <w:pPr>
        <w:numPr>
          <w:ilvl w:val="0"/>
          <w:numId w:val="1"/>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7903B6D4" w14:textId="77777777" w:rsidR="006B0FFC" w:rsidRDefault="00B4290D">
      <w:pPr>
        <w:keepNext/>
        <w:keepLines/>
        <w:spacing w:line="360" w:lineRule="auto"/>
        <w:rPr>
          <w:rFonts w:ascii="Palatino Linotype" w:eastAsia="Palatino Linotype" w:hAnsi="Palatino Linotype" w:cs="Palatino Linotype"/>
          <w:b/>
        </w:rPr>
      </w:pPr>
      <w:r>
        <w:rPr>
          <w:rFonts w:ascii="Palatino Linotype" w:eastAsia="Palatino Linotype" w:hAnsi="Palatino Linotype" w:cs="Palatino Linotype"/>
          <w:b/>
        </w:rPr>
        <w:t xml:space="preserve">TERCERO. </w:t>
      </w:r>
      <w:bookmarkStart w:id="6" w:name="_Toc34246179"/>
      <w:bookmarkStart w:id="7" w:name="_Toc50033991"/>
      <w:bookmarkStart w:id="8" w:name="_Toc51259588"/>
      <w:bookmarkStart w:id="9" w:name="_Toc83128581"/>
      <w:bookmarkStart w:id="10" w:name="_Toc501021589"/>
      <w:r w:rsidR="00A46A62" w:rsidRPr="00A46A62">
        <w:rPr>
          <w:rFonts w:ascii="Palatino Linotype" w:eastAsia="Palatino Linotype" w:hAnsi="Palatino Linotype" w:cs="Palatino Linotype"/>
          <w:b/>
          <w:lang w:val="es-MX"/>
        </w:rPr>
        <w:t xml:space="preserve">Del planteamiento de la </w:t>
      </w:r>
      <w:r w:rsidR="00A46A62" w:rsidRPr="00A46A62">
        <w:rPr>
          <w:rFonts w:ascii="Palatino Linotype" w:eastAsia="Palatino Linotype" w:hAnsi="Palatino Linotype" w:cs="Palatino Linotype"/>
          <w:b/>
          <w:i/>
          <w:lang w:val="es-MX"/>
        </w:rPr>
        <w:t>Litis</w:t>
      </w:r>
      <w:r w:rsidR="00A46A62" w:rsidRPr="00A46A62">
        <w:rPr>
          <w:rFonts w:ascii="Palatino Linotype" w:eastAsia="Palatino Linotype" w:hAnsi="Palatino Linotype" w:cs="Palatino Linotype"/>
          <w:b/>
          <w:lang w:val="es-MX"/>
        </w:rPr>
        <w:t>.</w:t>
      </w:r>
      <w:bookmarkEnd w:id="6"/>
      <w:bookmarkEnd w:id="7"/>
      <w:bookmarkEnd w:id="8"/>
      <w:bookmarkEnd w:id="9"/>
      <w:bookmarkEnd w:id="10"/>
    </w:p>
    <w:p w14:paraId="1E89D519" w14:textId="77777777" w:rsidR="006B0FFC" w:rsidRDefault="006B0FFC">
      <w:pPr>
        <w:keepNext/>
        <w:keepLines/>
        <w:spacing w:line="360" w:lineRule="auto"/>
        <w:rPr>
          <w:rFonts w:ascii="Palatino Linotype" w:eastAsia="Palatino Linotype" w:hAnsi="Palatino Linotype" w:cs="Palatino Linotype"/>
          <w:b/>
        </w:rPr>
      </w:pPr>
    </w:p>
    <w:p w14:paraId="28C0D582" w14:textId="77777777" w:rsidR="00A46A62" w:rsidRPr="00A46A62" w:rsidRDefault="00A46A62" w:rsidP="00A46A62">
      <w:pPr>
        <w:numPr>
          <w:ilvl w:val="0"/>
          <w:numId w:val="1"/>
        </w:numPr>
        <w:spacing w:line="360" w:lineRule="auto"/>
        <w:ind w:left="0" w:firstLine="0"/>
        <w:jc w:val="both"/>
        <w:rPr>
          <w:rFonts w:ascii="Palatino Linotype" w:eastAsia="Palatino Linotype" w:hAnsi="Palatino Linotype" w:cs="Palatino Linotype"/>
        </w:rPr>
      </w:pPr>
      <w:r w:rsidRPr="00A46A62">
        <w:rPr>
          <w:rFonts w:ascii="Palatino Linotype" w:eastAsia="Palatino Linotype" w:hAnsi="Palatino Linotype" w:cs="Palatino Linotype"/>
        </w:rPr>
        <w:t>Se solicitó tener acceso, a la información que a continuación se desagrega:</w:t>
      </w:r>
    </w:p>
    <w:p w14:paraId="08CBA343" w14:textId="77777777" w:rsidR="00A46A62" w:rsidRDefault="00A46A62" w:rsidP="00A46A62">
      <w:pPr>
        <w:spacing w:line="360" w:lineRule="auto"/>
        <w:jc w:val="both"/>
        <w:rPr>
          <w:rFonts w:ascii="Palatino Linotype" w:eastAsia="Palatino Linotype" w:hAnsi="Palatino Linotype" w:cs="Palatino Linotype"/>
        </w:rPr>
      </w:pPr>
    </w:p>
    <w:p w14:paraId="0742FC50" w14:textId="77777777" w:rsidR="006B0FFC" w:rsidRDefault="00A46A62" w:rsidP="0029697F">
      <w:pPr>
        <w:numPr>
          <w:ilvl w:val="0"/>
          <w:numId w:val="3"/>
        </w:numPr>
        <w:pBdr>
          <w:top w:val="nil"/>
          <w:left w:val="nil"/>
          <w:bottom w:val="nil"/>
          <w:right w:val="nil"/>
          <w:between w:val="nil"/>
        </w:pBdr>
        <w:spacing w:line="276" w:lineRule="auto"/>
        <w:ind w:right="758"/>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 </w:t>
      </w:r>
      <w:r w:rsidR="00B4290D">
        <w:rPr>
          <w:rFonts w:ascii="Palatino Linotype" w:eastAsia="Palatino Linotype" w:hAnsi="Palatino Linotype" w:cs="Palatino Linotype"/>
          <w:i/>
          <w:color w:val="000000"/>
        </w:rPr>
        <w:t>“Convenio firmado por el Instituto de Seguridad y Servicios Sociales de los Trabajadores y el Instituto de Salud del Estado de México, derivado de la clausula vigésima segunda, en cuanto a las retenciones de los trabajadores, correspondiente al Acuerdo de Coordinación firmado por la Secretaría de Salud, de Hacienda y Crédito Público, de Contraloría y Desarrollo Administrativo, firmado el 19 de febrero de 1998 en Toluca de Lerdo, Mex, que se encontba vigente en la quincena 8 del ejercicio fiscal del año 2017”</w:t>
      </w:r>
    </w:p>
    <w:p w14:paraId="2FD63AAB" w14:textId="77777777" w:rsidR="00A46A62" w:rsidRDefault="00A46A62" w:rsidP="00A46A62">
      <w:pPr>
        <w:spacing w:line="360" w:lineRule="auto"/>
        <w:jc w:val="both"/>
        <w:rPr>
          <w:rFonts w:ascii="Palatino Linotype" w:eastAsia="Palatino Linotype" w:hAnsi="Palatino Linotype" w:cs="Palatino Linotype"/>
          <w:i/>
          <w:color w:val="000000"/>
        </w:rPr>
      </w:pPr>
    </w:p>
    <w:p w14:paraId="48956F0A" w14:textId="77777777" w:rsidR="00A46A62" w:rsidRPr="0029697F" w:rsidRDefault="00A46A62" w:rsidP="002F7668">
      <w:pPr>
        <w:numPr>
          <w:ilvl w:val="0"/>
          <w:numId w:val="1"/>
        </w:numPr>
        <w:spacing w:line="360" w:lineRule="auto"/>
        <w:ind w:left="0" w:firstLine="0"/>
        <w:jc w:val="both"/>
        <w:rPr>
          <w:rFonts w:ascii="Palatino Linotype" w:eastAsia="Palatino Linotype" w:hAnsi="Palatino Linotype" w:cs="Palatino Linotype"/>
          <w:i/>
          <w:color w:val="000000"/>
        </w:rPr>
      </w:pPr>
      <w:r w:rsidRPr="0029697F">
        <w:rPr>
          <w:rFonts w:ascii="Palatino Linotype" w:eastAsia="Palatino Linotype" w:hAnsi="Palatino Linotype" w:cs="Palatino Linotype"/>
        </w:rPr>
        <w:t xml:space="preserve">En respuesta, el </w:t>
      </w:r>
      <w:r w:rsidRPr="0029697F">
        <w:rPr>
          <w:rFonts w:ascii="Palatino Linotype" w:eastAsia="Palatino Linotype" w:hAnsi="Palatino Linotype" w:cs="Palatino Linotype"/>
          <w:b/>
        </w:rPr>
        <w:t>SUJETO OBLIGADO</w:t>
      </w:r>
      <w:r w:rsidRPr="0029697F">
        <w:rPr>
          <w:rFonts w:ascii="Palatino Linotype" w:eastAsia="Palatino Linotype" w:hAnsi="Palatino Linotype" w:cs="Palatino Linotype"/>
        </w:rPr>
        <w:t xml:space="preserve">, manifestó que no es competente e hizo alusión Instituto de Seguridad Social del Estado de México y Municipios (ISSEMYM), el cual es un Sujeto Obligado del que se colige, no tiene relación en el asunto que nos ocupa, como lo hizo valer el </w:t>
      </w:r>
      <w:r w:rsidRPr="0029697F">
        <w:rPr>
          <w:rFonts w:ascii="Palatino Linotype" w:eastAsia="Palatino Linotype" w:hAnsi="Palatino Linotype" w:cs="Palatino Linotype"/>
          <w:b/>
        </w:rPr>
        <w:t xml:space="preserve">PARTICULAR </w:t>
      </w:r>
      <w:r w:rsidRPr="0029697F">
        <w:rPr>
          <w:rFonts w:ascii="Palatino Linotype" w:eastAsia="Palatino Linotype" w:hAnsi="Palatino Linotype" w:cs="Palatino Linotype"/>
        </w:rPr>
        <w:t xml:space="preserve">en sus motivos de inconformidad, no obstante, en un ejercicio de máxima publicidad, orientó al </w:t>
      </w:r>
      <w:r w:rsidRPr="0029697F">
        <w:rPr>
          <w:rFonts w:ascii="Palatino Linotype" w:eastAsia="Palatino Linotype" w:hAnsi="Palatino Linotype" w:cs="Palatino Linotype"/>
          <w:b/>
        </w:rPr>
        <w:lastRenderedPageBreak/>
        <w:t xml:space="preserve">PARTICULAR </w:t>
      </w:r>
      <w:r w:rsidRPr="0029697F">
        <w:rPr>
          <w:rFonts w:ascii="Palatino Linotype" w:eastAsia="Palatino Linotype" w:hAnsi="Palatino Linotype" w:cs="Palatino Linotype"/>
        </w:rPr>
        <w:t>a dirigir su solicitud al Instituto de Seguridad Social del Estado de México y Municipios (ISSEMYM) y al Instituto</w:t>
      </w:r>
      <w:r w:rsidR="0029697F">
        <w:rPr>
          <w:rFonts w:ascii="Palatino Linotype" w:eastAsia="Palatino Linotype" w:hAnsi="Palatino Linotype" w:cs="Palatino Linotype"/>
        </w:rPr>
        <w:t xml:space="preserve"> de Salud del Estado de México.</w:t>
      </w:r>
    </w:p>
    <w:p w14:paraId="27D19FF6" w14:textId="77777777" w:rsidR="0029697F" w:rsidRPr="0029697F" w:rsidRDefault="0029697F" w:rsidP="0029697F">
      <w:pPr>
        <w:spacing w:line="360" w:lineRule="auto"/>
        <w:jc w:val="both"/>
        <w:rPr>
          <w:rFonts w:ascii="Palatino Linotype" w:eastAsia="Palatino Linotype" w:hAnsi="Palatino Linotype" w:cs="Palatino Linotype"/>
          <w:i/>
          <w:color w:val="000000"/>
        </w:rPr>
      </w:pPr>
    </w:p>
    <w:p w14:paraId="2FF2653A" w14:textId="77777777" w:rsidR="0029697F" w:rsidRPr="0029697F" w:rsidRDefault="0029697F" w:rsidP="0029697F">
      <w:pPr>
        <w:numPr>
          <w:ilvl w:val="0"/>
          <w:numId w:val="1"/>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Posteriormente, en etapa de manifestaciones</w:t>
      </w:r>
      <w:r w:rsidRPr="0029697F">
        <w:rPr>
          <w:rFonts w:ascii="Palatino Linotype" w:eastAsia="Palatino Linotype" w:hAnsi="Palatino Linotype" w:cs="Palatino Linotype"/>
        </w:rPr>
        <w:t xml:space="preserve">, vía Informe Justificado, el </w:t>
      </w:r>
      <w:r w:rsidRPr="0029697F">
        <w:rPr>
          <w:rFonts w:ascii="Palatino Linotype" w:eastAsia="Palatino Linotype" w:hAnsi="Palatino Linotype" w:cs="Palatino Linotype"/>
          <w:b/>
        </w:rPr>
        <w:t xml:space="preserve">SUJETO OBLIGADO, </w:t>
      </w:r>
      <w:r w:rsidRPr="0029697F">
        <w:rPr>
          <w:rFonts w:ascii="Palatino Linotype" w:eastAsia="Palatino Linotype" w:hAnsi="Palatino Linotype" w:cs="Palatino Linotype"/>
        </w:rPr>
        <w:t xml:space="preserve">fue preciso en reiterar que no es competente para dar respuesta a la solicitud y orientó al </w:t>
      </w:r>
      <w:r w:rsidRPr="0029697F">
        <w:rPr>
          <w:rFonts w:ascii="Palatino Linotype" w:eastAsia="Palatino Linotype" w:hAnsi="Palatino Linotype" w:cs="Palatino Linotype"/>
          <w:b/>
        </w:rPr>
        <w:t xml:space="preserve">PARTICULAR, </w:t>
      </w:r>
      <w:r w:rsidRPr="0029697F">
        <w:rPr>
          <w:rFonts w:ascii="Palatino Linotype" w:eastAsia="Palatino Linotype" w:hAnsi="Palatino Linotype" w:cs="Palatino Linotype"/>
        </w:rPr>
        <w:t xml:space="preserve">a dirigir su petición al Instituto de Salud del Estado de México y al Instituto de Seguridad y Servicios Sociales de los Trabajadores, institutos de los cuales se requirió la información en la solicitud de información </w:t>
      </w:r>
      <w:r w:rsidRPr="0029697F">
        <w:rPr>
          <w:rFonts w:ascii="Palatino Linotype" w:eastAsia="Palatino Linotype" w:hAnsi="Palatino Linotype" w:cs="Palatino Linotype"/>
          <w:b/>
        </w:rPr>
        <w:t>00067/SSALUD/IP/2024.</w:t>
      </w:r>
    </w:p>
    <w:p w14:paraId="01223924" w14:textId="77777777" w:rsidR="0029697F" w:rsidRDefault="0029697F" w:rsidP="0029697F">
      <w:pPr>
        <w:spacing w:line="360" w:lineRule="auto"/>
        <w:jc w:val="both"/>
        <w:rPr>
          <w:rFonts w:ascii="Palatino Linotype" w:eastAsia="Palatino Linotype" w:hAnsi="Palatino Linotype" w:cs="Palatino Linotype"/>
          <w:i/>
          <w:color w:val="000000"/>
        </w:rPr>
      </w:pPr>
    </w:p>
    <w:p w14:paraId="18F6D01B" w14:textId="77777777" w:rsidR="00A46A62" w:rsidRDefault="00A46A62" w:rsidP="00A46A62">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F9A4DDC" w14:textId="77777777" w:rsidR="00A46A62" w:rsidRPr="000740A3" w:rsidRDefault="00A46A62" w:rsidP="00A46A62">
      <w:pPr>
        <w:pStyle w:val="Ttulo2"/>
        <w:spacing w:before="0" w:line="360" w:lineRule="auto"/>
        <w:rPr>
          <w:rFonts w:ascii="Palatino Linotype" w:hAnsi="Palatino Linotype"/>
          <w:b/>
          <w:color w:val="000000" w:themeColor="text1"/>
          <w:sz w:val="24"/>
          <w:szCs w:val="24"/>
        </w:rPr>
      </w:pPr>
      <w:bookmarkStart w:id="11" w:name="_Toc495427545"/>
      <w:bookmarkStart w:id="12" w:name="_Toc23414596"/>
      <w:bookmarkStart w:id="13" w:name="_Toc34819433"/>
      <w:bookmarkStart w:id="14" w:name="_Toc51259589"/>
      <w:bookmarkStart w:id="15" w:name="_Toc83128582"/>
      <w:r w:rsidRPr="000740A3">
        <w:rPr>
          <w:rFonts w:ascii="Palatino Linotype" w:hAnsi="Palatino Linotype"/>
          <w:b/>
          <w:color w:val="000000" w:themeColor="text1"/>
          <w:sz w:val="24"/>
          <w:szCs w:val="24"/>
        </w:rPr>
        <w:t>CUARTO. Del estudio y resolución del asunto.</w:t>
      </w:r>
      <w:bookmarkEnd w:id="11"/>
      <w:bookmarkEnd w:id="12"/>
      <w:bookmarkEnd w:id="13"/>
      <w:bookmarkEnd w:id="14"/>
      <w:bookmarkEnd w:id="15"/>
    </w:p>
    <w:p w14:paraId="6DA9E326" w14:textId="77777777" w:rsidR="00A46A62" w:rsidRPr="000740A3" w:rsidRDefault="00A46A62" w:rsidP="00A46A62">
      <w:pPr>
        <w:tabs>
          <w:tab w:val="left" w:pos="3795"/>
        </w:tabs>
        <w:rPr>
          <w:rFonts w:ascii="Palatino Linotype" w:hAnsi="Palatino Linotype"/>
        </w:rPr>
      </w:pPr>
    </w:p>
    <w:p w14:paraId="297C1275" w14:textId="77777777" w:rsidR="00F762A4" w:rsidRPr="00F762A4" w:rsidRDefault="00A46A62" w:rsidP="00F762A4">
      <w:pPr>
        <w:numPr>
          <w:ilvl w:val="0"/>
          <w:numId w:val="1"/>
        </w:numPr>
        <w:spacing w:line="360" w:lineRule="auto"/>
        <w:ind w:left="0" w:firstLine="0"/>
        <w:jc w:val="both"/>
        <w:rPr>
          <w:rFonts w:ascii="Palatino Linotype" w:hAnsi="Palatino Linotype"/>
        </w:rPr>
      </w:pPr>
      <w:r w:rsidRPr="000740A3">
        <w:rPr>
          <w:rFonts w:ascii="Palatino Linotype" w:hAnsi="Palatino Linotype"/>
          <w:color w:val="000000" w:themeColor="text1"/>
        </w:rPr>
        <w:t xml:space="preserve">Acotada la </w:t>
      </w:r>
      <w:r w:rsidRPr="000740A3">
        <w:rPr>
          <w:rFonts w:ascii="Palatino Linotype" w:hAnsi="Palatino Linotype"/>
          <w:i/>
          <w:color w:val="000000" w:themeColor="text1"/>
        </w:rPr>
        <w:t>Litis</w:t>
      </w:r>
      <w:r w:rsidRPr="000740A3">
        <w:rPr>
          <w:rFonts w:ascii="Palatino Linotype" w:hAnsi="Palatino Linotype"/>
          <w:color w:val="000000" w:themeColor="text1"/>
        </w:rPr>
        <w:t xml:space="preserve"> del presente asunto, primeramente es menester precisar</w:t>
      </w:r>
      <w:r w:rsidRPr="000740A3">
        <w:rPr>
          <w:rFonts w:ascii="Palatino Linotype" w:hAnsi="Palatino Linotype"/>
          <w:bCs/>
          <w:color w:val="000000" w:themeColor="text1"/>
        </w:rPr>
        <w:t xml:space="preserve"> que del escrito de inconformidad, se observa que </w:t>
      </w:r>
      <w:r w:rsidRPr="000740A3">
        <w:rPr>
          <w:rFonts w:ascii="Palatino Linotype" w:hAnsi="Palatino Linotype"/>
          <w:color w:val="000000" w:themeColor="text1"/>
        </w:rPr>
        <w:t xml:space="preserve">el </w:t>
      </w:r>
      <w:r w:rsidRPr="000740A3">
        <w:rPr>
          <w:rFonts w:ascii="Palatino Linotype" w:hAnsi="Palatino Linotype"/>
          <w:b/>
          <w:color w:val="000000" w:themeColor="text1"/>
        </w:rPr>
        <w:t xml:space="preserve">PARTICULAR </w:t>
      </w:r>
      <w:r w:rsidRPr="000740A3">
        <w:rPr>
          <w:rFonts w:ascii="Palatino Linotype" w:hAnsi="Palatino Linotype"/>
          <w:color w:val="000000" w:themeColor="text1"/>
        </w:rPr>
        <w:t xml:space="preserve">se inconforma por la a declaración de incompetencia por el </w:t>
      </w:r>
      <w:r w:rsidRPr="000740A3">
        <w:rPr>
          <w:rFonts w:ascii="Palatino Linotype" w:hAnsi="Palatino Linotype"/>
          <w:b/>
          <w:color w:val="000000" w:themeColor="text1"/>
        </w:rPr>
        <w:t>SUJETO OBLIGADO</w:t>
      </w:r>
      <w:r w:rsidR="0029697F">
        <w:rPr>
          <w:rFonts w:ascii="Palatino Linotype" w:hAnsi="Palatino Linotype"/>
          <w:color w:val="000000" w:themeColor="text1"/>
        </w:rPr>
        <w:t>.</w:t>
      </w:r>
    </w:p>
    <w:p w14:paraId="17DCCA7A" w14:textId="77777777" w:rsidR="00F762A4" w:rsidRDefault="00F762A4" w:rsidP="00F762A4">
      <w:pPr>
        <w:spacing w:line="360" w:lineRule="auto"/>
        <w:jc w:val="both"/>
        <w:rPr>
          <w:rFonts w:ascii="Palatino Linotype" w:hAnsi="Palatino Linotype"/>
        </w:rPr>
      </w:pPr>
    </w:p>
    <w:p w14:paraId="0C507819" w14:textId="77777777" w:rsidR="00F762A4" w:rsidRPr="00F762A4" w:rsidRDefault="00F762A4" w:rsidP="00F762A4">
      <w:pPr>
        <w:numPr>
          <w:ilvl w:val="0"/>
          <w:numId w:val="1"/>
        </w:numPr>
        <w:spacing w:line="360" w:lineRule="auto"/>
        <w:ind w:left="0" w:firstLine="0"/>
        <w:jc w:val="both"/>
        <w:rPr>
          <w:rFonts w:ascii="Palatino Linotype" w:eastAsia="Palatino Linotype" w:hAnsi="Palatino Linotype" w:cs="Palatino Linotype"/>
        </w:rPr>
      </w:pPr>
      <w:r>
        <w:rPr>
          <w:rFonts w:ascii="Palatino Linotype" w:hAnsi="Palatino Linotype"/>
        </w:rPr>
        <w:t xml:space="preserve">Ahora bien, no pasa desapercibido que el </w:t>
      </w:r>
      <w:r>
        <w:rPr>
          <w:rFonts w:ascii="Palatino Linotype" w:hAnsi="Palatino Linotype"/>
          <w:b/>
        </w:rPr>
        <w:t xml:space="preserve">SUJETO OBLIGADO, </w:t>
      </w:r>
      <w:r>
        <w:rPr>
          <w:rFonts w:ascii="Palatino Linotype" w:hAnsi="Palatino Linotype"/>
        </w:rPr>
        <w:t xml:space="preserve">al momento de declarar su competencia, hizo alusión a un sujeto obligado diverso, como fue el </w:t>
      </w:r>
      <w:r>
        <w:rPr>
          <w:rFonts w:ascii="Palatino Linotype" w:eastAsia="Palatino Linotype" w:hAnsi="Palatino Linotype" w:cs="Palatino Linotype"/>
        </w:rPr>
        <w:t>Instituto de Seguridad Social del Estado de México y Municipios (ISSEMYM), lo cierto es que, la respuesta fue encaminada a declarar la incompetencia, situación que se robustece al momento de rendir el informe justificado, pues se observa que fue preciso y enfático al declinar su incompetencia e hizo alusión a que la información es competencia del</w:t>
      </w:r>
      <w:r w:rsidRPr="00F762A4">
        <w:rPr>
          <w:rFonts w:ascii="Palatino Linotype" w:eastAsia="Palatino Linotype" w:hAnsi="Palatino Linotype" w:cs="Palatino Linotype"/>
        </w:rPr>
        <w:t xml:space="preserve"> Instituto de Salud del Estado de México y al Instituto de </w:t>
      </w:r>
      <w:r w:rsidRPr="00F762A4">
        <w:rPr>
          <w:rFonts w:ascii="Palatino Linotype" w:eastAsia="Palatino Linotype" w:hAnsi="Palatino Linotype" w:cs="Palatino Linotype"/>
        </w:rPr>
        <w:lastRenderedPageBreak/>
        <w:t xml:space="preserve">Seguridad y Servicios Sociales de los Trabajadores, institutos de los cuales se requirió la información en la solicitud de información </w:t>
      </w:r>
      <w:r w:rsidRPr="00F762A4">
        <w:rPr>
          <w:rFonts w:ascii="Palatino Linotype" w:eastAsia="Palatino Linotype" w:hAnsi="Palatino Linotype" w:cs="Palatino Linotype"/>
          <w:b/>
        </w:rPr>
        <w:t>00067/SSALUD/IP/2024.</w:t>
      </w:r>
    </w:p>
    <w:p w14:paraId="061C1F64" w14:textId="77777777" w:rsidR="00F762A4" w:rsidRDefault="00F762A4" w:rsidP="00F762A4">
      <w:pPr>
        <w:pStyle w:val="Prrafodelista"/>
        <w:rPr>
          <w:rFonts w:ascii="Palatino Linotype" w:hAnsi="Palatino Linotype"/>
        </w:rPr>
      </w:pPr>
    </w:p>
    <w:p w14:paraId="7FECFDAA" w14:textId="77777777" w:rsidR="00A46A62" w:rsidRPr="000740A3" w:rsidRDefault="00A46A62" w:rsidP="0029697F">
      <w:pPr>
        <w:numPr>
          <w:ilvl w:val="0"/>
          <w:numId w:val="1"/>
        </w:numPr>
        <w:spacing w:line="360" w:lineRule="auto"/>
        <w:ind w:left="0" w:firstLine="0"/>
        <w:jc w:val="both"/>
        <w:rPr>
          <w:rFonts w:ascii="Palatino Linotype" w:hAnsi="Palatino Linotype"/>
          <w:i/>
        </w:rPr>
      </w:pPr>
      <w:r w:rsidRPr="000740A3">
        <w:rPr>
          <w:rFonts w:ascii="Palatino Linotype" w:hAnsi="Palatino Linotype"/>
        </w:rPr>
        <w:t>Es así como, este Órgano Resolutor, respecto de la incompetencia hecha valer, refiere lo que establece la Ley de Transparencia y Acceso a la Información Pública del Estado de México y Municipios</w:t>
      </w:r>
    </w:p>
    <w:p w14:paraId="41CC67C1" w14:textId="77777777" w:rsidR="00A46A62" w:rsidRPr="000740A3" w:rsidRDefault="00A46A62" w:rsidP="00A46A62">
      <w:pPr>
        <w:pStyle w:val="Prrafodelista"/>
        <w:rPr>
          <w:rFonts w:ascii="Palatino Linotype" w:hAnsi="Palatino Linotype"/>
          <w:i/>
        </w:rPr>
      </w:pPr>
    </w:p>
    <w:p w14:paraId="59B540D6" w14:textId="77777777" w:rsidR="00A46A62" w:rsidRPr="000740A3" w:rsidRDefault="00A46A62" w:rsidP="00A46A62">
      <w:pPr>
        <w:spacing w:line="276" w:lineRule="auto"/>
        <w:ind w:left="993" w:right="758"/>
        <w:contextualSpacing/>
        <w:jc w:val="both"/>
        <w:rPr>
          <w:rFonts w:ascii="Palatino Linotype" w:hAnsi="Palatino Linotype"/>
          <w:i/>
          <w:szCs w:val="20"/>
        </w:rPr>
      </w:pPr>
      <w:r w:rsidRPr="000740A3">
        <w:rPr>
          <w:rFonts w:ascii="Palatino Linotype" w:hAnsi="Palatino Linotype"/>
          <w:b/>
          <w:i/>
          <w:szCs w:val="20"/>
        </w:rPr>
        <w:t>Artículo 23.</w:t>
      </w:r>
      <w:r w:rsidRPr="000740A3">
        <w:rPr>
          <w:rFonts w:ascii="Palatino Linotype" w:hAnsi="Palatino Linotype"/>
          <w:i/>
          <w:szCs w:val="20"/>
        </w:rPr>
        <w:t xml:space="preserve"> Son sujetos obligados a transparentar y permitir el acceso a su información y proteger los datos personales que obren en su poder:</w:t>
      </w:r>
    </w:p>
    <w:p w14:paraId="198536E6" w14:textId="77777777" w:rsidR="00A46A62" w:rsidRPr="000740A3" w:rsidRDefault="00A46A62" w:rsidP="00A46A62">
      <w:pPr>
        <w:spacing w:line="276" w:lineRule="auto"/>
        <w:ind w:left="993" w:right="758"/>
        <w:contextualSpacing/>
        <w:jc w:val="both"/>
        <w:rPr>
          <w:rFonts w:ascii="Palatino Linotype" w:hAnsi="Palatino Linotype"/>
          <w:i/>
          <w:szCs w:val="20"/>
        </w:rPr>
      </w:pPr>
    </w:p>
    <w:p w14:paraId="2697D146" w14:textId="77777777" w:rsidR="00A46A62" w:rsidRPr="000740A3" w:rsidRDefault="00A46A62" w:rsidP="00A46A62">
      <w:pPr>
        <w:pStyle w:val="Prrafodelista"/>
        <w:numPr>
          <w:ilvl w:val="0"/>
          <w:numId w:val="14"/>
        </w:numPr>
        <w:spacing w:line="276" w:lineRule="auto"/>
        <w:ind w:right="758"/>
        <w:jc w:val="both"/>
        <w:rPr>
          <w:rFonts w:ascii="Palatino Linotype" w:hAnsi="Palatino Linotype"/>
          <w:i/>
          <w:sz w:val="22"/>
          <w:szCs w:val="20"/>
        </w:rPr>
      </w:pPr>
      <w:r w:rsidRPr="000740A3">
        <w:rPr>
          <w:rFonts w:ascii="Palatino Linotype" w:hAnsi="Palatino Linotype"/>
          <w:i/>
          <w:sz w:val="22"/>
          <w:szCs w:val="20"/>
        </w:rPr>
        <w:t xml:space="preserve">El Poder Ejecutivo del Estado de México, las dependencias, organismos auxiliares, órganos, entidades, fideicomisos y fondos públicos, así como la Fiscalía General de Justicia del Estado de México; </w:t>
      </w:r>
    </w:p>
    <w:p w14:paraId="29443B5B" w14:textId="77777777" w:rsidR="00A46A62" w:rsidRPr="000740A3" w:rsidRDefault="00A46A62" w:rsidP="00A46A62">
      <w:pPr>
        <w:pStyle w:val="Prrafodelista"/>
        <w:numPr>
          <w:ilvl w:val="0"/>
          <w:numId w:val="14"/>
        </w:numPr>
        <w:spacing w:line="276" w:lineRule="auto"/>
        <w:ind w:right="758"/>
        <w:jc w:val="both"/>
        <w:rPr>
          <w:rFonts w:ascii="Palatino Linotype" w:hAnsi="Palatino Linotype"/>
          <w:i/>
          <w:sz w:val="22"/>
          <w:szCs w:val="20"/>
        </w:rPr>
      </w:pPr>
      <w:r w:rsidRPr="000740A3">
        <w:rPr>
          <w:rFonts w:ascii="Palatino Linotype" w:hAnsi="Palatino Linotype"/>
          <w:i/>
          <w:sz w:val="22"/>
          <w:szCs w:val="20"/>
        </w:rPr>
        <w:t xml:space="preserve">El Poder Legislativo del Estado, los organismos, órganos y entidades de la Legislatura y sus dependencias; </w:t>
      </w:r>
    </w:p>
    <w:p w14:paraId="39A5CC21" w14:textId="77777777" w:rsidR="00A46A62" w:rsidRPr="000740A3" w:rsidRDefault="00A46A62" w:rsidP="00A46A62">
      <w:pPr>
        <w:pStyle w:val="Prrafodelista"/>
        <w:numPr>
          <w:ilvl w:val="0"/>
          <w:numId w:val="14"/>
        </w:numPr>
        <w:spacing w:line="276" w:lineRule="auto"/>
        <w:ind w:right="758"/>
        <w:jc w:val="both"/>
        <w:rPr>
          <w:rFonts w:ascii="Palatino Linotype" w:hAnsi="Palatino Linotype"/>
          <w:i/>
          <w:sz w:val="22"/>
          <w:szCs w:val="20"/>
        </w:rPr>
      </w:pPr>
      <w:r w:rsidRPr="000740A3">
        <w:rPr>
          <w:rFonts w:ascii="Palatino Linotype" w:hAnsi="Palatino Linotype"/>
          <w:i/>
          <w:sz w:val="22"/>
          <w:szCs w:val="20"/>
        </w:rPr>
        <w:t xml:space="preserve">El Poder Judicial, sus organismos, órganos y entidades, así como el Consejo de la Judicatura del Estado; </w:t>
      </w:r>
    </w:p>
    <w:p w14:paraId="2894DF10" w14:textId="77777777" w:rsidR="00A46A62" w:rsidRPr="000740A3" w:rsidRDefault="00A46A62" w:rsidP="00A46A62">
      <w:pPr>
        <w:pStyle w:val="Prrafodelista"/>
        <w:numPr>
          <w:ilvl w:val="0"/>
          <w:numId w:val="14"/>
        </w:numPr>
        <w:spacing w:line="276" w:lineRule="auto"/>
        <w:ind w:right="758"/>
        <w:jc w:val="both"/>
        <w:rPr>
          <w:rFonts w:ascii="Palatino Linotype" w:hAnsi="Palatino Linotype"/>
          <w:i/>
          <w:sz w:val="22"/>
          <w:szCs w:val="20"/>
        </w:rPr>
      </w:pPr>
      <w:r w:rsidRPr="000740A3">
        <w:rPr>
          <w:rFonts w:ascii="Palatino Linotype" w:hAnsi="Palatino Linotype"/>
          <w:i/>
          <w:sz w:val="22"/>
          <w:szCs w:val="20"/>
        </w:rPr>
        <w:t xml:space="preserve">Los ayuntamientos y las dependencias, organismos, órganos y entidades de la administración municipal; </w:t>
      </w:r>
    </w:p>
    <w:p w14:paraId="723E30D1" w14:textId="77777777" w:rsidR="00A46A62" w:rsidRPr="000740A3" w:rsidRDefault="00A46A62" w:rsidP="00A46A62">
      <w:pPr>
        <w:pStyle w:val="Prrafodelista"/>
        <w:numPr>
          <w:ilvl w:val="0"/>
          <w:numId w:val="14"/>
        </w:numPr>
        <w:spacing w:line="276" w:lineRule="auto"/>
        <w:ind w:right="758"/>
        <w:jc w:val="both"/>
        <w:rPr>
          <w:rFonts w:ascii="Palatino Linotype" w:hAnsi="Palatino Linotype"/>
          <w:i/>
          <w:sz w:val="22"/>
          <w:szCs w:val="20"/>
        </w:rPr>
      </w:pPr>
      <w:r w:rsidRPr="000740A3">
        <w:rPr>
          <w:rFonts w:ascii="Palatino Linotype" w:hAnsi="Palatino Linotype"/>
          <w:i/>
          <w:sz w:val="22"/>
          <w:szCs w:val="20"/>
        </w:rPr>
        <w:t xml:space="preserve">Los órganos autónomos; </w:t>
      </w:r>
    </w:p>
    <w:p w14:paraId="56E3B11E" w14:textId="77777777" w:rsidR="00A46A62" w:rsidRPr="000740A3" w:rsidRDefault="00A46A62" w:rsidP="00A46A62">
      <w:pPr>
        <w:pStyle w:val="Prrafodelista"/>
        <w:numPr>
          <w:ilvl w:val="0"/>
          <w:numId w:val="14"/>
        </w:numPr>
        <w:spacing w:line="276" w:lineRule="auto"/>
        <w:ind w:right="758"/>
        <w:jc w:val="both"/>
        <w:rPr>
          <w:rFonts w:ascii="Palatino Linotype" w:hAnsi="Palatino Linotype"/>
          <w:i/>
          <w:sz w:val="22"/>
          <w:szCs w:val="20"/>
        </w:rPr>
      </w:pPr>
      <w:r w:rsidRPr="000740A3">
        <w:rPr>
          <w:rFonts w:ascii="Palatino Linotype" w:hAnsi="Palatino Linotype"/>
          <w:i/>
          <w:sz w:val="22"/>
          <w:szCs w:val="20"/>
        </w:rPr>
        <w:t>Los tribunales administrativos y autoridades jurisdiccionales en materia laboral;</w:t>
      </w:r>
    </w:p>
    <w:p w14:paraId="780EBB04" w14:textId="77777777" w:rsidR="00A46A62" w:rsidRPr="000740A3" w:rsidRDefault="00A46A62" w:rsidP="00A46A62">
      <w:pPr>
        <w:pStyle w:val="Prrafodelista"/>
        <w:numPr>
          <w:ilvl w:val="0"/>
          <w:numId w:val="14"/>
        </w:numPr>
        <w:spacing w:line="276" w:lineRule="auto"/>
        <w:ind w:right="758"/>
        <w:jc w:val="both"/>
        <w:rPr>
          <w:rFonts w:ascii="Palatino Linotype" w:hAnsi="Palatino Linotype"/>
          <w:i/>
          <w:sz w:val="22"/>
          <w:szCs w:val="20"/>
        </w:rPr>
      </w:pPr>
      <w:r w:rsidRPr="000740A3">
        <w:rPr>
          <w:rFonts w:ascii="Palatino Linotype" w:hAnsi="Palatino Linotype"/>
          <w:i/>
          <w:sz w:val="22"/>
          <w:szCs w:val="20"/>
        </w:rPr>
        <w:t>Los partidos políticos y agrupaciones políticas, en los términos de las disposiciones aplicables;</w:t>
      </w:r>
    </w:p>
    <w:p w14:paraId="6829709A" w14:textId="77777777" w:rsidR="00A46A62" w:rsidRPr="000740A3" w:rsidRDefault="00A46A62" w:rsidP="00A46A62">
      <w:pPr>
        <w:pStyle w:val="Prrafodelista"/>
        <w:numPr>
          <w:ilvl w:val="0"/>
          <w:numId w:val="14"/>
        </w:numPr>
        <w:spacing w:line="276" w:lineRule="auto"/>
        <w:ind w:right="758"/>
        <w:jc w:val="both"/>
        <w:rPr>
          <w:rFonts w:ascii="Palatino Linotype" w:hAnsi="Palatino Linotype"/>
          <w:i/>
          <w:sz w:val="22"/>
          <w:szCs w:val="20"/>
        </w:rPr>
      </w:pPr>
      <w:r w:rsidRPr="000740A3">
        <w:rPr>
          <w:rFonts w:ascii="Palatino Linotype" w:hAnsi="Palatino Linotype"/>
          <w:i/>
          <w:sz w:val="22"/>
          <w:szCs w:val="20"/>
        </w:rPr>
        <w:t xml:space="preserve">Los fideicomisos y fondos públicos que cuenten con financiamiento público, parcial o total, o con participación de entidades de gobierno; </w:t>
      </w:r>
    </w:p>
    <w:p w14:paraId="18D1B05F" w14:textId="77777777" w:rsidR="00A46A62" w:rsidRPr="000740A3" w:rsidRDefault="00A46A62" w:rsidP="00A46A62">
      <w:pPr>
        <w:pStyle w:val="Prrafodelista"/>
        <w:numPr>
          <w:ilvl w:val="0"/>
          <w:numId w:val="14"/>
        </w:numPr>
        <w:spacing w:line="276" w:lineRule="auto"/>
        <w:ind w:right="758"/>
        <w:jc w:val="both"/>
        <w:rPr>
          <w:rFonts w:ascii="Palatino Linotype" w:hAnsi="Palatino Linotype"/>
          <w:i/>
          <w:sz w:val="22"/>
          <w:szCs w:val="20"/>
        </w:rPr>
      </w:pPr>
      <w:r w:rsidRPr="000740A3">
        <w:rPr>
          <w:rFonts w:ascii="Palatino Linotype" w:hAnsi="Palatino Linotype"/>
          <w:i/>
          <w:sz w:val="22"/>
          <w:szCs w:val="20"/>
        </w:rPr>
        <w:t xml:space="preserve">Los sindicatos que reciban y/o ejerzan recursos públicos en el ámbito estatal y municipal; </w:t>
      </w:r>
    </w:p>
    <w:p w14:paraId="3F67D99E" w14:textId="77777777" w:rsidR="00A46A62" w:rsidRPr="000740A3" w:rsidRDefault="00A46A62" w:rsidP="00A46A62">
      <w:pPr>
        <w:pStyle w:val="Prrafodelista"/>
        <w:numPr>
          <w:ilvl w:val="0"/>
          <w:numId w:val="14"/>
        </w:numPr>
        <w:spacing w:line="276" w:lineRule="auto"/>
        <w:ind w:right="758"/>
        <w:jc w:val="both"/>
        <w:rPr>
          <w:rFonts w:ascii="Palatino Linotype" w:hAnsi="Palatino Linotype"/>
          <w:i/>
          <w:sz w:val="22"/>
          <w:szCs w:val="20"/>
        </w:rPr>
      </w:pPr>
      <w:r w:rsidRPr="000740A3">
        <w:rPr>
          <w:rFonts w:ascii="Palatino Linotype" w:hAnsi="Palatino Linotype"/>
          <w:i/>
          <w:sz w:val="22"/>
          <w:szCs w:val="20"/>
        </w:rPr>
        <w:t xml:space="preserve">Cualquier persona física o jurídico colectiva que reciba y ejerza recursos públicos en el ámbito estatal o municipal; y </w:t>
      </w:r>
    </w:p>
    <w:p w14:paraId="0E146994" w14:textId="77777777" w:rsidR="00A46A62" w:rsidRPr="000740A3" w:rsidRDefault="00A46A62" w:rsidP="00A46A62">
      <w:pPr>
        <w:pStyle w:val="Prrafodelista"/>
        <w:numPr>
          <w:ilvl w:val="0"/>
          <w:numId w:val="14"/>
        </w:numPr>
        <w:spacing w:line="276" w:lineRule="auto"/>
        <w:ind w:right="758"/>
        <w:jc w:val="both"/>
        <w:rPr>
          <w:rFonts w:ascii="Palatino Linotype" w:hAnsi="Palatino Linotype"/>
          <w:i/>
          <w:sz w:val="22"/>
          <w:szCs w:val="20"/>
        </w:rPr>
      </w:pPr>
      <w:r w:rsidRPr="000740A3">
        <w:rPr>
          <w:rFonts w:ascii="Palatino Linotype" w:hAnsi="Palatino Linotype"/>
          <w:i/>
          <w:sz w:val="22"/>
          <w:szCs w:val="20"/>
        </w:rPr>
        <w:t xml:space="preserve">Cualquier otra autoridad, entidad, órgano u organismo de los poderes estatal o municipal, que reciba recursos públicos. </w:t>
      </w:r>
    </w:p>
    <w:p w14:paraId="40230AD0" w14:textId="77777777" w:rsidR="00A46A62" w:rsidRPr="000740A3" w:rsidRDefault="00A46A62" w:rsidP="00A46A62">
      <w:pPr>
        <w:pStyle w:val="Prrafodelista"/>
        <w:spacing w:line="276" w:lineRule="auto"/>
        <w:ind w:left="1773" w:right="758"/>
        <w:jc w:val="both"/>
        <w:rPr>
          <w:rFonts w:ascii="Palatino Linotype" w:hAnsi="Palatino Linotype"/>
          <w:i/>
          <w:sz w:val="22"/>
          <w:szCs w:val="20"/>
        </w:rPr>
      </w:pPr>
    </w:p>
    <w:p w14:paraId="1B62A24F" w14:textId="77777777" w:rsidR="00A46A62" w:rsidRPr="000740A3" w:rsidRDefault="00A46A62" w:rsidP="00A46A62">
      <w:pPr>
        <w:spacing w:line="276" w:lineRule="auto"/>
        <w:ind w:left="1053" w:right="758"/>
        <w:jc w:val="both"/>
        <w:rPr>
          <w:rFonts w:ascii="Palatino Linotype" w:hAnsi="Palatino Linotype"/>
          <w:i/>
          <w:szCs w:val="20"/>
        </w:rPr>
      </w:pPr>
      <w:r w:rsidRPr="000740A3">
        <w:rPr>
          <w:rFonts w:ascii="Palatino Linotype" w:hAnsi="Palatino Linotype"/>
          <w:i/>
          <w:szCs w:val="20"/>
        </w:rPr>
        <w:t>Los sujetos obligados deberán hacer pública toda aquella información relativa a los montos y las personas a quienes entreguen, por cualquier motivo, recursos públicos, así como los informes que dichas personas les entreguen sobre el uso y destino de dichos recursos. Los servidores públicos deberán transparentar sus acciones así como garantizar y respetar el derecho de acceso a la información pública.</w:t>
      </w:r>
    </w:p>
    <w:p w14:paraId="31F974E3" w14:textId="77777777" w:rsidR="00A46A62" w:rsidRPr="000740A3" w:rsidRDefault="00A46A62" w:rsidP="00A46A62">
      <w:pPr>
        <w:spacing w:line="276" w:lineRule="auto"/>
        <w:ind w:left="1053" w:right="758"/>
        <w:jc w:val="both"/>
        <w:rPr>
          <w:rFonts w:ascii="Palatino Linotype" w:hAnsi="Palatino Linotype"/>
          <w:i/>
          <w:szCs w:val="20"/>
        </w:rPr>
      </w:pPr>
    </w:p>
    <w:p w14:paraId="4A05E72E" w14:textId="77777777" w:rsidR="00A46A62" w:rsidRPr="000740A3" w:rsidRDefault="00A46A62" w:rsidP="00A46A62">
      <w:pPr>
        <w:spacing w:line="276" w:lineRule="auto"/>
        <w:ind w:left="1053" w:right="758"/>
        <w:jc w:val="both"/>
        <w:rPr>
          <w:rFonts w:ascii="Palatino Linotype" w:hAnsi="Palatino Linotype"/>
          <w:i/>
          <w:szCs w:val="20"/>
        </w:rPr>
      </w:pPr>
      <w:r w:rsidRPr="000740A3">
        <w:rPr>
          <w:rFonts w:ascii="Palatino Linotype" w:hAnsi="Palatino Linotype"/>
          <w:b/>
          <w:i/>
          <w:szCs w:val="20"/>
        </w:rPr>
        <w:t>Artículo 53</w:t>
      </w:r>
      <w:r w:rsidRPr="000740A3">
        <w:rPr>
          <w:rFonts w:ascii="Palatino Linotype" w:hAnsi="Palatino Linotype"/>
          <w:i/>
          <w:szCs w:val="20"/>
        </w:rPr>
        <w:t>. Las Unidades de Transparencia tendrán las siguientes funciones:</w:t>
      </w:r>
    </w:p>
    <w:p w14:paraId="5F82AAD2" w14:textId="77777777" w:rsidR="00A46A62" w:rsidRPr="000740A3" w:rsidRDefault="00A46A62" w:rsidP="00A46A62">
      <w:pPr>
        <w:pStyle w:val="Prrafodelista"/>
        <w:numPr>
          <w:ilvl w:val="0"/>
          <w:numId w:val="15"/>
        </w:numPr>
        <w:spacing w:line="276" w:lineRule="auto"/>
        <w:ind w:right="758"/>
        <w:jc w:val="both"/>
        <w:rPr>
          <w:rFonts w:ascii="Palatino Linotype" w:hAnsi="Palatino Linotype"/>
          <w:i/>
          <w:sz w:val="22"/>
          <w:szCs w:val="20"/>
        </w:rPr>
      </w:pPr>
      <w:r w:rsidRPr="000740A3">
        <w:rPr>
          <w:rFonts w:ascii="Palatino Linotype" w:hAnsi="Palatino Linotype"/>
          <w:i/>
          <w:sz w:val="22"/>
          <w:szCs w:val="20"/>
        </w:rPr>
        <w:t>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w:t>
      </w:r>
    </w:p>
    <w:p w14:paraId="32E035B2" w14:textId="77777777" w:rsidR="00A46A62" w:rsidRPr="000740A3" w:rsidRDefault="00A46A62" w:rsidP="00A46A62">
      <w:pPr>
        <w:pStyle w:val="Prrafodelista"/>
        <w:numPr>
          <w:ilvl w:val="0"/>
          <w:numId w:val="15"/>
        </w:numPr>
        <w:spacing w:line="276" w:lineRule="auto"/>
        <w:ind w:right="758"/>
        <w:jc w:val="both"/>
        <w:rPr>
          <w:rFonts w:ascii="Palatino Linotype" w:hAnsi="Palatino Linotype"/>
          <w:i/>
          <w:sz w:val="22"/>
          <w:szCs w:val="20"/>
        </w:rPr>
      </w:pPr>
      <w:r w:rsidRPr="000740A3">
        <w:rPr>
          <w:rFonts w:ascii="Palatino Linotype" w:hAnsi="Palatino Linotype"/>
          <w:i/>
          <w:sz w:val="22"/>
          <w:szCs w:val="20"/>
        </w:rPr>
        <w:t xml:space="preserve"> Recibir, tramitar y dar respuesta a las solicitudes de acceso a la información;</w:t>
      </w:r>
    </w:p>
    <w:p w14:paraId="5E78CDB8" w14:textId="77777777" w:rsidR="00A46A62" w:rsidRPr="000740A3" w:rsidRDefault="00A46A62" w:rsidP="00A46A62">
      <w:pPr>
        <w:pStyle w:val="Prrafodelista"/>
        <w:numPr>
          <w:ilvl w:val="0"/>
          <w:numId w:val="15"/>
        </w:numPr>
        <w:spacing w:line="276" w:lineRule="auto"/>
        <w:ind w:right="758"/>
        <w:jc w:val="both"/>
        <w:rPr>
          <w:rFonts w:ascii="Palatino Linotype" w:hAnsi="Palatino Linotype"/>
          <w:i/>
          <w:sz w:val="22"/>
          <w:szCs w:val="20"/>
        </w:rPr>
      </w:pPr>
      <w:r w:rsidRPr="000740A3">
        <w:rPr>
          <w:rFonts w:ascii="Palatino Linotype" w:hAnsi="Palatino Linotype"/>
          <w:i/>
          <w:sz w:val="22"/>
          <w:szCs w:val="20"/>
        </w:rPr>
        <w:t>…</w:t>
      </w:r>
    </w:p>
    <w:p w14:paraId="5B7906CD" w14:textId="77777777" w:rsidR="00A46A62" w:rsidRPr="000740A3" w:rsidRDefault="00A46A62" w:rsidP="00A46A62">
      <w:pPr>
        <w:pStyle w:val="Prrafodelista"/>
        <w:numPr>
          <w:ilvl w:val="0"/>
          <w:numId w:val="15"/>
        </w:numPr>
        <w:spacing w:line="276" w:lineRule="auto"/>
        <w:ind w:right="758"/>
        <w:jc w:val="both"/>
        <w:rPr>
          <w:rFonts w:ascii="Palatino Linotype" w:hAnsi="Palatino Linotype"/>
          <w:i/>
          <w:sz w:val="22"/>
          <w:szCs w:val="20"/>
        </w:rPr>
      </w:pPr>
      <w:r w:rsidRPr="000740A3">
        <w:rPr>
          <w:rFonts w:ascii="Palatino Linotype" w:hAnsi="Palatino Linotype"/>
          <w:i/>
          <w:sz w:val="22"/>
          <w:szCs w:val="20"/>
        </w:rPr>
        <w:t xml:space="preserve"> Realizar, con efectividad, los trámites internos necesarios para la atención de las solicitudes de acceso a la información;</w:t>
      </w:r>
    </w:p>
    <w:p w14:paraId="4D06C315" w14:textId="77777777" w:rsidR="00A46A62" w:rsidRPr="000740A3" w:rsidRDefault="00A46A62" w:rsidP="00A46A62">
      <w:pPr>
        <w:pStyle w:val="Prrafodelista"/>
        <w:numPr>
          <w:ilvl w:val="0"/>
          <w:numId w:val="15"/>
        </w:numPr>
        <w:spacing w:line="276" w:lineRule="auto"/>
        <w:ind w:right="758"/>
        <w:jc w:val="both"/>
        <w:rPr>
          <w:rFonts w:ascii="Palatino Linotype" w:hAnsi="Palatino Linotype"/>
          <w:i/>
          <w:sz w:val="22"/>
          <w:szCs w:val="20"/>
        </w:rPr>
      </w:pPr>
      <w:r w:rsidRPr="000740A3">
        <w:rPr>
          <w:rFonts w:ascii="Palatino Linotype" w:hAnsi="Palatino Linotype"/>
          <w:i/>
          <w:sz w:val="22"/>
          <w:szCs w:val="20"/>
        </w:rPr>
        <w:t>Entregar, en su caso, a los particulares la información solicitada;</w:t>
      </w:r>
    </w:p>
    <w:p w14:paraId="1776E9F4" w14:textId="77777777" w:rsidR="00A46A62" w:rsidRPr="000740A3" w:rsidRDefault="00A46A62" w:rsidP="00A46A62">
      <w:pPr>
        <w:pStyle w:val="Prrafodelista"/>
        <w:rPr>
          <w:rFonts w:ascii="Palatino Linotype" w:hAnsi="Palatino Linotype"/>
          <w:color w:val="000000" w:themeColor="text1"/>
        </w:rPr>
      </w:pPr>
    </w:p>
    <w:p w14:paraId="47F9E9A4" w14:textId="77777777" w:rsidR="00A46A62" w:rsidRPr="000740A3" w:rsidRDefault="00A46A62" w:rsidP="0029697F">
      <w:pPr>
        <w:numPr>
          <w:ilvl w:val="0"/>
          <w:numId w:val="1"/>
        </w:numPr>
        <w:spacing w:line="360" w:lineRule="auto"/>
        <w:ind w:left="0" w:firstLine="0"/>
        <w:jc w:val="both"/>
        <w:rPr>
          <w:rFonts w:ascii="Palatino Linotype" w:hAnsi="Palatino Linotype"/>
        </w:rPr>
      </w:pPr>
      <w:r w:rsidRPr="000740A3">
        <w:rPr>
          <w:rFonts w:ascii="Palatino Linotype" w:hAnsi="Palatino Linotype"/>
        </w:rPr>
        <w:t xml:space="preserve">Aunado a lo anterior, la Ley General de Transparencia y Acceso a la Información Pública al caso concreto refiere lo siguiente: </w:t>
      </w:r>
    </w:p>
    <w:p w14:paraId="598514AA" w14:textId="77777777" w:rsidR="00A46A62" w:rsidRPr="000740A3" w:rsidRDefault="00A46A62" w:rsidP="00A46A62">
      <w:pPr>
        <w:pStyle w:val="Prrafodelista"/>
        <w:spacing w:line="360" w:lineRule="auto"/>
        <w:ind w:left="1773" w:right="758"/>
        <w:jc w:val="both"/>
        <w:rPr>
          <w:rFonts w:ascii="Palatino Linotype" w:hAnsi="Palatino Linotype"/>
          <w:i/>
          <w:sz w:val="20"/>
          <w:szCs w:val="20"/>
        </w:rPr>
      </w:pPr>
    </w:p>
    <w:p w14:paraId="6176A0A9" w14:textId="77777777" w:rsidR="00A46A62" w:rsidRPr="000740A3" w:rsidRDefault="00A46A62" w:rsidP="0029697F">
      <w:pPr>
        <w:pStyle w:val="Prrafodelista"/>
        <w:spacing w:line="276" w:lineRule="auto"/>
        <w:ind w:left="709" w:right="758"/>
        <w:jc w:val="both"/>
        <w:rPr>
          <w:rFonts w:ascii="Palatino Linotype" w:hAnsi="Palatino Linotype"/>
          <w:i/>
          <w:sz w:val="22"/>
          <w:szCs w:val="20"/>
        </w:rPr>
      </w:pPr>
      <w:r w:rsidRPr="000740A3">
        <w:rPr>
          <w:rFonts w:ascii="Palatino Linotype" w:hAnsi="Palatino Linotype"/>
          <w:b/>
          <w:i/>
          <w:sz w:val="22"/>
          <w:szCs w:val="20"/>
        </w:rPr>
        <w:t>Artículo 45</w:t>
      </w:r>
      <w:r w:rsidRPr="000740A3">
        <w:rPr>
          <w:rFonts w:ascii="Palatino Linotype" w:hAnsi="Palatino Linotype"/>
          <w:i/>
          <w:sz w:val="22"/>
          <w:szCs w:val="20"/>
        </w:rPr>
        <w:t>. Los sujetos obligados designarán al responsable de la Unidad de Transparencia que tendrá las siguientes funciones:</w:t>
      </w:r>
    </w:p>
    <w:p w14:paraId="1EFE6A9C" w14:textId="77777777" w:rsidR="00A46A62" w:rsidRPr="000740A3" w:rsidRDefault="00A46A62" w:rsidP="0029697F">
      <w:pPr>
        <w:pStyle w:val="Prrafodelista"/>
        <w:spacing w:line="276" w:lineRule="auto"/>
        <w:ind w:left="709" w:right="758"/>
        <w:jc w:val="both"/>
        <w:rPr>
          <w:rFonts w:ascii="Palatino Linotype" w:hAnsi="Palatino Linotype"/>
          <w:i/>
          <w:sz w:val="22"/>
          <w:szCs w:val="20"/>
        </w:rPr>
      </w:pPr>
      <w:r w:rsidRPr="000740A3">
        <w:rPr>
          <w:rFonts w:ascii="Palatino Linotype" w:hAnsi="Palatino Linotype"/>
          <w:i/>
          <w:sz w:val="22"/>
          <w:szCs w:val="20"/>
        </w:rPr>
        <w:t xml:space="preserve">II. Recibir y dar trámite a las solicitudes de acceso a la información; </w:t>
      </w:r>
    </w:p>
    <w:p w14:paraId="214C95C6" w14:textId="77777777" w:rsidR="00A46A62" w:rsidRPr="000740A3" w:rsidRDefault="00A46A62" w:rsidP="0029697F">
      <w:pPr>
        <w:pStyle w:val="Prrafodelista"/>
        <w:spacing w:line="276" w:lineRule="auto"/>
        <w:ind w:left="709" w:right="758"/>
        <w:jc w:val="both"/>
        <w:rPr>
          <w:rFonts w:ascii="Palatino Linotype" w:hAnsi="Palatino Linotype"/>
          <w:i/>
          <w:sz w:val="22"/>
          <w:szCs w:val="20"/>
        </w:rPr>
      </w:pPr>
      <w:r w:rsidRPr="000740A3">
        <w:rPr>
          <w:rFonts w:ascii="Palatino Linotype" w:hAnsi="Palatino Linotype"/>
          <w:i/>
          <w:sz w:val="22"/>
          <w:szCs w:val="20"/>
        </w:rPr>
        <w:t>…</w:t>
      </w:r>
    </w:p>
    <w:p w14:paraId="121AA220" w14:textId="77777777" w:rsidR="00A46A62" w:rsidRPr="000740A3" w:rsidRDefault="00A46A62" w:rsidP="0029697F">
      <w:pPr>
        <w:pStyle w:val="Prrafodelista"/>
        <w:spacing w:line="276" w:lineRule="auto"/>
        <w:ind w:left="709" w:right="758"/>
        <w:jc w:val="both"/>
        <w:rPr>
          <w:rFonts w:ascii="Palatino Linotype" w:hAnsi="Palatino Linotype"/>
          <w:i/>
          <w:sz w:val="22"/>
          <w:szCs w:val="20"/>
        </w:rPr>
      </w:pPr>
      <w:r w:rsidRPr="000740A3">
        <w:rPr>
          <w:rFonts w:ascii="Palatino Linotype" w:hAnsi="Palatino Linotype"/>
          <w:i/>
          <w:sz w:val="22"/>
          <w:szCs w:val="20"/>
        </w:rPr>
        <w:t>IV. Realizar los trámites internos necesarios para la atención de las solicitudes de acceso a la información;</w:t>
      </w:r>
    </w:p>
    <w:p w14:paraId="22CA6D42" w14:textId="77777777" w:rsidR="00A46A62" w:rsidRPr="000740A3" w:rsidRDefault="00A46A62" w:rsidP="0029697F">
      <w:pPr>
        <w:pStyle w:val="Prrafodelista"/>
        <w:spacing w:line="276" w:lineRule="auto"/>
        <w:ind w:left="709" w:right="758"/>
        <w:jc w:val="both"/>
        <w:rPr>
          <w:rFonts w:ascii="Palatino Linotype" w:hAnsi="Palatino Linotype"/>
          <w:i/>
          <w:sz w:val="22"/>
          <w:szCs w:val="20"/>
        </w:rPr>
      </w:pPr>
      <w:r w:rsidRPr="000740A3">
        <w:rPr>
          <w:rFonts w:ascii="Palatino Linotype" w:hAnsi="Palatino Linotype"/>
          <w:i/>
          <w:sz w:val="22"/>
          <w:szCs w:val="20"/>
        </w:rPr>
        <w:t xml:space="preserve"> V. Efectuar las notificaciones a los solicitantes;</w:t>
      </w:r>
    </w:p>
    <w:p w14:paraId="4ACE4954" w14:textId="77777777" w:rsidR="0029697F" w:rsidRDefault="0029697F" w:rsidP="0029697F">
      <w:pPr>
        <w:spacing w:line="360" w:lineRule="auto"/>
        <w:ind w:right="758"/>
        <w:jc w:val="both"/>
        <w:rPr>
          <w:rFonts w:ascii="Palatino Linotype" w:hAnsi="Palatino Linotype"/>
          <w:i/>
          <w:sz w:val="20"/>
          <w:szCs w:val="20"/>
        </w:rPr>
      </w:pPr>
    </w:p>
    <w:p w14:paraId="66DFF8E0" w14:textId="77777777" w:rsidR="0029697F" w:rsidRDefault="0029697F" w:rsidP="0029697F">
      <w:pPr>
        <w:numPr>
          <w:ilvl w:val="0"/>
          <w:numId w:val="1"/>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Al respecto del Instituto de Seguridad y Servicios Sociales de los Trabajadores</w:t>
      </w:r>
      <w:r>
        <w:rPr>
          <w:rFonts w:ascii="Palatino Linotype" w:eastAsia="Palatino Linotype" w:hAnsi="Palatino Linotype" w:cs="Palatino Linotype"/>
          <w:b/>
        </w:rPr>
        <w:t xml:space="preserve">, </w:t>
      </w:r>
      <w:r>
        <w:rPr>
          <w:rFonts w:ascii="Palatino Linotype" w:eastAsia="Palatino Linotype" w:hAnsi="Palatino Linotype" w:cs="Palatino Linotype"/>
        </w:rPr>
        <w:t>es catalogado como Sujeto Obligado federal, de acuerdo al Padrón de Sujetos Obligados del Ámbito Federal, en términos de la Ley General de Transparencia y Acceso a la Información Pública, actualizado al veintitrés de octubre de dos mil veinticuatro, como se muestra a continuación:</w:t>
      </w:r>
    </w:p>
    <w:p w14:paraId="395B8FA7" w14:textId="77777777" w:rsidR="0029697F" w:rsidRDefault="0029697F" w:rsidP="0029697F">
      <w:pPr>
        <w:spacing w:line="360" w:lineRule="auto"/>
        <w:jc w:val="both"/>
        <w:rPr>
          <w:rFonts w:ascii="Palatino Linotype" w:eastAsia="Palatino Linotype" w:hAnsi="Palatino Linotype" w:cs="Palatino Linotype"/>
        </w:rPr>
      </w:pPr>
    </w:p>
    <w:p w14:paraId="08A2D130" w14:textId="77777777" w:rsidR="0029697F" w:rsidRDefault="0029697F" w:rsidP="0029697F">
      <w:pPr>
        <w:spacing w:line="360" w:lineRule="auto"/>
        <w:jc w:val="center"/>
        <w:rPr>
          <w:rFonts w:ascii="Palatino Linotype" w:eastAsia="Palatino Linotype" w:hAnsi="Palatino Linotype" w:cs="Palatino Linotype"/>
        </w:rPr>
      </w:pPr>
      <w:r>
        <w:rPr>
          <w:rFonts w:ascii="Palatino Linotype" w:eastAsia="Palatino Linotype" w:hAnsi="Palatino Linotype" w:cs="Palatino Linotype"/>
          <w:noProof/>
          <w:lang w:val="es-MX" w:eastAsia="es-MX"/>
        </w:rPr>
        <w:drawing>
          <wp:inline distT="0" distB="0" distL="0" distR="0" wp14:anchorId="524A34D1" wp14:editId="03D91D1B">
            <wp:extent cx="4824000" cy="2381979"/>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824000" cy="2381979"/>
                    </a:xfrm>
                    <a:prstGeom prst="rect">
                      <a:avLst/>
                    </a:prstGeom>
                    <a:ln/>
                  </pic:spPr>
                </pic:pic>
              </a:graphicData>
            </a:graphic>
          </wp:inline>
        </w:drawing>
      </w:r>
    </w:p>
    <w:p w14:paraId="693FD7E8" w14:textId="77777777" w:rsidR="0029697F" w:rsidRDefault="0029697F" w:rsidP="0029697F">
      <w:pPr>
        <w:spacing w:line="360" w:lineRule="auto"/>
        <w:jc w:val="both"/>
        <w:rPr>
          <w:rFonts w:ascii="Palatino Linotype" w:eastAsia="Palatino Linotype" w:hAnsi="Palatino Linotype" w:cs="Palatino Linotype"/>
        </w:rPr>
      </w:pPr>
    </w:p>
    <w:p w14:paraId="514AC555" w14:textId="77777777" w:rsidR="0029697F" w:rsidRDefault="0029697F" w:rsidP="0029697F">
      <w:pPr>
        <w:spacing w:line="360" w:lineRule="auto"/>
        <w:jc w:val="center"/>
        <w:rPr>
          <w:rFonts w:ascii="Palatino Linotype" w:eastAsia="Palatino Linotype" w:hAnsi="Palatino Linotype" w:cs="Palatino Linotype"/>
        </w:rPr>
      </w:pPr>
      <w:r>
        <w:rPr>
          <w:rFonts w:ascii="Palatino Linotype" w:eastAsia="Palatino Linotype" w:hAnsi="Palatino Linotype" w:cs="Palatino Linotype"/>
          <w:noProof/>
          <w:lang w:val="es-MX" w:eastAsia="es-MX"/>
        </w:rPr>
        <w:drawing>
          <wp:inline distT="0" distB="0" distL="0" distR="0" wp14:anchorId="3B3E4CDB" wp14:editId="6017424D">
            <wp:extent cx="4752000" cy="2652899"/>
            <wp:effectExtent l="0" t="0" r="0" b="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4752000" cy="2652899"/>
                    </a:xfrm>
                    <a:prstGeom prst="rect">
                      <a:avLst/>
                    </a:prstGeom>
                    <a:ln/>
                  </pic:spPr>
                </pic:pic>
              </a:graphicData>
            </a:graphic>
          </wp:inline>
        </w:drawing>
      </w:r>
      <w:r>
        <w:rPr>
          <w:noProof/>
          <w:lang w:val="es-MX" w:eastAsia="es-MX"/>
        </w:rPr>
        <mc:AlternateContent>
          <mc:Choice Requires="wps">
            <w:drawing>
              <wp:anchor distT="0" distB="0" distL="114300" distR="114300" simplePos="0" relativeHeight="251659264" behindDoc="0" locked="0" layoutInCell="1" hidden="0" allowOverlap="1" wp14:anchorId="77576E85" wp14:editId="7037C964">
                <wp:simplePos x="0" y="0"/>
                <wp:positionH relativeFrom="column">
                  <wp:posOffset>-139699</wp:posOffset>
                </wp:positionH>
                <wp:positionV relativeFrom="paragraph">
                  <wp:posOffset>685800</wp:posOffset>
                </wp:positionV>
                <wp:extent cx="546100" cy="186872"/>
                <wp:effectExtent l="0" t="0" r="0" b="0"/>
                <wp:wrapNone/>
                <wp:docPr id="10" name="Flecha derecha 10"/>
                <wp:cNvGraphicFramePr/>
                <a:graphic xmlns:a="http://schemas.openxmlformats.org/drawingml/2006/main">
                  <a:graphicData uri="http://schemas.microsoft.com/office/word/2010/wordprocessingShape">
                    <wps:wsp>
                      <wps:cNvSpPr/>
                      <wps:spPr>
                        <a:xfrm>
                          <a:off x="5079300" y="3692914"/>
                          <a:ext cx="533400" cy="174172"/>
                        </a:xfrm>
                        <a:prstGeom prst="rightArrow">
                          <a:avLst>
                            <a:gd name="adj1" fmla="val 50000"/>
                            <a:gd name="adj2" fmla="val 50000"/>
                          </a:avLst>
                        </a:prstGeom>
                        <a:noFill/>
                        <a:ln w="12700" cap="flat" cmpd="sng">
                          <a:solidFill>
                            <a:srgbClr val="FF0000"/>
                          </a:solidFill>
                          <a:prstDash val="solid"/>
                          <a:miter lim="800000"/>
                          <a:headEnd type="none" w="sm" len="sm"/>
                          <a:tailEnd type="none" w="sm" len="sm"/>
                        </a:ln>
                      </wps:spPr>
                      <wps:txbx>
                        <w:txbxContent>
                          <w:p w14:paraId="536A1BB1" w14:textId="77777777" w:rsidR="0029697F" w:rsidRDefault="0029697F" w:rsidP="0029697F">
                            <w:pPr>
                              <w:textDirection w:val="btLr"/>
                            </w:pPr>
                          </w:p>
                        </w:txbxContent>
                      </wps:txbx>
                      <wps:bodyPr spcFirstLastPara="1" wrap="square" lIns="91425" tIns="91425" rIns="91425" bIns="91425" anchor="ctr" anchorCtr="0">
                        <a:noAutofit/>
                      </wps:bodyPr>
                    </wps:wsp>
                  </a:graphicData>
                </a:graphic>
              </wp:anchor>
            </w:drawing>
          </mc:Choice>
          <mc:Fallback>
            <w:pict>
              <v:shapetype w14:anchorId="22E7AF2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0" o:spid="_x0000_s1026" type="#_x0000_t13" style="position:absolute;left:0;text-align:left;margin-left:-11pt;margin-top:54pt;width:43pt;height:14.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" adj="18073" filled="f" strokecolor="red" strokeweight="1pt">
                <v:stroke startarrowwidth="narrow" startarrowlength="short" endarrowwidth="narrow" endarrowlength="short"/>
                <v:textbox inset="2.53958mm,2.53958mm,2.53958mm,2.53958mm">
                  <w:txbxContent>
                    <w:p w:rsidR="0029697F" w:rsidRDefault="0029697F" w:rsidP="0029697F">
                      <w:pPr>
                        <w:textDirection w:val="btLr"/>
                      </w:pPr>
                    </w:p>
                  </w:txbxContent>
                </v:textbox>
              </v:shape>
            </w:pict>
          </mc:Fallback>
        </mc:AlternateContent>
      </w:r>
      <w:r>
        <w:rPr>
          <w:noProof/>
          <w:lang w:val="es-MX" w:eastAsia="es-MX"/>
        </w:rPr>
        <mc:AlternateContent>
          <mc:Choice Requires="wps">
            <w:drawing>
              <wp:anchor distT="0" distB="0" distL="114300" distR="114300" simplePos="0" relativeHeight="251660288" behindDoc="0" locked="0" layoutInCell="1" hidden="0" allowOverlap="1" wp14:anchorId="273602E2" wp14:editId="5E194DD3">
                <wp:simplePos x="0" y="0"/>
                <wp:positionH relativeFrom="column">
                  <wp:posOffset>889000</wp:posOffset>
                </wp:positionH>
                <wp:positionV relativeFrom="paragraph">
                  <wp:posOffset>838200</wp:posOffset>
                </wp:positionV>
                <wp:extent cx="3905250" cy="40640"/>
                <wp:effectExtent l="0" t="0" r="0" b="0"/>
                <wp:wrapNone/>
                <wp:docPr id="11" name="Conector recto de flecha 11"/>
                <wp:cNvGraphicFramePr/>
                <a:graphic xmlns:a="http://schemas.openxmlformats.org/drawingml/2006/main">
                  <a:graphicData uri="http://schemas.microsoft.com/office/word/2010/wordprocessingShape">
                    <wps:wsp>
                      <wps:cNvCnPr/>
                      <wps:spPr>
                        <a:xfrm>
                          <a:off x="3402900" y="3769205"/>
                          <a:ext cx="3886200" cy="21590"/>
                        </a:xfrm>
                        <a:prstGeom prst="straightConnector1">
                          <a:avLst/>
                        </a:prstGeom>
                        <a:noFill/>
                        <a:ln w="19050" cap="flat" cmpd="sng">
                          <a:solidFill>
                            <a:schemeClr val="accent2"/>
                          </a:solidFill>
                          <a:prstDash val="solid"/>
                          <a:miter lim="800000"/>
                          <a:headEnd type="none" w="sm" len="sm"/>
                          <a:tailEnd type="none" w="sm" len="sm"/>
                        </a:ln>
                      </wps:spPr>
                      <wps:bodyPr/>
                    </wps:wsp>
                  </a:graphicData>
                </a:graphic>
              </wp:anchor>
            </w:drawing>
          </mc:Choice>
          <mc:Fallback>
            <w:pict>
              <v:shapetype w14:anchorId="7E3E04DD" id="_x0000_t32" coordsize="21600,21600" o:spt="32" o:oned="t" path="m,l21600,21600e" filled="f">
                <v:path arrowok="t" fillok="f" o:connecttype="none"/>
                <o:lock v:ext="edit" shapetype="t"/>
              </v:shapetype>
              <v:shape id="Conector recto de flecha 11" o:spid="_x0000_s1026" type="#_x0000_t32" style="position:absolute;margin-left:70pt;margin-top:66pt;width:307.5pt;height:3.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" strokecolor="#ed7d31 [3205]" strokeweight="1.5pt">
                <v:stroke startarrowwidth="narrow" startarrowlength="short" endarrowwidth="narrow" endarrowlength="short" joinstyle="miter"/>
              </v:shape>
            </w:pict>
          </mc:Fallback>
        </mc:AlternateContent>
      </w:r>
    </w:p>
    <w:p w14:paraId="3C8136DB" w14:textId="77777777" w:rsidR="0029697F" w:rsidRDefault="0029697F" w:rsidP="0029697F">
      <w:pPr>
        <w:spacing w:line="360" w:lineRule="auto"/>
        <w:jc w:val="both"/>
        <w:rPr>
          <w:rFonts w:ascii="Palatino Linotype" w:eastAsia="Palatino Linotype" w:hAnsi="Palatino Linotype" w:cs="Palatino Linotype"/>
          <w:i/>
        </w:rPr>
      </w:pPr>
    </w:p>
    <w:p w14:paraId="44223564" w14:textId="77777777" w:rsidR="0029697F" w:rsidRDefault="0029697F" w:rsidP="0029697F">
      <w:pPr>
        <w:numPr>
          <w:ilvl w:val="0"/>
          <w:numId w:val="9"/>
        </w:numPr>
        <w:spacing w:line="360" w:lineRule="auto"/>
        <w:ind w:left="0" w:firstLine="0"/>
        <w:jc w:val="both"/>
        <w:rPr>
          <w:rFonts w:ascii="Palatino Linotype" w:eastAsia="Palatino Linotype" w:hAnsi="Palatino Linotype" w:cs="Palatino Linotype"/>
          <w:i/>
        </w:rPr>
      </w:pPr>
      <w:r>
        <w:rPr>
          <w:rFonts w:ascii="Palatino Linotype" w:eastAsia="Palatino Linotype" w:hAnsi="Palatino Linotype" w:cs="Palatino Linotype"/>
        </w:rPr>
        <w:t xml:space="preserve"> Por lo que hace al Instituto de Salud del Estado de México, se observa que se trata de un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diverso a la Secretaría de Salud, como se muestra a continuación:</w:t>
      </w:r>
    </w:p>
    <w:p w14:paraId="6F672241" w14:textId="77777777" w:rsidR="0029697F" w:rsidRDefault="0029697F" w:rsidP="0029697F">
      <w:pPr>
        <w:spacing w:line="360" w:lineRule="auto"/>
        <w:jc w:val="both"/>
        <w:rPr>
          <w:rFonts w:ascii="Palatino Linotype" w:eastAsia="Palatino Linotype" w:hAnsi="Palatino Linotype" w:cs="Palatino Linotype"/>
          <w:i/>
        </w:rPr>
      </w:pPr>
    </w:p>
    <w:p w14:paraId="629A0B27" w14:textId="77777777" w:rsidR="0029697F" w:rsidRDefault="0029697F" w:rsidP="0029697F">
      <w:pPr>
        <w:spacing w:line="360" w:lineRule="auto"/>
        <w:jc w:val="center"/>
        <w:rPr>
          <w:rFonts w:ascii="Palatino Linotype" w:eastAsia="Palatino Linotype" w:hAnsi="Palatino Linotype" w:cs="Palatino Linotype"/>
          <w:i/>
        </w:rPr>
      </w:pPr>
      <w:r>
        <w:rPr>
          <w:rFonts w:ascii="Palatino Linotype" w:eastAsia="Palatino Linotype" w:hAnsi="Palatino Linotype" w:cs="Palatino Linotype"/>
          <w:i/>
          <w:noProof/>
          <w:lang w:val="es-MX" w:eastAsia="es-MX"/>
        </w:rPr>
        <w:drawing>
          <wp:inline distT="0" distB="0" distL="0" distR="0" wp14:anchorId="0BCB7A90" wp14:editId="182990CD">
            <wp:extent cx="5226406" cy="4392000"/>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226406" cy="4392000"/>
                    </a:xfrm>
                    <a:prstGeom prst="rect">
                      <a:avLst/>
                    </a:prstGeom>
                    <a:ln/>
                  </pic:spPr>
                </pic:pic>
              </a:graphicData>
            </a:graphic>
          </wp:inline>
        </w:drawing>
      </w:r>
      <w:r>
        <w:rPr>
          <w:noProof/>
          <w:lang w:val="es-MX" w:eastAsia="es-MX"/>
        </w:rPr>
        <mc:AlternateContent>
          <mc:Choice Requires="wps">
            <w:drawing>
              <wp:anchor distT="0" distB="0" distL="114300" distR="114300" simplePos="0" relativeHeight="251661312" behindDoc="0" locked="0" layoutInCell="1" hidden="0" allowOverlap="1" wp14:anchorId="0DA4BB94" wp14:editId="03BCCB9A">
                <wp:simplePos x="0" y="0"/>
                <wp:positionH relativeFrom="column">
                  <wp:posOffset>279400</wp:posOffset>
                </wp:positionH>
                <wp:positionV relativeFrom="paragraph">
                  <wp:posOffset>3810000</wp:posOffset>
                </wp:positionV>
                <wp:extent cx="2581728" cy="644071"/>
                <wp:effectExtent l="0" t="0" r="0" b="0"/>
                <wp:wrapNone/>
                <wp:docPr id="12" name="Elipse 12"/>
                <wp:cNvGraphicFramePr/>
                <a:graphic xmlns:a="http://schemas.openxmlformats.org/drawingml/2006/main">
                  <a:graphicData uri="http://schemas.microsoft.com/office/word/2010/wordprocessingShape">
                    <wps:wsp>
                      <wps:cNvSpPr/>
                      <wps:spPr>
                        <a:xfrm>
                          <a:off x="4061486" y="3464315"/>
                          <a:ext cx="2569028" cy="631371"/>
                        </a:xfrm>
                        <a:prstGeom prst="ellipse">
                          <a:avLst/>
                        </a:prstGeom>
                        <a:noFill/>
                        <a:ln w="12700" cap="flat" cmpd="sng">
                          <a:solidFill>
                            <a:srgbClr val="FF0000"/>
                          </a:solidFill>
                          <a:prstDash val="solid"/>
                          <a:miter lim="800000"/>
                          <a:headEnd type="none" w="sm" len="sm"/>
                          <a:tailEnd type="none" w="sm" len="sm"/>
                        </a:ln>
                      </wps:spPr>
                      <wps:txbx>
                        <w:txbxContent>
                          <w:p w14:paraId="484EBBBA" w14:textId="77777777" w:rsidR="0029697F" w:rsidRDefault="0029697F" w:rsidP="0029697F">
                            <w:pPr>
                              <w:textDirection w:val="btLr"/>
                            </w:pPr>
                          </w:p>
                        </w:txbxContent>
                      </wps:txbx>
                      <wps:bodyPr spcFirstLastPara="1" wrap="square" lIns="91425" tIns="91425" rIns="91425" bIns="91425" anchor="ctr" anchorCtr="0">
                        <a:noAutofit/>
                      </wps:bodyPr>
                    </wps:wsp>
                  </a:graphicData>
                </a:graphic>
              </wp:anchor>
            </w:drawing>
          </mc:Choice>
          <mc:Fallback>
            <w:pict>
              <v:oval w14:anchorId="06C108FD" id="Elipse 12" o:spid="_x0000_s1027" style="position:absolute;left:0;text-align:left;margin-left:22pt;margin-top:300pt;width:203.3pt;height:50.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" filled="f" strokecolor="red" strokeweight="1pt">
                <v:stroke startarrowwidth="narrow" startarrowlength="short" endarrowwidth="narrow" endarrowlength="short" joinstyle="miter"/>
                <v:textbox inset="2.53958mm,2.53958mm,2.53958mm,2.53958mm">
                  <w:txbxContent>
                    <w:p w:rsidR="0029697F" w:rsidRDefault="0029697F" w:rsidP="0029697F">
                      <w:pPr>
                        <w:textDirection w:val="btLr"/>
                      </w:pPr>
                    </w:p>
                  </w:txbxContent>
                </v:textbox>
              </v:oval>
            </w:pict>
          </mc:Fallback>
        </mc:AlternateContent>
      </w:r>
    </w:p>
    <w:p w14:paraId="4AAAB49A" w14:textId="77777777" w:rsidR="0029697F" w:rsidRDefault="0029697F" w:rsidP="0029697F">
      <w:pPr>
        <w:spacing w:line="360" w:lineRule="auto"/>
        <w:jc w:val="both"/>
        <w:rPr>
          <w:rFonts w:ascii="Palatino Linotype" w:eastAsia="Palatino Linotype" w:hAnsi="Palatino Linotype" w:cs="Palatino Linotype"/>
        </w:rPr>
      </w:pPr>
    </w:p>
    <w:p w14:paraId="11DF6532" w14:textId="77777777" w:rsidR="0029697F" w:rsidRDefault="0029697F" w:rsidP="0029697F">
      <w:pPr>
        <w:numPr>
          <w:ilvl w:val="0"/>
          <w:numId w:val="9"/>
        </w:numPr>
        <w:spacing w:line="360" w:lineRule="auto"/>
        <w:ind w:left="0" w:firstLine="0"/>
        <w:jc w:val="both"/>
        <w:rPr>
          <w:rFonts w:ascii="Palatino Linotype" w:eastAsia="Palatino Linotype" w:hAnsi="Palatino Linotype" w:cs="Palatino Linotype"/>
        </w:rPr>
      </w:pPr>
      <w:r w:rsidRPr="00A46A62">
        <w:rPr>
          <w:rFonts w:ascii="Palatino Linotype" w:eastAsia="Palatino Linotype" w:hAnsi="Palatino Linotype" w:cs="Palatino Linotype"/>
        </w:rPr>
        <w:t>Es este se</w:t>
      </w:r>
      <w:r>
        <w:rPr>
          <w:rFonts w:ascii="Palatino Linotype" w:eastAsia="Palatino Linotype" w:hAnsi="Palatino Linotype" w:cs="Palatino Linotype"/>
        </w:rPr>
        <w:t xml:space="preserve">ntido, se concluye que resulta procedente, la incompetencia planteada hecha valer por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pues de lo expuesto con anterioridad, se advierte que el convenio que se requirió, no puede obrar dentro de </w:t>
      </w:r>
      <w:r>
        <w:rPr>
          <w:rFonts w:ascii="Palatino Linotype" w:eastAsia="Palatino Linotype" w:hAnsi="Palatino Linotype" w:cs="Palatino Linotype"/>
        </w:rPr>
        <w:lastRenderedPageBreak/>
        <w:t>los archivos de la Secretaria de Seguridad, pues se trata de dos sujetos obligados diversos.</w:t>
      </w:r>
    </w:p>
    <w:p w14:paraId="4239DC32" w14:textId="77777777" w:rsidR="0029697F" w:rsidRPr="0029697F" w:rsidRDefault="0029697F" w:rsidP="0029697F">
      <w:pPr>
        <w:spacing w:line="360" w:lineRule="auto"/>
        <w:jc w:val="both"/>
        <w:rPr>
          <w:rFonts w:ascii="Palatino Linotype" w:eastAsia="Palatino Linotype" w:hAnsi="Palatino Linotype" w:cs="Palatino Linotype"/>
        </w:rPr>
      </w:pPr>
    </w:p>
    <w:p w14:paraId="40C14A5F" w14:textId="77777777" w:rsidR="00A46A62" w:rsidRPr="0029697F" w:rsidRDefault="0029697F" w:rsidP="0029697F">
      <w:pPr>
        <w:numPr>
          <w:ilvl w:val="0"/>
          <w:numId w:val="9"/>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Dicho lo anterior este Órgano Resolutor arriba a la conclusión de que con la incompetencia hecha valer, se colma en su totalidad la solicitud</w:t>
      </w:r>
      <w:r>
        <w:rPr>
          <w:rFonts w:ascii="Palatino Linotype" w:eastAsia="Palatino Linotype" w:hAnsi="Palatino Linotype" w:cs="Palatino Linotype"/>
          <w:b/>
        </w:rPr>
        <w:t>  </w:t>
      </w:r>
      <w:hyperlink r:id="rId14">
        <w:r>
          <w:rPr>
            <w:rFonts w:ascii="Palatino Linotype" w:eastAsia="Palatino Linotype" w:hAnsi="Palatino Linotype" w:cs="Palatino Linotype"/>
            <w:b/>
            <w:color w:val="000000"/>
          </w:rPr>
          <w:t>00067/SSALUD/IP/2024</w:t>
        </w:r>
      </w:hyperlink>
      <w:r>
        <w:rPr>
          <w:rFonts w:ascii="Palatino Linotype" w:eastAsia="Palatino Linotype" w:hAnsi="Palatino Linotype" w:cs="Palatino Linotype"/>
          <w:b/>
        </w:rPr>
        <w:t>.</w:t>
      </w:r>
    </w:p>
    <w:p w14:paraId="524F010B" w14:textId="77777777" w:rsidR="00A46A62" w:rsidRPr="000740A3" w:rsidRDefault="00A46A62" w:rsidP="0029697F">
      <w:pPr>
        <w:numPr>
          <w:ilvl w:val="0"/>
          <w:numId w:val="9"/>
        </w:numPr>
        <w:spacing w:line="360" w:lineRule="auto"/>
        <w:ind w:left="0" w:firstLine="0"/>
        <w:jc w:val="both"/>
        <w:rPr>
          <w:rFonts w:ascii="Palatino Linotype" w:hAnsi="Palatino Linotype"/>
          <w:color w:val="000000" w:themeColor="text1"/>
        </w:rPr>
      </w:pPr>
      <w:r w:rsidRPr="000740A3">
        <w:rPr>
          <w:rFonts w:ascii="Palatino Linotype" w:hAnsi="Palatino Linotype"/>
          <w:color w:val="000000" w:themeColor="text1"/>
        </w:rPr>
        <w:t>Es por lo expuesto con anterioridad, que se colige que resultan</w:t>
      </w:r>
      <w:r w:rsidRPr="000740A3">
        <w:rPr>
          <w:rFonts w:ascii="Palatino Linotype" w:hAnsi="Palatino Linotype"/>
          <w:b/>
          <w:color w:val="000000" w:themeColor="text1"/>
        </w:rPr>
        <w:t xml:space="preserve"> infundadas</w:t>
      </w:r>
      <w:r w:rsidRPr="000740A3">
        <w:rPr>
          <w:rFonts w:ascii="Palatino Linotype" w:hAnsi="Palatino Linotype"/>
          <w:color w:val="000000" w:themeColor="text1"/>
        </w:rPr>
        <w:t xml:space="preserve"> </w:t>
      </w:r>
      <w:r w:rsidRPr="000740A3">
        <w:rPr>
          <w:rFonts w:ascii="Palatino Linotype" w:hAnsi="Palatino Linotype" w:cs="Arial"/>
        </w:rPr>
        <w:t>las</w:t>
      </w:r>
      <w:r w:rsidRPr="000740A3">
        <w:rPr>
          <w:rFonts w:ascii="Palatino Linotype" w:hAnsi="Palatino Linotype"/>
          <w:color w:val="000000" w:themeColor="text1"/>
        </w:rPr>
        <w:t xml:space="preserve"> razones o </w:t>
      </w:r>
      <w:r w:rsidRPr="000740A3">
        <w:rPr>
          <w:rFonts w:ascii="Palatino Linotype" w:hAnsi="Palatino Linotype" w:cs="Arial"/>
        </w:rPr>
        <w:t>motivos</w:t>
      </w:r>
      <w:r w:rsidRPr="000740A3">
        <w:rPr>
          <w:rFonts w:ascii="Palatino Linotype" w:hAnsi="Palatino Linotype"/>
          <w:color w:val="000000" w:themeColor="text1"/>
        </w:rPr>
        <w:t xml:space="preserve"> de inconformidad hechos valer por </w:t>
      </w:r>
      <w:r w:rsidRPr="000740A3">
        <w:rPr>
          <w:rFonts w:ascii="Palatino Linotype" w:hAnsi="Palatino Linotype"/>
          <w:b/>
          <w:color w:val="000000" w:themeColor="text1"/>
        </w:rPr>
        <w:t>EL RECURRENTE</w:t>
      </w:r>
      <w:r w:rsidRPr="000740A3">
        <w:rPr>
          <w:rFonts w:ascii="Palatino Linotype" w:hAnsi="Palatino Linotype"/>
          <w:color w:val="000000" w:themeColor="text1"/>
        </w:rPr>
        <w:t xml:space="preserve"> en el recursos de revisión, por </w:t>
      </w:r>
      <w:r w:rsidRPr="000740A3">
        <w:rPr>
          <w:rFonts w:ascii="Palatino Linotype" w:hAnsi="Palatino Linotype" w:cs="Arial"/>
        </w:rPr>
        <w:t>ello,</w:t>
      </w:r>
      <w:r w:rsidRPr="000740A3">
        <w:rPr>
          <w:rFonts w:ascii="Palatino Linotype" w:hAnsi="Palatino Linotype"/>
          <w:color w:val="000000" w:themeColor="text1"/>
        </w:rPr>
        <w:t xml:space="preserve"> con fundamento en el artículo 186, fracción II, de la Ley de Transparencia y </w:t>
      </w:r>
      <w:r w:rsidRPr="000740A3">
        <w:rPr>
          <w:rFonts w:ascii="Palatino Linotype" w:hAnsi="Palatino Linotype"/>
        </w:rPr>
        <w:t>Acceso</w:t>
      </w:r>
      <w:r w:rsidRPr="000740A3">
        <w:rPr>
          <w:rFonts w:ascii="Palatino Linotype" w:hAnsi="Palatino Linotype"/>
          <w:color w:val="000000" w:themeColor="text1"/>
        </w:rPr>
        <w:t xml:space="preserve"> a la </w:t>
      </w:r>
      <w:r w:rsidRPr="000740A3">
        <w:rPr>
          <w:rFonts w:ascii="Palatino Linotype" w:hAnsi="Palatino Linotype" w:cs="Arial"/>
        </w:rPr>
        <w:t>Información</w:t>
      </w:r>
      <w:r w:rsidRPr="000740A3">
        <w:rPr>
          <w:rFonts w:ascii="Palatino Linotype" w:hAnsi="Palatino Linotype"/>
          <w:color w:val="000000" w:themeColor="text1"/>
        </w:rPr>
        <w:t xml:space="preserve"> Pública del Estado de México y Municipios, se </w:t>
      </w:r>
      <w:r w:rsidRPr="000740A3">
        <w:rPr>
          <w:rFonts w:ascii="Palatino Linotype" w:hAnsi="Palatino Linotype" w:cs="Arial"/>
          <w:b/>
          <w:color w:val="000000" w:themeColor="text1"/>
        </w:rPr>
        <w:t>CONFIRMA</w:t>
      </w:r>
      <w:r w:rsidRPr="000740A3">
        <w:rPr>
          <w:rFonts w:ascii="Palatino Linotype" w:hAnsi="Palatino Linotype"/>
          <w:color w:val="000000" w:themeColor="text1"/>
        </w:rPr>
        <w:t xml:space="preserve"> la respuesta a las solicitud de información pública</w:t>
      </w:r>
      <w:r w:rsidRPr="000740A3">
        <w:rPr>
          <w:rFonts w:ascii="Palatino Linotype" w:hAnsi="Palatino Linotype"/>
          <w:b/>
          <w:bCs/>
          <w:color w:val="000000" w:themeColor="text1"/>
        </w:rPr>
        <w:t>  </w:t>
      </w:r>
      <w:hyperlink r:id="rId15">
        <w:r w:rsidR="0029697F" w:rsidRPr="0029697F">
          <w:rPr>
            <w:rFonts w:ascii="Palatino Linotype" w:hAnsi="Palatino Linotype" w:cs="Arial"/>
            <w:b/>
            <w:color w:val="000000" w:themeColor="text1"/>
          </w:rPr>
          <w:t>00067/SSALUD/IP/2024</w:t>
        </w:r>
      </w:hyperlink>
      <w:r w:rsidRPr="0029697F">
        <w:rPr>
          <w:rFonts w:ascii="Palatino Linotype" w:hAnsi="Palatino Linotype" w:cs="Arial"/>
          <w:color w:val="000000" w:themeColor="text1"/>
        </w:rPr>
        <w:t>,</w:t>
      </w:r>
      <w:r w:rsidRPr="000740A3">
        <w:rPr>
          <w:rFonts w:ascii="Palatino Linotype" w:hAnsi="Palatino Linotype"/>
          <w:color w:val="000000" w:themeColor="text1"/>
        </w:rPr>
        <w:t xml:space="preserve"> que ha sido materia del presente fallo.</w:t>
      </w:r>
    </w:p>
    <w:p w14:paraId="3BE7D75E" w14:textId="77777777" w:rsidR="00A46A62" w:rsidRPr="000740A3" w:rsidRDefault="00A46A62" w:rsidP="00A46A62">
      <w:pPr>
        <w:spacing w:line="360" w:lineRule="auto"/>
        <w:contextualSpacing/>
        <w:jc w:val="both"/>
        <w:rPr>
          <w:rFonts w:ascii="Palatino Linotype" w:hAnsi="Palatino Linotype"/>
          <w:color w:val="000000" w:themeColor="text1"/>
        </w:rPr>
      </w:pPr>
    </w:p>
    <w:p w14:paraId="483DF8DB" w14:textId="77777777" w:rsidR="00A46A62" w:rsidRPr="000740A3" w:rsidRDefault="00A46A62" w:rsidP="0029697F">
      <w:pPr>
        <w:numPr>
          <w:ilvl w:val="0"/>
          <w:numId w:val="9"/>
        </w:numPr>
        <w:spacing w:line="360" w:lineRule="auto"/>
        <w:ind w:left="0" w:firstLine="0"/>
        <w:jc w:val="both"/>
        <w:rPr>
          <w:rFonts w:ascii="Palatino Linotype" w:hAnsi="Palatino Linotype"/>
          <w:color w:val="000000" w:themeColor="text1"/>
        </w:rPr>
      </w:pPr>
      <w:r w:rsidRPr="000740A3">
        <w:rPr>
          <w:rFonts w:ascii="Palatino Linotype" w:hAnsi="Palatino Linotype" w:cs="Arial"/>
          <w:color w:val="000000" w:themeColor="text1"/>
          <w:lang w:eastAsia="es-MX"/>
        </w:rPr>
        <w:t xml:space="preserve">Por lo anteriormente expuesto y fundado, este </w:t>
      </w:r>
      <w:r w:rsidRPr="000740A3">
        <w:rPr>
          <w:rFonts w:ascii="Palatino Linotype" w:hAnsi="Palatino Linotype" w:cs="Arial"/>
          <w:b/>
          <w:bCs/>
          <w:color w:val="000000" w:themeColor="text1"/>
          <w:lang w:eastAsia="es-MX"/>
        </w:rPr>
        <w:t>ÓRGANO GARANTE</w:t>
      </w:r>
      <w:r w:rsidRPr="000740A3">
        <w:rPr>
          <w:rFonts w:ascii="Palatino Linotype" w:hAnsi="Palatino Linotype" w:cs="Arial"/>
          <w:color w:val="000000" w:themeColor="text1"/>
          <w:lang w:eastAsia="es-MX"/>
        </w:rPr>
        <w:t xml:space="preserve"> emite los siguientes:</w:t>
      </w:r>
      <w:bookmarkStart w:id="16" w:name="_Toc504500693"/>
      <w:bookmarkStart w:id="17" w:name="_Toc534742545"/>
      <w:bookmarkStart w:id="18" w:name="_Toc2248738"/>
      <w:bookmarkStart w:id="19" w:name="_Toc34819440"/>
      <w:bookmarkStart w:id="20" w:name="_Toc51259595"/>
      <w:bookmarkStart w:id="21" w:name="_Toc83128595"/>
    </w:p>
    <w:p w14:paraId="0C80BCE2" w14:textId="77777777" w:rsidR="00A46A62" w:rsidRPr="000740A3" w:rsidRDefault="00A46A62" w:rsidP="00A46A62">
      <w:pPr>
        <w:pStyle w:val="Prrafodelista"/>
        <w:tabs>
          <w:tab w:val="left" w:pos="426"/>
        </w:tabs>
        <w:spacing w:line="360" w:lineRule="auto"/>
        <w:ind w:left="0" w:right="51"/>
        <w:jc w:val="both"/>
        <w:rPr>
          <w:rFonts w:ascii="Palatino Linotype" w:hAnsi="Palatino Linotype"/>
          <w:color w:val="000000" w:themeColor="text1"/>
        </w:rPr>
      </w:pPr>
    </w:p>
    <w:p w14:paraId="41DADCFA" w14:textId="77777777" w:rsidR="00A46A62" w:rsidRPr="000740A3" w:rsidRDefault="00A46A62" w:rsidP="00A46A62">
      <w:pPr>
        <w:pStyle w:val="Ttulo1"/>
        <w:spacing w:before="0" w:line="360" w:lineRule="auto"/>
        <w:jc w:val="center"/>
        <w:rPr>
          <w:rFonts w:ascii="Palatino Linotype" w:eastAsia="Calibri" w:hAnsi="Palatino Linotype"/>
          <w:b/>
          <w:color w:val="000000" w:themeColor="text1"/>
          <w:sz w:val="24"/>
          <w:szCs w:val="24"/>
          <w:lang w:val="es-ES"/>
        </w:rPr>
      </w:pPr>
      <w:r w:rsidRPr="000740A3">
        <w:rPr>
          <w:rFonts w:ascii="Palatino Linotype" w:eastAsia="Calibri" w:hAnsi="Palatino Linotype"/>
          <w:b/>
          <w:color w:val="000000" w:themeColor="text1"/>
          <w:sz w:val="24"/>
          <w:szCs w:val="24"/>
          <w:lang w:val="es-ES"/>
        </w:rPr>
        <w:t>R E S O L U T I V O S</w:t>
      </w:r>
      <w:bookmarkEnd w:id="16"/>
      <w:bookmarkEnd w:id="17"/>
      <w:bookmarkEnd w:id="18"/>
      <w:bookmarkEnd w:id="19"/>
      <w:bookmarkEnd w:id="20"/>
      <w:bookmarkEnd w:id="21"/>
    </w:p>
    <w:p w14:paraId="045C497A" w14:textId="77777777" w:rsidR="00A46A62" w:rsidRPr="000740A3" w:rsidRDefault="00A46A62" w:rsidP="00A46A62">
      <w:pPr>
        <w:spacing w:line="360" w:lineRule="auto"/>
        <w:rPr>
          <w:rFonts w:ascii="Palatino Linotype" w:hAnsi="Palatino Linotype"/>
          <w:lang w:val="es-ES"/>
        </w:rPr>
      </w:pPr>
    </w:p>
    <w:p w14:paraId="637B7AF3" w14:textId="77777777" w:rsidR="00A46A62" w:rsidRPr="000740A3" w:rsidRDefault="00A46A62" w:rsidP="00A46A62">
      <w:pPr>
        <w:tabs>
          <w:tab w:val="left" w:pos="8080"/>
        </w:tabs>
        <w:spacing w:line="360" w:lineRule="auto"/>
        <w:ind w:right="49"/>
        <w:jc w:val="both"/>
        <w:rPr>
          <w:rFonts w:ascii="Palatino Linotype" w:eastAsia="Times New Roman" w:hAnsi="Palatino Linotype" w:cs="Arial"/>
          <w:bCs/>
        </w:rPr>
      </w:pPr>
      <w:bookmarkStart w:id="22" w:name="_Toc503891610"/>
      <w:bookmarkStart w:id="23" w:name="_Toc453696503"/>
      <w:bookmarkStart w:id="24" w:name="_Toc454301156"/>
      <w:bookmarkStart w:id="25" w:name="_Toc462653938"/>
      <w:bookmarkStart w:id="26" w:name="_Toc477891769"/>
      <w:bookmarkStart w:id="27" w:name="_Toc477891859"/>
      <w:bookmarkStart w:id="28" w:name="_Toc481576260"/>
      <w:bookmarkStart w:id="29" w:name="_Toc492590392"/>
      <w:bookmarkStart w:id="30" w:name="_Toc511647758"/>
      <w:bookmarkStart w:id="31" w:name="_Toc511647819"/>
      <w:r w:rsidRPr="000740A3">
        <w:rPr>
          <w:rFonts w:ascii="Palatino Linotype" w:eastAsia="Times New Roman" w:hAnsi="Palatino Linotype" w:cs="Arial"/>
          <w:b/>
          <w:bCs/>
        </w:rPr>
        <w:t>PRIMERO</w:t>
      </w:r>
      <w:r w:rsidRPr="000740A3">
        <w:rPr>
          <w:rFonts w:ascii="Palatino Linotype" w:eastAsia="Times New Roman" w:hAnsi="Palatino Linotype" w:cs="Arial"/>
        </w:rPr>
        <w:t xml:space="preserve">. Resultan infundadas las </w:t>
      </w:r>
      <w:r w:rsidRPr="000740A3">
        <w:rPr>
          <w:rFonts w:ascii="Palatino Linotype" w:eastAsia="Times New Roman" w:hAnsi="Palatino Linotype" w:cs="Arial"/>
          <w:lang w:val="es-ES"/>
        </w:rPr>
        <w:t xml:space="preserve">razones o motivos de inconformidad hechos valer en el recurso de revisión </w:t>
      </w:r>
      <w:r w:rsidR="0029697F" w:rsidRPr="0029697F">
        <w:rPr>
          <w:rFonts w:ascii="Palatino Linotype" w:eastAsia="Times New Roman" w:hAnsi="Palatino Linotype" w:cs="Arial"/>
          <w:b/>
          <w:bCs/>
        </w:rPr>
        <w:t>01558/INFOEM/IP/RR/2024</w:t>
      </w:r>
      <w:r w:rsidRPr="000740A3">
        <w:rPr>
          <w:rFonts w:ascii="Palatino Linotype" w:eastAsia="Times New Roman" w:hAnsi="Palatino Linotype" w:cs="Arial"/>
          <w:bCs/>
        </w:rPr>
        <w:t xml:space="preserve">, en términos del Considerando </w:t>
      </w:r>
      <w:r w:rsidRPr="000740A3">
        <w:rPr>
          <w:rFonts w:ascii="Palatino Linotype" w:eastAsia="Times New Roman" w:hAnsi="Palatino Linotype" w:cs="Arial"/>
          <w:b/>
          <w:bCs/>
        </w:rPr>
        <w:t>CUARTO</w:t>
      </w:r>
      <w:r w:rsidRPr="000740A3">
        <w:rPr>
          <w:rFonts w:ascii="Palatino Linotype" w:eastAsia="Times New Roman" w:hAnsi="Palatino Linotype" w:cs="Arial"/>
          <w:bCs/>
        </w:rPr>
        <w:t xml:space="preserve"> de la presente resolución.</w:t>
      </w:r>
    </w:p>
    <w:p w14:paraId="1328ADDF" w14:textId="77777777" w:rsidR="00A46A62" w:rsidRPr="000740A3" w:rsidRDefault="00A46A62" w:rsidP="00A46A62">
      <w:pPr>
        <w:tabs>
          <w:tab w:val="left" w:pos="8080"/>
        </w:tabs>
        <w:spacing w:line="360" w:lineRule="auto"/>
        <w:ind w:right="49"/>
        <w:jc w:val="both"/>
        <w:rPr>
          <w:rFonts w:ascii="Palatino Linotype" w:eastAsia="Times New Roman" w:hAnsi="Palatino Linotype" w:cs="Arial"/>
          <w:bCs/>
        </w:rPr>
      </w:pPr>
    </w:p>
    <w:p w14:paraId="1AA30594" w14:textId="77777777" w:rsidR="00A46A62" w:rsidRPr="000740A3" w:rsidRDefault="00A46A62" w:rsidP="00A46A62">
      <w:pPr>
        <w:tabs>
          <w:tab w:val="left" w:pos="8080"/>
        </w:tabs>
        <w:spacing w:line="360" w:lineRule="auto"/>
        <w:ind w:right="49"/>
        <w:jc w:val="both"/>
        <w:rPr>
          <w:rFonts w:ascii="Palatino Linotype" w:eastAsia="Times New Roman" w:hAnsi="Palatino Linotype" w:cs="Arial"/>
          <w:b/>
          <w:bCs/>
        </w:rPr>
      </w:pPr>
      <w:r w:rsidRPr="000740A3">
        <w:rPr>
          <w:rFonts w:ascii="Palatino Linotype" w:eastAsia="Times New Roman" w:hAnsi="Palatino Linotype" w:cs="Arial"/>
          <w:b/>
        </w:rPr>
        <w:t>SEGUNDO</w:t>
      </w:r>
      <w:r w:rsidRPr="000740A3">
        <w:rPr>
          <w:rFonts w:ascii="Palatino Linotype" w:eastAsia="Times New Roman" w:hAnsi="Palatino Linotype" w:cs="Arial"/>
        </w:rPr>
        <w:t xml:space="preserve">. </w:t>
      </w:r>
      <w:r w:rsidRPr="006770F8">
        <w:rPr>
          <w:rFonts w:ascii="Palatino Linotype" w:eastAsia="Times New Roman" w:hAnsi="Palatino Linotype" w:cs="Arial"/>
          <w:lang w:val="es-ES"/>
        </w:rPr>
        <w:t xml:space="preserve">Se </w:t>
      </w:r>
      <w:r w:rsidRPr="006770F8">
        <w:rPr>
          <w:rFonts w:ascii="Palatino Linotype" w:eastAsia="Times New Roman" w:hAnsi="Palatino Linotype" w:cs="Arial"/>
          <w:b/>
          <w:lang w:val="es-ES"/>
        </w:rPr>
        <w:t>CONFIRMA</w:t>
      </w:r>
      <w:r w:rsidR="00D000C9" w:rsidRPr="006770F8">
        <w:rPr>
          <w:rFonts w:ascii="Palatino Linotype" w:eastAsia="Times New Roman" w:hAnsi="Palatino Linotype" w:cs="Arial"/>
          <w:lang w:val="es-ES"/>
        </w:rPr>
        <w:t xml:space="preserve"> la</w:t>
      </w:r>
      <w:r w:rsidRPr="006770F8">
        <w:rPr>
          <w:rFonts w:ascii="Palatino Linotype" w:eastAsia="Times New Roman" w:hAnsi="Palatino Linotype" w:cs="Arial"/>
          <w:lang w:val="es-ES"/>
        </w:rPr>
        <w:t xml:space="preserve"> respuesta</w:t>
      </w:r>
      <w:r w:rsidRPr="000740A3">
        <w:rPr>
          <w:rFonts w:ascii="Palatino Linotype" w:eastAsia="Times New Roman" w:hAnsi="Palatino Linotype" w:cs="Arial"/>
          <w:lang w:val="es-ES"/>
        </w:rPr>
        <w:t xml:space="preserve"> emitida por </w:t>
      </w:r>
      <w:r w:rsidR="0029697F">
        <w:rPr>
          <w:rFonts w:ascii="Palatino Linotype" w:eastAsia="Times New Roman" w:hAnsi="Palatino Linotype" w:cs="Arial"/>
          <w:lang w:val="es-ES"/>
        </w:rPr>
        <w:t>la</w:t>
      </w:r>
      <w:r w:rsidRPr="000740A3">
        <w:rPr>
          <w:rFonts w:ascii="Palatino Linotype" w:eastAsia="Times New Roman" w:hAnsi="Palatino Linotype" w:cs="Arial"/>
          <w:lang w:val="es-ES"/>
        </w:rPr>
        <w:t xml:space="preserve"> </w:t>
      </w:r>
      <w:r w:rsidR="0029697F" w:rsidRPr="0029697F">
        <w:rPr>
          <w:rFonts w:ascii="Palatino Linotype" w:eastAsia="Times New Roman" w:hAnsi="Palatino Linotype" w:cs="Arial"/>
          <w:b/>
          <w:bCs/>
        </w:rPr>
        <w:t>Secretaría de Salud</w:t>
      </w:r>
      <w:r w:rsidR="0029697F" w:rsidRPr="0029697F">
        <w:rPr>
          <w:rFonts w:ascii="Palatino Linotype" w:eastAsia="Times New Roman" w:hAnsi="Palatino Linotype" w:cs="Arial"/>
          <w:b/>
          <w:bCs/>
          <w:lang w:val="es-ES"/>
        </w:rPr>
        <w:t xml:space="preserve"> </w:t>
      </w:r>
      <w:r w:rsidRPr="000740A3">
        <w:rPr>
          <w:rFonts w:ascii="Palatino Linotype" w:eastAsia="Times New Roman" w:hAnsi="Palatino Linotype" w:cs="Arial"/>
          <w:lang w:val="es-ES"/>
        </w:rPr>
        <w:t xml:space="preserve">en la solicitud de información </w:t>
      </w:r>
      <w:r w:rsidRPr="000740A3">
        <w:rPr>
          <w:rFonts w:ascii="Palatino Linotype" w:eastAsia="Times New Roman" w:hAnsi="Palatino Linotype" w:cs="Arial"/>
          <w:b/>
          <w:bCs/>
        </w:rPr>
        <w:t> </w:t>
      </w:r>
      <w:hyperlink r:id="rId16">
        <w:r w:rsidR="0029697F" w:rsidRPr="0029697F">
          <w:rPr>
            <w:rFonts w:ascii="Palatino Linotype" w:hAnsi="Palatino Linotype"/>
            <w:b/>
            <w:color w:val="000000" w:themeColor="text1"/>
          </w:rPr>
          <w:t>00067/SSALUD/IP/2024</w:t>
        </w:r>
      </w:hyperlink>
      <w:r w:rsidR="0029697F" w:rsidRPr="0029697F">
        <w:rPr>
          <w:rFonts w:ascii="Palatino Linotype" w:hAnsi="Palatino Linotype" w:cs="Arial"/>
          <w:b/>
          <w:color w:val="000000" w:themeColor="text1"/>
        </w:rPr>
        <w:t>.</w:t>
      </w:r>
    </w:p>
    <w:p w14:paraId="7B19AFC4" w14:textId="77777777" w:rsidR="00A46A62" w:rsidRPr="000740A3" w:rsidRDefault="00A46A62" w:rsidP="00A46A62">
      <w:pPr>
        <w:tabs>
          <w:tab w:val="left" w:pos="8080"/>
        </w:tabs>
        <w:spacing w:line="360" w:lineRule="auto"/>
        <w:ind w:right="49"/>
        <w:jc w:val="both"/>
        <w:rPr>
          <w:rFonts w:ascii="Palatino Linotype" w:eastAsia="Times New Roman" w:hAnsi="Palatino Linotype" w:cs="Arial"/>
          <w:b/>
          <w:bCs/>
        </w:rPr>
      </w:pPr>
    </w:p>
    <w:p w14:paraId="2378EA77" w14:textId="77777777" w:rsidR="00A46A62" w:rsidRPr="000740A3" w:rsidRDefault="00A46A62" w:rsidP="00A46A62">
      <w:pPr>
        <w:shd w:val="clear" w:color="auto" w:fill="FFFFFF"/>
        <w:spacing w:line="360" w:lineRule="auto"/>
        <w:jc w:val="both"/>
        <w:rPr>
          <w:rFonts w:ascii="Palatino Linotype" w:eastAsia="Times New Roman" w:hAnsi="Palatino Linotype" w:cs="Times New Roman"/>
        </w:rPr>
      </w:pPr>
      <w:bookmarkStart w:id="32" w:name="_Toc461648590"/>
      <w:bookmarkStart w:id="33" w:name="_Toc461648682"/>
      <w:bookmarkStart w:id="34" w:name="_Toc462228049"/>
      <w:bookmarkStart w:id="35" w:name="_Toc462228129"/>
      <w:bookmarkStart w:id="36" w:name="_Toc496099789"/>
      <w:bookmarkStart w:id="37" w:name="_Toc496100166"/>
      <w:bookmarkStart w:id="38" w:name="_Toc499756977"/>
      <w:bookmarkStart w:id="39" w:name="_Toc499757020"/>
      <w:bookmarkStart w:id="40" w:name="_Toc504377974"/>
      <w:bookmarkEnd w:id="22"/>
      <w:bookmarkEnd w:id="23"/>
      <w:bookmarkEnd w:id="24"/>
      <w:bookmarkEnd w:id="25"/>
      <w:bookmarkEnd w:id="26"/>
      <w:bookmarkEnd w:id="27"/>
      <w:bookmarkEnd w:id="28"/>
      <w:bookmarkEnd w:id="29"/>
      <w:bookmarkEnd w:id="30"/>
      <w:bookmarkEnd w:id="31"/>
      <w:r w:rsidRPr="000740A3">
        <w:rPr>
          <w:rFonts w:ascii="Palatino Linotype" w:eastAsia="Times New Roman" w:hAnsi="Palatino Linotype" w:cs="Times New Roman"/>
          <w:b/>
        </w:rPr>
        <w:t>TERCERO.</w:t>
      </w:r>
      <w:bookmarkEnd w:id="32"/>
      <w:bookmarkEnd w:id="33"/>
      <w:bookmarkEnd w:id="34"/>
      <w:bookmarkEnd w:id="35"/>
      <w:bookmarkEnd w:id="36"/>
      <w:bookmarkEnd w:id="37"/>
      <w:bookmarkEnd w:id="38"/>
      <w:bookmarkEnd w:id="39"/>
      <w:bookmarkEnd w:id="40"/>
      <w:r w:rsidRPr="000740A3">
        <w:rPr>
          <w:rFonts w:ascii="Palatino Linotype" w:eastAsia="Times New Roman" w:hAnsi="Palatino Linotype" w:cs="Times New Roman"/>
        </w:rPr>
        <w:t xml:space="preserve"> Notifíquese al Titular de la Unidad de Transparencia del</w:t>
      </w:r>
      <w:r w:rsidRPr="000740A3">
        <w:rPr>
          <w:rFonts w:ascii="Palatino Linotype" w:eastAsia="Times New Roman" w:hAnsi="Palatino Linotype" w:cs="Times New Roman"/>
          <w:b/>
        </w:rPr>
        <w:t xml:space="preserve"> SUJETO OBLIGADO</w:t>
      </w:r>
      <w:r w:rsidRPr="000740A3">
        <w:rPr>
          <w:rFonts w:ascii="Palatino Linotype" w:eastAsia="Times New Roman" w:hAnsi="Palatino Linotype" w:cs="Times New Roman"/>
        </w:rPr>
        <w:t xml:space="preserve"> vía SAIMEX, para su conocimiento.</w:t>
      </w:r>
    </w:p>
    <w:p w14:paraId="70C79F3C" w14:textId="77777777" w:rsidR="00A46A62" w:rsidRPr="000740A3" w:rsidRDefault="00A46A62" w:rsidP="00A46A62">
      <w:pPr>
        <w:shd w:val="clear" w:color="auto" w:fill="FFFFFF"/>
        <w:spacing w:line="360" w:lineRule="auto"/>
        <w:jc w:val="both"/>
        <w:rPr>
          <w:rFonts w:ascii="Palatino Linotype" w:eastAsia="Times New Roman" w:hAnsi="Palatino Linotype" w:cs="Times New Roman"/>
        </w:rPr>
      </w:pPr>
    </w:p>
    <w:p w14:paraId="3534AFFE" w14:textId="77777777" w:rsidR="00A46A62" w:rsidRPr="000740A3" w:rsidRDefault="00A46A62" w:rsidP="00A46A62">
      <w:pPr>
        <w:shd w:val="clear" w:color="auto" w:fill="FFFFFF"/>
        <w:spacing w:line="360" w:lineRule="auto"/>
        <w:jc w:val="both"/>
        <w:rPr>
          <w:rFonts w:ascii="Palatino Linotype" w:eastAsia="Times New Roman" w:hAnsi="Palatino Linotype" w:cs="Times New Roman"/>
        </w:rPr>
      </w:pPr>
      <w:r w:rsidRPr="000740A3">
        <w:rPr>
          <w:rFonts w:ascii="Palatino Linotype" w:eastAsia="Times New Roman" w:hAnsi="Palatino Linotype" w:cs="Times New Roman"/>
          <w:b/>
        </w:rPr>
        <w:t>CUARTO.</w:t>
      </w:r>
      <w:r w:rsidRPr="000740A3">
        <w:rPr>
          <w:rFonts w:ascii="Palatino Linotype" w:eastAsia="Times New Roman" w:hAnsi="Palatino Linotype" w:cs="Times New Roman"/>
        </w:rPr>
        <w:t xml:space="preserve"> Notifíquese a </w:t>
      </w:r>
      <w:r w:rsidRPr="000740A3">
        <w:rPr>
          <w:rFonts w:ascii="Palatino Linotype" w:eastAsia="Times New Roman" w:hAnsi="Palatino Linotype" w:cs="Times New Roman"/>
          <w:b/>
        </w:rPr>
        <w:t>EL RECURRENTE</w:t>
      </w:r>
      <w:r w:rsidRPr="000740A3">
        <w:rPr>
          <w:rFonts w:ascii="Palatino Linotype" w:eastAsia="Times New Roman" w:hAnsi="Palatino Linotype" w:cs="Times New Roman"/>
        </w:rPr>
        <w:t xml:space="preserve"> la presente resolución vía SAIMEX.</w:t>
      </w:r>
    </w:p>
    <w:p w14:paraId="41506C07" w14:textId="77777777" w:rsidR="00A46A62" w:rsidRPr="000740A3" w:rsidRDefault="00A46A62" w:rsidP="00A46A62">
      <w:pPr>
        <w:shd w:val="clear" w:color="auto" w:fill="FFFFFF"/>
        <w:spacing w:line="360" w:lineRule="auto"/>
        <w:jc w:val="both"/>
        <w:rPr>
          <w:rFonts w:ascii="Palatino Linotype" w:eastAsia="Times New Roman" w:hAnsi="Palatino Linotype" w:cs="Times New Roman"/>
        </w:rPr>
      </w:pPr>
    </w:p>
    <w:p w14:paraId="454D30B1" w14:textId="77777777" w:rsidR="00A46A62" w:rsidRPr="000740A3" w:rsidRDefault="00A46A62" w:rsidP="00A46A62">
      <w:pPr>
        <w:shd w:val="clear" w:color="auto" w:fill="FFFFFF"/>
        <w:spacing w:line="360" w:lineRule="auto"/>
        <w:jc w:val="both"/>
        <w:rPr>
          <w:rFonts w:ascii="Palatino Linotype" w:eastAsia="Times New Roman" w:hAnsi="Palatino Linotype" w:cs="Times New Roman"/>
        </w:rPr>
      </w:pPr>
      <w:r w:rsidRPr="000740A3">
        <w:rPr>
          <w:rFonts w:ascii="Palatino Linotype" w:eastAsia="Times New Roman" w:hAnsi="Palatino Linotype" w:cs="Times New Roman"/>
          <w:b/>
        </w:rPr>
        <w:t>QUINTO.</w:t>
      </w:r>
      <w:r w:rsidRPr="000740A3">
        <w:rPr>
          <w:rFonts w:ascii="Palatino Linotype" w:eastAsia="Times New Roman" w:hAnsi="Palatino Linotype" w:cs="Times New Roman"/>
        </w:rPr>
        <w:t xml:space="preserve"> Se hace del conocimiento de </w:t>
      </w:r>
      <w:r w:rsidRPr="000740A3">
        <w:rPr>
          <w:rFonts w:ascii="Palatino Linotype" w:eastAsia="Times New Roman" w:hAnsi="Palatino Linotype" w:cs="Times New Roman"/>
          <w:b/>
        </w:rPr>
        <w:t>EL RECURRENTE</w:t>
      </w:r>
      <w:r w:rsidRPr="000740A3">
        <w:rPr>
          <w:rFonts w:ascii="Palatino Linotype" w:eastAsia="Times New Roman" w:hAnsi="Palatino Linotype" w:cs="Times New Roman"/>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0740A3">
        <w:rPr>
          <w:rFonts w:ascii="Palatino Linotype" w:eastAsia="Times New Roman" w:hAnsi="Palatino Linotype" w:cs="Times New Roman"/>
          <w:bCs/>
        </w:rPr>
        <w:t>vía juicio de amparo</w:t>
      </w:r>
      <w:r w:rsidRPr="000740A3">
        <w:rPr>
          <w:rFonts w:ascii="Palatino Linotype" w:eastAsia="Times New Roman" w:hAnsi="Palatino Linotype" w:cs="Times New Roman"/>
        </w:rPr>
        <w:t> en los términos de las leyes aplicables.</w:t>
      </w:r>
    </w:p>
    <w:p w14:paraId="3D51E293" w14:textId="77777777" w:rsidR="00A46A62" w:rsidRPr="000740A3" w:rsidRDefault="00A46A62" w:rsidP="00A46A62">
      <w:pPr>
        <w:shd w:val="clear" w:color="auto" w:fill="FFFFFF"/>
        <w:spacing w:line="360" w:lineRule="auto"/>
        <w:jc w:val="both"/>
        <w:rPr>
          <w:rFonts w:ascii="Palatino Linotype" w:eastAsia="Times New Roman" w:hAnsi="Palatino Linotype" w:cs="Times New Roman"/>
          <w:lang w:val="es-ES" w:eastAsia="es-MX"/>
        </w:rPr>
      </w:pPr>
    </w:p>
    <w:p w14:paraId="096DE6F1" w14:textId="77777777" w:rsidR="00DA7A57" w:rsidRPr="003C7186" w:rsidRDefault="00DA7A57" w:rsidP="00DA7A57">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OCTAVA </w:t>
      </w:r>
      <w:r w:rsidRPr="003C7186">
        <w:rPr>
          <w:rFonts w:ascii="Palatino Linotype" w:hAnsi="Palatino Linotype"/>
        </w:rPr>
        <w:t xml:space="preserve">SESIÓN ORDINARIA CELEBRADA EL </w:t>
      </w:r>
      <w:r>
        <w:rPr>
          <w:rFonts w:ascii="Palatino Linotype" w:hAnsi="Palatino Linotype"/>
        </w:rPr>
        <w:t>SEIS</w:t>
      </w:r>
      <w:r w:rsidRPr="003C7186">
        <w:rPr>
          <w:rFonts w:ascii="Palatino Linotype" w:hAnsi="Palatino Linotype"/>
        </w:rPr>
        <w:t xml:space="preserve"> </w:t>
      </w:r>
      <w:r>
        <w:rPr>
          <w:rFonts w:ascii="Palatino Linotype" w:hAnsi="Palatino Linotype"/>
        </w:rPr>
        <w:t>(06) DE NOVIEMBRE</w:t>
      </w:r>
      <w:r w:rsidRPr="003C7186">
        <w:rPr>
          <w:rFonts w:ascii="Palatino Linotype" w:hAnsi="Palatino Linotype"/>
        </w:rPr>
        <w:t xml:space="preserve"> DE DOS MIL VEINTICUATRO, ANTE EL SECRETARIO TÉCNICO DEL PLENO ALEXIS TAPIA RAMÍREZ. </w:t>
      </w:r>
    </w:p>
    <w:p w14:paraId="58414E3E" w14:textId="77777777" w:rsidR="00DA7A57" w:rsidRPr="00902BA4" w:rsidRDefault="00DA7A57" w:rsidP="00DA7A57">
      <w:pPr>
        <w:widowControl w:val="0"/>
        <w:autoSpaceDE w:val="0"/>
        <w:autoSpaceDN w:val="0"/>
        <w:adjustRightInd w:val="0"/>
        <w:spacing w:after="200" w:line="276" w:lineRule="auto"/>
        <w:ind w:left="-142" w:right="-234"/>
      </w:pPr>
    </w:p>
    <w:p w14:paraId="5C637E2F" w14:textId="77777777" w:rsidR="00DA7A57" w:rsidRDefault="00DA7A57" w:rsidP="00DA7A57">
      <w:pPr>
        <w:spacing w:before="240" w:after="240" w:line="360" w:lineRule="auto"/>
        <w:ind w:firstLine="1"/>
        <w:jc w:val="both"/>
        <w:rPr>
          <w:rFonts w:ascii="Palatino Linotype" w:hAnsi="Palatino Linotype"/>
        </w:rPr>
      </w:pPr>
      <w:bookmarkStart w:id="41" w:name="_Hlk96506827"/>
    </w:p>
    <w:bookmarkEnd w:id="41"/>
    <w:p w14:paraId="6FECACDC" w14:textId="77777777" w:rsidR="00A46A62" w:rsidRPr="000E6B31" w:rsidRDefault="00A46A62" w:rsidP="00A46A62">
      <w:pPr>
        <w:spacing w:line="360" w:lineRule="auto"/>
        <w:jc w:val="both"/>
        <w:rPr>
          <w:rFonts w:ascii="Palatino Linotype" w:hAnsi="Palatino Linotype"/>
        </w:rPr>
      </w:pPr>
    </w:p>
    <w:p w14:paraId="65B06151" w14:textId="77777777" w:rsidR="00A46A62" w:rsidRPr="000E6B31" w:rsidRDefault="00A46A62" w:rsidP="00A46A62">
      <w:pPr>
        <w:spacing w:line="360" w:lineRule="auto"/>
        <w:jc w:val="both"/>
        <w:rPr>
          <w:rFonts w:ascii="Palatino Linotype" w:hAnsi="Palatino Linotype"/>
        </w:rPr>
      </w:pPr>
    </w:p>
    <w:p w14:paraId="3A9241C2" w14:textId="77777777" w:rsidR="00A46A62" w:rsidRPr="000E6B31" w:rsidRDefault="00A46A62" w:rsidP="00A46A62">
      <w:pPr>
        <w:spacing w:line="360" w:lineRule="auto"/>
        <w:jc w:val="both"/>
        <w:rPr>
          <w:rFonts w:ascii="Palatino Linotype" w:hAnsi="Palatino Linotype"/>
        </w:rPr>
      </w:pPr>
    </w:p>
    <w:p w14:paraId="17F18772" w14:textId="77777777" w:rsidR="00A46A62" w:rsidRPr="000E6B31" w:rsidRDefault="00A46A62" w:rsidP="00A46A62">
      <w:pPr>
        <w:spacing w:line="360" w:lineRule="auto"/>
        <w:rPr>
          <w:rFonts w:ascii="Palatino Linotype" w:hAnsi="Palatino Linotype"/>
        </w:rPr>
      </w:pPr>
    </w:p>
    <w:p w14:paraId="27E5DD55" w14:textId="77777777" w:rsidR="00A46A62" w:rsidRPr="000E6B31" w:rsidRDefault="00A46A62" w:rsidP="00A46A62">
      <w:pPr>
        <w:spacing w:line="360" w:lineRule="auto"/>
        <w:rPr>
          <w:rFonts w:ascii="Palatino Linotype" w:hAnsi="Palatino Linotype"/>
        </w:rPr>
      </w:pPr>
    </w:p>
    <w:p w14:paraId="3868D335" w14:textId="77777777" w:rsidR="00A46A62" w:rsidRPr="000E6B31" w:rsidRDefault="00A46A62" w:rsidP="00A46A62">
      <w:pPr>
        <w:spacing w:line="360" w:lineRule="auto"/>
        <w:rPr>
          <w:rFonts w:ascii="Palatino Linotype" w:hAnsi="Palatino Linotype"/>
        </w:rPr>
      </w:pPr>
    </w:p>
    <w:p w14:paraId="287B5D1D" w14:textId="77777777" w:rsidR="00A46A62" w:rsidRPr="000E6B31" w:rsidRDefault="00A46A62" w:rsidP="00A46A62">
      <w:pPr>
        <w:spacing w:line="360" w:lineRule="auto"/>
        <w:rPr>
          <w:rFonts w:ascii="Palatino Linotype" w:hAnsi="Palatino Linotype"/>
        </w:rPr>
      </w:pPr>
    </w:p>
    <w:p w14:paraId="1FAFF89B" w14:textId="77777777" w:rsidR="00A46A62" w:rsidRPr="000E6B31" w:rsidRDefault="00A46A62" w:rsidP="00A46A62">
      <w:pPr>
        <w:spacing w:line="360" w:lineRule="auto"/>
        <w:rPr>
          <w:rFonts w:ascii="Palatino Linotype" w:hAnsi="Palatino Linotype"/>
        </w:rPr>
      </w:pPr>
    </w:p>
    <w:p w14:paraId="3CE10855" w14:textId="77777777" w:rsidR="00A46A62" w:rsidRPr="000E6B31" w:rsidRDefault="00A46A62" w:rsidP="00A46A62">
      <w:pPr>
        <w:spacing w:line="360" w:lineRule="auto"/>
        <w:rPr>
          <w:rFonts w:ascii="Palatino Linotype" w:hAnsi="Palatino Linotype"/>
        </w:rPr>
      </w:pPr>
    </w:p>
    <w:p w14:paraId="20097D4C" w14:textId="77777777" w:rsidR="00A46A62" w:rsidRPr="000E6B31" w:rsidRDefault="00A46A62" w:rsidP="00A46A62">
      <w:pPr>
        <w:spacing w:line="360" w:lineRule="auto"/>
        <w:rPr>
          <w:rFonts w:ascii="Palatino Linotype" w:hAnsi="Palatino Linotype"/>
        </w:rPr>
      </w:pPr>
    </w:p>
    <w:p w14:paraId="27188CFA" w14:textId="77777777" w:rsidR="00A46A62" w:rsidRPr="000E6B31" w:rsidRDefault="00A46A62" w:rsidP="00A46A62">
      <w:pPr>
        <w:tabs>
          <w:tab w:val="left" w:pos="3374"/>
        </w:tabs>
        <w:spacing w:line="360" w:lineRule="auto"/>
        <w:rPr>
          <w:rFonts w:ascii="Palatino Linotype" w:hAnsi="Palatino Linotype"/>
        </w:rPr>
      </w:pPr>
      <w:r w:rsidRPr="000E6B31">
        <w:rPr>
          <w:rFonts w:ascii="Palatino Linotype" w:hAnsi="Palatino Linotype"/>
        </w:rPr>
        <w:tab/>
      </w:r>
    </w:p>
    <w:p w14:paraId="73E5076B" w14:textId="77777777" w:rsidR="00A46A62" w:rsidRPr="000E6B31" w:rsidRDefault="00A46A62" w:rsidP="00A46A62">
      <w:pPr>
        <w:tabs>
          <w:tab w:val="left" w:pos="3374"/>
        </w:tabs>
        <w:spacing w:line="360" w:lineRule="auto"/>
        <w:rPr>
          <w:rFonts w:ascii="Palatino Linotype" w:hAnsi="Palatino Linotype"/>
        </w:rPr>
      </w:pPr>
    </w:p>
    <w:p w14:paraId="345A8158" w14:textId="77777777" w:rsidR="00A46A62" w:rsidRPr="000E6B31" w:rsidRDefault="00A46A62" w:rsidP="00A46A62">
      <w:pPr>
        <w:tabs>
          <w:tab w:val="left" w:pos="3374"/>
        </w:tabs>
        <w:spacing w:line="360" w:lineRule="auto"/>
        <w:rPr>
          <w:rFonts w:ascii="Palatino Linotype" w:hAnsi="Palatino Linotype"/>
        </w:rPr>
      </w:pPr>
    </w:p>
    <w:p w14:paraId="0F20CEFC" w14:textId="77777777" w:rsidR="00A46A62" w:rsidRPr="000E6B31" w:rsidRDefault="00A46A62" w:rsidP="00A46A62">
      <w:pPr>
        <w:tabs>
          <w:tab w:val="left" w:pos="3374"/>
        </w:tabs>
        <w:spacing w:line="360" w:lineRule="auto"/>
        <w:rPr>
          <w:rFonts w:ascii="Palatino Linotype" w:hAnsi="Palatino Linotype"/>
        </w:rPr>
      </w:pPr>
    </w:p>
    <w:p w14:paraId="78B14DFE" w14:textId="77777777" w:rsidR="00A46A62" w:rsidRPr="000E6B31" w:rsidRDefault="00A46A62" w:rsidP="00A46A62">
      <w:pPr>
        <w:tabs>
          <w:tab w:val="left" w:pos="3374"/>
        </w:tabs>
        <w:spacing w:line="360" w:lineRule="auto"/>
        <w:rPr>
          <w:rFonts w:ascii="Palatino Linotype" w:hAnsi="Palatino Linotype"/>
        </w:rPr>
      </w:pPr>
    </w:p>
    <w:p w14:paraId="450A0F2C" w14:textId="77777777" w:rsidR="00A46A62" w:rsidRPr="000E6B31" w:rsidRDefault="00A46A62" w:rsidP="00A46A62">
      <w:pPr>
        <w:tabs>
          <w:tab w:val="left" w:pos="3374"/>
        </w:tabs>
        <w:spacing w:line="360" w:lineRule="auto"/>
        <w:rPr>
          <w:rFonts w:ascii="Palatino Linotype" w:hAnsi="Palatino Linotype"/>
        </w:rPr>
      </w:pPr>
    </w:p>
    <w:p w14:paraId="2DF4D53D" w14:textId="77777777" w:rsidR="00A46A62" w:rsidRPr="000E6B31" w:rsidRDefault="00A46A62" w:rsidP="00A46A62">
      <w:pPr>
        <w:tabs>
          <w:tab w:val="left" w:pos="3374"/>
        </w:tabs>
        <w:spacing w:line="360" w:lineRule="auto"/>
        <w:rPr>
          <w:rFonts w:ascii="Palatino Linotype" w:hAnsi="Palatino Linotype"/>
        </w:rPr>
      </w:pPr>
    </w:p>
    <w:p w14:paraId="24A55F3A" w14:textId="77777777" w:rsidR="00A46A62" w:rsidRPr="000E6B31" w:rsidRDefault="00A46A62" w:rsidP="00A46A62">
      <w:pPr>
        <w:tabs>
          <w:tab w:val="left" w:pos="3374"/>
        </w:tabs>
        <w:spacing w:line="360" w:lineRule="auto"/>
        <w:rPr>
          <w:rFonts w:ascii="Palatino Linotype" w:hAnsi="Palatino Linotype"/>
        </w:rPr>
      </w:pPr>
    </w:p>
    <w:p w14:paraId="7742F448" w14:textId="77777777" w:rsidR="00A46A62" w:rsidRPr="000E6B31" w:rsidRDefault="00A46A62" w:rsidP="00A46A62">
      <w:pPr>
        <w:tabs>
          <w:tab w:val="left" w:pos="3374"/>
        </w:tabs>
        <w:spacing w:line="360" w:lineRule="auto"/>
        <w:rPr>
          <w:rFonts w:ascii="Palatino Linotype" w:hAnsi="Palatino Linotype"/>
        </w:rPr>
      </w:pPr>
    </w:p>
    <w:p w14:paraId="5EA2618B" w14:textId="77777777" w:rsidR="00A46A62" w:rsidRPr="000E6B31" w:rsidRDefault="00A46A62" w:rsidP="00A46A62">
      <w:pPr>
        <w:tabs>
          <w:tab w:val="left" w:pos="3374"/>
        </w:tabs>
        <w:spacing w:line="360" w:lineRule="auto"/>
        <w:rPr>
          <w:rFonts w:ascii="Palatino Linotype" w:hAnsi="Palatino Linotype"/>
        </w:rPr>
      </w:pPr>
    </w:p>
    <w:p w14:paraId="16850736" w14:textId="77777777" w:rsidR="00A46A62" w:rsidRPr="000E6B31" w:rsidRDefault="00A46A62" w:rsidP="00A46A62">
      <w:pPr>
        <w:rPr>
          <w:rFonts w:ascii="Palatino Linotype" w:hAnsi="Palatino Linotype"/>
        </w:rPr>
      </w:pPr>
    </w:p>
    <w:p w14:paraId="087263CF" w14:textId="77777777" w:rsidR="00A46A62" w:rsidRDefault="00A46A62" w:rsidP="00A46A62">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76BB0BA" w14:textId="77777777" w:rsidR="00A46A62" w:rsidRDefault="00A46A62" w:rsidP="00A46A62">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9678FB5" w14:textId="77777777" w:rsidR="00A46A62" w:rsidRDefault="00A46A62" w:rsidP="00A46A62">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500FF2D" w14:textId="77777777" w:rsidR="00A46A62" w:rsidRDefault="00A46A62" w:rsidP="00A46A62">
      <w:pPr>
        <w:pBdr>
          <w:top w:val="nil"/>
          <w:left w:val="nil"/>
          <w:bottom w:val="nil"/>
          <w:right w:val="nil"/>
          <w:between w:val="nil"/>
        </w:pBdr>
        <w:spacing w:line="360" w:lineRule="auto"/>
        <w:jc w:val="both"/>
        <w:rPr>
          <w:rFonts w:ascii="Palatino Linotype" w:eastAsia="Palatino Linotype" w:hAnsi="Palatino Linotype" w:cs="Palatino Linotype"/>
          <w:color w:val="000000"/>
        </w:rPr>
      </w:pPr>
    </w:p>
    <w:sectPr w:rsidR="00A46A62">
      <w:headerReference w:type="even" r:id="rId17"/>
      <w:headerReference w:type="default" r:id="rId18"/>
      <w:footerReference w:type="default" r:id="rId19"/>
      <w:headerReference w:type="first" r:id="rId20"/>
      <w:footerReference w:type="first" r:id="rId21"/>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742BF" w14:textId="77777777" w:rsidR="0096265C" w:rsidRDefault="0096265C">
      <w:r>
        <w:separator/>
      </w:r>
    </w:p>
  </w:endnote>
  <w:endnote w:type="continuationSeparator" w:id="0">
    <w:p w14:paraId="0C32256C" w14:textId="77777777" w:rsidR="0096265C" w:rsidRDefault="00962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Segoe Print"/>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68C1" w14:textId="77777777" w:rsidR="006B0FFC" w:rsidRDefault="00B4290D">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165C11">
      <w:rPr>
        <w:rFonts w:ascii="Palatino Linotype" w:eastAsia="Palatino Linotype" w:hAnsi="Palatino Linotype" w:cs="Palatino Linotype"/>
        <w:noProof/>
        <w:color w:val="000000"/>
        <w:sz w:val="20"/>
        <w:szCs w:val="20"/>
      </w:rPr>
      <w:t>18</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165C11">
      <w:rPr>
        <w:rFonts w:ascii="Palatino Linotype" w:eastAsia="Palatino Linotype" w:hAnsi="Palatino Linotype" w:cs="Palatino Linotype"/>
        <w:noProof/>
        <w:color w:val="000000"/>
        <w:sz w:val="20"/>
        <w:szCs w:val="20"/>
      </w:rPr>
      <w:t>18</w:t>
    </w:r>
    <w:r>
      <w:rPr>
        <w:rFonts w:ascii="Palatino Linotype" w:eastAsia="Palatino Linotype" w:hAnsi="Palatino Linotype" w:cs="Palatino Linotype"/>
        <w:color w:val="000000"/>
        <w:sz w:val="20"/>
        <w:szCs w:val="20"/>
      </w:rPr>
      <w:fldChar w:fldCharType="end"/>
    </w:r>
  </w:p>
  <w:p w14:paraId="4ECC76CD" w14:textId="77777777" w:rsidR="006B0FFC" w:rsidRDefault="006B0FFC">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B8D8" w14:textId="77777777" w:rsidR="006B0FFC" w:rsidRDefault="00B4290D">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165C11">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165C11">
      <w:rPr>
        <w:rFonts w:ascii="Palatino Linotype" w:eastAsia="Palatino Linotype" w:hAnsi="Palatino Linotype" w:cs="Palatino Linotype"/>
        <w:noProof/>
        <w:color w:val="000000"/>
        <w:sz w:val="20"/>
        <w:szCs w:val="20"/>
      </w:rPr>
      <w:t>18</w:t>
    </w:r>
    <w:r>
      <w:rPr>
        <w:rFonts w:ascii="Palatino Linotype" w:eastAsia="Palatino Linotype" w:hAnsi="Palatino Linotype" w:cs="Palatino Linotype"/>
        <w:color w:val="000000"/>
        <w:sz w:val="20"/>
        <w:szCs w:val="20"/>
      </w:rPr>
      <w:fldChar w:fldCharType="end"/>
    </w:r>
  </w:p>
  <w:p w14:paraId="758729B5" w14:textId="77777777" w:rsidR="006B0FFC" w:rsidRDefault="006B0FFC">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D5089" w14:textId="77777777" w:rsidR="0096265C" w:rsidRDefault="0096265C">
      <w:r>
        <w:separator/>
      </w:r>
    </w:p>
  </w:footnote>
  <w:footnote w:type="continuationSeparator" w:id="0">
    <w:p w14:paraId="4D0262B0" w14:textId="77777777" w:rsidR="0096265C" w:rsidRDefault="00962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1FBC7" w14:textId="77777777" w:rsidR="006B0FFC" w:rsidRDefault="0096265C">
    <w:pPr>
      <w:pBdr>
        <w:top w:val="nil"/>
        <w:left w:val="nil"/>
        <w:bottom w:val="nil"/>
        <w:right w:val="nil"/>
        <w:between w:val="nil"/>
      </w:pBdr>
      <w:tabs>
        <w:tab w:val="center" w:pos="4419"/>
        <w:tab w:val="right" w:pos="8838"/>
      </w:tabs>
      <w:rPr>
        <w:color w:val="000000"/>
      </w:rPr>
    </w:pPr>
    <w:r>
      <w:rPr>
        <w:color w:val="000000"/>
      </w:rPr>
      <w:pict w14:anchorId="29BC59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609.4pt;height:793.75pt;z-index:-251657728;mso-position-horizontal:center;mso-position-horizontal-relative:margin;mso-position-vertical:center;mso-position-vertical-relative:margin">
          <v:imagedata r:id="rId1" o:title="image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CA5AF" w14:textId="77777777" w:rsidR="006B0FFC" w:rsidRDefault="006B0FFC">
    <w:pPr>
      <w:widowControl w:val="0"/>
      <w:pBdr>
        <w:top w:val="nil"/>
        <w:left w:val="nil"/>
        <w:bottom w:val="nil"/>
        <w:right w:val="nil"/>
        <w:between w:val="nil"/>
      </w:pBdr>
      <w:spacing w:line="276" w:lineRule="auto"/>
      <w:rPr>
        <w:color w:val="000000"/>
      </w:rPr>
    </w:pPr>
  </w:p>
  <w:tbl>
    <w:tblPr>
      <w:tblStyle w:val="a1"/>
      <w:tblW w:w="6519" w:type="dxa"/>
      <w:tblInd w:w="2694" w:type="dxa"/>
      <w:tblLayout w:type="fixed"/>
      <w:tblLook w:val="0400" w:firstRow="0" w:lastRow="0" w:firstColumn="0" w:lastColumn="0" w:noHBand="0" w:noVBand="1"/>
    </w:tblPr>
    <w:tblGrid>
      <w:gridCol w:w="2976"/>
      <w:gridCol w:w="3543"/>
    </w:tblGrid>
    <w:tr w:rsidR="006B0FFC" w14:paraId="2DB3E0F3" w14:textId="77777777">
      <w:trPr>
        <w:trHeight w:val="227"/>
      </w:trPr>
      <w:tc>
        <w:tcPr>
          <w:tcW w:w="2976" w:type="dxa"/>
          <w:vAlign w:val="center"/>
        </w:tcPr>
        <w:p w14:paraId="070CEB2B" w14:textId="77777777" w:rsidR="006B0FFC" w:rsidRDefault="00B4290D">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14:paraId="15A673C4" w14:textId="77777777" w:rsidR="006B0FFC" w:rsidRDefault="00B4290D">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01558/INFOEM/IP/RR/2024</w:t>
          </w:r>
        </w:p>
      </w:tc>
    </w:tr>
    <w:tr w:rsidR="006B0FFC" w14:paraId="0F14CFAC" w14:textId="77777777">
      <w:trPr>
        <w:trHeight w:val="242"/>
      </w:trPr>
      <w:tc>
        <w:tcPr>
          <w:tcW w:w="2976" w:type="dxa"/>
          <w:vAlign w:val="center"/>
        </w:tcPr>
        <w:p w14:paraId="68C98D56" w14:textId="77777777" w:rsidR="006B0FFC" w:rsidRDefault="00B4290D">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14:paraId="17400BE3" w14:textId="77777777" w:rsidR="006B0FFC" w:rsidRDefault="00B4290D">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Secretaría de Salud</w:t>
          </w:r>
        </w:p>
      </w:tc>
    </w:tr>
    <w:tr w:rsidR="006B0FFC" w14:paraId="25837939" w14:textId="77777777">
      <w:trPr>
        <w:trHeight w:val="342"/>
      </w:trPr>
      <w:tc>
        <w:tcPr>
          <w:tcW w:w="2976" w:type="dxa"/>
          <w:vAlign w:val="center"/>
        </w:tcPr>
        <w:p w14:paraId="2C6FA28C" w14:textId="77777777" w:rsidR="006B0FFC" w:rsidRDefault="00B4290D">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14:paraId="51BB9D04" w14:textId="77777777" w:rsidR="006B0FFC" w:rsidRDefault="00B4290D">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14:paraId="3FCE4038" w14:textId="77777777" w:rsidR="006B0FFC" w:rsidRDefault="0096265C">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w14:anchorId="39CC04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82.3pt;margin-top:-110.1pt;width:609.4pt;height:793.75pt;z-index:-251659776;mso-position-horizontal:absolute;mso-position-horizontal-relative:margin;mso-position-vertical:absolute;mso-position-vertical-relative:margin">
          <v:imagedata r:id="rId1" o:title="image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553D" w14:textId="77777777" w:rsidR="006B0FFC" w:rsidRDefault="006B0FFC">
    <w:pPr>
      <w:widowControl w:val="0"/>
      <w:pBdr>
        <w:top w:val="nil"/>
        <w:left w:val="nil"/>
        <w:bottom w:val="nil"/>
        <w:right w:val="nil"/>
        <w:between w:val="nil"/>
      </w:pBdr>
      <w:spacing w:line="276" w:lineRule="auto"/>
      <w:rPr>
        <w:color w:val="000000"/>
        <w:sz w:val="14"/>
        <w:szCs w:val="14"/>
      </w:rPr>
    </w:pPr>
  </w:p>
  <w:tbl>
    <w:tblPr>
      <w:tblStyle w:val="a2"/>
      <w:tblW w:w="6660" w:type="dxa"/>
      <w:tblInd w:w="2552" w:type="dxa"/>
      <w:tblLayout w:type="fixed"/>
      <w:tblLook w:val="0400" w:firstRow="0" w:lastRow="0" w:firstColumn="0" w:lastColumn="0" w:noHBand="0" w:noVBand="1"/>
    </w:tblPr>
    <w:tblGrid>
      <w:gridCol w:w="2977"/>
      <w:gridCol w:w="3683"/>
    </w:tblGrid>
    <w:tr w:rsidR="006B0FFC" w14:paraId="1563CDCF" w14:textId="77777777">
      <w:trPr>
        <w:trHeight w:val="227"/>
      </w:trPr>
      <w:tc>
        <w:tcPr>
          <w:tcW w:w="2977" w:type="dxa"/>
          <w:vAlign w:val="center"/>
        </w:tcPr>
        <w:p w14:paraId="2411D2B7" w14:textId="77777777" w:rsidR="006B0FFC" w:rsidRDefault="00B4290D">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3" w:type="dxa"/>
          <w:vAlign w:val="center"/>
        </w:tcPr>
        <w:p w14:paraId="5ACD69E1" w14:textId="77777777" w:rsidR="006B0FFC" w:rsidRDefault="00B4290D">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01558/INFOEM/IP/RR/2024</w:t>
          </w:r>
        </w:p>
      </w:tc>
    </w:tr>
    <w:tr w:rsidR="006B0FFC" w14:paraId="12288B5A" w14:textId="77777777">
      <w:trPr>
        <w:trHeight w:val="242"/>
      </w:trPr>
      <w:tc>
        <w:tcPr>
          <w:tcW w:w="2977" w:type="dxa"/>
          <w:vAlign w:val="center"/>
        </w:tcPr>
        <w:p w14:paraId="30DB3559" w14:textId="77777777" w:rsidR="006B0FFC" w:rsidRDefault="00B4290D">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3" w:type="dxa"/>
        </w:tcPr>
        <w:p w14:paraId="649A652E" w14:textId="184D1E56" w:rsidR="006B0FFC" w:rsidRDefault="00D40EC3">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themeColor="text1"/>
              <w:sz w:val="22"/>
              <w:szCs w:val="22"/>
            </w:rPr>
            <w:t>XXX XXX</w:t>
          </w:r>
          <w:r w:rsidR="00B4290D" w:rsidRPr="000A1A23">
            <w:rPr>
              <w:rFonts w:ascii="Palatino Linotype" w:eastAsia="Palatino Linotype" w:hAnsi="Palatino Linotype" w:cs="Palatino Linotype"/>
              <w:b/>
              <w:color w:val="000000" w:themeColor="text1"/>
              <w:sz w:val="22"/>
              <w:szCs w:val="22"/>
            </w:rPr>
            <w:t> </w:t>
          </w:r>
        </w:p>
      </w:tc>
    </w:tr>
    <w:tr w:rsidR="006B0FFC" w14:paraId="1CECCC95" w14:textId="77777777">
      <w:trPr>
        <w:trHeight w:val="342"/>
      </w:trPr>
      <w:tc>
        <w:tcPr>
          <w:tcW w:w="2977" w:type="dxa"/>
          <w:vAlign w:val="center"/>
        </w:tcPr>
        <w:p w14:paraId="3876B5EA" w14:textId="77777777" w:rsidR="006B0FFC" w:rsidRDefault="00B4290D">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3" w:type="dxa"/>
          <w:vAlign w:val="center"/>
        </w:tcPr>
        <w:p w14:paraId="3D2DB104" w14:textId="77777777" w:rsidR="006B0FFC" w:rsidRDefault="00B4290D">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Secretaría de Salud</w:t>
          </w:r>
        </w:p>
      </w:tc>
    </w:tr>
    <w:tr w:rsidR="006B0FFC" w14:paraId="7BBBF651" w14:textId="77777777">
      <w:trPr>
        <w:trHeight w:val="342"/>
      </w:trPr>
      <w:tc>
        <w:tcPr>
          <w:tcW w:w="2977" w:type="dxa"/>
          <w:vAlign w:val="center"/>
        </w:tcPr>
        <w:p w14:paraId="437139B5" w14:textId="77777777" w:rsidR="006B0FFC" w:rsidRDefault="00B4290D">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3" w:type="dxa"/>
          <w:vAlign w:val="center"/>
        </w:tcPr>
        <w:p w14:paraId="69BFBCD4" w14:textId="77777777" w:rsidR="006B0FFC" w:rsidRDefault="00B4290D">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14:paraId="74E57171" w14:textId="77777777" w:rsidR="006B0FFC" w:rsidRDefault="0096265C">
    <w:pPr>
      <w:pBdr>
        <w:top w:val="nil"/>
        <w:left w:val="nil"/>
        <w:bottom w:val="nil"/>
        <w:right w:val="nil"/>
        <w:between w:val="nil"/>
      </w:pBdr>
      <w:tabs>
        <w:tab w:val="center" w:pos="4419"/>
        <w:tab w:val="right" w:pos="8838"/>
      </w:tabs>
      <w:rPr>
        <w:color w:val="000000"/>
        <w:sz w:val="16"/>
        <w:szCs w:val="16"/>
      </w:rPr>
    </w:pPr>
    <w:r>
      <w:rPr>
        <w:color w:val="000000"/>
        <w:sz w:val="16"/>
        <w:szCs w:val="16"/>
      </w:rPr>
      <w:pict w14:anchorId="62C8F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84.55pt;margin-top:-132.2pt;width:609.4pt;height:793.75pt;z-index:-251658752;mso-position-horizontal:absolute;mso-position-horizontal-relative:margin;mso-position-vertical:absolute;mso-position-vertical-relative:margin">
          <v:imagedata r:id="rId1" o:title="image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4A8E"/>
    <w:multiLevelType w:val="hybridMultilevel"/>
    <w:tmpl w:val="2D9E7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8F35BF"/>
    <w:multiLevelType w:val="multilevel"/>
    <w:tmpl w:val="5B46DFF4"/>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2" w15:restartNumberingAfterBreak="0">
    <w:nsid w:val="172054FD"/>
    <w:multiLevelType w:val="multilevel"/>
    <w:tmpl w:val="46CA3E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A753D2"/>
    <w:multiLevelType w:val="multilevel"/>
    <w:tmpl w:val="ED4880FC"/>
    <w:lvl w:ilvl="0">
      <w:start w:val="29"/>
      <w:numFmt w:val="decimal"/>
      <w:lvlText w:val="%1."/>
      <w:lvlJc w:val="lef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AD8321B"/>
    <w:multiLevelType w:val="hybridMultilevel"/>
    <w:tmpl w:val="5846EA66"/>
    <w:lvl w:ilvl="0" w:tplc="E16EFDF6">
      <w:start w:val="29"/>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6" w15:restartNumberingAfterBreak="0">
    <w:nsid w:val="519A3C11"/>
    <w:multiLevelType w:val="hybridMultilevel"/>
    <w:tmpl w:val="2636710A"/>
    <w:lvl w:ilvl="0" w:tplc="F2A2EEAA">
      <w:start w:val="12"/>
      <w:numFmt w:val="decimal"/>
      <w:lvlText w:val="%1."/>
      <w:lvlJc w:val="left"/>
      <w:pPr>
        <w:ind w:left="3054" w:hanging="360"/>
      </w:pPr>
      <w:rPr>
        <w:rFonts w:hint="default"/>
        <w:b/>
        <w:i w:val="0"/>
      </w:rPr>
    </w:lvl>
    <w:lvl w:ilvl="1" w:tplc="080A0019" w:tentative="1">
      <w:start w:val="1"/>
      <w:numFmt w:val="lowerLetter"/>
      <w:lvlText w:val="%2."/>
      <w:lvlJc w:val="left"/>
      <w:pPr>
        <w:ind w:left="4908" w:hanging="360"/>
      </w:pPr>
    </w:lvl>
    <w:lvl w:ilvl="2" w:tplc="080A001B" w:tentative="1">
      <w:start w:val="1"/>
      <w:numFmt w:val="lowerRoman"/>
      <w:lvlText w:val="%3."/>
      <w:lvlJc w:val="right"/>
      <w:pPr>
        <w:ind w:left="5628" w:hanging="180"/>
      </w:pPr>
    </w:lvl>
    <w:lvl w:ilvl="3" w:tplc="080A000F" w:tentative="1">
      <w:start w:val="1"/>
      <w:numFmt w:val="decimal"/>
      <w:lvlText w:val="%4."/>
      <w:lvlJc w:val="left"/>
      <w:pPr>
        <w:ind w:left="6348" w:hanging="360"/>
      </w:pPr>
    </w:lvl>
    <w:lvl w:ilvl="4" w:tplc="080A0019" w:tentative="1">
      <w:start w:val="1"/>
      <w:numFmt w:val="lowerLetter"/>
      <w:lvlText w:val="%5."/>
      <w:lvlJc w:val="left"/>
      <w:pPr>
        <w:ind w:left="7068" w:hanging="360"/>
      </w:pPr>
    </w:lvl>
    <w:lvl w:ilvl="5" w:tplc="080A001B" w:tentative="1">
      <w:start w:val="1"/>
      <w:numFmt w:val="lowerRoman"/>
      <w:lvlText w:val="%6."/>
      <w:lvlJc w:val="right"/>
      <w:pPr>
        <w:ind w:left="7788" w:hanging="180"/>
      </w:pPr>
    </w:lvl>
    <w:lvl w:ilvl="6" w:tplc="080A000F" w:tentative="1">
      <w:start w:val="1"/>
      <w:numFmt w:val="decimal"/>
      <w:lvlText w:val="%7."/>
      <w:lvlJc w:val="left"/>
      <w:pPr>
        <w:ind w:left="8508" w:hanging="360"/>
      </w:pPr>
    </w:lvl>
    <w:lvl w:ilvl="7" w:tplc="080A0019" w:tentative="1">
      <w:start w:val="1"/>
      <w:numFmt w:val="lowerLetter"/>
      <w:lvlText w:val="%8."/>
      <w:lvlJc w:val="left"/>
      <w:pPr>
        <w:ind w:left="9228" w:hanging="360"/>
      </w:pPr>
    </w:lvl>
    <w:lvl w:ilvl="8" w:tplc="080A001B" w:tentative="1">
      <w:start w:val="1"/>
      <w:numFmt w:val="lowerRoman"/>
      <w:lvlText w:val="%9."/>
      <w:lvlJc w:val="right"/>
      <w:pPr>
        <w:ind w:left="9948" w:hanging="180"/>
      </w:pPr>
    </w:lvl>
  </w:abstractNum>
  <w:abstractNum w:abstractNumId="7" w15:restartNumberingAfterBreak="0">
    <w:nsid w:val="519A52E8"/>
    <w:multiLevelType w:val="multilevel"/>
    <w:tmpl w:val="9A3EA74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3727194"/>
    <w:multiLevelType w:val="multilevel"/>
    <w:tmpl w:val="079EB2C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5F9A5149"/>
    <w:multiLevelType w:val="hybridMultilevel"/>
    <w:tmpl w:val="46CEE2B6"/>
    <w:lvl w:ilvl="0" w:tplc="570610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59F63B4"/>
    <w:multiLevelType w:val="multilevel"/>
    <w:tmpl w:val="874A8AA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1" w15:restartNumberingAfterBreak="0">
    <w:nsid w:val="6A883C0F"/>
    <w:multiLevelType w:val="hybridMultilevel"/>
    <w:tmpl w:val="1E10BDA2"/>
    <w:lvl w:ilvl="0" w:tplc="0B0E9E0E">
      <w:start w:val="1"/>
      <w:numFmt w:val="upperRoman"/>
      <w:lvlText w:val="%1."/>
      <w:lvlJc w:val="left"/>
      <w:pPr>
        <w:ind w:left="1773" w:hanging="720"/>
      </w:pPr>
      <w:rPr>
        <w:rFonts w:hint="default"/>
      </w:rPr>
    </w:lvl>
    <w:lvl w:ilvl="1" w:tplc="080A0019" w:tentative="1">
      <w:start w:val="1"/>
      <w:numFmt w:val="lowerLetter"/>
      <w:lvlText w:val="%2."/>
      <w:lvlJc w:val="left"/>
      <w:pPr>
        <w:ind w:left="2133" w:hanging="360"/>
      </w:pPr>
    </w:lvl>
    <w:lvl w:ilvl="2" w:tplc="080A001B" w:tentative="1">
      <w:start w:val="1"/>
      <w:numFmt w:val="lowerRoman"/>
      <w:lvlText w:val="%3."/>
      <w:lvlJc w:val="right"/>
      <w:pPr>
        <w:ind w:left="2853" w:hanging="180"/>
      </w:pPr>
    </w:lvl>
    <w:lvl w:ilvl="3" w:tplc="080A000F" w:tentative="1">
      <w:start w:val="1"/>
      <w:numFmt w:val="decimal"/>
      <w:lvlText w:val="%4."/>
      <w:lvlJc w:val="left"/>
      <w:pPr>
        <w:ind w:left="3573" w:hanging="360"/>
      </w:pPr>
    </w:lvl>
    <w:lvl w:ilvl="4" w:tplc="080A0019" w:tentative="1">
      <w:start w:val="1"/>
      <w:numFmt w:val="lowerLetter"/>
      <w:lvlText w:val="%5."/>
      <w:lvlJc w:val="left"/>
      <w:pPr>
        <w:ind w:left="4293" w:hanging="360"/>
      </w:pPr>
    </w:lvl>
    <w:lvl w:ilvl="5" w:tplc="080A001B" w:tentative="1">
      <w:start w:val="1"/>
      <w:numFmt w:val="lowerRoman"/>
      <w:lvlText w:val="%6."/>
      <w:lvlJc w:val="right"/>
      <w:pPr>
        <w:ind w:left="5013" w:hanging="180"/>
      </w:pPr>
    </w:lvl>
    <w:lvl w:ilvl="6" w:tplc="080A000F" w:tentative="1">
      <w:start w:val="1"/>
      <w:numFmt w:val="decimal"/>
      <w:lvlText w:val="%7."/>
      <w:lvlJc w:val="left"/>
      <w:pPr>
        <w:ind w:left="5733" w:hanging="360"/>
      </w:pPr>
    </w:lvl>
    <w:lvl w:ilvl="7" w:tplc="080A0019" w:tentative="1">
      <w:start w:val="1"/>
      <w:numFmt w:val="lowerLetter"/>
      <w:lvlText w:val="%8."/>
      <w:lvlJc w:val="left"/>
      <w:pPr>
        <w:ind w:left="6453" w:hanging="360"/>
      </w:pPr>
    </w:lvl>
    <w:lvl w:ilvl="8" w:tplc="080A001B" w:tentative="1">
      <w:start w:val="1"/>
      <w:numFmt w:val="lowerRoman"/>
      <w:lvlText w:val="%9."/>
      <w:lvlJc w:val="right"/>
      <w:pPr>
        <w:ind w:left="7173" w:hanging="180"/>
      </w:pPr>
    </w:lvl>
  </w:abstractNum>
  <w:abstractNum w:abstractNumId="12" w15:restartNumberingAfterBreak="0">
    <w:nsid w:val="6DFC2A3D"/>
    <w:multiLevelType w:val="hybridMultilevel"/>
    <w:tmpl w:val="DEBEB9DE"/>
    <w:lvl w:ilvl="0" w:tplc="75DACC22">
      <w:start w:val="1"/>
      <w:numFmt w:val="upperRoman"/>
      <w:lvlText w:val="%1."/>
      <w:lvlJc w:val="left"/>
      <w:pPr>
        <w:ind w:left="1818" w:hanging="720"/>
      </w:pPr>
      <w:rPr>
        <w:rFonts w:hint="default"/>
      </w:rPr>
    </w:lvl>
    <w:lvl w:ilvl="1" w:tplc="080A0019" w:tentative="1">
      <w:start w:val="1"/>
      <w:numFmt w:val="lowerLetter"/>
      <w:lvlText w:val="%2."/>
      <w:lvlJc w:val="left"/>
      <w:pPr>
        <w:ind w:left="2178" w:hanging="360"/>
      </w:pPr>
    </w:lvl>
    <w:lvl w:ilvl="2" w:tplc="080A001B" w:tentative="1">
      <w:start w:val="1"/>
      <w:numFmt w:val="lowerRoman"/>
      <w:lvlText w:val="%3."/>
      <w:lvlJc w:val="right"/>
      <w:pPr>
        <w:ind w:left="2898" w:hanging="180"/>
      </w:pPr>
    </w:lvl>
    <w:lvl w:ilvl="3" w:tplc="080A000F" w:tentative="1">
      <w:start w:val="1"/>
      <w:numFmt w:val="decimal"/>
      <w:lvlText w:val="%4."/>
      <w:lvlJc w:val="left"/>
      <w:pPr>
        <w:ind w:left="3618" w:hanging="360"/>
      </w:pPr>
    </w:lvl>
    <w:lvl w:ilvl="4" w:tplc="080A0019" w:tentative="1">
      <w:start w:val="1"/>
      <w:numFmt w:val="lowerLetter"/>
      <w:lvlText w:val="%5."/>
      <w:lvlJc w:val="left"/>
      <w:pPr>
        <w:ind w:left="4338" w:hanging="360"/>
      </w:pPr>
    </w:lvl>
    <w:lvl w:ilvl="5" w:tplc="080A001B" w:tentative="1">
      <w:start w:val="1"/>
      <w:numFmt w:val="lowerRoman"/>
      <w:lvlText w:val="%6."/>
      <w:lvlJc w:val="right"/>
      <w:pPr>
        <w:ind w:left="5058" w:hanging="180"/>
      </w:pPr>
    </w:lvl>
    <w:lvl w:ilvl="6" w:tplc="080A000F" w:tentative="1">
      <w:start w:val="1"/>
      <w:numFmt w:val="decimal"/>
      <w:lvlText w:val="%7."/>
      <w:lvlJc w:val="left"/>
      <w:pPr>
        <w:ind w:left="5778" w:hanging="360"/>
      </w:pPr>
    </w:lvl>
    <w:lvl w:ilvl="7" w:tplc="080A0019" w:tentative="1">
      <w:start w:val="1"/>
      <w:numFmt w:val="lowerLetter"/>
      <w:lvlText w:val="%8."/>
      <w:lvlJc w:val="left"/>
      <w:pPr>
        <w:ind w:left="6498" w:hanging="360"/>
      </w:pPr>
    </w:lvl>
    <w:lvl w:ilvl="8" w:tplc="080A001B" w:tentative="1">
      <w:start w:val="1"/>
      <w:numFmt w:val="lowerRoman"/>
      <w:lvlText w:val="%9."/>
      <w:lvlJc w:val="right"/>
      <w:pPr>
        <w:ind w:left="7218" w:hanging="180"/>
      </w:pPr>
    </w:lvl>
  </w:abstractNum>
  <w:abstractNum w:abstractNumId="13" w15:restartNumberingAfterBreak="0">
    <w:nsid w:val="7134351C"/>
    <w:multiLevelType w:val="multilevel"/>
    <w:tmpl w:val="57C215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1CD1579"/>
    <w:multiLevelType w:val="multilevel"/>
    <w:tmpl w:val="F3FED91E"/>
    <w:lvl w:ilvl="0">
      <w:start w:val="1"/>
      <w:numFmt w:val="bullet"/>
      <w:lvlText w:val="●"/>
      <w:lvlJc w:val="left"/>
      <w:pPr>
        <w:ind w:left="2382" w:hanging="360"/>
      </w:pPr>
      <w:rPr>
        <w:rFonts w:ascii="Noto Sans Symbols" w:eastAsia="Noto Sans Symbols" w:hAnsi="Noto Sans Symbols" w:cs="Noto Sans Symbols"/>
      </w:rPr>
    </w:lvl>
    <w:lvl w:ilvl="1">
      <w:start w:val="1"/>
      <w:numFmt w:val="bullet"/>
      <w:lvlText w:val="o"/>
      <w:lvlJc w:val="left"/>
      <w:pPr>
        <w:ind w:left="3102" w:hanging="360"/>
      </w:pPr>
      <w:rPr>
        <w:rFonts w:ascii="Courier New" w:eastAsia="Courier New" w:hAnsi="Courier New" w:cs="Courier New"/>
      </w:rPr>
    </w:lvl>
    <w:lvl w:ilvl="2">
      <w:start w:val="1"/>
      <w:numFmt w:val="bullet"/>
      <w:lvlText w:val="▪"/>
      <w:lvlJc w:val="left"/>
      <w:pPr>
        <w:ind w:left="3822" w:hanging="360"/>
      </w:pPr>
      <w:rPr>
        <w:rFonts w:ascii="Noto Sans Symbols" w:eastAsia="Noto Sans Symbols" w:hAnsi="Noto Sans Symbols" w:cs="Noto Sans Symbols"/>
      </w:rPr>
    </w:lvl>
    <w:lvl w:ilvl="3">
      <w:start w:val="1"/>
      <w:numFmt w:val="bullet"/>
      <w:lvlText w:val="●"/>
      <w:lvlJc w:val="left"/>
      <w:pPr>
        <w:ind w:left="4542" w:hanging="360"/>
      </w:pPr>
      <w:rPr>
        <w:rFonts w:ascii="Noto Sans Symbols" w:eastAsia="Noto Sans Symbols" w:hAnsi="Noto Sans Symbols" w:cs="Noto Sans Symbols"/>
      </w:rPr>
    </w:lvl>
    <w:lvl w:ilvl="4">
      <w:start w:val="1"/>
      <w:numFmt w:val="bullet"/>
      <w:lvlText w:val="o"/>
      <w:lvlJc w:val="left"/>
      <w:pPr>
        <w:ind w:left="5262" w:hanging="360"/>
      </w:pPr>
      <w:rPr>
        <w:rFonts w:ascii="Courier New" w:eastAsia="Courier New" w:hAnsi="Courier New" w:cs="Courier New"/>
      </w:rPr>
    </w:lvl>
    <w:lvl w:ilvl="5">
      <w:start w:val="1"/>
      <w:numFmt w:val="bullet"/>
      <w:lvlText w:val="▪"/>
      <w:lvlJc w:val="left"/>
      <w:pPr>
        <w:ind w:left="5982" w:hanging="360"/>
      </w:pPr>
      <w:rPr>
        <w:rFonts w:ascii="Noto Sans Symbols" w:eastAsia="Noto Sans Symbols" w:hAnsi="Noto Sans Symbols" w:cs="Noto Sans Symbols"/>
      </w:rPr>
    </w:lvl>
    <w:lvl w:ilvl="6">
      <w:start w:val="1"/>
      <w:numFmt w:val="bullet"/>
      <w:lvlText w:val="●"/>
      <w:lvlJc w:val="left"/>
      <w:pPr>
        <w:ind w:left="6702" w:hanging="360"/>
      </w:pPr>
      <w:rPr>
        <w:rFonts w:ascii="Noto Sans Symbols" w:eastAsia="Noto Sans Symbols" w:hAnsi="Noto Sans Symbols" w:cs="Noto Sans Symbols"/>
      </w:rPr>
    </w:lvl>
    <w:lvl w:ilvl="7">
      <w:start w:val="1"/>
      <w:numFmt w:val="bullet"/>
      <w:lvlText w:val="o"/>
      <w:lvlJc w:val="left"/>
      <w:pPr>
        <w:ind w:left="7422" w:hanging="360"/>
      </w:pPr>
      <w:rPr>
        <w:rFonts w:ascii="Courier New" w:eastAsia="Courier New" w:hAnsi="Courier New" w:cs="Courier New"/>
      </w:rPr>
    </w:lvl>
    <w:lvl w:ilvl="8">
      <w:start w:val="1"/>
      <w:numFmt w:val="bullet"/>
      <w:lvlText w:val="▪"/>
      <w:lvlJc w:val="left"/>
      <w:pPr>
        <w:ind w:left="8142" w:hanging="360"/>
      </w:pPr>
      <w:rPr>
        <w:rFonts w:ascii="Noto Sans Symbols" w:eastAsia="Noto Sans Symbols" w:hAnsi="Noto Sans Symbols" w:cs="Noto Sans Symbols"/>
      </w:rPr>
    </w:lvl>
  </w:abstractNum>
  <w:abstractNum w:abstractNumId="15" w15:restartNumberingAfterBreak="0">
    <w:nsid w:val="74EE298C"/>
    <w:multiLevelType w:val="multilevel"/>
    <w:tmpl w:val="3856AAE6"/>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15:restartNumberingAfterBreak="0">
    <w:nsid w:val="766F58B1"/>
    <w:multiLevelType w:val="multilevel"/>
    <w:tmpl w:val="995E3F98"/>
    <w:lvl w:ilvl="0">
      <w:start w:val="29"/>
      <w:numFmt w:val="decimal"/>
      <w:lvlText w:val="%1."/>
      <w:lvlJc w:val="lef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16cid:durableId="723526902">
    <w:abstractNumId w:val="7"/>
  </w:num>
  <w:num w:numId="2" w16cid:durableId="260535290">
    <w:abstractNumId w:val="1"/>
  </w:num>
  <w:num w:numId="3" w16cid:durableId="1779105980">
    <w:abstractNumId w:val="2"/>
  </w:num>
  <w:num w:numId="4" w16cid:durableId="1481651601">
    <w:abstractNumId w:val="14"/>
  </w:num>
  <w:num w:numId="5" w16cid:durableId="1257514217">
    <w:abstractNumId w:val="13"/>
  </w:num>
  <w:num w:numId="6" w16cid:durableId="1731225821">
    <w:abstractNumId w:val="15"/>
  </w:num>
  <w:num w:numId="7" w16cid:durableId="1537962401">
    <w:abstractNumId w:val="10"/>
  </w:num>
  <w:num w:numId="8" w16cid:durableId="318653400">
    <w:abstractNumId w:val="16"/>
  </w:num>
  <w:num w:numId="9" w16cid:durableId="1036587141">
    <w:abstractNumId w:val="3"/>
  </w:num>
  <w:num w:numId="10" w16cid:durableId="1769497285">
    <w:abstractNumId w:val="8"/>
  </w:num>
  <w:num w:numId="11" w16cid:durableId="611327639">
    <w:abstractNumId w:val="4"/>
  </w:num>
  <w:num w:numId="12" w16cid:durableId="1234198972">
    <w:abstractNumId w:val="5"/>
  </w:num>
  <w:num w:numId="13" w16cid:durableId="1513229102">
    <w:abstractNumId w:val="6"/>
  </w:num>
  <w:num w:numId="14" w16cid:durableId="580985949">
    <w:abstractNumId w:val="11"/>
  </w:num>
  <w:num w:numId="15" w16cid:durableId="452598774">
    <w:abstractNumId w:val="12"/>
  </w:num>
  <w:num w:numId="16" w16cid:durableId="1164974610">
    <w:abstractNumId w:val="0"/>
  </w:num>
  <w:num w:numId="17" w16cid:durableId="872353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FFC"/>
    <w:rsid w:val="000A1A23"/>
    <w:rsid w:val="00165C11"/>
    <w:rsid w:val="00280C16"/>
    <w:rsid w:val="0029697F"/>
    <w:rsid w:val="006770F8"/>
    <w:rsid w:val="006B0FFC"/>
    <w:rsid w:val="006D1430"/>
    <w:rsid w:val="0096265C"/>
    <w:rsid w:val="00972D83"/>
    <w:rsid w:val="00A46A62"/>
    <w:rsid w:val="00B4290D"/>
    <w:rsid w:val="00B8061C"/>
    <w:rsid w:val="00D000C9"/>
    <w:rsid w:val="00D40EC3"/>
    <w:rsid w:val="00DA7A57"/>
    <w:rsid w:val="00F762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8B556"/>
  <w15:docId w15:val="{CD123EAF-CAFA-463A-B468-6A1906569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F3242B"/>
    <w:pPr>
      <w:autoSpaceDE w:val="0"/>
      <w:autoSpaceDN w:val="0"/>
      <w:adjustRightInd w:val="0"/>
    </w:pPr>
    <w:rPr>
      <w:rFonts w:ascii="Arial" w:hAnsi="Arial" w:cs="Arial"/>
      <w:color w:val="00000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character" w:styleId="Referenciasutil">
    <w:name w:val="Subtle Reference"/>
    <w:basedOn w:val="Fuentedeprrafopredeter"/>
    <w:uiPriority w:val="31"/>
    <w:qFormat/>
    <w:rsid w:val="008E5972"/>
    <w:rPr>
      <w:rFonts w:cs="Times New Roman"/>
      <w:smallCaps/>
      <w:color w:val="5A5A5A" w:themeColor="text1" w:themeTint="A5"/>
    </w:r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46463.page" TargetMode="Externa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hyperlink" Target="https://saimex.org.mx/saimex/solicitud/downloadAttach/2057548.pag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aimex.org.mx/saimex/solicitud/downloadAttach/2081281.page" TargetMode="External"/><Relationship Id="rId14" Type="http://schemas.openxmlformats.org/officeDocument/2006/relationships/hyperlink" Target="about:blan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34GsTUlvGqdIWJuoztuX4FNLCw==">CgMxLjAyCGguZ2pkZ3hzMgloLjMwajB6bGwyCWguMWZvYjl0ZTIJaC4zem55c2g3MgloLjJldDkycDAyCGgudHlqY3d0MgloLjNkeTZ2a20yCWguM3JkY3JqbjgAciExc0lncXoxdzBQVUc1RmN3U3RiODBfbHVORjVsOWVxczc=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3321</Words>
  <Characters>18269</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inf03m612@outlook.com</cp:lastModifiedBy>
  <cp:revision>9</cp:revision>
  <cp:lastPrinted>2024-11-07T18:24:00Z</cp:lastPrinted>
  <dcterms:created xsi:type="dcterms:W3CDTF">2024-10-28T21:09:00Z</dcterms:created>
  <dcterms:modified xsi:type="dcterms:W3CDTF">2024-11-13T20:14:00Z</dcterms:modified>
</cp:coreProperties>
</file>