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C9" w:rsidRDefault="00633AC9">
      <w:pPr>
        <w:widowControl w:val="0"/>
        <w:pBdr>
          <w:top w:val="nil"/>
          <w:left w:val="nil"/>
          <w:bottom w:val="nil"/>
          <w:right w:val="nil"/>
          <w:between w:val="nil"/>
        </w:pBdr>
        <w:spacing w:line="276" w:lineRule="auto"/>
      </w:pPr>
    </w:p>
    <w:p w:rsidR="00633AC9" w:rsidRPr="00321901" w:rsidRDefault="003573FE">
      <w:pPr>
        <w:tabs>
          <w:tab w:val="left" w:pos="3465"/>
        </w:tabs>
        <w:spacing w:line="360" w:lineRule="auto"/>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dieciocho </w:t>
      </w:r>
      <w:r w:rsidR="002318DC" w:rsidRPr="00321901">
        <w:rPr>
          <w:rFonts w:ascii="Palatino Linotype" w:eastAsia="Palatino Linotype" w:hAnsi="Palatino Linotype" w:cs="Palatino Linotype"/>
        </w:rPr>
        <w:t xml:space="preserve">(18) </w:t>
      </w:r>
      <w:r w:rsidRPr="00321901">
        <w:rPr>
          <w:rFonts w:ascii="Palatino Linotype" w:eastAsia="Palatino Linotype" w:hAnsi="Palatino Linotype" w:cs="Palatino Linotype"/>
        </w:rPr>
        <w:t>de diciembre de dos mil veinticuatro.</w:t>
      </w:r>
    </w:p>
    <w:p w:rsidR="00633AC9" w:rsidRPr="00321901" w:rsidRDefault="00633AC9">
      <w:pPr>
        <w:tabs>
          <w:tab w:val="left" w:pos="3465"/>
        </w:tabs>
        <w:spacing w:line="360" w:lineRule="auto"/>
        <w:jc w:val="both"/>
        <w:rPr>
          <w:rFonts w:ascii="Palatino Linotype" w:eastAsia="Palatino Linotype" w:hAnsi="Palatino Linotype" w:cs="Palatino Linotype"/>
        </w:rPr>
      </w:pPr>
    </w:p>
    <w:p w:rsidR="00633AC9" w:rsidRPr="00321901" w:rsidRDefault="003573FE">
      <w:pPr>
        <w:spacing w:line="360" w:lineRule="auto"/>
        <w:jc w:val="both"/>
        <w:rPr>
          <w:rFonts w:ascii="Palatino Linotype" w:eastAsia="Palatino Linotype" w:hAnsi="Palatino Linotype" w:cs="Palatino Linotype"/>
        </w:rPr>
      </w:pPr>
      <w:r w:rsidRPr="00321901">
        <w:rPr>
          <w:rFonts w:ascii="Palatino Linotype" w:eastAsia="Palatino Linotype" w:hAnsi="Palatino Linotype" w:cs="Palatino Linotype"/>
          <w:b/>
        </w:rPr>
        <w:t xml:space="preserve">VISTAS </w:t>
      </w:r>
      <w:r w:rsidRPr="00321901">
        <w:rPr>
          <w:rFonts w:ascii="Palatino Linotype" w:eastAsia="Palatino Linotype" w:hAnsi="Palatino Linotype" w:cs="Palatino Linotype"/>
        </w:rPr>
        <w:t xml:space="preserve">las constancias para resolver </w:t>
      </w:r>
      <w:r w:rsidRPr="00321901">
        <w:rPr>
          <w:rFonts w:ascii="Palatino Linotype" w:eastAsia="Palatino Linotype" w:hAnsi="Palatino Linotype" w:cs="Palatino Linotype"/>
          <w:color w:val="000000"/>
        </w:rPr>
        <w:t xml:space="preserve">los Recursos de Revisión </w:t>
      </w:r>
      <w:r w:rsidRPr="00321901">
        <w:rPr>
          <w:rFonts w:ascii="Palatino Linotype" w:eastAsia="Palatino Linotype" w:hAnsi="Palatino Linotype" w:cs="Palatino Linotype"/>
          <w:b/>
          <w:color w:val="000000"/>
        </w:rPr>
        <w:t>05003/INFOEM/IP/RR/2024 y 05698/INFOEM/IP/RR/2024 acumulados</w:t>
      </w:r>
      <w:r w:rsidRPr="00321901">
        <w:rPr>
          <w:rFonts w:ascii="Palatino Linotype" w:eastAsia="Palatino Linotype" w:hAnsi="Palatino Linotype" w:cs="Palatino Linotype"/>
          <w:color w:val="000000"/>
        </w:rPr>
        <w:t xml:space="preserve">, promovidos </w:t>
      </w:r>
      <w:r w:rsidRPr="00321901">
        <w:rPr>
          <w:rFonts w:ascii="Palatino Linotype" w:eastAsia="Palatino Linotype" w:hAnsi="Palatino Linotype" w:cs="Palatino Linotype"/>
        </w:rPr>
        <w:t xml:space="preserve">por </w:t>
      </w:r>
      <w:r w:rsidR="00321901" w:rsidRPr="00321901">
        <w:rPr>
          <w:rFonts w:ascii="Palatino Linotype" w:eastAsia="Palatino Linotype" w:hAnsi="Palatino Linotype" w:cs="Palatino Linotype"/>
          <w:b/>
        </w:rPr>
        <w:t>XXXXXXXXXX</w:t>
      </w:r>
      <w:r w:rsidRPr="00321901">
        <w:rPr>
          <w:rFonts w:ascii="Palatino Linotype" w:eastAsia="Palatino Linotype" w:hAnsi="Palatino Linotype" w:cs="Palatino Linotype"/>
        </w:rPr>
        <w:t>,</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 xml:space="preserve">a quien en lo sucesivo se denominará como </w:t>
      </w:r>
      <w:r w:rsidRPr="00321901">
        <w:rPr>
          <w:rFonts w:ascii="Palatino Linotype" w:eastAsia="Palatino Linotype" w:hAnsi="Palatino Linotype" w:cs="Palatino Linotype"/>
          <w:b/>
        </w:rPr>
        <w:t>RECURRENTE</w:t>
      </w:r>
      <w:r w:rsidRPr="00321901">
        <w:rPr>
          <w:rFonts w:ascii="Palatino Linotype" w:eastAsia="Palatino Linotype" w:hAnsi="Palatino Linotype" w:cs="Palatino Linotype"/>
        </w:rPr>
        <w:t xml:space="preserve">, en contra de la respuesta otorgada a las solicitudes de información </w:t>
      </w:r>
      <w:r w:rsidRPr="00321901">
        <w:rPr>
          <w:rFonts w:ascii="Palatino Linotype" w:eastAsia="Palatino Linotype" w:hAnsi="Palatino Linotype" w:cs="Palatino Linotype"/>
          <w:b/>
        </w:rPr>
        <w:t>00109/TLALMANA/IP/2024 y 00122/TLALMANA/IP/2024</w:t>
      </w:r>
      <w:r w:rsidRPr="00321901">
        <w:rPr>
          <w:rFonts w:ascii="Palatino Linotype" w:eastAsia="Palatino Linotype" w:hAnsi="Palatino Linotype" w:cs="Palatino Linotype"/>
        </w:rPr>
        <w:t xml:space="preserve">, por parte del </w:t>
      </w:r>
      <w:r w:rsidRPr="00321901">
        <w:rPr>
          <w:rFonts w:ascii="Palatino Linotype" w:eastAsia="Palatino Linotype" w:hAnsi="Palatino Linotype" w:cs="Palatino Linotype"/>
          <w:b/>
        </w:rPr>
        <w:t xml:space="preserve">Ayuntamiento de </w:t>
      </w:r>
      <w:proofErr w:type="spellStart"/>
      <w:r w:rsidRPr="00321901">
        <w:rPr>
          <w:rFonts w:ascii="Palatino Linotype" w:eastAsia="Palatino Linotype" w:hAnsi="Palatino Linotype" w:cs="Palatino Linotype"/>
          <w:b/>
        </w:rPr>
        <w:t>Tlalmanalco</w:t>
      </w:r>
      <w:proofErr w:type="spellEnd"/>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 xml:space="preserve">en adelante el </w:t>
      </w:r>
      <w:r w:rsidRPr="00321901">
        <w:rPr>
          <w:rFonts w:ascii="Palatino Linotype" w:eastAsia="Palatino Linotype" w:hAnsi="Palatino Linotype" w:cs="Palatino Linotype"/>
          <w:b/>
        </w:rPr>
        <w:t>SUJETO OBLIGADO</w:t>
      </w:r>
      <w:r w:rsidRPr="00321901">
        <w:rPr>
          <w:rFonts w:ascii="Palatino Linotype" w:eastAsia="Palatino Linotype" w:hAnsi="Palatino Linotype" w:cs="Palatino Linotype"/>
        </w:rPr>
        <w:t>, se emite la presente resolución con base en los siguientes:</w:t>
      </w:r>
    </w:p>
    <w:p w:rsidR="00633AC9" w:rsidRPr="00321901" w:rsidRDefault="00633AC9">
      <w:pPr>
        <w:jc w:val="both"/>
        <w:rPr>
          <w:rFonts w:ascii="Palatino Linotype" w:eastAsia="Palatino Linotype" w:hAnsi="Palatino Linotype" w:cs="Palatino Linotype"/>
        </w:rPr>
      </w:pPr>
    </w:p>
    <w:p w:rsidR="00633AC9" w:rsidRPr="00321901" w:rsidRDefault="003573FE">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321901">
        <w:rPr>
          <w:rFonts w:ascii="Palatino Linotype" w:eastAsia="Palatino Linotype" w:hAnsi="Palatino Linotype" w:cs="Palatino Linotype"/>
          <w:b/>
          <w:color w:val="000000"/>
          <w:sz w:val="24"/>
          <w:szCs w:val="24"/>
        </w:rPr>
        <w:t>A N T E C E D E N T E S</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rsidR="00633AC9" w:rsidRPr="00321901" w:rsidRDefault="003573FE">
      <w:pPr>
        <w:numPr>
          <w:ilvl w:val="0"/>
          <w:numId w:val="3"/>
        </w:numPr>
        <w:pBdr>
          <w:top w:val="nil"/>
          <w:left w:val="nil"/>
          <w:bottom w:val="nil"/>
          <w:right w:val="nil"/>
          <w:between w:val="nil"/>
        </w:pBdr>
        <w:tabs>
          <w:tab w:val="left" w:pos="0"/>
        </w:tabs>
        <w:spacing w:line="360" w:lineRule="auto"/>
        <w:ind w:left="0" w:firstLine="0"/>
        <w:jc w:val="both"/>
        <w:rPr>
          <w:color w:val="000000"/>
        </w:rPr>
      </w:pPr>
      <w:r w:rsidRPr="00321901">
        <w:rPr>
          <w:rFonts w:ascii="Palatino Linotype" w:eastAsia="Palatino Linotype" w:hAnsi="Palatino Linotype" w:cs="Palatino Linotype"/>
          <w:color w:val="000000"/>
        </w:rPr>
        <w:t xml:space="preserve">El </w:t>
      </w:r>
      <w:r w:rsidRPr="00321901">
        <w:rPr>
          <w:rFonts w:ascii="Palatino Linotype" w:eastAsia="Palatino Linotype" w:hAnsi="Palatino Linotype" w:cs="Palatino Linotype"/>
          <w:b/>
          <w:color w:val="000000"/>
        </w:rPr>
        <w:t>nueve de julio y veintiuno de agosto de dos mil veinticuatro</w:t>
      </w:r>
      <w:r w:rsidRPr="00321901">
        <w:rPr>
          <w:rFonts w:ascii="Palatino Linotype" w:eastAsia="Palatino Linotype" w:hAnsi="Palatino Linotype" w:cs="Palatino Linotype"/>
          <w:color w:val="000000"/>
        </w:rPr>
        <w:t>,</w:t>
      </w:r>
      <w:r w:rsidRPr="00321901">
        <w:rPr>
          <w:rFonts w:ascii="Palatino Linotype" w:eastAsia="Palatino Linotype" w:hAnsi="Palatino Linotype" w:cs="Palatino Linotype"/>
          <w:b/>
          <w:color w:val="000000"/>
        </w:rPr>
        <w:t xml:space="preserve"> </w:t>
      </w:r>
      <w:r w:rsidRPr="00321901">
        <w:rPr>
          <w:rFonts w:ascii="Palatino Linotype" w:eastAsia="Palatino Linotype" w:hAnsi="Palatino Linotype" w:cs="Palatino Linotype"/>
          <w:color w:val="000000"/>
        </w:rPr>
        <w:t xml:space="preserve">se presentó ante el Sujeto Obligado vía Sistema de Acceso a la Información Mexiquense, en adelante SAIMEX, las </w:t>
      </w:r>
      <w:r w:rsidRPr="00321901">
        <w:rPr>
          <w:rFonts w:ascii="Palatino Linotype" w:eastAsia="Palatino Linotype" w:hAnsi="Palatino Linotype" w:cs="Palatino Linotype"/>
          <w:b/>
          <w:color w:val="000000"/>
        </w:rPr>
        <w:t>solicitudes de información</w:t>
      </w:r>
      <w:r w:rsidRPr="00321901">
        <w:rPr>
          <w:rFonts w:ascii="Palatino Linotype" w:eastAsia="Palatino Linotype" w:hAnsi="Palatino Linotype" w:cs="Palatino Linotype"/>
          <w:color w:val="000000"/>
        </w:rPr>
        <w:t xml:space="preserve"> </w:t>
      </w:r>
      <w:r w:rsidRPr="00321901">
        <w:rPr>
          <w:rFonts w:ascii="Palatino Linotype" w:eastAsia="Palatino Linotype" w:hAnsi="Palatino Linotype" w:cs="Palatino Linotype"/>
        </w:rPr>
        <w:t xml:space="preserve">en las que requirió la </w:t>
      </w:r>
      <w:r w:rsidRPr="00321901">
        <w:rPr>
          <w:rFonts w:ascii="Palatino Linotype" w:eastAsia="Palatino Linotype" w:hAnsi="Palatino Linotype" w:cs="Palatino Linotype"/>
          <w:color w:val="000000"/>
        </w:rPr>
        <w:t xml:space="preserve"> información pública siguiente:</w:t>
      </w:r>
    </w:p>
    <w:p w:rsidR="00633AC9" w:rsidRPr="00321901" w:rsidRDefault="00633AC9">
      <w:pPr>
        <w:pBdr>
          <w:top w:val="nil"/>
          <w:left w:val="nil"/>
          <w:bottom w:val="nil"/>
          <w:right w:val="nil"/>
          <w:between w:val="nil"/>
        </w:pBdr>
        <w:tabs>
          <w:tab w:val="left" w:pos="0"/>
        </w:tabs>
        <w:spacing w:line="360" w:lineRule="auto"/>
        <w:jc w:val="both"/>
        <w:rPr>
          <w:color w:val="000000"/>
        </w:rPr>
      </w:pPr>
    </w:p>
    <w:p w:rsidR="00633AC9" w:rsidRPr="00321901" w:rsidRDefault="003573FE">
      <w:pPr>
        <w:pBdr>
          <w:top w:val="nil"/>
          <w:left w:val="nil"/>
          <w:bottom w:val="nil"/>
          <w:right w:val="nil"/>
          <w:between w:val="nil"/>
        </w:pBdr>
        <w:ind w:left="851"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b/>
          <w:sz w:val="22"/>
          <w:szCs w:val="22"/>
        </w:rPr>
        <w:t>Número de solicitud</w:t>
      </w:r>
    </w:p>
    <w:p w:rsidR="00633AC9" w:rsidRPr="00321901" w:rsidRDefault="003573FE">
      <w:pPr>
        <w:pBdr>
          <w:top w:val="nil"/>
          <w:left w:val="nil"/>
          <w:bottom w:val="nil"/>
          <w:right w:val="nil"/>
          <w:between w:val="nil"/>
        </w:pBdr>
        <w:ind w:left="851" w:right="616"/>
        <w:jc w:val="both"/>
        <w:rPr>
          <w:rFonts w:ascii="Palatino Linotype" w:eastAsia="Palatino Linotype" w:hAnsi="Palatino Linotype" w:cs="Palatino Linotype"/>
          <w:b/>
          <w:sz w:val="22"/>
          <w:szCs w:val="22"/>
        </w:rPr>
      </w:pPr>
      <w:r w:rsidRPr="00321901">
        <w:rPr>
          <w:rFonts w:ascii="Palatino Linotype" w:eastAsia="Palatino Linotype" w:hAnsi="Palatino Linotype" w:cs="Palatino Linotype"/>
          <w:b/>
          <w:sz w:val="22"/>
          <w:szCs w:val="22"/>
        </w:rPr>
        <w:t>00109/TLALMANA/IP/2024</w:t>
      </w:r>
    </w:p>
    <w:p w:rsidR="00633AC9" w:rsidRPr="00321901" w:rsidRDefault="003573FE">
      <w:pPr>
        <w:ind w:left="851" w:right="616"/>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w:t>
      </w:r>
      <w:r w:rsidRPr="00321901">
        <w:rPr>
          <w:rFonts w:ascii="Palatino Linotype" w:eastAsia="Palatino Linotype" w:hAnsi="Palatino Linotype" w:cs="Palatino Linotype"/>
          <w:i/>
          <w:sz w:val="22"/>
          <w:szCs w:val="22"/>
        </w:rPr>
        <w:lastRenderedPageBreak/>
        <w:t xml:space="preserve">Información Pública del Estado de México y Municipios, 05 (cinco), párrafos XIII, XIV, XVIIII, XIX, incisos I, y III de la Constitución Política del Estado Libre y Soberano de México, de la siguiente información para que se haga una búsqueda de manera exhaustiva, desglosada, clara y detallada así como su entrega en versión publica y en formato PDF de los contratos correspondientes, de conformidad al dispuesto en la Ley de Contratación Pública del Estado de México y Municipios. Solicito los costos totales (IVA incluido) en moneda nacional, así como su entrega en versión pública de los Convenios celebrados, facturas, contratos celebrados, Pólizas de cheques, del gasto, efectuado, pago y/o realizo por concepto del Sorteo Predial 2024 en la compra de los premios y/o regalos que fueron entregados a las y los ciudadanos ganadores </w:t>
      </w:r>
      <w:hyperlink r:id="rId8">
        <w:r w:rsidRPr="00321901">
          <w:rPr>
            <w:rFonts w:ascii="Palatino Linotype" w:eastAsia="Palatino Linotype" w:hAnsi="Palatino Linotype" w:cs="Palatino Linotype"/>
            <w:i/>
            <w:color w:val="0563C1"/>
            <w:sz w:val="22"/>
            <w:szCs w:val="22"/>
            <w:u w:val="single"/>
          </w:rPr>
          <w:t>https://www.facebook.com/photo/?fbid=474166455162690&amp;set=a.139798981932774&amp;__cft__[0]=AZUcBXuucV77wT3bkLce2ynYAX07l8vnGDqLmmWl5B4p-nWPmTq8BQyCL8V2iGgNRf_W7ICYaFr4gNHPnHXC7uBINmOgRWOPvqyaaZnAR9te9ZKjNDd-_uHane36nRhaaquNBfnn-64hyrny_DdioofDe0FdGaMGNpWJLNxEPCdL7TIdItHcJwBtSjn3QGs5ANcvtYKwhZJu6WmulBh4qzvV&amp;__tn__=EH-R</w:t>
        </w:r>
      </w:hyperlink>
      <w:r w:rsidRPr="00321901">
        <w:rPr>
          <w:rFonts w:ascii="Palatino Linotype" w:eastAsia="Palatino Linotype" w:hAnsi="Palatino Linotype" w:cs="Palatino Linotype"/>
          <w:i/>
          <w:sz w:val="22"/>
          <w:szCs w:val="22"/>
        </w:rPr>
        <w:t>” (Sic)</w:t>
      </w:r>
    </w:p>
    <w:p w:rsidR="00633AC9" w:rsidRPr="00321901" w:rsidRDefault="00633AC9">
      <w:pPr>
        <w:pBdr>
          <w:top w:val="nil"/>
          <w:left w:val="nil"/>
          <w:bottom w:val="nil"/>
          <w:right w:val="nil"/>
          <w:between w:val="nil"/>
        </w:pBdr>
        <w:jc w:val="both"/>
        <w:rPr>
          <w:rFonts w:ascii="Palatino Linotype" w:eastAsia="Palatino Linotype" w:hAnsi="Palatino Linotype" w:cs="Palatino Linotype"/>
          <w:b/>
        </w:rPr>
      </w:pPr>
    </w:p>
    <w:p w:rsidR="00633AC9" w:rsidRPr="00321901" w:rsidRDefault="00633AC9">
      <w:pPr>
        <w:pBdr>
          <w:top w:val="nil"/>
          <w:left w:val="nil"/>
          <w:bottom w:val="nil"/>
          <w:right w:val="nil"/>
          <w:between w:val="nil"/>
        </w:pBdr>
        <w:jc w:val="both"/>
        <w:rPr>
          <w:rFonts w:ascii="Palatino Linotype" w:eastAsia="Palatino Linotype" w:hAnsi="Palatino Linotype" w:cs="Palatino Linotype"/>
          <w:b/>
        </w:rPr>
      </w:pPr>
    </w:p>
    <w:p w:rsidR="00633AC9" w:rsidRPr="00321901" w:rsidRDefault="003573FE">
      <w:pPr>
        <w:pBdr>
          <w:top w:val="nil"/>
          <w:left w:val="nil"/>
          <w:bottom w:val="nil"/>
          <w:right w:val="nil"/>
          <w:between w:val="nil"/>
        </w:pBdr>
        <w:ind w:left="851" w:right="616"/>
        <w:jc w:val="both"/>
        <w:rPr>
          <w:rFonts w:ascii="Palatino Linotype" w:eastAsia="Palatino Linotype" w:hAnsi="Palatino Linotype" w:cs="Palatino Linotype"/>
          <w:b/>
          <w:sz w:val="22"/>
          <w:szCs w:val="22"/>
        </w:rPr>
      </w:pPr>
      <w:r w:rsidRPr="00321901">
        <w:rPr>
          <w:rFonts w:ascii="Palatino Linotype" w:eastAsia="Palatino Linotype" w:hAnsi="Palatino Linotype" w:cs="Palatino Linotype"/>
          <w:b/>
          <w:sz w:val="22"/>
          <w:szCs w:val="22"/>
        </w:rPr>
        <w:t>Número de solicitud</w:t>
      </w:r>
    </w:p>
    <w:p w:rsidR="00633AC9" w:rsidRPr="00321901" w:rsidRDefault="003573FE">
      <w:pPr>
        <w:pBdr>
          <w:top w:val="nil"/>
          <w:left w:val="nil"/>
          <w:bottom w:val="nil"/>
          <w:right w:val="nil"/>
          <w:between w:val="nil"/>
        </w:pBdr>
        <w:ind w:left="851" w:right="616"/>
        <w:jc w:val="both"/>
        <w:rPr>
          <w:rFonts w:ascii="Palatino Linotype" w:eastAsia="Palatino Linotype" w:hAnsi="Palatino Linotype" w:cs="Palatino Linotype"/>
          <w:b/>
          <w:sz w:val="22"/>
          <w:szCs w:val="22"/>
        </w:rPr>
      </w:pPr>
      <w:r w:rsidRPr="00321901">
        <w:rPr>
          <w:rFonts w:ascii="Palatino Linotype" w:eastAsia="Palatino Linotype" w:hAnsi="Palatino Linotype" w:cs="Palatino Linotype"/>
          <w:b/>
          <w:sz w:val="22"/>
          <w:szCs w:val="22"/>
        </w:rPr>
        <w:t xml:space="preserve"> 00122/TLALMANA/IP/2024</w:t>
      </w:r>
    </w:p>
    <w:p w:rsidR="00633AC9" w:rsidRPr="00321901" w:rsidRDefault="00633AC9">
      <w:pPr>
        <w:pBdr>
          <w:top w:val="nil"/>
          <w:left w:val="nil"/>
          <w:bottom w:val="nil"/>
          <w:right w:val="nil"/>
          <w:between w:val="nil"/>
        </w:pBdr>
        <w:ind w:left="851" w:right="616"/>
        <w:jc w:val="both"/>
        <w:rPr>
          <w:rFonts w:ascii="Palatino Linotype" w:eastAsia="Palatino Linotype" w:hAnsi="Palatino Linotype" w:cs="Palatino Linotype"/>
          <w:color w:val="000000"/>
        </w:rPr>
      </w:pPr>
    </w:p>
    <w:p w:rsidR="00633AC9" w:rsidRPr="00321901" w:rsidRDefault="003573FE">
      <w:pPr>
        <w:ind w:left="851" w:right="616"/>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la siguiente información actualizada a la fecha de la entrega del Servidor Público C. NANCI SORIANO CUEVAS y en caso de que algún documento contenga datos personales y/o sensibles solcito que esta información se me sea entrega en formato PDF y en VERSIÓN PÚBLICA 1.-Curricular Vitae 2.- Comprobante de ultimo grado es estudios 3.- Nombramiento si este fuera el caso de los distintos cargos y/o puestos que se le haya asignado en las distintas Áreas de la Administración 2022-2024 el cual dio inicio en el mes de enero del 2022 al 30 de junio del 2024 4.- Documento que acredite no estar Inscrito en el Registro de Deudores Alimentarios Morosos en el Estado ni en ninguna otra Entidad Federativa 5.- Nombre Áreas de Adscripción a las que ha pertenecido en forma detallada desde el inicio de la administración 2022-2024 el cual dio inicio en el mes de enero del 2022 al 30 de junio del 2024 (Altas, bajas y/o cambio </w:t>
      </w:r>
      <w:r w:rsidRPr="00321901">
        <w:rPr>
          <w:rFonts w:ascii="Palatino Linotype" w:eastAsia="Palatino Linotype" w:hAnsi="Palatino Linotype" w:cs="Palatino Linotype"/>
          <w:i/>
          <w:sz w:val="22"/>
          <w:szCs w:val="22"/>
        </w:rPr>
        <w:lastRenderedPageBreak/>
        <w:t>de adscripción) 6.- Informe detallado de las funciones y atribuciones específicas de los distintos cargos y/o puestos que se le haya asignado en las distintas Áreas de la Administración 2022-2024 el cual dio inicio en el mes del 01 enero del 2022 al 30 de junio del 2024. 7.- Listas de asistencia con horario de entrada y salida del mes de enero del 2022 al 30 de junio del 2024. 8.- Recibo de Nómina y/o de Remuneración además de los recibos por concepto de Aguinaldo y primas vacacionales del 01 de enero del 2022 al 30 de junio del 2024 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(Sic)</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33AC9" w:rsidRPr="00321901" w:rsidRDefault="003573FE">
      <w:pPr>
        <w:numPr>
          <w:ilvl w:val="0"/>
          <w:numId w:val="1"/>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 xml:space="preserve">Se eligió como modalidad de entrega de la información: A través del </w:t>
      </w:r>
      <w:r w:rsidRPr="00321901">
        <w:rPr>
          <w:rFonts w:ascii="Palatino Linotype" w:eastAsia="Palatino Linotype" w:hAnsi="Palatino Linotype" w:cs="Palatino Linotype"/>
          <w:b/>
          <w:color w:val="000000"/>
        </w:rPr>
        <w:t>SAIMEX.</w:t>
      </w:r>
    </w:p>
    <w:p w:rsidR="00633AC9" w:rsidRPr="00321901" w:rsidRDefault="00633AC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u w:val="single"/>
        </w:rPr>
      </w:pPr>
    </w:p>
    <w:p w:rsidR="00633AC9" w:rsidRPr="00321901" w:rsidRDefault="003573FE">
      <w:pPr>
        <w:numPr>
          <w:ilvl w:val="0"/>
          <w:numId w:val="3"/>
        </w:numPr>
        <w:pBdr>
          <w:top w:val="nil"/>
          <w:left w:val="nil"/>
          <w:bottom w:val="nil"/>
          <w:right w:val="nil"/>
          <w:between w:val="nil"/>
        </w:pBdr>
        <w:tabs>
          <w:tab w:val="left" w:pos="0"/>
        </w:tabs>
        <w:spacing w:line="360" w:lineRule="auto"/>
        <w:ind w:left="0" w:firstLine="0"/>
        <w:jc w:val="both"/>
        <w:rPr>
          <w:color w:val="000000"/>
        </w:rPr>
      </w:pPr>
      <w:r w:rsidRPr="00321901">
        <w:rPr>
          <w:rFonts w:ascii="Palatino Linotype" w:eastAsia="Palatino Linotype" w:hAnsi="Palatino Linotype" w:cs="Palatino Linotype"/>
          <w:color w:val="000000"/>
        </w:rPr>
        <w:t>El</w:t>
      </w:r>
      <w:r w:rsidRPr="00321901">
        <w:rPr>
          <w:rFonts w:ascii="Palatino Linotype" w:eastAsia="Palatino Linotype" w:hAnsi="Palatino Linotype" w:cs="Palatino Linotype"/>
          <w:b/>
          <w:color w:val="000000"/>
        </w:rPr>
        <w:t xml:space="preserve"> doce de agosto y once de septiembre de dos mil veinticuatro</w:t>
      </w:r>
      <w:r w:rsidRPr="00321901">
        <w:rPr>
          <w:rFonts w:ascii="Palatino Linotype" w:eastAsia="Palatino Linotype" w:hAnsi="Palatino Linotype" w:cs="Palatino Linotype"/>
          <w:color w:val="000000"/>
        </w:rPr>
        <w:t>, el Sujeto Obligado</w:t>
      </w:r>
      <w:r w:rsidRPr="00321901">
        <w:rPr>
          <w:rFonts w:ascii="Palatino Linotype" w:eastAsia="Palatino Linotype" w:hAnsi="Palatino Linotype" w:cs="Palatino Linotype"/>
          <w:b/>
          <w:color w:val="000000"/>
        </w:rPr>
        <w:t>,</w:t>
      </w:r>
      <w:r w:rsidRPr="00321901">
        <w:rPr>
          <w:rFonts w:ascii="Palatino Linotype" w:eastAsia="Palatino Linotype" w:hAnsi="Palatino Linotype" w:cs="Palatino Linotype"/>
          <w:color w:val="000000"/>
        </w:rPr>
        <w:t xml:space="preserve"> dio </w:t>
      </w:r>
      <w:r w:rsidRPr="00321901">
        <w:rPr>
          <w:rFonts w:ascii="Palatino Linotype" w:eastAsia="Palatino Linotype" w:hAnsi="Palatino Linotype" w:cs="Palatino Linotype"/>
          <w:b/>
          <w:color w:val="000000"/>
        </w:rPr>
        <w:t>respuesta</w:t>
      </w:r>
      <w:r w:rsidRPr="00321901">
        <w:rPr>
          <w:rFonts w:ascii="Palatino Linotype" w:eastAsia="Palatino Linotype" w:hAnsi="Palatino Linotype" w:cs="Palatino Linotype"/>
          <w:color w:val="000000"/>
        </w:rPr>
        <w:t xml:space="preserve"> a través de los siguientes archivos electrónicos</w:t>
      </w:r>
      <w:r w:rsidRPr="00321901">
        <w:rPr>
          <w:rFonts w:ascii="Palatino Linotype" w:eastAsia="Palatino Linotype" w:hAnsi="Palatino Linotype" w:cs="Palatino Linotype"/>
          <w:b/>
          <w:i/>
          <w:color w:val="000000"/>
        </w:rPr>
        <w:t>:</w:t>
      </w:r>
    </w:p>
    <w:p w:rsidR="00633AC9" w:rsidRPr="00321901" w:rsidRDefault="00633AC9">
      <w:pPr>
        <w:pBdr>
          <w:top w:val="nil"/>
          <w:left w:val="nil"/>
          <w:bottom w:val="nil"/>
          <w:right w:val="nil"/>
          <w:between w:val="nil"/>
        </w:pBdr>
        <w:tabs>
          <w:tab w:val="left" w:pos="0"/>
        </w:tabs>
        <w:jc w:val="both"/>
        <w:rPr>
          <w:rFonts w:ascii="Palatino Linotype" w:eastAsia="Palatino Linotype" w:hAnsi="Palatino Linotype" w:cs="Palatino Linotype"/>
          <w:i/>
          <w:color w:val="000000"/>
        </w:rPr>
      </w:pPr>
    </w:p>
    <w:p w:rsidR="00633AC9" w:rsidRPr="00321901" w:rsidRDefault="003573FE">
      <w:pPr>
        <w:pBdr>
          <w:between w:val="nil"/>
        </w:pBdr>
        <w:ind w:left="851"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b/>
          <w:sz w:val="22"/>
          <w:szCs w:val="22"/>
        </w:rPr>
        <w:t>Número de solicitud</w:t>
      </w:r>
    </w:p>
    <w:p w:rsidR="00633AC9" w:rsidRPr="00321901" w:rsidRDefault="003573FE">
      <w:pPr>
        <w:pBdr>
          <w:between w:val="nil"/>
        </w:pBdr>
        <w:ind w:left="851" w:right="616"/>
        <w:jc w:val="both"/>
        <w:rPr>
          <w:rFonts w:ascii="Palatino Linotype" w:eastAsia="Palatino Linotype" w:hAnsi="Palatino Linotype" w:cs="Palatino Linotype"/>
          <w:b/>
          <w:sz w:val="22"/>
          <w:szCs w:val="22"/>
        </w:rPr>
      </w:pPr>
      <w:r w:rsidRPr="00321901">
        <w:rPr>
          <w:rFonts w:ascii="Palatino Linotype" w:eastAsia="Palatino Linotype" w:hAnsi="Palatino Linotype" w:cs="Palatino Linotype"/>
          <w:b/>
          <w:sz w:val="22"/>
          <w:szCs w:val="22"/>
        </w:rPr>
        <w:t>00109/TLALMANA/IP/2024</w:t>
      </w:r>
    </w:p>
    <w:p w:rsidR="00633AC9" w:rsidRPr="00321901" w:rsidRDefault="00633AC9">
      <w:pPr>
        <w:pBdr>
          <w:between w:val="nil"/>
        </w:pBdr>
        <w:ind w:left="851" w:right="616"/>
        <w:jc w:val="both"/>
        <w:rPr>
          <w:rFonts w:ascii="Palatino Linotype" w:eastAsia="Palatino Linotype" w:hAnsi="Palatino Linotype" w:cs="Palatino Linotype"/>
          <w:b/>
          <w:i/>
          <w:sz w:val="22"/>
          <w:szCs w:val="22"/>
        </w:rPr>
      </w:pPr>
    </w:p>
    <w:p w:rsidR="00633AC9" w:rsidRPr="00321901" w:rsidRDefault="003573FE">
      <w:pPr>
        <w:pBdr>
          <w:between w:val="nil"/>
        </w:pBdr>
        <w:ind w:left="851" w:right="616"/>
        <w:jc w:val="both"/>
        <w:rPr>
          <w:rFonts w:ascii="Palatino Linotype" w:eastAsia="Palatino Linotype" w:hAnsi="Palatino Linotype" w:cs="Palatino Linotype"/>
          <w:b/>
          <w:i/>
          <w:sz w:val="22"/>
          <w:szCs w:val="22"/>
        </w:rPr>
      </w:pPr>
      <w:r w:rsidRPr="00321901">
        <w:rPr>
          <w:rFonts w:ascii="Palatino Linotype" w:eastAsia="Palatino Linotype" w:hAnsi="Palatino Linotype" w:cs="Palatino Linotype"/>
          <w:b/>
          <w:i/>
          <w:sz w:val="22"/>
          <w:szCs w:val="22"/>
        </w:rPr>
        <w:t>RIFA 2024 (1</w:t>
      </w:r>
      <w:proofErr w:type="gramStart"/>
      <w:r w:rsidRPr="00321901">
        <w:rPr>
          <w:rFonts w:ascii="Palatino Linotype" w:eastAsia="Palatino Linotype" w:hAnsi="Palatino Linotype" w:cs="Palatino Linotype"/>
          <w:b/>
          <w:i/>
          <w:sz w:val="22"/>
          <w:szCs w:val="22"/>
        </w:rPr>
        <w:t>)_</w:t>
      </w:r>
      <w:proofErr w:type="gramEnd"/>
      <w:r w:rsidRPr="00321901">
        <w:rPr>
          <w:rFonts w:ascii="Palatino Linotype" w:eastAsia="Palatino Linotype" w:hAnsi="Palatino Linotype" w:cs="Palatino Linotype"/>
          <w:b/>
          <w:i/>
          <w:sz w:val="22"/>
          <w:szCs w:val="22"/>
        </w:rPr>
        <w:t>Censurado.pdf</w:t>
      </w:r>
    </w:p>
    <w:p w:rsidR="00633AC9" w:rsidRPr="00321901" w:rsidRDefault="003573FE">
      <w:pPr>
        <w:pBdr>
          <w:between w:val="nil"/>
        </w:pBdr>
        <w:ind w:left="851" w:right="616"/>
        <w:jc w:val="both"/>
        <w:rPr>
          <w:rFonts w:ascii="Palatino Linotype" w:eastAsia="Palatino Linotype" w:hAnsi="Palatino Linotype" w:cs="Palatino Linotype"/>
          <w:sz w:val="22"/>
          <w:szCs w:val="22"/>
        </w:rPr>
      </w:pPr>
      <w:r w:rsidRPr="00321901">
        <w:rPr>
          <w:rFonts w:ascii="Palatino Linotype" w:eastAsia="Palatino Linotype" w:hAnsi="Palatino Linotype" w:cs="Palatino Linotype"/>
          <w:sz w:val="22"/>
          <w:szCs w:val="22"/>
        </w:rPr>
        <w:t>Archivo de 8 fojas, mismo que contiene los documentos siguientes:</w:t>
      </w:r>
    </w:p>
    <w:p w:rsidR="00633AC9" w:rsidRPr="00321901" w:rsidRDefault="003573FE">
      <w:pPr>
        <w:numPr>
          <w:ilvl w:val="0"/>
          <w:numId w:val="5"/>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Póliza de Diario</w:t>
      </w:r>
    </w:p>
    <w:p w:rsidR="00633AC9" w:rsidRPr="00321901" w:rsidRDefault="003573FE">
      <w:pPr>
        <w:numPr>
          <w:ilvl w:val="0"/>
          <w:numId w:val="5"/>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Factura</w:t>
      </w:r>
    </w:p>
    <w:p w:rsidR="00633AC9" w:rsidRPr="00321901" w:rsidRDefault="003573FE">
      <w:pPr>
        <w:numPr>
          <w:ilvl w:val="0"/>
          <w:numId w:val="5"/>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Requisición de Bienes y/o Servicios</w:t>
      </w:r>
    </w:p>
    <w:p w:rsidR="00633AC9" w:rsidRPr="00321901" w:rsidRDefault="003573FE">
      <w:pPr>
        <w:numPr>
          <w:ilvl w:val="0"/>
          <w:numId w:val="5"/>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Contrato de adquisición de bienes número TLAL/ADMI/AB/052/04/2023</w:t>
      </w:r>
    </w:p>
    <w:p w:rsidR="00633AC9" w:rsidRPr="00321901" w:rsidRDefault="00633AC9">
      <w:pPr>
        <w:pBdr>
          <w:between w:val="nil"/>
        </w:pBdr>
        <w:ind w:left="851" w:right="616"/>
        <w:jc w:val="both"/>
        <w:rPr>
          <w:rFonts w:ascii="Palatino Linotype" w:eastAsia="Palatino Linotype" w:hAnsi="Palatino Linotype" w:cs="Palatino Linotype"/>
          <w:sz w:val="22"/>
          <w:szCs w:val="22"/>
        </w:rPr>
      </w:pPr>
    </w:p>
    <w:p w:rsidR="00633AC9" w:rsidRPr="00321901" w:rsidRDefault="003573FE">
      <w:pPr>
        <w:pBdr>
          <w:between w:val="nil"/>
        </w:pBdr>
        <w:ind w:left="851" w:right="616"/>
        <w:jc w:val="both"/>
        <w:rPr>
          <w:rFonts w:ascii="Palatino Linotype" w:eastAsia="Palatino Linotype" w:hAnsi="Palatino Linotype" w:cs="Palatino Linotype"/>
          <w:b/>
          <w:i/>
          <w:sz w:val="22"/>
          <w:szCs w:val="22"/>
        </w:rPr>
      </w:pPr>
      <w:r w:rsidRPr="00321901">
        <w:rPr>
          <w:rFonts w:ascii="Palatino Linotype" w:eastAsia="Palatino Linotype" w:hAnsi="Palatino Linotype" w:cs="Palatino Linotype"/>
          <w:b/>
          <w:i/>
          <w:sz w:val="22"/>
          <w:szCs w:val="22"/>
        </w:rPr>
        <w:t>Expediente.pdf</w:t>
      </w:r>
    </w:p>
    <w:p w:rsidR="00633AC9" w:rsidRPr="00321901" w:rsidRDefault="003573FE">
      <w:pPr>
        <w:pBdr>
          <w:between w:val="nil"/>
        </w:pBdr>
        <w:ind w:left="851" w:right="616"/>
        <w:jc w:val="both"/>
        <w:rPr>
          <w:rFonts w:ascii="Palatino Linotype" w:eastAsia="Palatino Linotype" w:hAnsi="Palatino Linotype" w:cs="Palatino Linotype"/>
          <w:sz w:val="22"/>
          <w:szCs w:val="22"/>
        </w:rPr>
      </w:pPr>
      <w:r w:rsidRPr="00321901">
        <w:rPr>
          <w:rFonts w:ascii="Palatino Linotype" w:eastAsia="Palatino Linotype" w:hAnsi="Palatino Linotype" w:cs="Palatino Linotype"/>
          <w:sz w:val="22"/>
          <w:szCs w:val="22"/>
        </w:rPr>
        <w:t>Archivo de 11 fojas, mismo que contiene los documentos siguientes:</w:t>
      </w:r>
    </w:p>
    <w:p w:rsidR="00633AC9" w:rsidRPr="00321901" w:rsidRDefault="003573FE">
      <w:pPr>
        <w:numPr>
          <w:ilvl w:val="1"/>
          <w:numId w:val="4"/>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Oficio TLAL/UT/SAIMEX/00109/2024 de fecha 10 de julio de 2024 a través del cual el Titular de la Unida de Transparencia y Acceso a la Información Pública, solicita al Tesorero Municipal la información correspondiente.</w:t>
      </w:r>
    </w:p>
    <w:p w:rsidR="00633AC9" w:rsidRPr="00321901" w:rsidRDefault="003573FE">
      <w:pPr>
        <w:numPr>
          <w:ilvl w:val="1"/>
          <w:numId w:val="4"/>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lastRenderedPageBreak/>
        <w:t xml:space="preserve">Oficio TLAL/UT/SAIMEX/00109/2024 de fecha 15 de julio de 2024 a través del cual el Titular de la Unida de Transparencia y Acceso a la Información Pública, solicita </w:t>
      </w:r>
      <w:r w:rsidRPr="00321901">
        <w:rPr>
          <w:rFonts w:ascii="Palatino Linotype" w:eastAsia="Palatino Linotype" w:hAnsi="Palatino Linotype" w:cs="Palatino Linotype"/>
          <w:b/>
          <w:color w:val="000000"/>
          <w:sz w:val="22"/>
          <w:szCs w:val="22"/>
        </w:rPr>
        <w:t>nuevamente</w:t>
      </w:r>
      <w:r w:rsidRPr="00321901">
        <w:rPr>
          <w:rFonts w:ascii="Palatino Linotype" w:eastAsia="Palatino Linotype" w:hAnsi="Palatino Linotype" w:cs="Palatino Linotype"/>
          <w:color w:val="000000"/>
          <w:sz w:val="22"/>
          <w:szCs w:val="22"/>
        </w:rPr>
        <w:t xml:space="preserve"> al Tesorero Municipal la información correspondiente.</w:t>
      </w:r>
    </w:p>
    <w:p w:rsidR="00633AC9" w:rsidRPr="00321901" w:rsidRDefault="003573FE">
      <w:pPr>
        <w:numPr>
          <w:ilvl w:val="1"/>
          <w:numId w:val="4"/>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 xml:space="preserve">Oficio TLAL/UT/SAIMEX/00109/2024 de fecha 08 de agosto de 2024 a través del cual el Titular de la Unida de Transparencia y Acceso a la Información Pública, solicita </w:t>
      </w:r>
      <w:r w:rsidRPr="00321901">
        <w:rPr>
          <w:rFonts w:ascii="Palatino Linotype" w:eastAsia="Palatino Linotype" w:hAnsi="Palatino Linotype" w:cs="Palatino Linotype"/>
          <w:b/>
          <w:color w:val="000000"/>
          <w:sz w:val="22"/>
          <w:szCs w:val="22"/>
        </w:rPr>
        <w:t>nuevamente</w:t>
      </w:r>
      <w:r w:rsidRPr="00321901">
        <w:rPr>
          <w:rFonts w:ascii="Palatino Linotype" w:eastAsia="Palatino Linotype" w:hAnsi="Palatino Linotype" w:cs="Palatino Linotype"/>
          <w:color w:val="000000"/>
          <w:sz w:val="22"/>
          <w:szCs w:val="22"/>
        </w:rPr>
        <w:t xml:space="preserve"> al Tesorero Municipal la información correspondiente.</w:t>
      </w:r>
    </w:p>
    <w:p w:rsidR="00633AC9" w:rsidRPr="00321901" w:rsidRDefault="003573FE">
      <w:pPr>
        <w:numPr>
          <w:ilvl w:val="1"/>
          <w:numId w:val="4"/>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Oficio TLAL/TES/599/08/2024 de fecha 08 de agosto de 2024, firmado por el Tesorero Municipal, dirigido al Titular de la Unida de Transparencia y Acceso a la Información Pública, en el que solicita se emita un acuerdo del Comité de Transparencia en el que se clasifiquen los datos personales contenidos en el convenio, factura y póliza de egresos, respecto del Sorteo Predial 2024, por contener los siguientes datos:</w:t>
      </w:r>
    </w:p>
    <w:p w:rsidR="00633AC9" w:rsidRPr="00321901" w:rsidRDefault="003573FE">
      <w:pPr>
        <w:numPr>
          <w:ilvl w:val="2"/>
          <w:numId w:val="4"/>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Del apoderado legal: folio de elector</w:t>
      </w:r>
    </w:p>
    <w:p w:rsidR="00633AC9" w:rsidRPr="00321901" w:rsidRDefault="003573FE">
      <w:pPr>
        <w:numPr>
          <w:ilvl w:val="2"/>
          <w:numId w:val="4"/>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En los CFDI´S: número de serie de certificación del emisor, código QR, sello digital del contribuyente emisor.</w:t>
      </w:r>
    </w:p>
    <w:p w:rsidR="00633AC9" w:rsidRPr="00321901" w:rsidRDefault="003573FE">
      <w:pPr>
        <w:numPr>
          <w:ilvl w:val="1"/>
          <w:numId w:val="4"/>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 xml:space="preserve">Oficio TLAL/UT/SAIMEX/00109/2024 de fecha 12 de agosto de 2024 a través del cual el Titular de la Unida de Transparencia y Acceso a la Información Pública, solicita </w:t>
      </w:r>
      <w:r w:rsidRPr="00321901">
        <w:rPr>
          <w:rFonts w:ascii="Palatino Linotype" w:eastAsia="Palatino Linotype" w:hAnsi="Palatino Linotype" w:cs="Palatino Linotype"/>
          <w:b/>
          <w:color w:val="000000"/>
          <w:sz w:val="22"/>
          <w:szCs w:val="22"/>
        </w:rPr>
        <w:t>nuevamente</w:t>
      </w:r>
      <w:r w:rsidRPr="00321901">
        <w:rPr>
          <w:rFonts w:ascii="Palatino Linotype" w:eastAsia="Palatino Linotype" w:hAnsi="Palatino Linotype" w:cs="Palatino Linotype"/>
          <w:color w:val="000000"/>
          <w:sz w:val="22"/>
          <w:szCs w:val="22"/>
        </w:rPr>
        <w:t xml:space="preserve"> al Tesorero Municipal la información correspondiente.</w:t>
      </w:r>
    </w:p>
    <w:p w:rsidR="00633AC9" w:rsidRPr="00321901" w:rsidRDefault="003573FE">
      <w:pPr>
        <w:numPr>
          <w:ilvl w:val="1"/>
          <w:numId w:val="4"/>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Oficio TLAL/UT/08/110/2024 de fecha 12 de agosto de 2024 a través del cual el Titular de la Unida de Transparencia y Acceso a la Información Pública, envía al Tesorero Municipal acta de la 191 sesión extraordinaria del Comité de Transparencia.</w:t>
      </w:r>
    </w:p>
    <w:p w:rsidR="00633AC9" w:rsidRPr="00321901" w:rsidRDefault="003573FE">
      <w:pPr>
        <w:numPr>
          <w:ilvl w:val="1"/>
          <w:numId w:val="4"/>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Acta de la 191 Sesión Extraordinaria del Comité de Transparencia de fecha 09 de agosto de 2024, en el que se aprueba la clasificación de la información como confidencial, de acuerdo a la propuesta del Tesorero Municipal.</w:t>
      </w:r>
    </w:p>
    <w:p w:rsidR="00633AC9" w:rsidRPr="00321901" w:rsidRDefault="003573FE">
      <w:pPr>
        <w:numPr>
          <w:ilvl w:val="1"/>
          <w:numId w:val="4"/>
        </w:numPr>
        <w:pBdr>
          <w:top w:val="nil"/>
          <w:left w:val="nil"/>
          <w:bottom w:val="nil"/>
          <w:right w:val="nil"/>
          <w:between w:val="nil"/>
        </w:pBdr>
        <w:ind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 xml:space="preserve">Oficio TLAL/TES/606/08/2024 de fecha 12 de agosto de 2024, a través del cual el Tesorero Municipal envía a la Titular de la Unida de Transparencia y Acceso a la Información Pública, en sobre cerrado lo solicitado sobre contrato, factura y póliza de egresos respecto del sorteo predial 2024 en su versión pública. </w:t>
      </w:r>
    </w:p>
    <w:p w:rsidR="00633AC9" w:rsidRPr="00321901" w:rsidRDefault="003573FE">
      <w:pPr>
        <w:pBdr>
          <w:top w:val="nil"/>
          <w:left w:val="nil"/>
          <w:bottom w:val="nil"/>
          <w:right w:val="nil"/>
          <w:between w:val="nil"/>
        </w:pBdr>
        <w:ind w:left="1440" w:right="616"/>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De igual forma informa que la mayoría de los obsequios fueron donados, por lo que no se cuenta con los costos de los mismos.</w:t>
      </w:r>
    </w:p>
    <w:p w:rsidR="00633AC9" w:rsidRPr="00321901" w:rsidRDefault="00633AC9">
      <w:pPr>
        <w:pBdr>
          <w:between w:val="nil"/>
        </w:pBdr>
        <w:ind w:left="851" w:right="616"/>
        <w:jc w:val="both"/>
        <w:rPr>
          <w:rFonts w:ascii="Palatino Linotype" w:eastAsia="Palatino Linotype" w:hAnsi="Palatino Linotype" w:cs="Palatino Linotype"/>
          <w:b/>
          <w:sz w:val="22"/>
          <w:szCs w:val="22"/>
        </w:rPr>
      </w:pPr>
    </w:p>
    <w:p w:rsidR="00633AC9" w:rsidRPr="00321901" w:rsidRDefault="00633AC9">
      <w:pPr>
        <w:pBdr>
          <w:between w:val="nil"/>
        </w:pBdr>
        <w:ind w:left="851" w:right="616"/>
        <w:jc w:val="both"/>
        <w:rPr>
          <w:rFonts w:ascii="Palatino Linotype" w:eastAsia="Palatino Linotype" w:hAnsi="Palatino Linotype" w:cs="Palatino Linotype"/>
          <w:b/>
          <w:sz w:val="22"/>
          <w:szCs w:val="22"/>
        </w:rPr>
      </w:pPr>
    </w:p>
    <w:p w:rsidR="00633AC9" w:rsidRPr="00321901" w:rsidRDefault="003573FE">
      <w:pPr>
        <w:pBdr>
          <w:between w:val="nil"/>
        </w:pBdr>
        <w:ind w:left="851" w:right="616"/>
        <w:jc w:val="both"/>
        <w:rPr>
          <w:rFonts w:ascii="Palatino Linotype" w:eastAsia="Palatino Linotype" w:hAnsi="Palatino Linotype" w:cs="Palatino Linotype"/>
          <w:b/>
          <w:sz w:val="22"/>
          <w:szCs w:val="22"/>
        </w:rPr>
      </w:pPr>
      <w:r w:rsidRPr="00321901">
        <w:rPr>
          <w:rFonts w:ascii="Palatino Linotype" w:eastAsia="Palatino Linotype" w:hAnsi="Palatino Linotype" w:cs="Palatino Linotype"/>
          <w:b/>
          <w:sz w:val="22"/>
          <w:szCs w:val="22"/>
        </w:rPr>
        <w:lastRenderedPageBreak/>
        <w:t>Número de solicitud</w:t>
      </w:r>
    </w:p>
    <w:p w:rsidR="00633AC9" w:rsidRPr="00321901" w:rsidRDefault="003573FE">
      <w:pPr>
        <w:pBdr>
          <w:between w:val="nil"/>
        </w:pBdr>
        <w:ind w:left="851" w:right="616"/>
        <w:jc w:val="both"/>
        <w:rPr>
          <w:rFonts w:ascii="Palatino Linotype" w:eastAsia="Palatino Linotype" w:hAnsi="Palatino Linotype" w:cs="Palatino Linotype"/>
          <w:b/>
          <w:sz w:val="22"/>
          <w:szCs w:val="22"/>
        </w:rPr>
      </w:pPr>
      <w:r w:rsidRPr="00321901">
        <w:rPr>
          <w:rFonts w:ascii="Palatino Linotype" w:eastAsia="Palatino Linotype" w:hAnsi="Palatino Linotype" w:cs="Palatino Linotype"/>
          <w:b/>
          <w:sz w:val="22"/>
          <w:szCs w:val="22"/>
        </w:rPr>
        <w:t>00122/TLALMANA/IP/2024</w:t>
      </w:r>
    </w:p>
    <w:p w:rsidR="00633AC9" w:rsidRPr="00321901" w:rsidRDefault="00633AC9">
      <w:pPr>
        <w:pBdr>
          <w:top w:val="nil"/>
          <w:left w:val="nil"/>
          <w:bottom w:val="nil"/>
          <w:right w:val="nil"/>
          <w:between w:val="nil"/>
        </w:pBdr>
        <w:tabs>
          <w:tab w:val="left" w:pos="0"/>
        </w:tabs>
        <w:jc w:val="both"/>
        <w:rPr>
          <w:rFonts w:ascii="Palatino Linotype" w:eastAsia="Palatino Linotype" w:hAnsi="Palatino Linotype" w:cs="Palatino Linotype"/>
          <w:i/>
          <w:color w:val="000000"/>
          <w:sz w:val="22"/>
          <w:szCs w:val="22"/>
        </w:rPr>
      </w:pP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b/>
          <w:i/>
          <w:color w:val="000000"/>
          <w:sz w:val="22"/>
          <w:szCs w:val="22"/>
        </w:rPr>
      </w:pPr>
      <w:r w:rsidRPr="00321901">
        <w:rPr>
          <w:rFonts w:ascii="Palatino Linotype" w:eastAsia="Palatino Linotype" w:hAnsi="Palatino Linotype" w:cs="Palatino Linotype"/>
          <w:b/>
          <w:i/>
          <w:color w:val="000000"/>
          <w:sz w:val="22"/>
          <w:szCs w:val="22"/>
        </w:rPr>
        <w:t xml:space="preserve">Documentos </w:t>
      </w:r>
      <w:proofErr w:type="spellStart"/>
      <w:r w:rsidRPr="00321901">
        <w:rPr>
          <w:rFonts w:ascii="Palatino Linotype" w:eastAsia="Palatino Linotype" w:hAnsi="Palatino Linotype" w:cs="Palatino Linotype"/>
          <w:b/>
          <w:i/>
          <w:color w:val="000000"/>
          <w:sz w:val="22"/>
          <w:szCs w:val="22"/>
        </w:rPr>
        <w:t>Nanci</w:t>
      </w:r>
      <w:proofErr w:type="spellEnd"/>
      <w:r w:rsidRPr="00321901">
        <w:rPr>
          <w:rFonts w:ascii="Palatino Linotype" w:eastAsia="Palatino Linotype" w:hAnsi="Palatino Linotype" w:cs="Palatino Linotype"/>
          <w:b/>
          <w:i/>
          <w:color w:val="000000"/>
          <w:sz w:val="22"/>
          <w:szCs w:val="22"/>
        </w:rPr>
        <w:t xml:space="preserve"> censurado.pdf</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 Documento expedido por la Secretaría de Educación Púbica, que acredita estudios de bachillerato.</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 xml:space="preserve">- Escrito firmado por la C. </w:t>
      </w:r>
      <w:proofErr w:type="spellStart"/>
      <w:r w:rsidRPr="00321901">
        <w:rPr>
          <w:rFonts w:ascii="Palatino Linotype" w:eastAsia="Palatino Linotype" w:hAnsi="Palatino Linotype" w:cs="Palatino Linotype"/>
          <w:color w:val="000000"/>
          <w:sz w:val="22"/>
          <w:szCs w:val="22"/>
        </w:rPr>
        <w:t>Nanci</w:t>
      </w:r>
      <w:proofErr w:type="spellEnd"/>
      <w:r w:rsidRPr="00321901">
        <w:rPr>
          <w:rFonts w:ascii="Palatino Linotype" w:eastAsia="Palatino Linotype" w:hAnsi="Palatino Linotype" w:cs="Palatino Linotype"/>
          <w:color w:val="000000"/>
          <w:sz w:val="22"/>
          <w:szCs w:val="22"/>
        </w:rPr>
        <w:t xml:space="preserve"> Soriano Cuevas, de fecha 05 de septiembre de 2024 en el que remite al Coordinador de Recursos Humanos, el documento que cedita no estar inscrita al registro de deudores alimentarios morosos.</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 Certificado de no deudor alimentario moroso, expedido por la Dirección General del Registro Civil de la Consejería Jurídica.</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 Currículum Vitae</w:t>
      </w:r>
    </w:p>
    <w:p w:rsidR="00633AC9" w:rsidRPr="00321901" w:rsidRDefault="00633AC9">
      <w:pPr>
        <w:pBdr>
          <w:top w:val="nil"/>
          <w:left w:val="nil"/>
          <w:bottom w:val="nil"/>
          <w:right w:val="nil"/>
          <w:between w:val="nil"/>
        </w:pBdr>
        <w:ind w:left="851"/>
        <w:jc w:val="both"/>
        <w:rPr>
          <w:rFonts w:ascii="Palatino Linotype" w:eastAsia="Palatino Linotype" w:hAnsi="Palatino Linotype" w:cs="Palatino Linotype"/>
          <w:b/>
          <w:i/>
          <w:color w:val="000000"/>
          <w:sz w:val="22"/>
          <w:szCs w:val="22"/>
        </w:rPr>
      </w:pP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b/>
          <w:i/>
          <w:color w:val="000000"/>
          <w:sz w:val="22"/>
          <w:szCs w:val="22"/>
        </w:rPr>
      </w:pPr>
      <w:r w:rsidRPr="00321901">
        <w:rPr>
          <w:rFonts w:ascii="Palatino Linotype" w:eastAsia="Palatino Linotype" w:hAnsi="Palatino Linotype" w:cs="Palatino Linotype"/>
          <w:b/>
          <w:i/>
          <w:color w:val="000000"/>
          <w:sz w:val="22"/>
          <w:szCs w:val="22"/>
        </w:rPr>
        <w:t xml:space="preserve">Solicitud inicial, oficio de </w:t>
      </w:r>
      <w:proofErr w:type="spellStart"/>
      <w:r w:rsidRPr="00321901">
        <w:rPr>
          <w:rFonts w:ascii="Palatino Linotype" w:eastAsia="Palatino Linotype" w:hAnsi="Palatino Linotype" w:cs="Palatino Linotype"/>
          <w:b/>
          <w:i/>
          <w:color w:val="000000"/>
          <w:sz w:val="22"/>
          <w:szCs w:val="22"/>
        </w:rPr>
        <w:t>repsuesta</w:t>
      </w:r>
      <w:proofErr w:type="spellEnd"/>
      <w:r w:rsidRPr="00321901">
        <w:rPr>
          <w:rFonts w:ascii="Palatino Linotype" w:eastAsia="Palatino Linotype" w:hAnsi="Palatino Linotype" w:cs="Palatino Linotype"/>
          <w:b/>
          <w:i/>
          <w:color w:val="000000"/>
          <w:sz w:val="22"/>
          <w:szCs w:val="22"/>
        </w:rPr>
        <w:t xml:space="preserve">, acta 199 </w:t>
      </w:r>
      <w:proofErr w:type="spellStart"/>
      <w:r w:rsidRPr="00321901">
        <w:rPr>
          <w:rFonts w:ascii="Palatino Linotype" w:eastAsia="Palatino Linotype" w:hAnsi="Palatino Linotype" w:cs="Palatino Linotype"/>
          <w:b/>
          <w:i/>
          <w:color w:val="000000"/>
          <w:sz w:val="22"/>
          <w:szCs w:val="22"/>
        </w:rPr>
        <w:t>acdo</w:t>
      </w:r>
      <w:proofErr w:type="spellEnd"/>
      <w:r w:rsidRPr="00321901">
        <w:rPr>
          <w:rFonts w:ascii="Palatino Linotype" w:eastAsia="Palatino Linotype" w:hAnsi="Palatino Linotype" w:cs="Palatino Linotype"/>
          <w:b/>
          <w:i/>
          <w:color w:val="000000"/>
          <w:sz w:val="22"/>
          <w:szCs w:val="22"/>
        </w:rPr>
        <w:t xml:space="preserve"> 194.pdf</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sz w:val="22"/>
          <w:szCs w:val="22"/>
        </w:rPr>
      </w:pPr>
      <w:r w:rsidRPr="00321901">
        <w:rPr>
          <w:rFonts w:ascii="Palatino Linotype" w:eastAsia="Palatino Linotype" w:hAnsi="Palatino Linotype" w:cs="Palatino Linotype"/>
          <w:color w:val="000000"/>
          <w:sz w:val="22"/>
          <w:szCs w:val="22"/>
        </w:rPr>
        <w:t xml:space="preserve">-Oficio TLAL/UT/SAIMEX/00127/2024 de fecha 26 de agosto de 2024, a través del cual la </w:t>
      </w:r>
      <w:r w:rsidRPr="00321901">
        <w:rPr>
          <w:rFonts w:ascii="Palatino Linotype" w:eastAsia="Palatino Linotype" w:hAnsi="Palatino Linotype" w:cs="Palatino Linotype"/>
          <w:sz w:val="22"/>
          <w:szCs w:val="22"/>
        </w:rPr>
        <w:t>Titular de la Unida de Transparencia y Acceso a la Información Pública, solicita al Coordinador de Recursos Humanos la información correspondiente.</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sz w:val="22"/>
          <w:szCs w:val="22"/>
        </w:rPr>
      </w:pPr>
      <w:r w:rsidRPr="00321901">
        <w:rPr>
          <w:rFonts w:ascii="Palatino Linotype" w:eastAsia="Palatino Linotype" w:hAnsi="Palatino Linotype" w:cs="Palatino Linotype"/>
          <w:sz w:val="22"/>
          <w:szCs w:val="22"/>
        </w:rPr>
        <w:t xml:space="preserve">- Oficio RH/TLAL/377/2024 de fecha 11 de septiembre de 2024, firmado por el Coordinador de recursos humanos, a través del cual envía sobre los </w:t>
      </w:r>
      <w:r w:rsidRPr="00321901">
        <w:rPr>
          <w:rFonts w:ascii="Palatino Linotype" w:eastAsia="Palatino Linotype" w:hAnsi="Palatino Linotype" w:cs="Palatino Linotype"/>
          <w:b/>
          <w:sz w:val="22"/>
          <w:szCs w:val="22"/>
        </w:rPr>
        <w:t>puntos 1, 2, 4 y 8, en versión pública</w:t>
      </w:r>
      <w:r w:rsidRPr="00321901">
        <w:rPr>
          <w:rFonts w:ascii="Palatino Linotype" w:eastAsia="Palatino Linotype" w:hAnsi="Palatino Linotype" w:cs="Palatino Linotype"/>
          <w:sz w:val="22"/>
          <w:szCs w:val="22"/>
        </w:rPr>
        <w:t xml:space="preserve"> de acuerdo al Acta de la 199 sesión extraordinaria del Comité de transparencia.</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sz w:val="22"/>
          <w:szCs w:val="22"/>
        </w:rPr>
      </w:pPr>
      <w:r w:rsidRPr="00321901">
        <w:rPr>
          <w:rFonts w:ascii="Palatino Linotype" w:eastAsia="Palatino Linotype" w:hAnsi="Palatino Linotype" w:cs="Palatino Linotype"/>
          <w:sz w:val="22"/>
          <w:szCs w:val="22"/>
        </w:rPr>
        <w:t xml:space="preserve">Respecto del </w:t>
      </w:r>
      <w:r w:rsidRPr="00321901">
        <w:rPr>
          <w:rFonts w:ascii="Palatino Linotype" w:eastAsia="Palatino Linotype" w:hAnsi="Palatino Linotype" w:cs="Palatino Linotype"/>
          <w:b/>
          <w:sz w:val="22"/>
          <w:szCs w:val="22"/>
        </w:rPr>
        <w:t>punto 3</w:t>
      </w:r>
      <w:r w:rsidRPr="00321901">
        <w:rPr>
          <w:rFonts w:ascii="Palatino Linotype" w:eastAsia="Palatino Linotype" w:hAnsi="Palatino Linotype" w:cs="Palatino Linotype"/>
          <w:sz w:val="22"/>
          <w:szCs w:val="22"/>
        </w:rPr>
        <w:t>: no ha recibido ningún nombramiento en 2022-2024.</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sz w:val="22"/>
          <w:szCs w:val="22"/>
        </w:rPr>
      </w:pPr>
      <w:r w:rsidRPr="00321901">
        <w:rPr>
          <w:rFonts w:ascii="Palatino Linotype" w:eastAsia="Palatino Linotype" w:hAnsi="Palatino Linotype" w:cs="Palatino Linotype"/>
          <w:sz w:val="22"/>
          <w:szCs w:val="22"/>
        </w:rPr>
        <w:t xml:space="preserve">Respecto del </w:t>
      </w:r>
      <w:r w:rsidRPr="00321901">
        <w:rPr>
          <w:rFonts w:ascii="Palatino Linotype" w:eastAsia="Palatino Linotype" w:hAnsi="Palatino Linotype" w:cs="Palatino Linotype"/>
          <w:b/>
          <w:sz w:val="22"/>
          <w:szCs w:val="22"/>
        </w:rPr>
        <w:t>punto 5:</w:t>
      </w:r>
      <w:r w:rsidRPr="00321901">
        <w:rPr>
          <w:rFonts w:ascii="Palatino Linotype" w:eastAsia="Palatino Linotype" w:hAnsi="Palatino Linotype" w:cs="Palatino Linotype"/>
          <w:sz w:val="22"/>
          <w:szCs w:val="22"/>
        </w:rPr>
        <w:t xml:space="preserve"> las áreas a las que ha pertenecido se ven reflejadas en la esquina superior derecha de los recibos de nómina enviados.</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sz w:val="22"/>
          <w:szCs w:val="22"/>
        </w:rPr>
      </w:pPr>
      <w:r w:rsidRPr="00321901">
        <w:rPr>
          <w:rFonts w:ascii="Palatino Linotype" w:eastAsia="Palatino Linotype" w:hAnsi="Palatino Linotype" w:cs="Palatino Linotype"/>
          <w:sz w:val="22"/>
          <w:szCs w:val="22"/>
        </w:rPr>
        <w:t xml:space="preserve">Respecto del </w:t>
      </w:r>
      <w:r w:rsidRPr="00321901">
        <w:rPr>
          <w:rFonts w:ascii="Palatino Linotype" w:eastAsia="Palatino Linotype" w:hAnsi="Palatino Linotype" w:cs="Palatino Linotype"/>
          <w:b/>
          <w:sz w:val="22"/>
          <w:szCs w:val="22"/>
        </w:rPr>
        <w:t>punto 6</w:t>
      </w:r>
      <w:r w:rsidRPr="00321901">
        <w:rPr>
          <w:rFonts w:ascii="Palatino Linotype" w:eastAsia="Palatino Linotype" w:hAnsi="Palatino Linotype" w:cs="Palatino Linotype"/>
          <w:sz w:val="22"/>
          <w:szCs w:val="22"/>
        </w:rPr>
        <w:t>. Esa coordinación no genera ningún informe detallado sobre funciones ejercidas.</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sz w:val="22"/>
          <w:szCs w:val="22"/>
        </w:rPr>
      </w:pPr>
      <w:r w:rsidRPr="00321901">
        <w:rPr>
          <w:rFonts w:ascii="Palatino Linotype" w:eastAsia="Palatino Linotype" w:hAnsi="Palatino Linotype" w:cs="Palatino Linotype"/>
          <w:sz w:val="22"/>
          <w:szCs w:val="22"/>
        </w:rPr>
        <w:t xml:space="preserve">Respecto del </w:t>
      </w:r>
      <w:r w:rsidRPr="00321901">
        <w:rPr>
          <w:rFonts w:ascii="Palatino Linotype" w:eastAsia="Palatino Linotype" w:hAnsi="Palatino Linotype" w:cs="Palatino Linotype"/>
          <w:b/>
          <w:sz w:val="22"/>
          <w:szCs w:val="22"/>
        </w:rPr>
        <w:t>punto 7</w:t>
      </w:r>
      <w:r w:rsidRPr="00321901">
        <w:rPr>
          <w:rFonts w:ascii="Palatino Linotype" w:eastAsia="Palatino Linotype" w:hAnsi="Palatino Linotype" w:cs="Palatino Linotype"/>
          <w:sz w:val="22"/>
          <w:szCs w:val="22"/>
        </w:rPr>
        <w:t>. No se generan listas de asistencia dentro de la coordinación, ya que no es el método de registro de la misma.</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sz w:val="22"/>
          <w:szCs w:val="22"/>
        </w:rPr>
      </w:pPr>
      <w:r w:rsidRPr="00321901">
        <w:rPr>
          <w:rFonts w:ascii="Palatino Linotype" w:eastAsia="Palatino Linotype" w:hAnsi="Palatino Linotype" w:cs="Palatino Linotype"/>
          <w:sz w:val="22"/>
          <w:szCs w:val="22"/>
        </w:rPr>
        <w:t>- Acta de la 199 sesión ordinaria del comité de transparencia, de fecha 10 de septiembre de 2024, en el que se aprueba la clasificación de la información como confidencial, relativa a datos personales que contienen el currículum vitae, los recibos de nómina, comprobante de último grado de estudios y documento que acredite no estar inscrita en el registro de deudores alimentaros morosos.</w:t>
      </w:r>
    </w:p>
    <w:p w:rsidR="00633AC9" w:rsidRPr="00321901" w:rsidRDefault="00633AC9">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b/>
          <w:i/>
          <w:color w:val="000000"/>
          <w:sz w:val="22"/>
          <w:szCs w:val="22"/>
        </w:rPr>
      </w:pPr>
      <w:r w:rsidRPr="00321901">
        <w:rPr>
          <w:rFonts w:ascii="Palatino Linotype" w:eastAsia="Palatino Linotype" w:hAnsi="Palatino Linotype" w:cs="Palatino Linotype"/>
          <w:b/>
          <w:i/>
          <w:color w:val="000000"/>
          <w:sz w:val="22"/>
          <w:szCs w:val="22"/>
        </w:rPr>
        <w:t>RECIBOS DE NÓMINA CENSURADO.pdf</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Documento consistente en 62 recibos de nómina de las anualidades 2022 a 2024.</w:t>
      </w:r>
    </w:p>
    <w:p w:rsidR="00633AC9" w:rsidRPr="00321901" w:rsidRDefault="00633AC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633AC9" w:rsidRPr="00321901" w:rsidRDefault="00633AC9">
      <w:p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i/>
          <w:color w:val="000000"/>
          <w:u w:val="single"/>
        </w:rPr>
      </w:pPr>
    </w:p>
    <w:p w:rsidR="00633AC9" w:rsidRPr="00321901" w:rsidRDefault="003573FE">
      <w:pPr>
        <w:numPr>
          <w:ilvl w:val="0"/>
          <w:numId w:val="3"/>
        </w:numPr>
        <w:pBdr>
          <w:top w:val="nil"/>
          <w:left w:val="nil"/>
          <w:bottom w:val="nil"/>
          <w:right w:val="nil"/>
          <w:between w:val="nil"/>
        </w:pBdr>
        <w:tabs>
          <w:tab w:val="left" w:pos="0"/>
        </w:tabs>
        <w:spacing w:line="360" w:lineRule="auto"/>
        <w:ind w:left="0" w:firstLine="0"/>
        <w:jc w:val="both"/>
        <w:rPr>
          <w:color w:val="000000"/>
        </w:rPr>
      </w:pPr>
      <w:r w:rsidRPr="00321901">
        <w:rPr>
          <w:rFonts w:ascii="Palatino Linotype" w:eastAsia="Palatino Linotype" w:hAnsi="Palatino Linotype" w:cs="Palatino Linotype"/>
          <w:color w:val="000000"/>
        </w:rPr>
        <w:lastRenderedPageBreak/>
        <w:t>El</w:t>
      </w:r>
      <w:r w:rsidRPr="00321901">
        <w:rPr>
          <w:rFonts w:ascii="Palatino Linotype" w:eastAsia="Palatino Linotype" w:hAnsi="Palatino Linotype" w:cs="Palatino Linotype"/>
          <w:b/>
          <w:color w:val="000000"/>
        </w:rPr>
        <w:t xml:space="preserve"> veinte de agosto y dieciocho de septiembre de dos mil veinticuatro</w:t>
      </w:r>
      <w:r w:rsidRPr="00321901">
        <w:rPr>
          <w:rFonts w:ascii="Palatino Linotype" w:eastAsia="Palatino Linotype" w:hAnsi="Palatino Linotype" w:cs="Palatino Linotype"/>
          <w:color w:val="000000"/>
        </w:rPr>
        <w:t xml:space="preserve">, el particular interpuso los </w:t>
      </w:r>
      <w:r w:rsidRPr="00321901">
        <w:rPr>
          <w:rFonts w:ascii="Palatino Linotype" w:eastAsia="Palatino Linotype" w:hAnsi="Palatino Linotype" w:cs="Palatino Linotype"/>
          <w:b/>
          <w:color w:val="000000"/>
        </w:rPr>
        <w:t>recursos de revisión</w:t>
      </w:r>
      <w:r w:rsidRPr="00321901">
        <w:rPr>
          <w:rFonts w:ascii="Palatino Linotype" w:eastAsia="Palatino Linotype" w:hAnsi="Palatino Linotype" w:cs="Palatino Linotype"/>
          <w:color w:val="000000"/>
        </w:rPr>
        <w:t xml:space="preserve"> a los que se les asignaron los folios </w:t>
      </w:r>
      <w:r w:rsidRPr="00321901">
        <w:rPr>
          <w:rFonts w:ascii="Palatino Linotype" w:eastAsia="Palatino Linotype" w:hAnsi="Palatino Linotype" w:cs="Palatino Linotype"/>
          <w:b/>
          <w:color w:val="000000"/>
        </w:rPr>
        <w:t xml:space="preserve">05003/INFOEM/IP/RR/2024 y 05698/INFOEM/IP/RR/2024, </w:t>
      </w:r>
      <w:r w:rsidRPr="00321901">
        <w:rPr>
          <w:rFonts w:ascii="Palatino Linotype" w:eastAsia="Palatino Linotype" w:hAnsi="Palatino Linotype" w:cs="Palatino Linotype"/>
          <w:color w:val="000000"/>
        </w:rPr>
        <w:t>en contra de las respuestas emitidas por el sujeto obligado, realizando las siguientes manifestaciones como acto impugnado y razones o motivos de inconformidad:</w:t>
      </w:r>
    </w:p>
    <w:p w:rsidR="00633AC9" w:rsidRPr="00321901" w:rsidRDefault="00633AC9">
      <w:pPr>
        <w:pBdr>
          <w:top w:val="nil"/>
          <w:left w:val="nil"/>
          <w:bottom w:val="nil"/>
          <w:right w:val="nil"/>
          <w:between w:val="nil"/>
        </w:pBdr>
        <w:tabs>
          <w:tab w:val="left" w:pos="0"/>
        </w:tabs>
        <w:spacing w:line="360" w:lineRule="auto"/>
        <w:ind w:left="360"/>
        <w:jc w:val="both"/>
        <w:rPr>
          <w:rFonts w:ascii="Palatino Linotype" w:eastAsia="Palatino Linotype" w:hAnsi="Palatino Linotype" w:cs="Palatino Linotype"/>
          <w:i/>
          <w:color w:val="000000"/>
        </w:rPr>
      </w:pPr>
    </w:p>
    <w:tbl>
      <w:tblPr>
        <w:tblStyle w:val="a3"/>
        <w:tblW w:w="8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0"/>
        <w:gridCol w:w="1276"/>
        <w:gridCol w:w="5572"/>
      </w:tblGrid>
      <w:tr w:rsidR="00633AC9" w:rsidRPr="00321901">
        <w:tc>
          <w:tcPr>
            <w:tcW w:w="1980" w:type="dxa"/>
            <w:shd w:val="clear" w:color="auto" w:fill="D9D9D9"/>
            <w:vAlign w:val="center"/>
          </w:tcPr>
          <w:p w:rsidR="00633AC9" w:rsidRPr="00321901" w:rsidRDefault="003573FE">
            <w:pPr>
              <w:jc w:val="center"/>
              <w:rPr>
                <w:rFonts w:ascii="Palatino Linotype" w:eastAsia="Palatino Linotype" w:hAnsi="Palatino Linotype" w:cs="Palatino Linotype"/>
                <w:b/>
                <w:color w:val="000000"/>
                <w:sz w:val="20"/>
                <w:szCs w:val="20"/>
              </w:rPr>
            </w:pPr>
            <w:r w:rsidRPr="00321901">
              <w:rPr>
                <w:rFonts w:ascii="Palatino Linotype" w:eastAsia="Palatino Linotype" w:hAnsi="Palatino Linotype" w:cs="Palatino Linotype"/>
                <w:b/>
                <w:color w:val="000000"/>
                <w:sz w:val="20"/>
                <w:szCs w:val="20"/>
              </w:rPr>
              <w:t>Recurso de revisión</w:t>
            </w:r>
          </w:p>
        </w:tc>
        <w:tc>
          <w:tcPr>
            <w:tcW w:w="1276" w:type="dxa"/>
            <w:shd w:val="clear" w:color="auto" w:fill="D9D9D9"/>
            <w:vAlign w:val="center"/>
          </w:tcPr>
          <w:p w:rsidR="00633AC9" w:rsidRPr="00321901" w:rsidRDefault="003573FE">
            <w:pPr>
              <w:jc w:val="center"/>
              <w:rPr>
                <w:rFonts w:ascii="Palatino Linotype" w:eastAsia="Palatino Linotype" w:hAnsi="Palatino Linotype" w:cs="Palatino Linotype"/>
                <w:b/>
                <w:color w:val="000000"/>
                <w:sz w:val="20"/>
                <w:szCs w:val="20"/>
              </w:rPr>
            </w:pPr>
            <w:r w:rsidRPr="00321901">
              <w:rPr>
                <w:rFonts w:ascii="Palatino Linotype" w:eastAsia="Palatino Linotype" w:hAnsi="Palatino Linotype" w:cs="Palatino Linotype"/>
                <w:b/>
                <w:color w:val="000000"/>
                <w:sz w:val="20"/>
                <w:szCs w:val="20"/>
              </w:rPr>
              <w:t>Acto impugnado</w:t>
            </w:r>
          </w:p>
        </w:tc>
        <w:tc>
          <w:tcPr>
            <w:tcW w:w="5572" w:type="dxa"/>
            <w:shd w:val="clear" w:color="auto" w:fill="D9D9D9"/>
            <w:vAlign w:val="center"/>
          </w:tcPr>
          <w:p w:rsidR="00633AC9" w:rsidRPr="00321901" w:rsidRDefault="003573FE">
            <w:pPr>
              <w:jc w:val="center"/>
              <w:rPr>
                <w:rFonts w:ascii="Palatino Linotype" w:eastAsia="Palatino Linotype" w:hAnsi="Palatino Linotype" w:cs="Palatino Linotype"/>
                <w:b/>
                <w:color w:val="000000"/>
                <w:sz w:val="20"/>
                <w:szCs w:val="20"/>
              </w:rPr>
            </w:pPr>
            <w:r w:rsidRPr="00321901">
              <w:rPr>
                <w:rFonts w:ascii="Palatino Linotype" w:eastAsia="Palatino Linotype" w:hAnsi="Palatino Linotype" w:cs="Palatino Linotype"/>
                <w:b/>
                <w:color w:val="000000"/>
                <w:sz w:val="20"/>
                <w:szCs w:val="20"/>
              </w:rPr>
              <w:t>Razones o motivos de inconformidad</w:t>
            </w:r>
          </w:p>
        </w:tc>
      </w:tr>
      <w:tr w:rsidR="00633AC9" w:rsidRPr="00321901">
        <w:tc>
          <w:tcPr>
            <w:tcW w:w="1980" w:type="dxa"/>
          </w:tcPr>
          <w:p w:rsidR="00633AC9" w:rsidRPr="00321901" w:rsidRDefault="003573FE">
            <w:pPr>
              <w:jc w:val="both"/>
              <w:rPr>
                <w:rFonts w:ascii="Palatino Linotype" w:eastAsia="Palatino Linotype" w:hAnsi="Palatino Linotype" w:cs="Palatino Linotype"/>
                <w:b/>
                <w:color w:val="000000"/>
                <w:sz w:val="20"/>
                <w:szCs w:val="20"/>
              </w:rPr>
            </w:pPr>
            <w:r w:rsidRPr="00321901">
              <w:rPr>
                <w:rFonts w:ascii="Palatino Linotype" w:eastAsia="Palatino Linotype" w:hAnsi="Palatino Linotype" w:cs="Palatino Linotype"/>
                <w:b/>
                <w:color w:val="000000"/>
                <w:sz w:val="20"/>
                <w:szCs w:val="20"/>
              </w:rPr>
              <w:t>05003/INFOEM/IP/RR/2024</w:t>
            </w:r>
          </w:p>
        </w:tc>
        <w:tc>
          <w:tcPr>
            <w:tcW w:w="1276" w:type="dxa"/>
          </w:tcPr>
          <w:p w:rsidR="00633AC9" w:rsidRPr="00321901" w:rsidRDefault="003573FE">
            <w:pPr>
              <w:jc w:val="both"/>
              <w:rPr>
                <w:rFonts w:ascii="Palatino Linotype" w:eastAsia="Palatino Linotype" w:hAnsi="Palatino Linotype" w:cs="Palatino Linotype"/>
                <w:i/>
                <w:color w:val="000000"/>
                <w:sz w:val="20"/>
                <w:szCs w:val="20"/>
              </w:rPr>
            </w:pPr>
            <w:r w:rsidRPr="00321901">
              <w:rPr>
                <w:rFonts w:ascii="Palatino Linotype" w:eastAsia="Palatino Linotype" w:hAnsi="Palatino Linotype" w:cs="Palatino Linotype"/>
                <w:i/>
                <w:color w:val="000000"/>
                <w:sz w:val="20"/>
                <w:szCs w:val="20"/>
              </w:rPr>
              <w:t>“Respuesta incompleta” (Sic)</w:t>
            </w:r>
          </w:p>
        </w:tc>
        <w:tc>
          <w:tcPr>
            <w:tcW w:w="5572" w:type="dxa"/>
          </w:tcPr>
          <w:p w:rsidR="00633AC9" w:rsidRPr="00321901" w:rsidRDefault="003573FE">
            <w:pPr>
              <w:jc w:val="both"/>
              <w:rPr>
                <w:rFonts w:ascii="Palatino Linotype" w:eastAsia="Palatino Linotype" w:hAnsi="Palatino Linotype" w:cs="Palatino Linotype"/>
                <w:i/>
                <w:color w:val="000000"/>
                <w:sz w:val="20"/>
                <w:szCs w:val="20"/>
              </w:rPr>
            </w:pPr>
            <w:r w:rsidRPr="00321901">
              <w:rPr>
                <w:rFonts w:ascii="Palatino Linotype" w:eastAsia="Palatino Linotype" w:hAnsi="Palatino Linotype" w:cs="Palatino Linotype"/>
                <w:i/>
                <w:color w:val="000000"/>
                <w:sz w:val="20"/>
                <w:szCs w:val="20"/>
              </w:rPr>
              <w:t xml:space="preserve">“Con fundamento en los artículos 176, 178 y 179 Fracción V de la Ley de Transparencia y Acceso a la Información Pública del Estado de México y Municipios, la negativa por parte del Sujeto Obligado para la entrega de la información solicitada esta es incompleta El Sujeto Obligado no hace entrega de la información completa y menciona que los obsequios fueron donados. Debería informar quien o quienes </w:t>
            </w:r>
            <w:proofErr w:type="gramStart"/>
            <w:r w:rsidRPr="00321901">
              <w:rPr>
                <w:rFonts w:ascii="Palatino Linotype" w:eastAsia="Palatino Linotype" w:hAnsi="Palatino Linotype" w:cs="Palatino Linotype"/>
                <w:i/>
                <w:color w:val="000000"/>
                <w:sz w:val="20"/>
                <w:szCs w:val="20"/>
              </w:rPr>
              <w:t>fue</w:t>
            </w:r>
            <w:proofErr w:type="gramEnd"/>
            <w:r w:rsidRPr="00321901">
              <w:rPr>
                <w:rFonts w:ascii="Palatino Linotype" w:eastAsia="Palatino Linotype" w:hAnsi="Palatino Linotype" w:cs="Palatino Linotype"/>
                <w:i/>
                <w:color w:val="000000"/>
                <w:sz w:val="20"/>
                <w:szCs w:val="20"/>
              </w:rPr>
              <w:t xml:space="preserve"> los donantes y cada uno de los artículos que describieron en su página oficial de Facebook. </w:t>
            </w:r>
            <w:proofErr w:type="spellStart"/>
            <w:r w:rsidRPr="00321901">
              <w:rPr>
                <w:rFonts w:ascii="Palatino Linotype" w:eastAsia="Palatino Linotype" w:hAnsi="Palatino Linotype" w:cs="Palatino Linotype"/>
                <w:i/>
                <w:color w:val="000000"/>
                <w:sz w:val="20"/>
                <w:szCs w:val="20"/>
              </w:rPr>
              <w:t>Por que</w:t>
            </w:r>
            <w:proofErr w:type="spellEnd"/>
            <w:r w:rsidRPr="00321901">
              <w:rPr>
                <w:rFonts w:ascii="Palatino Linotype" w:eastAsia="Palatino Linotype" w:hAnsi="Palatino Linotype" w:cs="Palatino Linotype"/>
                <w:i/>
                <w:color w:val="000000"/>
                <w:sz w:val="20"/>
                <w:szCs w:val="20"/>
              </w:rPr>
              <w:t xml:space="preserve"> en mi particular punto de vista el Sujeto Obligado esta </w:t>
            </w:r>
            <w:proofErr w:type="spellStart"/>
            <w:r w:rsidRPr="00321901">
              <w:rPr>
                <w:rFonts w:ascii="Palatino Linotype" w:eastAsia="Palatino Linotype" w:hAnsi="Palatino Linotype" w:cs="Palatino Linotype"/>
                <w:i/>
                <w:color w:val="000000"/>
                <w:sz w:val="20"/>
                <w:szCs w:val="20"/>
              </w:rPr>
              <w:t>contraseñido</w:t>
            </w:r>
            <w:proofErr w:type="spellEnd"/>
            <w:r w:rsidRPr="00321901">
              <w:rPr>
                <w:rFonts w:ascii="Palatino Linotype" w:eastAsia="Palatino Linotype" w:hAnsi="Palatino Linotype" w:cs="Palatino Linotype"/>
                <w:i/>
                <w:color w:val="000000"/>
                <w:sz w:val="20"/>
                <w:szCs w:val="20"/>
              </w:rPr>
              <w:t xml:space="preserve"> a la entrega de información completa.” (Sic)</w:t>
            </w:r>
          </w:p>
        </w:tc>
      </w:tr>
      <w:tr w:rsidR="00633AC9" w:rsidRPr="00321901">
        <w:tc>
          <w:tcPr>
            <w:tcW w:w="1980" w:type="dxa"/>
          </w:tcPr>
          <w:p w:rsidR="00633AC9" w:rsidRPr="00321901" w:rsidRDefault="003573FE">
            <w:pPr>
              <w:jc w:val="both"/>
              <w:rPr>
                <w:rFonts w:ascii="Palatino Linotype" w:eastAsia="Palatino Linotype" w:hAnsi="Palatino Linotype" w:cs="Palatino Linotype"/>
                <w:b/>
                <w:color w:val="000000"/>
                <w:sz w:val="20"/>
                <w:szCs w:val="20"/>
              </w:rPr>
            </w:pPr>
            <w:r w:rsidRPr="00321901">
              <w:rPr>
                <w:rFonts w:ascii="Palatino Linotype" w:eastAsia="Palatino Linotype" w:hAnsi="Palatino Linotype" w:cs="Palatino Linotype"/>
                <w:b/>
                <w:color w:val="000000"/>
                <w:sz w:val="20"/>
                <w:szCs w:val="20"/>
              </w:rPr>
              <w:t>05698/INFOEM/IP/RR/2024</w:t>
            </w:r>
          </w:p>
        </w:tc>
        <w:tc>
          <w:tcPr>
            <w:tcW w:w="1276" w:type="dxa"/>
          </w:tcPr>
          <w:p w:rsidR="00633AC9" w:rsidRPr="00321901" w:rsidRDefault="003573FE">
            <w:pPr>
              <w:jc w:val="both"/>
              <w:rPr>
                <w:rFonts w:ascii="Palatino Linotype" w:eastAsia="Palatino Linotype" w:hAnsi="Palatino Linotype" w:cs="Palatino Linotype"/>
                <w:b/>
                <w:color w:val="000000"/>
                <w:sz w:val="20"/>
                <w:szCs w:val="20"/>
              </w:rPr>
            </w:pPr>
            <w:r w:rsidRPr="00321901">
              <w:rPr>
                <w:rFonts w:ascii="Palatino Linotype" w:eastAsia="Palatino Linotype" w:hAnsi="Palatino Linotype" w:cs="Palatino Linotype"/>
                <w:i/>
                <w:color w:val="000000"/>
                <w:sz w:val="20"/>
                <w:szCs w:val="20"/>
              </w:rPr>
              <w:t>“Respuesta incompleta” (Sic)</w:t>
            </w:r>
          </w:p>
        </w:tc>
        <w:tc>
          <w:tcPr>
            <w:tcW w:w="5572" w:type="dxa"/>
          </w:tcPr>
          <w:p w:rsidR="00633AC9" w:rsidRPr="00321901" w:rsidRDefault="003573FE">
            <w:pPr>
              <w:jc w:val="both"/>
              <w:rPr>
                <w:rFonts w:ascii="Palatino Linotype" w:eastAsia="Palatino Linotype" w:hAnsi="Palatino Linotype" w:cs="Palatino Linotype"/>
                <w:i/>
                <w:color w:val="000000"/>
                <w:sz w:val="20"/>
                <w:szCs w:val="20"/>
              </w:rPr>
            </w:pPr>
            <w:r w:rsidRPr="00321901">
              <w:rPr>
                <w:rFonts w:ascii="Palatino Linotype" w:eastAsia="Palatino Linotype" w:hAnsi="Palatino Linotype" w:cs="Palatino Linotype"/>
                <w:i/>
                <w:color w:val="000000"/>
                <w:sz w:val="20"/>
                <w:szCs w:val="20"/>
              </w:rPr>
              <w:t xml:space="preserve">“Con fundamento en los artículos 162, 176, 178 y 179 Fracción I y V de la Ley de Transparencia y Acceso a la Información Pública del Estado de México y Municipios, la negativa por parte del Sujeto Obligado para la entrega de la información esta es incompleta falta de respuesta a mi solicitud e información. </w:t>
            </w:r>
            <w:proofErr w:type="gramStart"/>
            <w:r w:rsidRPr="00321901">
              <w:rPr>
                <w:rFonts w:ascii="Palatino Linotype" w:eastAsia="Palatino Linotype" w:hAnsi="Palatino Linotype" w:cs="Palatino Linotype"/>
                <w:i/>
                <w:color w:val="000000"/>
                <w:sz w:val="20"/>
                <w:szCs w:val="20"/>
              </w:rPr>
              <w:t>de</w:t>
            </w:r>
            <w:proofErr w:type="gramEnd"/>
            <w:r w:rsidRPr="00321901">
              <w:rPr>
                <w:rFonts w:ascii="Palatino Linotype" w:eastAsia="Palatino Linotype" w:hAnsi="Palatino Linotype" w:cs="Palatino Linotype"/>
                <w:i/>
                <w:color w:val="000000"/>
                <w:sz w:val="20"/>
                <w:szCs w:val="20"/>
              </w:rPr>
              <w:t xml:space="preserve"> los siguientes puntos. 7.- Listas de asistencia con horario de entrada y salida del mes de enero del 2022 al 30 de junio del 2024. El Sujeto Obligado cuenta con una Coordinación de Recursos Humanos y de acuerdo a sus manuales de Organización y de Procedimientos de la Tesorería Municipal cuenta con facultades y atribuciones para a la entrega de la información de las Listas de asistencia con horario de entrada y salida del mes de enero del 2022 al 30 de junio del 2024. MANUAL DE ORGANIZACIÓN DE LA TESORERÍA MUNICIPAL https://hosting-wolf.net/Tlalmanalco/Documentos/Manuales%202019-2021/119%20MANUAL%20DE%20ORGANIZACI%C3%93N%20DE%20LA%20TESORER%C3%8DA%20MUNICIPAL.pdf Artículo 49. La Coordinación de Recursos Humanos, es el área encargada de planear, organizar, dirigir y controlar los recursos humanos necesarios para el desempeño eficiente de las funciones y atribuciones de la administración pública municipal, teniendo como </w:t>
            </w:r>
            <w:r w:rsidRPr="00321901">
              <w:rPr>
                <w:rFonts w:ascii="Palatino Linotype" w:eastAsia="Palatino Linotype" w:hAnsi="Palatino Linotype" w:cs="Palatino Linotype"/>
                <w:i/>
                <w:color w:val="000000"/>
                <w:sz w:val="20"/>
                <w:szCs w:val="20"/>
              </w:rPr>
              <w:lastRenderedPageBreak/>
              <w:t>atribuciones las siguientes: V. Controlar, los movimientos administrativos del personal que labora en la administración pública municipal, como alta, baja, control de asistencia de entrada, salida, licencias, permisos, incapacidades, reportes, periodos vacaciones, días económicos, pensiones alimenticias y cambio de adscripción, incluyendo en su caso a los miembros del cuerpo de seguridad pública municipal; MANUAL DE PROCEDIMIENTOS DE LA TESORERÍA MUNICIPAL https://hosting-wolf.net/Tlalmanalco/Documentos/Manuales%202019-2021/120%20MANUAL%20DE%20PROCEDIMIENTOS%20DE%20LA%20TESORER%C3%8DA%20MUNICIPAL.pdf 11.10 Desarrollo 1 Coordinación de Recursos Humanos Generar el reporte de incidencias (faltas, retardos, incapacidades, pensiones, créditos a corto y mediano plazo, pensiones alimenticias. 2 Coordinación de Recursos Humanos Procesar en el sistema de nómina las incidencias de los trabajadores que hayan tenido.” (Sic)</w:t>
            </w:r>
          </w:p>
        </w:tc>
      </w:tr>
    </w:tbl>
    <w:p w:rsidR="00633AC9" w:rsidRPr="00321901" w:rsidRDefault="00633AC9">
      <w:pPr>
        <w:jc w:val="both"/>
        <w:rPr>
          <w:rFonts w:ascii="Palatino Linotype" w:eastAsia="Palatino Linotype" w:hAnsi="Palatino Linotype" w:cs="Palatino Linotype"/>
          <w:b/>
          <w:color w:val="000000"/>
        </w:rPr>
      </w:pPr>
    </w:p>
    <w:p w:rsidR="00633AC9" w:rsidRPr="00321901" w:rsidRDefault="00633AC9">
      <w:pPr>
        <w:jc w:val="both"/>
        <w:rPr>
          <w:rFonts w:ascii="Palatino Linotype" w:eastAsia="Palatino Linotype" w:hAnsi="Palatino Linotype" w:cs="Palatino Linotype"/>
          <w:b/>
          <w:color w:val="000000"/>
        </w:rPr>
      </w:pPr>
    </w:p>
    <w:p w:rsidR="00633AC9" w:rsidRPr="00321901" w:rsidRDefault="003573FE">
      <w:pPr>
        <w:numPr>
          <w:ilvl w:val="0"/>
          <w:numId w:val="3"/>
        </w:numPr>
        <w:pBdr>
          <w:top w:val="nil"/>
          <w:left w:val="nil"/>
          <w:bottom w:val="nil"/>
          <w:right w:val="nil"/>
          <w:between w:val="nil"/>
        </w:pBdr>
        <w:tabs>
          <w:tab w:val="left" w:pos="0"/>
        </w:tabs>
        <w:spacing w:line="360" w:lineRule="auto"/>
        <w:ind w:left="0" w:firstLine="0"/>
        <w:jc w:val="both"/>
        <w:rPr>
          <w:color w:val="000000"/>
        </w:rPr>
      </w:pPr>
      <w:r w:rsidRPr="00321901">
        <w:rPr>
          <w:rFonts w:ascii="Palatino Linotype" w:eastAsia="Palatino Linotype" w:hAnsi="Palatino Linotype" w:cs="Palatino Linotype"/>
          <w:color w:val="000000"/>
        </w:rPr>
        <w:t xml:space="preserve">La Comisionada Ponente de origen con fundamento en lo dispuesto por el artículo 185, fracción II, de la ley de la materia, a través de los </w:t>
      </w:r>
      <w:r w:rsidRPr="00321901">
        <w:rPr>
          <w:rFonts w:ascii="Palatino Linotype" w:eastAsia="Palatino Linotype" w:hAnsi="Palatino Linotype" w:cs="Palatino Linotype"/>
          <w:b/>
          <w:color w:val="000000"/>
        </w:rPr>
        <w:t xml:space="preserve">acuerdos de admisión </w:t>
      </w:r>
      <w:r w:rsidRPr="00321901">
        <w:rPr>
          <w:rFonts w:ascii="Palatino Linotype" w:eastAsia="Palatino Linotype" w:hAnsi="Palatino Linotype" w:cs="Palatino Linotype"/>
          <w:color w:val="000000"/>
        </w:rPr>
        <w:t xml:space="preserve">de fechas </w:t>
      </w:r>
      <w:r w:rsidRPr="00321901">
        <w:rPr>
          <w:rFonts w:ascii="Palatino Linotype" w:eastAsia="Palatino Linotype" w:hAnsi="Palatino Linotype" w:cs="Palatino Linotype"/>
          <w:b/>
          <w:color w:val="000000"/>
        </w:rPr>
        <w:t>veintiséis de agosto y veintisiete de septiembre de dos mil veinticuatro</w:t>
      </w:r>
      <w:r w:rsidRPr="00321901">
        <w:rPr>
          <w:rFonts w:ascii="Palatino Linotype" w:eastAsia="Palatino Linotype" w:hAnsi="Palatino Linotype" w:cs="Palatino Linotype"/>
          <w:color w:val="000000"/>
        </w:rPr>
        <w:t xml:space="preserve"> para los recursos citados al rubro</w:t>
      </w:r>
      <w:r w:rsidRPr="00321901">
        <w:rPr>
          <w:rFonts w:ascii="Palatino Linotype" w:eastAsia="Palatino Linotype" w:hAnsi="Palatino Linotype" w:cs="Palatino Linotype"/>
          <w:b/>
          <w:color w:val="000000"/>
        </w:rPr>
        <w:t xml:space="preserve">, </w:t>
      </w:r>
      <w:r w:rsidRPr="00321901">
        <w:rPr>
          <w:rFonts w:ascii="Palatino Linotype" w:eastAsia="Palatino Linotype" w:hAnsi="Palatino Linotype" w:cs="Palatino Linotype"/>
          <w:color w:val="000000"/>
        </w:rPr>
        <w:t xml:space="preserve">pusieron a disposición de las partes el expediente electrónico vía SAIMEX a efecto de que en un plazo máximo de siete días </w:t>
      </w:r>
      <w:r w:rsidRPr="00321901">
        <w:rPr>
          <w:rFonts w:ascii="Palatino Linotype" w:eastAsia="Palatino Linotype" w:hAnsi="Palatino Linotype" w:cs="Palatino Linotype"/>
        </w:rPr>
        <w:t>manifestara</w:t>
      </w:r>
      <w:r w:rsidRPr="00321901">
        <w:rPr>
          <w:rFonts w:ascii="Palatino Linotype" w:eastAsia="Palatino Linotype" w:hAnsi="Palatino Linotype" w:cs="Palatino Linotype"/>
          <w:color w:val="000000"/>
        </w:rPr>
        <w:t xml:space="preserve"> lo que a su derecho conviniera, </w:t>
      </w:r>
      <w:r w:rsidRPr="00321901">
        <w:rPr>
          <w:rFonts w:ascii="Palatino Linotype" w:eastAsia="Palatino Linotype" w:hAnsi="Palatino Linotype" w:cs="Palatino Linotype"/>
        </w:rPr>
        <w:t>ofreciera</w:t>
      </w:r>
      <w:r w:rsidRPr="00321901">
        <w:rPr>
          <w:rFonts w:ascii="Palatino Linotype" w:eastAsia="Palatino Linotype" w:hAnsi="Palatino Linotype" w:cs="Palatino Linotype"/>
          <w:color w:val="000000"/>
        </w:rPr>
        <w:t xml:space="preserve"> pruebas y alegatos según corresponda al caso concreto, de esta forma para que el </w:t>
      </w:r>
      <w:r w:rsidRPr="00321901">
        <w:rPr>
          <w:rFonts w:ascii="Palatino Linotype" w:eastAsia="Palatino Linotype" w:hAnsi="Palatino Linotype" w:cs="Palatino Linotype"/>
          <w:b/>
          <w:color w:val="000000"/>
        </w:rPr>
        <w:t xml:space="preserve">SUJETO OBLIGADO </w:t>
      </w:r>
      <w:r w:rsidRPr="00321901">
        <w:rPr>
          <w:rFonts w:ascii="Palatino Linotype" w:eastAsia="Palatino Linotype" w:hAnsi="Palatino Linotype" w:cs="Palatino Linotype"/>
        </w:rPr>
        <w:t>presentará</w:t>
      </w:r>
      <w:r w:rsidRPr="00321901">
        <w:rPr>
          <w:rFonts w:ascii="Palatino Linotype" w:eastAsia="Palatino Linotype" w:hAnsi="Palatino Linotype" w:cs="Palatino Linotype"/>
          <w:color w:val="000000"/>
        </w:rPr>
        <w:t xml:space="preserve"> el Informe Justificado procedente.</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Posteriormente, la Comisionada Ponente a través de acuerdo de fecha</w:t>
      </w:r>
      <w:r w:rsidRPr="00321901">
        <w:rPr>
          <w:rFonts w:ascii="Palatino Linotype" w:eastAsia="Palatino Linotype" w:hAnsi="Palatino Linotype" w:cs="Palatino Linotype"/>
          <w:b/>
          <w:color w:val="000000"/>
        </w:rPr>
        <w:t xml:space="preserve"> seis de diciembre de dos mil veinticuatro</w:t>
      </w:r>
      <w:r w:rsidRPr="00321901">
        <w:rPr>
          <w:rFonts w:ascii="Palatino Linotype" w:eastAsia="Palatino Linotype" w:hAnsi="Palatino Linotype" w:cs="Palatino Linotype"/>
          <w:color w:val="000000"/>
        </w:rPr>
        <w:t xml:space="preserve">, </w:t>
      </w:r>
      <w:r w:rsidRPr="00321901">
        <w:rPr>
          <w:rFonts w:ascii="Palatino Linotype" w:eastAsia="Palatino Linotype" w:hAnsi="Palatino Linotype" w:cs="Palatino Linotype"/>
        </w:rPr>
        <w:t xml:space="preserve">con fundamento en el artículo 14, fracciones I, II, V y XVI del Reglamento Interior del Instituto de Transparencia, Acceso a la Información Pública y Protección de Datos Personales del Estado de México y </w:t>
      </w:r>
      <w:r w:rsidRPr="00321901">
        <w:rPr>
          <w:rFonts w:ascii="Palatino Linotype" w:eastAsia="Palatino Linotype" w:hAnsi="Palatino Linotype" w:cs="Palatino Linotype"/>
        </w:rPr>
        <w:lastRenderedPageBreak/>
        <w:t xml:space="preserve">Municipios, previo análisis de las características de los medios de impugnación identificados con los números </w:t>
      </w:r>
      <w:r w:rsidRPr="00321901">
        <w:rPr>
          <w:rFonts w:ascii="Palatino Linotype" w:eastAsia="Palatino Linotype" w:hAnsi="Palatino Linotype" w:cs="Palatino Linotype"/>
          <w:b/>
          <w:color w:val="000000"/>
        </w:rPr>
        <w:t>05003/INFOEM/IP/RR/2024 y 05698/INFOEM/IP/RR/2024</w:t>
      </w:r>
      <w:r w:rsidRPr="00321901">
        <w:rPr>
          <w:rFonts w:ascii="Palatino Linotype" w:eastAsia="Palatino Linotype" w:hAnsi="Palatino Linotype" w:cs="Palatino Linotype"/>
          <w:b/>
          <w:color w:val="0D0D0D"/>
        </w:rPr>
        <w:t>,</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 xml:space="preserve">y toda vez que se advirtió conexidad entre estos, al haber sido promovidos por la misma persona, en los que se señaló como dependencia o entidad recurrida al </w:t>
      </w:r>
      <w:r w:rsidRPr="00321901">
        <w:rPr>
          <w:rFonts w:ascii="Palatino Linotype" w:eastAsia="Palatino Linotype" w:hAnsi="Palatino Linotype" w:cs="Palatino Linotype"/>
          <w:b/>
        </w:rPr>
        <w:t xml:space="preserve">Ayuntamiento de </w:t>
      </w:r>
      <w:proofErr w:type="spellStart"/>
      <w:r w:rsidRPr="00321901">
        <w:rPr>
          <w:rFonts w:ascii="Palatino Linotype" w:eastAsia="Palatino Linotype" w:hAnsi="Palatino Linotype" w:cs="Palatino Linotype"/>
          <w:b/>
        </w:rPr>
        <w:t>Tlalmanalco</w:t>
      </w:r>
      <w:proofErr w:type="spellEnd"/>
      <w:r w:rsidRPr="00321901">
        <w:rPr>
          <w:rFonts w:ascii="Palatino Linotype" w:eastAsia="Palatino Linotype" w:hAnsi="Palatino Linotype" w:cs="Palatino Linotype"/>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se </w:t>
      </w:r>
      <w:r w:rsidRPr="00321901">
        <w:rPr>
          <w:rFonts w:ascii="Palatino Linotype" w:eastAsia="Palatino Linotype" w:hAnsi="Palatino Linotype" w:cs="Palatino Linotype"/>
          <w:b/>
        </w:rPr>
        <w:t>decretó</w:t>
      </w:r>
      <w:r w:rsidRPr="00321901">
        <w:rPr>
          <w:rFonts w:ascii="Palatino Linotype" w:eastAsia="Palatino Linotype" w:hAnsi="Palatino Linotype" w:cs="Palatino Linotype"/>
        </w:rPr>
        <w:t xml:space="preserve"> la acumulación del Recurso de Revisión </w:t>
      </w:r>
      <w:r w:rsidRPr="00321901">
        <w:rPr>
          <w:rFonts w:ascii="Palatino Linotype" w:eastAsia="Palatino Linotype" w:hAnsi="Palatino Linotype" w:cs="Palatino Linotype"/>
          <w:b/>
        </w:rPr>
        <w:t>0</w:t>
      </w:r>
      <w:r w:rsidRPr="00321901">
        <w:rPr>
          <w:rFonts w:ascii="Palatino Linotype" w:eastAsia="Palatino Linotype" w:hAnsi="Palatino Linotype" w:cs="Palatino Linotype"/>
          <w:b/>
          <w:color w:val="000000"/>
        </w:rPr>
        <w:t xml:space="preserve">5698/INFOEM/IP/RR/2024 </w:t>
      </w:r>
      <w:r w:rsidRPr="00321901">
        <w:rPr>
          <w:rFonts w:ascii="Palatino Linotype" w:eastAsia="Palatino Linotype" w:hAnsi="Palatino Linotype" w:cs="Palatino Linotype"/>
        </w:rPr>
        <w:t xml:space="preserve">al diverso </w:t>
      </w:r>
      <w:r w:rsidRPr="00321901">
        <w:rPr>
          <w:rFonts w:ascii="Palatino Linotype" w:eastAsia="Palatino Linotype" w:hAnsi="Palatino Linotype" w:cs="Palatino Linotype"/>
          <w:b/>
          <w:color w:val="000000"/>
        </w:rPr>
        <w:t>05003/INFOEM/IP/RR/2024</w:t>
      </w:r>
      <w:r w:rsidRPr="00321901">
        <w:rPr>
          <w:rFonts w:ascii="Palatino Linotype" w:eastAsia="Palatino Linotype" w:hAnsi="Palatino Linotype" w:cs="Palatino Linotype"/>
        </w:rPr>
        <w:t>, por ser este último el más antiguo, sustanciado bajo el índice de esta Ponencia.</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633AC9" w:rsidRPr="00321901" w:rsidRDefault="003573FE">
      <w:pPr>
        <w:numPr>
          <w:ilvl w:val="0"/>
          <w:numId w:val="3"/>
        </w:numPr>
        <w:pBdr>
          <w:top w:val="nil"/>
          <w:left w:val="nil"/>
          <w:bottom w:val="nil"/>
          <w:right w:val="nil"/>
          <w:between w:val="nil"/>
        </w:pBdr>
        <w:spacing w:line="360" w:lineRule="auto"/>
        <w:ind w:left="0" w:firstLine="0"/>
        <w:jc w:val="both"/>
        <w:rPr>
          <w:color w:val="000000"/>
        </w:rPr>
      </w:pPr>
      <w:r w:rsidRPr="00321901">
        <w:rPr>
          <w:rFonts w:ascii="Palatino Linotype" w:eastAsia="Palatino Linotype" w:hAnsi="Palatino Linotype" w:cs="Palatino Linotype"/>
          <w:color w:val="000000"/>
        </w:rPr>
        <w:t>El Recurrente</w:t>
      </w:r>
      <w:r w:rsidRPr="00321901">
        <w:rPr>
          <w:rFonts w:ascii="Palatino Linotype" w:eastAsia="Palatino Linotype" w:hAnsi="Palatino Linotype" w:cs="Palatino Linotype"/>
          <w:b/>
          <w:color w:val="000000"/>
        </w:rPr>
        <w:t xml:space="preserve"> </w:t>
      </w:r>
      <w:r w:rsidRPr="00321901">
        <w:rPr>
          <w:rFonts w:ascii="Palatino Linotype" w:eastAsia="Palatino Linotype" w:hAnsi="Palatino Linotype" w:cs="Palatino Linotype"/>
          <w:color w:val="000000"/>
        </w:rPr>
        <w:t xml:space="preserve">dejó de realizar manifestaciones que a su derecho conviniera y asistiera. Por su parte, el Sujeto Obligado, en fechas </w:t>
      </w:r>
      <w:r w:rsidRPr="00321901">
        <w:rPr>
          <w:rFonts w:ascii="Palatino Linotype" w:eastAsia="Palatino Linotype" w:hAnsi="Palatino Linotype" w:cs="Palatino Linotype"/>
          <w:b/>
          <w:color w:val="000000"/>
        </w:rPr>
        <w:t xml:space="preserve">dos de septiembre y tres de octubre de dos mil veinticuatro </w:t>
      </w:r>
      <w:r w:rsidRPr="00321901">
        <w:rPr>
          <w:rFonts w:ascii="Palatino Linotype" w:eastAsia="Palatino Linotype" w:hAnsi="Palatino Linotype" w:cs="Palatino Linotype"/>
          <w:color w:val="000000"/>
        </w:rPr>
        <w:t>rindió informes justificados a través de los siguientes archivos electrónicos, mismos que se describen toralmente a continuación:</w:t>
      </w:r>
    </w:p>
    <w:p w:rsidR="00633AC9" w:rsidRPr="00321901" w:rsidRDefault="00633AC9">
      <w:pPr>
        <w:pBdr>
          <w:top w:val="nil"/>
          <w:left w:val="nil"/>
          <w:bottom w:val="nil"/>
          <w:right w:val="nil"/>
          <w:between w:val="nil"/>
        </w:pBdr>
        <w:spacing w:line="360" w:lineRule="auto"/>
        <w:jc w:val="both"/>
        <w:rPr>
          <w:color w:val="000000"/>
        </w:rPr>
      </w:pPr>
    </w:p>
    <w:p w:rsidR="00633AC9" w:rsidRPr="00321901" w:rsidRDefault="003573FE">
      <w:pPr>
        <w:pBdr>
          <w:top w:val="nil"/>
          <w:left w:val="nil"/>
          <w:bottom w:val="nil"/>
          <w:right w:val="nil"/>
          <w:between w:val="nil"/>
        </w:pBdr>
        <w:jc w:val="both"/>
        <w:rPr>
          <w:rFonts w:ascii="Palatino Linotype" w:eastAsia="Palatino Linotype" w:hAnsi="Palatino Linotype" w:cs="Palatino Linotype"/>
          <w:b/>
          <w:color w:val="000000"/>
          <w:sz w:val="22"/>
          <w:szCs w:val="22"/>
        </w:rPr>
      </w:pPr>
      <w:r w:rsidRPr="00321901">
        <w:rPr>
          <w:rFonts w:ascii="Palatino Linotype" w:eastAsia="Palatino Linotype" w:hAnsi="Palatino Linotype" w:cs="Palatino Linotype"/>
          <w:b/>
          <w:color w:val="000000"/>
          <w:sz w:val="22"/>
          <w:szCs w:val="22"/>
        </w:rPr>
        <w:t>Recurso de Revisión</w:t>
      </w:r>
      <w:r w:rsidRPr="00321901">
        <w:rPr>
          <w:color w:val="000000"/>
          <w:sz w:val="22"/>
          <w:szCs w:val="22"/>
        </w:rPr>
        <w:t xml:space="preserve"> </w:t>
      </w:r>
      <w:r w:rsidRPr="00321901">
        <w:rPr>
          <w:rFonts w:ascii="Palatino Linotype" w:eastAsia="Palatino Linotype" w:hAnsi="Palatino Linotype" w:cs="Palatino Linotype"/>
          <w:b/>
          <w:color w:val="000000"/>
          <w:sz w:val="22"/>
          <w:szCs w:val="22"/>
        </w:rPr>
        <w:t>05003/INFOEM/IP/RR/2024</w:t>
      </w:r>
    </w:p>
    <w:p w:rsidR="00633AC9" w:rsidRPr="00321901" w:rsidRDefault="003573FE">
      <w:pPr>
        <w:pBdr>
          <w:top w:val="nil"/>
          <w:left w:val="nil"/>
          <w:bottom w:val="nil"/>
          <w:right w:val="nil"/>
          <w:between w:val="nil"/>
        </w:pBdr>
        <w:ind w:left="709"/>
        <w:jc w:val="both"/>
        <w:rPr>
          <w:rFonts w:ascii="Palatino Linotype" w:eastAsia="Palatino Linotype" w:hAnsi="Palatino Linotype" w:cs="Palatino Linotype"/>
          <w:b/>
          <w:i/>
          <w:color w:val="000000"/>
          <w:sz w:val="22"/>
          <w:szCs w:val="22"/>
        </w:rPr>
      </w:pPr>
      <w:r w:rsidRPr="00321901">
        <w:rPr>
          <w:rFonts w:ascii="Palatino Linotype" w:eastAsia="Palatino Linotype" w:hAnsi="Palatino Linotype" w:cs="Palatino Linotype"/>
          <w:b/>
          <w:i/>
          <w:color w:val="000000"/>
          <w:sz w:val="22"/>
          <w:szCs w:val="22"/>
        </w:rPr>
        <w:t>RESPUESTA AL RR 05003.pdf</w:t>
      </w:r>
    </w:p>
    <w:p w:rsidR="00633AC9" w:rsidRPr="00321901" w:rsidRDefault="003573FE">
      <w:pPr>
        <w:pBdr>
          <w:top w:val="nil"/>
          <w:left w:val="nil"/>
          <w:bottom w:val="nil"/>
          <w:right w:val="nil"/>
          <w:between w:val="nil"/>
        </w:pBdr>
        <w:ind w:left="709"/>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 Oficio TLAL/UT/08/118/2024 de fecha 20 de agosto de 2024, a través del cual la Titular de la Unidad de Transparencia y Acceso a la Información Pública, le solicita al Tesorero Municipal la información correspondiente para rendir informe justificado.</w:t>
      </w:r>
    </w:p>
    <w:p w:rsidR="00633AC9" w:rsidRPr="00321901" w:rsidRDefault="00633AC9">
      <w:pPr>
        <w:pBdr>
          <w:top w:val="nil"/>
          <w:left w:val="nil"/>
          <w:bottom w:val="nil"/>
          <w:right w:val="nil"/>
          <w:between w:val="nil"/>
        </w:pBdr>
        <w:ind w:left="709"/>
        <w:jc w:val="both"/>
        <w:rPr>
          <w:rFonts w:ascii="Palatino Linotype" w:eastAsia="Palatino Linotype" w:hAnsi="Palatino Linotype" w:cs="Palatino Linotype"/>
          <w:color w:val="000000"/>
          <w:sz w:val="22"/>
          <w:szCs w:val="22"/>
        </w:rPr>
      </w:pPr>
    </w:p>
    <w:p w:rsidR="00633AC9" w:rsidRPr="00321901" w:rsidRDefault="003573FE">
      <w:pPr>
        <w:pBdr>
          <w:top w:val="nil"/>
          <w:left w:val="nil"/>
          <w:bottom w:val="nil"/>
          <w:right w:val="nil"/>
          <w:between w:val="nil"/>
        </w:pBdr>
        <w:ind w:left="709"/>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lastRenderedPageBreak/>
        <w:t>- Oficio TLAL/TES/619/08/2024 de fecha 28 de agosto de 2024, a través del cual ratifica su respuesta inicial, mencionando los artículos no señalados en la póliza fueron donados por particulares quienes solicitaron mantener sus datos anónimos, por lo que no se cuenta con los costos de los mismos, al no haber formado parte del recurso público de egreso generado en la Tesorería Municipal.</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633AC9" w:rsidRPr="00321901" w:rsidRDefault="003573FE">
      <w:pPr>
        <w:pBdr>
          <w:top w:val="nil"/>
          <w:left w:val="nil"/>
          <w:bottom w:val="nil"/>
          <w:right w:val="nil"/>
          <w:between w:val="nil"/>
        </w:pBdr>
        <w:jc w:val="both"/>
        <w:rPr>
          <w:rFonts w:ascii="Palatino Linotype" w:eastAsia="Palatino Linotype" w:hAnsi="Palatino Linotype" w:cs="Palatino Linotype"/>
          <w:b/>
          <w:color w:val="000000"/>
          <w:sz w:val="22"/>
          <w:szCs w:val="22"/>
        </w:rPr>
      </w:pPr>
      <w:r w:rsidRPr="00321901">
        <w:rPr>
          <w:rFonts w:ascii="Palatino Linotype" w:eastAsia="Palatino Linotype" w:hAnsi="Palatino Linotype" w:cs="Palatino Linotype"/>
          <w:b/>
          <w:color w:val="000000"/>
          <w:sz w:val="22"/>
          <w:szCs w:val="22"/>
        </w:rPr>
        <w:t xml:space="preserve">Recurso de Revisión </w:t>
      </w:r>
      <w:r w:rsidRPr="00321901">
        <w:rPr>
          <w:rFonts w:ascii="Palatino Linotype" w:eastAsia="Palatino Linotype" w:hAnsi="Palatino Linotype" w:cs="Palatino Linotype"/>
          <w:b/>
          <w:sz w:val="22"/>
          <w:szCs w:val="22"/>
        </w:rPr>
        <w:t>0</w:t>
      </w:r>
      <w:r w:rsidRPr="00321901">
        <w:rPr>
          <w:rFonts w:ascii="Palatino Linotype" w:eastAsia="Palatino Linotype" w:hAnsi="Palatino Linotype" w:cs="Palatino Linotype"/>
          <w:b/>
          <w:color w:val="000000"/>
          <w:sz w:val="22"/>
          <w:szCs w:val="22"/>
        </w:rPr>
        <w:t>5698/INFOEM/IP/RR/2024</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b/>
          <w:i/>
          <w:color w:val="000000"/>
          <w:sz w:val="22"/>
          <w:szCs w:val="22"/>
        </w:rPr>
      </w:pPr>
      <w:r w:rsidRPr="00321901">
        <w:rPr>
          <w:rFonts w:ascii="Palatino Linotype" w:eastAsia="Palatino Linotype" w:hAnsi="Palatino Linotype" w:cs="Palatino Linotype"/>
          <w:b/>
          <w:i/>
          <w:color w:val="000000"/>
          <w:sz w:val="22"/>
          <w:szCs w:val="22"/>
        </w:rPr>
        <w:t>122 OFICIO.pdf</w:t>
      </w: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 Oficio TLAL/UT/09/189/2024 de fecha 23 de septiembre de 2024, a través del cual la Titular de la Unidad de Transparencia y Acceso a la Información Pública, solicita al Coordinador de Recursos Humanos, proporcionar la información correspondiente para rendir informe justificado.</w:t>
      </w:r>
    </w:p>
    <w:p w:rsidR="00633AC9" w:rsidRPr="00321901" w:rsidRDefault="00633AC9">
      <w:pPr>
        <w:pBdr>
          <w:top w:val="nil"/>
          <w:left w:val="nil"/>
          <w:bottom w:val="nil"/>
          <w:right w:val="nil"/>
          <w:between w:val="nil"/>
        </w:pBdr>
        <w:ind w:left="851"/>
        <w:jc w:val="both"/>
        <w:rPr>
          <w:rFonts w:ascii="Palatino Linotype" w:eastAsia="Palatino Linotype" w:hAnsi="Palatino Linotype" w:cs="Palatino Linotype"/>
          <w:color w:val="000000"/>
          <w:sz w:val="22"/>
          <w:szCs w:val="22"/>
        </w:rPr>
      </w:pPr>
    </w:p>
    <w:p w:rsidR="00633AC9" w:rsidRPr="00321901" w:rsidRDefault="003573FE">
      <w:pPr>
        <w:pBdr>
          <w:top w:val="nil"/>
          <w:left w:val="nil"/>
          <w:bottom w:val="nil"/>
          <w:right w:val="nil"/>
          <w:between w:val="nil"/>
        </w:pBdr>
        <w:ind w:left="851"/>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 Oficio RH/TLAL/403/2024 de fecha 03 de octubre de 2024, a través del cual el Coordinador de Recursos Humanos ratifica su respuesta inicial, reiterando que no se generan listas de asistencia debido a que no es el método que se utiliza dentro de esa Coordinación para llevar el registro de la misma.</w:t>
      </w:r>
    </w:p>
    <w:p w:rsidR="00633AC9" w:rsidRPr="00321901" w:rsidRDefault="00633AC9">
      <w:pPr>
        <w:pBdr>
          <w:top w:val="nil"/>
          <w:left w:val="nil"/>
          <w:bottom w:val="nil"/>
          <w:right w:val="nil"/>
          <w:between w:val="nil"/>
        </w:pBdr>
        <w:spacing w:line="360" w:lineRule="auto"/>
        <w:jc w:val="both"/>
        <w:rPr>
          <w:color w:val="000000"/>
        </w:rPr>
      </w:pPr>
    </w:p>
    <w:p w:rsidR="00633AC9" w:rsidRPr="00321901" w:rsidRDefault="00633AC9">
      <w:pPr>
        <w:pBdr>
          <w:top w:val="nil"/>
          <w:left w:val="nil"/>
          <w:bottom w:val="nil"/>
          <w:right w:val="nil"/>
          <w:between w:val="nil"/>
        </w:pBdr>
        <w:ind w:right="474"/>
        <w:rPr>
          <w:rFonts w:ascii="Palatino Linotype" w:eastAsia="Palatino Linotype" w:hAnsi="Palatino Linotype" w:cs="Palatino Linotype"/>
          <w:b/>
          <w:color w:val="000000"/>
          <w:sz w:val="22"/>
          <w:szCs w:val="22"/>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1" w:name="_heading=h.3znysh7" w:colFirst="0" w:colLast="0"/>
      <w:bookmarkEnd w:id="1"/>
      <w:r w:rsidRPr="00321901">
        <w:rPr>
          <w:rFonts w:ascii="Palatino Linotype" w:eastAsia="Palatino Linotype" w:hAnsi="Palatino Linotype" w:cs="Palatino Linotype"/>
        </w:rPr>
        <w:t xml:space="preserve">En fecha </w:t>
      </w:r>
      <w:r w:rsidRPr="00321901">
        <w:rPr>
          <w:rFonts w:ascii="Palatino Linotype" w:eastAsia="Palatino Linotype" w:hAnsi="Palatino Linotype" w:cs="Palatino Linotype"/>
          <w:b/>
        </w:rPr>
        <w:t>seis de diciembre de dos mil veinticuatro</w:t>
      </w:r>
      <w:r w:rsidRPr="00321901">
        <w:rPr>
          <w:rFonts w:ascii="Palatino Linotype" w:eastAsia="Palatino Linotype" w:hAnsi="Palatino Linotype" w:cs="Palatino Linotype"/>
        </w:rPr>
        <w:t>, se amplió el término para resolver; al respecto es menester realizar las siguientes precisiones.</w:t>
      </w:r>
    </w:p>
    <w:p w:rsidR="00633AC9" w:rsidRPr="00321901" w:rsidRDefault="00633AC9">
      <w:pPr>
        <w:spacing w:line="360" w:lineRule="auto"/>
        <w:rPr>
          <w:rFonts w:ascii="Palatino Linotype" w:eastAsia="Palatino Linotype" w:hAnsi="Palatino Linotype" w:cs="Palatino Linotype"/>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321901">
        <w:rPr>
          <w:rFonts w:ascii="Palatino Linotype" w:eastAsia="Palatino Linotype" w:hAnsi="Palatino Linotype" w:cs="Palatino Linotype"/>
        </w:rPr>
        <w:t>Este Organismo Garante no pasa por alto explicar que la dilación en la resolución del presente asunto encuentra justificación en el alto número de recursos de revisión recibidos, incrementado el número de medios de impugnación que deben resolverse por este Instituto, circunstancia atípica que ha rebasado las capacidades técnicas y humanas del personal encargado de la proyección de las resoluciones a dichos medios de impugnación.</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w:t>
      </w:r>
      <w:r w:rsidRPr="00321901">
        <w:rPr>
          <w:rFonts w:ascii="Palatino Linotype" w:eastAsia="Palatino Linotype" w:hAnsi="Palatino Linotype" w:cs="Palatino Linotype"/>
        </w:rPr>
        <w:lastRenderedPageBreak/>
        <w:t>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633AC9" w:rsidRPr="00321901" w:rsidRDefault="00633AC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633AC9" w:rsidRPr="00321901" w:rsidRDefault="00633AC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633AC9" w:rsidRPr="00321901" w:rsidRDefault="00633AC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rsidR="00633AC9" w:rsidRPr="00321901" w:rsidRDefault="003573FE">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Actividad Procesal del interesado. Acciones u omisiones del interesado.</w:t>
      </w:r>
    </w:p>
    <w:p w:rsidR="00633AC9" w:rsidRPr="00321901" w:rsidRDefault="003573FE">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lastRenderedPageBreak/>
        <w:t>Conducta de la Autoridad: Las Acciones u omisiones realizadas en el procedimiento. Así como si la autoridad actuó con la debida diligencia.</w:t>
      </w:r>
    </w:p>
    <w:p w:rsidR="00633AC9" w:rsidRPr="00321901" w:rsidRDefault="003573FE">
      <w:pPr>
        <w:spacing w:line="360" w:lineRule="auto"/>
        <w:ind w:left="851" w:hanging="284"/>
        <w:jc w:val="both"/>
        <w:rPr>
          <w:rFonts w:ascii="Palatino Linotype" w:eastAsia="Palatino Linotype" w:hAnsi="Palatino Linotype" w:cs="Palatino Linotype"/>
        </w:rPr>
      </w:pPr>
      <w:r w:rsidRPr="00321901">
        <w:rPr>
          <w:rFonts w:ascii="Palatino Linotype" w:eastAsia="Palatino Linotype" w:hAnsi="Palatino Linotype" w:cs="Palatino Linotype"/>
        </w:rPr>
        <w:t>d) La afectación generada en la situación jurídica de la persona involucrada en el proceso: Violación a sus derechos humanos.</w:t>
      </w:r>
    </w:p>
    <w:p w:rsidR="00633AC9" w:rsidRPr="00321901" w:rsidRDefault="00633AC9">
      <w:pPr>
        <w:spacing w:line="360" w:lineRule="auto"/>
        <w:ind w:left="851" w:hanging="284"/>
        <w:jc w:val="both"/>
        <w:rPr>
          <w:rFonts w:ascii="Palatino Linotype" w:eastAsia="Palatino Linotype" w:hAnsi="Palatino Linotype" w:cs="Palatino Linotype"/>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321901">
        <w:rPr>
          <w:rFonts w:ascii="Palatino Linotype" w:eastAsia="Palatino Linotype" w:hAnsi="Palatino Linotype" w:cs="Palatino Linotype"/>
        </w:rPr>
        <w:t>Argumento que encuentra sustento en la jurisprudencia P</w:t>
      </w:r>
      <w:proofErr w:type="gramStart"/>
      <w:r w:rsidRPr="00321901">
        <w:rPr>
          <w:rFonts w:ascii="Palatino Linotype" w:eastAsia="Palatino Linotype" w:hAnsi="Palatino Linotype" w:cs="Palatino Linotype"/>
        </w:rPr>
        <w:t>./</w:t>
      </w:r>
      <w:proofErr w:type="gramEnd"/>
      <w:r w:rsidRPr="00321901">
        <w:rPr>
          <w:rFonts w:ascii="Palatino Linotype" w:eastAsia="Palatino Linotype" w:hAnsi="Palatino Linotype" w:cs="Palatino Linotype"/>
        </w:rPr>
        <w:t xml:space="preserve">J. 32/92 emitida por el Pleno de la Suprema Corte de Justicia de la Nación de rubro </w:t>
      </w:r>
      <w:r w:rsidRPr="00321901">
        <w:rPr>
          <w:rFonts w:ascii="Palatino Linotype" w:eastAsia="Palatino Linotype" w:hAnsi="Palatino Linotype" w:cs="Palatino Linotype"/>
          <w:i/>
        </w:rPr>
        <w:t xml:space="preserve">“TÉRMINOS PROCESALES. PARA DETERMINAR SI UN FUNCIONARIO JUDICIAL ACTUÓ </w:t>
      </w:r>
      <w:r w:rsidRPr="00321901">
        <w:rPr>
          <w:rFonts w:ascii="Palatino Linotype" w:eastAsia="Palatino Linotype" w:hAnsi="Palatino Linotype" w:cs="Palatino Linotype"/>
        </w:rPr>
        <w:t>INDEBIDAMENTE</w:t>
      </w:r>
      <w:r w:rsidRPr="00321901">
        <w:rPr>
          <w:rFonts w:ascii="Palatino Linotype" w:eastAsia="Palatino Linotype" w:hAnsi="Palatino Linotype" w:cs="Palatino Linotype"/>
          <w:i/>
        </w:rPr>
        <w:t xml:space="preserve"> POR NO RESPETARLOS SE DEBE ATENDER AL PRESUPUESTO QUE CONSIDERÓ EL LEGISLADOR AL FIJARLOS Y LAS CARACTERÍSTICAS DEL CASO.”</w:t>
      </w:r>
      <w:r w:rsidRPr="00321901">
        <w:rPr>
          <w:rFonts w:ascii="Palatino Linotype" w:eastAsia="Palatino Linotype" w:hAnsi="Palatino Linotype" w:cs="Palatino Linotype"/>
        </w:rPr>
        <w:t>, visible en la Gaceta del Seminario Judicial de la Federación con el registro digital 205635.</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sidRPr="00321901">
        <w:rPr>
          <w:rFonts w:ascii="Palatino Linotype" w:eastAsia="Palatino Linotype" w:hAnsi="Palatino Linotype" w:cs="Palatino Linotype"/>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ind w:left="425" w:right="476"/>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 </w:t>
      </w:r>
      <w:r w:rsidRPr="00321901">
        <w:rPr>
          <w:rFonts w:ascii="Palatino Linotype" w:eastAsia="Palatino Linotype" w:hAnsi="Palatino Linotype" w:cs="Palatino Linotype"/>
          <w:i/>
        </w:rPr>
        <w:t>“PLAZO RAZONABLE PARA RESOLVER. DIMENSIÓN Y EFECTOS DE ESTE CONCEPTO CUANDO SE ADUCE EXCESIVA CARGA DE TRABAJO.”</w:t>
      </w:r>
      <w:r w:rsidRPr="00321901">
        <w:rPr>
          <w:rFonts w:ascii="Palatino Linotype" w:eastAsia="Palatino Linotype" w:hAnsi="Palatino Linotype" w:cs="Palatino Linotype"/>
        </w:rPr>
        <w:t xml:space="preserve"> consultable en el Seminario Judicial de la Federación y su gaceta, con el registro digital 2002351.</w:t>
      </w:r>
    </w:p>
    <w:p w:rsidR="00633AC9" w:rsidRPr="00321901" w:rsidRDefault="00633AC9">
      <w:pPr>
        <w:ind w:left="425" w:right="476"/>
        <w:jc w:val="both"/>
        <w:rPr>
          <w:rFonts w:ascii="Palatino Linotype" w:eastAsia="Palatino Linotype" w:hAnsi="Palatino Linotype" w:cs="Palatino Linotype"/>
          <w:b/>
        </w:rPr>
      </w:pPr>
    </w:p>
    <w:p w:rsidR="00633AC9" w:rsidRPr="00321901" w:rsidRDefault="003573FE">
      <w:pPr>
        <w:ind w:left="425" w:right="476"/>
        <w:jc w:val="both"/>
        <w:rPr>
          <w:rFonts w:ascii="Palatino Linotype" w:eastAsia="Palatino Linotype" w:hAnsi="Palatino Linotype" w:cs="Palatino Linotype"/>
        </w:rPr>
      </w:pPr>
      <w:r w:rsidRPr="00321901">
        <w:rPr>
          <w:rFonts w:ascii="Palatino Linotype" w:eastAsia="Palatino Linotype" w:hAnsi="Palatino Linotype" w:cs="Palatino Linotype"/>
          <w:i/>
        </w:rPr>
        <w:t>“PLAZO RAZONABLE PARA RESOLVER. CONCEPTO Y ELEMENTOS QUE LO INTEGRAN A LA LUZ DEL DERECHO INTERNACIONAL DE LOS DERECHOS HUMANOS.”</w:t>
      </w:r>
      <w:r w:rsidRPr="00321901">
        <w:rPr>
          <w:rFonts w:ascii="Palatino Linotype" w:eastAsia="Palatino Linotype" w:hAnsi="Palatino Linotype" w:cs="Palatino Linotype"/>
        </w:rPr>
        <w:t>, visible en el Seminario Judicial de la Federación y su gaceta, con el registro digital 2002350.”</w:t>
      </w:r>
    </w:p>
    <w:p w:rsidR="00633AC9" w:rsidRPr="00321901" w:rsidRDefault="00633AC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633AC9" w:rsidRPr="00321901" w:rsidRDefault="003573F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21901">
        <w:rPr>
          <w:rFonts w:ascii="Palatino Linotype" w:eastAsia="Palatino Linotype" w:hAnsi="Palatino Linotype" w:cs="Palatino Linotype"/>
          <w:color w:val="000000"/>
        </w:rPr>
        <w:lastRenderedPageBreak/>
        <w:t xml:space="preserve">Seguidamente, en fecha </w:t>
      </w:r>
      <w:r w:rsidRPr="00321901">
        <w:rPr>
          <w:rFonts w:ascii="Palatino Linotype" w:eastAsia="Palatino Linotype" w:hAnsi="Palatino Linotype" w:cs="Palatino Linotype"/>
          <w:b/>
          <w:color w:val="000000"/>
        </w:rPr>
        <w:t>trece de diciembre dos mil veinticuatro</w:t>
      </w:r>
      <w:r w:rsidRPr="00321901">
        <w:rPr>
          <w:rFonts w:ascii="Palatino Linotype" w:eastAsia="Palatino Linotype" w:hAnsi="Palatino Linotype" w:cs="Palatino Linotype"/>
          <w:color w:val="000000"/>
        </w:rPr>
        <w:t xml:space="preserve">, la Comisionada Ponente dictó el </w:t>
      </w:r>
      <w:r w:rsidRPr="00321901">
        <w:rPr>
          <w:rFonts w:ascii="Palatino Linotype" w:eastAsia="Palatino Linotype" w:hAnsi="Palatino Linotype" w:cs="Palatino Linotype"/>
          <w:b/>
          <w:color w:val="000000"/>
        </w:rPr>
        <w:t>cierre del periodo de instrucción</w:t>
      </w:r>
      <w:r w:rsidRPr="00321901">
        <w:rPr>
          <w:rFonts w:ascii="Palatino Linotype" w:eastAsia="Palatino Linotype" w:hAnsi="Palatino Linotype" w:cs="Palatino Linotype"/>
          <w:color w:val="000000"/>
        </w:rPr>
        <w:t xml:space="preserve"> y, ordenó la resolución que conforme a Derecho proceda, de acuerdo a las siguientes:</w:t>
      </w:r>
    </w:p>
    <w:p w:rsidR="00633AC9" w:rsidRPr="00321901" w:rsidRDefault="00633AC9">
      <w:pPr>
        <w:pBdr>
          <w:top w:val="nil"/>
          <w:left w:val="nil"/>
          <w:bottom w:val="nil"/>
          <w:right w:val="nil"/>
          <w:between w:val="nil"/>
        </w:pBdr>
        <w:ind w:left="720"/>
        <w:rPr>
          <w:rFonts w:ascii="Palatino Linotype" w:eastAsia="Palatino Linotype" w:hAnsi="Palatino Linotype" w:cs="Palatino Linotype"/>
          <w:b/>
          <w:color w:val="000000"/>
        </w:rPr>
      </w:pPr>
    </w:p>
    <w:p w:rsidR="00633AC9" w:rsidRPr="00321901" w:rsidRDefault="003573FE">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321901">
        <w:rPr>
          <w:rFonts w:ascii="Palatino Linotype" w:eastAsia="Palatino Linotype" w:hAnsi="Palatino Linotype" w:cs="Palatino Linotype"/>
          <w:b/>
          <w:color w:val="000000"/>
        </w:rPr>
        <w:t>C O N S I D E R A C I O N E S</w:t>
      </w:r>
    </w:p>
    <w:p w:rsidR="00633AC9" w:rsidRPr="00321901" w:rsidRDefault="00633AC9">
      <w:pPr>
        <w:pBdr>
          <w:top w:val="nil"/>
          <w:left w:val="nil"/>
          <w:bottom w:val="nil"/>
          <w:right w:val="nil"/>
          <w:between w:val="nil"/>
        </w:pBdr>
        <w:jc w:val="center"/>
        <w:rPr>
          <w:rFonts w:ascii="Palatino Linotype" w:eastAsia="Palatino Linotype" w:hAnsi="Palatino Linotype" w:cs="Palatino Linotype"/>
          <w:b/>
          <w:color w:val="000000"/>
        </w:rPr>
      </w:pPr>
    </w:p>
    <w:p w:rsidR="00633AC9" w:rsidRPr="00321901" w:rsidRDefault="003573FE">
      <w:pPr>
        <w:pStyle w:val="Ttulo2"/>
        <w:spacing w:before="0" w:line="360" w:lineRule="auto"/>
        <w:rPr>
          <w:rFonts w:ascii="Palatino Linotype" w:eastAsia="Palatino Linotype" w:hAnsi="Palatino Linotype" w:cs="Palatino Linotype"/>
          <w:b/>
          <w:color w:val="000000"/>
          <w:sz w:val="24"/>
          <w:szCs w:val="24"/>
        </w:rPr>
      </w:pPr>
      <w:bookmarkStart w:id="2" w:name="_heading=h.2et92p0" w:colFirst="0" w:colLast="0"/>
      <w:bookmarkEnd w:id="2"/>
      <w:r w:rsidRPr="00321901">
        <w:rPr>
          <w:rFonts w:ascii="Palatino Linotype" w:eastAsia="Palatino Linotype" w:hAnsi="Palatino Linotype" w:cs="Palatino Linotype"/>
          <w:b/>
          <w:color w:val="000000"/>
          <w:sz w:val="24"/>
          <w:szCs w:val="24"/>
        </w:rPr>
        <w:t>PRIMERA. Competencia</w:t>
      </w:r>
    </w:p>
    <w:p w:rsidR="00633AC9" w:rsidRPr="00321901" w:rsidRDefault="003573FE">
      <w:pPr>
        <w:numPr>
          <w:ilvl w:val="0"/>
          <w:numId w:val="3"/>
        </w:numPr>
        <w:pBdr>
          <w:top w:val="nil"/>
          <w:left w:val="nil"/>
          <w:bottom w:val="nil"/>
          <w:right w:val="nil"/>
          <w:between w:val="nil"/>
        </w:pBdr>
        <w:spacing w:line="360" w:lineRule="auto"/>
        <w:ind w:left="0" w:firstLine="0"/>
        <w:jc w:val="both"/>
        <w:rPr>
          <w:color w:val="000000"/>
        </w:rPr>
      </w:pPr>
      <w:r w:rsidRPr="00321901">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633AC9" w:rsidRPr="00321901" w:rsidRDefault="003573FE">
      <w:pPr>
        <w:pStyle w:val="Ttulo2"/>
        <w:spacing w:before="0" w:line="360" w:lineRule="auto"/>
        <w:rPr>
          <w:rFonts w:ascii="Palatino Linotype" w:eastAsia="Palatino Linotype" w:hAnsi="Palatino Linotype" w:cs="Palatino Linotype"/>
          <w:b/>
          <w:color w:val="000000"/>
          <w:sz w:val="24"/>
          <w:szCs w:val="24"/>
        </w:rPr>
      </w:pPr>
      <w:bookmarkStart w:id="3" w:name="_heading=h.tyjcwt" w:colFirst="0" w:colLast="0"/>
      <w:bookmarkEnd w:id="3"/>
      <w:r w:rsidRPr="00321901">
        <w:rPr>
          <w:rFonts w:ascii="Palatino Linotype" w:eastAsia="Palatino Linotype" w:hAnsi="Palatino Linotype" w:cs="Palatino Linotype"/>
          <w:b/>
          <w:color w:val="000000"/>
          <w:sz w:val="24"/>
          <w:szCs w:val="24"/>
        </w:rPr>
        <w:t>SEGUNDA. Procedencia.</w:t>
      </w:r>
    </w:p>
    <w:p w:rsidR="00633AC9" w:rsidRPr="00321901" w:rsidRDefault="003573FE">
      <w:pPr>
        <w:numPr>
          <w:ilvl w:val="0"/>
          <w:numId w:val="3"/>
        </w:numPr>
        <w:spacing w:line="360" w:lineRule="auto"/>
        <w:ind w:left="0" w:firstLine="0"/>
        <w:jc w:val="both"/>
      </w:pPr>
      <w:r w:rsidRPr="00321901">
        <w:rPr>
          <w:rFonts w:ascii="Palatino Linotype" w:eastAsia="Palatino Linotype" w:hAnsi="Palatino Linotype" w:cs="Palatino Linotype"/>
        </w:rPr>
        <w:t xml:space="preserve">Este Órgano Garante considera que el medio de impugnación reúne los requisitos de procedencia </w:t>
      </w:r>
      <w:r w:rsidRPr="00321901">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w:t>
      </w:r>
      <w:r w:rsidRPr="00321901">
        <w:rPr>
          <w:rFonts w:ascii="Palatino Linotype" w:eastAsia="Palatino Linotype" w:hAnsi="Palatino Linotype" w:cs="Palatino Linotype"/>
          <w:color w:val="000000"/>
        </w:rPr>
        <w:lastRenderedPageBreak/>
        <w:t>Pública del Estado de México y Municipios; asimismo no se tiene conocimiento de que se encuentre en trámite algún medio de defensa presentado por el Recurrente ante otra instancia.</w:t>
      </w:r>
    </w:p>
    <w:p w:rsidR="00633AC9" w:rsidRPr="00321901" w:rsidRDefault="00633AC9">
      <w:pPr>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firstLine="0"/>
        <w:jc w:val="both"/>
      </w:pPr>
      <w:r w:rsidRPr="00321901">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633AC9" w:rsidRPr="00321901" w:rsidRDefault="00633AC9">
      <w:pPr>
        <w:pBdr>
          <w:top w:val="nil"/>
          <w:left w:val="nil"/>
          <w:bottom w:val="nil"/>
          <w:right w:val="nil"/>
          <w:between w:val="nil"/>
        </w:pBdr>
        <w:jc w:val="both"/>
        <w:rPr>
          <w:rFonts w:ascii="Palatino Linotype" w:eastAsia="Palatino Linotype" w:hAnsi="Palatino Linotype" w:cs="Palatino Linotype"/>
          <w:color w:val="000000"/>
        </w:rPr>
      </w:pPr>
    </w:p>
    <w:p w:rsidR="00633AC9" w:rsidRPr="00321901" w:rsidRDefault="003573FE">
      <w:pPr>
        <w:pStyle w:val="Ttulo1"/>
        <w:spacing w:before="0" w:line="360" w:lineRule="auto"/>
        <w:rPr>
          <w:rFonts w:ascii="Palatino Linotype" w:eastAsia="Palatino Linotype" w:hAnsi="Palatino Linotype" w:cs="Palatino Linotype"/>
          <w:b/>
          <w:color w:val="000000"/>
          <w:sz w:val="24"/>
          <w:szCs w:val="24"/>
        </w:rPr>
      </w:pPr>
      <w:bookmarkStart w:id="4" w:name="_heading=h.3dy6vkm" w:colFirst="0" w:colLast="0"/>
      <w:bookmarkEnd w:id="4"/>
      <w:r w:rsidRPr="00321901">
        <w:rPr>
          <w:rFonts w:ascii="Palatino Linotype" w:eastAsia="Palatino Linotype" w:hAnsi="Palatino Linotype" w:cs="Palatino Linotype"/>
          <w:b/>
          <w:color w:val="000000"/>
          <w:sz w:val="24"/>
          <w:szCs w:val="24"/>
        </w:rPr>
        <w:t>TERCERA. Descripción de hechos y planteamiento de la controversia.</w:t>
      </w:r>
    </w:p>
    <w:p w:rsidR="00633AC9" w:rsidRPr="00321901" w:rsidRDefault="003573FE">
      <w:pPr>
        <w:numPr>
          <w:ilvl w:val="0"/>
          <w:numId w:val="3"/>
        </w:numPr>
        <w:pBdr>
          <w:top w:val="nil"/>
          <w:left w:val="nil"/>
          <w:bottom w:val="nil"/>
          <w:right w:val="nil"/>
          <w:between w:val="nil"/>
        </w:pBdr>
        <w:spacing w:line="360" w:lineRule="auto"/>
        <w:ind w:left="0" w:firstLine="0"/>
        <w:jc w:val="both"/>
        <w:rPr>
          <w:color w:val="000000"/>
        </w:rPr>
      </w:pPr>
      <w:r w:rsidRPr="00321901">
        <w:rPr>
          <w:rFonts w:ascii="Palatino Linotype" w:eastAsia="Palatino Linotype" w:hAnsi="Palatino Linotype" w:cs="Palatino Linotype"/>
          <w:color w:val="000000"/>
        </w:rPr>
        <w:t>Se solicitó tener acceso, a la información que a continuación se simplifica:</w:t>
      </w:r>
    </w:p>
    <w:p w:rsidR="00633AC9" w:rsidRPr="00321901" w:rsidRDefault="003573FE">
      <w:pPr>
        <w:numPr>
          <w:ilvl w:val="0"/>
          <w:numId w:val="6"/>
        </w:numPr>
        <w:pBdr>
          <w:top w:val="nil"/>
          <w:left w:val="nil"/>
          <w:bottom w:val="nil"/>
          <w:right w:val="nil"/>
          <w:between w:val="nil"/>
        </w:pBdr>
        <w:ind w:left="1985" w:right="758" w:hanging="566"/>
        <w:rPr>
          <w:rFonts w:ascii="Palatino Linotype" w:eastAsia="Palatino Linotype" w:hAnsi="Palatino Linotype" w:cs="Palatino Linotype"/>
          <w:b/>
          <w:color w:val="000000"/>
          <w:sz w:val="20"/>
          <w:szCs w:val="20"/>
        </w:rPr>
      </w:pPr>
      <w:r w:rsidRPr="00321901">
        <w:rPr>
          <w:rFonts w:ascii="Palatino Linotype" w:eastAsia="Palatino Linotype" w:hAnsi="Palatino Linotype" w:cs="Palatino Linotype"/>
          <w:b/>
          <w:color w:val="000000"/>
          <w:sz w:val="20"/>
          <w:szCs w:val="20"/>
        </w:rPr>
        <w:t>De los premios y/o regalos que fueron entregados a las y los ciudadanos ganadores del Sorteo Predial 2024:</w:t>
      </w:r>
    </w:p>
    <w:p w:rsidR="00633AC9" w:rsidRPr="00321901" w:rsidRDefault="003573FE">
      <w:pPr>
        <w:pBdr>
          <w:top w:val="nil"/>
          <w:left w:val="nil"/>
          <w:bottom w:val="nil"/>
          <w:right w:val="nil"/>
          <w:between w:val="nil"/>
        </w:pBdr>
        <w:ind w:left="1985" w:right="758"/>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 xml:space="preserve">1. Convenios celebrados, </w:t>
      </w:r>
    </w:p>
    <w:p w:rsidR="00633AC9" w:rsidRPr="00321901" w:rsidRDefault="003573FE">
      <w:pPr>
        <w:pBdr>
          <w:top w:val="nil"/>
          <w:left w:val="nil"/>
          <w:bottom w:val="nil"/>
          <w:right w:val="nil"/>
          <w:between w:val="nil"/>
        </w:pBdr>
        <w:ind w:left="1985" w:right="758"/>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 xml:space="preserve">2. Facturas, </w:t>
      </w:r>
    </w:p>
    <w:p w:rsidR="00633AC9" w:rsidRPr="00321901" w:rsidRDefault="003573FE">
      <w:pPr>
        <w:pBdr>
          <w:top w:val="nil"/>
          <w:left w:val="nil"/>
          <w:bottom w:val="nil"/>
          <w:right w:val="nil"/>
          <w:between w:val="nil"/>
        </w:pBdr>
        <w:ind w:left="1985" w:right="758"/>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 xml:space="preserve">3. Contratos celebrados, </w:t>
      </w:r>
    </w:p>
    <w:p w:rsidR="00633AC9" w:rsidRPr="00321901" w:rsidRDefault="003573FE">
      <w:pPr>
        <w:pBdr>
          <w:top w:val="nil"/>
          <w:left w:val="nil"/>
          <w:bottom w:val="nil"/>
          <w:right w:val="nil"/>
          <w:between w:val="nil"/>
        </w:pBdr>
        <w:ind w:left="1985" w:right="758"/>
        <w:jc w:val="both"/>
        <w:rPr>
          <w:rFonts w:eastAsia="Calibri"/>
          <w:color w:val="000000"/>
          <w:sz w:val="20"/>
          <w:szCs w:val="20"/>
        </w:rPr>
      </w:pPr>
      <w:r w:rsidRPr="00321901">
        <w:rPr>
          <w:rFonts w:ascii="Palatino Linotype" w:eastAsia="Palatino Linotype" w:hAnsi="Palatino Linotype" w:cs="Palatino Linotype"/>
          <w:color w:val="000000"/>
          <w:sz w:val="20"/>
          <w:szCs w:val="20"/>
        </w:rPr>
        <w:t xml:space="preserve">4. Pólizas de cheques. </w:t>
      </w:r>
    </w:p>
    <w:p w:rsidR="00633AC9" w:rsidRPr="00321901" w:rsidRDefault="00633AC9">
      <w:pPr>
        <w:pBdr>
          <w:top w:val="nil"/>
          <w:left w:val="nil"/>
          <w:bottom w:val="nil"/>
          <w:right w:val="nil"/>
          <w:between w:val="nil"/>
        </w:pBdr>
        <w:ind w:left="1276" w:right="758" w:firstLine="141"/>
        <w:jc w:val="both"/>
        <w:rPr>
          <w:rFonts w:ascii="Palatino Linotype" w:eastAsia="Palatino Linotype" w:hAnsi="Palatino Linotype" w:cs="Palatino Linotype"/>
          <w:color w:val="000000"/>
          <w:sz w:val="20"/>
          <w:szCs w:val="20"/>
        </w:rPr>
      </w:pPr>
    </w:p>
    <w:p w:rsidR="00633AC9" w:rsidRPr="00321901" w:rsidRDefault="003573FE">
      <w:pPr>
        <w:numPr>
          <w:ilvl w:val="0"/>
          <w:numId w:val="6"/>
        </w:numPr>
        <w:pBdr>
          <w:top w:val="nil"/>
          <w:left w:val="nil"/>
          <w:bottom w:val="nil"/>
          <w:right w:val="nil"/>
          <w:between w:val="nil"/>
        </w:pBdr>
        <w:ind w:left="1843" w:right="758" w:hanging="425"/>
        <w:rPr>
          <w:rFonts w:ascii="Palatino Linotype" w:eastAsia="Palatino Linotype" w:hAnsi="Palatino Linotype" w:cs="Palatino Linotype"/>
          <w:b/>
          <w:color w:val="000000"/>
          <w:sz w:val="20"/>
          <w:szCs w:val="20"/>
        </w:rPr>
      </w:pPr>
      <w:r w:rsidRPr="00321901">
        <w:rPr>
          <w:rFonts w:ascii="Palatino Linotype" w:eastAsia="Palatino Linotype" w:hAnsi="Palatino Linotype" w:cs="Palatino Linotype"/>
          <w:b/>
          <w:color w:val="000000"/>
          <w:sz w:val="20"/>
          <w:szCs w:val="20"/>
        </w:rPr>
        <w:t>De la servidora Servidor Público C. NANCI SORIANO CUEVAS:</w:t>
      </w:r>
    </w:p>
    <w:p w:rsidR="00633AC9" w:rsidRPr="00321901" w:rsidRDefault="003573FE">
      <w:pPr>
        <w:numPr>
          <w:ilvl w:val="0"/>
          <w:numId w:val="7"/>
        </w:numPr>
        <w:pBdr>
          <w:top w:val="nil"/>
          <w:left w:val="nil"/>
          <w:bottom w:val="nil"/>
          <w:right w:val="nil"/>
          <w:between w:val="nil"/>
        </w:pBdr>
        <w:ind w:left="1843" w:right="758" w:firstLine="0"/>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Curricular Vitae</w:t>
      </w:r>
    </w:p>
    <w:p w:rsidR="00633AC9" w:rsidRPr="00321901" w:rsidRDefault="003573FE">
      <w:pPr>
        <w:numPr>
          <w:ilvl w:val="0"/>
          <w:numId w:val="7"/>
        </w:numPr>
        <w:pBdr>
          <w:top w:val="nil"/>
          <w:left w:val="nil"/>
          <w:bottom w:val="nil"/>
          <w:right w:val="nil"/>
          <w:between w:val="nil"/>
        </w:pBdr>
        <w:ind w:left="1843" w:right="758" w:firstLine="0"/>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Comprobante de ultimo grado es estudios</w:t>
      </w:r>
    </w:p>
    <w:p w:rsidR="00633AC9" w:rsidRPr="00321901" w:rsidRDefault="003573FE">
      <w:pPr>
        <w:ind w:left="1843" w:right="758"/>
        <w:rPr>
          <w:rFonts w:ascii="Palatino Linotype" w:eastAsia="Palatino Linotype" w:hAnsi="Palatino Linotype" w:cs="Palatino Linotype"/>
          <w:sz w:val="20"/>
          <w:szCs w:val="20"/>
          <w:u w:val="single"/>
        </w:rPr>
      </w:pPr>
      <w:r w:rsidRPr="00321901">
        <w:rPr>
          <w:rFonts w:ascii="Palatino Linotype" w:eastAsia="Palatino Linotype" w:hAnsi="Palatino Linotype" w:cs="Palatino Linotype"/>
          <w:sz w:val="20"/>
          <w:szCs w:val="20"/>
          <w:u w:val="single"/>
        </w:rPr>
        <w:t>De la actual Administración 2022-2024. Del 01 de enero 2022 al 30 de junio de 2024</w:t>
      </w:r>
    </w:p>
    <w:p w:rsidR="00633AC9" w:rsidRPr="00321901" w:rsidRDefault="003573FE">
      <w:pPr>
        <w:numPr>
          <w:ilvl w:val="0"/>
          <w:numId w:val="7"/>
        </w:numPr>
        <w:pBdr>
          <w:top w:val="nil"/>
          <w:left w:val="nil"/>
          <w:bottom w:val="nil"/>
          <w:right w:val="nil"/>
          <w:between w:val="nil"/>
        </w:pBdr>
        <w:ind w:left="1843" w:right="758" w:firstLine="0"/>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Nombramiento si este fuera el caso de los distintos cargos y/o puestos que se le haya asignado en las distintas Áreas de la Administración</w:t>
      </w:r>
    </w:p>
    <w:p w:rsidR="00633AC9" w:rsidRPr="00321901" w:rsidRDefault="003573FE">
      <w:pPr>
        <w:numPr>
          <w:ilvl w:val="0"/>
          <w:numId w:val="7"/>
        </w:numPr>
        <w:pBdr>
          <w:top w:val="nil"/>
          <w:left w:val="nil"/>
          <w:bottom w:val="nil"/>
          <w:right w:val="nil"/>
          <w:between w:val="nil"/>
        </w:pBdr>
        <w:ind w:left="1843" w:right="758" w:firstLine="0"/>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Documento que acredite no estar Inscrito en el Registro de Deudores Alimentarios Morosos en el Estado ni en ninguna otra Entidad Federativa.</w:t>
      </w:r>
    </w:p>
    <w:p w:rsidR="00633AC9" w:rsidRPr="00321901" w:rsidRDefault="003573FE">
      <w:pPr>
        <w:numPr>
          <w:ilvl w:val="0"/>
          <w:numId w:val="7"/>
        </w:numPr>
        <w:pBdr>
          <w:top w:val="nil"/>
          <w:left w:val="nil"/>
          <w:bottom w:val="nil"/>
          <w:right w:val="nil"/>
          <w:between w:val="nil"/>
        </w:pBdr>
        <w:ind w:left="1843" w:right="758" w:firstLine="0"/>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Nombre de las Áreas de Adscripción a las que ha pertenecido en forma detallada (Altas, bajas y/o cambio de adscripción)</w:t>
      </w:r>
    </w:p>
    <w:p w:rsidR="00633AC9" w:rsidRPr="00321901" w:rsidRDefault="003573FE">
      <w:pPr>
        <w:numPr>
          <w:ilvl w:val="0"/>
          <w:numId w:val="7"/>
        </w:numPr>
        <w:pBdr>
          <w:top w:val="nil"/>
          <w:left w:val="nil"/>
          <w:bottom w:val="nil"/>
          <w:right w:val="nil"/>
          <w:between w:val="nil"/>
        </w:pBdr>
        <w:ind w:left="1843" w:right="758" w:firstLine="0"/>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 xml:space="preserve">Informe detallado de las funciones y atribuciones específicas de los distintos cargos y/o puestos que se le haya asignado en las distintas Áreas de la Administración </w:t>
      </w:r>
    </w:p>
    <w:p w:rsidR="00633AC9" w:rsidRPr="00321901" w:rsidRDefault="003573FE">
      <w:pPr>
        <w:numPr>
          <w:ilvl w:val="0"/>
          <w:numId w:val="7"/>
        </w:numPr>
        <w:pBdr>
          <w:top w:val="nil"/>
          <w:left w:val="nil"/>
          <w:bottom w:val="nil"/>
          <w:right w:val="nil"/>
          <w:between w:val="nil"/>
        </w:pBdr>
        <w:ind w:left="1843" w:right="758" w:firstLine="0"/>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Listas de asistencia con horario de entrada y salida.</w:t>
      </w:r>
    </w:p>
    <w:p w:rsidR="00633AC9" w:rsidRPr="00321901" w:rsidRDefault="003573FE">
      <w:pPr>
        <w:numPr>
          <w:ilvl w:val="0"/>
          <w:numId w:val="7"/>
        </w:numPr>
        <w:pBdr>
          <w:top w:val="nil"/>
          <w:left w:val="nil"/>
          <w:bottom w:val="nil"/>
          <w:right w:val="nil"/>
          <w:between w:val="nil"/>
        </w:pBdr>
        <w:ind w:left="1843" w:right="758" w:firstLine="0"/>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Recibo de Nómina y/o de Remuneración además de los recibos por concepto de Aguinaldo y primas vacacionales.</w:t>
      </w:r>
    </w:p>
    <w:p w:rsidR="00633AC9" w:rsidRPr="00321901" w:rsidRDefault="00633AC9">
      <w:pPr>
        <w:pBdr>
          <w:top w:val="nil"/>
          <w:left w:val="nil"/>
          <w:bottom w:val="nil"/>
          <w:right w:val="nil"/>
          <w:between w:val="nil"/>
        </w:pBdr>
        <w:spacing w:line="360" w:lineRule="auto"/>
        <w:ind w:firstLine="720"/>
        <w:jc w:val="both"/>
        <w:rPr>
          <w:color w:val="000000"/>
        </w:rPr>
      </w:pPr>
    </w:p>
    <w:p w:rsidR="00633AC9" w:rsidRPr="00321901" w:rsidRDefault="003573FE">
      <w:pPr>
        <w:numPr>
          <w:ilvl w:val="0"/>
          <w:numId w:val="3"/>
        </w:numPr>
        <w:spacing w:line="360" w:lineRule="auto"/>
        <w:ind w:left="0" w:firstLine="0"/>
        <w:jc w:val="both"/>
        <w:rPr>
          <w:color w:val="000000"/>
        </w:rPr>
      </w:pPr>
      <w:r w:rsidRPr="00321901">
        <w:rPr>
          <w:rFonts w:ascii="Palatino Linotype" w:eastAsia="Palatino Linotype" w:hAnsi="Palatino Linotype" w:cs="Palatino Linotype"/>
        </w:rPr>
        <w:lastRenderedPageBreak/>
        <w:t>En respuesta, el Sujeto Obligado</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remitió los archivos ya descritos en el anterior Párrafo 2, inconforme con la respuesta, se interpuso recurso de revisión argumentando sustancialmente la negativa de la información solicitada</w:t>
      </w:r>
      <w:r w:rsidRPr="00321901">
        <w:rPr>
          <w:rFonts w:ascii="Palatino Linotype" w:eastAsia="Palatino Linotype" w:hAnsi="Palatino Linotype" w:cs="Palatino Linotype"/>
          <w:b/>
        </w:rPr>
        <w:t>.</w:t>
      </w:r>
    </w:p>
    <w:p w:rsidR="00633AC9" w:rsidRPr="00321901" w:rsidRDefault="00633AC9">
      <w:pPr>
        <w:spacing w:line="360" w:lineRule="auto"/>
        <w:jc w:val="both"/>
        <w:rPr>
          <w:color w:val="000000"/>
        </w:rPr>
      </w:pPr>
    </w:p>
    <w:p w:rsidR="00633AC9" w:rsidRPr="00321901" w:rsidRDefault="003573FE">
      <w:pPr>
        <w:numPr>
          <w:ilvl w:val="0"/>
          <w:numId w:val="3"/>
        </w:numPr>
        <w:spacing w:line="360" w:lineRule="auto"/>
        <w:ind w:left="0" w:firstLine="0"/>
        <w:jc w:val="both"/>
      </w:pPr>
      <w:r w:rsidRPr="00321901">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de la Ley de Transparencia y Acceso a la Información Pública del Estado de</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México</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y</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 xml:space="preserve">Municipios; </w:t>
      </w:r>
      <w:r w:rsidRPr="00321901">
        <w:rPr>
          <w:rFonts w:ascii="Palatino Linotype" w:eastAsia="Palatino Linotype" w:hAnsi="Palatino Linotype" w:cs="Palatino Linotype"/>
          <w:color w:val="000000"/>
        </w:rPr>
        <w:t xml:space="preserve">fracción que determina la hipótesis relativa a </w:t>
      </w:r>
      <w:r w:rsidRPr="00321901">
        <w:rPr>
          <w:rFonts w:ascii="Palatino Linotype" w:eastAsia="Palatino Linotype" w:hAnsi="Palatino Linotype" w:cs="Palatino Linotype"/>
        </w:rPr>
        <w:t>la negativa a la información solicitada</w:t>
      </w:r>
      <w:r w:rsidRPr="00321901">
        <w:rPr>
          <w:rFonts w:ascii="Palatino Linotype" w:eastAsia="Palatino Linotype" w:hAnsi="Palatino Linotype" w:cs="Palatino Linotype"/>
          <w:color w:val="000000"/>
        </w:rPr>
        <w:t xml:space="preserve">; </w:t>
      </w:r>
      <w:r w:rsidRPr="00321901">
        <w:rPr>
          <w:rFonts w:ascii="Palatino Linotype" w:eastAsia="Palatino Linotype" w:hAnsi="Palatino Linotype" w:cs="Palatino Linotype"/>
        </w:rPr>
        <w:t>contexto del cual se dolió el Recurrente al momento de interponer su inconformidad.</w:t>
      </w:r>
      <w:r w:rsidRPr="00321901">
        <w:rPr>
          <w:rFonts w:ascii="Palatino Linotype" w:eastAsia="Palatino Linotype" w:hAnsi="Palatino Linotype" w:cs="Palatino Linotype"/>
          <w:color w:val="000000"/>
        </w:rPr>
        <w:t xml:space="preserve"> De modo tal que el presente recurso de revisión se </w:t>
      </w:r>
      <w:r w:rsidRPr="00321901">
        <w:rPr>
          <w:rFonts w:ascii="Palatino Linotype" w:eastAsia="Palatino Linotype" w:hAnsi="Palatino Linotype" w:cs="Palatino Linotype"/>
        </w:rPr>
        <w:t>abocará</w:t>
      </w:r>
      <w:r w:rsidRPr="00321901">
        <w:rPr>
          <w:rFonts w:ascii="Palatino Linotype" w:eastAsia="Palatino Linotype" w:hAnsi="Palatino Linotype" w:cs="Palatino Linotype"/>
          <w:color w:val="000000"/>
        </w:rPr>
        <w:t xml:space="preserve"> en determinar si el Sujeto Obligado con su respuesta ciertamente actualiza la causal de procedencia</w:t>
      </w:r>
      <w:r w:rsidRPr="00321901">
        <w:rPr>
          <w:rFonts w:ascii="Palatino Linotype" w:eastAsia="Palatino Linotype" w:hAnsi="Palatino Linotype" w:cs="Palatino Linotype"/>
          <w:b/>
          <w:color w:val="000000"/>
        </w:rPr>
        <w:t xml:space="preserve"> </w:t>
      </w:r>
      <w:r w:rsidRPr="00321901">
        <w:rPr>
          <w:rFonts w:ascii="Palatino Linotype" w:eastAsia="Palatino Linotype" w:hAnsi="Palatino Linotype" w:cs="Palatino Linotype"/>
          <w:color w:val="000000"/>
        </w:rPr>
        <w:t xml:space="preserve">señalada. </w:t>
      </w:r>
    </w:p>
    <w:p w:rsidR="00633AC9" w:rsidRPr="00321901" w:rsidRDefault="00633AC9">
      <w:pPr>
        <w:spacing w:line="360" w:lineRule="auto"/>
        <w:rPr>
          <w:rFonts w:ascii="Palatino Linotype" w:eastAsia="Palatino Linotype" w:hAnsi="Palatino Linotype" w:cs="Palatino Linotype"/>
        </w:rPr>
      </w:pPr>
    </w:p>
    <w:p w:rsidR="00633AC9" w:rsidRPr="00321901" w:rsidRDefault="003573FE">
      <w:pPr>
        <w:pStyle w:val="Ttulo2"/>
        <w:spacing w:before="0" w:line="360" w:lineRule="auto"/>
        <w:rPr>
          <w:rFonts w:ascii="Palatino Linotype" w:eastAsia="Palatino Linotype" w:hAnsi="Palatino Linotype" w:cs="Palatino Linotype"/>
          <w:b/>
          <w:color w:val="000000"/>
          <w:sz w:val="24"/>
          <w:szCs w:val="24"/>
        </w:rPr>
      </w:pPr>
      <w:bookmarkStart w:id="5" w:name="_heading=h.1t3h5sf" w:colFirst="0" w:colLast="0"/>
      <w:bookmarkEnd w:id="5"/>
      <w:r w:rsidRPr="00321901">
        <w:rPr>
          <w:rFonts w:ascii="Palatino Linotype" w:eastAsia="Palatino Linotype" w:hAnsi="Palatino Linotype" w:cs="Palatino Linotype"/>
          <w:b/>
          <w:color w:val="000000"/>
          <w:sz w:val="24"/>
          <w:szCs w:val="24"/>
        </w:rPr>
        <w:t>CUARTA. Estudio de la controversia.</w:t>
      </w:r>
    </w:p>
    <w:p w:rsidR="00633AC9" w:rsidRPr="00321901" w:rsidRDefault="003573FE">
      <w:pPr>
        <w:numPr>
          <w:ilvl w:val="0"/>
          <w:numId w:val="3"/>
        </w:numPr>
        <w:spacing w:line="360" w:lineRule="auto"/>
        <w:ind w:left="0" w:firstLine="0"/>
        <w:jc w:val="both"/>
      </w:pPr>
      <w:r w:rsidRPr="00321901">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firstLine="0"/>
        <w:jc w:val="both"/>
      </w:pPr>
      <w:r w:rsidRPr="00321901">
        <w:rPr>
          <w:rFonts w:ascii="Palatino Linotype" w:eastAsia="Palatino Linotype" w:hAnsi="Palatino Linotype" w:cs="Palatino Linotype"/>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33AC9" w:rsidRPr="00321901" w:rsidRDefault="00633AC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pPr>
      <w:r w:rsidRPr="00321901">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633AC9" w:rsidRPr="00321901" w:rsidRDefault="00633AC9">
      <w:pPr>
        <w:pBdr>
          <w:top w:val="nil"/>
          <w:left w:val="nil"/>
          <w:bottom w:val="nil"/>
          <w:right w:val="nil"/>
          <w:between w:val="nil"/>
        </w:pBdr>
        <w:spacing w:line="360" w:lineRule="auto"/>
        <w:rPr>
          <w:rFonts w:ascii="Palatino Linotype" w:eastAsia="Palatino Linotype" w:hAnsi="Palatino Linotype" w:cs="Palatino Linotype"/>
          <w:color w:val="000000"/>
        </w:rPr>
      </w:pPr>
    </w:p>
    <w:p w:rsidR="00633AC9" w:rsidRPr="00321901" w:rsidRDefault="003573FE">
      <w:pPr>
        <w:numPr>
          <w:ilvl w:val="0"/>
          <w:numId w:val="10"/>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321901">
        <w:rPr>
          <w:rFonts w:ascii="Palatino Linotype" w:eastAsia="Palatino Linotype" w:hAnsi="Palatino Linotype" w:cs="Palatino Linotype"/>
          <w:b/>
          <w:color w:val="000000"/>
        </w:rPr>
        <w:t>Del análisis de cada recurso.</w:t>
      </w:r>
    </w:p>
    <w:p w:rsidR="00633AC9" w:rsidRPr="00321901" w:rsidRDefault="00633AC9">
      <w:pPr>
        <w:pBdr>
          <w:top w:val="nil"/>
          <w:left w:val="nil"/>
          <w:bottom w:val="nil"/>
          <w:right w:val="nil"/>
          <w:between w:val="nil"/>
        </w:pBdr>
        <w:spacing w:line="360" w:lineRule="auto"/>
        <w:ind w:left="778"/>
        <w:rPr>
          <w:rFonts w:ascii="Palatino Linotype" w:eastAsia="Palatino Linotype" w:hAnsi="Palatino Linotype" w:cs="Palatino Linotype"/>
          <w:b/>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Si bien, el Sujeto Obligado en los presentes medios de impugnación es el mismo, las solicitudes no guardan relación, por lo que el estudio de cada uno se realizará de manera individual</w:t>
      </w:r>
    </w:p>
    <w:p w:rsidR="00633AC9" w:rsidRPr="00321901" w:rsidRDefault="00633AC9">
      <w:pPr>
        <w:spacing w:line="360" w:lineRule="auto"/>
        <w:jc w:val="both"/>
        <w:rPr>
          <w:rFonts w:ascii="Palatino Linotype" w:eastAsia="Palatino Linotype" w:hAnsi="Palatino Linotype" w:cs="Palatino Linotype"/>
          <w:b/>
          <w:color w:val="000000"/>
        </w:rPr>
      </w:pPr>
    </w:p>
    <w:p w:rsidR="00633AC9" w:rsidRPr="00321901" w:rsidRDefault="003573FE">
      <w:pPr>
        <w:spacing w:line="360" w:lineRule="auto"/>
        <w:jc w:val="both"/>
        <w:rPr>
          <w:rFonts w:ascii="Palatino Linotype" w:eastAsia="Palatino Linotype" w:hAnsi="Palatino Linotype" w:cs="Palatino Linotype"/>
          <w:b/>
          <w:color w:val="000000"/>
        </w:rPr>
      </w:pPr>
      <w:r w:rsidRPr="00321901">
        <w:rPr>
          <w:rFonts w:ascii="Palatino Linotype" w:eastAsia="Palatino Linotype" w:hAnsi="Palatino Linotype" w:cs="Palatino Linotype"/>
          <w:b/>
          <w:color w:val="000000"/>
        </w:rPr>
        <w:lastRenderedPageBreak/>
        <w:t>Del recurso de revisión 05003/INFOEM/IP/RR/2024</w:t>
      </w:r>
    </w:p>
    <w:p w:rsidR="00633AC9" w:rsidRPr="00321901" w:rsidRDefault="00633AC9">
      <w:pPr>
        <w:spacing w:line="360" w:lineRule="auto"/>
        <w:jc w:val="both"/>
        <w:rPr>
          <w:rFonts w:ascii="Palatino Linotype" w:eastAsia="Palatino Linotype" w:hAnsi="Palatino Linotype" w:cs="Palatino Linotype"/>
          <w:b/>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i/>
          <w:sz w:val="20"/>
          <w:szCs w:val="20"/>
        </w:rPr>
      </w:pPr>
      <w:r w:rsidRPr="00321901">
        <w:rPr>
          <w:rFonts w:ascii="Palatino Linotype" w:eastAsia="Palatino Linotype" w:hAnsi="Palatino Linotype" w:cs="Palatino Linotype"/>
        </w:rPr>
        <w:t xml:space="preserve">Para la solicitud </w:t>
      </w:r>
      <w:r w:rsidRPr="00321901">
        <w:rPr>
          <w:rFonts w:ascii="Palatino Linotype" w:eastAsia="Palatino Linotype" w:hAnsi="Palatino Linotype" w:cs="Palatino Linotype"/>
          <w:b/>
        </w:rPr>
        <w:t xml:space="preserve">00109/TLALMANA/IP/2024 </w:t>
      </w:r>
      <w:r w:rsidRPr="00321901">
        <w:rPr>
          <w:rFonts w:ascii="Palatino Linotype" w:eastAsia="Palatino Linotype" w:hAnsi="Palatino Linotype" w:cs="Palatino Linotype"/>
        </w:rPr>
        <w:t xml:space="preserve">en la que se requirió </w:t>
      </w:r>
      <w:r w:rsidRPr="00321901">
        <w:rPr>
          <w:rFonts w:ascii="Palatino Linotype" w:eastAsia="Palatino Linotype" w:hAnsi="Palatino Linotype" w:cs="Palatino Linotype"/>
          <w:i/>
        </w:rPr>
        <w:t>de los premios y/o regalos que fueron entregados a las y los ciudadanos ganadores del Sorteo Predial 2024, los convenios celebrados, facturas, contratos celebrados y pólizas de cheques</w:t>
      </w:r>
      <w:r w:rsidRPr="00321901">
        <w:rPr>
          <w:rFonts w:ascii="Palatino Linotype" w:eastAsia="Palatino Linotype" w:hAnsi="Palatino Linotype" w:cs="Palatino Linotype"/>
          <w:color w:val="000000"/>
        </w:rPr>
        <w:t xml:space="preserve">, la respuesta fue remitida por el </w:t>
      </w:r>
      <w:r w:rsidRPr="00321901">
        <w:rPr>
          <w:rFonts w:ascii="Palatino Linotype" w:eastAsia="Palatino Linotype" w:hAnsi="Palatino Linotype" w:cs="Palatino Linotype"/>
        </w:rPr>
        <w:t>Tesorero Municipal, quién adjuntó los documentos ya descritos en el párrafo 2, señalando también que la mayoría de los obsequios fueron donados, por lo que no se cuenta con los costos de los mismos, respuesta de la cual se dolió el recurrente al señalar que la entrega de la información es incompleta y menciona que los obsequios fueron donados, debería informar quién o quinees fueron los donantes de cada uno de los artículos publicados en su página de Facebook.</w:t>
      </w:r>
    </w:p>
    <w:p w:rsidR="00633AC9" w:rsidRPr="00321901" w:rsidRDefault="00633AC9">
      <w:pPr>
        <w:spacing w:line="360" w:lineRule="auto"/>
        <w:jc w:val="both"/>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En informe justificado el Sujeto Obligado confirma su respuesta inicial.</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De lo anterior, es importante señalar que la Tesorería Municipal es una de las dependencias del ayuntamiento con las que contará para el despacho, estudio y planeación de los diversos asuntos de la administración municipal, tal como se establece en la Ley Orgánica Municipal del Estado de México, en su artículo 87, fracción II.</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La Tesorería Municipal es el órgano encargado de la recaudación de los ingresos municipales y responsable de realizar las erogaciones que haga el </w:t>
      </w:r>
      <w:r w:rsidRPr="00321901">
        <w:rPr>
          <w:rFonts w:ascii="Palatino Linotype" w:eastAsia="Palatino Linotype" w:hAnsi="Palatino Linotype" w:cs="Palatino Linotype"/>
        </w:rPr>
        <w:lastRenderedPageBreak/>
        <w:t>ayuntamiento, misma que tiene diversas atribuciones, entre ellas, las establecidas en la Ley antes señalada, artículo 95, fracciones I y IV</w:t>
      </w:r>
    </w:p>
    <w:p w:rsidR="00633AC9" w:rsidRPr="00321901" w:rsidRDefault="003573FE">
      <w:pPr>
        <w:spacing w:line="360" w:lineRule="auto"/>
        <w:ind w:left="1134" w:right="1041"/>
        <w:jc w:val="center"/>
        <w:rPr>
          <w:rFonts w:ascii="Palatino Linotype" w:eastAsia="Palatino Linotype" w:hAnsi="Palatino Linotype" w:cs="Palatino Linotype"/>
          <w:b/>
          <w:i/>
          <w:sz w:val="22"/>
          <w:szCs w:val="22"/>
        </w:rPr>
      </w:pPr>
      <w:r w:rsidRPr="00321901">
        <w:rPr>
          <w:rFonts w:ascii="Palatino Linotype" w:eastAsia="Palatino Linotype" w:hAnsi="Palatino Linotype" w:cs="Palatino Linotype"/>
          <w:b/>
          <w:i/>
          <w:sz w:val="22"/>
          <w:szCs w:val="22"/>
        </w:rPr>
        <w:t>Ley Orgánica Municipal del Estado de México</w:t>
      </w:r>
    </w:p>
    <w:p w:rsidR="00633AC9" w:rsidRPr="00321901" w:rsidRDefault="003573FE">
      <w:pPr>
        <w:ind w:left="1134" w:right="1041"/>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Artículo 95.- Son atribuciones del tesorero municipal:</w:t>
      </w:r>
    </w:p>
    <w:p w:rsidR="00633AC9" w:rsidRPr="00321901" w:rsidRDefault="003573FE">
      <w:pPr>
        <w:ind w:left="1134" w:right="1041"/>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I. Administrar la hacienda pública municipal, de conformidad con las disposiciones legales aplicables;</w:t>
      </w:r>
    </w:p>
    <w:p w:rsidR="00633AC9" w:rsidRPr="00321901" w:rsidRDefault="003573FE">
      <w:pPr>
        <w:ind w:left="1134" w:right="1041"/>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w:t>
      </w:r>
    </w:p>
    <w:p w:rsidR="00633AC9" w:rsidRPr="00321901" w:rsidRDefault="003573FE">
      <w:pPr>
        <w:ind w:left="1134" w:right="1041"/>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IV. Llevar los registros contables, financieros y administrativos de los ingresos, egresos, e inventarios;</w:t>
      </w:r>
    </w:p>
    <w:p w:rsidR="00633AC9" w:rsidRPr="00321901" w:rsidRDefault="003573FE">
      <w:pPr>
        <w:ind w:left="1134" w:right="1041"/>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 xml:space="preserve">La Tesorería Municipal, es el órgano autorizado para la recaudación de impuestos, contribuciones mejoras, derechos, productos, aprovechamientos, ingresos por prestación de servicios, así como responsable de efectuar erogaciones con cargo al presupuesto del ayuntamiento. Adicionalmente la Tesorería Municipal acordará e implementará las medidas necesarias para que todos los habitantes contribuyan con el gasto público municipal de manera equitativa, considerando estímulos para quienes contribuyan con oportunidad, de conformidad con los artículos 55 y 57 del Bando Municipal de </w:t>
      </w:r>
      <w:proofErr w:type="spellStart"/>
      <w:r w:rsidRPr="00321901">
        <w:rPr>
          <w:rFonts w:ascii="Palatino Linotype" w:eastAsia="Palatino Linotype" w:hAnsi="Palatino Linotype" w:cs="Palatino Linotype"/>
          <w:color w:val="000000"/>
        </w:rPr>
        <w:t>Tlalmanalco</w:t>
      </w:r>
      <w:proofErr w:type="spellEnd"/>
      <w:r w:rsidRPr="00321901">
        <w:rPr>
          <w:rFonts w:ascii="Palatino Linotype" w:eastAsia="Palatino Linotype" w:hAnsi="Palatino Linotype" w:cs="Palatino Linotype"/>
          <w:color w:val="000000"/>
        </w:rPr>
        <w:t xml:space="preserve"> 2024.</w:t>
      </w:r>
    </w:p>
    <w:p w:rsidR="00633AC9" w:rsidRPr="00321901" w:rsidRDefault="00633AC9">
      <w:pP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Podemos advertir que </w:t>
      </w:r>
      <w:r w:rsidRPr="00321901">
        <w:rPr>
          <w:rFonts w:ascii="Palatino Linotype" w:eastAsia="Palatino Linotype" w:hAnsi="Palatino Linotype" w:cs="Palatino Linotype"/>
          <w:b/>
        </w:rPr>
        <w:t xml:space="preserve">EL SUJETO OBLIGADO </w:t>
      </w:r>
      <w:r w:rsidRPr="00321901">
        <w:rPr>
          <w:rFonts w:ascii="Palatino Linotype" w:eastAsia="Palatino Linotype" w:hAnsi="Palatino Linotype" w:cs="Palatino Linotype"/>
        </w:rPr>
        <w:t>siguió el procedimiento inmerso en la normatividad aplicable, ya que turno el requerimiento de información a una dependencia administrativa competente, vigilando lo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ind w:left="1134" w:right="902"/>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XXXIX.</w:t>
      </w:r>
      <w:r w:rsidRPr="00321901">
        <w:rPr>
          <w:rFonts w:ascii="Palatino Linotype" w:eastAsia="Palatino Linotype" w:hAnsi="Palatino Linotype" w:cs="Palatino Linotype"/>
          <w:i/>
          <w:sz w:val="22"/>
          <w:szCs w:val="22"/>
        </w:rPr>
        <w:t xml:space="preserve"> </w:t>
      </w:r>
      <w:r w:rsidRPr="00321901">
        <w:rPr>
          <w:rFonts w:ascii="Palatino Linotype" w:eastAsia="Palatino Linotype" w:hAnsi="Palatino Linotype" w:cs="Palatino Linotype"/>
          <w:b/>
          <w:i/>
          <w:sz w:val="22"/>
          <w:szCs w:val="22"/>
        </w:rPr>
        <w:t>Servidor público habilitado</w:t>
      </w:r>
      <w:r w:rsidRPr="00321901">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633AC9" w:rsidRPr="00321901" w:rsidRDefault="003573FE">
      <w:pPr>
        <w:ind w:left="1134" w:right="902"/>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w:t>
      </w:r>
      <w:r w:rsidRPr="00321901">
        <w:rPr>
          <w:rFonts w:ascii="Palatino Linotype" w:eastAsia="Palatino Linotype" w:hAnsi="Palatino Linotype" w:cs="Palatino Linotype"/>
          <w:b/>
          <w:i/>
          <w:sz w:val="22"/>
          <w:szCs w:val="22"/>
        </w:rPr>
        <w:t>Artículo 162.</w:t>
      </w:r>
      <w:r w:rsidRPr="00321901">
        <w:rPr>
          <w:rFonts w:ascii="Palatino Linotype" w:eastAsia="Palatino Linotype" w:hAnsi="Palatino Linotype" w:cs="Palatino Linotype"/>
          <w:i/>
          <w:sz w:val="22"/>
          <w:szCs w:val="22"/>
        </w:rPr>
        <w:t xml:space="preserve"> Las unidades de transparencia deberán garantizar que las solicitudes se turnen a </w:t>
      </w:r>
      <w:r w:rsidRPr="00321901">
        <w:rPr>
          <w:rFonts w:ascii="Palatino Linotype" w:eastAsia="Palatino Linotype" w:hAnsi="Palatino Linotype" w:cs="Palatino Linotype"/>
          <w:b/>
          <w:i/>
          <w:sz w:val="22"/>
          <w:szCs w:val="22"/>
        </w:rPr>
        <w:t>todas las Áreas competentes</w:t>
      </w:r>
      <w:r w:rsidRPr="00321901">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De lo anteriormente expuesto, se advierte que, el Sujeto Obligado cuenta con facultades, atribuciones y competencia para generar, administrar y poseer la información solicitada.</w:t>
      </w:r>
    </w:p>
    <w:p w:rsidR="00633AC9" w:rsidRPr="00321901" w:rsidRDefault="00633AC9">
      <w:pP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rPr>
        <w:t xml:space="preserve">Ahora bien, recordando que el solicitante requirió </w:t>
      </w:r>
      <w:r w:rsidRPr="00321901">
        <w:rPr>
          <w:rFonts w:ascii="Palatino Linotype" w:eastAsia="Palatino Linotype" w:hAnsi="Palatino Linotype" w:cs="Palatino Linotype"/>
          <w:i/>
        </w:rPr>
        <w:t>de los premios y/o regalos que fueron entregados a las y los ciudadanos ganadores del Sorteo Predial 2024, los convenios celebrados, facturas, contratos celebrados y pólizas de cheques</w:t>
      </w:r>
      <w:r w:rsidRPr="00321901">
        <w:rPr>
          <w:rFonts w:ascii="Palatino Linotype" w:eastAsia="Palatino Linotype" w:hAnsi="Palatino Linotype" w:cs="Palatino Linotype"/>
          <w:color w:val="000000"/>
        </w:rPr>
        <w:t xml:space="preserve">, a lo que el Sujeto Obligado respondió entregando los documentos relativos al </w:t>
      </w:r>
      <w:r w:rsidRPr="00321901">
        <w:rPr>
          <w:rFonts w:ascii="Palatino Linotype" w:eastAsia="Palatino Linotype" w:hAnsi="Palatino Linotype" w:cs="Palatino Linotype"/>
        </w:rPr>
        <w:t xml:space="preserve">contrato de adquisición de bienes, factura, póliza de egresos y requisición de bienes y/o servicios, todos estos respecto del “Sorteo Predial 2024” en su versión pública, respuesta de la cual el solicitante interpuso recurso de revisión manifestando como l razones o motivos de </w:t>
      </w:r>
      <w:r w:rsidRPr="00321901">
        <w:rPr>
          <w:rFonts w:ascii="Palatino Linotype" w:eastAsia="Palatino Linotype" w:hAnsi="Palatino Linotype" w:cs="Palatino Linotype"/>
        </w:rPr>
        <w:lastRenderedPageBreak/>
        <w:t xml:space="preserve">inconformidad que la entrega de la información es incompleta y menciona que los obsequios fueron donados, </w:t>
      </w:r>
      <w:r w:rsidRPr="00321901">
        <w:rPr>
          <w:rFonts w:ascii="Palatino Linotype" w:eastAsia="Palatino Linotype" w:hAnsi="Palatino Linotype" w:cs="Palatino Linotype"/>
          <w:b/>
          <w:u w:val="single"/>
        </w:rPr>
        <w:t xml:space="preserve">debería informar quién o quinees fueron los donantes de cada uno de los artículos </w:t>
      </w:r>
      <w:r w:rsidRPr="00321901">
        <w:rPr>
          <w:rFonts w:ascii="Palatino Linotype" w:eastAsia="Palatino Linotype" w:hAnsi="Palatino Linotype" w:cs="Palatino Linotype"/>
        </w:rPr>
        <w:t>publicados en su página de Facebook.</w:t>
      </w:r>
    </w:p>
    <w:p w:rsidR="00633AC9" w:rsidRPr="00321901" w:rsidRDefault="00633AC9">
      <w:pPr>
        <w:spacing w:line="360" w:lineRule="auto"/>
        <w:jc w:val="both"/>
        <w:rPr>
          <w:rFonts w:ascii="Palatino Linotype" w:eastAsia="Palatino Linotype" w:hAnsi="Palatino Linotype" w:cs="Palatino Linotype"/>
          <w:b/>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b/>
          <w:color w:val="000000"/>
        </w:rPr>
      </w:pPr>
      <w:r w:rsidRPr="00321901">
        <w:rPr>
          <w:rFonts w:ascii="Palatino Linotype" w:eastAsia="Palatino Linotype" w:hAnsi="Palatino Linotype" w:cs="Palatino Linotype"/>
          <w:color w:val="000000"/>
        </w:rPr>
        <w:t xml:space="preserve">Por tanto los motivos de inconformidad constituyen en su totalidad nuevos requerimientos de información, configurándose así lo que se conoce como </w:t>
      </w:r>
      <w:r w:rsidRPr="00321901">
        <w:rPr>
          <w:rFonts w:ascii="Palatino Linotype" w:eastAsia="Palatino Linotype" w:hAnsi="Palatino Linotype" w:cs="Palatino Linotype"/>
          <w:b/>
          <w:i/>
          <w:color w:val="000000"/>
        </w:rPr>
        <w:t xml:space="preserve">plus </w:t>
      </w:r>
      <w:proofErr w:type="spellStart"/>
      <w:r w:rsidRPr="00321901">
        <w:rPr>
          <w:rFonts w:ascii="Palatino Linotype" w:eastAsia="Palatino Linotype" w:hAnsi="Palatino Linotype" w:cs="Palatino Linotype"/>
          <w:b/>
          <w:i/>
          <w:color w:val="000000"/>
        </w:rPr>
        <w:t>petitio</w:t>
      </w:r>
      <w:proofErr w:type="spellEnd"/>
      <w:r w:rsidRPr="00321901">
        <w:rPr>
          <w:rFonts w:ascii="Palatino Linotype" w:eastAsia="Palatino Linotype" w:hAnsi="Palatino Linotype" w:cs="Palatino Linotype"/>
          <w:b/>
          <w:i/>
          <w:color w:val="000000"/>
        </w:rPr>
        <w:t xml:space="preserve">, </w:t>
      </w:r>
      <w:r w:rsidRPr="00321901">
        <w:rPr>
          <w:rFonts w:ascii="Palatino Linotype" w:eastAsia="Palatino Linotype" w:hAnsi="Palatino Linotype" w:cs="Palatino Linotype"/>
          <w:color w:val="000000"/>
        </w:rPr>
        <w:t xml:space="preserve">que consiste en una ampliación a su solicitud de información, argumentos que no son susceptibles de ser valorados en términos de la fracción VII, del Artículo 191, de la Ley de Transparencia y Acceso a la Información Pública del Estado de México y Municipios, el cual señala la improcedencia cuando </w:t>
      </w:r>
      <w:r w:rsidRPr="00321901">
        <w:rPr>
          <w:rFonts w:ascii="Palatino Linotype" w:eastAsia="Palatino Linotype" w:hAnsi="Palatino Linotype" w:cs="Palatino Linotype"/>
          <w:b/>
          <w:color w:val="000000"/>
        </w:rPr>
        <w:t>la parte</w:t>
      </w:r>
      <w:r w:rsidRPr="00321901">
        <w:rPr>
          <w:rFonts w:ascii="Palatino Linotype" w:eastAsia="Palatino Linotype" w:hAnsi="Palatino Linotype" w:cs="Palatino Linotype"/>
          <w:color w:val="000000"/>
        </w:rPr>
        <w:t xml:space="preserve"> </w:t>
      </w:r>
      <w:r w:rsidRPr="00321901">
        <w:rPr>
          <w:rFonts w:ascii="Palatino Linotype" w:eastAsia="Palatino Linotype" w:hAnsi="Palatino Linotype" w:cs="Palatino Linotype"/>
          <w:b/>
          <w:color w:val="000000"/>
        </w:rPr>
        <w:t>Recurrente</w:t>
      </w:r>
      <w:r w:rsidRPr="00321901">
        <w:rPr>
          <w:rFonts w:ascii="Palatino Linotype" w:eastAsia="Palatino Linotype" w:hAnsi="Palatino Linotype" w:cs="Palatino Linotype"/>
          <w:color w:val="000000"/>
        </w:rPr>
        <w:t xml:space="preserve"> amplíe su solicitud en el Recurso de Revisión, cuestión que tuvo lugar en el presente caso, pues </w:t>
      </w:r>
      <w:r w:rsidRPr="00321901">
        <w:rPr>
          <w:rFonts w:ascii="Palatino Linotype" w:eastAsia="Palatino Linotype" w:hAnsi="Palatino Linotype" w:cs="Palatino Linotype"/>
          <w:b/>
          <w:color w:val="000000"/>
        </w:rPr>
        <w:t>el Solicitante</w:t>
      </w:r>
      <w:r w:rsidRPr="00321901">
        <w:rPr>
          <w:rFonts w:ascii="Palatino Linotype" w:eastAsia="Palatino Linotype" w:hAnsi="Palatino Linotype" w:cs="Palatino Linotype"/>
          <w:color w:val="000000"/>
        </w:rPr>
        <w:t xml:space="preserve"> formuló nuevos cuestionamientos, en los que solicitó información que no formó parte de su solicitud inicial y por lo tanto son inatendibles a través del recurso de revisión. </w:t>
      </w:r>
    </w:p>
    <w:p w:rsidR="00633AC9" w:rsidRPr="00321901" w:rsidRDefault="00633AC9">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 xml:space="preserve">En este tenor, es posible determinar que para el caso que nos ocupa, la totalidad de los argumentos formulados como acto impugnado concatenados con los motivos o razones de inconformidad son una ampliación a la solicitud inicial y corresponden a nuevos requerimientos de información, que no se encuentran relacionados con lo solicitado en un primer momento; 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w:t>
      </w:r>
      <w:r w:rsidRPr="00321901">
        <w:rPr>
          <w:rFonts w:ascii="Palatino Linotype" w:eastAsia="Palatino Linotype" w:hAnsi="Palatino Linotype" w:cs="Palatino Linotype"/>
          <w:color w:val="000000"/>
        </w:rPr>
        <w:lastRenderedPageBreak/>
        <w:t>se permita el acceso a los documentos inicialmente solicitados y en su caso a los aclarados o corregidos.</w:t>
      </w:r>
    </w:p>
    <w:p w:rsidR="00633AC9" w:rsidRPr="00321901" w:rsidRDefault="00633AC9">
      <w:pPr>
        <w:pBdr>
          <w:top w:val="nil"/>
          <w:left w:val="nil"/>
          <w:bottom w:val="nil"/>
          <w:right w:val="nil"/>
          <w:between w:val="nil"/>
        </w:pBdr>
        <w:ind w:left="708"/>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Robustece lo anterior lo plasmado en el criterio orientador número 01/17 emitido por el Instituto Nacional de Transparencia, Acceso a la Información y Protección de Datos Personales, INAI, que lleva por rubro y texto lo que a continuación se transcribe:</w:t>
      </w:r>
    </w:p>
    <w:p w:rsidR="00633AC9" w:rsidRPr="00321901" w:rsidRDefault="003573FE">
      <w:pPr>
        <w:pBdr>
          <w:top w:val="nil"/>
          <w:left w:val="nil"/>
          <w:bottom w:val="nil"/>
          <w:right w:val="nil"/>
          <w:between w:val="nil"/>
        </w:pBdr>
        <w:spacing w:before="240" w:after="240"/>
        <w:ind w:left="1134" w:right="900"/>
        <w:jc w:val="both"/>
        <w:rPr>
          <w:rFonts w:ascii="Palatino Linotype" w:eastAsia="Palatino Linotype" w:hAnsi="Palatino Linotype" w:cs="Palatino Linotype"/>
          <w:i/>
          <w:color w:val="000000"/>
          <w:sz w:val="22"/>
          <w:szCs w:val="22"/>
        </w:rPr>
      </w:pPr>
      <w:r w:rsidRPr="00321901">
        <w:rPr>
          <w:rFonts w:ascii="Palatino Linotype" w:eastAsia="Palatino Linotype" w:hAnsi="Palatino Linotype" w:cs="Palatino Linotype"/>
          <w:i/>
          <w:color w:val="000000"/>
          <w:sz w:val="22"/>
          <w:szCs w:val="22"/>
        </w:rPr>
        <w:t>“</w:t>
      </w:r>
      <w:r w:rsidRPr="00321901">
        <w:rPr>
          <w:rFonts w:ascii="Palatino Linotype" w:eastAsia="Palatino Linotype" w:hAnsi="Palatino Linotype" w:cs="Palatino Linotype"/>
          <w:b/>
          <w:i/>
          <w:color w:val="000000"/>
          <w:sz w:val="22"/>
          <w:szCs w:val="22"/>
        </w:rPr>
        <w:t xml:space="preserve">Es improcedente ampliar las solicitudes de acceso a información, a través de la interposición del recurso de revisión. </w:t>
      </w:r>
      <w:r w:rsidRPr="00321901">
        <w:rPr>
          <w:rFonts w:ascii="Palatino Linotype" w:eastAsia="Palatino Linotype" w:hAnsi="Palatino Linotype" w:cs="Palatino Linotype"/>
          <w:i/>
          <w:color w:val="000000"/>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321901">
        <w:rPr>
          <w:rFonts w:ascii="Palatino Linotype" w:eastAsia="Palatino Linotype" w:hAnsi="Palatino Linotype" w:cs="Palatino Linotype"/>
          <w:b/>
          <w:i/>
          <w:color w:val="000000"/>
          <w:sz w:val="22"/>
          <w:szCs w:val="22"/>
        </w:rPr>
        <w:t>.</w:t>
      </w:r>
      <w:r w:rsidRPr="00321901">
        <w:rPr>
          <w:rFonts w:ascii="Palatino Linotype" w:eastAsia="Palatino Linotype" w:hAnsi="Palatino Linotype" w:cs="Palatino Linotype"/>
          <w:i/>
          <w:color w:val="000000"/>
          <w:sz w:val="22"/>
          <w:szCs w:val="22"/>
        </w:rPr>
        <w:t>”(Sic)</w:t>
      </w:r>
    </w:p>
    <w:p w:rsidR="00633AC9" w:rsidRPr="00321901" w:rsidRDefault="00633AC9">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 xml:space="preserve">Acotado lo anterior, cabe destacar que la Ley da la posibilidad de desechar el recurso de revisión en el momento procesal en que también se puede admitir, por alguna de las causales transcritas, artículo que tiene un momento de aplicabilidad previo a la admisión del recurso de revisión por no reunir los requisitos de </w:t>
      </w:r>
      <w:proofErr w:type="spellStart"/>
      <w:r w:rsidRPr="00321901">
        <w:rPr>
          <w:rFonts w:ascii="Palatino Linotype" w:eastAsia="Palatino Linotype" w:hAnsi="Palatino Linotype" w:cs="Palatino Linotype"/>
          <w:color w:val="000000"/>
        </w:rPr>
        <w:t>procedibilidad</w:t>
      </w:r>
      <w:proofErr w:type="spellEnd"/>
      <w:r w:rsidRPr="00321901">
        <w:rPr>
          <w:rFonts w:ascii="Palatino Linotype" w:eastAsia="Palatino Linotype" w:hAnsi="Palatino Linotype" w:cs="Palatino Linotype"/>
          <w:color w:val="000000"/>
        </w:rPr>
        <w:t xml:space="preserve"> previstos en el artículo 179 de la Ley en la Materia, citado con antelación.</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 xml:space="preserve">Dentro de este orden de ideas, es evidente que no se puede invocar el precepto legal 191, de la Ley en cita ulteriormente, ya que ha sido admitido, </w:t>
      </w:r>
      <w:r w:rsidRPr="00321901">
        <w:rPr>
          <w:rFonts w:ascii="Palatino Linotype" w:eastAsia="Palatino Linotype" w:hAnsi="Palatino Linotype" w:cs="Palatino Linotype"/>
          <w:color w:val="000000"/>
        </w:rPr>
        <w:lastRenderedPageBreak/>
        <w:t xml:space="preserve">determinando la actualización de un </w:t>
      </w:r>
      <w:proofErr w:type="spellStart"/>
      <w:r w:rsidRPr="00321901">
        <w:rPr>
          <w:rFonts w:ascii="Palatino Linotype" w:eastAsia="Palatino Linotype" w:hAnsi="Palatino Linotype" w:cs="Palatino Linotype"/>
          <w:color w:val="000000"/>
        </w:rPr>
        <w:t>desechamiento</w:t>
      </w:r>
      <w:proofErr w:type="spellEnd"/>
      <w:r w:rsidRPr="00321901">
        <w:rPr>
          <w:rFonts w:ascii="Palatino Linotype" w:eastAsia="Palatino Linotype" w:hAnsi="Palatino Linotype" w:cs="Palatino Linotype"/>
          <w:color w:val="000000"/>
          <w:vertAlign w:val="superscript"/>
        </w:rPr>
        <w:footnoteReference w:id="1"/>
      </w:r>
      <w:r w:rsidRPr="00321901">
        <w:rPr>
          <w:rFonts w:ascii="Palatino Linotype" w:eastAsia="Palatino Linotype" w:hAnsi="Palatino Linotype" w:cs="Palatino Linotype"/>
          <w:color w:val="000000"/>
        </w:rPr>
        <w:t>, porque está ya sería posterior a la etapa procedimental en la que debió desecharse.</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 xml:space="preserve">Cobrando aplicación lo previsto en la fracción IV del artículo 192, en razón a que al haber sido admitido el recurso de revisión y al actualizarse una causal de improcedencia establecida en la fracción VII del artículo 191 de la misma Ley, éste debe ser </w:t>
      </w:r>
      <w:r w:rsidRPr="00321901">
        <w:rPr>
          <w:rFonts w:ascii="Palatino Linotype" w:eastAsia="Palatino Linotype" w:hAnsi="Palatino Linotype" w:cs="Palatino Linotype"/>
          <w:i/>
          <w:color w:val="000000"/>
        </w:rPr>
        <w:t>sobreseído</w:t>
      </w:r>
      <w:r w:rsidRPr="00321901">
        <w:rPr>
          <w:rFonts w:ascii="Palatino Linotype" w:eastAsia="Palatino Linotype" w:hAnsi="Palatino Linotype" w:cs="Palatino Linotype"/>
          <w:color w:val="000000"/>
        </w:rPr>
        <w:t>, como se observa:</w:t>
      </w:r>
    </w:p>
    <w:p w:rsidR="00633AC9" w:rsidRPr="00321901" w:rsidRDefault="00633AC9">
      <w:pPr>
        <w:pBdr>
          <w:top w:val="nil"/>
          <w:left w:val="nil"/>
          <w:bottom w:val="nil"/>
          <w:right w:val="nil"/>
          <w:between w:val="nil"/>
        </w:pBdr>
        <w:ind w:left="708"/>
        <w:rPr>
          <w:rFonts w:ascii="Palatino Linotype" w:eastAsia="Palatino Linotype" w:hAnsi="Palatino Linotype" w:cs="Palatino Linotype"/>
          <w:color w:val="000000"/>
        </w:rPr>
      </w:pP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“Artículo 191. El recurso </w:t>
      </w:r>
      <w:r w:rsidRPr="00321901">
        <w:rPr>
          <w:rFonts w:ascii="Palatino Linotype" w:eastAsia="Palatino Linotype" w:hAnsi="Palatino Linotype" w:cs="Palatino Linotype"/>
          <w:b/>
          <w:i/>
          <w:sz w:val="22"/>
          <w:szCs w:val="22"/>
        </w:rPr>
        <w:t>será desechado por improcedente</w:t>
      </w:r>
      <w:r w:rsidRPr="00321901">
        <w:rPr>
          <w:rFonts w:ascii="Palatino Linotype" w:eastAsia="Palatino Linotype" w:hAnsi="Palatino Linotype" w:cs="Palatino Linotype"/>
          <w:i/>
          <w:sz w:val="22"/>
          <w:szCs w:val="22"/>
        </w:rPr>
        <w:t xml:space="preserve"> cuando: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 Sea extemporáneo por haber transcurrido el plazo establecido en la presente Ley, a partir de la respuesta;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II. Se esté tramitando ante el Poder Judicial de la Federación algún recurso o medio de defensa interpuesto por el recurrente;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III. No actualice alguno de los supuestos previstos en la presente Ley;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IV. No se haya desahogado la prevención en los términos establecidos en la presente Ley;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V. Se impugne la veracidad de la información proporcionada;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VI. Se trate de una consulta, o trámite en específico; y </w:t>
      </w:r>
    </w:p>
    <w:p w:rsidR="00633AC9" w:rsidRPr="00321901" w:rsidRDefault="003573FE">
      <w:pPr>
        <w:ind w:left="1134" w:right="900"/>
        <w:jc w:val="both"/>
        <w:rPr>
          <w:rFonts w:ascii="Palatino Linotype" w:eastAsia="Palatino Linotype" w:hAnsi="Palatino Linotype" w:cs="Palatino Linotype"/>
          <w:b/>
          <w:i/>
          <w:sz w:val="22"/>
          <w:szCs w:val="22"/>
        </w:rPr>
      </w:pPr>
      <w:r w:rsidRPr="00321901">
        <w:rPr>
          <w:rFonts w:ascii="Palatino Linotype" w:eastAsia="Palatino Linotype" w:hAnsi="Palatino Linotype" w:cs="Palatino Linotype"/>
          <w:b/>
          <w:i/>
          <w:sz w:val="22"/>
          <w:szCs w:val="22"/>
        </w:rPr>
        <w:t xml:space="preserve">VII. El recurrente amplíe su solicitud en el recurso de revisión, únicamente respecto de los nuevos contenidos. </w:t>
      </w:r>
    </w:p>
    <w:p w:rsidR="00633AC9" w:rsidRPr="00321901" w:rsidRDefault="00633AC9">
      <w:pPr>
        <w:ind w:left="1134" w:right="900"/>
        <w:jc w:val="both"/>
        <w:rPr>
          <w:rFonts w:ascii="Palatino Linotype" w:eastAsia="Palatino Linotype" w:hAnsi="Palatino Linotype" w:cs="Palatino Linotype"/>
          <w:i/>
          <w:sz w:val="22"/>
          <w:szCs w:val="22"/>
        </w:rPr>
      </w:pP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Artículo 192. </w:t>
      </w:r>
      <w:r w:rsidRPr="00321901">
        <w:rPr>
          <w:rFonts w:ascii="Palatino Linotype" w:eastAsia="Palatino Linotype" w:hAnsi="Palatino Linotype" w:cs="Palatino Linotype"/>
          <w:b/>
          <w:i/>
          <w:sz w:val="22"/>
          <w:szCs w:val="22"/>
        </w:rPr>
        <w:t>El recurso será sobreseído</w:t>
      </w:r>
      <w:r w:rsidRPr="00321901">
        <w:rPr>
          <w:rFonts w:ascii="Palatino Linotype" w:eastAsia="Palatino Linotype" w:hAnsi="Palatino Linotype" w:cs="Palatino Linotype"/>
          <w:i/>
          <w:sz w:val="22"/>
          <w:szCs w:val="22"/>
        </w:rPr>
        <w:t xml:space="preserve">, en todo o en parte, cuando una vez admitido, se actualicen alguno de los siguientes supuestos: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 El recurrente se desista expresamente del recurso;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II. El recurrente fallezca o, tratándose de personas jurídicas colectivas, se disuelva;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lastRenderedPageBreak/>
        <w:t xml:space="preserve">III. El sujeto obligado responsable del acto lo modifique o revoque de tal manera que el recurso de revisión quede sin materia; </w:t>
      </w:r>
    </w:p>
    <w:p w:rsidR="00633AC9" w:rsidRPr="00321901" w:rsidRDefault="003573FE">
      <w:pPr>
        <w:ind w:left="1134" w:right="900"/>
        <w:jc w:val="both"/>
        <w:rPr>
          <w:rFonts w:ascii="Palatino Linotype" w:eastAsia="Palatino Linotype" w:hAnsi="Palatino Linotype" w:cs="Palatino Linotype"/>
          <w:b/>
          <w:i/>
          <w:sz w:val="22"/>
          <w:szCs w:val="22"/>
        </w:rPr>
      </w:pPr>
      <w:r w:rsidRPr="00321901">
        <w:rPr>
          <w:rFonts w:ascii="Palatino Linotype" w:eastAsia="Palatino Linotype" w:hAnsi="Palatino Linotype" w:cs="Palatino Linotype"/>
          <w:b/>
          <w:i/>
          <w:sz w:val="22"/>
          <w:szCs w:val="22"/>
        </w:rPr>
        <w:t xml:space="preserve">IV. Admitido el recurso de revisión, aparezca alguna causal de improcedencia en los términos de la presente Ley; y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V. Cuando por cualquier motivo quede sin materia el recurso.”</w:t>
      </w:r>
    </w:p>
    <w:p w:rsidR="00633AC9" w:rsidRPr="00321901" w:rsidRDefault="00633AC9">
      <w:pPr>
        <w:pBdr>
          <w:top w:val="nil"/>
          <w:left w:val="nil"/>
          <w:bottom w:val="nil"/>
          <w:right w:val="nil"/>
          <w:between w:val="nil"/>
        </w:pBdr>
        <w:ind w:left="708"/>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b/>
          <w:color w:val="000000"/>
        </w:rPr>
      </w:pPr>
      <w:r w:rsidRPr="00321901">
        <w:rPr>
          <w:rFonts w:ascii="Palatino Linotype" w:eastAsia="Palatino Linotype" w:hAnsi="Palatino Linotype" w:cs="Palatino Linotype"/>
          <w:color w:val="000000"/>
        </w:rPr>
        <w:t xml:space="preserve">Atento a los razonamientos lógico jurídicos que han quedado precisados y toda vez que el  </w:t>
      </w:r>
      <w:r w:rsidRPr="00321901">
        <w:rPr>
          <w:rFonts w:ascii="Palatino Linotype" w:eastAsia="Palatino Linotype" w:hAnsi="Palatino Linotype" w:cs="Palatino Linotype"/>
          <w:i/>
          <w:color w:val="000000"/>
        </w:rPr>
        <w:t xml:space="preserve">sobreseimiento </w:t>
      </w:r>
      <w:r w:rsidRPr="00321901">
        <w:rPr>
          <w:rFonts w:ascii="Palatino Linotype" w:eastAsia="Palatino Linotype" w:hAnsi="Palatino Linotype" w:cs="Palatino Linotype"/>
          <w:color w:val="000000"/>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321901">
        <w:rPr>
          <w:rFonts w:ascii="Palatino Linotype" w:eastAsia="Palatino Linotype" w:hAnsi="Palatino Linotype" w:cs="Palatino Linotype"/>
          <w:b/>
          <w:color w:val="000000"/>
        </w:rPr>
        <w:t>SOBRESEIMIENTO, NO PERMITE ENTRAR AL ESTUDIO DE LAS CUESTIONES DE FONDO</w:t>
      </w:r>
      <w:r w:rsidRPr="00321901">
        <w:rPr>
          <w:rFonts w:ascii="Palatino Linotype" w:eastAsia="Palatino Linotype" w:hAnsi="Palatino Linotype" w:cs="Palatino Linotype"/>
          <w:color w:val="000000"/>
          <w:vertAlign w:val="superscript"/>
        </w:rPr>
        <w:footnoteReference w:id="2"/>
      </w:r>
      <w:r w:rsidRPr="00321901">
        <w:rPr>
          <w:rFonts w:ascii="Palatino Linotype" w:eastAsia="Palatino Linotype" w:hAnsi="Palatino Linotype" w:cs="Palatino Linotype"/>
          <w:b/>
          <w:color w:val="000000"/>
        </w:rPr>
        <w:t>.</w:t>
      </w:r>
    </w:p>
    <w:p w:rsidR="00633AC9" w:rsidRPr="00321901" w:rsidRDefault="00633AC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633AC9" w:rsidRPr="00321901" w:rsidRDefault="003573FE">
      <w:pPr>
        <w:pBdr>
          <w:top w:val="nil"/>
          <w:left w:val="nil"/>
          <w:bottom w:val="nil"/>
          <w:right w:val="nil"/>
          <w:between w:val="nil"/>
        </w:pBdr>
        <w:spacing w:before="120" w:after="120"/>
        <w:ind w:left="1134" w:right="902"/>
        <w:jc w:val="both"/>
        <w:rPr>
          <w:rFonts w:ascii="Palatino Linotype" w:eastAsia="Palatino Linotype" w:hAnsi="Palatino Linotype" w:cs="Palatino Linotype"/>
          <w:b/>
          <w:i/>
          <w:color w:val="000000"/>
          <w:sz w:val="22"/>
          <w:szCs w:val="22"/>
        </w:rPr>
      </w:pPr>
      <w:r w:rsidRPr="00321901">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rsidR="00633AC9" w:rsidRPr="00321901" w:rsidRDefault="003573FE">
      <w:pPr>
        <w:pBdr>
          <w:top w:val="nil"/>
          <w:left w:val="nil"/>
          <w:bottom w:val="nil"/>
          <w:right w:val="nil"/>
          <w:between w:val="nil"/>
        </w:pBdr>
        <w:spacing w:before="120" w:after="120"/>
        <w:ind w:left="1134" w:right="902"/>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i/>
          <w:color w:val="000000"/>
          <w:sz w:val="22"/>
          <w:szCs w:val="22"/>
        </w:rPr>
        <w:t xml:space="preserve">Cuerpo de la tesis: Cuando se desecha una demanda de amparo o se sobresee en el juicio, ello no implica denegar justicia ni genera inseguridad jurídica, ya </w:t>
      </w:r>
      <w:r w:rsidRPr="00321901">
        <w:rPr>
          <w:rFonts w:ascii="Palatino Linotype" w:eastAsia="Palatino Linotype" w:hAnsi="Palatino Linotype" w:cs="Palatino Linotype"/>
          <w:i/>
          <w:color w:val="000000"/>
          <w:sz w:val="22"/>
          <w:szCs w:val="22"/>
        </w:rPr>
        <w:lastRenderedPageBreak/>
        <w:t xml:space="preserve">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321901">
        <w:rPr>
          <w:rFonts w:ascii="Palatino Linotype" w:eastAsia="Palatino Linotype" w:hAnsi="Palatino Linotype" w:cs="Palatino Linotype"/>
          <w:i/>
          <w:color w:val="000000"/>
          <w:sz w:val="22"/>
          <w:szCs w:val="22"/>
        </w:rPr>
        <w:t>promovente</w:t>
      </w:r>
      <w:proofErr w:type="spellEnd"/>
      <w:r w:rsidRPr="00321901">
        <w:rPr>
          <w:rFonts w:ascii="Palatino Linotype" w:eastAsia="Palatino Linotype" w:hAnsi="Palatino Linotype" w:cs="Palatino Linotype"/>
          <w:i/>
          <w:color w:val="000000"/>
          <w:sz w:val="22"/>
          <w:szCs w:val="22"/>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321901">
        <w:rPr>
          <w:rFonts w:ascii="Palatino Linotype" w:eastAsia="Palatino Linotype" w:hAnsi="Palatino Linotype" w:cs="Palatino Linotype"/>
          <w:color w:val="000000"/>
          <w:sz w:val="22"/>
          <w:szCs w:val="22"/>
        </w:rPr>
        <w:tab/>
      </w:r>
    </w:p>
    <w:p w:rsidR="00633AC9" w:rsidRPr="00321901" w:rsidRDefault="00633AC9">
      <w:pPr>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szCs w:val="22"/>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bookmarkStart w:id="6" w:name="_heading=h.lnxbz9" w:colFirst="0" w:colLast="0"/>
      <w:bookmarkEnd w:id="6"/>
      <w:r w:rsidRPr="00321901">
        <w:rPr>
          <w:rFonts w:ascii="Palatino Linotype" w:eastAsia="Palatino Linotype" w:hAnsi="Palatino Linotype" w:cs="Palatino Linotype"/>
          <w:color w:val="000000"/>
        </w:rPr>
        <w:t>Por lo que se dejan a salvo los derechos del hoy Recurrente para interponer nueva solicitud de información que a sus intereses convenga.</w:t>
      </w:r>
    </w:p>
    <w:p w:rsidR="00633AC9" w:rsidRPr="00321901" w:rsidRDefault="00633AC9">
      <w:pP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Bajo ese tenor con fundamento en </w:t>
      </w:r>
      <w:r w:rsidRPr="00321901">
        <w:rPr>
          <w:rFonts w:ascii="Palatino Linotype" w:eastAsia="Palatino Linotype" w:hAnsi="Palatino Linotype" w:cs="Palatino Linotype"/>
          <w:color w:val="000000"/>
        </w:rPr>
        <w:t>lo previsto en la fracción IV, del artículo 192, y al actualizarse la causal de improcedencia establecida en la fracción VII del artículo 191, de la Ley de Transparencia local</w:t>
      </w:r>
      <w:r w:rsidRPr="00321901">
        <w:rPr>
          <w:rFonts w:ascii="Palatino Linotype" w:eastAsia="Palatino Linotype" w:hAnsi="Palatino Linotype" w:cs="Palatino Linotype"/>
        </w:rPr>
        <w:t xml:space="preserve">, se </w:t>
      </w:r>
      <w:r w:rsidRPr="00321901">
        <w:rPr>
          <w:rFonts w:ascii="Palatino Linotype" w:eastAsia="Palatino Linotype" w:hAnsi="Palatino Linotype" w:cs="Palatino Linotype"/>
          <w:b/>
        </w:rPr>
        <w:t xml:space="preserve">SOBRESEE </w:t>
      </w:r>
      <w:r w:rsidRPr="00321901">
        <w:rPr>
          <w:rFonts w:ascii="Palatino Linotype" w:eastAsia="Palatino Linotype" w:hAnsi="Palatino Linotype" w:cs="Palatino Linotype"/>
        </w:rPr>
        <w:t xml:space="preserve">el recurso de revisión </w:t>
      </w:r>
      <w:r w:rsidRPr="00321901">
        <w:rPr>
          <w:rFonts w:ascii="Palatino Linotype" w:eastAsia="Palatino Linotype" w:hAnsi="Palatino Linotype" w:cs="Palatino Linotype"/>
          <w:b/>
          <w:color w:val="000000"/>
        </w:rPr>
        <w:t>05003/INFOEM/IP/RR/2024</w:t>
      </w:r>
      <w:r w:rsidRPr="00321901">
        <w:rPr>
          <w:rFonts w:ascii="Palatino Linotype" w:eastAsia="Palatino Linotype" w:hAnsi="Palatino Linotype" w:cs="Palatino Linotype"/>
        </w:rPr>
        <w:t>, que ha sido materia del presente fallo.</w:t>
      </w:r>
    </w:p>
    <w:p w:rsidR="00633AC9" w:rsidRPr="00321901" w:rsidRDefault="00633AC9">
      <w:pPr>
        <w:spacing w:line="360" w:lineRule="auto"/>
        <w:jc w:val="both"/>
        <w:rPr>
          <w:rFonts w:ascii="Palatino Linotype" w:eastAsia="Palatino Linotype" w:hAnsi="Palatino Linotype" w:cs="Palatino Linotype"/>
          <w:color w:val="000000"/>
        </w:rPr>
      </w:pPr>
    </w:p>
    <w:p w:rsidR="00633AC9" w:rsidRPr="00321901" w:rsidRDefault="003573FE">
      <w:pPr>
        <w:spacing w:line="360" w:lineRule="auto"/>
        <w:jc w:val="both"/>
        <w:rPr>
          <w:rFonts w:ascii="Palatino Linotype" w:eastAsia="Palatino Linotype" w:hAnsi="Palatino Linotype" w:cs="Palatino Linotype"/>
          <w:b/>
          <w:color w:val="000000"/>
        </w:rPr>
      </w:pPr>
      <w:r w:rsidRPr="00321901">
        <w:rPr>
          <w:rFonts w:ascii="Palatino Linotype" w:eastAsia="Palatino Linotype" w:hAnsi="Palatino Linotype" w:cs="Palatino Linotype"/>
          <w:b/>
          <w:color w:val="000000"/>
        </w:rPr>
        <w:t xml:space="preserve">Del recurso de revisión </w:t>
      </w:r>
      <w:r w:rsidRPr="00321901">
        <w:rPr>
          <w:rFonts w:ascii="Palatino Linotype" w:eastAsia="Palatino Linotype" w:hAnsi="Palatino Linotype" w:cs="Palatino Linotype"/>
          <w:b/>
        </w:rPr>
        <w:t>0</w:t>
      </w:r>
      <w:r w:rsidRPr="00321901">
        <w:rPr>
          <w:rFonts w:ascii="Palatino Linotype" w:eastAsia="Palatino Linotype" w:hAnsi="Palatino Linotype" w:cs="Palatino Linotype"/>
          <w:b/>
          <w:color w:val="000000"/>
        </w:rPr>
        <w:t>5698/INFOEM/IP/RR/2024</w:t>
      </w:r>
    </w:p>
    <w:p w:rsidR="00633AC9" w:rsidRPr="00321901" w:rsidRDefault="00633AC9">
      <w:pP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 xml:space="preserve">El particular Solicitó información respecto de la servidora pública descrita en la solicitud de la información, respuesta otorgada por el Coordinador de Recursos Humanos, en donde se manifestaron sobre cada uno de los 8 puntos solicitados, entregando para algunos de ellos la documentación soporte a la respuesta y en otros la manifestación a través del oficio correspondiente, tal como ya fue especificado y </w:t>
      </w:r>
      <w:r w:rsidRPr="00321901">
        <w:rPr>
          <w:rFonts w:ascii="Palatino Linotype" w:eastAsia="Palatino Linotype" w:hAnsi="Palatino Linotype" w:cs="Palatino Linotype"/>
          <w:color w:val="000000"/>
        </w:rPr>
        <w:lastRenderedPageBreak/>
        <w:t xml:space="preserve">descrito en los párrafos 1, 2 y 11, inciso b), respuesta de la cual se dolió el recurrente al manifestar su inconformidad respecto del punto 7, relativo a </w:t>
      </w:r>
      <w:r w:rsidRPr="00321901">
        <w:rPr>
          <w:rFonts w:ascii="Palatino Linotype" w:eastAsia="Palatino Linotype" w:hAnsi="Palatino Linotype" w:cs="Palatino Linotype"/>
          <w:i/>
          <w:color w:val="000000"/>
        </w:rPr>
        <w:t>Listas de asistencia con horario de entrada y salida del mes de enero del 2022 al 30 de junio del 2024</w:t>
      </w:r>
      <w:r w:rsidRPr="00321901">
        <w:rPr>
          <w:rFonts w:ascii="Palatino Linotype" w:eastAsia="Palatino Linotype" w:hAnsi="Palatino Linotype" w:cs="Palatino Linotype"/>
          <w:color w:val="000000"/>
        </w:rPr>
        <w:t>.</w:t>
      </w:r>
    </w:p>
    <w:p w:rsidR="00633AC9" w:rsidRPr="00321901" w:rsidRDefault="00633AC9">
      <w:pP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i/>
        </w:rPr>
      </w:pPr>
      <w:r w:rsidRPr="00321901">
        <w:rPr>
          <w:rFonts w:ascii="Palatino Linotype" w:eastAsia="Palatino Linotype" w:hAnsi="Palatino Linotype" w:cs="Palatino Linotype"/>
        </w:rPr>
        <w:t xml:space="preserve">En informe justificado el Sujeto Obligado confirma su respuesta inicial, reiterando que </w:t>
      </w:r>
      <w:r w:rsidRPr="00321901">
        <w:rPr>
          <w:rFonts w:ascii="Palatino Linotype" w:eastAsia="Palatino Linotype" w:hAnsi="Palatino Linotype" w:cs="Palatino Linotype"/>
          <w:i/>
        </w:rPr>
        <w:t>no se generan listas de asistencia debido a que no es el método que se utiliza dentro de esa Coordinación para llevar el registro de la misma.</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De lo anterior, es importante señalar que para el ejercicio de sus atribuciones, el Ayuntamiento de auxiliará de áreas centralizadas, direcciones y unidades de la Administración Pública Municipal, así como Organismos Públicos Descentralizados y Organismos Autónomos, dentro de las Direcciones de encuentra la Dirección de Administración, misma que será la responsable de administrar entre otras, la gestión de los recursos humanos, y para cumplir de manera eficiente con el desempeño de sus funciones, se auxiliará de diversas coordinaciones, entre las cuales se encuentra la Coordinación de Recursos Humanos, conforme a lo establecido en el Bando Municipal de </w:t>
      </w:r>
      <w:proofErr w:type="spellStart"/>
      <w:r w:rsidRPr="00321901">
        <w:rPr>
          <w:rFonts w:ascii="Palatino Linotype" w:eastAsia="Palatino Linotype" w:hAnsi="Palatino Linotype" w:cs="Palatino Linotype"/>
        </w:rPr>
        <w:t>Temamatla</w:t>
      </w:r>
      <w:proofErr w:type="spellEnd"/>
      <w:r w:rsidRPr="00321901">
        <w:rPr>
          <w:rFonts w:ascii="Palatino Linotype" w:eastAsia="Palatino Linotype" w:hAnsi="Palatino Linotype" w:cs="Palatino Linotype"/>
        </w:rPr>
        <w:t xml:space="preserve"> 2024, en sus artículos 29, numeral 2, inciso b), 62 y 63.</w:t>
      </w:r>
    </w:p>
    <w:p w:rsidR="00633AC9" w:rsidRPr="00321901" w:rsidRDefault="00633AC9">
      <w:pP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Podemos advertir que </w:t>
      </w:r>
      <w:r w:rsidRPr="00321901">
        <w:rPr>
          <w:rFonts w:ascii="Palatino Linotype" w:eastAsia="Palatino Linotype" w:hAnsi="Palatino Linotype" w:cs="Palatino Linotype"/>
          <w:b/>
        </w:rPr>
        <w:t xml:space="preserve">EL SUJETO OBLIGADO </w:t>
      </w:r>
      <w:r w:rsidRPr="00321901">
        <w:rPr>
          <w:rFonts w:ascii="Palatino Linotype" w:eastAsia="Palatino Linotype" w:hAnsi="Palatino Linotype" w:cs="Palatino Linotype"/>
        </w:rPr>
        <w:t xml:space="preserve">siguió el procedimiento inmerso en la normatividad aplicable, ya que turno el requerimiento de información a una dependencia administrativa competente, vigilando lo establecido por el artículo 162 de la Ley de Transparencia y Acceso a la Información Pública del Estado de México y Municipios, al turnar la solicitud de información a las áreas en las que </w:t>
      </w:r>
      <w:r w:rsidRPr="00321901">
        <w:rPr>
          <w:rFonts w:ascii="Palatino Linotype" w:eastAsia="Palatino Linotype" w:hAnsi="Palatino Linotype" w:cs="Palatino Linotype"/>
        </w:rPr>
        <w:lastRenderedPageBreak/>
        <w:t>pudiera obrar la información de conformidad con la fracción XXXIX del artículo tercero de la legislación local vigente en materia de transparencia:</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ind w:left="1134" w:right="902"/>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XXXIX.</w:t>
      </w:r>
      <w:r w:rsidRPr="00321901">
        <w:rPr>
          <w:rFonts w:ascii="Palatino Linotype" w:eastAsia="Palatino Linotype" w:hAnsi="Palatino Linotype" w:cs="Palatino Linotype"/>
          <w:i/>
          <w:sz w:val="22"/>
          <w:szCs w:val="22"/>
        </w:rPr>
        <w:t xml:space="preserve"> </w:t>
      </w:r>
      <w:r w:rsidRPr="00321901">
        <w:rPr>
          <w:rFonts w:ascii="Palatino Linotype" w:eastAsia="Palatino Linotype" w:hAnsi="Palatino Linotype" w:cs="Palatino Linotype"/>
          <w:b/>
          <w:i/>
          <w:sz w:val="22"/>
          <w:szCs w:val="22"/>
        </w:rPr>
        <w:t>Servidor público habilitado</w:t>
      </w:r>
      <w:r w:rsidRPr="00321901">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633AC9" w:rsidRPr="00321901" w:rsidRDefault="003573FE">
      <w:pPr>
        <w:ind w:left="1134" w:right="902"/>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w:t>
      </w:r>
      <w:r w:rsidRPr="00321901">
        <w:rPr>
          <w:rFonts w:ascii="Palatino Linotype" w:eastAsia="Palatino Linotype" w:hAnsi="Palatino Linotype" w:cs="Palatino Linotype"/>
          <w:b/>
          <w:i/>
          <w:sz w:val="22"/>
          <w:szCs w:val="22"/>
        </w:rPr>
        <w:t>Artículo 162.</w:t>
      </w:r>
      <w:r w:rsidRPr="00321901">
        <w:rPr>
          <w:rFonts w:ascii="Palatino Linotype" w:eastAsia="Palatino Linotype" w:hAnsi="Palatino Linotype" w:cs="Palatino Linotype"/>
          <w:i/>
          <w:sz w:val="22"/>
          <w:szCs w:val="22"/>
        </w:rPr>
        <w:t xml:space="preserve"> Las unidades de transparencia deberán garantizar que las solicitudes se turnen a </w:t>
      </w:r>
      <w:r w:rsidRPr="00321901">
        <w:rPr>
          <w:rFonts w:ascii="Palatino Linotype" w:eastAsia="Palatino Linotype" w:hAnsi="Palatino Linotype" w:cs="Palatino Linotype"/>
          <w:b/>
          <w:i/>
          <w:sz w:val="22"/>
          <w:szCs w:val="22"/>
        </w:rPr>
        <w:t>todas las Áreas competentes</w:t>
      </w:r>
      <w:r w:rsidRPr="00321901">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rPr>
        <w:t>De lo anteriormente expuesto, se advierte que, el Sujeto Obligado cuenta con facultades, atribuciones y competencia para generar, administrar y poseer la información solicitada.</w:t>
      </w:r>
    </w:p>
    <w:p w:rsidR="00633AC9" w:rsidRPr="00321901" w:rsidRDefault="00633AC9">
      <w:pPr>
        <w:spacing w:line="360" w:lineRule="auto"/>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rPr>
        <w:t>Es viable señalar que en las razones o motivos de inconformidad el recurrente manifestó la falta de respuesta a su solicitud de información al</w:t>
      </w:r>
      <w:r w:rsidRPr="00321901">
        <w:rPr>
          <w:rFonts w:ascii="Palatino Linotype" w:eastAsia="Palatino Linotype" w:hAnsi="Palatino Linotype" w:cs="Palatino Linotype"/>
          <w:color w:val="000000"/>
        </w:rPr>
        <w:t xml:space="preserve"> punto 7, relativo a </w:t>
      </w:r>
      <w:r w:rsidRPr="00321901">
        <w:rPr>
          <w:rFonts w:ascii="Palatino Linotype" w:eastAsia="Palatino Linotype" w:hAnsi="Palatino Linotype" w:cs="Palatino Linotype"/>
          <w:i/>
          <w:color w:val="000000"/>
        </w:rPr>
        <w:t>Listas de asistencia con horario de entrada y salida del mes de enero del 2022 al 30 de junio del 2024</w:t>
      </w:r>
      <w:r w:rsidRPr="00321901">
        <w:rPr>
          <w:rFonts w:ascii="Palatino Linotype" w:eastAsia="Palatino Linotype" w:hAnsi="Palatino Linotype" w:cs="Palatino Linotype"/>
          <w:color w:val="000000"/>
        </w:rPr>
        <w:t xml:space="preserve">, </w:t>
      </w:r>
      <w:r w:rsidRPr="00321901">
        <w:rPr>
          <w:rFonts w:ascii="Palatino Linotype" w:eastAsia="Palatino Linotype" w:hAnsi="Palatino Linotype" w:cs="Palatino Linotype"/>
        </w:rPr>
        <w:t xml:space="preserve">por lo que, como es claro, únicamente se inconforma por es único punto y </w:t>
      </w:r>
      <w:r w:rsidRPr="00321901">
        <w:rPr>
          <w:rFonts w:ascii="Palatino Linotype" w:eastAsia="Palatino Linotype" w:hAnsi="Palatino Linotype" w:cs="Palatino Linotype"/>
        </w:rPr>
        <w:lastRenderedPageBreak/>
        <w:t xml:space="preserve">no así en lo relativo a los demás rubros de la solicitud, </w:t>
      </w:r>
      <w:r w:rsidRPr="00321901">
        <w:rPr>
          <w:rFonts w:ascii="Palatino Linotype" w:eastAsia="Palatino Linotype" w:hAnsi="Palatino Linotype" w:cs="Palatino Linotype"/>
          <w:color w:val="000000"/>
        </w:rPr>
        <w:t>por lo que se deben tener como actos consentidos.</w:t>
      </w:r>
    </w:p>
    <w:p w:rsidR="00633AC9" w:rsidRPr="00321901" w:rsidRDefault="00633AC9">
      <w:pPr>
        <w:spacing w:line="360" w:lineRule="auto"/>
        <w:ind w:right="49"/>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right="49" w:firstLine="0"/>
        <w:jc w:val="both"/>
      </w:pPr>
      <w:r w:rsidRPr="00321901">
        <w:rPr>
          <w:rFonts w:ascii="Palatino Linotype" w:eastAsia="Palatino Linotype" w:hAnsi="Palatino Linotype" w:cs="Palatino Linotype"/>
        </w:rPr>
        <w:t xml:space="preserve">Luego entonces, al no existir inconformidad, la información se tiene por </w:t>
      </w:r>
      <w:r w:rsidRPr="00321901">
        <w:rPr>
          <w:rFonts w:ascii="Palatino Linotype" w:eastAsia="Palatino Linotype" w:hAnsi="Palatino Linotype" w:cs="Palatino Linotype"/>
          <w:color w:val="000000"/>
        </w:rPr>
        <w:t>consentida</w:t>
      </w:r>
      <w:r w:rsidRPr="00321901">
        <w:rPr>
          <w:rFonts w:ascii="Palatino Linotype" w:eastAsia="Palatino Linotype" w:hAnsi="Palatino Linotype" w:cs="Palatino Linotype"/>
        </w:rPr>
        <w:t>, ya</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321901">
        <w:rPr>
          <w:rFonts w:ascii="Palatino Linotype" w:eastAsia="Palatino Linotype" w:hAnsi="Palatino Linotype" w:cs="Palatino Linotype"/>
          <w:b/>
        </w:rPr>
        <w:t>actos consentidos</w:t>
      </w:r>
      <w:r w:rsidRPr="00321901">
        <w:rPr>
          <w:rFonts w:ascii="Palatino Linotype" w:eastAsia="Palatino Linotype" w:hAnsi="Palatino Linotype" w:cs="Palatino Linotype"/>
        </w:rPr>
        <w:t>.</w:t>
      </w:r>
    </w:p>
    <w:p w:rsidR="00633AC9" w:rsidRPr="00321901" w:rsidRDefault="00633AC9">
      <w:pPr>
        <w:spacing w:line="360" w:lineRule="auto"/>
        <w:ind w:right="49"/>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right="49" w:firstLine="0"/>
        <w:jc w:val="both"/>
      </w:pPr>
      <w:r w:rsidRPr="00321901">
        <w:rPr>
          <w:rFonts w:ascii="Palatino Linotype" w:eastAsia="Palatino Linotype" w:hAnsi="Palatino Linotype" w:cs="Palatino Linotype"/>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633AC9" w:rsidRPr="00321901" w:rsidRDefault="00633AC9">
      <w:pPr>
        <w:spacing w:line="360" w:lineRule="auto"/>
        <w:ind w:right="49"/>
        <w:jc w:val="both"/>
      </w:pPr>
    </w:p>
    <w:p w:rsidR="00633AC9" w:rsidRPr="00321901" w:rsidRDefault="003573FE">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321901">
        <w:rPr>
          <w:rFonts w:ascii="Palatino Linotype" w:eastAsia="Palatino Linotype" w:hAnsi="Palatino Linotype" w:cs="Palatino Linotype"/>
          <w:b/>
          <w:i/>
          <w:color w:val="000000"/>
          <w:sz w:val="22"/>
          <w:szCs w:val="22"/>
        </w:rPr>
        <w:t>“REVISIÓN EN AMPARO. LOS RESOLUTIVOS NO COMBATIDOS DEBEN DECLARARSE FIRMES. </w:t>
      </w:r>
      <w:r w:rsidRPr="00321901">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sidRPr="00321901">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sidRPr="00321901">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321901">
        <w:rPr>
          <w:rFonts w:ascii="Palatino Linotype" w:eastAsia="Palatino Linotype" w:hAnsi="Palatino Linotype" w:cs="Palatino Linotype"/>
          <w:i/>
          <w:color w:val="000000"/>
          <w:sz w:val="22"/>
          <w:szCs w:val="22"/>
        </w:rPr>
        <w:t>.”</w:t>
      </w:r>
    </w:p>
    <w:p w:rsidR="00633AC9" w:rsidRPr="00321901" w:rsidRDefault="003573FE">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(Énfasis añadido)</w:t>
      </w:r>
    </w:p>
    <w:p w:rsidR="00633AC9" w:rsidRPr="00321901" w:rsidRDefault="00633AC9">
      <w:pPr>
        <w:pBdr>
          <w:top w:val="nil"/>
          <w:left w:val="nil"/>
          <w:bottom w:val="nil"/>
          <w:right w:val="nil"/>
          <w:between w:val="nil"/>
        </w:pBdr>
        <w:spacing w:line="360" w:lineRule="auto"/>
        <w:ind w:left="426" w:right="-929"/>
        <w:jc w:val="center"/>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right="49" w:firstLine="0"/>
        <w:jc w:val="both"/>
      </w:pPr>
      <w:r w:rsidRPr="00321901">
        <w:rPr>
          <w:rFonts w:ascii="Palatino Linotype" w:eastAsia="Palatino Linotype" w:hAnsi="Palatino Linotype" w:cs="Palatino Linotype"/>
        </w:rPr>
        <w:lastRenderedPageBreak/>
        <w:t xml:space="preserve">Consecutivamente, </w:t>
      </w:r>
      <w:r w:rsidRPr="00321901">
        <w:rPr>
          <w:rFonts w:ascii="Palatino Linotype" w:eastAsia="Palatino Linotype" w:hAnsi="Palatino Linotype" w:cs="Palatino Linotype"/>
          <w:b/>
        </w:rPr>
        <w:t xml:space="preserve">la parte de la respuesta que no fue impugnada debe </w:t>
      </w:r>
      <w:r w:rsidRPr="00321901">
        <w:rPr>
          <w:rFonts w:ascii="Palatino Linotype" w:eastAsia="Palatino Linotype" w:hAnsi="Palatino Linotype" w:cs="Palatino Linotype"/>
        </w:rPr>
        <w:t>declararse</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consentida</w:t>
      </w:r>
      <w:r w:rsidRPr="00321901">
        <w:rPr>
          <w:rFonts w:ascii="Palatino Linotype" w:eastAsia="Palatino Linotype" w:hAnsi="Palatino Linotype" w:cs="Palatino Linotype"/>
          <w:b/>
        </w:rPr>
        <w:t xml:space="preserve"> por el recurrente, toda vez que no realizó </w:t>
      </w:r>
      <w:r w:rsidRPr="00321901">
        <w:rPr>
          <w:rFonts w:ascii="Palatino Linotype" w:eastAsia="Palatino Linotype" w:hAnsi="Palatino Linotype" w:cs="Palatino Linotype"/>
        </w:rPr>
        <w:t>manifestaciones</w:t>
      </w:r>
      <w:r w:rsidRPr="00321901">
        <w:rPr>
          <w:rFonts w:ascii="Palatino Linotype" w:eastAsia="Palatino Linotype" w:hAnsi="Palatino Linotype" w:cs="Palatino Linotype"/>
          <w:b/>
        </w:rPr>
        <w:t xml:space="preserve"> de inconformidad</w:t>
      </w:r>
      <w:r w:rsidRPr="00321901">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633AC9" w:rsidRPr="00321901" w:rsidRDefault="00633AC9">
      <w:pPr>
        <w:spacing w:line="360" w:lineRule="auto"/>
        <w:ind w:right="49"/>
        <w:jc w:val="both"/>
      </w:pPr>
    </w:p>
    <w:p w:rsidR="00633AC9" w:rsidRPr="00321901" w:rsidRDefault="003573FE">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321901">
        <w:rPr>
          <w:rFonts w:ascii="Palatino Linotype" w:eastAsia="Palatino Linotype" w:hAnsi="Palatino Linotype" w:cs="Palatino Linotype"/>
          <w:b/>
          <w:i/>
          <w:color w:val="000000"/>
          <w:sz w:val="22"/>
          <w:szCs w:val="22"/>
        </w:rPr>
        <w:t>“ACTOS CONSENTIDOS. SON LOS QUE NO SE IMPUGNAN MEDIANTE EL RECURSO IDÓNEO. </w:t>
      </w:r>
      <w:r w:rsidRPr="00321901">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sidRPr="00321901">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633AC9" w:rsidRPr="00321901" w:rsidRDefault="003573FE">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(Énfasis añadido)</w:t>
      </w:r>
    </w:p>
    <w:p w:rsidR="00633AC9" w:rsidRPr="00321901" w:rsidRDefault="00633AC9">
      <w:pPr>
        <w:spacing w:line="360" w:lineRule="auto"/>
        <w:ind w:right="49"/>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right="49" w:firstLine="0"/>
        <w:jc w:val="both"/>
      </w:pPr>
      <w:r w:rsidRPr="00321901">
        <w:rPr>
          <w:rFonts w:ascii="Palatino Linotype" w:eastAsia="Palatino Linotype" w:hAnsi="Palatino Linotype" w:cs="Palatino Linotype"/>
        </w:rPr>
        <w:t>Luego entonces, la parte de la respuesta que no fue impugnada por el recurrente debe declararse consentida.</w:t>
      </w:r>
    </w:p>
    <w:p w:rsidR="00633AC9" w:rsidRPr="00321901" w:rsidRDefault="00633AC9">
      <w:pPr>
        <w:spacing w:line="360" w:lineRule="auto"/>
        <w:ind w:right="49"/>
        <w:jc w:val="both"/>
      </w:pPr>
    </w:p>
    <w:p w:rsidR="00633AC9" w:rsidRPr="00321901" w:rsidRDefault="003573FE">
      <w:pPr>
        <w:numPr>
          <w:ilvl w:val="0"/>
          <w:numId w:val="3"/>
        </w:numPr>
        <w:spacing w:line="360" w:lineRule="auto"/>
        <w:ind w:left="0" w:right="49"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Ahora bien, del punto que si impugnó el recurrente cabe mencionar que el Sujeto Obligado señaló en su respuesta inicial que no se generan listas de asistencia dentro de esa coordinación, ya que no es el método de registro de la misma, respuesta que fue confirmada en informe justificando, circunstancia de la cual se desprende que si bien es la unidad administrativa encargada de documentar el registro de asistencia, lo solicitado por el particular, es decir, </w:t>
      </w:r>
      <w:r w:rsidRPr="00321901">
        <w:rPr>
          <w:rFonts w:ascii="Palatino Linotype" w:eastAsia="Palatino Linotype" w:hAnsi="Palatino Linotype" w:cs="Palatino Linotype"/>
          <w:b/>
        </w:rPr>
        <w:t>listas de asistencia</w:t>
      </w:r>
      <w:r w:rsidRPr="00321901">
        <w:rPr>
          <w:rFonts w:ascii="Palatino Linotype" w:eastAsia="Palatino Linotype" w:hAnsi="Palatino Linotype" w:cs="Palatino Linotype"/>
        </w:rPr>
        <w:t>, no es el método con el cual se lleva el control de asistencia de los servidores públicos.</w:t>
      </w:r>
    </w:p>
    <w:p w:rsidR="00633AC9" w:rsidRPr="00321901" w:rsidRDefault="00633AC9">
      <w:pPr>
        <w:spacing w:line="360" w:lineRule="auto"/>
        <w:ind w:right="49"/>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rPr>
        <w:lastRenderedPageBreak/>
        <w:t xml:space="preserve">Es así que, toda vez que el solicitante planteó su solicitud con la palabra </w:t>
      </w:r>
      <w:r w:rsidRPr="00321901">
        <w:rPr>
          <w:rFonts w:ascii="Palatino Linotype" w:eastAsia="Palatino Linotype" w:hAnsi="Palatino Linotype" w:cs="Palatino Linotype"/>
          <w:b/>
          <w:i/>
        </w:rPr>
        <w:t>listas de asistencia</w:t>
      </w:r>
      <w:r w:rsidRPr="00321901">
        <w:rPr>
          <w:rFonts w:ascii="Palatino Linotype" w:eastAsia="Palatino Linotype" w:hAnsi="Palatino Linotype" w:cs="Palatino Linotype"/>
          <w:i/>
        </w:rPr>
        <w:t>,</w:t>
      </w:r>
      <w:r w:rsidRPr="00321901">
        <w:rPr>
          <w:rFonts w:ascii="Palatino Linotype" w:eastAsia="Palatino Linotype" w:hAnsi="Palatino Linotype" w:cs="Palatino Linotype"/>
        </w:rPr>
        <w:t xml:space="preserve"> y el Sujeto Obligado respondió que no se generan las mismas, ya que no es el método de registro, también lo es que</w:t>
      </w:r>
      <w:r w:rsidRPr="00321901">
        <w:rPr>
          <w:rFonts w:ascii="Palatino Linotype" w:eastAsia="Palatino Linotype" w:hAnsi="Palatino Linotype" w:cs="Palatino Linotype"/>
          <w:color w:val="000000"/>
        </w:rPr>
        <w:t>, es obligación de los Sujetos Obligados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en el presente caso, se deberá proceder a la entrega del soporte documental en donde conste la información que brinde respuesta a la solicitud.</w:t>
      </w:r>
    </w:p>
    <w:p w:rsidR="00633AC9" w:rsidRPr="00321901" w:rsidRDefault="00633AC9">
      <w:pPr>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 xml:space="preserve">Como sustento a lo anterior resulta aplicable el Criterio 16/17, emitido por el Instituto Nacional de Transparencia, Acceso a la Información y Protección de Datos Personales, INAI, establece lo siguiente: </w:t>
      </w:r>
    </w:p>
    <w:p w:rsidR="00633AC9" w:rsidRPr="00321901" w:rsidRDefault="00633AC9">
      <w:pPr>
        <w:jc w:val="both"/>
        <w:rPr>
          <w:rFonts w:ascii="Palatino Linotype" w:eastAsia="Palatino Linotype" w:hAnsi="Palatino Linotype" w:cs="Palatino Linotype"/>
          <w:color w:val="000000"/>
        </w:rPr>
      </w:pPr>
    </w:p>
    <w:p w:rsidR="00633AC9" w:rsidRPr="00321901" w:rsidRDefault="003573FE">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sidRPr="00321901">
        <w:rPr>
          <w:rFonts w:ascii="Palatino Linotype" w:eastAsia="Palatino Linotype" w:hAnsi="Palatino Linotype" w:cs="Palatino Linotype"/>
          <w:i/>
          <w:color w:val="000000"/>
          <w:sz w:val="22"/>
          <w:szCs w:val="22"/>
        </w:rPr>
        <w:t xml:space="preserve"> “</w:t>
      </w:r>
      <w:r w:rsidRPr="00321901">
        <w:rPr>
          <w:rFonts w:ascii="Palatino Linotype" w:eastAsia="Palatino Linotype" w:hAnsi="Palatino Linotype" w:cs="Palatino Linotype"/>
          <w:b/>
          <w:i/>
          <w:color w:val="000000"/>
          <w:sz w:val="22"/>
          <w:szCs w:val="22"/>
        </w:rPr>
        <w:t>Expresión documental</w:t>
      </w:r>
      <w:r w:rsidRPr="00321901">
        <w:rPr>
          <w:rFonts w:ascii="Palatino Linotype" w:eastAsia="Palatino Linotype" w:hAnsi="Palatino Linotype" w:cs="Palatino Linotype"/>
          <w:i/>
          <w:color w:val="000000"/>
          <w:sz w:val="22"/>
          <w:szCs w:val="22"/>
        </w:rPr>
        <w:t>.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rsidR="00633AC9" w:rsidRPr="00321901" w:rsidRDefault="00633AC9">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 xml:space="preserve">Lo anterior en virtud de que el </w:t>
      </w:r>
      <w:r w:rsidRPr="00321901">
        <w:rPr>
          <w:rFonts w:ascii="Palatino Linotype" w:eastAsia="Palatino Linotype" w:hAnsi="Palatino Linotype" w:cs="Palatino Linotype"/>
          <w:b/>
          <w:color w:val="000000"/>
        </w:rPr>
        <w:t>Sujeto Obligado</w:t>
      </w:r>
      <w:r w:rsidRPr="00321901">
        <w:rPr>
          <w:rFonts w:ascii="Palatino Linotype" w:eastAsia="Palatino Linotype" w:hAnsi="Palatino Linotype" w:cs="Palatino Linotype"/>
          <w:color w:val="000000"/>
        </w:rPr>
        <w:t xml:space="preserve"> se encuentra constreñido a documentar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rsidR="00633AC9" w:rsidRPr="00321901" w:rsidRDefault="003573FE">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szCs w:val="22"/>
        </w:rPr>
      </w:pPr>
      <w:r w:rsidRPr="00321901">
        <w:rPr>
          <w:rFonts w:ascii="Palatino Linotype" w:eastAsia="Palatino Linotype" w:hAnsi="Palatino Linotype" w:cs="Palatino Linotype"/>
          <w:i/>
          <w:color w:val="000000"/>
          <w:sz w:val="22"/>
          <w:szCs w:val="22"/>
        </w:rPr>
        <w:lastRenderedPageBreak/>
        <w:t>“</w:t>
      </w:r>
      <w:r w:rsidRPr="00321901">
        <w:rPr>
          <w:rFonts w:ascii="Palatino Linotype" w:eastAsia="Palatino Linotype" w:hAnsi="Palatino Linotype" w:cs="Palatino Linotype"/>
          <w:b/>
          <w:i/>
          <w:color w:val="000000"/>
          <w:sz w:val="22"/>
          <w:szCs w:val="22"/>
        </w:rPr>
        <w:t>Artículo 18</w:t>
      </w:r>
      <w:r w:rsidRPr="00321901">
        <w:rPr>
          <w:rFonts w:ascii="Palatino Linotype" w:eastAsia="Palatino Linotype" w:hAnsi="Palatino Linotype" w:cs="Palatino Linotype"/>
          <w:i/>
          <w:color w:val="000000"/>
          <w:sz w:val="22"/>
          <w:szCs w:val="22"/>
        </w:rPr>
        <w:t>. Los sujetos obligados deberán documentar todo acto que derive del ejercicio de sus facultades, competencias o funciones, considerando desde su origen la eventual publicidad y reutilización de la información que generen.</w:t>
      </w:r>
    </w:p>
    <w:p w:rsidR="00633AC9" w:rsidRPr="00321901" w:rsidRDefault="003573FE">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szCs w:val="22"/>
        </w:rPr>
      </w:pPr>
      <w:r w:rsidRPr="00321901">
        <w:rPr>
          <w:rFonts w:ascii="Palatino Linotype" w:eastAsia="Palatino Linotype" w:hAnsi="Palatino Linotype" w:cs="Palatino Linotype"/>
          <w:i/>
          <w:color w:val="000000"/>
          <w:sz w:val="22"/>
          <w:szCs w:val="22"/>
        </w:rPr>
        <w:t>…</w:t>
      </w:r>
    </w:p>
    <w:p w:rsidR="00633AC9" w:rsidRPr="00321901" w:rsidRDefault="003573FE">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szCs w:val="22"/>
        </w:rPr>
      </w:pPr>
      <w:r w:rsidRPr="00321901">
        <w:rPr>
          <w:rFonts w:ascii="Palatino Linotype" w:eastAsia="Palatino Linotype" w:hAnsi="Palatino Linotype" w:cs="Palatino Linotype"/>
          <w:b/>
          <w:i/>
          <w:color w:val="000000"/>
          <w:sz w:val="22"/>
          <w:szCs w:val="22"/>
        </w:rPr>
        <w:t>Artículo 24</w:t>
      </w:r>
      <w:r w:rsidRPr="00321901">
        <w:rPr>
          <w:rFonts w:ascii="Palatino Linotype" w:eastAsia="Palatino Linotype" w:hAnsi="Palatino Linotype" w:cs="Palatino Linotype"/>
          <w:i/>
          <w:color w:val="000000"/>
          <w:sz w:val="22"/>
          <w:szCs w:val="22"/>
        </w:rPr>
        <w:t>. Para el cumplimiento de los objetivos de esta Ley, los sujetos obligados deberán cumplir con las siguientes obligaciones, según corresponda, de acuerdo a su naturaleza:</w:t>
      </w:r>
    </w:p>
    <w:p w:rsidR="00633AC9" w:rsidRPr="00321901" w:rsidRDefault="003573FE">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szCs w:val="22"/>
        </w:rPr>
      </w:pPr>
      <w:r w:rsidRPr="00321901">
        <w:rPr>
          <w:rFonts w:ascii="Palatino Linotype" w:eastAsia="Palatino Linotype" w:hAnsi="Palatino Linotype" w:cs="Palatino Linotype"/>
          <w:b/>
          <w:i/>
          <w:color w:val="000000"/>
          <w:sz w:val="22"/>
          <w:szCs w:val="22"/>
        </w:rPr>
        <w:t>XXII.</w:t>
      </w:r>
      <w:r w:rsidRPr="00321901">
        <w:rPr>
          <w:rFonts w:ascii="Palatino Linotype" w:eastAsia="Palatino Linotype" w:hAnsi="Palatino Linotype" w:cs="Palatino Linotype"/>
          <w:i/>
          <w:color w:val="000000"/>
          <w:sz w:val="22"/>
          <w:szCs w:val="22"/>
        </w:rPr>
        <w:t xml:space="preserve"> Documentar todo acto que derive del ejercicio de sus facultades, competencias o funciones y abstenerse de destruirlos u ocultarlos, dentro de los que destacan los procesos deliberativos y de decisión definitiva;</w:t>
      </w:r>
    </w:p>
    <w:p w:rsidR="00633AC9" w:rsidRPr="00321901" w:rsidRDefault="003573FE">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szCs w:val="22"/>
        </w:rPr>
      </w:pPr>
      <w:r w:rsidRPr="00321901">
        <w:rPr>
          <w:rFonts w:ascii="Palatino Linotype" w:eastAsia="Palatino Linotype" w:hAnsi="Palatino Linotype" w:cs="Palatino Linotype"/>
          <w:i/>
          <w:color w:val="000000"/>
          <w:sz w:val="22"/>
          <w:szCs w:val="22"/>
        </w:rPr>
        <w:t>…</w:t>
      </w:r>
    </w:p>
    <w:p w:rsidR="00633AC9" w:rsidRPr="00321901" w:rsidRDefault="003573FE">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szCs w:val="22"/>
        </w:rPr>
      </w:pPr>
      <w:r w:rsidRPr="00321901">
        <w:rPr>
          <w:rFonts w:ascii="Palatino Linotype" w:eastAsia="Palatino Linotype" w:hAnsi="Palatino Linotype" w:cs="Palatino Linotype"/>
          <w:b/>
          <w:i/>
          <w:color w:val="000000"/>
          <w:sz w:val="22"/>
          <w:szCs w:val="22"/>
        </w:rPr>
        <w:t>Artículo 160.</w:t>
      </w:r>
      <w:r w:rsidRPr="00321901">
        <w:rPr>
          <w:rFonts w:ascii="Palatino Linotype" w:eastAsia="Palatino Linotype" w:hAnsi="Palatino Linotype" w:cs="Palatino Linotype"/>
          <w:i/>
          <w:color w:val="000000"/>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633AC9" w:rsidRPr="00321901" w:rsidRDefault="00633AC9">
      <w:pPr>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right="49"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Derivado de lo anterior, es sustancial precisar lo que manifiesta la normatividad con relación la documentación de la asistencia de los servidores públicos.</w:t>
      </w:r>
    </w:p>
    <w:p w:rsidR="00633AC9" w:rsidRPr="00321901" w:rsidRDefault="00633AC9">
      <w:pPr>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right="49"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De conformidad con el artículo 49, de la Ley del Trabajo de los Servidores Públicos del Estado de México y Municipios se determinan los requisitos para tener por formalizada una relación de trabajo entre el servidor y las entidades públicas, los cuales se enlistan a continuación: </w:t>
      </w:r>
    </w:p>
    <w:p w:rsidR="00633AC9" w:rsidRPr="00321901" w:rsidRDefault="00633AC9">
      <w:pPr>
        <w:jc w:val="both"/>
        <w:rPr>
          <w:rFonts w:ascii="Palatino Linotype" w:eastAsia="Palatino Linotype" w:hAnsi="Palatino Linotype" w:cs="Palatino Linotype"/>
          <w:i/>
          <w:sz w:val="22"/>
          <w:szCs w:val="22"/>
        </w:rPr>
      </w:pP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ARTÍCULO 49.-</w:t>
      </w:r>
      <w:r w:rsidRPr="00321901">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rsidR="00633AC9" w:rsidRPr="00321901" w:rsidRDefault="00633AC9">
      <w:pPr>
        <w:ind w:left="1134" w:right="900"/>
        <w:jc w:val="both"/>
        <w:rPr>
          <w:rFonts w:ascii="Palatino Linotype" w:eastAsia="Palatino Linotype" w:hAnsi="Palatino Linotype" w:cs="Palatino Linotype"/>
          <w:i/>
          <w:sz w:val="22"/>
          <w:szCs w:val="22"/>
        </w:rPr>
      </w:pP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 Nombre completo del servidor público;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lastRenderedPageBreak/>
        <w:t xml:space="preserve">II. Cargo para el que es designado, fecha de inicio de sus servicios y lugar de adscripción;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IV. Remuneración correspondiente al puesto; </w:t>
      </w:r>
    </w:p>
    <w:p w:rsidR="00633AC9" w:rsidRPr="00321901" w:rsidRDefault="003573FE">
      <w:pPr>
        <w:ind w:left="1134" w:right="900"/>
        <w:jc w:val="both"/>
        <w:rPr>
          <w:rFonts w:ascii="Palatino Linotype" w:eastAsia="Palatino Linotype" w:hAnsi="Palatino Linotype" w:cs="Palatino Linotype"/>
          <w:b/>
          <w:i/>
          <w:sz w:val="22"/>
          <w:szCs w:val="22"/>
        </w:rPr>
      </w:pPr>
      <w:r w:rsidRPr="00321901">
        <w:rPr>
          <w:rFonts w:ascii="Palatino Linotype" w:eastAsia="Palatino Linotype" w:hAnsi="Palatino Linotype" w:cs="Palatino Linotype"/>
          <w:b/>
          <w:i/>
          <w:sz w:val="22"/>
          <w:szCs w:val="22"/>
        </w:rPr>
        <w:t xml:space="preserve">V. Jornada de trabajo;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VI. Derogada;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rsidR="00633AC9" w:rsidRPr="00321901" w:rsidRDefault="00633AC9">
      <w:pPr>
        <w:spacing w:line="360" w:lineRule="auto"/>
        <w:ind w:left="567" w:right="567"/>
        <w:jc w:val="both"/>
        <w:rPr>
          <w:rFonts w:ascii="Palatino Linotype" w:eastAsia="Palatino Linotype" w:hAnsi="Palatino Linotype" w:cs="Palatino Linotype"/>
          <w:i/>
        </w:rPr>
      </w:pPr>
    </w:p>
    <w:p w:rsidR="00633AC9" w:rsidRPr="00321901" w:rsidRDefault="003573FE">
      <w:pPr>
        <w:numPr>
          <w:ilvl w:val="0"/>
          <w:numId w:val="3"/>
        </w:numPr>
        <w:spacing w:line="360" w:lineRule="auto"/>
        <w:ind w:left="0" w:right="49"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Del citado ordenamiento legal, se advierte que, en los nombramientos, contratos o formatos únicos de movimientos de personal, deben contener, entre otros requisitos, la jornada de trabajo; </w:t>
      </w:r>
      <w:r w:rsidRPr="00321901">
        <w:rPr>
          <w:rFonts w:ascii="Palatino Linotype" w:eastAsia="Palatino Linotype" w:hAnsi="Palatino Linotype" w:cs="Palatino Linotype"/>
          <w:b/>
        </w:rPr>
        <w:t>es decir el periodo o espacio de tiempo por el cual el servidor público prestará su servicio al ente público del que se trate</w:t>
      </w:r>
      <w:r w:rsidRPr="00321901">
        <w:rPr>
          <w:rFonts w:ascii="Palatino Linotype" w:eastAsia="Palatino Linotype" w:hAnsi="Palatino Linotype" w:cs="Palatino Linotype"/>
        </w:rPr>
        <w:t xml:space="preserve">, lo que se robustece con lo establecido en los artículos 56 y 59 del mismo ordenamiento legal, que dispone lo siguiente: </w:t>
      </w:r>
    </w:p>
    <w:p w:rsidR="00633AC9" w:rsidRPr="00321901" w:rsidRDefault="00633AC9">
      <w:pPr>
        <w:jc w:val="both"/>
        <w:rPr>
          <w:rFonts w:ascii="Palatino Linotype" w:eastAsia="Palatino Linotype" w:hAnsi="Palatino Linotype" w:cs="Palatino Linotype"/>
        </w:rPr>
      </w:pPr>
    </w:p>
    <w:p w:rsidR="00633AC9" w:rsidRPr="00321901" w:rsidRDefault="003573FE">
      <w:pPr>
        <w:tabs>
          <w:tab w:val="left" w:pos="7938"/>
        </w:tabs>
        <w:ind w:left="993"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w:t>
      </w:r>
      <w:r w:rsidRPr="00321901">
        <w:rPr>
          <w:rFonts w:ascii="Palatino Linotype" w:eastAsia="Palatino Linotype" w:hAnsi="Palatino Linotype" w:cs="Palatino Linotype"/>
          <w:b/>
          <w:i/>
          <w:sz w:val="22"/>
          <w:szCs w:val="22"/>
        </w:rPr>
        <w:t>ARTÍCULO 56</w:t>
      </w:r>
      <w:r w:rsidRPr="00321901">
        <w:rPr>
          <w:rFonts w:ascii="Palatino Linotype" w:eastAsia="Palatino Linotype" w:hAnsi="Palatino Linotype" w:cs="Palatino Linotype"/>
          <w:i/>
          <w:sz w:val="22"/>
          <w:szCs w:val="22"/>
        </w:rPr>
        <w:t>. Las condiciones generales de trabajo, establecerán como mínimo:</w:t>
      </w:r>
    </w:p>
    <w:p w:rsidR="00633AC9" w:rsidRPr="00321901" w:rsidRDefault="003573FE">
      <w:pPr>
        <w:tabs>
          <w:tab w:val="left" w:pos="7938"/>
        </w:tabs>
        <w:ind w:left="993"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 </w:t>
      </w:r>
      <w:r w:rsidRPr="00321901">
        <w:rPr>
          <w:rFonts w:ascii="Palatino Linotype" w:eastAsia="Palatino Linotype" w:hAnsi="Palatino Linotype" w:cs="Palatino Linotype"/>
          <w:b/>
          <w:i/>
          <w:sz w:val="22"/>
          <w:szCs w:val="22"/>
        </w:rPr>
        <w:t>Duración de la jornada de trabajo</w:t>
      </w:r>
      <w:r w:rsidRPr="00321901">
        <w:rPr>
          <w:rFonts w:ascii="Palatino Linotype" w:eastAsia="Palatino Linotype" w:hAnsi="Palatino Linotype" w:cs="Palatino Linotype"/>
          <w:i/>
          <w:sz w:val="22"/>
          <w:szCs w:val="22"/>
        </w:rPr>
        <w:t>;</w:t>
      </w:r>
    </w:p>
    <w:p w:rsidR="00633AC9" w:rsidRPr="00321901" w:rsidRDefault="003573FE">
      <w:pPr>
        <w:tabs>
          <w:tab w:val="left" w:pos="7938"/>
        </w:tabs>
        <w:ind w:left="993"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 </w:t>
      </w:r>
    </w:p>
    <w:p w:rsidR="00633AC9" w:rsidRPr="00321901" w:rsidRDefault="003573FE">
      <w:pPr>
        <w:tabs>
          <w:tab w:val="left" w:pos="7938"/>
        </w:tabs>
        <w:ind w:left="993"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ARTÍCULO 59.</w:t>
      </w:r>
      <w:r w:rsidRPr="00321901">
        <w:rPr>
          <w:rFonts w:ascii="Palatino Linotype" w:eastAsia="Palatino Linotype" w:hAnsi="Palatino Linotype" w:cs="Palatino Linotype"/>
          <w:i/>
          <w:sz w:val="22"/>
          <w:szCs w:val="22"/>
        </w:rPr>
        <w:t xml:space="preserve"> </w:t>
      </w:r>
      <w:r w:rsidRPr="00321901">
        <w:rPr>
          <w:rFonts w:ascii="Palatino Linotype" w:eastAsia="Palatino Linotype" w:hAnsi="Palatino Linotype" w:cs="Palatino Linotype"/>
          <w:b/>
          <w:i/>
          <w:sz w:val="22"/>
          <w:szCs w:val="22"/>
        </w:rPr>
        <w:t>Jornada de trabajo es el tiempo durante el cual el servidor público está a disposición de la institución pública para prestar sus servicios</w:t>
      </w:r>
      <w:r w:rsidRPr="00321901">
        <w:rPr>
          <w:rFonts w:ascii="Palatino Linotype" w:eastAsia="Palatino Linotype" w:hAnsi="Palatino Linotype" w:cs="Palatino Linotype"/>
          <w:i/>
          <w:sz w:val="22"/>
          <w:szCs w:val="22"/>
        </w:rPr>
        <w:t>. El horario de trabajo será determinado conforme a las necesidades del servicio de la institución pública o dependencia, de acuerdo a lo estipulado en las condiciones generales de trabajo, sin que exceda los máximos legales”.</w:t>
      </w:r>
    </w:p>
    <w:p w:rsidR="00633AC9" w:rsidRPr="00321901" w:rsidRDefault="003573FE">
      <w:pPr>
        <w:spacing w:line="360" w:lineRule="auto"/>
        <w:ind w:left="567" w:right="567"/>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 </w:t>
      </w:r>
    </w:p>
    <w:p w:rsidR="00633AC9" w:rsidRPr="00321901" w:rsidRDefault="003573FE">
      <w:pPr>
        <w:numPr>
          <w:ilvl w:val="0"/>
          <w:numId w:val="3"/>
        </w:numPr>
        <w:spacing w:line="360" w:lineRule="auto"/>
        <w:ind w:left="0" w:right="49"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En ese contexto, la duración de la jornada de trabajo puede ser de varias maneras, las cuales se encuentran establecidas en el artículo 60, 61, 62 y 63 de la mencionada Ley de Trabajo que literalmente señalan lo siguiente: </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tabs>
          <w:tab w:val="left" w:pos="7938"/>
        </w:tabs>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ARTÍCULO 60</w:t>
      </w:r>
      <w:r w:rsidRPr="00321901">
        <w:rPr>
          <w:rFonts w:ascii="Palatino Linotype" w:eastAsia="Palatino Linotype" w:hAnsi="Palatino Linotype" w:cs="Palatino Linotype"/>
          <w:i/>
          <w:sz w:val="22"/>
          <w:szCs w:val="22"/>
        </w:rPr>
        <w:t xml:space="preserve">. La jornada de trabajo puede ser diurna, nocturna o mixta, conforme a lo siguiente: </w:t>
      </w:r>
    </w:p>
    <w:p w:rsidR="00633AC9" w:rsidRPr="00321901" w:rsidRDefault="003573FE">
      <w:pPr>
        <w:tabs>
          <w:tab w:val="left" w:pos="7938"/>
        </w:tabs>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 Diurna, la comprendida entre las seis y las veinte horas; </w:t>
      </w:r>
    </w:p>
    <w:p w:rsidR="00633AC9" w:rsidRPr="00321901" w:rsidRDefault="003573FE">
      <w:pPr>
        <w:tabs>
          <w:tab w:val="left" w:pos="7938"/>
        </w:tabs>
        <w:ind w:left="1134" w:right="900"/>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II. Nocturna, la comprendida entre las veinte y las seis horas; y </w:t>
      </w:r>
    </w:p>
    <w:p w:rsidR="00633AC9" w:rsidRPr="00321901" w:rsidRDefault="003573FE">
      <w:pPr>
        <w:tabs>
          <w:tab w:val="left" w:pos="7938"/>
        </w:tabs>
        <w:ind w:left="1134" w:right="900"/>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III. Mixta, la que comprenda períodos de tiempo de las jornadas diurna y nocturna, siempre que el período nocturno sea menor de tres horas y media, pues en caso contrario, se considerará como jornada nocturna. </w:t>
      </w:r>
    </w:p>
    <w:p w:rsidR="00633AC9" w:rsidRPr="00321901" w:rsidRDefault="00633AC9">
      <w:pPr>
        <w:tabs>
          <w:tab w:val="left" w:pos="7938"/>
        </w:tabs>
        <w:ind w:left="1134" w:right="900"/>
        <w:jc w:val="both"/>
        <w:rPr>
          <w:rFonts w:ascii="Palatino Linotype" w:eastAsia="Palatino Linotype" w:hAnsi="Palatino Linotype" w:cs="Palatino Linotype"/>
          <w:i/>
          <w:sz w:val="22"/>
          <w:szCs w:val="22"/>
        </w:rPr>
      </w:pPr>
    </w:p>
    <w:p w:rsidR="00633AC9" w:rsidRPr="00321901" w:rsidRDefault="003573FE">
      <w:pPr>
        <w:tabs>
          <w:tab w:val="left" w:pos="7938"/>
        </w:tabs>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ARTÍCULO 61.</w:t>
      </w:r>
      <w:r w:rsidRPr="00321901">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rsidR="00633AC9" w:rsidRPr="00321901" w:rsidRDefault="00633AC9">
      <w:pPr>
        <w:tabs>
          <w:tab w:val="left" w:pos="7938"/>
        </w:tabs>
        <w:ind w:left="1134" w:right="900"/>
        <w:jc w:val="both"/>
        <w:rPr>
          <w:rFonts w:ascii="Palatino Linotype" w:eastAsia="Palatino Linotype" w:hAnsi="Palatino Linotype" w:cs="Palatino Linotype"/>
          <w:i/>
          <w:sz w:val="22"/>
          <w:szCs w:val="22"/>
        </w:rPr>
      </w:pPr>
    </w:p>
    <w:p w:rsidR="00633AC9" w:rsidRPr="00321901" w:rsidRDefault="003573FE">
      <w:pPr>
        <w:tabs>
          <w:tab w:val="left" w:pos="7938"/>
        </w:tabs>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ARTÍCULO 62.</w:t>
      </w:r>
      <w:r w:rsidRPr="00321901">
        <w:rPr>
          <w:rFonts w:ascii="Palatino Linotype" w:eastAsia="Palatino Linotype" w:hAnsi="Palatino Linotype" w:cs="Palatino Linotype"/>
          <w:i/>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rsidR="00633AC9" w:rsidRPr="00321901" w:rsidRDefault="00633AC9">
      <w:pPr>
        <w:tabs>
          <w:tab w:val="left" w:pos="7938"/>
        </w:tabs>
        <w:ind w:left="1134" w:right="900"/>
        <w:jc w:val="both"/>
        <w:rPr>
          <w:rFonts w:ascii="Palatino Linotype" w:eastAsia="Palatino Linotype" w:hAnsi="Palatino Linotype" w:cs="Palatino Linotype"/>
          <w:i/>
          <w:sz w:val="22"/>
          <w:szCs w:val="22"/>
        </w:rPr>
      </w:pPr>
    </w:p>
    <w:p w:rsidR="00633AC9" w:rsidRPr="00321901" w:rsidRDefault="003573FE">
      <w:pPr>
        <w:tabs>
          <w:tab w:val="left" w:pos="7938"/>
        </w:tabs>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ARTÍCULO 63.</w:t>
      </w:r>
      <w:r w:rsidRPr="00321901">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right="49"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ARTÍCULO 88.</w:t>
      </w:r>
      <w:r w:rsidRPr="00321901">
        <w:rPr>
          <w:rFonts w:ascii="Palatino Linotype" w:eastAsia="Palatino Linotype" w:hAnsi="Palatino Linotype" w:cs="Palatino Linotype"/>
          <w:i/>
          <w:sz w:val="22"/>
          <w:szCs w:val="22"/>
        </w:rPr>
        <w:t xml:space="preserve"> Son obligaciones de los servidores públicos: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III. Asistir puntualmente a sus labores y no faltar sin causa justificada o sin permiso. En caso de inasistencia, el servidor público deberá comunicar a la </w:t>
      </w:r>
      <w:r w:rsidRPr="00321901">
        <w:rPr>
          <w:rFonts w:ascii="Palatino Linotype" w:eastAsia="Palatino Linotype" w:hAnsi="Palatino Linotype" w:cs="Palatino Linotype"/>
          <w:i/>
          <w:sz w:val="22"/>
          <w:szCs w:val="22"/>
        </w:rPr>
        <w:lastRenderedPageBreak/>
        <w:t xml:space="preserve">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VI. Cumplir con las obligaciones que señalan las condiciones generales de trabajo; </w:t>
      </w:r>
    </w:p>
    <w:p w:rsidR="00633AC9" w:rsidRPr="00321901" w:rsidRDefault="00633AC9">
      <w:pPr>
        <w:spacing w:line="360" w:lineRule="auto"/>
        <w:jc w:val="both"/>
      </w:pPr>
    </w:p>
    <w:p w:rsidR="00633AC9" w:rsidRPr="00321901" w:rsidRDefault="003573FE">
      <w:pPr>
        <w:numPr>
          <w:ilvl w:val="0"/>
          <w:numId w:val="3"/>
        </w:numPr>
        <w:spacing w:line="360" w:lineRule="auto"/>
        <w:ind w:left="0" w:right="49"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rsidR="00633AC9" w:rsidRPr="00321901" w:rsidRDefault="00633AC9">
      <w:pPr>
        <w:jc w:val="both"/>
        <w:rPr>
          <w:rFonts w:ascii="Palatino Linotype" w:eastAsia="Palatino Linotype" w:hAnsi="Palatino Linotype" w:cs="Palatino Linotype"/>
        </w:rPr>
      </w:pP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ARTÍCULO 93.</w:t>
      </w:r>
      <w:r w:rsidRPr="00321901">
        <w:rPr>
          <w:rFonts w:ascii="Palatino Linotype" w:eastAsia="Palatino Linotype" w:hAnsi="Palatino Linotype" w:cs="Palatino Linotype"/>
          <w:i/>
          <w:sz w:val="22"/>
          <w:szCs w:val="22"/>
        </w:rPr>
        <w:t xml:space="preserve"> Son causas de rescisión de la relación laboral, sin responsabilidad para las instituciones públicas:</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V. Incurrir en cuatro o más faltas de asistencia a sus labores sin causa justificada, dentro de un lapso de treinta días;</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V. Abandonar las labores sin autorización previa o razón plenamente justificada, en contravención a lo establecido en las condiciones generales de trabajo;</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rsidR="00633AC9" w:rsidRPr="00321901" w:rsidRDefault="00633AC9">
      <w:pPr>
        <w:spacing w:line="360" w:lineRule="auto"/>
        <w:jc w:val="both"/>
        <w:rPr>
          <w:rFonts w:ascii="Palatino Linotype" w:eastAsia="Palatino Linotype" w:hAnsi="Palatino Linotype" w:cs="Palatino Linotype"/>
          <w:sz w:val="22"/>
          <w:szCs w:val="22"/>
        </w:rPr>
      </w:pPr>
    </w:p>
    <w:p w:rsidR="00633AC9" w:rsidRPr="00321901" w:rsidRDefault="003573FE">
      <w:pPr>
        <w:numPr>
          <w:ilvl w:val="0"/>
          <w:numId w:val="3"/>
        </w:numPr>
        <w:spacing w:line="360" w:lineRule="auto"/>
        <w:ind w:left="0" w:right="49"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Ahora bien, para comprobar el cumplimiento de la jornada de trabajo del Servidor Público, de conformidad con lo que establecen la fracción III y el penúltimo párrafo del artículo 220-K de la Ley en cita, precisa que: </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lastRenderedPageBreak/>
        <w:t>ARTÍCULO 220 K.-</w:t>
      </w:r>
      <w:r w:rsidRPr="00321901">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III. Controles de asistencia o la información magnética o electrónica de asistencia de los servidores públicos</w:t>
      </w:r>
      <w:r w:rsidRPr="00321901">
        <w:rPr>
          <w:rFonts w:ascii="Palatino Linotype" w:eastAsia="Palatino Linotype" w:hAnsi="Palatino Linotype" w:cs="Palatino Linotype"/>
          <w:i/>
          <w:sz w:val="22"/>
          <w:szCs w:val="22"/>
        </w:rPr>
        <w:t xml:space="preserve">; </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w:t>
      </w: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321901">
        <w:rPr>
          <w:rFonts w:ascii="Palatino Linotype" w:eastAsia="Palatino Linotype" w:hAnsi="Palatino Linotype" w:cs="Palatino Linotype"/>
          <w:b/>
          <w:i/>
          <w:sz w:val="22"/>
          <w:szCs w:val="22"/>
        </w:rPr>
        <w:t>los señalados por las fracciones</w:t>
      </w:r>
      <w:r w:rsidRPr="00321901">
        <w:rPr>
          <w:rFonts w:ascii="Palatino Linotype" w:eastAsia="Palatino Linotype" w:hAnsi="Palatino Linotype" w:cs="Palatino Linotype"/>
          <w:i/>
          <w:sz w:val="22"/>
          <w:szCs w:val="22"/>
        </w:rPr>
        <w:t xml:space="preserve"> II, </w:t>
      </w:r>
      <w:r w:rsidRPr="00321901">
        <w:rPr>
          <w:rFonts w:ascii="Palatino Linotype" w:eastAsia="Palatino Linotype" w:hAnsi="Palatino Linotype" w:cs="Palatino Linotype"/>
          <w:b/>
          <w:i/>
          <w:sz w:val="22"/>
          <w:szCs w:val="22"/>
        </w:rPr>
        <w:t>III,</w:t>
      </w:r>
      <w:r w:rsidRPr="00321901">
        <w:rPr>
          <w:rFonts w:ascii="Palatino Linotype" w:eastAsia="Palatino Linotype" w:hAnsi="Palatino Linotype" w:cs="Palatino Linotype"/>
          <w:i/>
          <w:sz w:val="22"/>
          <w:szCs w:val="22"/>
        </w:rPr>
        <w:t xml:space="preserve"> IV </w:t>
      </w:r>
      <w:r w:rsidRPr="00321901">
        <w:rPr>
          <w:rFonts w:ascii="Palatino Linotype" w:eastAsia="Palatino Linotype" w:hAnsi="Palatino Linotype" w:cs="Palatino Linotype"/>
          <w:b/>
          <w:i/>
          <w:sz w:val="22"/>
          <w:szCs w:val="22"/>
        </w:rPr>
        <w:t>durante el último año y un año después de que se extinga la relación laboral</w:t>
      </w:r>
      <w:r w:rsidRPr="00321901">
        <w:rPr>
          <w:rFonts w:ascii="Palatino Linotype" w:eastAsia="Palatino Linotype" w:hAnsi="Palatino Linotype" w:cs="Palatino Linotype"/>
          <w:i/>
          <w:sz w:val="22"/>
          <w:szCs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right="49" w:firstLine="0"/>
        <w:jc w:val="both"/>
        <w:rPr>
          <w:rFonts w:ascii="Palatino Linotype" w:eastAsia="Palatino Linotype" w:hAnsi="Palatino Linotype" w:cs="Palatino Linotype"/>
          <w:b/>
        </w:rPr>
      </w:pPr>
      <w:r w:rsidRPr="00321901">
        <w:rPr>
          <w:rFonts w:ascii="Palatino Linotype" w:eastAsia="Palatino Linotype" w:hAnsi="Palatino Linotype" w:cs="Palatino Linotype"/>
        </w:rPr>
        <w:t>En consecuencia, se acredita que el Sujeto debe generar el control se asistencia de sus trabajadores y estos deben ser conservados durante el último año y un año después para el caso de que la relación laboral ya esté extinta, de tal forma que, resulta procedente</w:t>
      </w:r>
      <w:r w:rsidRPr="00321901">
        <w:rPr>
          <w:rFonts w:ascii="Palatino Linotype" w:eastAsia="Palatino Linotype" w:hAnsi="Palatino Linotype" w:cs="Palatino Linotype"/>
          <w:b/>
        </w:rPr>
        <w:t xml:space="preserve"> MODIFICAR</w:t>
      </w:r>
      <w:r w:rsidRPr="00321901">
        <w:rPr>
          <w:rFonts w:ascii="Palatino Linotype" w:eastAsia="Palatino Linotype" w:hAnsi="Palatino Linotype" w:cs="Palatino Linotype"/>
        </w:rPr>
        <w:t xml:space="preserve"> la respuesta otorgada por el Sujeto Obligado y </w:t>
      </w:r>
      <w:r w:rsidRPr="00321901">
        <w:rPr>
          <w:rFonts w:ascii="Palatino Linotype" w:eastAsia="Palatino Linotype" w:hAnsi="Palatino Linotype" w:cs="Palatino Linotype"/>
          <w:b/>
        </w:rPr>
        <w:t>ORDENAR</w:t>
      </w:r>
      <w:r w:rsidRPr="00321901">
        <w:rPr>
          <w:rFonts w:ascii="Palatino Linotype" w:eastAsia="Palatino Linotype" w:hAnsi="Palatino Linotype" w:cs="Palatino Linotype"/>
        </w:rPr>
        <w:t xml:space="preserve"> la entrega</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del</w:t>
      </w:r>
      <w:r w:rsidRPr="00321901">
        <w:rPr>
          <w:rFonts w:ascii="Palatino Linotype" w:eastAsia="Palatino Linotype" w:hAnsi="Palatino Linotype" w:cs="Palatino Linotype"/>
          <w:b/>
        </w:rPr>
        <w:t xml:space="preserve"> documento en el que conste la asistencia de la servidora pública señalada en la solicitud de información.</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numPr>
          <w:ilvl w:val="0"/>
          <w:numId w:val="3"/>
        </w:numPr>
        <w:spacing w:line="360" w:lineRule="auto"/>
        <w:ind w:left="0" w:right="49"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En relación con lo anterior, y para el caso de ausencia de registros de asistencia de la Servidora Pública de quien se he hecho alusión,  por contar con exención para el registro de asistencia, el </w:t>
      </w:r>
      <w:r w:rsidRPr="00321901">
        <w:rPr>
          <w:rFonts w:ascii="Palatino Linotype" w:eastAsia="Palatino Linotype" w:hAnsi="Palatino Linotype" w:cs="Palatino Linotype"/>
          <w:b/>
        </w:rPr>
        <w:t>SUJETO OBLIGADO</w:t>
      </w:r>
      <w:r w:rsidRPr="00321901">
        <w:rPr>
          <w:rFonts w:ascii="Palatino Linotype" w:eastAsia="Palatino Linotype" w:hAnsi="Palatino Linotype" w:cs="Palatino Linotype"/>
        </w:rPr>
        <w:t xml:space="preserve"> deberá remitir el documento en que conste o se advierta dicha prerrogativa; caso contrario, deberá hacerlo del conocimiento del recurrente de manera fundada y motivada, declarando </w:t>
      </w:r>
      <w:r w:rsidRPr="00321901">
        <w:rPr>
          <w:rFonts w:ascii="Palatino Linotype" w:eastAsia="Palatino Linotype" w:hAnsi="Palatino Linotype" w:cs="Palatino Linotype"/>
        </w:rPr>
        <w:lastRenderedPageBreak/>
        <w:t xml:space="preserve">tal circunstancia, </w:t>
      </w:r>
      <w:r w:rsidRPr="00321901">
        <w:rPr>
          <w:rFonts w:ascii="Palatino Linotype" w:eastAsia="Palatino Linotype" w:hAnsi="Palatino Linotype" w:cs="Palatino Linotype"/>
          <w:color w:val="222222"/>
        </w:rPr>
        <w:t>lo anterior en términos de lo establecido por el párrafo segundo, artículo 19, de la Ley de Transparencia Local:</w:t>
      </w:r>
    </w:p>
    <w:p w:rsidR="00633AC9" w:rsidRPr="00321901" w:rsidRDefault="00633AC9">
      <w:pPr>
        <w:jc w:val="both"/>
        <w:rPr>
          <w:rFonts w:ascii="Palatino Linotype" w:eastAsia="Palatino Linotype" w:hAnsi="Palatino Linotype" w:cs="Palatino Linotype"/>
        </w:rPr>
      </w:pP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Artículo 19.</w:t>
      </w:r>
      <w:r w:rsidRPr="00321901">
        <w:rPr>
          <w:rFonts w:ascii="Palatino Linotype" w:eastAsia="Palatino Linotype" w:hAnsi="Palatino Linotype" w:cs="Palatino Linotype"/>
          <w:i/>
          <w:sz w:val="22"/>
          <w:szCs w:val="22"/>
        </w:rPr>
        <w:t xml:space="preserve"> </w:t>
      </w:r>
      <w:r w:rsidRPr="00321901">
        <w:rPr>
          <w:rFonts w:ascii="Palatino Linotype" w:eastAsia="Palatino Linotype" w:hAnsi="Palatino Linotype" w:cs="Palatino Linotype"/>
          <w:b/>
          <w:i/>
          <w:sz w:val="22"/>
          <w:szCs w:val="22"/>
        </w:rPr>
        <w:t>Se presume que la información debe existir si se refiere a las facultades, competencias y funciones que los ordenamientos jurídicos aplicables otorgan a los sujetos obligados.</w:t>
      </w:r>
      <w:r w:rsidRPr="00321901">
        <w:rPr>
          <w:rFonts w:ascii="Palatino Linotype" w:eastAsia="Palatino Linotype" w:hAnsi="Palatino Linotype" w:cs="Palatino Linotype"/>
          <w:i/>
          <w:sz w:val="22"/>
          <w:szCs w:val="22"/>
        </w:rPr>
        <w:t xml:space="preserve"> </w:t>
      </w:r>
    </w:p>
    <w:p w:rsidR="00633AC9" w:rsidRPr="00321901" w:rsidRDefault="00633AC9">
      <w:pPr>
        <w:ind w:left="1134" w:right="900"/>
        <w:jc w:val="both"/>
        <w:rPr>
          <w:rFonts w:ascii="Palatino Linotype" w:eastAsia="Palatino Linotype" w:hAnsi="Palatino Linotype" w:cs="Palatino Linotype"/>
          <w:i/>
          <w:sz w:val="22"/>
          <w:szCs w:val="22"/>
        </w:rPr>
      </w:pP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b/>
          <w:i/>
          <w:sz w:val="22"/>
          <w:szCs w:val="22"/>
        </w:rPr>
        <w:t>En los casos en que ciertas facultades, competencias o funciones no se hayan ejercido, se debe motivar la respuesta en función de las causas que motiven tal</w:t>
      </w:r>
      <w:r w:rsidRPr="00321901">
        <w:rPr>
          <w:rFonts w:ascii="Palatino Linotype" w:eastAsia="Palatino Linotype" w:hAnsi="Palatino Linotype" w:cs="Palatino Linotype"/>
          <w:i/>
          <w:sz w:val="22"/>
          <w:szCs w:val="22"/>
        </w:rPr>
        <w:t xml:space="preserve"> </w:t>
      </w:r>
      <w:r w:rsidRPr="00321901">
        <w:rPr>
          <w:rFonts w:ascii="Palatino Linotype" w:eastAsia="Palatino Linotype" w:hAnsi="Palatino Linotype" w:cs="Palatino Linotype"/>
          <w:b/>
          <w:i/>
          <w:sz w:val="22"/>
          <w:szCs w:val="22"/>
        </w:rPr>
        <w:t>circunstancia</w:t>
      </w:r>
      <w:r w:rsidRPr="00321901">
        <w:rPr>
          <w:rFonts w:ascii="Palatino Linotype" w:eastAsia="Palatino Linotype" w:hAnsi="Palatino Linotype" w:cs="Palatino Linotype"/>
          <w:i/>
          <w:sz w:val="22"/>
          <w:szCs w:val="22"/>
        </w:rPr>
        <w:t xml:space="preserve">. </w:t>
      </w:r>
    </w:p>
    <w:p w:rsidR="00633AC9" w:rsidRPr="00321901" w:rsidRDefault="00633AC9">
      <w:pPr>
        <w:ind w:left="1134" w:right="900"/>
        <w:jc w:val="both"/>
        <w:rPr>
          <w:rFonts w:ascii="Palatino Linotype" w:eastAsia="Palatino Linotype" w:hAnsi="Palatino Linotype" w:cs="Palatino Linotype"/>
          <w:i/>
          <w:sz w:val="22"/>
          <w:szCs w:val="22"/>
        </w:rPr>
      </w:pPr>
    </w:p>
    <w:p w:rsidR="00633AC9" w:rsidRPr="00321901" w:rsidRDefault="003573FE">
      <w:pPr>
        <w:ind w:left="1134" w:right="900"/>
        <w:jc w:val="both"/>
        <w:rPr>
          <w:rFonts w:ascii="Palatino Linotype" w:eastAsia="Palatino Linotype" w:hAnsi="Palatino Linotype" w:cs="Palatino Linotype"/>
          <w:i/>
          <w:sz w:val="22"/>
          <w:szCs w:val="22"/>
        </w:rPr>
      </w:pPr>
      <w:r w:rsidRPr="00321901">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633AC9" w:rsidRPr="00321901" w:rsidRDefault="00633AC9">
      <w:pPr>
        <w:spacing w:line="360" w:lineRule="auto"/>
        <w:ind w:right="49"/>
        <w:jc w:val="both"/>
        <w:rPr>
          <w:rFonts w:ascii="Palatino Linotype" w:eastAsia="Palatino Linotype" w:hAnsi="Palatino Linotype" w:cs="Palatino Linotype"/>
          <w:i/>
        </w:rPr>
      </w:pPr>
    </w:p>
    <w:p w:rsidR="00633AC9" w:rsidRPr="00321901" w:rsidRDefault="003573FE">
      <w:pPr>
        <w:numPr>
          <w:ilvl w:val="0"/>
          <w:numId w:val="3"/>
        </w:numPr>
        <w:spacing w:line="360" w:lineRule="auto"/>
        <w:ind w:left="0" w:right="49" w:firstLine="0"/>
        <w:jc w:val="both"/>
        <w:rPr>
          <w:rFonts w:ascii="Palatino Linotype" w:eastAsia="Palatino Linotype" w:hAnsi="Palatino Linotype" w:cs="Palatino Linotype"/>
        </w:rPr>
      </w:pPr>
      <w:r w:rsidRPr="00321901">
        <w:rPr>
          <w:rFonts w:ascii="Palatino Linotype" w:eastAsia="Palatino Linotype" w:hAnsi="Palatino Linotype" w:cs="Palatino Linotype"/>
        </w:rPr>
        <w:t>En otras palabras, hablar de información inexistente implica la alta responsabilidad de explicar a la ciudadanía por qué un ente público que tiene la facultad y el deber de generar, poseer o administrar su información pública no la tiene.</w:t>
      </w:r>
    </w:p>
    <w:p w:rsidR="00633AC9" w:rsidRPr="00321901" w:rsidRDefault="00633AC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color w:val="000000"/>
        </w:rPr>
      </w:pPr>
    </w:p>
    <w:p w:rsidR="00633AC9" w:rsidRPr="00321901" w:rsidRDefault="003573F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color w:val="000000"/>
        </w:rPr>
      </w:pPr>
      <w:r w:rsidRPr="00321901">
        <w:rPr>
          <w:rFonts w:ascii="Palatino Linotype" w:eastAsia="Palatino Linotype" w:hAnsi="Palatino Linotype" w:cs="Palatino Linotype"/>
          <w:b/>
          <w:color w:val="000000"/>
        </w:rPr>
        <w:t>QUINTA. De la versión pública.</w:t>
      </w:r>
    </w:p>
    <w:p w:rsidR="00633AC9" w:rsidRPr="00321901" w:rsidRDefault="00633AC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color w:val="000000"/>
        </w:rPr>
      </w:pPr>
    </w:p>
    <w:p w:rsidR="00633AC9" w:rsidRPr="00321901" w:rsidRDefault="003573FE">
      <w:pPr>
        <w:numPr>
          <w:ilvl w:val="0"/>
          <w:numId w:val="2"/>
        </w:numPr>
        <w:pBdr>
          <w:top w:val="nil"/>
          <w:left w:val="nil"/>
          <w:bottom w:val="nil"/>
          <w:right w:val="nil"/>
          <w:between w:val="nil"/>
        </w:pBdr>
        <w:tabs>
          <w:tab w:val="left" w:pos="851"/>
        </w:tabs>
        <w:spacing w:line="360" w:lineRule="auto"/>
        <w:ind w:left="426" w:right="49"/>
        <w:jc w:val="both"/>
        <w:rPr>
          <w:rFonts w:ascii="Palatino Linotype" w:eastAsia="Palatino Linotype" w:hAnsi="Palatino Linotype" w:cs="Palatino Linotype"/>
          <w:b/>
          <w:color w:val="000000"/>
        </w:rPr>
      </w:pPr>
      <w:bookmarkStart w:id="7" w:name="_heading=h.2s8eyo1" w:colFirst="0" w:colLast="0"/>
      <w:bookmarkEnd w:id="7"/>
      <w:r w:rsidRPr="00321901">
        <w:rPr>
          <w:rFonts w:ascii="Palatino Linotype" w:eastAsia="Palatino Linotype" w:hAnsi="Palatino Linotype" w:cs="Palatino Linotype"/>
          <w:b/>
          <w:color w:val="000000"/>
        </w:rPr>
        <w:t xml:space="preserve">Nociones generales. </w:t>
      </w: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Debe destacarse que, debido a la naturaleza de la información solicitada</w:t>
      </w:r>
      <w:r w:rsidRPr="00321901">
        <w:rPr>
          <w:rFonts w:ascii="Palatino Linotype" w:eastAsia="Palatino Linotype" w:hAnsi="Palatino Linotype" w:cs="Palatino Linotype"/>
          <w:b/>
          <w:color w:val="000000"/>
        </w:rPr>
        <w:t xml:space="preserve">, </w:t>
      </w:r>
      <w:r w:rsidRPr="00321901">
        <w:rPr>
          <w:rFonts w:ascii="Palatino Linotype" w:eastAsia="Palatino Linotype" w:hAnsi="Palatino Linotype" w:cs="Palatino Linotype"/>
          <w:color w:val="000000"/>
        </w:rPr>
        <w:t xml:space="preserve">eventualmente pudiera obrar datos personales susceptibles de protegerse, el </w:t>
      </w:r>
      <w:r w:rsidRPr="00321901">
        <w:rPr>
          <w:rFonts w:ascii="Palatino Linotype" w:eastAsia="Palatino Linotype" w:hAnsi="Palatino Linotype" w:cs="Palatino Linotype"/>
          <w:b/>
          <w:color w:val="000000"/>
        </w:rPr>
        <w:t xml:space="preserve">SUJETO OBLIGADO </w:t>
      </w:r>
      <w:r w:rsidRPr="00321901">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633AC9" w:rsidRPr="00321901" w:rsidRDefault="00633AC9">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lastRenderedPageBreak/>
        <w:t>No pasa desapercibido para este Órgano Garante que los Sujetos Obligados</w:t>
      </w:r>
      <w:r w:rsidRPr="00321901">
        <w:rPr>
          <w:rFonts w:ascii="Palatino Linotype" w:eastAsia="Palatino Linotype" w:hAnsi="Palatino Linotype" w:cs="Palatino Linotype"/>
          <w:b/>
          <w:color w:val="000000"/>
        </w:rPr>
        <w:t xml:space="preserve"> </w:t>
      </w:r>
      <w:r w:rsidRPr="00321901">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633AC9" w:rsidRPr="00321901" w:rsidRDefault="00633AC9">
      <w:pPr>
        <w:tabs>
          <w:tab w:val="left" w:pos="284"/>
        </w:tabs>
        <w:spacing w:line="360" w:lineRule="auto"/>
        <w:ind w:right="49"/>
        <w:jc w:val="both"/>
        <w:rPr>
          <w:rFonts w:ascii="Palatino Linotype" w:eastAsia="Palatino Linotype" w:hAnsi="Palatino Linotype" w:cs="Palatino Linotype"/>
          <w:color w:val="000000"/>
        </w:rPr>
      </w:pPr>
    </w:p>
    <w:tbl>
      <w:tblPr>
        <w:tblStyle w:val="a4"/>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667"/>
      </w:tblGrid>
      <w:tr w:rsidR="00633AC9" w:rsidRPr="00321901">
        <w:tc>
          <w:tcPr>
            <w:tcW w:w="1838" w:type="dxa"/>
          </w:tcPr>
          <w:p w:rsidR="00633AC9" w:rsidRPr="00321901" w:rsidRDefault="003573FE">
            <w:pPr>
              <w:tabs>
                <w:tab w:val="left" w:pos="284"/>
              </w:tabs>
              <w:spacing w:line="360" w:lineRule="auto"/>
              <w:rPr>
                <w:rFonts w:ascii="Palatino Linotype" w:eastAsia="Palatino Linotype" w:hAnsi="Palatino Linotype" w:cs="Palatino Linotype"/>
                <w:sz w:val="20"/>
                <w:szCs w:val="20"/>
              </w:rPr>
            </w:pPr>
            <w:r w:rsidRPr="00321901">
              <w:rPr>
                <w:rFonts w:ascii="Palatino Linotype" w:eastAsia="Palatino Linotype" w:hAnsi="Palatino Linotype" w:cs="Palatino Linotype"/>
                <w:sz w:val="20"/>
                <w:szCs w:val="20"/>
              </w:rPr>
              <w:t>a) Requisitos previos.</w:t>
            </w:r>
          </w:p>
        </w:tc>
        <w:tc>
          <w:tcPr>
            <w:tcW w:w="6667" w:type="dxa"/>
          </w:tcPr>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rsidR="00633AC9" w:rsidRPr="00321901" w:rsidRDefault="003573FE">
            <w:pPr>
              <w:tabs>
                <w:tab w:val="left" w:pos="284"/>
              </w:tabs>
              <w:spacing w:line="360" w:lineRule="auto"/>
              <w:jc w:val="both"/>
              <w:rPr>
                <w:rFonts w:ascii="Palatino Linotype" w:eastAsia="Palatino Linotype" w:hAnsi="Palatino Linotype" w:cs="Palatino Linotype"/>
                <w:sz w:val="20"/>
                <w:szCs w:val="20"/>
              </w:rPr>
            </w:pPr>
            <w:r w:rsidRPr="00321901">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sidRPr="00321901">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sidRPr="00321901">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633AC9" w:rsidRPr="00321901">
        <w:tc>
          <w:tcPr>
            <w:tcW w:w="1838" w:type="dxa"/>
          </w:tcPr>
          <w:p w:rsidR="00633AC9" w:rsidRPr="00321901" w:rsidRDefault="003573FE">
            <w:pPr>
              <w:tabs>
                <w:tab w:val="left" w:pos="284"/>
              </w:tabs>
              <w:spacing w:line="360" w:lineRule="auto"/>
              <w:rPr>
                <w:rFonts w:ascii="Palatino Linotype" w:eastAsia="Palatino Linotype" w:hAnsi="Palatino Linotype" w:cs="Palatino Linotype"/>
                <w:sz w:val="20"/>
                <w:szCs w:val="20"/>
              </w:rPr>
            </w:pPr>
            <w:r w:rsidRPr="00321901">
              <w:rPr>
                <w:rFonts w:ascii="Palatino Linotype" w:eastAsia="Palatino Linotype" w:hAnsi="Palatino Linotype" w:cs="Palatino Linotype"/>
                <w:sz w:val="20"/>
                <w:szCs w:val="20"/>
              </w:rPr>
              <w:t>b) Supuestos de clasificación.</w:t>
            </w:r>
          </w:p>
        </w:tc>
        <w:tc>
          <w:tcPr>
            <w:tcW w:w="6667" w:type="dxa"/>
          </w:tcPr>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 xml:space="preserve">Los artículos 116 y 143 de la Ley Estatal y de la Ley General, respectivamente, señalan los supuestos para que la información pueda </w:t>
            </w:r>
            <w:r w:rsidRPr="00321901">
              <w:rPr>
                <w:rFonts w:ascii="Palatino Linotype" w:eastAsia="Palatino Linotype" w:hAnsi="Palatino Linotype" w:cs="Palatino Linotype"/>
                <w:color w:val="000000"/>
                <w:sz w:val="20"/>
                <w:szCs w:val="20"/>
              </w:rPr>
              <w:lastRenderedPageBreak/>
              <w:t>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633AC9" w:rsidRPr="00321901" w:rsidRDefault="003573FE">
            <w:pPr>
              <w:tabs>
                <w:tab w:val="left" w:pos="284"/>
              </w:tabs>
              <w:spacing w:line="360" w:lineRule="auto"/>
              <w:jc w:val="both"/>
              <w:rPr>
                <w:rFonts w:ascii="Palatino Linotype" w:eastAsia="Palatino Linotype" w:hAnsi="Palatino Linotype" w:cs="Palatino Linotype"/>
                <w:sz w:val="20"/>
                <w:szCs w:val="20"/>
              </w:rPr>
            </w:pPr>
            <w:r w:rsidRPr="00321901">
              <w:rPr>
                <w:rFonts w:ascii="Palatino Linotype" w:eastAsia="Palatino Linotype" w:hAnsi="Palatino Linotype" w:cs="Palatino Linotype"/>
                <w:color w:val="000000"/>
                <w:sz w:val="20"/>
                <w:szCs w:val="20"/>
              </w:rPr>
              <w:t xml:space="preserve">El </w:t>
            </w:r>
            <w:r w:rsidRPr="00321901">
              <w:rPr>
                <w:rFonts w:ascii="Palatino Linotype" w:eastAsia="Palatino Linotype" w:hAnsi="Palatino Linotype" w:cs="Palatino Linotype"/>
                <w:b/>
                <w:color w:val="000000"/>
                <w:sz w:val="20"/>
                <w:szCs w:val="20"/>
              </w:rPr>
              <w:t>Sujeto Obligado</w:t>
            </w:r>
            <w:r w:rsidRPr="00321901">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33AC9" w:rsidRPr="00321901">
        <w:tc>
          <w:tcPr>
            <w:tcW w:w="1838" w:type="dxa"/>
          </w:tcPr>
          <w:p w:rsidR="00633AC9" w:rsidRPr="00321901" w:rsidRDefault="003573FE">
            <w:pPr>
              <w:tabs>
                <w:tab w:val="left" w:pos="284"/>
              </w:tabs>
              <w:spacing w:line="360" w:lineRule="auto"/>
              <w:rPr>
                <w:rFonts w:ascii="Palatino Linotype" w:eastAsia="Palatino Linotype" w:hAnsi="Palatino Linotype" w:cs="Palatino Linotype"/>
                <w:sz w:val="20"/>
                <w:szCs w:val="20"/>
              </w:rPr>
            </w:pPr>
            <w:r w:rsidRPr="00321901">
              <w:rPr>
                <w:rFonts w:ascii="Palatino Linotype" w:eastAsia="Palatino Linotype" w:hAnsi="Palatino Linotype" w:cs="Palatino Linotype"/>
                <w:sz w:val="20"/>
                <w:szCs w:val="20"/>
              </w:rPr>
              <w:lastRenderedPageBreak/>
              <w:t>c) Formalidades para emitir el acuerdo de clasificación.</w:t>
            </w:r>
          </w:p>
        </w:tc>
        <w:tc>
          <w:tcPr>
            <w:tcW w:w="6667" w:type="dxa"/>
          </w:tcPr>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 xml:space="preserve">Es necesario que </w:t>
            </w:r>
            <w:r w:rsidRPr="00321901">
              <w:rPr>
                <w:rFonts w:ascii="Palatino Linotype" w:eastAsia="Palatino Linotype" w:hAnsi="Palatino Linotype" w:cs="Palatino Linotype"/>
                <w:b/>
                <w:color w:val="000000"/>
                <w:sz w:val="20"/>
                <w:szCs w:val="20"/>
                <w:u w:val="single"/>
              </w:rPr>
              <w:t>el acto reúna con los requisitos elementales</w:t>
            </w:r>
            <w:r w:rsidRPr="00321901">
              <w:rPr>
                <w:rFonts w:ascii="Palatino Linotype" w:eastAsia="Palatino Linotype" w:hAnsi="Palatino Linotype" w:cs="Palatino Linotype"/>
                <w:color w:val="000000"/>
                <w:sz w:val="20"/>
                <w:szCs w:val="20"/>
              </w:rPr>
              <w:t>, entre ellos, que la autoridad que va a emitir el acto de autoridad sea la legalmente facultada para ello.</w:t>
            </w:r>
          </w:p>
          <w:p w:rsidR="00633AC9" w:rsidRPr="00321901" w:rsidRDefault="003573FE">
            <w:pPr>
              <w:tabs>
                <w:tab w:val="left" w:pos="284"/>
              </w:tabs>
              <w:spacing w:line="360" w:lineRule="auto"/>
              <w:jc w:val="both"/>
              <w:rPr>
                <w:rFonts w:ascii="Palatino Linotype" w:eastAsia="Palatino Linotype" w:hAnsi="Palatino Linotype" w:cs="Palatino Linotype"/>
                <w:sz w:val="20"/>
                <w:szCs w:val="20"/>
              </w:rPr>
            </w:pPr>
            <w:r w:rsidRPr="00321901">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33AC9" w:rsidRPr="00321901">
        <w:tc>
          <w:tcPr>
            <w:tcW w:w="1838" w:type="dxa"/>
          </w:tcPr>
          <w:p w:rsidR="00633AC9" w:rsidRPr="00321901" w:rsidRDefault="00633AC9">
            <w:pPr>
              <w:tabs>
                <w:tab w:val="left" w:pos="284"/>
              </w:tabs>
              <w:spacing w:line="360" w:lineRule="auto"/>
              <w:rPr>
                <w:rFonts w:ascii="Palatino Linotype" w:eastAsia="Palatino Linotype" w:hAnsi="Palatino Linotype" w:cs="Palatino Linotype"/>
                <w:sz w:val="20"/>
                <w:szCs w:val="20"/>
              </w:rPr>
            </w:pPr>
          </w:p>
          <w:p w:rsidR="00633AC9" w:rsidRPr="00321901" w:rsidRDefault="003573FE">
            <w:pPr>
              <w:tabs>
                <w:tab w:val="left" w:pos="284"/>
              </w:tabs>
              <w:spacing w:line="360" w:lineRule="auto"/>
              <w:jc w:val="both"/>
              <w:rPr>
                <w:rFonts w:ascii="Palatino Linotype" w:eastAsia="Palatino Linotype" w:hAnsi="Palatino Linotype" w:cs="Palatino Linotype"/>
                <w:sz w:val="20"/>
                <w:szCs w:val="20"/>
              </w:rPr>
            </w:pPr>
            <w:r w:rsidRPr="00321901">
              <w:rPr>
                <w:rFonts w:ascii="Palatino Linotype" w:eastAsia="Palatino Linotype" w:hAnsi="Palatino Linotype" w:cs="Palatino Linotype"/>
                <w:color w:val="000000"/>
                <w:sz w:val="20"/>
                <w:szCs w:val="20"/>
              </w:rPr>
              <w:t xml:space="preserve">d) Requisitos de fondo del acuerdo de clasificación. </w:t>
            </w:r>
          </w:p>
        </w:tc>
        <w:tc>
          <w:tcPr>
            <w:tcW w:w="6667" w:type="dxa"/>
          </w:tcPr>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w:t>
            </w:r>
            <w:r w:rsidRPr="00321901">
              <w:rPr>
                <w:rFonts w:ascii="Palatino Linotype" w:eastAsia="Palatino Linotype" w:hAnsi="Palatino Linotype" w:cs="Palatino Linotype"/>
                <w:color w:val="000000"/>
                <w:sz w:val="20"/>
                <w:szCs w:val="20"/>
              </w:rPr>
              <w:lastRenderedPageBreak/>
              <w:t xml:space="preserve">ley señala que la carga de la prueba, para justificar las restricciones, corresponde a los </w:t>
            </w:r>
            <w:r w:rsidRPr="00321901">
              <w:rPr>
                <w:rFonts w:ascii="Palatino Linotype" w:eastAsia="Palatino Linotype" w:hAnsi="Palatino Linotype" w:cs="Palatino Linotype"/>
                <w:b/>
                <w:color w:val="000000"/>
                <w:sz w:val="20"/>
                <w:szCs w:val="20"/>
              </w:rPr>
              <w:t>Sujetos Obligados</w:t>
            </w:r>
            <w:r w:rsidRPr="00321901">
              <w:rPr>
                <w:rFonts w:ascii="Palatino Linotype" w:eastAsia="Palatino Linotype" w:hAnsi="Palatino Linotype" w:cs="Palatino Linotype"/>
                <w:color w:val="000000"/>
                <w:sz w:val="20"/>
                <w:szCs w:val="20"/>
              </w:rPr>
              <w:t xml:space="preserve">, por lo que deberán fundar y motivar debidamente la clasificación. </w:t>
            </w:r>
          </w:p>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 xml:space="preserve">De lo anterior, se desprende que para una correcta </w:t>
            </w:r>
            <w:r w:rsidRPr="00321901">
              <w:rPr>
                <w:rFonts w:ascii="Palatino Linotype" w:eastAsia="Palatino Linotype" w:hAnsi="Palatino Linotype" w:cs="Palatino Linotype"/>
                <w:b/>
                <w:color w:val="000000"/>
                <w:sz w:val="20"/>
                <w:szCs w:val="20"/>
              </w:rPr>
              <w:t>clasificación total o parcial</w:t>
            </w:r>
            <w:r w:rsidRPr="00321901">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t xml:space="preserve">Ahora bien, </w:t>
            </w:r>
            <w:r w:rsidRPr="00321901">
              <w:rPr>
                <w:rFonts w:ascii="Palatino Linotype" w:eastAsia="Palatino Linotype" w:hAnsi="Palatino Linotype" w:cs="Palatino Linotype"/>
                <w:b/>
                <w:color w:val="000000"/>
                <w:sz w:val="20"/>
                <w:szCs w:val="20"/>
                <w:u w:val="single"/>
              </w:rPr>
              <w:t>para cada caso además de fundar y motivar</w:t>
            </w:r>
            <w:r w:rsidRPr="00321901">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33AC9" w:rsidRPr="00321901">
        <w:tc>
          <w:tcPr>
            <w:tcW w:w="1838" w:type="dxa"/>
          </w:tcPr>
          <w:p w:rsidR="00633AC9" w:rsidRPr="00321901" w:rsidRDefault="003573FE">
            <w:pPr>
              <w:tabs>
                <w:tab w:val="left" w:pos="284"/>
              </w:tabs>
              <w:spacing w:line="360" w:lineRule="auto"/>
              <w:ind w:right="49"/>
              <w:jc w:val="both"/>
              <w:rPr>
                <w:rFonts w:ascii="Palatino Linotype" w:eastAsia="Palatino Linotype" w:hAnsi="Palatino Linotype" w:cs="Palatino Linotype"/>
                <w:sz w:val="20"/>
                <w:szCs w:val="20"/>
              </w:rPr>
            </w:pPr>
            <w:r w:rsidRPr="00321901">
              <w:rPr>
                <w:rFonts w:ascii="Palatino Linotype" w:eastAsia="Palatino Linotype" w:hAnsi="Palatino Linotype" w:cs="Palatino Linotype"/>
                <w:sz w:val="20"/>
                <w:szCs w:val="20"/>
              </w:rPr>
              <w:lastRenderedPageBreak/>
              <w:t xml:space="preserve">e) Condiciones especiales de la clasificación de la </w:t>
            </w:r>
            <w:r w:rsidRPr="00321901">
              <w:rPr>
                <w:rFonts w:ascii="Palatino Linotype" w:eastAsia="Palatino Linotype" w:hAnsi="Palatino Linotype" w:cs="Palatino Linotype"/>
                <w:sz w:val="20"/>
                <w:szCs w:val="20"/>
              </w:rPr>
              <w:lastRenderedPageBreak/>
              <w:t xml:space="preserve">información como confidencial. </w:t>
            </w:r>
          </w:p>
        </w:tc>
        <w:tc>
          <w:tcPr>
            <w:tcW w:w="6667" w:type="dxa"/>
          </w:tcPr>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lastRenderedPageBreak/>
              <w:t xml:space="preserve">Los artículos 148 y 120 de la Ley Estatal y de la Ley General, respectivamente, establecen que aun tratándose de datos personales, se podrán proporcionar, incluso sin solicitar el consentimiento de su titular. </w:t>
            </w:r>
          </w:p>
          <w:p w:rsidR="00633AC9" w:rsidRPr="00321901" w:rsidRDefault="003573FE">
            <w:pPr>
              <w:tabs>
                <w:tab w:val="left" w:pos="284"/>
              </w:tabs>
              <w:spacing w:line="360" w:lineRule="auto"/>
              <w:ind w:right="49"/>
              <w:jc w:val="both"/>
              <w:rPr>
                <w:rFonts w:ascii="Palatino Linotype" w:eastAsia="Palatino Linotype" w:hAnsi="Palatino Linotype" w:cs="Palatino Linotype"/>
                <w:color w:val="000000"/>
                <w:sz w:val="20"/>
                <w:szCs w:val="20"/>
              </w:rPr>
            </w:pPr>
            <w:r w:rsidRPr="00321901">
              <w:rPr>
                <w:rFonts w:ascii="Palatino Linotype" w:eastAsia="Palatino Linotype" w:hAnsi="Palatino Linotype" w:cs="Palatino Linotype"/>
                <w:color w:val="000000"/>
                <w:sz w:val="20"/>
                <w:szCs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633AC9" w:rsidRPr="00321901" w:rsidRDefault="003573FE">
            <w:pPr>
              <w:tabs>
                <w:tab w:val="left" w:pos="284"/>
              </w:tabs>
              <w:spacing w:line="360" w:lineRule="auto"/>
              <w:rPr>
                <w:rFonts w:ascii="Palatino Linotype" w:eastAsia="Palatino Linotype" w:hAnsi="Palatino Linotype" w:cs="Palatino Linotype"/>
                <w:sz w:val="20"/>
                <w:szCs w:val="20"/>
              </w:rPr>
            </w:pPr>
            <w:r w:rsidRPr="00321901">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633AC9" w:rsidRPr="00321901" w:rsidRDefault="00633AC9">
      <w:pPr>
        <w:pBdr>
          <w:top w:val="nil"/>
          <w:left w:val="nil"/>
          <w:bottom w:val="nil"/>
          <w:right w:val="nil"/>
          <w:between w:val="nil"/>
        </w:pBdr>
        <w:tabs>
          <w:tab w:val="left" w:pos="284"/>
        </w:tabs>
        <w:spacing w:line="360" w:lineRule="auto"/>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color w:val="000000"/>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rsidR="00633AC9" w:rsidRPr="00321901" w:rsidRDefault="00633AC9">
      <w:pPr>
        <w:rPr>
          <w:rFonts w:ascii="Palatino Linotype" w:eastAsia="Palatino Linotype" w:hAnsi="Palatino Linotype" w:cs="Palatino Linotype"/>
          <w:color w:val="000000"/>
        </w:rPr>
      </w:pPr>
    </w:p>
    <w:p w:rsidR="00633AC9" w:rsidRPr="00321901" w:rsidRDefault="003573FE">
      <w:pPr>
        <w:numPr>
          <w:ilvl w:val="0"/>
          <w:numId w:val="3"/>
        </w:numPr>
        <w:spacing w:line="360" w:lineRule="auto"/>
        <w:ind w:left="0" w:firstLine="0"/>
        <w:jc w:val="both"/>
        <w:rPr>
          <w:rFonts w:ascii="Palatino Linotype" w:eastAsia="Palatino Linotype" w:hAnsi="Palatino Linotype" w:cs="Palatino Linotype"/>
          <w:b/>
          <w:color w:val="000000"/>
        </w:rPr>
      </w:pPr>
      <w:r w:rsidRPr="00321901">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321901">
        <w:rPr>
          <w:rFonts w:ascii="Palatino Linotype" w:eastAsia="Palatino Linotype" w:hAnsi="Palatino Linotype" w:cs="Palatino Linotype"/>
          <w:b/>
          <w:color w:val="000000"/>
        </w:rPr>
        <w:t>ÓRGANO GARANTE</w:t>
      </w:r>
      <w:r w:rsidRPr="00321901">
        <w:rPr>
          <w:rFonts w:ascii="Palatino Linotype" w:eastAsia="Palatino Linotype" w:hAnsi="Palatino Linotype" w:cs="Palatino Linotype"/>
          <w:color w:val="000000"/>
        </w:rPr>
        <w:t xml:space="preserve"> emite los siguientes</w:t>
      </w:r>
      <w:r w:rsidRPr="00321901">
        <w:rPr>
          <w:rFonts w:ascii="Palatino Linotype" w:eastAsia="Palatino Linotype" w:hAnsi="Palatino Linotype" w:cs="Palatino Linotype"/>
          <w:color w:val="222222"/>
        </w:rPr>
        <w:t xml:space="preserve">: </w:t>
      </w:r>
    </w:p>
    <w:p w:rsidR="00633AC9" w:rsidRPr="00321901" w:rsidRDefault="00633AC9">
      <w:pPr>
        <w:spacing w:line="360" w:lineRule="auto"/>
        <w:ind w:right="34"/>
        <w:jc w:val="both"/>
        <w:rPr>
          <w:rFonts w:ascii="Palatino Linotype" w:eastAsia="Palatino Linotype" w:hAnsi="Palatino Linotype" w:cs="Palatino Linotype"/>
          <w:color w:val="000000"/>
        </w:rPr>
      </w:pPr>
    </w:p>
    <w:p w:rsidR="00633AC9" w:rsidRPr="00321901" w:rsidRDefault="003573FE">
      <w:pPr>
        <w:keepNext/>
        <w:keepLines/>
        <w:spacing w:line="360" w:lineRule="auto"/>
        <w:jc w:val="center"/>
        <w:rPr>
          <w:rFonts w:ascii="Palatino Linotype" w:eastAsia="Palatino Linotype" w:hAnsi="Palatino Linotype" w:cs="Palatino Linotype"/>
          <w:b/>
          <w:color w:val="000000"/>
        </w:rPr>
      </w:pPr>
      <w:r w:rsidRPr="00321901">
        <w:rPr>
          <w:rFonts w:ascii="Palatino Linotype" w:eastAsia="Palatino Linotype" w:hAnsi="Palatino Linotype" w:cs="Palatino Linotype"/>
          <w:b/>
          <w:color w:val="000000"/>
        </w:rPr>
        <w:t>R E S O L U T I V O S</w:t>
      </w:r>
    </w:p>
    <w:p w:rsidR="00633AC9" w:rsidRPr="00321901" w:rsidRDefault="00633AC9">
      <w:pPr>
        <w:rPr>
          <w:rFonts w:ascii="Palatino Linotype" w:eastAsia="Palatino Linotype" w:hAnsi="Palatino Linotype" w:cs="Palatino Linotype"/>
          <w:b/>
        </w:rPr>
      </w:pPr>
    </w:p>
    <w:p w:rsidR="00633AC9" w:rsidRPr="00321901" w:rsidRDefault="003573FE">
      <w:pPr>
        <w:spacing w:line="360" w:lineRule="auto"/>
        <w:ind w:right="49"/>
        <w:jc w:val="both"/>
        <w:rPr>
          <w:rFonts w:ascii="Palatino Linotype" w:eastAsia="Palatino Linotype" w:hAnsi="Palatino Linotype" w:cs="Palatino Linotype"/>
        </w:rPr>
      </w:pPr>
      <w:r w:rsidRPr="00321901">
        <w:rPr>
          <w:rFonts w:ascii="Palatino Linotype" w:eastAsia="Palatino Linotype" w:hAnsi="Palatino Linotype" w:cs="Palatino Linotype"/>
          <w:b/>
        </w:rPr>
        <w:t>PRIMERO</w:t>
      </w:r>
      <w:r w:rsidRPr="00321901">
        <w:rPr>
          <w:rFonts w:ascii="Palatino Linotype" w:eastAsia="Palatino Linotype" w:hAnsi="Palatino Linotype" w:cs="Palatino Linotype"/>
        </w:rPr>
        <w:t>. Se</w:t>
      </w:r>
      <w:r w:rsidRPr="00321901">
        <w:rPr>
          <w:rFonts w:ascii="Palatino Linotype" w:eastAsia="Palatino Linotype" w:hAnsi="Palatino Linotype" w:cs="Palatino Linotype"/>
          <w:b/>
        </w:rPr>
        <w:t xml:space="preserve"> SOBRESEE </w:t>
      </w:r>
      <w:r w:rsidRPr="00321901">
        <w:rPr>
          <w:rFonts w:ascii="Palatino Linotype" w:eastAsia="Palatino Linotype" w:hAnsi="Palatino Linotype" w:cs="Palatino Linotype"/>
        </w:rPr>
        <w:t xml:space="preserve">el Recurso de Revisión número </w:t>
      </w:r>
      <w:r w:rsidRPr="00321901">
        <w:rPr>
          <w:rFonts w:ascii="Palatino Linotype" w:eastAsia="Palatino Linotype" w:hAnsi="Palatino Linotype" w:cs="Palatino Linotype"/>
          <w:b/>
          <w:color w:val="000000"/>
        </w:rPr>
        <w:t>05003/INFOEM/IP/RR/2024</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 xml:space="preserve">porque una vez admitidos se actualizó la causal de improcedencia prevista en artículo 192, fracción IV, en relación con la fracción VII </w:t>
      </w:r>
      <w:r w:rsidRPr="00321901">
        <w:rPr>
          <w:rFonts w:ascii="Palatino Linotype" w:eastAsia="Palatino Linotype" w:hAnsi="Palatino Linotype" w:cs="Palatino Linotype"/>
        </w:rPr>
        <w:lastRenderedPageBreak/>
        <w:t xml:space="preserve">del artículo 191, de la Ley de Transparencia y Acceso a la Información Pública del Estado de México y Municipios, en términos del </w:t>
      </w:r>
      <w:r w:rsidRPr="00321901">
        <w:rPr>
          <w:rFonts w:ascii="Palatino Linotype" w:eastAsia="Palatino Linotype" w:hAnsi="Palatino Linotype" w:cs="Palatino Linotype"/>
          <w:b/>
        </w:rPr>
        <w:t xml:space="preserve">Considerando CUARTO </w:t>
      </w:r>
      <w:r w:rsidRPr="00321901">
        <w:rPr>
          <w:rFonts w:ascii="Palatino Linotype" w:eastAsia="Palatino Linotype" w:hAnsi="Palatino Linotype" w:cs="Palatino Linotype"/>
        </w:rPr>
        <w:t xml:space="preserve">de la presente Resolución. </w:t>
      </w:r>
    </w:p>
    <w:p w:rsidR="00633AC9" w:rsidRPr="00321901" w:rsidRDefault="00633AC9">
      <w:pPr>
        <w:spacing w:line="360" w:lineRule="auto"/>
        <w:ind w:right="49"/>
        <w:jc w:val="both"/>
        <w:rPr>
          <w:rFonts w:ascii="Palatino Linotype" w:eastAsia="Palatino Linotype" w:hAnsi="Palatino Linotype" w:cs="Palatino Linotype"/>
        </w:rPr>
      </w:pPr>
    </w:p>
    <w:p w:rsidR="00633AC9" w:rsidRPr="00321901" w:rsidRDefault="003573FE">
      <w:pPr>
        <w:spacing w:line="360" w:lineRule="auto"/>
        <w:ind w:right="49"/>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b/>
        </w:rPr>
        <w:t>SEGUNDO.</w:t>
      </w:r>
      <w:r w:rsidRPr="00321901">
        <w:rPr>
          <w:rFonts w:ascii="Palatino Linotype" w:eastAsia="Palatino Linotype" w:hAnsi="Palatino Linotype" w:cs="Palatino Linotype"/>
        </w:rPr>
        <w:t xml:space="preserve"> Resultan fundadas las</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 xml:space="preserve">razones o motivos de inconformidad hechos valer en el Recurso de Revisión </w:t>
      </w:r>
      <w:r w:rsidRPr="00321901">
        <w:rPr>
          <w:rFonts w:ascii="Palatino Linotype" w:eastAsia="Palatino Linotype" w:hAnsi="Palatino Linotype" w:cs="Palatino Linotype"/>
          <w:b/>
        </w:rPr>
        <w:t>0</w:t>
      </w:r>
      <w:r w:rsidRPr="00321901">
        <w:rPr>
          <w:rFonts w:ascii="Palatino Linotype" w:eastAsia="Palatino Linotype" w:hAnsi="Palatino Linotype" w:cs="Palatino Linotype"/>
          <w:b/>
          <w:color w:val="000000"/>
        </w:rPr>
        <w:t>5698/INFOEM/IP/RR/2024</w:t>
      </w:r>
      <w:r w:rsidRPr="00321901">
        <w:rPr>
          <w:rFonts w:ascii="Palatino Linotype" w:eastAsia="Palatino Linotype" w:hAnsi="Palatino Linotype" w:cs="Palatino Linotype"/>
          <w:b/>
        </w:rPr>
        <w:t xml:space="preserve">, </w:t>
      </w:r>
      <w:r w:rsidRPr="00321901">
        <w:rPr>
          <w:rFonts w:ascii="Palatino Linotype" w:eastAsia="Palatino Linotype" w:hAnsi="Palatino Linotype" w:cs="Palatino Linotype"/>
        </w:rPr>
        <w:t xml:space="preserve">en términos de los </w:t>
      </w:r>
      <w:r w:rsidRPr="00321901">
        <w:rPr>
          <w:rFonts w:ascii="Palatino Linotype" w:eastAsia="Palatino Linotype" w:hAnsi="Palatino Linotype" w:cs="Palatino Linotype"/>
          <w:b/>
        </w:rPr>
        <w:t>Considerandos</w:t>
      </w:r>
      <w:r w:rsidRPr="00321901">
        <w:rPr>
          <w:rFonts w:ascii="Palatino Linotype" w:eastAsia="Palatino Linotype" w:hAnsi="Palatino Linotype" w:cs="Palatino Linotype"/>
        </w:rPr>
        <w:t xml:space="preserve"> </w:t>
      </w:r>
      <w:r w:rsidRPr="00321901">
        <w:rPr>
          <w:rFonts w:ascii="Palatino Linotype" w:eastAsia="Palatino Linotype" w:hAnsi="Palatino Linotype" w:cs="Palatino Linotype"/>
          <w:b/>
        </w:rPr>
        <w:t>CUARTO y QUINTO</w:t>
      </w:r>
      <w:r w:rsidRPr="00321901">
        <w:rPr>
          <w:rFonts w:ascii="Palatino Linotype" w:eastAsia="Palatino Linotype" w:hAnsi="Palatino Linotype" w:cs="Palatino Linotype"/>
        </w:rPr>
        <w:t xml:space="preserve"> de la presente Resolución, por lo que se </w:t>
      </w:r>
      <w:r w:rsidRPr="00321901">
        <w:rPr>
          <w:rFonts w:ascii="Palatino Linotype" w:eastAsia="Palatino Linotype" w:hAnsi="Palatino Linotype" w:cs="Palatino Linotype"/>
          <w:b/>
        </w:rPr>
        <w:t>MODIFICA</w:t>
      </w:r>
      <w:r w:rsidRPr="00321901">
        <w:rPr>
          <w:rFonts w:ascii="Palatino Linotype" w:eastAsia="Palatino Linotype" w:hAnsi="Palatino Linotype" w:cs="Palatino Linotype"/>
        </w:rPr>
        <w:t xml:space="preserve"> la respuesta emitida por el </w:t>
      </w:r>
      <w:r w:rsidRPr="00321901">
        <w:rPr>
          <w:rFonts w:ascii="Palatino Linotype" w:eastAsia="Palatino Linotype" w:hAnsi="Palatino Linotype" w:cs="Palatino Linotype"/>
          <w:b/>
        </w:rPr>
        <w:t xml:space="preserve">Ayuntamiento de </w:t>
      </w:r>
      <w:proofErr w:type="spellStart"/>
      <w:r w:rsidRPr="00321901">
        <w:rPr>
          <w:rFonts w:ascii="Palatino Linotype" w:eastAsia="Palatino Linotype" w:hAnsi="Palatino Linotype" w:cs="Palatino Linotype"/>
          <w:b/>
        </w:rPr>
        <w:t>Tlalmanalco</w:t>
      </w:r>
      <w:proofErr w:type="spellEnd"/>
      <w:r w:rsidRPr="00321901">
        <w:rPr>
          <w:rFonts w:ascii="Palatino Linotype" w:eastAsia="Palatino Linotype" w:hAnsi="Palatino Linotype" w:cs="Palatino Linotype"/>
        </w:rPr>
        <w:t xml:space="preserve"> y se </w:t>
      </w:r>
      <w:r w:rsidRPr="00321901">
        <w:rPr>
          <w:rFonts w:ascii="Palatino Linotype" w:eastAsia="Palatino Linotype" w:hAnsi="Palatino Linotype" w:cs="Palatino Linotype"/>
          <w:b/>
        </w:rPr>
        <w:t>ORDENA</w:t>
      </w:r>
      <w:r w:rsidRPr="00321901">
        <w:rPr>
          <w:rFonts w:ascii="Palatino Linotype" w:eastAsia="Palatino Linotype" w:hAnsi="Palatino Linotype" w:cs="Palatino Linotype"/>
        </w:rPr>
        <w:t xml:space="preserve"> </w:t>
      </w:r>
      <w:r w:rsidRPr="00321901">
        <w:rPr>
          <w:rFonts w:ascii="Palatino Linotype" w:eastAsia="Palatino Linotype" w:hAnsi="Palatino Linotype" w:cs="Palatino Linotype"/>
          <w:color w:val="000000"/>
        </w:rPr>
        <w:t xml:space="preserve">entregar vía Sistema de Acceso a la Información Mexiquense </w:t>
      </w:r>
      <w:r w:rsidRPr="00321901">
        <w:rPr>
          <w:rFonts w:ascii="Palatino Linotype" w:eastAsia="Palatino Linotype" w:hAnsi="Palatino Linotype" w:cs="Palatino Linotype"/>
          <w:b/>
          <w:color w:val="000000"/>
        </w:rPr>
        <w:t>(SAIMEX)</w:t>
      </w:r>
      <w:r w:rsidRPr="00321901">
        <w:rPr>
          <w:rFonts w:ascii="Palatino Linotype" w:eastAsia="Palatino Linotype" w:hAnsi="Palatino Linotype" w:cs="Palatino Linotype"/>
          <w:color w:val="000000"/>
        </w:rPr>
        <w:t xml:space="preserve">, de ser el caso </w:t>
      </w:r>
      <w:r w:rsidRPr="00321901">
        <w:rPr>
          <w:rFonts w:ascii="Palatino Linotype" w:eastAsia="Palatino Linotype" w:hAnsi="Palatino Linotype" w:cs="Palatino Linotype"/>
        </w:rPr>
        <w:t>en versión pública</w:t>
      </w:r>
      <w:r w:rsidRPr="00321901">
        <w:rPr>
          <w:rFonts w:ascii="Palatino Linotype" w:eastAsia="Palatino Linotype" w:hAnsi="Palatino Linotype" w:cs="Palatino Linotype"/>
          <w:color w:val="000000"/>
        </w:rPr>
        <w:t>, la siguiente información:</w:t>
      </w:r>
    </w:p>
    <w:p w:rsidR="00633AC9" w:rsidRPr="00321901" w:rsidRDefault="00633AC9">
      <w:pPr>
        <w:spacing w:line="360" w:lineRule="auto"/>
        <w:ind w:right="49"/>
        <w:jc w:val="both"/>
        <w:rPr>
          <w:rFonts w:ascii="Palatino Linotype" w:eastAsia="Palatino Linotype" w:hAnsi="Palatino Linotype" w:cs="Palatino Linotype"/>
          <w:color w:val="000000"/>
        </w:rPr>
      </w:pPr>
    </w:p>
    <w:p w:rsidR="00633AC9" w:rsidRPr="00321901" w:rsidRDefault="003573FE">
      <w:pPr>
        <w:numPr>
          <w:ilvl w:val="0"/>
          <w:numId w:val="9"/>
        </w:numPr>
        <w:pBdr>
          <w:top w:val="nil"/>
          <w:left w:val="nil"/>
          <w:bottom w:val="nil"/>
          <w:right w:val="nil"/>
          <w:between w:val="nil"/>
        </w:pBdr>
        <w:spacing w:line="360" w:lineRule="auto"/>
        <w:ind w:left="1276" w:right="900" w:hanging="142"/>
        <w:jc w:val="both"/>
        <w:rPr>
          <w:rFonts w:ascii="Palatino Linotype" w:eastAsia="Palatino Linotype" w:hAnsi="Palatino Linotype" w:cs="Palatino Linotype"/>
          <w:color w:val="000000"/>
          <w:sz w:val="22"/>
          <w:szCs w:val="22"/>
        </w:rPr>
      </w:pPr>
      <w:r w:rsidRPr="00321901">
        <w:rPr>
          <w:rFonts w:ascii="Palatino Linotype" w:eastAsia="Palatino Linotype" w:hAnsi="Palatino Linotype" w:cs="Palatino Linotype"/>
          <w:color w:val="000000"/>
          <w:sz w:val="22"/>
          <w:szCs w:val="22"/>
        </w:rPr>
        <w:t xml:space="preserve">Documento en el que conste o se advierta la asistencia con horario de entrada y salida de la Servidora Pública referida en la solicitud de información número </w:t>
      </w:r>
      <w:r w:rsidRPr="00321901">
        <w:rPr>
          <w:rFonts w:ascii="Palatino Linotype" w:eastAsia="Palatino Linotype" w:hAnsi="Palatino Linotype" w:cs="Palatino Linotype"/>
          <w:b/>
          <w:color w:val="000000"/>
          <w:sz w:val="22"/>
          <w:szCs w:val="22"/>
        </w:rPr>
        <w:t xml:space="preserve">00122/TLALMANA/IP/2024, </w:t>
      </w:r>
      <w:r w:rsidRPr="00321901">
        <w:rPr>
          <w:rFonts w:ascii="Palatino Linotype" w:eastAsia="Palatino Linotype" w:hAnsi="Palatino Linotype" w:cs="Palatino Linotype"/>
          <w:color w:val="000000"/>
          <w:sz w:val="22"/>
          <w:szCs w:val="22"/>
        </w:rPr>
        <w:t>del 01 de enero del 2022 al 30 de junio del 2024.</w:t>
      </w:r>
    </w:p>
    <w:p w:rsidR="00633AC9" w:rsidRPr="00321901" w:rsidRDefault="00633AC9">
      <w:pPr>
        <w:spacing w:line="360" w:lineRule="auto"/>
        <w:ind w:right="900"/>
        <w:jc w:val="both"/>
        <w:rPr>
          <w:rFonts w:ascii="Palatino Linotype" w:eastAsia="Palatino Linotype" w:hAnsi="Palatino Linotype" w:cs="Palatino Linotype"/>
          <w:color w:val="000000"/>
          <w:sz w:val="22"/>
          <w:szCs w:val="22"/>
        </w:rPr>
      </w:pPr>
    </w:p>
    <w:p w:rsidR="00633AC9" w:rsidRPr="00321901" w:rsidRDefault="003573FE">
      <w:pPr>
        <w:spacing w:line="360" w:lineRule="auto"/>
        <w:ind w:right="49"/>
        <w:jc w:val="both"/>
        <w:rPr>
          <w:rFonts w:ascii="Palatino Linotype" w:eastAsia="Palatino Linotype" w:hAnsi="Palatino Linotype" w:cs="Palatino Linotype"/>
          <w:b/>
        </w:rPr>
      </w:pPr>
      <w:r w:rsidRPr="00321901">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321901">
        <w:rPr>
          <w:rFonts w:ascii="Palatino Linotype" w:eastAsia="Palatino Linotype" w:hAnsi="Palatino Linotype" w:cs="Palatino Linotype"/>
          <w:b/>
        </w:rPr>
        <w:t>RECURRENTE.</w:t>
      </w:r>
    </w:p>
    <w:p w:rsidR="00633AC9" w:rsidRPr="00321901" w:rsidRDefault="00633AC9">
      <w:pPr>
        <w:tabs>
          <w:tab w:val="left" w:pos="8080"/>
        </w:tabs>
        <w:spacing w:line="360" w:lineRule="auto"/>
        <w:ind w:right="49"/>
        <w:jc w:val="both"/>
        <w:rPr>
          <w:rFonts w:ascii="Palatino Linotype" w:eastAsia="Palatino Linotype" w:hAnsi="Palatino Linotype" w:cs="Palatino Linotype"/>
        </w:rPr>
      </w:pPr>
    </w:p>
    <w:p w:rsidR="00633AC9" w:rsidRPr="00321901" w:rsidRDefault="003573FE">
      <w:pPr>
        <w:tabs>
          <w:tab w:val="left" w:pos="8080"/>
        </w:tabs>
        <w:spacing w:line="360" w:lineRule="auto"/>
        <w:ind w:right="49"/>
        <w:jc w:val="both"/>
        <w:rPr>
          <w:rFonts w:ascii="Palatino Linotype" w:eastAsia="Palatino Linotype" w:hAnsi="Palatino Linotype" w:cs="Palatino Linotype"/>
        </w:rPr>
      </w:pPr>
      <w:r w:rsidRPr="00321901">
        <w:rPr>
          <w:rFonts w:ascii="Palatino Linotype" w:eastAsia="Palatino Linotype" w:hAnsi="Palatino Linotype" w:cs="Palatino Linotype"/>
        </w:rPr>
        <w:t xml:space="preserve">En caso de no contar con el documento que acredite la asistencia con horario de entrada y salida de la Servidora Pública referida, deberá remitir aquel en el que se </w:t>
      </w:r>
      <w:proofErr w:type="spellStart"/>
      <w:r w:rsidRPr="00321901">
        <w:rPr>
          <w:rFonts w:ascii="Palatino Linotype" w:eastAsia="Palatino Linotype" w:hAnsi="Palatino Linotype" w:cs="Palatino Linotype"/>
          <w:color w:val="000000"/>
        </w:rPr>
        <w:lastRenderedPageBreak/>
        <w:t>se</w:t>
      </w:r>
      <w:proofErr w:type="spellEnd"/>
      <w:r w:rsidRPr="00321901">
        <w:rPr>
          <w:rFonts w:ascii="Palatino Linotype" w:eastAsia="Palatino Linotype" w:hAnsi="Palatino Linotype" w:cs="Palatino Linotype"/>
          <w:color w:val="000000"/>
        </w:rPr>
        <w:t xml:space="preserve"> advierta la autorización emitida por autoridad competente, para la exención de registro de asistencia de la </w:t>
      </w:r>
      <w:r w:rsidRPr="00321901">
        <w:rPr>
          <w:rFonts w:ascii="Palatino Linotype" w:eastAsia="Palatino Linotype" w:hAnsi="Palatino Linotype" w:cs="Palatino Linotype"/>
        </w:rPr>
        <w:t>Servidora Pública</w:t>
      </w:r>
      <w:r w:rsidRPr="00321901">
        <w:rPr>
          <w:rFonts w:ascii="Palatino Linotype" w:eastAsia="Palatino Linotype" w:hAnsi="Palatino Linotype" w:cs="Palatino Linotype"/>
          <w:color w:val="000000"/>
        </w:rPr>
        <w:t xml:space="preserve">, vigente al </w:t>
      </w:r>
      <w:r w:rsidRPr="00321901">
        <w:rPr>
          <w:rFonts w:ascii="Palatino Linotype" w:eastAsia="Palatino Linotype" w:hAnsi="Palatino Linotype" w:cs="Palatino Linotype"/>
        </w:rPr>
        <w:t xml:space="preserve">30 de junio del 2024, y ponerse a disposición del </w:t>
      </w:r>
      <w:r w:rsidRPr="00321901">
        <w:rPr>
          <w:rFonts w:ascii="Palatino Linotype" w:eastAsia="Palatino Linotype" w:hAnsi="Palatino Linotype" w:cs="Palatino Linotype"/>
          <w:b/>
        </w:rPr>
        <w:t>RECURRENTE.</w:t>
      </w:r>
    </w:p>
    <w:p w:rsidR="00633AC9" w:rsidRPr="00321901" w:rsidRDefault="00633AC9">
      <w:pPr>
        <w:spacing w:line="360" w:lineRule="auto"/>
        <w:jc w:val="both"/>
        <w:rPr>
          <w:rFonts w:ascii="Palatino Linotype" w:eastAsia="Palatino Linotype" w:hAnsi="Palatino Linotype" w:cs="Palatino Linotype"/>
          <w:b/>
        </w:rPr>
      </w:pPr>
    </w:p>
    <w:p w:rsidR="00633AC9" w:rsidRPr="00321901" w:rsidRDefault="003573FE">
      <w:pPr>
        <w:shd w:val="clear" w:color="auto" w:fill="FFFFFF"/>
        <w:spacing w:line="360" w:lineRule="auto"/>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b/>
        </w:rPr>
        <w:t xml:space="preserve">TERCERO. </w:t>
      </w:r>
      <w:r w:rsidRPr="00321901">
        <w:rPr>
          <w:rFonts w:ascii="Palatino Linotype" w:eastAsia="Palatino Linotype" w:hAnsi="Palatino Linotype" w:cs="Palatino Linotype"/>
          <w:b/>
          <w:color w:val="222222"/>
        </w:rPr>
        <w:t>NOTIFÍQUESE</w:t>
      </w:r>
      <w:r w:rsidRPr="00321901">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321901">
        <w:rPr>
          <w:rFonts w:ascii="Palatino Linotype" w:eastAsia="Palatino Linotype" w:hAnsi="Palatino Linotype" w:cs="Palatino Linotype"/>
          <w:b/>
          <w:color w:val="222222"/>
        </w:rPr>
        <w:t xml:space="preserve">dé cumplimiento a lo ordenado dentro del plazo de diez días hábiles, </w:t>
      </w:r>
      <w:r w:rsidRPr="00321901">
        <w:rPr>
          <w:rFonts w:ascii="Palatino Linotype" w:eastAsia="Palatino Linotype" w:hAnsi="Palatino Linotype" w:cs="Palatino Linotype"/>
          <w:color w:val="222222"/>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33AC9" w:rsidRPr="00321901" w:rsidRDefault="00633AC9">
      <w:pPr>
        <w:spacing w:line="360" w:lineRule="auto"/>
        <w:jc w:val="both"/>
        <w:rPr>
          <w:rFonts w:ascii="Palatino Linotype" w:eastAsia="Palatino Linotype" w:hAnsi="Palatino Linotype" w:cs="Palatino Linotype"/>
        </w:rPr>
      </w:pPr>
    </w:p>
    <w:p w:rsidR="00633AC9" w:rsidRPr="00321901" w:rsidRDefault="003573FE">
      <w:pPr>
        <w:spacing w:line="360" w:lineRule="auto"/>
        <w:ind w:right="276"/>
        <w:jc w:val="both"/>
        <w:rPr>
          <w:rFonts w:ascii="Palatino Linotype" w:eastAsia="Palatino Linotype" w:hAnsi="Palatino Linotype" w:cs="Palatino Linotype"/>
        </w:rPr>
      </w:pPr>
      <w:bookmarkStart w:id="8" w:name="_heading=h.3rdcrjn" w:colFirst="0" w:colLast="0"/>
      <w:bookmarkEnd w:id="8"/>
      <w:r w:rsidRPr="00321901">
        <w:rPr>
          <w:rFonts w:ascii="Palatino Linotype" w:eastAsia="Palatino Linotype" w:hAnsi="Palatino Linotype" w:cs="Palatino Linotype"/>
          <w:b/>
        </w:rPr>
        <w:t xml:space="preserve">CUARTO. </w:t>
      </w:r>
      <w:r w:rsidRPr="0032190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321901">
        <w:rPr>
          <w:rFonts w:ascii="Palatino Linotype" w:eastAsia="Palatino Linotype" w:hAnsi="Palatino Linotype" w:cs="Palatino Linotype"/>
          <w:b/>
        </w:rPr>
        <w:t>SUJETO OBLIGADO</w:t>
      </w:r>
      <w:r w:rsidRPr="00321901">
        <w:rPr>
          <w:rFonts w:ascii="Palatino Linotype" w:eastAsia="Palatino Linotype" w:hAnsi="Palatino Linotype" w:cs="Palatino Linotype"/>
        </w:rPr>
        <w:t xml:space="preserve"> de manera fundada y motivada, podrá solicitar una ampliación de plazo para el cumplimiento de la presente resolución.</w:t>
      </w:r>
    </w:p>
    <w:p w:rsidR="00633AC9" w:rsidRPr="00321901" w:rsidRDefault="00633AC9">
      <w:pPr>
        <w:spacing w:line="360" w:lineRule="auto"/>
        <w:ind w:right="276"/>
        <w:jc w:val="both"/>
        <w:rPr>
          <w:rFonts w:ascii="Palatino Linotype" w:eastAsia="Palatino Linotype" w:hAnsi="Palatino Linotype" w:cs="Palatino Linotype"/>
        </w:rPr>
      </w:pPr>
    </w:p>
    <w:p w:rsidR="00633AC9" w:rsidRPr="00321901" w:rsidRDefault="003573FE">
      <w:pPr>
        <w:tabs>
          <w:tab w:val="left" w:pos="8080"/>
        </w:tabs>
        <w:spacing w:line="360" w:lineRule="auto"/>
        <w:jc w:val="both"/>
        <w:rPr>
          <w:rFonts w:ascii="Palatino Linotype" w:eastAsia="Palatino Linotype" w:hAnsi="Palatino Linotype" w:cs="Palatino Linotype"/>
        </w:rPr>
      </w:pPr>
      <w:r w:rsidRPr="00321901">
        <w:rPr>
          <w:rFonts w:ascii="Palatino Linotype" w:eastAsia="Palatino Linotype" w:hAnsi="Palatino Linotype" w:cs="Palatino Linotype"/>
          <w:b/>
        </w:rPr>
        <w:t xml:space="preserve">QUINTO. </w:t>
      </w:r>
      <w:r w:rsidRPr="00321901">
        <w:rPr>
          <w:rFonts w:ascii="Palatino Linotype" w:eastAsia="Palatino Linotype" w:hAnsi="Palatino Linotype" w:cs="Palatino Linotype"/>
          <w:b/>
          <w:color w:val="222222"/>
        </w:rPr>
        <w:t xml:space="preserve">Notifíquese </w:t>
      </w:r>
      <w:r w:rsidRPr="00321901">
        <w:rPr>
          <w:rFonts w:ascii="Palatino Linotype" w:eastAsia="Palatino Linotype" w:hAnsi="Palatino Linotype" w:cs="Palatino Linotype"/>
          <w:color w:val="222222"/>
        </w:rPr>
        <w:t xml:space="preserve">a </w:t>
      </w:r>
      <w:r w:rsidRPr="00321901">
        <w:rPr>
          <w:rFonts w:ascii="Palatino Linotype" w:eastAsia="Palatino Linotype" w:hAnsi="Palatino Linotype" w:cs="Palatino Linotype"/>
          <w:b/>
          <w:color w:val="222222"/>
        </w:rPr>
        <w:t>EL RECURRENTE</w:t>
      </w:r>
      <w:r w:rsidRPr="00321901">
        <w:rPr>
          <w:rFonts w:ascii="Palatino Linotype" w:eastAsia="Palatino Linotype" w:hAnsi="Palatino Linotype" w:cs="Palatino Linotype"/>
          <w:color w:val="222222"/>
        </w:rPr>
        <w:t xml:space="preserve"> la presente resolución vía SAIMEX</w:t>
      </w:r>
      <w:r w:rsidRPr="00321901">
        <w:rPr>
          <w:rFonts w:ascii="Palatino Linotype" w:eastAsia="Palatino Linotype" w:hAnsi="Palatino Linotype" w:cs="Palatino Linotype"/>
        </w:rPr>
        <w:t>.</w:t>
      </w:r>
    </w:p>
    <w:p w:rsidR="00633AC9" w:rsidRPr="00321901" w:rsidRDefault="00633AC9">
      <w:pPr>
        <w:tabs>
          <w:tab w:val="left" w:pos="8080"/>
        </w:tabs>
        <w:spacing w:line="360" w:lineRule="auto"/>
        <w:jc w:val="both"/>
        <w:rPr>
          <w:rFonts w:ascii="Palatino Linotype" w:eastAsia="Palatino Linotype" w:hAnsi="Palatino Linotype" w:cs="Palatino Linotype"/>
        </w:rPr>
      </w:pPr>
    </w:p>
    <w:p w:rsidR="00633AC9" w:rsidRPr="00321901" w:rsidRDefault="003573FE">
      <w:pPr>
        <w:shd w:val="clear" w:color="auto" w:fill="FFFFFF"/>
        <w:spacing w:line="360" w:lineRule="auto"/>
        <w:jc w:val="both"/>
        <w:rPr>
          <w:rFonts w:ascii="Palatino Linotype" w:eastAsia="Palatino Linotype" w:hAnsi="Palatino Linotype" w:cs="Palatino Linotype"/>
          <w:color w:val="000000"/>
        </w:rPr>
      </w:pPr>
      <w:r w:rsidRPr="00321901">
        <w:rPr>
          <w:rFonts w:ascii="Palatino Linotype" w:eastAsia="Palatino Linotype" w:hAnsi="Palatino Linotype" w:cs="Palatino Linotype"/>
          <w:b/>
        </w:rPr>
        <w:lastRenderedPageBreak/>
        <w:t xml:space="preserve">SEXTO. </w:t>
      </w:r>
      <w:r w:rsidRPr="00321901">
        <w:rPr>
          <w:rFonts w:ascii="Palatino Linotype" w:eastAsia="Palatino Linotype" w:hAnsi="Palatino Linotype" w:cs="Palatino Linotype"/>
          <w:color w:val="000000"/>
        </w:rPr>
        <w:t xml:space="preserve">Se hace del conocimiento de </w:t>
      </w:r>
      <w:r w:rsidRPr="00321901">
        <w:rPr>
          <w:rFonts w:ascii="Palatino Linotype" w:eastAsia="Palatino Linotype" w:hAnsi="Palatino Linotype" w:cs="Palatino Linotype"/>
          <w:b/>
          <w:color w:val="000000"/>
        </w:rPr>
        <w:t>EL RECURRENTE</w:t>
      </w:r>
      <w:r w:rsidRPr="00321901">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321901">
        <w:rPr>
          <w:rFonts w:ascii="Palatino Linotype" w:eastAsia="Palatino Linotype" w:hAnsi="Palatino Linotype" w:cs="Palatino Linotype"/>
        </w:rPr>
        <w:t>impugnar vía</w:t>
      </w:r>
      <w:r w:rsidRPr="00321901">
        <w:rPr>
          <w:rFonts w:ascii="Palatino Linotype" w:eastAsia="Palatino Linotype" w:hAnsi="Palatino Linotype" w:cs="Palatino Linotype"/>
          <w:color w:val="000000"/>
        </w:rPr>
        <w:t xml:space="preserve"> juicio de amparo en los términos de las leyes aplicables.</w:t>
      </w:r>
    </w:p>
    <w:p w:rsidR="002318DC" w:rsidRPr="00321901" w:rsidRDefault="002318DC">
      <w:pPr>
        <w:shd w:val="clear" w:color="auto" w:fill="FFFFFF"/>
        <w:spacing w:line="360" w:lineRule="auto"/>
        <w:jc w:val="both"/>
        <w:rPr>
          <w:rFonts w:ascii="Palatino Linotype" w:eastAsia="Palatino Linotype" w:hAnsi="Palatino Linotype" w:cs="Palatino Linotype"/>
          <w:color w:val="000000"/>
        </w:rPr>
      </w:pPr>
    </w:p>
    <w:p w:rsidR="002318DC" w:rsidRPr="003C7186" w:rsidRDefault="002318DC" w:rsidP="002318DC">
      <w:pPr>
        <w:spacing w:line="360" w:lineRule="auto"/>
        <w:ind w:left="-142" w:right="-234" w:firstLine="1"/>
        <w:jc w:val="both"/>
        <w:rPr>
          <w:rFonts w:ascii="Palatino Linotype" w:hAnsi="Palatino Linotype"/>
        </w:rPr>
      </w:pPr>
      <w:bookmarkStart w:id="9" w:name="_heading=h.26in1rg" w:colFirst="0" w:colLast="0"/>
      <w:bookmarkEnd w:id="9"/>
      <w:r w:rsidRPr="0032190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10" w:name="_GoBack"/>
      <w:bookmarkEnd w:id="10"/>
      <w:r w:rsidRPr="003C7186">
        <w:rPr>
          <w:rFonts w:ascii="Palatino Linotype" w:hAnsi="Palatino Linotype"/>
        </w:rPr>
        <w:t xml:space="preserve"> </w:t>
      </w:r>
    </w:p>
    <w:p w:rsidR="00633AC9" w:rsidRDefault="00633AC9">
      <w:pPr>
        <w:tabs>
          <w:tab w:val="left" w:pos="3374"/>
        </w:tabs>
        <w:spacing w:line="360" w:lineRule="auto"/>
        <w:rPr>
          <w:rFonts w:ascii="Palatino Linotype" w:eastAsia="Palatino Linotype" w:hAnsi="Palatino Linotype" w:cs="Palatino Linotype"/>
        </w:rPr>
      </w:pPr>
    </w:p>
    <w:sectPr w:rsidR="00633AC9">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51B" w:rsidRDefault="000A151B">
      <w:r>
        <w:separator/>
      </w:r>
    </w:p>
  </w:endnote>
  <w:endnote w:type="continuationSeparator" w:id="0">
    <w:p w:rsidR="000A151B" w:rsidRDefault="000A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C9" w:rsidRDefault="003573F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21901">
      <w:rPr>
        <w:rFonts w:ascii="Palatino Linotype" w:eastAsia="Palatino Linotype" w:hAnsi="Palatino Linotype" w:cs="Palatino Linotype"/>
        <w:noProof/>
        <w:color w:val="000000"/>
        <w:sz w:val="20"/>
        <w:szCs w:val="20"/>
      </w:rPr>
      <w:t>41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21901">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rsidR="00633AC9" w:rsidRDefault="00633AC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C9" w:rsidRDefault="003573F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2190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21901">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rsidR="00633AC9" w:rsidRDefault="00633AC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51B" w:rsidRDefault="000A151B">
      <w:r>
        <w:separator/>
      </w:r>
    </w:p>
  </w:footnote>
  <w:footnote w:type="continuationSeparator" w:id="0">
    <w:p w:rsidR="000A151B" w:rsidRDefault="000A151B">
      <w:r>
        <w:continuationSeparator/>
      </w:r>
    </w:p>
  </w:footnote>
  <w:footnote w:id="1">
    <w:p w:rsidR="00633AC9" w:rsidRDefault="003573F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 xml:space="preserve">DESISTIMIENTO DE LA DEMANDA DE AMPARO. CORRESPONDE PROVEER RESPECTO DE ÉL AL JUEZ DE DISTRITO CUANDO SE PLANTEA ESTANDO PENDIENTE LA RESOLUCIÓN DEL RECURSO DE REVISIÓN Y ÉSTE SE DESECHA. El </w:t>
      </w:r>
      <w:proofErr w:type="spellStart"/>
      <w:r>
        <w:rPr>
          <w:rFonts w:ascii="Palatino Linotype" w:eastAsia="Palatino Linotype" w:hAnsi="Palatino Linotype" w:cs="Palatino Linotype"/>
          <w:i/>
          <w:color w:val="000000"/>
          <w:sz w:val="16"/>
          <w:szCs w:val="16"/>
        </w:rPr>
        <w:t>desechamiento</w:t>
      </w:r>
      <w:proofErr w:type="spellEnd"/>
      <w:r>
        <w:rPr>
          <w:rFonts w:ascii="Palatino Linotype" w:eastAsia="Palatino Linotype" w:hAnsi="Palatino Linotype" w:cs="Palatino Linotype"/>
          <w:i/>
          <w:color w:val="000000"/>
          <w:sz w:val="16"/>
          <w:szCs w:val="16"/>
        </w:rPr>
        <w:t xml:space="preserve">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2">
    <w:p w:rsidR="00633AC9" w:rsidRDefault="003573F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rsidR="00633AC9" w:rsidRDefault="003573FE">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C9" w:rsidRDefault="000A151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C9" w:rsidRDefault="00633AC9">
    <w:pPr>
      <w:widowControl w:val="0"/>
      <w:pBdr>
        <w:top w:val="nil"/>
        <w:left w:val="nil"/>
        <w:bottom w:val="nil"/>
        <w:right w:val="nil"/>
        <w:between w:val="nil"/>
      </w:pBdr>
      <w:spacing w:line="276" w:lineRule="auto"/>
      <w:rPr>
        <w:color w:val="000000"/>
      </w:rPr>
    </w:pPr>
  </w:p>
  <w:tbl>
    <w:tblPr>
      <w:tblStyle w:val="a5"/>
      <w:tblW w:w="7620" w:type="dxa"/>
      <w:tblInd w:w="2552" w:type="dxa"/>
      <w:tblLayout w:type="fixed"/>
      <w:tblLook w:val="0400" w:firstRow="0" w:lastRow="0" w:firstColumn="0" w:lastColumn="0" w:noHBand="0" w:noVBand="1"/>
    </w:tblPr>
    <w:tblGrid>
      <w:gridCol w:w="2985"/>
      <w:gridCol w:w="4635"/>
    </w:tblGrid>
    <w:tr w:rsidR="00633AC9">
      <w:trPr>
        <w:trHeight w:val="227"/>
      </w:trPr>
      <w:tc>
        <w:tcPr>
          <w:tcW w:w="2985" w:type="dxa"/>
        </w:tcPr>
        <w:p w:rsidR="00633AC9" w:rsidRDefault="003573F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633AC9" w:rsidRDefault="003573FE">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05003/INFOEM/IP/RR/2024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633AC9">
      <w:trPr>
        <w:trHeight w:val="342"/>
      </w:trPr>
      <w:tc>
        <w:tcPr>
          <w:tcW w:w="2985" w:type="dxa"/>
        </w:tcPr>
        <w:p w:rsidR="00633AC9" w:rsidRDefault="003573F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633AC9" w:rsidRDefault="003573FE">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Ayuntamiento de </w:t>
          </w:r>
          <w:proofErr w:type="spellStart"/>
          <w:r>
            <w:rPr>
              <w:rFonts w:ascii="Palatino Linotype" w:eastAsia="Palatino Linotype" w:hAnsi="Palatino Linotype" w:cs="Palatino Linotype"/>
              <w:color w:val="000000"/>
              <w:sz w:val="22"/>
              <w:szCs w:val="22"/>
            </w:rPr>
            <w:t>Tlalmanalco</w:t>
          </w:r>
          <w:proofErr w:type="spellEnd"/>
        </w:p>
      </w:tc>
    </w:tr>
    <w:tr w:rsidR="00633AC9">
      <w:trPr>
        <w:trHeight w:val="342"/>
      </w:trPr>
      <w:tc>
        <w:tcPr>
          <w:tcW w:w="2985" w:type="dxa"/>
        </w:tcPr>
        <w:p w:rsidR="00633AC9" w:rsidRDefault="003573F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633AC9" w:rsidRDefault="003573FE">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33AC9" w:rsidRDefault="000A151B">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C9" w:rsidRDefault="00633AC9">
    <w:pPr>
      <w:widowControl w:val="0"/>
      <w:pBdr>
        <w:top w:val="nil"/>
        <w:left w:val="nil"/>
        <w:bottom w:val="nil"/>
        <w:right w:val="nil"/>
        <w:between w:val="nil"/>
      </w:pBdr>
      <w:spacing w:line="276" w:lineRule="auto"/>
      <w:rPr>
        <w:color w:val="000000"/>
        <w:sz w:val="14"/>
        <w:szCs w:val="14"/>
      </w:rPr>
    </w:pPr>
  </w:p>
  <w:tbl>
    <w:tblPr>
      <w:tblStyle w:val="a6"/>
      <w:tblW w:w="7620" w:type="dxa"/>
      <w:tblInd w:w="2552" w:type="dxa"/>
      <w:tblLayout w:type="fixed"/>
      <w:tblLook w:val="0400" w:firstRow="0" w:lastRow="0" w:firstColumn="0" w:lastColumn="0" w:noHBand="0" w:noVBand="1"/>
    </w:tblPr>
    <w:tblGrid>
      <w:gridCol w:w="2985"/>
      <w:gridCol w:w="4635"/>
    </w:tblGrid>
    <w:tr w:rsidR="00633AC9">
      <w:trPr>
        <w:trHeight w:val="227"/>
      </w:trPr>
      <w:tc>
        <w:tcPr>
          <w:tcW w:w="2985" w:type="dxa"/>
        </w:tcPr>
        <w:p w:rsidR="00633AC9" w:rsidRDefault="003573F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633AC9" w:rsidRDefault="003573FE">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05003/INFOEM/IP/RR/2024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633AC9">
      <w:trPr>
        <w:trHeight w:val="242"/>
      </w:trPr>
      <w:tc>
        <w:tcPr>
          <w:tcW w:w="2985" w:type="dxa"/>
        </w:tcPr>
        <w:p w:rsidR="00633AC9" w:rsidRDefault="003573F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35" w:type="dxa"/>
        </w:tcPr>
        <w:p w:rsidR="00633AC9" w:rsidRDefault="00321901">
          <w:pPr>
            <w:pBdr>
              <w:top w:val="nil"/>
              <w:left w:val="nil"/>
              <w:bottom w:val="nil"/>
              <w:right w:val="nil"/>
              <w:between w:val="nil"/>
            </w:pBdr>
            <w:tabs>
              <w:tab w:val="right" w:pos="8838"/>
              <w:tab w:val="left" w:pos="521"/>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XXXXXXXXXX</w:t>
          </w:r>
        </w:p>
      </w:tc>
    </w:tr>
    <w:tr w:rsidR="00633AC9">
      <w:trPr>
        <w:trHeight w:val="342"/>
      </w:trPr>
      <w:tc>
        <w:tcPr>
          <w:tcW w:w="2985" w:type="dxa"/>
        </w:tcPr>
        <w:p w:rsidR="00633AC9" w:rsidRDefault="003573F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633AC9" w:rsidRDefault="003573FE">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Ayuntamiento de </w:t>
          </w:r>
          <w:proofErr w:type="spellStart"/>
          <w:r>
            <w:rPr>
              <w:rFonts w:ascii="Palatino Linotype" w:eastAsia="Palatino Linotype" w:hAnsi="Palatino Linotype" w:cs="Palatino Linotype"/>
              <w:color w:val="000000"/>
              <w:sz w:val="22"/>
              <w:szCs w:val="22"/>
            </w:rPr>
            <w:t>Tlalmanalco</w:t>
          </w:r>
          <w:proofErr w:type="spellEnd"/>
        </w:p>
      </w:tc>
    </w:tr>
    <w:tr w:rsidR="00633AC9">
      <w:trPr>
        <w:trHeight w:val="342"/>
      </w:trPr>
      <w:tc>
        <w:tcPr>
          <w:tcW w:w="2985" w:type="dxa"/>
        </w:tcPr>
        <w:p w:rsidR="00633AC9" w:rsidRDefault="003573F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633AC9" w:rsidRDefault="003573FE">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33AC9" w:rsidRDefault="000A151B">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04D"/>
    <w:multiLevelType w:val="multilevel"/>
    <w:tmpl w:val="7F7E612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 w15:restartNumberingAfterBreak="0">
    <w:nsid w:val="23B04AB1"/>
    <w:multiLevelType w:val="multilevel"/>
    <w:tmpl w:val="6C78D77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26F3F"/>
    <w:multiLevelType w:val="multilevel"/>
    <w:tmpl w:val="05447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674AA3"/>
    <w:multiLevelType w:val="multilevel"/>
    <w:tmpl w:val="208876B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2BDE0EBA"/>
    <w:multiLevelType w:val="multilevel"/>
    <w:tmpl w:val="5F9C4F8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318F71DE"/>
    <w:multiLevelType w:val="multilevel"/>
    <w:tmpl w:val="5A9A588C"/>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C252365"/>
    <w:multiLevelType w:val="multilevel"/>
    <w:tmpl w:val="FFC0FED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B070B27"/>
    <w:multiLevelType w:val="multilevel"/>
    <w:tmpl w:val="378677E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443FA8"/>
    <w:multiLevelType w:val="multilevel"/>
    <w:tmpl w:val="857AF9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6C6B65"/>
    <w:multiLevelType w:val="multilevel"/>
    <w:tmpl w:val="AC20C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1"/>
  </w:num>
  <w:num w:numId="4">
    <w:abstractNumId w:val="7"/>
  </w:num>
  <w:num w:numId="5">
    <w:abstractNumId w:val="0"/>
  </w:num>
  <w:num w:numId="6">
    <w:abstractNumId w:val="8"/>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C9"/>
    <w:rsid w:val="000A151B"/>
    <w:rsid w:val="002318DC"/>
    <w:rsid w:val="00321901"/>
    <w:rsid w:val="003573FE"/>
    <w:rsid w:val="00633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43E33B3-0D98-4A67-A69C-DA72CEBA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photo/?fbid=474166455162690&amp;set=a.139798981932774&amp;__cft__%5b0%5d=AZUcBXuucV77wT3bkLce2ynYAX07l8vnGDqLmmWl5B4p-nWPmTq8BQyCL8V2iGgNRf_W7ICYaFr4gNHPnHXC7uBINmOgRWOPvqyaaZnAR9te9ZKjNDd-_uHane36nRhaaquNBfnn-64hyrny_DdioofDe0FdGaMGNpWJLNxEPCdL7TIdItHcJwBtSjn3QGs5ANcvtYKwhZJu6WmulBh4qzvV&amp;__tn__=E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Z7If5X2K9END+PxLBq0dgNJyTg==">CgMxLjAyCGguZ2pkZ3hzMgloLjN6bnlzaDcyCWguMmV0OTJwMDIIaC50eWpjd3QyCWguM2R5NnZrbTIJaC4xdDNoNXNmMghoLmxueGJ6OTIJaC4yczhleW8xMgloLjNyZGNyam4yDmguM2x4ZTJzZTdrMzB3Mg5oLjY5bTNhNnNqanc2bjINaC5hMGt6NWhsZjZ4bzIOaC52Z2trdGI3cGoyM2EyDmgubjl6cmM1anpzbDgxMg5oLm9pZDd6emx4enZ1bzIOaC56Z2s1OG56ZXZyMjAyCWguMjZpbjFyZzgAciExTkVrNlVXQ0sxWVp0WUtMdGhZVkhNWG94MzNHd1ZLZ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42</Pages>
  <Words>10816</Words>
  <Characters>59494</Characters>
  <Application>Microsoft Office Word</Application>
  <DocSecurity>0</DocSecurity>
  <Lines>495</Lines>
  <Paragraphs>140</Paragraphs>
  <ScaleCrop>false</ScaleCrop>
  <Company>HP Inc.</Company>
  <LinksUpToDate>false</LinksUpToDate>
  <CharactersWithSpaces>70170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3</cp:revision>
  <dcterms:created xsi:type="dcterms:W3CDTF">2024-12-05T23:24:00Z</dcterms:created>
  <dcterms:modified xsi:type="dcterms:W3CDTF">2025-01-24T00:24:00Z</dcterms:modified>
</cp:coreProperties>
</file>