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72FCEF99" w:rsidR="0009491C" w:rsidRDefault="0009491C"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90D21" w:rsidRPr="00390D21">
        <w:rPr>
          <w:rFonts w:ascii="Palatino Linotype" w:eastAsia="Times New Roman" w:hAnsi="Palatino Linotype" w:cs="Arial"/>
          <w:b/>
          <w:color w:val="000000"/>
          <w:sz w:val="24"/>
          <w:szCs w:val="24"/>
          <w:lang w:eastAsia="es-MX"/>
        </w:rPr>
        <w:t>tres</w:t>
      </w:r>
      <w:r w:rsidR="001E57C8" w:rsidRPr="00390D21">
        <w:rPr>
          <w:rFonts w:ascii="Palatino Linotype" w:eastAsia="Times New Roman" w:hAnsi="Palatino Linotype" w:cs="Arial"/>
          <w:b/>
          <w:color w:val="000000"/>
          <w:sz w:val="24"/>
          <w:szCs w:val="24"/>
          <w:lang w:eastAsia="es-MX"/>
        </w:rPr>
        <w:t xml:space="preserve"> de </w:t>
      </w:r>
      <w:r w:rsidR="00390D21" w:rsidRPr="00390D21">
        <w:rPr>
          <w:rFonts w:ascii="Palatino Linotype" w:eastAsia="Times New Roman" w:hAnsi="Palatino Linotype" w:cs="Arial"/>
          <w:b/>
          <w:color w:val="000000"/>
          <w:sz w:val="24"/>
          <w:szCs w:val="24"/>
          <w:lang w:eastAsia="es-MX"/>
        </w:rPr>
        <w:t>octu</w:t>
      </w:r>
      <w:r w:rsidR="001E57C8" w:rsidRPr="00390D21">
        <w:rPr>
          <w:rFonts w:ascii="Palatino Linotype" w:eastAsia="Times New Roman" w:hAnsi="Palatino Linotype" w:cs="Arial"/>
          <w:b/>
          <w:color w:val="000000"/>
          <w:sz w:val="24"/>
          <w:szCs w:val="24"/>
          <w:lang w:eastAsia="es-MX"/>
        </w:rPr>
        <w:t>bre de dos mil veinticuatro</w:t>
      </w:r>
      <w:r w:rsidR="001E57C8">
        <w:rPr>
          <w:rFonts w:ascii="Palatino Linotype" w:eastAsia="Times New Roman" w:hAnsi="Palatino Linotype" w:cs="Arial"/>
          <w:color w:val="000000"/>
          <w:sz w:val="24"/>
          <w:szCs w:val="24"/>
          <w:lang w:eastAsia="es-MX"/>
        </w:rPr>
        <w:t xml:space="preserve">. </w:t>
      </w:r>
    </w:p>
    <w:p w14:paraId="711F6014" w14:textId="77777777" w:rsidR="009E35D6" w:rsidRPr="007947A9" w:rsidRDefault="009E35D6"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7308D36" w14:textId="27194ED2" w:rsidR="008F4A98" w:rsidRPr="008F4A98" w:rsidRDefault="008F4A98" w:rsidP="009E35D6">
      <w:pPr>
        <w:spacing w:after="0" w:line="360" w:lineRule="auto"/>
        <w:jc w:val="both"/>
        <w:rPr>
          <w:rFonts w:ascii="Palatino Linotype" w:hAnsi="Palatino Linotype" w:cs="Arial"/>
          <w:sz w:val="24"/>
        </w:rPr>
      </w:pPr>
      <w:r w:rsidRPr="00415E43">
        <w:rPr>
          <w:rFonts w:ascii="Palatino Linotype" w:hAnsi="Palatino Linotype" w:cs="Arial"/>
          <w:b/>
          <w:sz w:val="24"/>
        </w:rPr>
        <w:t>VISTOS</w:t>
      </w:r>
      <w:r w:rsidRPr="00415E43">
        <w:rPr>
          <w:rFonts w:ascii="Palatino Linotype" w:hAnsi="Palatino Linotype" w:cs="Arial"/>
          <w:sz w:val="24"/>
        </w:rPr>
        <w:t xml:space="preserve"> los expedientes electrónicos formados con motivo de los recursos de revisión números </w:t>
      </w:r>
      <w:r>
        <w:rPr>
          <w:rFonts w:ascii="Palatino Linotype" w:hAnsi="Palatino Linotype" w:cs="Arial"/>
          <w:b/>
          <w:bCs/>
          <w:sz w:val="24"/>
        </w:rPr>
        <w:t>05</w:t>
      </w:r>
      <w:r w:rsidR="00390D21">
        <w:rPr>
          <w:rFonts w:ascii="Palatino Linotype" w:hAnsi="Palatino Linotype" w:cs="Arial"/>
          <w:b/>
          <w:bCs/>
          <w:sz w:val="24"/>
        </w:rPr>
        <w:t>5</w:t>
      </w:r>
      <w:r>
        <w:rPr>
          <w:rFonts w:ascii="Palatino Linotype" w:hAnsi="Palatino Linotype" w:cs="Arial"/>
          <w:b/>
          <w:bCs/>
          <w:sz w:val="24"/>
        </w:rPr>
        <w:t>1</w:t>
      </w:r>
      <w:r w:rsidR="00390D21">
        <w:rPr>
          <w:rFonts w:ascii="Palatino Linotype" w:hAnsi="Palatino Linotype" w:cs="Arial"/>
          <w:b/>
          <w:bCs/>
          <w:sz w:val="24"/>
        </w:rPr>
        <w:t>5</w:t>
      </w:r>
      <w:r>
        <w:rPr>
          <w:rFonts w:ascii="Palatino Linotype" w:hAnsi="Palatino Linotype" w:cs="Arial"/>
          <w:b/>
          <w:bCs/>
          <w:sz w:val="24"/>
        </w:rPr>
        <w:t>/INFOEM/IP/RR/2024 y 05</w:t>
      </w:r>
      <w:r w:rsidR="00390D21">
        <w:rPr>
          <w:rFonts w:ascii="Palatino Linotype" w:hAnsi="Palatino Linotype" w:cs="Arial"/>
          <w:b/>
          <w:bCs/>
          <w:sz w:val="24"/>
        </w:rPr>
        <w:t>5</w:t>
      </w:r>
      <w:r>
        <w:rPr>
          <w:rFonts w:ascii="Palatino Linotype" w:hAnsi="Palatino Linotype" w:cs="Arial"/>
          <w:b/>
          <w:bCs/>
          <w:sz w:val="24"/>
        </w:rPr>
        <w:t>1</w:t>
      </w:r>
      <w:r w:rsidR="00390D21">
        <w:rPr>
          <w:rFonts w:ascii="Palatino Linotype" w:hAnsi="Palatino Linotype" w:cs="Arial"/>
          <w:b/>
          <w:bCs/>
          <w:sz w:val="24"/>
        </w:rPr>
        <w:t>6</w:t>
      </w:r>
      <w:r>
        <w:rPr>
          <w:rFonts w:ascii="Palatino Linotype" w:hAnsi="Palatino Linotype" w:cs="Arial"/>
          <w:b/>
          <w:bCs/>
          <w:sz w:val="24"/>
        </w:rPr>
        <w:t xml:space="preserve">/INFOEM/IP/RR/2024 </w:t>
      </w:r>
      <w:r>
        <w:rPr>
          <w:rFonts w:ascii="Palatino Linotype" w:hAnsi="Palatino Linotype" w:cs="Arial"/>
          <w:sz w:val="24"/>
        </w:rPr>
        <w:t xml:space="preserve">interpuestos por </w:t>
      </w:r>
      <w:r w:rsidR="006A14C1">
        <w:rPr>
          <w:rFonts w:ascii="Palatino Linotype" w:hAnsi="Palatino Linotype" w:cs="Arial"/>
          <w:b/>
          <w:sz w:val="24"/>
        </w:rPr>
        <w:t>XXXXXXXXXXXXXXXXXX</w:t>
      </w:r>
      <w:r>
        <w:rPr>
          <w:rFonts w:ascii="Palatino Linotype" w:hAnsi="Palatino Linotype" w:cs="Arial"/>
          <w:sz w:val="24"/>
        </w:rPr>
        <w:t xml:space="preserve">, en lo sucesivo </w:t>
      </w:r>
      <w:r>
        <w:rPr>
          <w:rFonts w:ascii="Palatino Linotype" w:hAnsi="Palatino Linotype" w:cs="Arial"/>
          <w:b/>
          <w:bCs/>
          <w:sz w:val="24"/>
        </w:rPr>
        <w:t xml:space="preserve">El Recurrente, </w:t>
      </w:r>
      <w:r>
        <w:rPr>
          <w:rFonts w:ascii="Palatino Linotype" w:hAnsi="Palatino Linotype" w:cs="Arial"/>
          <w:sz w:val="24"/>
        </w:rPr>
        <w:t xml:space="preserve">en contra de la falta de respuesta del </w:t>
      </w:r>
      <w:r>
        <w:rPr>
          <w:rFonts w:ascii="Palatino Linotype" w:hAnsi="Palatino Linotype" w:cs="Arial"/>
          <w:b/>
          <w:bCs/>
          <w:sz w:val="24"/>
        </w:rPr>
        <w:t>Ayuntamiento de Te</w:t>
      </w:r>
      <w:r w:rsidR="00390D21">
        <w:rPr>
          <w:rFonts w:ascii="Palatino Linotype" w:hAnsi="Palatino Linotype" w:cs="Arial"/>
          <w:b/>
          <w:bCs/>
          <w:sz w:val="24"/>
        </w:rPr>
        <w:t>potzotlán</w:t>
      </w:r>
      <w:r>
        <w:rPr>
          <w:rFonts w:ascii="Palatino Linotype" w:hAnsi="Palatino Linotype" w:cs="Arial"/>
          <w:b/>
          <w:bCs/>
          <w:sz w:val="24"/>
        </w:rPr>
        <w:t xml:space="preserve">, </w:t>
      </w:r>
      <w:r>
        <w:rPr>
          <w:rFonts w:ascii="Palatino Linotype" w:hAnsi="Palatino Linotype" w:cs="Arial"/>
          <w:sz w:val="24"/>
        </w:rPr>
        <w:t xml:space="preserve">en lo subsecuente </w:t>
      </w:r>
      <w:r w:rsidR="00390D21" w:rsidRPr="00390D21">
        <w:rPr>
          <w:rFonts w:ascii="Palatino Linotype" w:hAnsi="Palatino Linotype" w:cs="Arial"/>
          <w:bCs/>
          <w:sz w:val="24"/>
        </w:rPr>
        <w:t>el</w:t>
      </w:r>
      <w:r>
        <w:rPr>
          <w:rFonts w:ascii="Palatino Linotype" w:hAnsi="Palatino Linotype" w:cs="Arial"/>
          <w:b/>
          <w:bCs/>
          <w:sz w:val="24"/>
        </w:rPr>
        <w:t xml:space="preserve"> Sujeto Obligado, </w:t>
      </w:r>
      <w:r>
        <w:rPr>
          <w:rFonts w:ascii="Palatino Linotype" w:hAnsi="Palatino Linotype" w:cs="Arial"/>
          <w:sz w:val="24"/>
        </w:rPr>
        <w:t xml:space="preserve">se procede a dictar la presente resolución. </w:t>
      </w:r>
    </w:p>
    <w:p w14:paraId="15DD6EAE" w14:textId="77777777" w:rsidR="008F4A98" w:rsidRDefault="008F4A98" w:rsidP="009E35D6">
      <w:pPr>
        <w:spacing w:after="0" w:line="360" w:lineRule="auto"/>
        <w:jc w:val="both"/>
        <w:rPr>
          <w:rFonts w:ascii="Palatino Linotype" w:hAnsi="Palatino Linotype" w:cs="Arial"/>
          <w:sz w:val="24"/>
        </w:rPr>
      </w:pPr>
    </w:p>
    <w:p w14:paraId="7E810402" w14:textId="3A3B1BEC" w:rsidR="0009491C" w:rsidRPr="009E35D6" w:rsidRDefault="0009491C" w:rsidP="009E35D6">
      <w:pPr>
        <w:spacing w:after="0" w:line="360" w:lineRule="auto"/>
        <w:jc w:val="center"/>
        <w:rPr>
          <w:rFonts w:ascii="Palatino Linotype" w:hAnsi="Palatino Linotype" w:cs="Arial"/>
          <w:b/>
          <w:sz w:val="28"/>
          <w:szCs w:val="24"/>
        </w:rPr>
      </w:pPr>
      <w:r w:rsidRPr="009E35D6">
        <w:rPr>
          <w:rFonts w:ascii="Palatino Linotype" w:hAnsi="Palatino Linotype" w:cs="Arial"/>
          <w:b/>
          <w:sz w:val="28"/>
          <w:szCs w:val="24"/>
        </w:rPr>
        <w:t>A N T E C E D E N T E S</w:t>
      </w:r>
    </w:p>
    <w:p w14:paraId="3683B58A" w14:textId="77777777" w:rsidR="0009491C" w:rsidRPr="007947A9" w:rsidRDefault="0009491C" w:rsidP="009E35D6">
      <w:pPr>
        <w:spacing w:after="0" w:line="360" w:lineRule="auto"/>
        <w:rPr>
          <w:rFonts w:ascii="Palatino Linotype" w:hAnsi="Palatino Linotype" w:cs="Arial"/>
          <w:b/>
          <w:sz w:val="24"/>
          <w:szCs w:val="24"/>
        </w:rPr>
      </w:pPr>
    </w:p>
    <w:p w14:paraId="75BD895B" w14:textId="2CE0EF00" w:rsidR="008A04A3" w:rsidRPr="009E35D6" w:rsidRDefault="0009491C" w:rsidP="009E35D6">
      <w:pPr>
        <w:spacing w:after="0" w:line="360" w:lineRule="auto"/>
        <w:jc w:val="both"/>
        <w:rPr>
          <w:rFonts w:ascii="Palatino Linotype" w:hAnsi="Palatino Linotype" w:cs="Arial"/>
          <w:b/>
          <w:sz w:val="32"/>
          <w:szCs w:val="24"/>
        </w:rPr>
      </w:pPr>
      <w:r w:rsidRPr="009E35D6">
        <w:rPr>
          <w:rFonts w:ascii="Palatino Linotype" w:hAnsi="Palatino Linotype" w:cs="Arial"/>
          <w:b/>
          <w:sz w:val="32"/>
          <w:szCs w:val="24"/>
        </w:rPr>
        <w:t xml:space="preserve">PRIMERO. </w:t>
      </w:r>
      <w:r w:rsidR="0007277A" w:rsidRPr="009E35D6">
        <w:rPr>
          <w:rFonts w:ascii="Palatino Linotype" w:eastAsia="Palatino Linotype" w:hAnsi="Palatino Linotype" w:cs="Palatino Linotype"/>
          <w:b/>
          <w:color w:val="000000"/>
          <w:sz w:val="32"/>
          <w:szCs w:val="24"/>
          <w:lang w:val="es-ES_tradnl"/>
        </w:rPr>
        <w:t>De la solicitud de información</w:t>
      </w:r>
    </w:p>
    <w:p w14:paraId="46B34396" w14:textId="710AC572" w:rsidR="008F4A98" w:rsidRPr="008F4A98" w:rsidRDefault="008F4A98" w:rsidP="009E35D6">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El </w:t>
      </w:r>
      <w:r w:rsidR="00390D21">
        <w:rPr>
          <w:rFonts w:ascii="Palatino Linotype" w:hAnsi="Palatino Linotype" w:cs="Arial"/>
          <w:b/>
          <w:sz w:val="24"/>
          <w:szCs w:val="24"/>
        </w:rPr>
        <w:t>cinc</w:t>
      </w:r>
      <w:r>
        <w:rPr>
          <w:rFonts w:ascii="Palatino Linotype" w:hAnsi="Palatino Linotype" w:cs="Arial"/>
          <w:b/>
          <w:sz w:val="24"/>
          <w:szCs w:val="24"/>
        </w:rPr>
        <w:t xml:space="preserve">o de </w:t>
      </w:r>
      <w:r w:rsidR="00390D21">
        <w:rPr>
          <w:rFonts w:ascii="Palatino Linotype" w:hAnsi="Palatino Linotype" w:cs="Arial"/>
          <w:b/>
          <w:sz w:val="24"/>
          <w:szCs w:val="24"/>
        </w:rPr>
        <w:t>agost</w:t>
      </w:r>
      <w:r>
        <w:rPr>
          <w:rFonts w:ascii="Palatino Linotype" w:hAnsi="Palatino Linotype" w:cs="Arial"/>
          <w:b/>
          <w:sz w:val="24"/>
          <w:szCs w:val="24"/>
        </w:rPr>
        <w:t xml:space="preserve">o de dos mil veinticuatro, </w:t>
      </w:r>
      <w:r w:rsidR="009E35D6">
        <w:rPr>
          <w:rFonts w:ascii="Palatino Linotype" w:hAnsi="Palatino Linotype" w:cs="Arial"/>
          <w:bCs/>
          <w:sz w:val="24"/>
          <w:szCs w:val="24"/>
        </w:rPr>
        <w:t>el</w:t>
      </w:r>
      <w:r>
        <w:rPr>
          <w:rFonts w:ascii="Palatino Linotype" w:hAnsi="Palatino Linotype" w:cs="Arial"/>
          <w:bCs/>
          <w:sz w:val="24"/>
          <w:szCs w:val="24"/>
        </w:rPr>
        <w:t xml:space="preserve"> </w:t>
      </w:r>
      <w:r>
        <w:rPr>
          <w:rFonts w:ascii="Palatino Linotype" w:hAnsi="Palatino Linotype" w:cs="Arial"/>
          <w:b/>
          <w:sz w:val="24"/>
          <w:szCs w:val="24"/>
        </w:rPr>
        <w:t xml:space="preserve">Recurrente, </w:t>
      </w:r>
      <w:r w:rsidRPr="007947A9">
        <w:rPr>
          <w:rFonts w:ascii="Palatino Linotype" w:hAnsi="Palatino Linotype" w:cs="Arial"/>
          <w:sz w:val="24"/>
          <w:szCs w:val="24"/>
        </w:rPr>
        <w:t>presentó a través del Sistema de Acceso a la Información Mexiquense (</w:t>
      </w:r>
      <w:r w:rsidRPr="007947A9">
        <w:rPr>
          <w:rFonts w:ascii="Palatino Linotype" w:hAnsi="Palatino Linotype" w:cs="Arial"/>
          <w:b/>
          <w:sz w:val="24"/>
          <w:szCs w:val="24"/>
        </w:rPr>
        <w:t>SAIMEX)</w:t>
      </w:r>
      <w:r w:rsidRPr="007947A9">
        <w:rPr>
          <w:rFonts w:ascii="Palatino Linotype" w:hAnsi="Palatino Linotype" w:cs="Arial"/>
          <w:sz w:val="24"/>
          <w:szCs w:val="24"/>
        </w:rPr>
        <w:t>,</w:t>
      </w:r>
      <w:r>
        <w:rPr>
          <w:rFonts w:ascii="Palatino Linotype" w:hAnsi="Palatino Linotype" w:cs="Arial"/>
          <w:sz w:val="24"/>
          <w:szCs w:val="24"/>
        </w:rPr>
        <w:t xml:space="preserve"> las solicitudes de acceso a la información pública, con números de folio </w:t>
      </w:r>
      <w:r w:rsidR="00390D21" w:rsidRPr="00390D21">
        <w:rPr>
          <w:rFonts w:ascii="Palatino Linotype" w:hAnsi="Palatino Linotype" w:cs="Arial"/>
          <w:b/>
          <w:bCs/>
          <w:sz w:val="24"/>
          <w:szCs w:val="24"/>
        </w:rPr>
        <w:t>0021</w:t>
      </w:r>
      <w:r w:rsidR="00390D21">
        <w:rPr>
          <w:rFonts w:ascii="Palatino Linotype" w:hAnsi="Palatino Linotype" w:cs="Arial"/>
          <w:b/>
          <w:bCs/>
          <w:sz w:val="24"/>
          <w:szCs w:val="24"/>
        </w:rPr>
        <w:t>4</w:t>
      </w:r>
      <w:r w:rsidR="00390D21" w:rsidRPr="00390D21">
        <w:rPr>
          <w:rFonts w:ascii="Palatino Linotype" w:hAnsi="Palatino Linotype" w:cs="Arial"/>
          <w:b/>
          <w:bCs/>
          <w:sz w:val="24"/>
          <w:szCs w:val="24"/>
        </w:rPr>
        <w:t xml:space="preserve">/TEPOTZOT/IP/2024 </w:t>
      </w:r>
      <w:r>
        <w:rPr>
          <w:rFonts w:ascii="Palatino Linotype" w:hAnsi="Palatino Linotype" w:cs="Arial"/>
          <w:b/>
          <w:bCs/>
          <w:sz w:val="24"/>
          <w:szCs w:val="24"/>
        </w:rPr>
        <w:t xml:space="preserve">y </w:t>
      </w:r>
      <w:r w:rsidR="00390D21" w:rsidRPr="00390D21">
        <w:rPr>
          <w:rFonts w:ascii="Palatino Linotype" w:hAnsi="Palatino Linotype" w:cs="Arial"/>
          <w:b/>
          <w:bCs/>
          <w:sz w:val="24"/>
          <w:szCs w:val="24"/>
        </w:rPr>
        <w:t>00215/TEPOTZOT/IP/2024</w:t>
      </w:r>
      <w:r>
        <w:rPr>
          <w:rFonts w:ascii="Palatino Linotype" w:hAnsi="Palatino Linotype" w:cs="Arial"/>
          <w:b/>
          <w:bCs/>
          <w:sz w:val="24"/>
          <w:szCs w:val="24"/>
        </w:rPr>
        <w:t xml:space="preserve">, </w:t>
      </w:r>
      <w:r>
        <w:rPr>
          <w:rFonts w:ascii="Palatino Linotype" w:hAnsi="Palatino Linotype" w:cs="Arial"/>
          <w:sz w:val="24"/>
          <w:szCs w:val="24"/>
        </w:rPr>
        <w:t xml:space="preserve">lo siguiente: </w:t>
      </w:r>
    </w:p>
    <w:p w14:paraId="78CA1C62" w14:textId="77777777" w:rsidR="008F4A98" w:rsidRDefault="008F4A98" w:rsidP="009E35D6">
      <w:pPr>
        <w:spacing w:after="0" w:line="360" w:lineRule="auto"/>
        <w:jc w:val="both"/>
        <w:rPr>
          <w:rFonts w:ascii="Palatino Linotype" w:hAnsi="Palatino Linotype" w:cs="Arial"/>
          <w:b/>
          <w:bCs/>
          <w:sz w:val="24"/>
          <w:szCs w:val="24"/>
        </w:rPr>
      </w:pPr>
    </w:p>
    <w:p w14:paraId="3702ACF2" w14:textId="37F2A939" w:rsidR="008F4A98" w:rsidRDefault="008F4A98" w:rsidP="009E35D6">
      <w:pPr>
        <w:spacing w:after="0" w:line="360" w:lineRule="auto"/>
        <w:jc w:val="both"/>
        <w:rPr>
          <w:rFonts w:ascii="Palatino Linotype" w:hAnsi="Palatino Linotype" w:cs="Arial"/>
          <w:bCs/>
          <w:sz w:val="24"/>
          <w:szCs w:val="24"/>
        </w:rPr>
      </w:pPr>
      <w:r>
        <w:rPr>
          <w:rFonts w:ascii="Palatino Linotype" w:hAnsi="Palatino Linotype" w:cs="Arial"/>
          <w:b/>
          <w:bCs/>
          <w:sz w:val="24"/>
          <w:szCs w:val="24"/>
        </w:rPr>
        <w:t>002</w:t>
      </w:r>
      <w:r w:rsidR="00390D21">
        <w:rPr>
          <w:rFonts w:ascii="Palatino Linotype" w:hAnsi="Palatino Linotype" w:cs="Arial"/>
          <w:b/>
          <w:bCs/>
          <w:sz w:val="24"/>
          <w:szCs w:val="24"/>
        </w:rPr>
        <w:t>14</w:t>
      </w:r>
      <w:r>
        <w:rPr>
          <w:rFonts w:ascii="Palatino Linotype" w:hAnsi="Palatino Linotype" w:cs="Arial"/>
          <w:b/>
          <w:bCs/>
          <w:sz w:val="24"/>
          <w:szCs w:val="24"/>
        </w:rPr>
        <w:t>/TE</w:t>
      </w:r>
      <w:r w:rsidR="00390D21">
        <w:rPr>
          <w:rFonts w:ascii="Palatino Linotype" w:hAnsi="Palatino Linotype" w:cs="Arial"/>
          <w:b/>
          <w:bCs/>
          <w:sz w:val="24"/>
          <w:szCs w:val="24"/>
        </w:rPr>
        <w:t>POTZOT</w:t>
      </w:r>
      <w:r>
        <w:rPr>
          <w:rFonts w:ascii="Palatino Linotype" w:hAnsi="Palatino Linotype" w:cs="Arial"/>
          <w:b/>
          <w:bCs/>
          <w:sz w:val="24"/>
          <w:szCs w:val="24"/>
        </w:rPr>
        <w:t>/IP/2024</w:t>
      </w:r>
    </w:p>
    <w:p w14:paraId="36FF9761" w14:textId="212B3888" w:rsidR="008F4A98" w:rsidRDefault="008F4A98" w:rsidP="009E35D6">
      <w:pPr>
        <w:pStyle w:val="Citas"/>
        <w:spacing w:before="0" w:after="0"/>
        <w:rPr>
          <w:b/>
          <w:bCs/>
        </w:rPr>
      </w:pPr>
      <w:r>
        <w:t>“</w:t>
      </w:r>
      <w:r w:rsidR="00390D21" w:rsidRPr="00390D21">
        <w:t xml:space="preserve">Requiero todo el proceso de contratación por adjudicación directa de la empresa </w:t>
      </w:r>
      <w:r w:rsidR="006A14C1">
        <w:t>XX</w:t>
      </w:r>
      <w:r w:rsidR="00390D21" w:rsidRPr="00390D21">
        <w:t xml:space="preserve"> </w:t>
      </w:r>
      <w:r w:rsidR="006A14C1">
        <w:t>XXXXXXXXXXXXXXXXXXXXXX</w:t>
      </w:r>
      <w:r w:rsidR="00390D21" w:rsidRPr="00390D21">
        <w:t xml:space="preserve"> que se efectuó en el último trimestre de 2023, así como requisición del servicio, evidencia de los trabajos realizados, factura y cheque póliza de pago.</w:t>
      </w:r>
      <w:r>
        <w:t xml:space="preserve">” </w:t>
      </w:r>
      <w:r>
        <w:rPr>
          <w:b/>
          <w:bCs/>
        </w:rPr>
        <w:t>(Sic)</w:t>
      </w:r>
    </w:p>
    <w:p w14:paraId="393E30F5" w14:textId="77777777" w:rsidR="009E35D6" w:rsidRDefault="009E35D6" w:rsidP="009E35D6">
      <w:pPr>
        <w:spacing w:after="0" w:line="360" w:lineRule="auto"/>
        <w:jc w:val="both"/>
        <w:rPr>
          <w:rFonts w:ascii="Palatino Linotype" w:hAnsi="Palatino Linotype" w:cs="Arial"/>
          <w:b/>
          <w:bCs/>
          <w:sz w:val="24"/>
          <w:szCs w:val="24"/>
        </w:rPr>
      </w:pPr>
    </w:p>
    <w:p w14:paraId="3DC6942C" w14:textId="77777777" w:rsidR="00390D21" w:rsidRDefault="00390D21" w:rsidP="009E35D6">
      <w:pPr>
        <w:spacing w:after="0" w:line="360" w:lineRule="auto"/>
        <w:jc w:val="both"/>
        <w:rPr>
          <w:rFonts w:ascii="Palatino Linotype" w:hAnsi="Palatino Linotype" w:cs="Arial"/>
          <w:bCs/>
          <w:sz w:val="24"/>
          <w:szCs w:val="24"/>
        </w:rPr>
      </w:pPr>
      <w:r>
        <w:rPr>
          <w:rFonts w:ascii="Palatino Linotype" w:hAnsi="Palatino Linotype" w:cs="Arial"/>
          <w:b/>
          <w:bCs/>
          <w:sz w:val="24"/>
          <w:szCs w:val="24"/>
        </w:rPr>
        <w:t>00215/TEPOTZOT/IP/2024</w:t>
      </w:r>
    </w:p>
    <w:p w14:paraId="062F238B" w14:textId="60491695" w:rsidR="00390D21" w:rsidRPr="008F4A98" w:rsidRDefault="00390D21" w:rsidP="009E35D6">
      <w:pPr>
        <w:pStyle w:val="Citas"/>
        <w:spacing w:before="0" w:after="0"/>
        <w:rPr>
          <w:b/>
          <w:bCs/>
        </w:rPr>
      </w:pPr>
      <w:r>
        <w:t>“</w:t>
      </w:r>
      <w:r w:rsidRPr="00390D21">
        <w:t xml:space="preserve">Se solicita todo el proceso de contratación por adjudicación directa de la empresa </w:t>
      </w:r>
      <w:r w:rsidR="006A14C1">
        <w:t>XXXXXXXXXXXXXXXXXXXXXXXXXXXXX</w:t>
      </w:r>
      <w:bookmarkStart w:id="0" w:name="_GoBack"/>
      <w:bookmarkEnd w:id="0"/>
      <w:r w:rsidRPr="00390D21">
        <w:t xml:space="preserve"> que se efectuó en el último trimestre de 2023, así como requisición del servicio, evidencia de los trabajos realizados, factura y cheque póliza de pago.</w:t>
      </w:r>
      <w:r>
        <w:t xml:space="preserve">” </w:t>
      </w:r>
      <w:r>
        <w:rPr>
          <w:b/>
          <w:bCs/>
        </w:rPr>
        <w:t>(Sic)</w:t>
      </w:r>
    </w:p>
    <w:p w14:paraId="594FC6B9" w14:textId="77777777" w:rsidR="00390D21" w:rsidRDefault="00390D21"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6172013" w14:textId="2E4F7C82" w:rsidR="00E14C9D" w:rsidRDefault="00E14C9D"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9E35D6">
        <w:rPr>
          <w:rFonts w:ascii="Palatino Linotype" w:eastAsia="Palatino Linotype" w:hAnsi="Palatino Linotype" w:cs="Palatino Linotype"/>
          <w:b/>
          <w:color w:val="000000"/>
          <w:sz w:val="24"/>
          <w:szCs w:val="24"/>
          <w:lang w:val="es-ES_tradnl"/>
        </w:rPr>
        <w:t xml:space="preserve">Modalidad de entrega: </w:t>
      </w:r>
      <w:r w:rsidRPr="00883102">
        <w:rPr>
          <w:rFonts w:ascii="Palatino Linotype" w:eastAsia="Palatino Linotype" w:hAnsi="Palatino Linotype" w:cs="Palatino Linotype"/>
          <w:color w:val="000000"/>
          <w:sz w:val="24"/>
          <w:szCs w:val="24"/>
          <w:lang w:val="es-ES_tradnl"/>
        </w:rPr>
        <w:t xml:space="preserve">a través del </w:t>
      </w:r>
      <w:r w:rsidRPr="00883102">
        <w:rPr>
          <w:rFonts w:ascii="Palatino Linotype" w:eastAsia="Palatino Linotype" w:hAnsi="Palatino Linotype" w:cs="Palatino Linotype"/>
          <w:b/>
          <w:color w:val="000000"/>
          <w:sz w:val="24"/>
          <w:szCs w:val="24"/>
          <w:lang w:val="es-ES_tradnl"/>
        </w:rPr>
        <w:t>SAIMEX</w:t>
      </w:r>
      <w:r w:rsidRPr="00883102">
        <w:rPr>
          <w:rFonts w:ascii="Palatino Linotype" w:eastAsia="Palatino Linotype" w:hAnsi="Palatino Linotype" w:cs="Palatino Linotype"/>
          <w:color w:val="000000"/>
          <w:sz w:val="24"/>
          <w:szCs w:val="24"/>
          <w:lang w:val="es-ES_tradnl"/>
        </w:rPr>
        <w:t>.</w:t>
      </w:r>
    </w:p>
    <w:p w14:paraId="7AC69AF1" w14:textId="77777777" w:rsidR="0009491C" w:rsidRDefault="0009491C" w:rsidP="009E35D6">
      <w:pPr>
        <w:spacing w:after="0" w:line="360" w:lineRule="auto"/>
        <w:jc w:val="both"/>
        <w:rPr>
          <w:rFonts w:ascii="Palatino Linotype" w:eastAsia="Times New Roman" w:hAnsi="Palatino Linotype" w:cs="Times New Roman"/>
          <w:sz w:val="24"/>
          <w:szCs w:val="24"/>
          <w:lang w:val="es-ES_tradnl" w:eastAsia="es-ES"/>
        </w:rPr>
      </w:pPr>
    </w:p>
    <w:p w14:paraId="05DAC022" w14:textId="6DCD2F9B" w:rsidR="009E35D6" w:rsidRDefault="009E35D6" w:rsidP="009E35D6">
      <w:pPr>
        <w:spacing w:after="0" w:line="360" w:lineRule="auto"/>
        <w:ind w:right="334"/>
        <w:jc w:val="both"/>
        <w:rPr>
          <w:rFonts w:ascii="Palatino Linotype" w:hAnsi="Palatino Linotype" w:cs="Arial"/>
          <w:b/>
          <w:sz w:val="28"/>
        </w:rPr>
      </w:pPr>
      <w:r w:rsidRPr="0094651B">
        <w:rPr>
          <w:rFonts w:ascii="Palatino Linotype" w:hAnsi="Palatino Linotype" w:cs="Arial"/>
          <w:b/>
          <w:sz w:val="28"/>
        </w:rPr>
        <w:t xml:space="preserve">SEGUNDO. </w:t>
      </w:r>
      <w:r>
        <w:rPr>
          <w:rFonts w:ascii="Palatino Linotype" w:hAnsi="Palatino Linotype" w:cs="Arial"/>
          <w:b/>
          <w:sz w:val="28"/>
          <w:szCs w:val="20"/>
        </w:rPr>
        <w:t>De la prórroga del Sujeto Obligado.</w:t>
      </w:r>
    </w:p>
    <w:p w14:paraId="34098F5A" w14:textId="049FC257" w:rsidR="009E35D6" w:rsidRDefault="009E35D6" w:rsidP="009E35D6">
      <w:pPr>
        <w:pStyle w:val="Sinespaciado"/>
        <w:spacing w:line="360" w:lineRule="auto"/>
        <w:jc w:val="both"/>
        <w:rPr>
          <w:rFonts w:ascii="Palatino Linotype" w:hAnsi="Palatino Linotype" w:cs="Arial"/>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Pr>
          <w:rFonts w:ascii="Palatino Linotype" w:hAnsi="Palatino Linotype"/>
          <w:b/>
        </w:rPr>
        <w:t>veintiséis</w:t>
      </w:r>
      <w:r w:rsidRPr="0005123E">
        <w:rPr>
          <w:rFonts w:ascii="Palatino Linotype" w:hAnsi="Palatino Linotype"/>
          <w:b/>
        </w:rPr>
        <w:t xml:space="preserve"> de </w:t>
      </w:r>
      <w:r>
        <w:rPr>
          <w:rFonts w:ascii="Palatino Linotype" w:hAnsi="Palatino Linotype"/>
          <w:b/>
        </w:rPr>
        <w:t>agosto</w:t>
      </w:r>
      <w:r w:rsidRPr="0005123E">
        <w:rPr>
          <w:rFonts w:ascii="Palatino Linotype" w:hAnsi="Palatino Linotype" w:cs="Arial"/>
          <w:b/>
        </w:rPr>
        <w:t xml:space="preserve"> de dos mil veinti</w:t>
      </w:r>
      <w:r>
        <w:rPr>
          <w:rFonts w:ascii="Palatino Linotype" w:hAnsi="Palatino Linotype" w:cs="Arial"/>
          <w:b/>
        </w:rPr>
        <w:t>cuatro,</w:t>
      </w:r>
      <w:r>
        <w:rPr>
          <w:rFonts w:ascii="Palatino Linotype" w:hAnsi="Palatino Linotype" w:cs="Arial"/>
        </w:rPr>
        <w:t xml:space="preserve"> el Sujeto Obligado solicito una prórroga para poder atender las solicitudes de información.</w:t>
      </w:r>
    </w:p>
    <w:p w14:paraId="49741873" w14:textId="77777777" w:rsidR="009E35D6" w:rsidRPr="007947A9" w:rsidRDefault="009E35D6" w:rsidP="009E35D6">
      <w:pPr>
        <w:spacing w:after="0" w:line="360" w:lineRule="auto"/>
        <w:jc w:val="both"/>
        <w:rPr>
          <w:rFonts w:ascii="Palatino Linotype" w:eastAsia="Times New Roman" w:hAnsi="Palatino Linotype" w:cs="Times New Roman"/>
          <w:sz w:val="24"/>
          <w:szCs w:val="24"/>
          <w:lang w:val="es-ES_tradnl" w:eastAsia="es-ES"/>
        </w:rPr>
      </w:pPr>
    </w:p>
    <w:p w14:paraId="5D227BBB" w14:textId="634BE1B9" w:rsidR="0007277A" w:rsidRPr="009E35D6" w:rsidRDefault="009E35D6"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lang w:val="es-ES_tradnl"/>
        </w:rPr>
      </w:pPr>
      <w:r w:rsidRPr="009E35D6">
        <w:rPr>
          <w:rFonts w:ascii="Palatino Linotype" w:eastAsia="Palatino Linotype" w:hAnsi="Palatino Linotype" w:cs="Palatino Linotype"/>
          <w:b/>
          <w:color w:val="000000"/>
          <w:sz w:val="28"/>
          <w:szCs w:val="24"/>
        </w:rPr>
        <w:t>TERCER</w:t>
      </w:r>
      <w:r w:rsidR="0009491C" w:rsidRPr="009E35D6">
        <w:rPr>
          <w:rFonts w:ascii="Palatino Linotype" w:eastAsia="Palatino Linotype" w:hAnsi="Palatino Linotype" w:cs="Palatino Linotype"/>
          <w:b/>
          <w:color w:val="000000"/>
          <w:sz w:val="28"/>
          <w:szCs w:val="24"/>
        </w:rPr>
        <w:t xml:space="preserve">O. </w:t>
      </w:r>
      <w:r w:rsidR="0007277A" w:rsidRPr="009E35D6">
        <w:rPr>
          <w:rFonts w:ascii="Palatino Linotype" w:eastAsia="Palatino Linotype" w:hAnsi="Palatino Linotype" w:cs="Palatino Linotype"/>
          <w:b/>
          <w:color w:val="000000"/>
          <w:sz w:val="28"/>
          <w:szCs w:val="24"/>
          <w:lang w:val="es-ES_tradnl"/>
        </w:rPr>
        <w:t>De la falta de respuesta del Sujeto Obligado.</w:t>
      </w:r>
    </w:p>
    <w:p w14:paraId="0BD964F0" w14:textId="1F16F98D" w:rsidR="0059361F" w:rsidRPr="007947A9"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w:t>
      </w:r>
      <w:r w:rsidR="008F4A98">
        <w:rPr>
          <w:rFonts w:ascii="Palatino Linotype" w:hAnsi="Palatino Linotype" w:cs="Arial"/>
          <w:sz w:val="24"/>
          <w:szCs w:val="24"/>
        </w:rPr>
        <w:t>s</w:t>
      </w:r>
      <w:r w:rsidR="0009491C" w:rsidRPr="007947A9">
        <w:rPr>
          <w:rFonts w:ascii="Palatino Linotype" w:hAnsi="Palatino Linotype" w:cs="Arial"/>
          <w:sz w:val="24"/>
          <w:szCs w:val="24"/>
        </w:rPr>
        <w:t xml:space="preserve"> solicitud</w:t>
      </w:r>
      <w:r w:rsidR="008F4A98">
        <w:rPr>
          <w:rFonts w:ascii="Palatino Linotype" w:hAnsi="Palatino Linotype" w:cs="Arial"/>
          <w:sz w:val="24"/>
          <w:szCs w:val="24"/>
        </w:rPr>
        <w:t>es</w:t>
      </w:r>
      <w:r w:rsidR="0009491C" w:rsidRPr="007947A9">
        <w:rPr>
          <w:rFonts w:ascii="Palatino Linotype" w:hAnsi="Palatino Linotype" w:cs="Arial"/>
          <w:sz w:val="24"/>
          <w:szCs w:val="24"/>
        </w:rPr>
        <w:t xml:space="preserve">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9E35D6">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1BA88161" w:rsidR="0007277A" w:rsidRPr="009E35D6" w:rsidRDefault="009E35D6"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9E35D6">
        <w:rPr>
          <w:rFonts w:ascii="Palatino Linotype" w:hAnsi="Palatino Linotype" w:cs="Arial"/>
          <w:b/>
          <w:sz w:val="28"/>
          <w:szCs w:val="24"/>
        </w:rPr>
        <w:t>CUART</w:t>
      </w:r>
      <w:r w:rsidR="0048739B" w:rsidRPr="009E35D6">
        <w:rPr>
          <w:rFonts w:ascii="Palatino Linotype" w:hAnsi="Palatino Linotype" w:cs="Arial"/>
          <w:b/>
          <w:sz w:val="28"/>
          <w:szCs w:val="24"/>
        </w:rPr>
        <w:t>O</w:t>
      </w:r>
      <w:r w:rsidR="0009491C" w:rsidRPr="009E35D6">
        <w:rPr>
          <w:rFonts w:ascii="Palatino Linotype" w:hAnsi="Palatino Linotype" w:cs="Arial"/>
          <w:b/>
          <w:sz w:val="28"/>
          <w:szCs w:val="24"/>
        </w:rPr>
        <w:t xml:space="preserve">. </w:t>
      </w:r>
      <w:r w:rsidR="0007277A" w:rsidRPr="009E35D6">
        <w:rPr>
          <w:rFonts w:ascii="Palatino Linotype" w:eastAsia="Palatino Linotype" w:hAnsi="Palatino Linotype" w:cs="Palatino Linotype"/>
          <w:b/>
          <w:color w:val="000000"/>
          <w:sz w:val="28"/>
          <w:szCs w:val="24"/>
          <w:lang w:val="es-ES_tradnl"/>
        </w:rPr>
        <w:t>De</w:t>
      </w:r>
      <w:r>
        <w:rPr>
          <w:rFonts w:ascii="Palatino Linotype" w:eastAsia="Palatino Linotype" w:hAnsi="Palatino Linotype" w:cs="Palatino Linotype"/>
          <w:b/>
          <w:color w:val="000000"/>
          <w:sz w:val="28"/>
          <w:szCs w:val="24"/>
          <w:lang w:val="es-ES_tradnl"/>
        </w:rPr>
        <w:t>l</w:t>
      </w:r>
      <w:r w:rsidR="0007277A" w:rsidRPr="009E35D6">
        <w:rPr>
          <w:rFonts w:ascii="Palatino Linotype" w:eastAsia="Palatino Linotype" w:hAnsi="Palatino Linotype" w:cs="Palatino Linotype"/>
          <w:b/>
          <w:color w:val="000000"/>
          <w:sz w:val="28"/>
          <w:szCs w:val="24"/>
          <w:lang w:val="es-ES_tradnl"/>
        </w:rPr>
        <w:t xml:space="preserve"> recurso de revisión.</w:t>
      </w:r>
    </w:p>
    <w:p w14:paraId="083D5B21" w14:textId="77777777" w:rsidR="009E35D6" w:rsidRPr="00037B15" w:rsidRDefault="008A04A3" w:rsidP="009E35D6">
      <w:pPr>
        <w:spacing w:line="360" w:lineRule="auto"/>
        <w:jc w:val="both"/>
        <w:rPr>
          <w:rFonts w:ascii="Palatino Linotype" w:hAnsi="Palatino Linotype" w:cs="Arial"/>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9E35D6">
        <w:rPr>
          <w:rFonts w:ascii="Palatino Linotype" w:hAnsi="Palatino Linotype" w:cs="Arial"/>
          <w:sz w:val="24"/>
          <w:szCs w:val="24"/>
        </w:rPr>
        <w:t>el</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interpuso su</w:t>
      </w:r>
      <w:r w:rsidR="008F4A98">
        <w:rPr>
          <w:rFonts w:ascii="Palatino Linotype" w:hAnsi="Palatino Linotype" w:cs="Arial"/>
          <w:sz w:val="24"/>
          <w:szCs w:val="24"/>
        </w:rPr>
        <w:t>s</w:t>
      </w:r>
      <w:r w:rsidRPr="007947A9">
        <w:rPr>
          <w:rFonts w:ascii="Palatino Linotype" w:hAnsi="Palatino Linotype" w:cs="Arial"/>
          <w:sz w:val="24"/>
          <w:szCs w:val="24"/>
        </w:rPr>
        <w:t xml:space="preserve"> recurso</w:t>
      </w:r>
      <w:r w:rsidR="008F4A98">
        <w:rPr>
          <w:rFonts w:ascii="Palatino Linotype" w:hAnsi="Palatino Linotype" w:cs="Arial"/>
          <w:sz w:val="24"/>
          <w:szCs w:val="24"/>
        </w:rPr>
        <w:t>s</w:t>
      </w:r>
      <w:r w:rsidRPr="007947A9">
        <w:rPr>
          <w:rFonts w:ascii="Palatino Linotype" w:hAnsi="Palatino Linotype" w:cs="Arial"/>
          <w:sz w:val="24"/>
          <w:szCs w:val="24"/>
        </w:rPr>
        <w:t xml:space="preserve"> de revisión el </w:t>
      </w:r>
      <w:r w:rsidR="009E35D6">
        <w:rPr>
          <w:rFonts w:ascii="Palatino Linotype" w:hAnsi="Palatino Linotype" w:cs="Arial"/>
          <w:b/>
          <w:bCs/>
          <w:sz w:val="24"/>
          <w:szCs w:val="24"/>
        </w:rPr>
        <w:t>cinco</w:t>
      </w:r>
      <w:r w:rsidR="001E57C8">
        <w:rPr>
          <w:rFonts w:ascii="Palatino Linotype" w:hAnsi="Palatino Linotype" w:cs="Arial"/>
          <w:b/>
          <w:bCs/>
          <w:sz w:val="24"/>
          <w:szCs w:val="24"/>
        </w:rPr>
        <w:t xml:space="preserve"> de </w:t>
      </w:r>
      <w:r w:rsidR="009E35D6">
        <w:rPr>
          <w:rFonts w:ascii="Palatino Linotype" w:hAnsi="Palatino Linotype" w:cs="Arial"/>
          <w:b/>
          <w:bCs/>
          <w:sz w:val="24"/>
          <w:szCs w:val="24"/>
        </w:rPr>
        <w:t>septiembre</w:t>
      </w:r>
      <w:r w:rsidR="001E57C8">
        <w:rPr>
          <w:rFonts w:ascii="Palatino Linotype" w:hAnsi="Palatino Linotype" w:cs="Arial"/>
          <w:b/>
          <w:bCs/>
          <w:sz w:val="24"/>
          <w:szCs w:val="24"/>
        </w:rPr>
        <w:t xml:space="preserve"> de dos mil veinticuatro, </w:t>
      </w:r>
      <w:r w:rsidR="001E57C8">
        <w:rPr>
          <w:rFonts w:ascii="Palatino Linotype" w:hAnsi="Palatino Linotype" w:cs="Arial"/>
          <w:sz w:val="24"/>
          <w:szCs w:val="24"/>
        </w:rPr>
        <w:t>registrado</w:t>
      </w:r>
      <w:r w:rsidR="008F4A98">
        <w:rPr>
          <w:rFonts w:ascii="Palatino Linotype" w:hAnsi="Palatino Linotype" w:cs="Arial"/>
          <w:sz w:val="24"/>
          <w:szCs w:val="24"/>
        </w:rPr>
        <w:t>s</w:t>
      </w:r>
      <w:r w:rsidR="001E57C8">
        <w:rPr>
          <w:rFonts w:ascii="Palatino Linotype" w:hAnsi="Palatino Linotype" w:cs="Arial"/>
          <w:sz w:val="24"/>
          <w:szCs w:val="24"/>
        </w:rPr>
        <w:t xml:space="preserve"> en el </w:t>
      </w:r>
      <w:r w:rsidR="001E57C8">
        <w:rPr>
          <w:rFonts w:ascii="Palatino Linotype" w:hAnsi="Palatino Linotype" w:cs="Arial"/>
          <w:b/>
          <w:bCs/>
          <w:sz w:val="24"/>
          <w:szCs w:val="24"/>
        </w:rPr>
        <w:t xml:space="preserve">SAIMEX </w:t>
      </w:r>
      <w:r w:rsidR="001E57C8">
        <w:rPr>
          <w:rFonts w:ascii="Palatino Linotype" w:hAnsi="Palatino Linotype" w:cs="Arial"/>
          <w:sz w:val="24"/>
          <w:szCs w:val="24"/>
        </w:rPr>
        <w:t>con número</w:t>
      </w:r>
      <w:r w:rsidR="008F4A98">
        <w:rPr>
          <w:rFonts w:ascii="Palatino Linotype" w:hAnsi="Palatino Linotype" w:cs="Arial"/>
          <w:sz w:val="24"/>
          <w:szCs w:val="24"/>
        </w:rPr>
        <w:t>s</w:t>
      </w:r>
      <w:r w:rsidR="001E57C8">
        <w:rPr>
          <w:rFonts w:ascii="Palatino Linotype" w:hAnsi="Palatino Linotype" w:cs="Arial"/>
          <w:sz w:val="24"/>
          <w:szCs w:val="24"/>
        </w:rPr>
        <w:t xml:space="preserve"> de expediente </w:t>
      </w:r>
      <w:r w:rsidR="001E57C8">
        <w:rPr>
          <w:rFonts w:ascii="Palatino Linotype" w:hAnsi="Palatino Linotype" w:cs="Arial"/>
          <w:b/>
          <w:bCs/>
          <w:sz w:val="24"/>
          <w:szCs w:val="24"/>
        </w:rPr>
        <w:t>05</w:t>
      </w:r>
      <w:r w:rsidR="009E35D6">
        <w:rPr>
          <w:rFonts w:ascii="Palatino Linotype" w:hAnsi="Palatino Linotype" w:cs="Arial"/>
          <w:b/>
          <w:bCs/>
          <w:sz w:val="24"/>
          <w:szCs w:val="24"/>
        </w:rPr>
        <w:t>515</w:t>
      </w:r>
      <w:r w:rsidR="001E57C8">
        <w:rPr>
          <w:rFonts w:ascii="Palatino Linotype" w:hAnsi="Palatino Linotype" w:cs="Arial"/>
          <w:b/>
          <w:bCs/>
          <w:sz w:val="24"/>
          <w:szCs w:val="24"/>
        </w:rPr>
        <w:t>/INFOEM/IP/RR/2024</w:t>
      </w:r>
      <w:r w:rsidR="008F4A98">
        <w:rPr>
          <w:rFonts w:ascii="Palatino Linotype" w:hAnsi="Palatino Linotype" w:cs="Arial"/>
          <w:b/>
          <w:bCs/>
          <w:sz w:val="24"/>
          <w:szCs w:val="24"/>
        </w:rPr>
        <w:t xml:space="preserve"> y 05</w:t>
      </w:r>
      <w:r w:rsidR="009E35D6">
        <w:rPr>
          <w:rFonts w:ascii="Palatino Linotype" w:hAnsi="Palatino Linotype" w:cs="Arial"/>
          <w:b/>
          <w:bCs/>
          <w:sz w:val="24"/>
          <w:szCs w:val="24"/>
        </w:rPr>
        <w:t>5</w:t>
      </w:r>
      <w:r w:rsidR="008F4A98">
        <w:rPr>
          <w:rFonts w:ascii="Palatino Linotype" w:hAnsi="Palatino Linotype" w:cs="Arial"/>
          <w:b/>
          <w:bCs/>
          <w:sz w:val="24"/>
          <w:szCs w:val="24"/>
        </w:rPr>
        <w:t>1</w:t>
      </w:r>
      <w:r w:rsidR="009E35D6">
        <w:rPr>
          <w:rFonts w:ascii="Palatino Linotype" w:hAnsi="Palatino Linotype" w:cs="Arial"/>
          <w:b/>
          <w:bCs/>
          <w:sz w:val="24"/>
          <w:szCs w:val="24"/>
        </w:rPr>
        <w:t>6</w:t>
      </w:r>
      <w:r w:rsidR="008F4A98">
        <w:rPr>
          <w:rFonts w:ascii="Palatino Linotype" w:hAnsi="Palatino Linotype" w:cs="Arial"/>
          <w:b/>
          <w:bCs/>
          <w:sz w:val="24"/>
          <w:szCs w:val="24"/>
        </w:rPr>
        <w:t>/INFOEM/IP/RR/2024</w:t>
      </w:r>
      <w:r w:rsidR="001E57C8">
        <w:rPr>
          <w:rFonts w:ascii="Palatino Linotype" w:hAnsi="Palatino Linotype" w:cs="Arial"/>
          <w:b/>
          <w:bCs/>
          <w:sz w:val="24"/>
          <w:szCs w:val="24"/>
        </w:rPr>
        <w:t xml:space="preserve">, </w:t>
      </w:r>
      <w:r w:rsidR="009E35D6" w:rsidRPr="009E35D6">
        <w:rPr>
          <w:rFonts w:ascii="Palatino Linotype" w:hAnsi="Palatino Linotype" w:cs="Arial"/>
          <w:sz w:val="24"/>
        </w:rPr>
        <w:t>en el cual aduce, las siguientes manifestaciones:</w:t>
      </w:r>
    </w:p>
    <w:p w14:paraId="1552699F" w14:textId="77777777" w:rsidR="009E35D6" w:rsidRDefault="009E35D6" w:rsidP="009E35D6">
      <w:pPr>
        <w:rPr>
          <w:rFonts w:ascii="Palatino Linotype" w:hAnsi="Palatino Linotype" w:cs="Arial"/>
          <w:b/>
          <w:bCs/>
          <w:sz w:val="24"/>
          <w:szCs w:val="24"/>
        </w:rPr>
      </w:pPr>
    </w:p>
    <w:p w14:paraId="34DDB91C" w14:textId="4A9C52BB" w:rsidR="009E35D6" w:rsidRPr="00037B15" w:rsidRDefault="009E35D6" w:rsidP="009E35D6">
      <w:r>
        <w:rPr>
          <w:rFonts w:ascii="Palatino Linotype" w:hAnsi="Palatino Linotype" w:cs="Arial"/>
          <w:b/>
          <w:bCs/>
          <w:sz w:val="24"/>
          <w:szCs w:val="24"/>
        </w:rPr>
        <w:t>05515/INFOEM/IP/RR/2024:</w:t>
      </w:r>
    </w:p>
    <w:p w14:paraId="391342E3" w14:textId="77777777" w:rsidR="009E35D6" w:rsidRDefault="009E35D6" w:rsidP="009E35D6">
      <w:pPr>
        <w:numPr>
          <w:ilvl w:val="0"/>
          <w:numId w:val="7"/>
        </w:numPr>
        <w:spacing w:after="0"/>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32F9BE88" w14:textId="62990383" w:rsidR="009E35D6" w:rsidRDefault="009E35D6" w:rsidP="009E35D6">
      <w:pPr>
        <w:ind w:left="720"/>
        <w:jc w:val="both"/>
        <w:rPr>
          <w:rFonts w:ascii="Palatino Linotype" w:hAnsi="Palatino Linotype"/>
          <w:i/>
          <w:color w:val="000000"/>
        </w:rPr>
      </w:pPr>
      <w:r w:rsidRPr="00037B15">
        <w:rPr>
          <w:rFonts w:ascii="Palatino Linotype" w:hAnsi="Palatino Linotype"/>
          <w:i/>
          <w:color w:val="000000"/>
        </w:rPr>
        <w:t>“</w:t>
      </w:r>
      <w:r w:rsidRPr="009E35D6">
        <w:rPr>
          <w:rFonts w:ascii="Palatino Linotype" w:hAnsi="Palatino Linotype"/>
          <w:i/>
          <w:color w:val="000000"/>
        </w:rPr>
        <w:t>No se entrega la información solicitada, transcurrido el tiempo normal más la prórroga.</w:t>
      </w:r>
      <w:r w:rsidRPr="00037B15">
        <w:rPr>
          <w:rFonts w:ascii="Palatino Linotype" w:hAnsi="Palatino Linotype"/>
          <w:i/>
          <w:color w:val="000000"/>
        </w:rPr>
        <w:t>” (Sic).</w:t>
      </w:r>
    </w:p>
    <w:p w14:paraId="320F267F" w14:textId="77777777" w:rsidR="009E35D6" w:rsidRPr="009E35D6" w:rsidRDefault="009E35D6" w:rsidP="009E35D6">
      <w:pPr>
        <w:ind w:left="720"/>
        <w:jc w:val="both"/>
        <w:rPr>
          <w:rFonts w:ascii="Palatino Linotype" w:hAnsi="Palatino Linotype" w:cs="Arial"/>
          <w:b/>
          <w:sz w:val="24"/>
          <w:szCs w:val="26"/>
        </w:rPr>
      </w:pPr>
    </w:p>
    <w:p w14:paraId="0A44ADBB" w14:textId="77777777" w:rsidR="009E35D6" w:rsidRPr="00304479" w:rsidRDefault="009E35D6" w:rsidP="009E35D6">
      <w:pPr>
        <w:pStyle w:val="Prrafodelista"/>
        <w:numPr>
          <w:ilvl w:val="0"/>
          <w:numId w:val="7"/>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07C99F60" w14:textId="2B623984" w:rsidR="009E35D6" w:rsidRDefault="009E35D6" w:rsidP="009E35D6">
      <w:pPr>
        <w:pStyle w:val="Prrafodelista"/>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Arial"/>
          <w:i/>
          <w:sz w:val="22"/>
          <w:szCs w:val="22"/>
          <w:lang w:eastAsia="en-US"/>
        </w:rPr>
        <w:t>“</w:t>
      </w:r>
      <w:r w:rsidRPr="009E35D6">
        <w:rPr>
          <w:rFonts w:ascii="Palatino Linotype" w:eastAsiaTheme="minorHAnsi" w:hAnsi="Palatino Linotype" w:cstheme="minorBidi"/>
          <w:i/>
          <w:color w:val="000000"/>
          <w:sz w:val="22"/>
          <w:szCs w:val="22"/>
          <w:lang w:eastAsia="en-US"/>
        </w:rPr>
        <w:t>No se entrega la información solicitada, transcurrido el tiempo normal más la prórroga.</w:t>
      </w:r>
      <w:r w:rsidRPr="00037B15">
        <w:rPr>
          <w:rFonts w:ascii="Palatino Linotype" w:eastAsiaTheme="minorHAnsi" w:hAnsi="Palatino Linotype" w:cstheme="minorBidi"/>
          <w:i/>
          <w:color w:val="000000"/>
          <w:sz w:val="22"/>
          <w:szCs w:val="22"/>
          <w:lang w:eastAsia="en-US"/>
        </w:rPr>
        <w:t>” (Sic)</w:t>
      </w:r>
    </w:p>
    <w:p w14:paraId="6611B998" w14:textId="77777777" w:rsidR="009E35D6" w:rsidRDefault="009E35D6" w:rsidP="009E35D6">
      <w:pPr>
        <w:jc w:val="both"/>
        <w:rPr>
          <w:rFonts w:ascii="Palatino Linotype" w:hAnsi="Palatino Linotype"/>
          <w:i/>
          <w:sz w:val="26"/>
          <w:szCs w:val="26"/>
        </w:rPr>
      </w:pPr>
    </w:p>
    <w:p w14:paraId="00F7E002" w14:textId="3ED0EA8D" w:rsidR="009E35D6" w:rsidRPr="00037B15" w:rsidRDefault="009E35D6" w:rsidP="009E35D6">
      <w:r>
        <w:rPr>
          <w:rFonts w:ascii="Palatino Linotype" w:hAnsi="Palatino Linotype" w:cs="Arial"/>
          <w:b/>
          <w:bCs/>
          <w:sz w:val="24"/>
          <w:szCs w:val="24"/>
        </w:rPr>
        <w:t>05516/INFOEM/IP/RR/2024:</w:t>
      </w:r>
    </w:p>
    <w:p w14:paraId="40596F0A" w14:textId="77777777" w:rsidR="009E35D6" w:rsidRDefault="009E35D6" w:rsidP="009E35D6">
      <w:pPr>
        <w:numPr>
          <w:ilvl w:val="0"/>
          <w:numId w:val="8"/>
        </w:numPr>
        <w:spacing w:after="0"/>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4205A2F5" w14:textId="02C40B1F" w:rsidR="009E35D6" w:rsidRDefault="009E35D6" w:rsidP="009E35D6">
      <w:pPr>
        <w:ind w:left="720"/>
        <w:jc w:val="both"/>
        <w:rPr>
          <w:rFonts w:ascii="Palatino Linotype" w:hAnsi="Palatino Linotype"/>
          <w:i/>
          <w:color w:val="000000"/>
        </w:rPr>
      </w:pPr>
      <w:r w:rsidRPr="00037B15">
        <w:rPr>
          <w:rFonts w:ascii="Palatino Linotype" w:hAnsi="Palatino Linotype"/>
          <w:i/>
          <w:color w:val="000000"/>
        </w:rPr>
        <w:t>“</w:t>
      </w:r>
      <w:r w:rsidRPr="009E35D6">
        <w:rPr>
          <w:rFonts w:ascii="Palatino Linotype" w:hAnsi="Palatino Linotype"/>
          <w:i/>
          <w:color w:val="000000"/>
        </w:rPr>
        <w:t>No se entrega la información solicitada, transcurrido el tiempo normal más la prórroga no entregan la información.</w:t>
      </w:r>
      <w:r w:rsidRPr="00037B15">
        <w:rPr>
          <w:rFonts w:ascii="Palatino Linotype" w:hAnsi="Palatino Linotype"/>
          <w:i/>
          <w:color w:val="000000"/>
        </w:rPr>
        <w:t>” (Sic).</w:t>
      </w:r>
    </w:p>
    <w:p w14:paraId="6D496B84" w14:textId="77777777" w:rsidR="009E35D6" w:rsidRPr="009E35D6" w:rsidRDefault="009E35D6" w:rsidP="009E35D6">
      <w:pPr>
        <w:ind w:left="720"/>
        <w:jc w:val="both"/>
        <w:rPr>
          <w:rFonts w:ascii="Palatino Linotype" w:hAnsi="Palatino Linotype" w:cs="Arial"/>
          <w:b/>
          <w:sz w:val="24"/>
          <w:szCs w:val="26"/>
        </w:rPr>
      </w:pPr>
    </w:p>
    <w:p w14:paraId="34AE90FA" w14:textId="77777777" w:rsidR="009E35D6" w:rsidRPr="00304479" w:rsidRDefault="009E35D6" w:rsidP="009E35D6">
      <w:pPr>
        <w:pStyle w:val="Prrafodelista"/>
        <w:numPr>
          <w:ilvl w:val="0"/>
          <w:numId w:val="8"/>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27FCA18F" w14:textId="4497F9AE" w:rsidR="009E35D6" w:rsidRPr="00304479" w:rsidRDefault="009E35D6" w:rsidP="009E35D6">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Pr="009E35D6">
        <w:rPr>
          <w:rFonts w:ascii="Palatino Linotype" w:eastAsiaTheme="minorHAnsi" w:hAnsi="Palatino Linotype" w:cstheme="minorBidi"/>
          <w:i/>
          <w:color w:val="000000"/>
          <w:sz w:val="22"/>
          <w:szCs w:val="22"/>
          <w:lang w:eastAsia="en-US"/>
        </w:rPr>
        <w:t>No se entrega la información solicitada, transcurrido el tiempo normal más la prórroga no entregan la información.</w:t>
      </w:r>
      <w:r w:rsidRPr="00037B15">
        <w:rPr>
          <w:rFonts w:ascii="Palatino Linotype" w:eastAsiaTheme="minorHAnsi" w:hAnsi="Palatino Linotype" w:cstheme="minorBidi"/>
          <w:i/>
          <w:color w:val="000000"/>
          <w:sz w:val="22"/>
          <w:szCs w:val="22"/>
          <w:lang w:eastAsia="en-US"/>
        </w:rPr>
        <w:t>” (Sic)</w:t>
      </w:r>
    </w:p>
    <w:p w14:paraId="3ACA955E" w14:textId="2834AF7F" w:rsidR="001E57C8" w:rsidRDefault="001E57C8" w:rsidP="009E35D6">
      <w:pPr>
        <w:spacing w:after="0" w:line="360" w:lineRule="auto"/>
        <w:jc w:val="both"/>
        <w:rPr>
          <w:rFonts w:ascii="Palatino Linotype" w:hAnsi="Palatino Linotype" w:cs="Arial"/>
          <w:sz w:val="24"/>
          <w:szCs w:val="24"/>
        </w:rPr>
      </w:pPr>
    </w:p>
    <w:p w14:paraId="72A34A2D" w14:textId="6975FF15" w:rsidR="0007277A" w:rsidRPr="007947A9" w:rsidRDefault="009E35D6"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Pr>
          <w:rFonts w:ascii="Palatino Linotype" w:eastAsia="Palatino Linotype" w:hAnsi="Palatino Linotype" w:cs="Palatino Linotype"/>
          <w:b/>
          <w:color w:val="000000"/>
          <w:sz w:val="24"/>
          <w:szCs w:val="24"/>
          <w:lang w:val="es-ES_tradnl"/>
        </w:rPr>
        <w:t>QUIN</w:t>
      </w:r>
      <w:r w:rsidR="0007277A" w:rsidRPr="007947A9">
        <w:rPr>
          <w:rFonts w:ascii="Palatino Linotype" w:eastAsia="Palatino Linotype" w:hAnsi="Palatino Linotype" w:cs="Palatino Linotype"/>
          <w:b/>
          <w:color w:val="000000"/>
          <w:sz w:val="24"/>
          <w:szCs w:val="24"/>
          <w:lang w:val="es-ES_tradnl"/>
        </w:rPr>
        <w:t>TO. Del turno y admisión del recurso de revisión.</w:t>
      </w:r>
    </w:p>
    <w:p w14:paraId="3DCA7165" w14:textId="4A579F98" w:rsidR="00DE7689" w:rsidRPr="00415E43" w:rsidRDefault="00DE7689" w:rsidP="009E35D6">
      <w:pPr>
        <w:pStyle w:val="Prrafodelista"/>
        <w:spacing w:line="360" w:lineRule="auto"/>
        <w:ind w:left="0"/>
        <w:jc w:val="both"/>
        <w:rPr>
          <w:rFonts w:ascii="Palatino Linotype" w:hAnsi="Palatino Linotype" w:cs="Arial"/>
          <w:lang w:val="es-MX"/>
        </w:rPr>
      </w:pPr>
      <w:r w:rsidRPr="00415E43">
        <w:rPr>
          <w:rFonts w:ascii="Palatino Linotype" w:hAnsi="Palatino Linotype" w:cs="Arial"/>
          <w:lang w:val="es-MX"/>
        </w:rPr>
        <w:t>Medios de impugnación que le fueron turnados por medio del sistema electrónico a los Comisionados José Martínez Vilchis</w:t>
      </w:r>
      <w:r>
        <w:rPr>
          <w:rFonts w:ascii="Palatino Linotype" w:hAnsi="Palatino Linotype" w:cs="Arial"/>
          <w:lang w:val="es-MX"/>
        </w:rPr>
        <w:t xml:space="preserve"> y Luis Gustavo Parra Noriega, </w:t>
      </w:r>
      <w:r w:rsidRPr="00415E43">
        <w:rPr>
          <w:rFonts w:ascii="Palatino Linotype" w:hAnsi="Palatino Linotype" w:cs="Arial"/>
          <w:lang w:val="es-MX"/>
        </w:rPr>
        <w:t>en términos del arábigo 185 fracción I de la Ley de Transparencia y Acceso a la información Pública del Estado de México y Municipios, de los cuales recayeron en acuerdos de admisión en fechas</w:t>
      </w:r>
      <w:r>
        <w:rPr>
          <w:rFonts w:ascii="Palatino Linotype" w:hAnsi="Palatino Linotype" w:cs="Arial"/>
          <w:lang w:val="es-MX"/>
        </w:rPr>
        <w:t xml:space="preserve"> </w:t>
      </w:r>
      <w:r w:rsidR="009E35D6">
        <w:rPr>
          <w:rFonts w:ascii="Palatino Linotype" w:hAnsi="Palatino Linotype" w:cs="Arial"/>
          <w:b/>
          <w:bCs/>
          <w:lang w:val="es-MX"/>
        </w:rPr>
        <w:t>diez</w:t>
      </w:r>
      <w:r>
        <w:rPr>
          <w:rFonts w:ascii="Palatino Linotype" w:hAnsi="Palatino Linotype" w:cs="Arial"/>
          <w:b/>
          <w:bCs/>
          <w:lang w:val="es-MX"/>
        </w:rPr>
        <w:t xml:space="preserve"> y </w:t>
      </w:r>
      <w:r w:rsidR="009E35D6">
        <w:rPr>
          <w:rFonts w:ascii="Palatino Linotype" w:hAnsi="Palatino Linotype" w:cs="Arial"/>
          <w:b/>
          <w:bCs/>
          <w:lang w:val="es-MX"/>
        </w:rPr>
        <w:t>once</w:t>
      </w:r>
      <w:r>
        <w:rPr>
          <w:rFonts w:ascii="Palatino Linotype" w:hAnsi="Palatino Linotype" w:cs="Arial"/>
          <w:b/>
          <w:bCs/>
          <w:lang w:val="es-MX"/>
        </w:rPr>
        <w:t xml:space="preserve"> de </w:t>
      </w:r>
      <w:r w:rsidR="009E35D6">
        <w:rPr>
          <w:rFonts w:ascii="Palatino Linotype" w:hAnsi="Palatino Linotype" w:cs="Arial"/>
          <w:b/>
          <w:bCs/>
          <w:lang w:val="es-MX"/>
        </w:rPr>
        <w:t>septiembre</w:t>
      </w:r>
      <w:r>
        <w:rPr>
          <w:rFonts w:ascii="Palatino Linotype" w:hAnsi="Palatino Linotype" w:cs="Arial"/>
          <w:b/>
          <w:bCs/>
          <w:lang w:val="es-MX"/>
        </w:rPr>
        <w:t xml:space="preserve"> de dos mil veinticuatro, </w:t>
      </w:r>
      <w:r w:rsidRPr="00415E43">
        <w:rPr>
          <w:rFonts w:ascii="Palatino Linotype" w:hAnsi="Palatino Linotype" w:cs="Arial"/>
          <w:lang w:val="es-MX"/>
        </w:rPr>
        <w:t xml:space="preserve">determinándose, un plazo de siete días para que las partes manifestaran lo que a su derecho corresponda en términos de los numerales ya citados. </w:t>
      </w:r>
    </w:p>
    <w:p w14:paraId="1E575A4C" w14:textId="77777777" w:rsidR="0059361F" w:rsidRDefault="0059361F"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1E92609D" w14:textId="77777777" w:rsidR="009E35D6" w:rsidRDefault="009E35D6" w:rsidP="009E35D6">
      <w:pPr>
        <w:pStyle w:val="Prrafodelista"/>
        <w:spacing w:line="360" w:lineRule="auto"/>
        <w:ind w:left="0"/>
        <w:jc w:val="both"/>
        <w:rPr>
          <w:rFonts w:ascii="Palatino Linotype" w:hAnsi="Palatino Linotype" w:cs="Arial"/>
          <w:b/>
          <w:sz w:val="28"/>
          <w:lang w:val="es-MX"/>
        </w:rPr>
      </w:pPr>
    </w:p>
    <w:p w14:paraId="645E47CB" w14:textId="64A38AEF" w:rsidR="00DE7689" w:rsidRPr="00415E43" w:rsidRDefault="009E35D6" w:rsidP="009E35D6">
      <w:pPr>
        <w:pStyle w:val="Prrafodelista"/>
        <w:spacing w:line="360" w:lineRule="auto"/>
        <w:ind w:left="0"/>
        <w:jc w:val="both"/>
        <w:rPr>
          <w:rFonts w:ascii="Palatino Linotype" w:hAnsi="Palatino Linotype" w:cs="Arial"/>
          <w:b/>
          <w:sz w:val="28"/>
          <w:szCs w:val="28"/>
          <w:lang w:val="es-MX"/>
        </w:rPr>
      </w:pPr>
      <w:r>
        <w:rPr>
          <w:rFonts w:ascii="Palatino Linotype" w:hAnsi="Palatino Linotype" w:cs="Arial"/>
          <w:b/>
          <w:sz w:val="28"/>
          <w:lang w:val="es-MX"/>
        </w:rPr>
        <w:t>SEX</w:t>
      </w:r>
      <w:r w:rsidR="00DE7689" w:rsidRPr="00415E43">
        <w:rPr>
          <w:rFonts w:ascii="Palatino Linotype" w:hAnsi="Palatino Linotype" w:cs="Arial"/>
          <w:b/>
          <w:sz w:val="28"/>
          <w:lang w:val="es-MX"/>
        </w:rPr>
        <w:t>TO</w:t>
      </w:r>
      <w:r w:rsidR="00DE7689" w:rsidRPr="00415E43">
        <w:rPr>
          <w:rFonts w:ascii="Palatino Linotype" w:hAnsi="Palatino Linotype" w:cs="Arial"/>
          <w:b/>
          <w:sz w:val="28"/>
          <w:szCs w:val="28"/>
          <w:lang w:val="es-MX"/>
        </w:rPr>
        <w:t>. De la acumulación.</w:t>
      </w:r>
    </w:p>
    <w:p w14:paraId="0FF51310" w14:textId="5FA8AA8B" w:rsidR="00DE7689" w:rsidRPr="00415E43" w:rsidRDefault="00DE7689" w:rsidP="009E35D6">
      <w:pPr>
        <w:pStyle w:val="Prrafodelista"/>
        <w:spacing w:line="360" w:lineRule="auto"/>
        <w:ind w:left="0"/>
        <w:jc w:val="both"/>
        <w:rPr>
          <w:rFonts w:ascii="Palatino Linotype" w:hAnsi="Palatino Linotype" w:cs="Arial"/>
          <w:lang w:val="es-MX"/>
        </w:rPr>
      </w:pPr>
      <w:r w:rsidRPr="00415E43">
        <w:rPr>
          <w:rFonts w:ascii="Palatino Linotype" w:hAnsi="Palatino Linotype" w:cs="Arial"/>
          <w:lang w:val="es-MX"/>
        </w:rPr>
        <w:t xml:space="preserve">Posteriormente por acuerdo del Pleno del Instituto, en la </w:t>
      </w:r>
      <w:r w:rsidR="009E35D6" w:rsidRPr="009E35D6">
        <w:rPr>
          <w:rFonts w:ascii="Palatino Linotype" w:hAnsi="Palatino Linotype" w:cs="Arial"/>
          <w:b/>
          <w:lang w:val="es-MX"/>
        </w:rPr>
        <w:t>Trigésima Tercera</w:t>
      </w:r>
      <w:r w:rsidR="009E35D6" w:rsidRPr="009E35D6">
        <w:rPr>
          <w:rFonts w:ascii="Palatino Linotype" w:hAnsi="Palatino Linotype" w:cs="Arial"/>
          <w:lang w:val="es-MX"/>
        </w:rPr>
        <w:t xml:space="preserve"> Sesión Ordinaria</w:t>
      </w:r>
      <w:r w:rsidR="00747655">
        <w:rPr>
          <w:rFonts w:ascii="Palatino Linotype" w:hAnsi="Palatino Linotype" w:cs="Arial"/>
          <w:lang w:val="es-MX"/>
        </w:rPr>
        <w:t xml:space="preserve"> celebrada el </w:t>
      </w:r>
      <w:r w:rsidR="009E35D6">
        <w:rPr>
          <w:rFonts w:ascii="Palatino Linotype" w:hAnsi="Palatino Linotype" w:cs="Arial"/>
          <w:b/>
          <w:bCs/>
          <w:lang w:val="es-MX"/>
        </w:rPr>
        <w:t>diecinueve</w:t>
      </w:r>
      <w:r w:rsidR="00747655">
        <w:rPr>
          <w:rFonts w:ascii="Palatino Linotype" w:hAnsi="Palatino Linotype" w:cs="Arial"/>
          <w:b/>
          <w:bCs/>
          <w:lang w:val="es-MX"/>
        </w:rPr>
        <w:t xml:space="preserve"> de septiembre de dos mil veinticuatro, </w:t>
      </w:r>
      <w:r>
        <w:rPr>
          <w:rFonts w:ascii="Palatino Linotype" w:hAnsi="Palatino Linotype" w:cs="Arial"/>
          <w:lang w:val="es-MX"/>
        </w:rPr>
        <w:t xml:space="preserve">se determinó acumular los </w:t>
      </w:r>
      <w:r w:rsidRPr="00415E43">
        <w:rPr>
          <w:rFonts w:ascii="Palatino Linotype" w:hAnsi="Palatino Linotype" w:cs="Arial"/>
          <w:lang w:val="es-MX"/>
        </w:rPr>
        <w:t xml:space="preserve">recursos de revisión en estudio, ya que existe identidad del solicitante, del sujeto obligado y similitud de causas y objeto de solicitud. </w:t>
      </w:r>
    </w:p>
    <w:p w14:paraId="47E8F7E5" w14:textId="77777777" w:rsidR="00DE7689" w:rsidRPr="00415E43" w:rsidRDefault="00DE7689" w:rsidP="009E35D6">
      <w:pPr>
        <w:pStyle w:val="Prrafodelista"/>
        <w:spacing w:line="360" w:lineRule="auto"/>
        <w:ind w:left="0"/>
        <w:jc w:val="both"/>
        <w:rPr>
          <w:rFonts w:ascii="Palatino Linotype" w:hAnsi="Palatino Linotype" w:cs="Arial"/>
          <w:lang w:val="es-MX"/>
        </w:rPr>
      </w:pPr>
    </w:p>
    <w:p w14:paraId="472E1E2C" w14:textId="27F57215" w:rsidR="00DE7689" w:rsidRPr="00415E43" w:rsidRDefault="00DE7689" w:rsidP="009E35D6">
      <w:pPr>
        <w:spacing w:after="0" w:line="360" w:lineRule="auto"/>
        <w:jc w:val="both"/>
        <w:rPr>
          <w:rFonts w:ascii="Palatino Linotype" w:hAnsi="Palatino Linotype"/>
          <w:b/>
          <w:i/>
        </w:rPr>
      </w:pPr>
      <w:r w:rsidRPr="00415E43">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w:t>
      </w:r>
      <w:r>
        <w:rPr>
          <w:rFonts w:ascii="Palatino Linotype" w:hAnsi="Palatino Linotype"/>
          <w:sz w:val="24"/>
          <w:szCs w:val="24"/>
        </w:rPr>
        <w:t>.</w:t>
      </w:r>
    </w:p>
    <w:p w14:paraId="37918313" w14:textId="77777777" w:rsidR="00DE7689" w:rsidRPr="00DE7689" w:rsidRDefault="00DE7689"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18C08CE1" w14:textId="6A68F467" w:rsidR="0007277A" w:rsidRPr="009E35D6" w:rsidRDefault="00583D0F"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9E35D6">
        <w:rPr>
          <w:rFonts w:ascii="Palatino Linotype" w:eastAsia="Palatino Linotype" w:hAnsi="Palatino Linotype" w:cs="Palatino Linotype"/>
          <w:b/>
          <w:color w:val="000000"/>
          <w:sz w:val="28"/>
          <w:szCs w:val="24"/>
          <w:lang w:val="es-ES_tradnl"/>
        </w:rPr>
        <w:t>S</w:t>
      </w:r>
      <w:r w:rsidR="009E35D6" w:rsidRPr="009E35D6">
        <w:rPr>
          <w:rFonts w:ascii="Palatino Linotype" w:eastAsia="Palatino Linotype" w:hAnsi="Palatino Linotype" w:cs="Palatino Linotype"/>
          <w:b/>
          <w:color w:val="000000"/>
          <w:sz w:val="28"/>
          <w:szCs w:val="24"/>
          <w:lang w:val="es-ES_tradnl"/>
        </w:rPr>
        <w:t>ÉPTIM</w:t>
      </w:r>
      <w:r w:rsidRPr="009E35D6">
        <w:rPr>
          <w:rFonts w:ascii="Palatino Linotype" w:eastAsia="Palatino Linotype" w:hAnsi="Palatino Linotype" w:cs="Palatino Linotype"/>
          <w:b/>
          <w:color w:val="000000"/>
          <w:sz w:val="28"/>
          <w:szCs w:val="24"/>
          <w:lang w:val="es-ES_tradnl"/>
        </w:rPr>
        <w:t>O</w:t>
      </w:r>
      <w:r w:rsidR="0007277A" w:rsidRPr="009E35D6">
        <w:rPr>
          <w:rFonts w:ascii="Palatino Linotype" w:eastAsia="Palatino Linotype" w:hAnsi="Palatino Linotype" w:cs="Palatino Linotype"/>
          <w:b/>
          <w:color w:val="000000"/>
          <w:sz w:val="28"/>
          <w:szCs w:val="24"/>
          <w:lang w:val="es-ES_tradnl"/>
        </w:rPr>
        <w:t>. De la etapa de instrucción.</w:t>
      </w:r>
    </w:p>
    <w:p w14:paraId="2DE947BD" w14:textId="35418FA8" w:rsidR="0007277A" w:rsidRPr="007947A9"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 xml:space="preserve">El Sujeto Obligado </w:t>
      </w:r>
      <w:r w:rsidR="00F3376F">
        <w:rPr>
          <w:rFonts w:ascii="Palatino Linotype" w:eastAsia="Palatino Linotype" w:hAnsi="Palatino Linotype" w:cs="Palatino Linotype"/>
          <w:color w:val="000000"/>
          <w:sz w:val="24"/>
          <w:szCs w:val="24"/>
          <w:lang w:val="es-ES_tradnl"/>
        </w:rPr>
        <w:t>fue omiso en rendir</w:t>
      </w:r>
      <w:r w:rsidRPr="007947A9">
        <w:rPr>
          <w:rFonts w:ascii="Palatino Linotype" w:eastAsia="Palatino Linotype" w:hAnsi="Palatino Linotype" w:cs="Palatino Linotype"/>
          <w:color w:val="000000"/>
          <w:sz w:val="24"/>
          <w:szCs w:val="24"/>
          <w:lang w:val="es-ES_tradnl"/>
        </w:rPr>
        <w:t xml:space="preserve"> el Informe Justificado</w:t>
      </w:r>
      <w:r w:rsidR="00F3376F">
        <w:rPr>
          <w:rFonts w:ascii="Palatino Linotype" w:eastAsia="Palatino Linotype" w:hAnsi="Palatino Linotype" w:cs="Palatino Linotype"/>
          <w:color w:val="000000"/>
          <w:sz w:val="24"/>
          <w:szCs w:val="24"/>
          <w:lang w:val="es-ES_tradnl"/>
        </w:rPr>
        <w:t xml:space="preserve">; asimismo </w:t>
      </w:r>
      <w:r w:rsidRPr="007947A9">
        <w:rPr>
          <w:rFonts w:ascii="Palatino Linotype" w:eastAsia="Palatino Linotype" w:hAnsi="Palatino Linotype" w:cs="Palatino Linotype"/>
          <w:color w:val="000000"/>
          <w:sz w:val="24"/>
          <w:szCs w:val="24"/>
          <w:lang w:val="es-ES_tradnl"/>
        </w:rPr>
        <w:t>e</w:t>
      </w:r>
      <w:r w:rsidR="00F3376F">
        <w:rPr>
          <w:rFonts w:ascii="Palatino Linotype" w:eastAsia="Palatino Linotype" w:hAnsi="Palatino Linotype" w:cs="Palatino Linotype"/>
          <w:color w:val="000000"/>
          <w:sz w:val="24"/>
          <w:szCs w:val="24"/>
          <w:lang w:val="es-ES_tradnl"/>
        </w:rPr>
        <w:t>l</w:t>
      </w:r>
      <w:r w:rsidRPr="007947A9">
        <w:rPr>
          <w:rFonts w:ascii="Palatino Linotype" w:eastAsia="Palatino Linotype" w:hAnsi="Palatino Linotype" w:cs="Palatino Linotype"/>
          <w:color w:val="000000"/>
          <w:sz w:val="24"/>
          <w:szCs w:val="24"/>
          <w:lang w:val="es-ES_tradnl"/>
        </w:rPr>
        <w:t xml:space="preserve"> Recurrente no realizó manifestaciones, alegatos ni presentó pruebas que a su derecho convinieran.</w:t>
      </w:r>
    </w:p>
    <w:p w14:paraId="6971F9BF" w14:textId="77777777" w:rsidR="0007277A" w:rsidRPr="007947A9"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448B550E" w:rsidR="0007277A" w:rsidRPr="00F3376F" w:rsidRDefault="00583D0F"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F3376F">
        <w:rPr>
          <w:rFonts w:ascii="Palatino Linotype" w:eastAsia="Palatino Linotype" w:hAnsi="Palatino Linotype" w:cs="Palatino Linotype"/>
          <w:b/>
          <w:color w:val="000000"/>
          <w:sz w:val="28"/>
          <w:szCs w:val="24"/>
          <w:lang w:val="es-ES_tradnl"/>
        </w:rPr>
        <w:t>O</w:t>
      </w:r>
      <w:r w:rsidR="00F3376F">
        <w:rPr>
          <w:rFonts w:ascii="Palatino Linotype" w:eastAsia="Palatino Linotype" w:hAnsi="Palatino Linotype" w:cs="Palatino Linotype"/>
          <w:b/>
          <w:color w:val="000000"/>
          <w:sz w:val="28"/>
          <w:szCs w:val="24"/>
          <w:lang w:val="es-ES_tradnl"/>
        </w:rPr>
        <w:t>CTAVO</w:t>
      </w:r>
      <w:r w:rsidR="0007277A" w:rsidRPr="00F3376F">
        <w:rPr>
          <w:rFonts w:ascii="Palatino Linotype" w:eastAsia="Palatino Linotype" w:hAnsi="Palatino Linotype" w:cs="Palatino Linotype"/>
          <w:b/>
          <w:color w:val="000000"/>
          <w:sz w:val="28"/>
          <w:szCs w:val="24"/>
          <w:lang w:val="es-ES_tradnl"/>
        </w:rPr>
        <w:t>. Del cierre de instrucción.</w:t>
      </w:r>
    </w:p>
    <w:p w14:paraId="7BA9766B" w14:textId="4B73E488" w:rsidR="00190E63" w:rsidRPr="007947A9" w:rsidRDefault="0059361F" w:rsidP="009E35D6">
      <w:pPr>
        <w:spacing w:after="0"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 xml:space="preserve">de la Ley de Transparencia y Acceso a la Información Pública del Estado de México y Municipios, </w:t>
      </w:r>
      <w:r w:rsidRPr="00C46F12">
        <w:rPr>
          <w:rFonts w:ascii="Palatino Linotype" w:eastAsia="Palatino Linotype" w:hAnsi="Palatino Linotype" w:cs="Palatino Linotype"/>
          <w:b/>
          <w:bCs/>
          <w:color w:val="000000"/>
          <w:sz w:val="24"/>
          <w:szCs w:val="24"/>
          <w:lang w:val="es-ES_tradnl"/>
        </w:rPr>
        <w:t>e</w:t>
      </w:r>
      <w:r w:rsidR="0007277A" w:rsidRPr="00C46F12">
        <w:rPr>
          <w:rFonts w:ascii="Palatino Linotype" w:eastAsia="Palatino Linotype" w:hAnsi="Palatino Linotype" w:cs="Palatino Linotype"/>
          <w:b/>
          <w:bCs/>
          <w:color w:val="000000"/>
          <w:sz w:val="24"/>
          <w:szCs w:val="24"/>
          <w:lang w:val="es-ES_tradnl"/>
        </w:rPr>
        <w:t xml:space="preserve">l </w:t>
      </w:r>
      <w:r w:rsidR="00F3376F">
        <w:rPr>
          <w:rFonts w:ascii="Palatino Linotype" w:eastAsia="Palatino Linotype" w:hAnsi="Palatino Linotype" w:cs="Palatino Linotype"/>
          <w:b/>
          <w:bCs/>
          <w:color w:val="000000"/>
          <w:sz w:val="24"/>
          <w:szCs w:val="24"/>
          <w:lang w:val="es-ES_tradnl"/>
        </w:rPr>
        <w:t>veinticuatro</w:t>
      </w:r>
      <w:r w:rsidR="001E57C8">
        <w:rPr>
          <w:rFonts w:ascii="Palatino Linotype" w:eastAsia="Palatino Linotype" w:hAnsi="Palatino Linotype" w:cs="Palatino Linotype"/>
          <w:b/>
          <w:bCs/>
          <w:color w:val="000000"/>
          <w:sz w:val="24"/>
          <w:szCs w:val="24"/>
          <w:lang w:val="es-ES_tradnl"/>
        </w:rPr>
        <w:t xml:space="preserve"> de septiembre</w:t>
      </w:r>
      <w:r w:rsidR="0007277A" w:rsidRPr="00C46F12">
        <w:rPr>
          <w:rFonts w:ascii="Palatino Linotype" w:eastAsia="Palatino Linotype" w:hAnsi="Palatino Linotype" w:cs="Palatino Linotype"/>
          <w:b/>
          <w:bCs/>
          <w:color w:val="000000"/>
          <w:sz w:val="24"/>
          <w:szCs w:val="24"/>
          <w:lang w:val="es-ES_tradnl"/>
        </w:rPr>
        <w:t xml:space="preserve"> de dos mil veinticuatro </w:t>
      </w:r>
      <w:r w:rsidR="0007277A" w:rsidRPr="007947A9">
        <w:rPr>
          <w:rFonts w:ascii="Palatino Linotype" w:eastAsia="Palatino Linotype" w:hAnsi="Palatino Linotype" w:cs="Palatino Linotype"/>
          <w:color w:val="000000"/>
          <w:sz w:val="24"/>
          <w:szCs w:val="24"/>
          <w:lang w:val="es-ES_tradnl"/>
        </w:rPr>
        <w:t xml:space="preserve">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9E35D6">
      <w:pPr>
        <w:spacing w:after="0" w:line="360" w:lineRule="auto"/>
        <w:jc w:val="both"/>
        <w:rPr>
          <w:rFonts w:ascii="Palatino Linotype" w:hAnsi="Palatino Linotype" w:cs="Arial"/>
          <w:sz w:val="24"/>
          <w:szCs w:val="24"/>
        </w:rPr>
      </w:pPr>
    </w:p>
    <w:p w14:paraId="38130B6D" w14:textId="77777777" w:rsidR="00F3376F" w:rsidRDefault="00F3376F" w:rsidP="009E35D6">
      <w:pPr>
        <w:spacing w:after="0" w:line="360" w:lineRule="auto"/>
        <w:jc w:val="center"/>
        <w:rPr>
          <w:rFonts w:ascii="Palatino Linotype" w:hAnsi="Palatino Linotype" w:cs="Arial"/>
          <w:b/>
          <w:sz w:val="28"/>
          <w:szCs w:val="24"/>
        </w:rPr>
      </w:pPr>
    </w:p>
    <w:p w14:paraId="4DAA1C27" w14:textId="77777777" w:rsidR="00F3376F" w:rsidRDefault="00F3376F" w:rsidP="009E35D6">
      <w:pPr>
        <w:spacing w:after="0" w:line="360" w:lineRule="auto"/>
        <w:jc w:val="center"/>
        <w:rPr>
          <w:rFonts w:ascii="Palatino Linotype" w:hAnsi="Palatino Linotype" w:cs="Arial"/>
          <w:b/>
          <w:sz w:val="28"/>
          <w:szCs w:val="24"/>
        </w:rPr>
      </w:pPr>
    </w:p>
    <w:p w14:paraId="581D3CC0" w14:textId="77777777" w:rsidR="0009491C" w:rsidRPr="00360DF2" w:rsidRDefault="0009491C" w:rsidP="009E35D6">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4B0643E" w14:textId="77777777" w:rsidR="0009491C" w:rsidRPr="00360DF2" w:rsidRDefault="0009491C" w:rsidP="009E35D6">
      <w:pPr>
        <w:spacing w:after="0" w:line="360" w:lineRule="auto"/>
        <w:jc w:val="both"/>
        <w:rPr>
          <w:rFonts w:ascii="Palatino Linotype" w:hAnsi="Palatino Linotype" w:cs="Arial"/>
          <w:sz w:val="24"/>
          <w:szCs w:val="28"/>
        </w:rPr>
      </w:pPr>
    </w:p>
    <w:p w14:paraId="2E029E34" w14:textId="77777777" w:rsidR="0009491C" w:rsidRPr="00F3376F" w:rsidRDefault="0009491C" w:rsidP="009E35D6">
      <w:pPr>
        <w:spacing w:after="0" w:line="360" w:lineRule="auto"/>
        <w:jc w:val="both"/>
        <w:rPr>
          <w:rFonts w:ascii="Palatino Linotype" w:hAnsi="Palatino Linotype" w:cs="Arial"/>
          <w:sz w:val="28"/>
          <w:szCs w:val="24"/>
        </w:rPr>
      </w:pPr>
      <w:r w:rsidRPr="00F3376F">
        <w:rPr>
          <w:rFonts w:ascii="Palatino Linotype" w:hAnsi="Palatino Linotype" w:cs="Arial"/>
          <w:b/>
          <w:sz w:val="28"/>
          <w:szCs w:val="24"/>
        </w:rPr>
        <w:t>PRIMERO. De la competencia</w:t>
      </w:r>
      <w:r w:rsidRPr="00F3376F">
        <w:rPr>
          <w:rFonts w:ascii="Palatino Linotype" w:hAnsi="Palatino Linotype" w:cs="Arial"/>
          <w:sz w:val="28"/>
          <w:szCs w:val="24"/>
        </w:rPr>
        <w:t>.</w:t>
      </w:r>
    </w:p>
    <w:p w14:paraId="357BF826" w14:textId="713676B6" w:rsidR="0009491C" w:rsidRPr="007947A9" w:rsidRDefault="0009491C" w:rsidP="009E35D6">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9E35D6">
      <w:pPr>
        <w:spacing w:after="0" w:line="360" w:lineRule="auto"/>
        <w:jc w:val="both"/>
        <w:rPr>
          <w:rFonts w:ascii="Palatino Linotype" w:hAnsi="Palatino Linotype" w:cs="Arial"/>
          <w:sz w:val="24"/>
          <w:szCs w:val="24"/>
        </w:rPr>
      </w:pPr>
    </w:p>
    <w:p w14:paraId="37F94BEA" w14:textId="49D69CC5" w:rsidR="007947A9" w:rsidRPr="00F3376F" w:rsidRDefault="0009491C" w:rsidP="009E35D6">
      <w:pPr>
        <w:autoSpaceDE w:val="0"/>
        <w:autoSpaceDN w:val="0"/>
        <w:adjustRightInd w:val="0"/>
        <w:spacing w:after="0" w:line="360" w:lineRule="auto"/>
        <w:jc w:val="both"/>
        <w:rPr>
          <w:rFonts w:ascii="Palatino Linotype" w:eastAsia="Palatino Linotype" w:hAnsi="Palatino Linotype" w:cs="Palatino Linotype"/>
          <w:sz w:val="28"/>
          <w:szCs w:val="24"/>
        </w:rPr>
      </w:pPr>
      <w:r w:rsidRPr="00F3376F">
        <w:rPr>
          <w:rFonts w:ascii="Palatino Linotype" w:hAnsi="Palatino Linotype" w:cs="Arial"/>
          <w:b/>
          <w:sz w:val="28"/>
          <w:szCs w:val="24"/>
        </w:rPr>
        <w:t xml:space="preserve">SEGUNDO. </w:t>
      </w:r>
      <w:r w:rsidR="007947A9" w:rsidRPr="00F3376F">
        <w:rPr>
          <w:rFonts w:ascii="Palatino Linotype" w:hAnsi="Palatino Linotype" w:cs="Arial"/>
          <w:b/>
          <w:sz w:val="28"/>
          <w:szCs w:val="24"/>
        </w:rPr>
        <w:t xml:space="preserve">De la </w:t>
      </w:r>
      <w:r w:rsidR="00B37E25" w:rsidRPr="00F3376F">
        <w:rPr>
          <w:rFonts w:ascii="Palatino Linotype" w:eastAsia="Palatino Linotype" w:hAnsi="Palatino Linotype" w:cs="Palatino Linotype"/>
          <w:b/>
          <w:sz w:val="28"/>
          <w:szCs w:val="24"/>
        </w:rPr>
        <w:t>Oportunidad y Proced</w:t>
      </w:r>
      <w:r w:rsidR="007947A9" w:rsidRPr="00F3376F">
        <w:rPr>
          <w:rFonts w:ascii="Palatino Linotype" w:eastAsia="Palatino Linotype" w:hAnsi="Palatino Linotype" w:cs="Palatino Linotype"/>
          <w:b/>
          <w:sz w:val="28"/>
          <w:szCs w:val="24"/>
        </w:rPr>
        <w:t>encia</w:t>
      </w:r>
      <w:r w:rsidR="00B37E25" w:rsidRPr="00F3376F">
        <w:rPr>
          <w:rFonts w:ascii="Palatino Linotype" w:eastAsia="Palatino Linotype" w:hAnsi="Palatino Linotype" w:cs="Palatino Linotype"/>
          <w:b/>
          <w:sz w:val="28"/>
          <w:szCs w:val="24"/>
        </w:rPr>
        <w:t xml:space="preserve"> del Recurso de Revisión</w:t>
      </w:r>
      <w:r w:rsidR="00B37E25" w:rsidRPr="00F3376F">
        <w:rPr>
          <w:rFonts w:ascii="Palatino Linotype" w:eastAsia="Palatino Linotype" w:hAnsi="Palatino Linotype" w:cs="Palatino Linotype"/>
          <w:sz w:val="28"/>
          <w:szCs w:val="24"/>
        </w:rPr>
        <w:t>.</w:t>
      </w:r>
    </w:p>
    <w:p w14:paraId="43D69F30" w14:textId="44AE9B2E" w:rsidR="0009491C" w:rsidRPr="007947A9" w:rsidRDefault="00670BA4" w:rsidP="009E35D6">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A95E4F" w:rsidRPr="007947A9">
        <w:rPr>
          <w:rFonts w:ascii="Palatino Linotype" w:hAnsi="Palatino Linotype"/>
          <w:sz w:val="24"/>
          <w:szCs w:val="24"/>
        </w:rPr>
        <w:t>podrá</w:t>
      </w:r>
      <w:r w:rsidRPr="007947A9">
        <w:rPr>
          <w:rFonts w:ascii="Palatino Linotype" w:hAnsi="Palatino Linotype"/>
          <w:sz w:val="24"/>
          <w:szCs w:val="24"/>
        </w:rPr>
        <w:t xml:space="preserve">́ interponer, por sí mismo o a </w:t>
      </w:r>
      <w:r w:rsidR="00A95E4F"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A95E4F"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A95E4F"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A95E4F" w:rsidRPr="007947A9">
        <w:rPr>
          <w:rFonts w:ascii="Palatino Linotype" w:hAnsi="Palatino Linotype"/>
          <w:sz w:val="24"/>
          <w:szCs w:val="24"/>
        </w:rPr>
        <w:t>días</w:t>
      </w:r>
      <w:r w:rsidRPr="007947A9">
        <w:rPr>
          <w:rFonts w:ascii="Palatino Linotype" w:hAnsi="Palatino Linotype"/>
          <w:sz w:val="24"/>
          <w:szCs w:val="24"/>
        </w:rPr>
        <w:t xml:space="preserve"> </w:t>
      </w:r>
      <w:r w:rsidR="00A95E4F"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A95E4F"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A95E4F" w:rsidRPr="007947A9">
        <w:rPr>
          <w:rFonts w:ascii="Palatino Linotype" w:hAnsi="Palatino Linotype"/>
          <w:sz w:val="24"/>
          <w:szCs w:val="24"/>
        </w:rPr>
        <w:lastRenderedPageBreak/>
        <w:t>información</w:t>
      </w:r>
      <w:r w:rsidRPr="007947A9">
        <w:rPr>
          <w:rFonts w:ascii="Palatino Linotype" w:hAnsi="Palatino Linotype"/>
          <w:sz w:val="24"/>
          <w:szCs w:val="24"/>
        </w:rPr>
        <w:t xml:space="preserve"> </w:t>
      </w:r>
      <w:r w:rsidR="00A95E4F"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A95E4F" w:rsidRPr="007947A9">
        <w:rPr>
          <w:rFonts w:ascii="Palatino Linotype" w:hAnsi="Palatino Linotype"/>
          <w:sz w:val="24"/>
          <w:szCs w:val="24"/>
        </w:rPr>
        <w:t>podrá</w:t>
      </w:r>
      <w:r w:rsidRPr="007947A9">
        <w:rPr>
          <w:rFonts w:ascii="Palatino Linotype" w:hAnsi="Palatino Linotype"/>
          <w:sz w:val="24"/>
          <w:szCs w:val="24"/>
        </w:rPr>
        <w:t xml:space="preserve">́ 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9E35D6">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9E35D6">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9E35D6">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9E35D6">
      <w:pPr>
        <w:spacing w:after="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9E35D6">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360DF2" w:rsidRDefault="007947A9"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360DF2" w:rsidRDefault="00B37E25" w:rsidP="009E35D6">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9E35D6">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9E35D6">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BD3B471" w:rsidR="00CA31E0" w:rsidRPr="00360DF2" w:rsidRDefault="00CA31E0"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w:t>
      </w:r>
      <w:r w:rsidR="00747655">
        <w:rPr>
          <w:rFonts w:ascii="Palatino Linotype" w:eastAsia="Times New Roman" w:hAnsi="Palatino Linotype" w:cs="Arial"/>
          <w:sz w:val="24"/>
          <w:szCs w:val="24"/>
          <w:lang w:val="es-ES" w:eastAsia="es-ES"/>
        </w:rPr>
        <w:t>s</w:t>
      </w:r>
      <w:r w:rsidRPr="00360DF2">
        <w:rPr>
          <w:rFonts w:ascii="Palatino Linotype" w:eastAsia="Times New Roman" w:hAnsi="Palatino Linotype" w:cs="Arial"/>
          <w:sz w:val="24"/>
          <w:szCs w:val="24"/>
          <w:lang w:val="es-ES" w:eastAsia="es-ES"/>
        </w:rPr>
        <w:t xml:space="preserve"> solicitud</w:t>
      </w:r>
      <w:r w:rsidR="00747655">
        <w:rPr>
          <w:rFonts w:ascii="Palatino Linotype" w:eastAsia="Times New Roman" w:hAnsi="Palatino Linotype" w:cs="Arial"/>
          <w:sz w:val="24"/>
          <w:szCs w:val="24"/>
          <w:lang w:val="es-ES" w:eastAsia="es-ES"/>
        </w:rPr>
        <w:t>es</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p>
    <w:p w14:paraId="29408919" w14:textId="77777777" w:rsidR="0009491C" w:rsidRPr="00360DF2"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 xml:space="preserve">Ley de Transparencia y Acceso a la Información Pública del Estado </w:t>
      </w:r>
      <w:r w:rsidR="0009491C" w:rsidRPr="00D80CEC">
        <w:rPr>
          <w:rFonts w:ascii="Palatino Linotype" w:eastAsia="Calibri" w:hAnsi="Palatino Linotype" w:cs="Arial"/>
          <w:bCs/>
          <w:color w:val="000000" w:themeColor="text1"/>
          <w:sz w:val="24"/>
          <w:szCs w:val="24"/>
          <w:lang w:val="es-ES" w:eastAsia="es-ES"/>
        </w:rPr>
        <w:lastRenderedPageBreak/>
        <w:t>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CAB6D85" w:rsidR="0009491C" w:rsidRPr="00552E32" w:rsidRDefault="00D80CEC" w:rsidP="009E35D6">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w:t>
      </w:r>
      <w:r w:rsidR="00F3376F">
        <w:rPr>
          <w:rFonts w:ascii="Palatino Linotype" w:eastAsia="Times New Roman" w:hAnsi="Palatino Linotype" w:cs="Arial"/>
          <w:sz w:val="24"/>
          <w:szCs w:val="24"/>
          <w:lang w:val="es-ES" w:eastAsia="es-MX"/>
        </w:rPr>
        <w:t>el</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9E35D6">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2E4E6A91" w:rsidR="00552E32"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17956B80" w14:textId="77777777" w:rsidR="00F3376F" w:rsidRPr="00552E32" w:rsidRDefault="00F3376F"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6A2BC949" w14:textId="2C6063D6" w:rsidR="00552E32" w:rsidRPr="00552E32"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53, fracciones II, IV y V de la Ley de Transparencia Local establece que las Unidades de Transparencia tienen, entre otras, las funciones de recibir, tramitar y dar respuesta a las solicitudes de acceso a la información; realizar, con efectividad, los </w:t>
      </w:r>
      <w:r w:rsidRPr="00552E32">
        <w:rPr>
          <w:rFonts w:ascii="Palatino Linotype" w:eastAsia="Palatino Linotype" w:hAnsi="Palatino Linotype" w:cs="Palatino Linotype"/>
          <w:sz w:val="24"/>
          <w:szCs w:val="24"/>
        </w:rPr>
        <w:lastRenderedPageBreak/>
        <w:t>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9E35D6">
      <w:pPr>
        <w:spacing w:after="0"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9E35D6">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9E35D6">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9E35D6">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 xml:space="preserve">deberá dar atención a la solicitud de información, puesto que el silencio administrativo que hizo patente al omitir dar respuesta trae como consecuencia que se le ordene dar atención a la </w:t>
      </w:r>
      <w:r w:rsidRPr="00360DF2">
        <w:rPr>
          <w:rFonts w:ascii="Palatino Linotype" w:eastAsia="Times New Roman" w:hAnsi="Palatino Linotype" w:cs="Arial"/>
          <w:sz w:val="24"/>
          <w:szCs w:val="24"/>
          <w:lang w:val="es-ES" w:eastAsia="es-ES"/>
        </w:rPr>
        <w:lastRenderedPageBreak/>
        <w:t>solicitud entregando la información solicitada, lo cual deberá llevar a cabo en ejercicio de sus atribuciones y con arreglo a lo dispuesto por la ley de la materia.</w:t>
      </w:r>
    </w:p>
    <w:p w14:paraId="65EE403A" w14:textId="77777777" w:rsidR="0048739B" w:rsidRPr="00360DF2" w:rsidRDefault="0048739B"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167BBD" w:rsidRDefault="0009491C" w:rsidP="009E35D6">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40053422" w14:textId="1EE2D5A2" w:rsidR="00167BBD" w:rsidRPr="00167BBD" w:rsidRDefault="00167BBD" w:rsidP="009E35D6">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EA4E95">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9E35D6">
      <w:pPr>
        <w:spacing w:after="0" w:line="360" w:lineRule="auto"/>
        <w:jc w:val="both"/>
        <w:rPr>
          <w:rFonts w:ascii="Palatino Linotype" w:eastAsia="Palatino Linotype" w:hAnsi="Palatino Linotype" w:cs="Palatino Linotype"/>
          <w:sz w:val="24"/>
          <w:szCs w:val="24"/>
        </w:rPr>
      </w:pPr>
    </w:p>
    <w:p w14:paraId="355CB129" w14:textId="35F164B2" w:rsidR="00167BBD" w:rsidRDefault="00167BBD" w:rsidP="009E35D6">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037EFB41" w14:textId="77777777" w:rsidR="00167BBD" w:rsidRDefault="00167BBD" w:rsidP="009E35D6">
      <w:pPr>
        <w:tabs>
          <w:tab w:val="left" w:pos="8647"/>
        </w:tabs>
        <w:spacing w:after="0" w:line="360" w:lineRule="auto"/>
        <w:ind w:right="51"/>
        <w:jc w:val="both"/>
        <w:rPr>
          <w:rFonts w:ascii="Palatino Linotype" w:hAnsi="Palatino Linotype" w:cs="Arial"/>
          <w:sz w:val="24"/>
          <w:szCs w:val="24"/>
        </w:rPr>
      </w:pPr>
    </w:p>
    <w:p w14:paraId="6EF26BAC" w14:textId="4A4F45F5" w:rsidR="00167BBD" w:rsidRPr="008D27DD" w:rsidRDefault="00167BBD" w:rsidP="009E35D6">
      <w:pPr>
        <w:spacing w:after="0" w:line="360" w:lineRule="auto"/>
        <w:jc w:val="both"/>
        <w:rPr>
          <w:rFonts w:ascii="Palatino Linotype" w:eastAsia="Palatino Linotype" w:hAnsi="Palatino Linotype" w:cs="Palatino Linotype"/>
          <w:sz w:val="24"/>
          <w:szCs w:val="24"/>
        </w:rPr>
      </w:pPr>
      <w:r w:rsidRPr="008D27DD">
        <w:rPr>
          <w:rFonts w:ascii="Palatino Linotype" w:eastAsia="Palatino Linotype" w:hAnsi="Palatino Linotype" w:cs="Palatino Linotype"/>
          <w:sz w:val="24"/>
          <w:szCs w:val="24"/>
        </w:rPr>
        <w:t xml:space="preserve">Por lo que para dar atención a la </w:t>
      </w:r>
      <w:r w:rsidR="008D27DD" w:rsidRPr="008D27DD">
        <w:rPr>
          <w:rFonts w:ascii="Palatino Linotype" w:eastAsia="Palatino Linotype" w:hAnsi="Palatino Linotype" w:cs="Palatino Linotype"/>
          <w:sz w:val="24"/>
          <w:szCs w:val="24"/>
        </w:rPr>
        <w:t>solicitud</w:t>
      </w:r>
      <w:r w:rsidRPr="008D27DD">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w:t>
      </w:r>
      <w:r w:rsidRPr="008D27DD">
        <w:rPr>
          <w:rFonts w:ascii="Palatino Linotype" w:eastAsia="Palatino Linotype" w:hAnsi="Palatino Linotype" w:cs="Palatino Linotype"/>
          <w:sz w:val="24"/>
          <w:szCs w:val="24"/>
        </w:rPr>
        <w:lastRenderedPageBreak/>
        <w:t xml:space="preserve">sustente la clasificación parcial, a través de la versión pública que emita, o bien, la restricción total del derecho de acceso a la información.  </w:t>
      </w:r>
    </w:p>
    <w:p w14:paraId="1DD77D66" w14:textId="77777777" w:rsidR="00167BBD" w:rsidRPr="00167BBD" w:rsidRDefault="00167BBD" w:rsidP="009E35D6">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ya que establecen los criterios 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p>
    <w:p w14:paraId="539C82C7" w14:textId="7EF4AF73" w:rsidR="00AC0022" w:rsidRPr="00F3376F" w:rsidRDefault="00AC0022" w:rsidP="009E35D6">
      <w:pPr>
        <w:tabs>
          <w:tab w:val="left" w:pos="8647"/>
        </w:tabs>
        <w:spacing w:after="0" w:line="360" w:lineRule="auto"/>
        <w:ind w:right="51"/>
        <w:jc w:val="both"/>
        <w:rPr>
          <w:rFonts w:ascii="Palatino Linotype" w:hAnsi="Palatino Linotype" w:cs="Arial"/>
          <w:sz w:val="24"/>
          <w:szCs w:val="24"/>
        </w:rPr>
      </w:pPr>
      <w:r w:rsidRPr="00F3376F">
        <w:rPr>
          <w:rFonts w:ascii="Palatino Linotype" w:hAnsi="Palatino Linotype" w:cs="Arial"/>
          <w:sz w:val="24"/>
          <w:szCs w:val="24"/>
        </w:rPr>
        <w:t>E</w:t>
      </w:r>
      <w:r w:rsidR="0009491C" w:rsidRPr="00F3376F">
        <w:rPr>
          <w:rFonts w:ascii="Palatino Linotype" w:hAnsi="Palatino Linotype" w:cs="Arial"/>
          <w:sz w:val="24"/>
          <w:szCs w:val="24"/>
        </w:rPr>
        <w:t>l derecho de acceso a la información pública puede ser restringido cuando se trate de información clasificada como reservada,</w:t>
      </w:r>
      <w:r w:rsidRPr="00F3376F">
        <w:rPr>
          <w:rFonts w:ascii="Palatino Linotype" w:hAnsi="Palatino Linotype" w:cs="Arial"/>
          <w:sz w:val="24"/>
          <w:szCs w:val="24"/>
        </w:rPr>
        <w:t xml:space="preserve"> por lo que </w:t>
      </w:r>
      <w:r w:rsidRPr="00F3376F">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F3376F">
        <w:rPr>
          <w:rFonts w:ascii="Palatino Linotype" w:eastAsia="Palatino Linotype" w:hAnsi="Palatino Linotype" w:cs="Palatino Linotype"/>
          <w:b/>
          <w:sz w:val="24"/>
          <w:szCs w:val="24"/>
        </w:rPr>
        <w:t>Sujeto Obligado</w:t>
      </w:r>
      <w:r w:rsidRPr="00F3376F">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w:t>
      </w:r>
      <w:r w:rsidRPr="00F3376F">
        <w:rPr>
          <w:rFonts w:ascii="Palatino Linotype" w:eastAsia="Palatino Linotype" w:hAnsi="Palatino Linotype" w:cs="Palatino Linotype"/>
          <w:sz w:val="24"/>
          <w:szCs w:val="24"/>
        </w:rPr>
        <w:lastRenderedPageBreak/>
        <w:t>menoscabo o daño que puede producirse con la publicidad de la información, es mayor que el interés de conocerla; debiendo clasificarse como reservada.</w:t>
      </w:r>
    </w:p>
    <w:p w14:paraId="3651F69E" w14:textId="77777777" w:rsidR="00AC0022" w:rsidRPr="00DB6C2D" w:rsidRDefault="00AC0022" w:rsidP="009E35D6">
      <w:pPr>
        <w:spacing w:after="0" w:line="360" w:lineRule="auto"/>
        <w:ind w:right="51"/>
        <w:jc w:val="both"/>
        <w:rPr>
          <w:rFonts w:ascii="Palatino Linotype" w:eastAsia="Palatino Linotype" w:hAnsi="Palatino Linotype" w:cs="Palatino Linotype"/>
        </w:rPr>
      </w:pPr>
    </w:p>
    <w:p w14:paraId="12E5B629" w14:textId="0265C036" w:rsidR="00AC0022" w:rsidRPr="00F3376F" w:rsidRDefault="00AC0022" w:rsidP="009E35D6">
      <w:pPr>
        <w:spacing w:after="0" w:line="360" w:lineRule="auto"/>
        <w:jc w:val="both"/>
        <w:rPr>
          <w:rFonts w:ascii="Palatino Linotype" w:eastAsia="Palatino Linotype" w:hAnsi="Palatino Linotype" w:cs="Palatino Linotype"/>
          <w:sz w:val="24"/>
        </w:rPr>
      </w:pPr>
      <w:r w:rsidRPr="00F3376F">
        <w:rPr>
          <w:rFonts w:ascii="Palatino Linotype" w:eastAsia="Palatino Linotype" w:hAnsi="Palatino Linotype" w:cs="Palatino Linotype"/>
          <w:sz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5A49BB5B" w14:textId="77777777" w:rsidR="00F3376F" w:rsidRPr="00DB6C2D" w:rsidRDefault="00F3376F" w:rsidP="009E35D6">
      <w:pPr>
        <w:spacing w:after="0" w:line="360" w:lineRule="auto"/>
        <w:jc w:val="both"/>
        <w:rPr>
          <w:rFonts w:ascii="Palatino Linotype" w:eastAsia="Palatino Linotype" w:hAnsi="Palatino Linotype" w:cs="Palatino Linotype"/>
        </w:rPr>
      </w:pPr>
    </w:p>
    <w:p w14:paraId="27DBFD10" w14:textId="77777777" w:rsidR="00AC0022" w:rsidRPr="00F3376F" w:rsidRDefault="00AC0022" w:rsidP="009E35D6">
      <w:pPr>
        <w:spacing w:after="0" w:line="360" w:lineRule="auto"/>
        <w:jc w:val="both"/>
        <w:rPr>
          <w:rFonts w:ascii="Palatino Linotype" w:eastAsia="Palatino Linotype" w:hAnsi="Palatino Linotype" w:cs="Palatino Linotype"/>
          <w:sz w:val="24"/>
        </w:rPr>
      </w:pPr>
      <w:r w:rsidRPr="00F3376F">
        <w:rPr>
          <w:rFonts w:ascii="Palatino Linotype" w:eastAsia="Palatino Linotype" w:hAnsi="Palatino Linotype" w:cs="Palatino Linotype"/>
          <w:sz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9E35D6">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9E35D6">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P</w:t>
      </w:r>
      <w:r w:rsidR="0009491C" w:rsidRPr="0068506C">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deja al solicitante en 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9E35D6">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 xml:space="preserve">es necesario que el Comité de Transparencia emita un Acuerdo de Clasificación que cumpla con las formalidades previstas en los artículos 137, 143 y 149 </w:t>
      </w:r>
      <w:r w:rsidR="0009491C" w:rsidRPr="0068506C">
        <w:rPr>
          <w:rFonts w:ascii="Palatino Linotype" w:eastAsia="Times New Roman" w:hAnsi="Palatino Linotype" w:cs="Arial"/>
          <w:sz w:val="24"/>
          <w:szCs w:val="24"/>
          <w:lang w:val="es-ES" w:eastAsia="es-ES"/>
        </w:rPr>
        <w:lastRenderedPageBreak/>
        <w:t>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9E35D6">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67204E38" w:rsidR="0009491C" w:rsidRPr="00AC0022" w:rsidRDefault="00AC0022" w:rsidP="009E35D6">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 xml:space="preserve">ista a los órganos interno </w:t>
      </w:r>
      <w:r w:rsidR="000679EA" w:rsidRPr="00AC0022">
        <w:rPr>
          <w:rFonts w:ascii="Palatino Linotype" w:eastAsia="Times New Roman" w:hAnsi="Palatino Linotype" w:cs="Times New Roman"/>
          <w:b/>
          <w:iCs/>
          <w:sz w:val="28"/>
          <w:szCs w:val="24"/>
          <w:lang w:val="es-ES" w:eastAsia="es-ES"/>
        </w:rPr>
        <w:t xml:space="preserve">de control </w:t>
      </w:r>
      <w:r w:rsidR="0009491C" w:rsidRPr="00AC0022">
        <w:rPr>
          <w:rFonts w:ascii="Palatino Linotype" w:eastAsia="Times New Roman" w:hAnsi="Palatino Linotype" w:cs="Times New Roman"/>
          <w:b/>
          <w:iCs/>
          <w:sz w:val="28"/>
          <w:szCs w:val="24"/>
          <w:lang w:val="es-ES" w:eastAsia="es-ES"/>
        </w:rPr>
        <w:t xml:space="preserve">competentes </w:t>
      </w:r>
    </w:p>
    <w:p w14:paraId="1A72C40C" w14:textId="36E7FCD8" w:rsidR="0009491C" w:rsidRPr="004D1A2D" w:rsidRDefault="00AC0022" w:rsidP="009E35D6">
      <w:pPr>
        <w:spacing w:after="0"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5D0D0F34" w14:textId="13C3C7DC" w:rsidR="00747655" w:rsidRPr="00747655" w:rsidRDefault="0009491C" w:rsidP="009E35D6">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atienda la</w:t>
      </w:r>
      <w:r w:rsidR="00747655">
        <w:rPr>
          <w:rFonts w:ascii="Palatino Linotype" w:hAnsi="Palatino Linotype" w:cs="Arial"/>
          <w:sz w:val="24"/>
          <w:szCs w:val="24"/>
        </w:rPr>
        <w:t xml:space="preserve">s solicitudes de información </w:t>
      </w:r>
      <w:r w:rsidR="00BA68D0" w:rsidRPr="00BA68D0">
        <w:rPr>
          <w:rFonts w:ascii="Palatino Linotype" w:hAnsi="Palatino Linotype" w:cs="Arial"/>
          <w:b/>
          <w:bCs/>
          <w:sz w:val="24"/>
          <w:szCs w:val="24"/>
          <w:highlight w:val="yellow"/>
        </w:rPr>
        <w:t>00214/TEPOTZOT/IP/2024 y 00215/TEPOTZOT/IP/2024</w:t>
      </w:r>
      <w:r w:rsidR="00747655">
        <w:rPr>
          <w:rFonts w:ascii="Palatino Linotype" w:hAnsi="Palatino Linotype" w:cs="Arial"/>
          <w:b/>
          <w:bCs/>
          <w:sz w:val="24"/>
          <w:szCs w:val="24"/>
        </w:rPr>
        <w:t xml:space="preserve">, </w:t>
      </w:r>
      <w:r w:rsidR="00747655">
        <w:rPr>
          <w:rFonts w:ascii="Palatino Linotype" w:hAnsi="Palatino Linotype" w:cs="Arial"/>
          <w:sz w:val="24"/>
          <w:szCs w:val="24"/>
        </w:rPr>
        <w:t xml:space="preserve">que han sido materia del presente fallo. </w:t>
      </w:r>
    </w:p>
    <w:p w14:paraId="68CC9627" w14:textId="77777777" w:rsidR="00747655" w:rsidRDefault="00747655" w:rsidP="009E35D6">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9E35D6">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3930952A" w14:textId="77777777" w:rsidR="00EA4E95" w:rsidRDefault="00EA4E95" w:rsidP="009E35D6">
      <w:pPr>
        <w:spacing w:after="0" w:line="360" w:lineRule="auto"/>
        <w:ind w:left="426"/>
        <w:jc w:val="center"/>
        <w:rPr>
          <w:rFonts w:ascii="Palatino Linotype" w:eastAsia="Times New Roman" w:hAnsi="Palatino Linotype" w:cs="Times New Roman"/>
          <w:b/>
          <w:color w:val="000000"/>
          <w:sz w:val="28"/>
          <w:szCs w:val="24"/>
          <w:lang w:val="es-ES" w:eastAsia="es-ES"/>
        </w:rPr>
      </w:pPr>
    </w:p>
    <w:p w14:paraId="44F1AC14" w14:textId="1F0DC089" w:rsidR="0009491C" w:rsidRPr="00360DF2" w:rsidRDefault="0009491C" w:rsidP="009E35D6">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E    R</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E</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S</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U</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E</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L</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V</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E</w:t>
      </w:r>
    </w:p>
    <w:p w14:paraId="59A57231" w14:textId="77777777" w:rsidR="00F3376F" w:rsidRDefault="00F3376F" w:rsidP="009E35D6">
      <w:pPr>
        <w:tabs>
          <w:tab w:val="left" w:pos="8647"/>
        </w:tabs>
        <w:spacing w:after="0" w:line="360" w:lineRule="auto"/>
        <w:ind w:right="51"/>
        <w:jc w:val="both"/>
        <w:rPr>
          <w:rFonts w:ascii="Palatino Linotype" w:hAnsi="Palatino Linotype" w:cs="Arial"/>
          <w:b/>
          <w:sz w:val="28"/>
          <w:szCs w:val="24"/>
        </w:rPr>
      </w:pPr>
    </w:p>
    <w:p w14:paraId="3B1A9D5D" w14:textId="77777777" w:rsidR="00F3376F" w:rsidRDefault="00F3376F" w:rsidP="009E35D6">
      <w:pPr>
        <w:tabs>
          <w:tab w:val="left" w:pos="8647"/>
        </w:tabs>
        <w:spacing w:after="0" w:line="360" w:lineRule="auto"/>
        <w:ind w:right="51"/>
        <w:jc w:val="both"/>
        <w:rPr>
          <w:rFonts w:ascii="Palatino Linotype" w:hAnsi="Palatino Linotype" w:cs="Arial"/>
          <w:b/>
          <w:sz w:val="28"/>
          <w:szCs w:val="24"/>
        </w:rPr>
      </w:pPr>
    </w:p>
    <w:p w14:paraId="0663545C" w14:textId="278D1340" w:rsidR="0009491C" w:rsidRDefault="0009491C" w:rsidP="009E35D6">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F3376F">
        <w:rPr>
          <w:rFonts w:ascii="Palatino Linotype" w:hAnsi="Palatino Linotype" w:cs="Arial"/>
          <w:sz w:val="24"/>
          <w:szCs w:val="24"/>
        </w:rPr>
        <w:t>el</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9E35D6">
      <w:pPr>
        <w:tabs>
          <w:tab w:val="left" w:pos="8647"/>
        </w:tabs>
        <w:spacing w:after="0" w:line="360" w:lineRule="auto"/>
        <w:ind w:right="51"/>
        <w:jc w:val="both"/>
        <w:rPr>
          <w:rFonts w:ascii="Palatino Linotype" w:hAnsi="Palatino Linotype" w:cs="Arial"/>
          <w:sz w:val="24"/>
          <w:szCs w:val="24"/>
        </w:rPr>
      </w:pPr>
    </w:p>
    <w:p w14:paraId="670C2B2A" w14:textId="0B3CFB0A" w:rsidR="0009491C" w:rsidRPr="00360DF2" w:rsidRDefault="0009491C" w:rsidP="009E35D6">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w:t>
      </w:r>
      <w:r w:rsidR="00747655">
        <w:rPr>
          <w:rFonts w:ascii="Palatino Linotype" w:hAnsi="Palatino Linotype" w:cs="Arial"/>
          <w:sz w:val="24"/>
          <w:szCs w:val="24"/>
        </w:rPr>
        <w:t xml:space="preserve">s solicitudes de información </w:t>
      </w:r>
      <w:r w:rsidR="00F3376F" w:rsidRPr="00F3376F">
        <w:rPr>
          <w:rFonts w:ascii="Palatino Linotype" w:hAnsi="Palatino Linotype" w:cs="Arial"/>
          <w:b/>
          <w:bCs/>
          <w:sz w:val="24"/>
          <w:szCs w:val="24"/>
        </w:rPr>
        <w:t>00214/TEPOTZOT/IP/2024 y 00215/TEPOTZOT/IP/2024</w:t>
      </w:r>
      <w:r w:rsidR="00747655">
        <w:rPr>
          <w:rFonts w:ascii="Palatino Linotype" w:hAnsi="Palatino Linotype" w:cs="Arial"/>
          <w:b/>
          <w:bCs/>
          <w:sz w:val="24"/>
          <w:szCs w:val="24"/>
        </w:rPr>
        <w:t xml:space="preserve">, </w:t>
      </w:r>
      <w:r w:rsidR="004D1A2D" w:rsidRPr="00360DF2">
        <w:rPr>
          <w:rFonts w:ascii="Palatino Linotype" w:hAnsi="Palatino Linotype" w:cs="Arial"/>
          <w:sz w:val="24"/>
          <w:szCs w:val="24"/>
        </w:rPr>
        <w:t xml:space="preserve">vía Sistema de Acceso a la Información Mexiquense </w:t>
      </w:r>
      <w:r w:rsidR="004D1A2D" w:rsidRPr="00F3376F">
        <w:rPr>
          <w:rFonts w:ascii="Palatino Linotype" w:hAnsi="Palatino Linotype" w:cs="Arial"/>
          <w:b/>
          <w:sz w:val="24"/>
          <w:szCs w:val="24"/>
        </w:rPr>
        <w:t>(SAIMEX)</w:t>
      </w:r>
      <w:r w:rsidR="004D1A2D">
        <w:rPr>
          <w:rFonts w:ascii="Palatino Linotype" w:hAnsi="Palatino Linotype" w:cs="Arial"/>
          <w:sz w:val="24"/>
          <w:szCs w:val="24"/>
        </w:rPr>
        <w:t xml:space="preserve">, </w:t>
      </w:r>
      <w:r w:rsidRPr="00360DF2">
        <w:rPr>
          <w:rFonts w:ascii="Palatino Linotype" w:hAnsi="Palatino Linotype" w:cs="Arial"/>
          <w:sz w:val="24"/>
          <w:szCs w:val="24"/>
        </w:rPr>
        <w:t xml:space="preserve">en términos del Considerando </w:t>
      </w:r>
      <w:r w:rsidR="00E14C9D">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58E0DB19" w14:textId="77777777" w:rsidR="0009491C" w:rsidRPr="00360DF2" w:rsidRDefault="0009491C" w:rsidP="009E35D6">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9E35D6">
      <w:pPr>
        <w:tabs>
          <w:tab w:val="left" w:pos="8647"/>
        </w:tabs>
        <w:spacing w:after="0" w:line="360" w:lineRule="auto"/>
        <w:ind w:right="51"/>
        <w:jc w:val="both"/>
        <w:rPr>
          <w:rFonts w:ascii="Palatino Linotype" w:hAnsi="Palatino Linotype" w:cs="Arial"/>
          <w:sz w:val="24"/>
          <w:szCs w:val="24"/>
        </w:rPr>
      </w:pPr>
      <w:r w:rsidRPr="00F3376F">
        <w:rPr>
          <w:rFonts w:ascii="Palatino Linotype" w:hAnsi="Palatino Linotype"/>
          <w:b/>
          <w:sz w:val="28"/>
          <w:szCs w:val="28"/>
          <w:lang w:eastAsia="es-ES_tradnl"/>
        </w:rPr>
        <w:t>TERCERO</w:t>
      </w:r>
      <w:r w:rsidRPr="00F3376F">
        <w:rPr>
          <w:rFonts w:ascii="Palatino Linotype" w:hAnsi="Palatino Linotype"/>
          <w:sz w:val="28"/>
          <w:szCs w:val="28"/>
          <w:lang w:eastAsia="es-ES_tradnl"/>
        </w:rPr>
        <w:t>.</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9E35D6">
      <w:pPr>
        <w:spacing w:after="0" w:line="360" w:lineRule="auto"/>
        <w:jc w:val="both"/>
        <w:rPr>
          <w:rFonts w:ascii="Palatino Linotype" w:hAnsi="Palatino Linotype"/>
          <w:sz w:val="24"/>
          <w:szCs w:val="24"/>
          <w:lang w:eastAsia="es-ES_tradnl"/>
        </w:rPr>
      </w:pPr>
    </w:p>
    <w:p w14:paraId="0713D147" w14:textId="77777777" w:rsidR="00F3376F" w:rsidRDefault="00F3376F" w:rsidP="009E35D6">
      <w:pPr>
        <w:tabs>
          <w:tab w:val="left" w:pos="8647"/>
        </w:tabs>
        <w:spacing w:after="0" w:line="360" w:lineRule="auto"/>
        <w:ind w:right="51"/>
        <w:jc w:val="both"/>
        <w:rPr>
          <w:rFonts w:ascii="Palatino Linotype" w:hAnsi="Palatino Linotype"/>
          <w:b/>
          <w:sz w:val="28"/>
          <w:szCs w:val="24"/>
          <w:lang w:eastAsia="es-ES_tradnl"/>
        </w:rPr>
      </w:pPr>
    </w:p>
    <w:p w14:paraId="1E505821" w14:textId="77777777" w:rsidR="00F3376F" w:rsidRDefault="00F3376F" w:rsidP="009E35D6">
      <w:pPr>
        <w:tabs>
          <w:tab w:val="left" w:pos="8647"/>
        </w:tabs>
        <w:spacing w:after="0" w:line="360" w:lineRule="auto"/>
        <w:ind w:right="51"/>
        <w:jc w:val="both"/>
        <w:rPr>
          <w:rFonts w:ascii="Palatino Linotype" w:hAnsi="Palatino Linotype"/>
          <w:b/>
          <w:sz w:val="28"/>
          <w:szCs w:val="24"/>
          <w:lang w:eastAsia="es-ES_tradnl"/>
        </w:rPr>
      </w:pPr>
    </w:p>
    <w:p w14:paraId="6CE3C656" w14:textId="5B345BBC" w:rsidR="0009491C" w:rsidRPr="004D1A2D" w:rsidRDefault="0009491C" w:rsidP="009E35D6">
      <w:pPr>
        <w:tabs>
          <w:tab w:val="left" w:pos="8647"/>
        </w:tabs>
        <w:spacing w:after="0" w:line="360" w:lineRule="auto"/>
        <w:ind w:right="51"/>
        <w:jc w:val="both"/>
        <w:rPr>
          <w:rFonts w:ascii="Palatino Linotype" w:hAnsi="Palatino Linotype" w:cs="Arial"/>
          <w:sz w:val="24"/>
          <w:szCs w:val="24"/>
        </w:rPr>
      </w:pPr>
      <w:r w:rsidRPr="00F3376F">
        <w:rPr>
          <w:rFonts w:ascii="Palatino Linotype" w:hAnsi="Palatino Linotype"/>
          <w:b/>
          <w:sz w:val="28"/>
          <w:szCs w:val="28"/>
          <w:lang w:eastAsia="es-ES_tradnl"/>
        </w:rPr>
        <w:t>CUARTO</w:t>
      </w:r>
      <w:r w:rsidRPr="00F3376F">
        <w:rPr>
          <w:rFonts w:ascii="Palatino Linotype" w:hAnsi="Palatino Linotype"/>
          <w:sz w:val="28"/>
          <w:szCs w:val="28"/>
          <w:lang w:eastAsia="es-ES_tradnl"/>
        </w:rPr>
        <w:t>.</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 xml:space="preserve">al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9E35D6">
      <w:pPr>
        <w:spacing w:after="0" w:line="360" w:lineRule="auto"/>
        <w:jc w:val="both"/>
        <w:rPr>
          <w:rFonts w:ascii="Palatino Linotype" w:hAnsi="Palatino Linotype"/>
          <w:sz w:val="24"/>
          <w:szCs w:val="24"/>
          <w:lang w:eastAsia="es-ES_tradnl"/>
        </w:rPr>
      </w:pPr>
    </w:p>
    <w:p w14:paraId="6F8B2CB0" w14:textId="6BCCD323" w:rsidR="004D1A2D" w:rsidRDefault="0009491C" w:rsidP="009E35D6">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del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9E35D6">
      <w:pPr>
        <w:spacing w:after="0" w:line="360" w:lineRule="auto"/>
        <w:jc w:val="both"/>
        <w:rPr>
          <w:rFonts w:ascii="Palatino Linotype" w:hAnsi="Palatino Linotype"/>
          <w:sz w:val="24"/>
          <w:szCs w:val="24"/>
          <w:lang w:eastAsia="es-ES_tradnl"/>
        </w:rPr>
      </w:pPr>
    </w:p>
    <w:p w14:paraId="2A141894" w14:textId="001D9302" w:rsidR="0009491C" w:rsidRPr="00FB2EA3" w:rsidRDefault="004D1A2D" w:rsidP="009E35D6">
      <w:pPr>
        <w:spacing w:after="0" w:line="360" w:lineRule="auto"/>
        <w:jc w:val="both"/>
        <w:rPr>
          <w:rFonts w:ascii="Palatino Linotype" w:hAnsi="Palatino Linotype"/>
          <w:sz w:val="24"/>
          <w:szCs w:val="24"/>
          <w:lang w:eastAsia="es-ES_tradnl"/>
        </w:rPr>
      </w:pPr>
      <w:r w:rsidRPr="00F3376F">
        <w:rPr>
          <w:rFonts w:ascii="Palatino Linotype" w:hAnsi="Palatino Linotype"/>
          <w:b/>
          <w:sz w:val="28"/>
          <w:szCs w:val="24"/>
          <w:lang w:eastAsia="es-ES_tradnl"/>
        </w:rPr>
        <w:t>SEXTO</w:t>
      </w:r>
      <w:r w:rsidRPr="00F3376F">
        <w:rPr>
          <w:rFonts w:ascii="Palatino Linotype" w:hAnsi="Palatino Linotype"/>
          <w:sz w:val="28"/>
          <w:szCs w:val="24"/>
          <w:lang w:eastAsia="es-ES_tradnl"/>
        </w:rPr>
        <w:t>.</w:t>
      </w:r>
      <w:r w:rsidRPr="00F3376F">
        <w:rPr>
          <w:rFonts w:ascii="Palatino Linotype" w:hAnsi="Palatino Linotype"/>
          <w:sz w:val="32"/>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E14C9D">
        <w:rPr>
          <w:rFonts w:ascii="Palatino Linotype" w:hAnsi="Palatino Linotype"/>
          <w:b/>
          <w:bCs/>
          <w:sz w:val="24"/>
          <w:szCs w:val="24"/>
          <w:lang w:eastAsia="es-ES_tradnl"/>
        </w:rPr>
        <w:t xml:space="preserve">Considerando </w:t>
      </w:r>
      <w:r w:rsidRPr="00E14C9D">
        <w:rPr>
          <w:rFonts w:ascii="Palatino Linotype" w:hAnsi="Palatino Linotype"/>
          <w:b/>
          <w:bCs/>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58D2CE60" w14:textId="77777777" w:rsidR="0009491C" w:rsidRPr="00360DF2" w:rsidRDefault="0009491C" w:rsidP="009E35D6">
      <w:pPr>
        <w:spacing w:after="0" w:line="360" w:lineRule="auto"/>
        <w:jc w:val="both"/>
        <w:rPr>
          <w:rFonts w:ascii="Palatino Linotype" w:hAnsi="Palatino Linotype"/>
          <w:sz w:val="24"/>
          <w:szCs w:val="24"/>
          <w:lang w:eastAsia="es-ES_tradnl"/>
        </w:rPr>
      </w:pPr>
    </w:p>
    <w:p w14:paraId="0B519A78" w14:textId="77777777" w:rsidR="00F3376F" w:rsidRDefault="00F3376F" w:rsidP="009E35D6">
      <w:pPr>
        <w:pStyle w:val="Prrafodelista"/>
        <w:autoSpaceDE w:val="0"/>
        <w:autoSpaceDN w:val="0"/>
        <w:adjustRightInd w:val="0"/>
        <w:spacing w:line="360" w:lineRule="auto"/>
        <w:ind w:left="0"/>
        <w:jc w:val="both"/>
        <w:rPr>
          <w:rFonts w:ascii="Palatino Linotype" w:hAnsi="Palatino Linotype" w:cs="Arial"/>
          <w:sz w:val="23"/>
          <w:szCs w:val="23"/>
          <w:lang w:val="es-MX"/>
        </w:rPr>
      </w:pPr>
    </w:p>
    <w:p w14:paraId="549FB513" w14:textId="77777777" w:rsidR="00F3376F" w:rsidRDefault="00F3376F" w:rsidP="009E35D6">
      <w:pPr>
        <w:pStyle w:val="Prrafodelista"/>
        <w:autoSpaceDE w:val="0"/>
        <w:autoSpaceDN w:val="0"/>
        <w:adjustRightInd w:val="0"/>
        <w:spacing w:line="360" w:lineRule="auto"/>
        <w:ind w:left="0"/>
        <w:jc w:val="both"/>
        <w:rPr>
          <w:rFonts w:ascii="Palatino Linotype" w:hAnsi="Palatino Linotype" w:cs="Arial"/>
          <w:sz w:val="23"/>
          <w:szCs w:val="23"/>
          <w:lang w:val="es-MX"/>
        </w:rPr>
      </w:pPr>
    </w:p>
    <w:p w14:paraId="0DF27EAF" w14:textId="77777777" w:rsidR="00F3376F" w:rsidRDefault="00F3376F" w:rsidP="009E35D6">
      <w:pPr>
        <w:pStyle w:val="Prrafodelista"/>
        <w:autoSpaceDE w:val="0"/>
        <w:autoSpaceDN w:val="0"/>
        <w:adjustRightInd w:val="0"/>
        <w:spacing w:line="360" w:lineRule="auto"/>
        <w:ind w:left="0"/>
        <w:jc w:val="both"/>
        <w:rPr>
          <w:rFonts w:ascii="Palatino Linotype" w:hAnsi="Palatino Linotype" w:cs="Arial"/>
          <w:sz w:val="23"/>
          <w:szCs w:val="23"/>
          <w:lang w:val="es-MX"/>
        </w:rPr>
      </w:pPr>
    </w:p>
    <w:p w14:paraId="2AF2BED1" w14:textId="77777777" w:rsidR="00F3376F" w:rsidRDefault="00F3376F" w:rsidP="009E35D6">
      <w:pPr>
        <w:pStyle w:val="Prrafodelista"/>
        <w:autoSpaceDE w:val="0"/>
        <w:autoSpaceDN w:val="0"/>
        <w:adjustRightInd w:val="0"/>
        <w:spacing w:line="360" w:lineRule="auto"/>
        <w:ind w:left="0"/>
        <w:jc w:val="both"/>
        <w:rPr>
          <w:rFonts w:ascii="Palatino Linotype" w:hAnsi="Palatino Linotype" w:cs="Arial"/>
          <w:sz w:val="23"/>
          <w:szCs w:val="23"/>
          <w:lang w:val="es-MX"/>
        </w:rPr>
      </w:pPr>
    </w:p>
    <w:p w14:paraId="3D8F1717" w14:textId="77777777" w:rsidR="00F3376F" w:rsidRDefault="00F3376F" w:rsidP="009E35D6">
      <w:pPr>
        <w:pStyle w:val="Prrafodelista"/>
        <w:autoSpaceDE w:val="0"/>
        <w:autoSpaceDN w:val="0"/>
        <w:adjustRightInd w:val="0"/>
        <w:spacing w:line="360" w:lineRule="auto"/>
        <w:ind w:left="0"/>
        <w:jc w:val="both"/>
        <w:rPr>
          <w:rFonts w:ascii="Palatino Linotype" w:hAnsi="Palatino Linotype" w:cs="Arial"/>
          <w:sz w:val="23"/>
          <w:szCs w:val="23"/>
          <w:lang w:val="es-MX"/>
        </w:rPr>
      </w:pPr>
    </w:p>
    <w:p w14:paraId="180C9E54" w14:textId="31CF2563" w:rsidR="00E14C9D" w:rsidRPr="00F9134D" w:rsidRDefault="00E14C9D" w:rsidP="009E35D6">
      <w:pPr>
        <w:pStyle w:val="Prrafodelista"/>
        <w:autoSpaceDE w:val="0"/>
        <w:autoSpaceDN w:val="0"/>
        <w:adjustRightInd w:val="0"/>
        <w:spacing w:line="360" w:lineRule="auto"/>
        <w:ind w:left="0"/>
        <w:jc w:val="both"/>
        <w:rPr>
          <w:rFonts w:ascii="Palatino Linotype" w:hAnsi="Palatino Linotype" w:cs="Arial"/>
          <w:sz w:val="23"/>
          <w:szCs w:val="23"/>
          <w:lang w:val="es-MX"/>
        </w:rPr>
      </w:pPr>
      <w:r w:rsidRPr="00F9134D">
        <w:rPr>
          <w:rFonts w:ascii="Palatino Linotype" w:hAnsi="Palatino Linotype" w:cs="Arial"/>
          <w:sz w:val="23"/>
          <w:szCs w:val="23"/>
          <w:lang w:val="es-MX"/>
        </w:rPr>
        <w:t>ASÍ LO ACORDÓ, POR UNANIMIDAD DE VOTOS, EL PLENO DEL</w:t>
      </w:r>
      <w:r w:rsidRPr="00F9134D">
        <w:rPr>
          <w:rFonts w:ascii="Palatino Linotype" w:eastAsia="Arial Unicode MS" w:hAnsi="Palatino Linotype" w:cs="Arial"/>
          <w:sz w:val="23"/>
          <w:szCs w:val="23"/>
          <w:lang w:val="es-MX"/>
        </w:rPr>
        <w:t xml:space="preserve"> INSTITUTO DE TRANSPARENCIA, ACCESO A LA INFORMACIÓN PÚBLICA Y PROTECCIÓN DE DATOS PERSONALES DEL ESTADO DE MÉXICO Y MUNICIPIOS</w:t>
      </w:r>
      <w:r w:rsidRPr="00F9134D">
        <w:rPr>
          <w:rFonts w:ascii="Palatino Linotype" w:hAnsi="Palatino Linotype" w:cs="Arial"/>
          <w:sz w:val="23"/>
          <w:szCs w:val="23"/>
          <w:lang w:val="es-MX"/>
        </w:rPr>
        <w:t xml:space="preserve">, CONFORMADO POR LOS COMISIONADOS JOSÉ MARTÍNEZ VILCHIS, MARÍA DEL ROSARIO MEJÍA AYALA, SHARON CRISTINA MORALES MARTÍNEZ, LUIS GUSTAVO PARRA NORIEGA Y GUADALUPE RAMÍREZ PEÑA; EN LA </w:t>
      </w:r>
      <w:r w:rsidR="00001FDC" w:rsidRPr="00F3376F">
        <w:rPr>
          <w:rFonts w:ascii="Palatino Linotype" w:hAnsi="Palatino Linotype" w:cs="Arial"/>
          <w:b/>
          <w:sz w:val="23"/>
          <w:szCs w:val="23"/>
          <w:lang w:val="es-MX"/>
        </w:rPr>
        <w:t xml:space="preserve">TRIGÉSIMA </w:t>
      </w:r>
      <w:r w:rsidR="00F3376F" w:rsidRPr="00F3376F">
        <w:rPr>
          <w:rFonts w:ascii="Palatino Linotype" w:hAnsi="Palatino Linotype" w:cs="Arial"/>
          <w:b/>
          <w:sz w:val="23"/>
          <w:szCs w:val="23"/>
          <w:lang w:val="es-MX"/>
        </w:rPr>
        <w:t>QUINT</w:t>
      </w:r>
      <w:r w:rsidR="00F9134D" w:rsidRPr="00F3376F">
        <w:rPr>
          <w:rFonts w:ascii="Palatino Linotype" w:hAnsi="Palatino Linotype" w:cs="Arial"/>
          <w:b/>
          <w:sz w:val="23"/>
          <w:szCs w:val="23"/>
          <w:lang w:val="es-MX"/>
        </w:rPr>
        <w:t>A</w:t>
      </w:r>
      <w:r w:rsidR="00F9134D" w:rsidRPr="00F9134D">
        <w:rPr>
          <w:rFonts w:ascii="Palatino Linotype" w:hAnsi="Palatino Linotype" w:cs="Arial"/>
          <w:sz w:val="23"/>
          <w:szCs w:val="23"/>
          <w:lang w:val="es-MX"/>
        </w:rPr>
        <w:t xml:space="preserve"> </w:t>
      </w:r>
      <w:r w:rsidRPr="00F9134D">
        <w:rPr>
          <w:rFonts w:ascii="Palatino Linotype" w:hAnsi="Palatino Linotype" w:cs="Arial"/>
          <w:sz w:val="23"/>
          <w:szCs w:val="23"/>
          <w:lang w:val="es-MX"/>
        </w:rPr>
        <w:t xml:space="preserve">SESIÓN ORDINARIA CELEBRADA EL </w:t>
      </w:r>
      <w:r w:rsidR="00F3376F" w:rsidRPr="00F3376F">
        <w:rPr>
          <w:rFonts w:ascii="Palatino Linotype" w:hAnsi="Palatino Linotype" w:cs="Arial"/>
          <w:b/>
          <w:sz w:val="23"/>
          <w:szCs w:val="23"/>
          <w:lang w:val="es-MX"/>
        </w:rPr>
        <w:t>TRES</w:t>
      </w:r>
      <w:r w:rsidR="00F9134D" w:rsidRPr="00F3376F">
        <w:rPr>
          <w:rFonts w:ascii="Palatino Linotype" w:hAnsi="Palatino Linotype" w:cs="Arial"/>
          <w:b/>
          <w:sz w:val="23"/>
          <w:szCs w:val="23"/>
          <w:lang w:val="es-MX"/>
        </w:rPr>
        <w:t xml:space="preserve"> DE </w:t>
      </w:r>
      <w:r w:rsidR="00F3376F" w:rsidRPr="00F3376F">
        <w:rPr>
          <w:rFonts w:ascii="Palatino Linotype" w:hAnsi="Palatino Linotype" w:cs="Arial"/>
          <w:b/>
          <w:sz w:val="23"/>
          <w:szCs w:val="23"/>
          <w:lang w:val="es-MX"/>
        </w:rPr>
        <w:t>OCTU</w:t>
      </w:r>
      <w:r w:rsidR="00F9134D" w:rsidRPr="00F3376F">
        <w:rPr>
          <w:rFonts w:ascii="Palatino Linotype" w:hAnsi="Palatino Linotype" w:cs="Arial"/>
          <w:b/>
          <w:sz w:val="23"/>
          <w:szCs w:val="23"/>
          <w:lang w:val="es-MX"/>
        </w:rPr>
        <w:t>BRE</w:t>
      </w:r>
      <w:r w:rsidRPr="00F3376F">
        <w:rPr>
          <w:rFonts w:ascii="Palatino Linotype" w:hAnsi="Palatino Linotype" w:cs="Arial"/>
          <w:b/>
          <w:sz w:val="23"/>
          <w:szCs w:val="23"/>
          <w:lang w:val="es-MX"/>
        </w:rPr>
        <w:t xml:space="preserve"> DE DOS MIL VEINTICUATRO</w:t>
      </w:r>
      <w:r w:rsidRPr="00F9134D">
        <w:rPr>
          <w:rFonts w:ascii="Palatino Linotype" w:hAnsi="Palatino Linotype" w:cs="Arial"/>
          <w:sz w:val="23"/>
          <w:szCs w:val="23"/>
          <w:lang w:val="es-MX"/>
        </w:rPr>
        <w:t>, ANTE EL SECRETARIO TÉCNICO DEL PLENO, ALEXIS TAPIA RAMÍREZ.</w:t>
      </w:r>
      <w:r w:rsidR="00F3376F">
        <w:rPr>
          <w:rFonts w:ascii="Palatino Linotype" w:hAnsi="Palatino Linotype" w:cs="Arial"/>
          <w:sz w:val="23"/>
          <w:szCs w:val="23"/>
          <w:lang w:val="es-MX"/>
        </w:rPr>
        <w:t>--------------------------------------------------------------------------------------------------------------------------------------------------------------------------------------------------------------------------------------------------------------------------------------------------------------------------------------------------------------------------------------------------------------------------------------------------------------------------------------------------------</w:t>
      </w:r>
      <w:r w:rsidR="00F3376F" w:rsidRPr="00F3376F">
        <w:rPr>
          <w:rFonts w:ascii="Palatino Linotype" w:hAnsi="Palatino Linotype" w:cs="Arial"/>
          <w:sz w:val="23"/>
          <w:szCs w:val="23"/>
          <w:lang w:val="es-MX"/>
        </w:rPr>
        <w:t xml:space="preserve"> </w:t>
      </w:r>
      <w:r w:rsidR="00F3376F">
        <w:rPr>
          <w:rFonts w:ascii="Palatino Linotype" w:hAnsi="Palatino Linotype" w:cs="Arial"/>
          <w:sz w:val="23"/>
          <w:szCs w:val="23"/>
          <w:lang w:val="es-MX"/>
        </w:rPr>
        <w:t>--------------------------------------------------------------------------------------------------------------------------------------------------------------------------------------------------------------------------------------------------------------------------------------------------------------------------------------------------------------------------------------------------------------------------------------------------------------------------------------------------------------------------------------------------------------------------------------------------------------------------------------------------------------------------------------------------------------------------------------------------------------------------------------------------------------------------------------------------------------------------------------------------------------------------------------------------------------------------------------------------------------------------------------------------------------------------------------------------------------------------------------------------------------------------------------------------------------------------------------------------------------------------------------------------------------------------------------------------</w:t>
      </w:r>
      <w:r w:rsidRPr="00F9134D">
        <w:rPr>
          <w:rFonts w:ascii="Palatino Linotype" w:hAnsi="Palatino Linotype" w:cs="Arial"/>
          <w:sz w:val="23"/>
          <w:szCs w:val="23"/>
          <w:lang w:val="es-MX"/>
        </w:rPr>
        <w:t xml:space="preserve"> </w:t>
      </w:r>
    </w:p>
    <w:p w14:paraId="3722CDE3" w14:textId="0C111E37" w:rsidR="00E14C9D" w:rsidRPr="00705FE6" w:rsidRDefault="003D4F2A" w:rsidP="009E35D6">
      <w:pPr>
        <w:pStyle w:val="Prrafodelista"/>
        <w:autoSpaceDE w:val="0"/>
        <w:autoSpaceDN w:val="0"/>
        <w:adjustRightInd w:val="0"/>
        <w:spacing w:line="360" w:lineRule="auto"/>
        <w:ind w:left="0"/>
        <w:jc w:val="both"/>
        <w:rPr>
          <w:rFonts w:ascii="Palatino Linotype" w:hAnsi="Palatino Linotype"/>
          <w:bCs/>
          <w:sz w:val="18"/>
          <w:szCs w:val="18"/>
          <w:lang w:val="es-MX"/>
        </w:rPr>
      </w:pPr>
      <w:r>
        <w:rPr>
          <w:rFonts w:ascii="Palatino Linotype" w:hAnsi="Palatino Linotype"/>
          <w:bCs/>
          <w:sz w:val="18"/>
          <w:szCs w:val="18"/>
          <w:lang w:val="es-MX"/>
        </w:rPr>
        <w:t>JMV/</w:t>
      </w:r>
      <w:r w:rsidR="00E14C9D" w:rsidRPr="00705FE6">
        <w:rPr>
          <w:rFonts w:ascii="Palatino Linotype" w:hAnsi="Palatino Linotype"/>
          <w:bCs/>
          <w:sz w:val="18"/>
          <w:szCs w:val="18"/>
          <w:lang w:val="es-MX"/>
        </w:rPr>
        <w:t>CCR/</w:t>
      </w:r>
      <w:r w:rsidR="007B0E62">
        <w:rPr>
          <w:rFonts w:ascii="Palatino Linotype" w:hAnsi="Palatino Linotype"/>
          <w:bCs/>
          <w:sz w:val="18"/>
          <w:szCs w:val="18"/>
          <w:lang w:val="es-MX"/>
        </w:rPr>
        <w:t>BPAC</w:t>
      </w:r>
    </w:p>
    <w:p w14:paraId="26710BC7" w14:textId="6DB0960A" w:rsidR="0009491C" w:rsidRPr="00360DF2" w:rsidRDefault="0009491C" w:rsidP="009E35D6">
      <w:pPr>
        <w:spacing w:after="0" w:line="360" w:lineRule="auto"/>
        <w:jc w:val="both"/>
        <w:rPr>
          <w:rFonts w:ascii="Palatino Linotype" w:hAnsi="Palatino Linotype" w:cs="Arial"/>
          <w:sz w:val="24"/>
          <w:szCs w:val="24"/>
        </w:rPr>
      </w:pPr>
    </w:p>
    <w:p w14:paraId="59DD94E1" w14:textId="77777777" w:rsidR="0009491C" w:rsidRPr="00360DF2" w:rsidRDefault="0009491C" w:rsidP="009E35D6">
      <w:pPr>
        <w:spacing w:after="0" w:line="360" w:lineRule="auto"/>
        <w:jc w:val="both"/>
        <w:rPr>
          <w:rFonts w:ascii="Palatino Linotype" w:hAnsi="Palatino Linotype" w:cs="Arial"/>
          <w:sz w:val="24"/>
          <w:szCs w:val="24"/>
        </w:rPr>
      </w:pPr>
    </w:p>
    <w:p w14:paraId="24A54F6F" w14:textId="77777777" w:rsidR="0009491C" w:rsidRPr="00360DF2" w:rsidRDefault="0009491C" w:rsidP="009E35D6">
      <w:pPr>
        <w:spacing w:after="0" w:line="360" w:lineRule="auto"/>
        <w:jc w:val="both"/>
        <w:rPr>
          <w:rFonts w:ascii="Palatino Linotype" w:hAnsi="Palatino Linotype" w:cs="Arial"/>
          <w:sz w:val="24"/>
          <w:szCs w:val="24"/>
        </w:rPr>
      </w:pPr>
    </w:p>
    <w:p w14:paraId="74E52B0A" w14:textId="77777777" w:rsidR="0009491C" w:rsidRPr="00360DF2" w:rsidRDefault="0009491C" w:rsidP="009E35D6">
      <w:pPr>
        <w:spacing w:after="0"/>
        <w:rPr>
          <w:rFonts w:ascii="Palatino Linotype" w:hAnsi="Palatino Linotype"/>
        </w:rPr>
      </w:pPr>
    </w:p>
    <w:p w14:paraId="16B1170C" w14:textId="77777777" w:rsidR="0009491C" w:rsidRPr="00360DF2" w:rsidRDefault="0009491C" w:rsidP="009E35D6">
      <w:pPr>
        <w:spacing w:after="0"/>
        <w:rPr>
          <w:rFonts w:ascii="Palatino Linotype" w:hAnsi="Palatino Linotype"/>
        </w:rPr>
      </w:pPr>
    </w:p>
    <w:p w14:paraId="22CDD6F1" w14:textId="77777777" w:rsidR="0009491C" w:rsidRPr="00360DF2" w:rsidRDefault="0009491C" w:rsidP="009E35D6">
      <w:pPr>
        <w:spacing w:after="0"/>
        <w:rPr>
          <w:rFonts w:ascii="Palatino Linotype" w:hAnsi="Palatino Linotype"/>
        </w:rPr>
      </w:pPr>
    </w:p>
    <w:p w14:paraId="4DBB9C23" w14:textId="77777777" w:rsidR="0009491C" w:rsidRPr="00360DF2" w:rsidRDefault="0009491C" w:rsidP="009E35D6">
      <w:pPr>
        <w:spacing w:after="0"/>
        <w:rPr>
          <w:rFonts w:ascii="Palatino Linotype" w:hAnsi="Palatino Linotype"/>
        </w:rPr>
      </w:pPr>
    </w:p>
    <w:p w14:paraId="3161DA96" w14:textId="77777777" w:rsidR="0009491C" w:rsidRPr="00360DF2" w:rsidRDefault="0009491C" w:rsidP="009E35D6">
      <w:pPr>
        <w:spacing w:after="0"/>
        <w:rPr>
          <w:rFonts w:ascii="Palatino Linotype" w:hAnsi="Palatino Linotype"/>
        </w:rPr>
      </w:pPr>
    </w:p>
    <w:p w14:paraId="120B673D" w14:textId="77777777" w:rsidR="0009491C" w:rsidRPr="00360DF2" w:rsidRDefault="0009491C" w:rsidP="009E35D6">
      <w:pPr>
        <w:spacing w:after="0"/>
        <w:rPr>
          <w:rFonts w:ascii="Palatino Linotype" w:hAnsi="Palatino Linotype"/>
        </w:rPr>
      </w:pPr>
    </w:p>
    <w:p w14:paraId="5A845238" w14:textId="77777777" w:rsidR="0009491C" w:rsidRPr="00360DF2" w:rsidRDefault="0009491C" w:rsidP="009E35D6">
      <w:pPr>
        <w:spacing w:after="0"/>
        <w:rPr>
          <w:rFonts w:ascii="Palatino Linotype" w:hAnsi="Palatino Linotype"/>
        </w:rPr>
      </w:pPr>
    </w:p>
    <w:p w14:paraId="21531DFD" w14:textId="77777777" w:rsidR="0009491C" w:rsidRPr="00360DF2" w:rsidRDefault="0009491C" w:rsidP="009E35D6">
      <w:pPr>
        <w:spacing w:after="0"/>
        <w:rPr>
          <w:rFonts w:ascii="Palatino Linotype" w:hAnsi="Palatino Linotype"/>
        </w:rPr>
      </w:pPr>
    </w:p>
    <w:p w14:paraId="0CB23F1E" w14:textId="77777777" w:rsidR="0009491C" w:rsidRPr="00360DF2" w:rsidRDefault="0009491C" w:rsidP="009E35D6">
      <w:pPr>
        <w:spacing w:after="0"/>
        <w:rPr>
          <w:rFonts w:ascii="Palatino Linotype" w:hAnsi="Palatino Linotype"/>
        </w:rPr>
      </w:pPr>
    </w:p>
    <w:p w14:paraId="2D2C0AF6" w14:textId="77777777" w:rsidR="0009491C" w:rsidRPr="00360DF2" w:rsidRDefault="0009491C" w:rsidP="009E35D6">
      <w:pPr>
        <w:spacing w:after="0"/>
        <w:rPr>
          <w:rFonts w:ascii="Palatino Linotype" w:hAnsi="Palatino Linotype"/>
        </w:rPr>
      </w:pPr>
    </w:p>
    <w:p w14:paraId="77A3B578" w14:textId="77777777" w:rsidR="00DC59ED" w:rsidRDefault="00DC59ED" w:rsidP="009E35D6">
      <w:pPr>
        <w:spacing w:after="0"/>
      </w:pPr>
    </w:p>
    <w:p w14:paraId="782ED6E4" w14:textId="77777777" w:rsidR="006415FA" w:rsidRDefault="006415FA" w:rsidP="009E35D6">
      <w:pPr>
        <w:spacing w:after="0"/>
      </w:pPr>
    </w:p>
    <w:p w14:paraId="17453EFF" w14:textId="77777777" w:rsidR="006415FA" w:rsidRDefault="006415FA" w:rsidP="009E35D6">
      <w:pPr>
        <w:spacing w:after="0"/>
      </w:pPr>
    </w:p>
    <w:p w14:paraId="33F0DD5E" w14:textId="77777777" w:rsidR="006415FA" w:rsidRDefault="006415FA" w:rsidP="009E35D6">
      <w:pPr>
        <w:spacing w:after="0"/>
      </w:pPr>
    </w:p>
    <w:p w14:paraId="71ECF161" w14:textId="77777777" w:rsidR="006415FA" w:rsidRDefault="006415FA" w:rsidP="009E35D6">
      <w:pPr>
        <w:spacing w:after="0"/>
      </w:pPr>
    </w:p>
    <w:p w14:paraId="3B595424" w14:textId="77777777" w:rsidR="006415FA" w:rsidRDefault="006415FA" w:rsidP="009E35D6">
      <w:pPr>
        <w:spacing w:after="0"/>
      </w:pPr>
    </w:p>
    <w:p w14:paraId="5AECC86B" w14:textId="77777777" w:rsidR="006415FA" w:rsidRDefault="006415FA" w:rsidP="009E35D6">
      <w:pPr>
        <w:spacing w:after="0"/>
      </w:pPr>
    </w:p>
    <w:p w14:paraId="29F6F776" w14:textId="77777777" w:rsidR="006415FA" w:rsidRDefault="006415FA" w:rsidP="009E35D6">
      <w:pPr>
        <w:spacing w:after="0"/>
      </w:pPr>
    </w:p>
    <w:p w14:paraId="0E02C4CF" w14:textId="77777777" w:rsidR="006415FA" w:rsidRDefault="006415FA" w:rsidP="009E35D6">
      <w:pPr>
        <w:spacing w:after="0"/>
      </w:pPr>
    </w:p>
    <w:p w14:paraId="3E1BD2D1" w14:textId="77777777" w:rsidR="006415FA" w:rsidRDefault="006415FA" w:rsidP="009E35D6">
      <w:pPr>
        <w:spacing w:after="0"/>
      </w:pPr>
    </w:p>
    <w:p w14:paraId="0379DD64" w14:textId="77777777" w:rsidR="006415FA" w:rsidRDefault="006415FA" w:rsidP="009E35D6">
      <w:pPr>
        <w:spacing w:after="0"/>
      </w:pPr>
    </w:p>
    <w:p w14:paraId="03CBF61C" w14:textId="77777777" w:rsidR="00001FDC" w:rsidRDefault="00001FDC" w:rsidP="009E35D6">
      <w:pPr>
        <w:spacing w:after="0"/>
      </w:pPr>
    </w:p>
    <w:p w14:paraId="0C87834A" w14:textId="77777777" w:rsidR="00001FDC" w:rsidRDefault="00001FDC" w:rsidP="009E35D6">
      <w:pPr>
        <w:spacing w:after="0"/>
      </w:pPr>
    </w:p>
    <w:p w14:paraId="1B5906C4" w14:textId="77777777" w:rsidR="00001FDC" w:rsidRDefault="00001FDC" w:rsidP="009E35D6">
      <w:pPr>
        <w:spacing w:after="0"/>
      </w:pPr>
    </w:p>
    <w:p w14:paraId="67D8FD91" w14:textId="77777777" w:rsidR="00001FDC" w:rsidRDefault="00001FDC" w:rsidP="009E35D6">
      <w:pPr>
        <w:spacing w:after="0"/>
      </w:pPr>
    </w:p>
    <w:p w14:paraId="19B8ACA4" w14:textId="77777777" w:rsidR="00001FDC" w:rsidRDefault="00001FDC" w:rsidP="009E35D6">
      <w:pPr>
        <w:spacing w:after="0"/>
      </w:pPr>
    </w:p>
    <w:p w14:paraId="614C11A6" w14:textId="77777777" w:rsidR="00001FDC" w:rsidRDefault="00001FDC" w:rsidP="009E35D6">
      <w:pPr>
        <w:spacing w:after="0"/>
      </w:pPr>
    </w:p>
    <w:sectPr w:rsidR="00001FDC"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6B22D" w14:textId="77777777" w:rsidR="00551913" w:rsidRDefault="00551913" w:rsidP="0009491C">
      <w:pPr>
        <w:spacing w:after="0" w:line="240" w:lineRule="auto"/>
      </w:pPr>
      <w:r>
        <w:separator/>
      </w:r>
    </w:p>
  </w:endnote>
  <w:endnote w:type="continuationSeparator" w:id="0">
    <w:p w14:paraId="189765B8" w14:textId="77777777" w:rsidR="00551913" w:rsidRDefault="00551913"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4E3E48C4"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A14C1">
              <w:rPr>
                <w:rFonts w:ascii="Palatino Linotype" w:hAnsi="Palatino Linotype"/>
                <w:bCs/>
                <w:noProof/>
                <w:sz w:val="20"/>
              </w:rPr>
              <w:t>17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A14C1">
              <w:rPr>
                <w:rFonts w:ascii="Palatino Linotype" w:hAnsi="Palatino Linotype"/>
                <w:bCs/>
                <w:noProof/>
                <w:sz w:val="20"/>
              </w:rPr>
              <w:t>17</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187D25AC"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A14C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A14C1">
      <w:rPr>
        <w:rFonts w:ascii="Palatino Linotype" w:hAnsi="Palatino Linotype"/>
        <w:bCs/>
        <w:noProof/>
        <w:sz w:val="20"/>
      </w:rPr>
      <w:t>17</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B4E66" w14:textId="77777777" w:rsidR="00551913" w:rsidRDefault="00551913" w:rsidP="0009491C">
      <w:pPr>
        <w:spacing w:after="0" w:line="240" w:lineRule="auto"/>
      </w:pPr>
      <w:r>
        <w:separator/>
      </w:r>
    </w:p>
  </w:footnote>
  <w:footnote w:type="continuationSeparator" w:id="0">
    <w:p w14:paraId="69C3C0F5" w14:textId="77777777" w:rsidR="00551913" w:rsidRDefault="00551913"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DC59ED"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344EF412" w:rsidR="00DC59ED" w:rsidRPr="00641471" w:rsidRDefault="001E57C8" w:rsidP="00390D21">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w:t>
          </w:r>
          <w:r w:rsidR="00390D21">
            <w:rPr>
              <w:rFonts w:ascii="Palatino Linotype" w:hAnsi="Palatino Linotype" w:cs="Arial"/>
              <w:b/>
              <w:bCs/>
              <w:sz w:val="24"/>
              <w:lang w:eastAsia="es-MX"/>
            </w:rPr>
            <w:t>5</w:t>
          </w:r>
          <w:r>
            <w:rPr>
              <w:rFonts w:ascii="Palatino Linotype" w:hAnsi="Palatino Linotype" w:cs="Arial"/>
              <w:b/>
              <w:bCs/>
              <w:sz w:val="24"/>
              <w:lang w:eastAsia="es-MX"/>
            </w:rPr>
            <w:t>1</w:t>
          </w:r>
          <w:r w:rsidR="00390D21">
            <w:rPr>
              <w:rFonts w:ascii="Palatino Linotype" w:hAnsi="Palatino Linotype" w:cs="Arial"/>
              <w:b/>
              <w:bCs/>
              <w:sz w:val="24"/>
              <w:lang w:eastAsia="es-MX"/>
            </w:rPr>
            <w:t>5</w:t>
          </w:r>
          <w:r w:rsidR="006E6DC1">
            <w:rPr>
              <w:rFonts w:ascii="Palatino Linotype" w:hAnsi="Palatino Linotype" w:cs="Arial"/>
              <w:b/>
              <w:bCs/>
              <w:sz w:val="24"/>
              <w:lang w:eastAsia="es-MX"/>
            </w:rPr>
            <w:t>/INFOEM/IP/RR/202</w:t>
          </w:r>
          <w:r w:rsidR="00E14C9D">
            <w:rPr>
              <w:rFonts w:ascii="Palatino Linotype" w:hAnsi="Palatino Linotype" w:cs="Arial"/>
              <w:b/>
              <w:bCs/>
              <w:sz w:val="24"/>
              <w:lang w:eastAsia="es-MX"/>
            </w:rPr>
            <w:t>4</w:t>
          </w:r>
          <w:r w:rsidR="008F4A98">
            <w:rPr>
              <w:rFonts w:ascii="Palatino Linotype" w:hAnsi="Palatino Linotype" w:cs="Arial"/>
              <w:b/>
              <w:bCs/>
              <w:sz w:val="24"/>
              <w:lang w:eastAsia="es-MX"/>
            </w:rPr>
            <w:t xml:space="preserve"> y acumulado</w:t>
          </w:r>
        </w:p>
      </w:tc>
    </w:tr>
    <w:tr w:rsidR="001E57C8" w14:paraId="5E9CF1A2" w14:textId="77777777" w:rsidTr="00213060">
      <w:trPr>
        <w:trHeight w:val="242"/>
      </w:trPr>
      <w:tc>
        <w:tcPr>
          <w:tcW w:w="5246" w:type="dxa"/>
          <w:hideMark/>
        </w:tcPr>
        <w:p w14:paraId="1BDB3C02" w14:textId="77777777" w:rsidR="001E57C8" w:rsidRPr="00641471" w:rsidRDefault="001E57C8" w:rsidP="001E57C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53F62643" w:rsidR="001E57C8" w:rsidRPr="00641471" w:rsidRDefault="00390D21" w:rsidP="00390D21">
          <w:pPr>
            <w:spacing w:after="120" w:line="256" w:lineRule="auto"/>
            <w:ind w:left="-73" w:right="214"/>
            <w:jc w:val="right"/>
            <w:rPr>
              <w:rFonts w:ascii="Palatino Linotype" w:hAnsi="Palatino Linotype" w:cs="Arial"/>
              <w:b/>
              <w:szCs w:val="20"/>
            </w:rPr>
          </w:pPr>
          <w:r w:rsidRPr="00390D21">
            <w:rPr>
              <w:rFonts w:ascii="Palatino Linotype" w:hAnsi="Palatino Linotype" w:cs="Arial"/>
              <w:b/>
              <w:szCs w:val="20"/>
            </w:rPr>
            <w:t>Ayuntamiento de Tepotzotlán</w:t>
          </w:r>
        </w:p>
      </w:tc>
    </w:tr>
    <w:tr w:rsidR="001E57C8" w14:paraId="4EAA2B38" w14:textId="77777777" w:rsidTr="00213060">
      <w:trPr>
        <w:trHeight w:val="342"/>
      </w:trPr>
      <w:tc>
        <w:tcPr>
          <w:tcW w:w="5246" w:type="dxa"/>
          <w:hideMark/>
        </w:tcPr>
        <w:p w14:paraId="45EEC6CB" w14:textId="77777777" w:rsidR="001E57C8" w:rsidRPr="00641471" w:rsidRDefault="001E57C8" w:rsidP="001E57C8">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1E57C8" w:rsidRPr="00641471" w:rsidRDefault="001E57C8" w:rsidP="001E57C8">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DC59ED"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30114F36" w:rsidR="00DC59ED" w:rsidRPr="00641471" w:rsidRDefault="00B05154" w:rsidP="00390D21">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1E57C8">
            <w:rPr>
              <w:rFonts w:ascii="Palatino Linotype" w:hAnsi="Palatino Linotype" w:cs="Arial"/>
              <w:b/>
              <w:bCs/>
              <w:sz w:val="24"/>
              <w:lang w:eastAsia="es-MX"/>
            </w:rPr>
            <w:t>5</w:t>
          </w:r>
          <w:r w:rsidR="00390D21">
            <w:rPr>
              <w:rFonts w:ascii="Palatino Linotype" w:hAnsi="Palatino Linotype" w:cs="Arial"/>
              <w:b/>
              <w:bCs/>
              <w:sz w:val="24"/>
              <w:lang w:eastAsia="es-MX"/>
            </w:rPr>
            <w:t>5</w:t>
          </w:r>
          <w:r w:rsidR="001E57C8">
            <w:rPr>
              <w:rFonts w:ascii="Palatino Linotype" w:hAnsi="Palatino Linotype" w:cs="Arial"/>
              <w:b/>
              <w:bCs/>
              <w:sz w:val="24"/>
              <w:lang w:eastAsia="es-MX"/>
            </w:rPr>
            <w:t>1</w:t>
          </w:r>
          <w:r w:rsidR="00390D21">
            <w:rPr>
              <w:rFonts w:ascii="Palatino Linotype" w:hAnsi="Palatino Linotype" w:cs="Arial"/>
              <w:b/>
              <w:bCs/>
              <w:sz w:val="24"/>
              <w:lang w:eastAsia="es-MX"/>
            </w:rPr>
            <w:t>5</w:t>
          </w:r>
          <w:r w:rsidR="006E6DC1">
            <w:rPr>
              <w:rFonts w:ascii="Palatino Linotype" w:hAnsi="Palatino Linotype" w:cs="Arial"/>
              <w:b/>
              <w:bCs/>
              <w:sz w:val="24"/>
              <w:lang w:eastAsia="es-MX"/>
            </w:rPr>
            <w:t>/INFOEM/IP/RR/202</w:t>
          </w:r>
          <w:r w:rsidR="00E14C9D">
            <w:rPr>
              <w:rFonts w:ascii="Palatino Linotype" w:hAnsi="Palatino Linotype" w:cs="Arial"/>
              <w:b/>
              <w:bCs/>
              <w:sz w:val="24"/>
              <w:lang w:eastAsia="es-MX"/>
            </w:rPr>
            <w:t>4</w:t>
          </w:r>
          <w:r w:rsidR="008F4A98">
            <w:rPr>
              <w:rFonts w:ascii="Palatino Linotype" w:hAnsi="Palatino Linotype" w:cs="Arial"/>
              <w:b/>
              <w:bCs/>
              <w:sz w:val="24"/>
              <w:lang w:eastAsia="es-MX"/>
            </w:rPr>
            <w:t xml:space="preserve"> y acumulado</w:t>
          </w:r>
        </w:p>
      </w:tc>
    </w:tr>
    <w:tr w:rsidR="00213060" w14:paraId="27E5DB9D" w14:textId="77777777" w:rsidTr="00213060">
      <w:trPr>
        <w:trHeight w:val="242"/>
      </w:trPr>
      <w:tc>
        <w:tcPr>
          <w:tcW w:w="5104" w:type="dxa"/>
          <w:hideMark/>
        </w:tcPr>
        <w:p w14:paraId="2E2FAA87" w14:textId="77777777" w:rsidR="00DC59ED"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16D5E0FF" w:rsidR="00DC59ED" w:rsidRPr="00641471" w:rsidRDefault="00B05154" w:rsidP="00390D21">
          <w:pPr>
            <w:spacing w:after="120" w:line="256" w:lineRule="auto"/>
            <w:ind w:left="-67" w:right="214"/>
            <w:jc w:val="right"/>
            <w:rPr>
              <w:rFonts w:ascii="Palatino Linotype" w:hAnsi="Palatino Linotype" w:cs="Arial"/>
              <w:b/>
              <w:szCs w:val="20"/>
            </w:rPr>
          </w:pPr>
          <w:r>
            <w:rPr>
              <w:rFonts w:ascii="Palatino Linotype" w:hAnsi="Palatino Linotype" w:cs="Arial"/>
              <w:b/>
              <w:szCs w:val="20"/>
            </w:rPr>
            <w:t xml:space="preserve">Ayuntamiento de </w:t>
          </w:r>
          <w:r w:rsidR="001E57C8">
            <w:rPr>
              <w:rFonts w:ascii="Palatino Linotype" w:hAnsi="Palatino Linotype" w:cs="Arial"/>
              <w:b/>
              <w:szCs w:val="20"/>
            </w:rPr>
            <w:t>Te</w:t>
          </w:r>
          <w:r w:rsidR="00390D21">
            <w:rPr>
              <w:rFonts w:ascii="Palatino Linotype" w:hAnsi="Palatino Linotype" w:cs="Arial"/>
              <w:b/>
              <w:szCs w:val="20"/>
            </w:rPr>
            <w:t>potzotlán</w:t>
          </w:r>
        </w:p>
      </w:tc>
    </w:tr>
    <w:tr w:rsidR="00213060" w14:paraId="4B02109D" w14:textId="77777777" w:rsidTr="00213060">
      <w:trPr>
        <w:trHeight w:val="342"/>
      </w:trPr>
      <w:tc>
        <w:tcPr>
          <w:tcW w:w="5104" w:type="dxa"/>
        </w:tcPr>
        <w:p w14:paraId="3826DC18"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7826B2E9" w:rsidR="00DC59ED" w:rsidRPr="00641471" w:rsidRDefault="00D42741" w:rsidP="006A14C1">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390D21">
            <w:t xml:space="preserve"> </w:t>
          </w:r>
          <w:r w:rsidR="006A14C1">
            <w:rPr>
              <w:rFonts w:ascii="Palatino Linotype" w:hAnsi="Palatino Linotype" w:cs="Arial"/>
              <w:b/>
              <w:noProof/>
              <w:szCs w:val="20"/>
              <w:lang w:eastAsia="es-MX"/>
            </w:rPr>
            <w:t>XXXXXXXXXXXXXXXX</w:t>
          </w:r>
        </w:p>
      </w:tc>
    </w:tr>
    <w:tr w:rsidR="00213060" w14:paraId="325B8815" w14:textId="77777777" w:rsidTr="00213060">
      <w:trPr>
        <w:trHeight w:val="342"/>
      </w:trPr>
      <w:tc>
        <w:tcPr>
          <w:tcW w:w="5104" w:type="dxa"/>
        </w:tcPr>
        <w:p w14:paraId="29443572"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DC59ED"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DC59ED" w:rsidRPr="00C222C0" w:rsidRDefault="00DC59ED">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7E7B60"/>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FDC"/>
    <w:rsid w:val="000679EA"/>
    <w:rsid w:val="0007277A"/>
    <w:rsid w:val="0009491C"/>
    <w:rsid w:val="0009532D"/>
    <w:rsid w:val="00095986"/>
    <w:rsid w:val="000B12F7"/>
    <w:rsid w:val="00106670"/>
    <w:rsid w:val="00115D6C"/>
    <w:rsid w:val="00167BBD"/>
    <w:rsid w:val="00171EAB"/>
    <w:rsid w:val="00174E4E"/>
    <w:rsid w:val="00181CA1"/>
    <w:rsid w:val="00190E63"/>
    <w:rsid w:val="001A1F43"/>
    <w:rsid w:val="001E05EB"/>
    <w:rsid w:val="001E57C8"/>
    <w:rsid w:val="0023365E"/>
    <w:rsid w:val="002436FA"/>
    <w:rsid w:val="00252E84"/>
    <w:rsid w:val="002A5109"/>
    <w:rsid w:val="002D2C0C"/>
    <w:rsid w:val="00341A68"/>
    <w:rsid w:val="00390D21"/>
    <w:rsid w:val="003D4F2A"/>
    <w:rsid w:val="0041247E"/>
    <w:rsid w:val="004232C4"/>
    <w:rsid w:val="0044350B"/>
    <w:rsid w:val="00460D49"/>
    <w:rsid w:val="0046380A"/>
    <w:rsid w:val="0048739B"/>
    <w:rsid w:val="004B0546"/>
    <w:rsid w:val="004D1A2D"/>
    <w:rsid w:val="00530960"/>
    <w:rsid w:val="00547BFA"/>
    <w:rsid w:val="00551913"/>
    <w:rsid w:val="00552E32"/>
    <w:rsid w:val="00583D0F"/>
    <w:rsid w:val="0059361F"/>
    <w:rsid w:val="006100AF"/>
    <w:rsid w:val="0061125D"/>
    <w:rsid w:val="006278C1"/>
    <w:rsid w:val="00636559"/>
    <w:rsid w:val="006415FA"/>
    <w:rsid w:val="00647509"/>
    <w:rsid w:val="00670BA4"/>
    <w:rsid w:val="006A14C1"/>
    <w:rsid w:val="006B3607"/>
    <w:rsid w:val="006E363A"/>
    <w:rsid w:val="006E6DC1"/>
    <w:rsid w:val="00703118"/>
    <w:rsid w:val="00742A64"/>
    <w:rsid w:val="00747655"/>
    <w:rsid w:val="007947A9"/>
    <w:rsid w:val="007B0E62"/>
    <w:rsid w:val="007B123F"/>
    <w:rsid w:val="007C2B27"/>
    <w:rsid w:val="007E201A"/>
    <w:rsid w:val="00863BE9"/>
    <w:rsid w:val="008832C3"/>
    <w:rsid w:val="008A04A3"/>
    <w:rsid w:val="008A52F7"/>
    <w:rsid w:val="008B3790"/>
    <w:rsid w:val="008D27DD"/>
    <w:rsid w:val="008F4A98"/>
    <w:rsid w:val="008F4FFA"/>
    <w:rsid w:val="00946989"/>
    <w:rsid w:val="009477CE"/>
    <w:rsid w:val="00953ACF"/>
    <w:rsid w:val="00977664"/>
    <w:rsid w:val="009C62C2"/>
    <w:rsid w:val="009E35D6"/>
    <w:rsid w:val="00A0464A"/>
    <w:rsid w:val="00A14BA5"/>
    <w:rsid w:val="00A768CA"/>
    <w:rsid w:val="00A94D02"/>
    <w:rsid w:val="00A95E4F"/>
    <w:rsid w:val="00A96D26"/>
    <w:rsid w:val="00AC0022"/>
    <w:rsid w:val="00AF5D72"/>
    <w:rsid w:val="00AF60A1"/>
    <w:rsid w:val="00B05154"/>
    <w:rsid w:val="00B34049"/>
    <w:rsid w:val="00B37E25"/>
    <w:rsid w:val="00BA427F"/>
    <w:rsid w:val="00BA68D0"/>
    <w:rsid w:val="00BC0FCE"/>
    <w:rsid w:val="00C27A9E"/>
    <w:rsid w:val="00C43AAB"/>
    <w:rsid w:val="00C46F12"/>
    <w:rsid w:val="00C92BDF"/>
    <w:rsid w:val="00CA31E0"/>
    <w:rsid w:val="00D14C70"/>
    <w:rsid w:val="00D42741"/>
    <w:rsid w:val="00D80CEC"/>
    <w:rsid w:val="00DC59ED"/>
    <w:rsid w:val="00DD3A4F"/>
    <w:rsid w:val="00DE7689"/>
    <w:rsid w:val="00E14C9D"/>
    <w:rsid w:val="00E54257"/>
    <w:rsid w:val="00E85A17"/>
    <w:rsid w:val="00EA4E95"/>
    <w:rsid w:val="00EE79AF"/>
    <w:rsid w:val="00EF611D"/>
    <w:rsid w:val="00F1703E"/>
    <w:rsid w:val="00F175A2"/>
    <w:rsid w:val="00F243E5"/>
    <w:rsid w:val="00F2788A"/>
    <w:rsid w:val="00F3376F"/>
    <w:rsid w:val="00F50F42"/>
    <w:rsid w:val="00F9134D"/>
    <w:rsid w:val="00F9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9E35D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E35D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3646</Words>
  <Characters>20055</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cp:revision>
  <dcterms:created xsi:type="dcterms:W3CDTF">2024-09-24T20:13:00Z</dcterms:created>
  <dcterms:modified xsi:type="dcterms:W3CDTF">2024-10-29T20:55:00Z</dcterms:modified>
</cp:coreProperties>
</file>