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5103F" w14:textId="77777777" w:rsidR="001E5C90" w:rsidRDefault="004C089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veintiocho (28) de agosto de dos mil veinticuatro. </w:t>
      </w:r>
    </w:p>
    <w:p w14:paraId="5EA51040" w14:textId="77777777" w:rsidR="001E5C90" w:rsidRDefault="001E5C90">
      <w:pPr>
        <w:spacing w:line="360" w:lineRule="auto"/>
        <w:jc w:val="both"/>
        <w:rPr>
          <w:rFonts w:ascii="Palatino Linotype" w:eastAsia="Palatino Linotype" w:hAnsi="Palatino Linotype" w:cs="Palatino Linotype"/>
        </w:rPr>
      </w:pPr>
    </w:p>
    <w:p w14:paraId="5EA51041" w14:textId="72503686" w:rsidR="001E5C90" w:rsidRDefault="004C089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electrónico formado con motivo del recurso de revisión </w:t>
      </w:r>
      <w:r>
        <w:rPr>
          <w:rFonts w:ascii="Palatino Linotype" w:eastAsia="Palatino Linotype" w:hAnsi="Palatino Linotype" w:cs="Palatino Linotype"/>
          <w:b/>
        </w:rPr>
        <w:t xml:space="preserve">03488/INFOEM/IP/RR/2023, </w:t>
      </w:r>
      <w:r>
        <w:rPr>
          <w:rFonts w:ascii="Palatino Linotype" w:eastAsia="Palatino Linotype" w:hAnsi="Palatino Linotype" w:cs="Palatino Linotype"/>
        </w:rPr>
        <w:t xml:space="preserve">promovido un usuario que se registró como </w:t>
      </w:r>
      <w:r w:rsidR="00EE0713">
        <w:rPr>
          <w:rFonts w:ascii="Palatino Linotype" w:eastAsia="Palatino Linotype" w:hAnsi="Palatino Linotype" w:cs="Palatino Linotype"/>
          <w:b/>
        </w:rPr>
        <w:t>XXX XXX</w:t>
      </w:r>
      <w:r>
        <w:rPr>
          <w:rFonts w:ascii="Palatino Linotype" w:eastAsia="Palatino Linotype" w:hAnsi="Palatino Linotype" w:cs="Palatino Linotype"/>
          <w:b/>
        </w:rPr>
        <w:t>,</w:t>
      </w:r>
      <w:r>
        <w:rPr>
          <w:rFonts w:ascii="Palatino Linotype" w:eastAsia="Palatino Linotype" w:hAnsi="Palatino Linotype" w:cs="Palatino Linotype"/>
        </w:rPr>
        <w:t xml:space="preserve"> a quien en lo sucesivo se identificará como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Toluca, </w:t>
      </w:r>
      <w:r>
        <w:rPr>
          <w:rFonts w:ascii="Palatino Linotype" w:eastAsia="Palatino Linotype" w:hAnsi="Palatino Linotype" w:cs="Palatino Linotype"/>
        </w:rPr>
        <w:t>en adelante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por lo que se procede a dictar la presente resolución, con base en los siguientes:</w:t>
      </w:r>
    </w:p>
    <w:p w14:paraId="5EA51042" w14:textId="77777777" w:rsidR="001E5C90" w:rsidRDefault="001E5C90">
      <w:pPr>
        <w:spacing w:line="360" w:lineRule="auto"/>
        <w:jc w:val="both"/>
        <w:rPr>
          <w:rFonts w:ascii="Palatino Linotype" w:eastAsia="Palatino Linotype" w:hAnsi="Palatino Linotype" w:cs="Palatino Linotype"/>
          <w:b/>
        </w:rPr>
      </w:pPr>
    </w:p>
    <w:p w14:paraId="5EA51043" w14:textId="77777777" w:rsidR="001E5C90" w:rsidRDefault="004C0898">
      <w:pPr>
        <w:keepNext/>
        <w:keepLines/>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A N T E C E D E N T E S</w:t>
      </w:r>
    </w:p>
    <w:p w14:paraId="5EA51044" w14:textId="77777777" w:rsidR="001E5C90" w:rsidRDefault="001E5C90">
      <w:pPr>
        <w:spacing w:line="360" w:lineRule="auto"/>
        <w:rPr>
          <w:rFonts w:ascii="Palatino Linotype" w:eastAsia="Palatino Linotype" w:hAnsi="Palatino Linotype" w:cs="Palatino Linotype"/>
        </w:rPr>
      </w:pPr>
    </w:p>
    <w:p w14:paraId="5EA51045" w14:textId="77777777" w:rsidR="001E5C90" w:rsidRDefault="004C089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veintinueve (29) de mayo de dos mil veintitrés,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ante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través del Sistema de Acceso a la Información Mexiquense (SAIMEX), presentó una solicitud de información registrada con el número </w:t>
      </w:r>
      <w:r>
        <w:rPr>
          <w:rFonts w:ascii="Palatino Linotype" w:eastAsia="Palatino Linotype" w:hAnsi="Palatino Linotype" w:cs="Palatino Linotype"/>
          <w:b/>
          <w:color w:val="000000"/>
        </w:rPr>
        <w:t xml:space="preserve">01788/TOLUCA/IP/2023, </w:t>
      </w:r>
      <w:r>
        <w:rPr>
          <w:rFonts w:ascii="Palatino Linotype" w:eastAsia="Palatino Linotype" w:hAnsi="Palatino Linotype" w:cs="Palatino Linotype"/>
        </w:rPr>
        <w:t>en la que</w:t>
      </w:r>
      <w:r>
        <w:rPr>
          <w:rFonts w:ascii="Palatino Linotype" w:eastAsia="Palatino Linotype" w:hAnsi="Palatino Linotype" w:cs="Palatino Linotype"/>
          <w:color w:val="000000"/>
        </w:rPr>
        <w:t xml:space="preserve"> solicitó lo siguiente:</w:t>
      </w:r>
    </w:p>
    <w:p w14:paraId="5EA51046" w14:textId="77777777" w:rsidR="001E5C90" w:rsidRDefault="001E5C9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EA51047" w14:textId="77777777" w:rsidR="001E5C90" w:rsidRDefault="004C0898">
      <w:pPr>
        <w:pBdr>
          <w:top w:val="nil"/>
          <w:left w:val="nil"/>
          <w:bottom w:val="nil"/>
          <w:right w:val="nil"/>
          <w:between w:val="nil"/>
        </w:pBdr>
        <w:spacing w:line="360" w:lineRule="auto"/>
        <w:ind w:left="720"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“version publica de los expedientes DIRA (Direccion Investigación Responsabilidades Administrativas) 2022” (Sic) </w:t>
      </w:r>
    </w:p>
    <w:p w14:paraId="5EA51048" w14:textId="77777777" w:rsidR="001E5C90" w:rsidRDefault="001E5C9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EA51049" w14:textId="77777777" w:rsidR="00222689" w:rsidRDefault="004C0898" w:rsidP="00222689">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señaló como modalidad de entrega a través de correo electrónico.</w:t>
      </w:r>
    </w:p>
    <w:p w14:paraId="5EA5104A" w14:textId="77777777" w:rsidR="00222689" w:rsidRPr="00222689" w:rsidRDefault="00222689" w:rsidP="0022268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EA5104B" w14:textId="77777777" w:rsidR="001E5C90" w:rsidRDefault="004C089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veintinueve (29) de mayo de dos mil veintitrés, se realizó un requerimiento al servidor público habilitado. </w:t>
      </w:r>
    </w:p>
    <w:p w14:paraId="5EA5104C" w14:textId="77777777" w:rsidR="001E5C90" w:rsidRDefault="001E5C90">
      <w:pPr>
        <w:pBdr>
          <w:top w:val="nil"/>
          <w:left w:val="nil"/>
          <w:bottom w:val="nil"/>
          <w:right w:val="nil"/>
          <w:between w:val="nil"/>
        </w:pBdr>
        <w:rPr>
          <w:rFonts w:ascii="Palatino Linotype" w:eastAsia="Palatino Linotype" w:hAnsi="Palatino Linotype" w:cs="Palatino Linotype"/>
          <w:color w:val="000000"/>
        </w:rPr>
      </w:pPr>
    </w:p>
    <w:p w14:paraId="5EA5104D" w14:textId="77777777" w:rsidR="001E5C90" w:rsidRDefault="004C089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El diecinueve (19) de junio de dos mil veintitrés, el Sujeto Obligado dio respuesta a la solicitud de información en los siguientes términos:</w:t>
      </w:r>
    </w:p>
    <w:p w14:paraId="5EA5104E" w14:textId="77777777" w:rsidR="001E5C90" w:rsidRDefault="001E5C90">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tbl>
      <w:tblPr>
        <w:tblStyle w:val="a"/>
        <w:tblW w:w="7556" w:type="dxa"/>
        <w:jc w:val="center"/>
        <w:tblInd w:w="0" w:type="dxa"/>
        <w:tblLayout w:type="fixed"/>
        <w:tblLook w:val="0400" w:firstRow="0" w:lastRow="0" w:firstColumn="0" w:lastColumn="0" w:noHBand="0" w:noVBand="1"/>
      </w:tblPr>
      <w:tblGrid>
        <w:gridCol w:w="7556"/>
      </w:tblGrid>
      <w:tr w:rsidR="001E5C90" w14:paraId="5EA51050" w14:textId="77777777">
        <w:trPr>
          <w:trHeight w:val="316"/>
          <w:jc w:val="center"/>
        </w:trPr>
        <w:tc>
          <w:tcPr>
            <w:tcW w:w="7556" w:type="dxa"/>
            <w:vAlign w:val="center"/>
          </w:tcPr>
          <w:p w14:paraId="5EA5104F" w14:textId="77777777" w:rsidR="001E5C90" w:rsidRDefault="004C0898">
            <w:pPr>
              <w:jc w:val="right"/>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“Toluca, México a 19 de Junio de 2023</w:t>
            </w:r>
          </w:p>
        </w:tc>
      </w:tr>
      <w:tr w:rsidR="001E5C90" w14:paraId="5EA51052" w14:textId="77777777">
        <w:trPr>
          <w:trHeight w:val="316"/>
          <w:jc w:val="center"/>
        </w:trPr>
        <w:tc>
          <w:tcPr>
            <w:tcW w:w="7556" w:type="dxa"/>
            <w:vAlign w:val="center"/>
          </w:tcPr>
          <w:p w14:paraId="5EA51051" w14:textId="77777777" w:rsidR="001E5C90" w:rsidRDefault="004C0898">
            <w:pPr>
              <w:jc w:val="right"/>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Nombre del solicitante:</w:t>
            </w:r>
          </w:p>
        </w:tc>
      </w:tr>
      <w:tr w:rsidR="001E5C90" w14:paraId="5EA51054" w14:textId="77777777">
        <w:trPr>
          <w:trHeight w:val="316"/>
          <w:jc w:val="center"/>
        </w:trPr>
        <w:tc>
          <w:tcPr>
            <w:tcW w:w="7556" w:type="dxa"/>
            <w:vAlign w:val="center"/>
          </w:tcPr>
          <w:p w14:paraId="5EA51053" w14:textId="77777777" w:rsidR="001E5C90" w:rsidRDefault="004C0898">
            <w:pPr>
              <w:jc w:val="right"/>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Folio de la solicitud: 01788/TOLUCA/IP/2023</w:t>
            </w:r>
          </w:p>
        </w:tc>
      </w:tr>
      <w:tr w:rsidR="001E5C90" w14:paraId="5EA51056" w14:textId="77777777">
        <w:trPr>
          <w:trHeight w:val="474"/>
          <w:jc w:val="center"/>
        </w:trPr>
        <w:tc>
          <w:tcPr>
            <w:tcW w:w="7556" w:type="dxa"/>
            <w:vAlign w:val="center"/>
          </w:tcPr>
          <w:p w14:paraId="5EA51055" w14:textId="77777777" w:rsidR="001E5C90" w:rsidRDefault="001E5C90">
            <w:pPr>
              <w:jc w:val="right"/>
              <w:rPr>
                <w:rFonts w:ascii="Palatino Linotype" w:eastAsia="Palatino Linotype" w:hAnsi="Palatino Linotype" w:cs="Palatino Linotype"/>
                <w:i/>
                <w:sz w:val="22"/>
                <w:szCs w:val="22"/>
              </w:rPr>
            </w:pPr>
          </w:p>
        </w:tc>
      </w:tr>
      <w:tr w:rsidR="001E5C90" w14:paraId="5EA51058" w14:textId="77777777">
        <w:trPr>
          <w:trHeight w:val="158"/>
          <w:jc w:val="center"/>
        </w:trPr>
        <w:tc>
          <w:tcPr>
            <w:tcW w:w="7556" w:type="dxa"/>
            <w:vAlign w:val="center"/>
          </w:tcPr>
          <w:p w14:paraId="5EA51057" w14:textId="77777777" w:rsidR="001E5C90" w:rsidRDefault="004C0898">
            <w:pP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1E5C90" w14:paraId="5EA5105A" w14:textId="77777777">
        <w:trPr>
          <w:trHeight w:val="395"/>
          <w:jc w:val="center"/>
        </w:trPr>
        <w:tc>
          <w:tcPr>
            <w:tcW w:w="7556" w:type="dxa"/>
            <w:vAlign w:val="center"/>
          </w:tcPr>
          <w:p w14:paraId="5EA51059" w14:textId="77777777" w:rsidR="001E5C90" w:rsidRDefault="001E5C90">
            <w:pPr>
              <w:rPr>
                <w:rFonts w:ascii="Palatino Linotype" w:eastAsia="Palatino Linotype" w:hAnsi="Palatino Linotype" w:cs="Palatino Linotype"/>
                <w:i/>
                <w:sz w:val="22"/>
                <w:szCs w:val="22"/>
              </w:rPr>
            </w:pPr>
          </w:p>
        </w:tc>
      </w:tr>
      <w:tr w:rsidR="001E5C90" w14:paraId="5EA5105C" w14:textId="77777777">
        <w:trPr>
          <w:trHeight w:val="158"/>
          <w:jc w:val="center"/>
        </w:trPr>
        <w:tc>
          <w:tcPr>
            <w:tcW w:w="7556" w:type="dxa"/>
            <w:vAlign w:val="center"/>
          </w:tcPr>
          <w:p w14:paraId="5EA5105B" w14:textId="77777777" w:rsidR="001E5C90" w:rsidRDefault="004C0898">
            <w:pP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atención a la solicitud con folio 01788/TOLUCA/IP/2023, me permito adjuntar al presente la respuesta correspondiente. Sin más por el momento, reciba un saludo.</w:t>
            </w:r>
          </w:p>
        </w:tc>
      </w:tr>
      <w:tr w:rsidR="001E5C90" w14:paraId="5EA5105E" w14:textId="77777777">
        <w:trPr>
          <w:trHeight w:val="395"/>
          <w:jc w:val="center"/>
        </w:trPr>
        <w:tc>
          <w:tcPr>
            <w:tcW w:w="7556" w:type="dxa"/>
            <w:vAlign w:val="center"/>
          </w:tcPr>
          <w:p w14:paraId="5EA5105D" w14:textId="77777777" w:rsidR="001E5C90" w:rsidRDefault="001E5C90">
            <w:pPr>
              <w:rPr>
                <w:rFonts w:ascii="Palatino Linotype" w:eastAsia="Palatino Linotype" w:hAnsi="Palatino Linotype" w:cs="Palatino Linotype"/>
                <w:i/>
                <w:sz w:val="22"/>
                <w:szCs w:val="22"/>
              </w:rPr>
            </w:pPr>
          </w:p>
        </w:tc>
      </w:tr>
      <w:tr w:rsidR="001E5C90" w14:paraId="5EA51060" w14:textId="77777777">
        <w:trPr>
          <w:trHeight w:val="158"/>
          <w:jc w:val="center"/>
        </w:trPr>
        <w:tc>
          <w:tcPr>
            <w:tcW w:w="7556" w:type="dxa"/>
            <w:vAlign w:val="center"/>
          </w:tcPr>
          <w:p w14:paraId="5EA5105F" w14:textId="77777777" w:rsidR="001E5C90" w:rsidRDefault="001E5C90">
            <w:pPr>
              <w:jc w:val="center"/>
              <w:rPr>
                <w:rFonts w:ascii="Palatino Linotype" w:eastAsia="Palatino Linotype" w:hAnsi="Palatino Linotype" w:cs="Palatino Linotype"/>
                <w:i/>
                <w:sz w:val="22"/>
                <w:szCs w:val="22"/>
              </w:rPr>
            </w:pPr>
          </w:p>
        </w:tc>
      </w:tr>
      <w:tr w:rsidR="001E5C90" w14:paraId="5EA51062" w14:textId="77777777">
        <w:trPr>
          <w:trHeight w:val="158"/>
          <w:jc w:val="center"/>
        </w:trPr>
        <w:tc>
          <w:tcPr>
            <w:tcW w:w="7556" w:type="dxa"/>
            <w:vAlign w:val="center"/>
          </w:tcPr>
          <w:p w14:paraId="5EA51061" w14:textId="77777777" w:rsidR="001E5C90" w:rsidRDefault="001E5C90">
            <w:pPr>
              <w:rPr>
                <w:rFonts w:ascii="Palatino Linotype" w:eastAsia="Palatino Linotype" w:hAnsi="Palatino Linotype" w:cs="Palatino Linotype"/>
                <w:i/>
                <w:sz w:val="22"/>
                <w:szCs w:val="22"/>
              </w:rPr>
            </w:pPr>
          </w:p>
        </w:tc>
      </w:tr>
      <w:tr w:rsidR="001E5C90" w14:paraId="5EA51064" w14:textId="77777777">
        <w:trPr>
          <w:trHeight w:val="158"/>
          <w:jc w:val="center"/>
        </w:trPr>
        <w:tc>
          <w:tcPr>
            <w:tcW w:w="7556" w:type="dxa"/>
            <w:vAlign w:val="center"/>
          </w:tcPr>
          <w:p w14:paraId="5EA51063" w14:textId="77777777" w:rsidR="001E5C90" w:rsidRDefault="004C0898">
            <w:pP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tc>
      </w:tr>
      <w:tr w:rsidR="001E5C90" w14:paraId="5EA51066" w14:textId="77777777">
        <w:trPr>
          <w:trHeight w:val="237"/>
          <w:jc w:val="center"/>
        </w:trPr>
        <w:tc>
          <w:tcPr>
            <w:tcW w:w="7556" w:type="dxa"/>
            <w:vAlign w:val="center"/>
          </w:tcPr>
          <w:p w14:paraId="5EA51065" w14:textId="77777777" w:rsidR="001E5C90" w:rsidRDefault="001E5C90">
            <w:pPr>
              <w:rPr>
                <w:rFonts w:ascii="Palatino Linotype" w:eastAsia="Palatino Linotype" w:hAnsi="Palatino Linotype" w:cs="Palatino Linotype"/>
                <w:i/>
                <w:sz w:val="22"/>
                <w:szCs w:val="22"/>
              </w:rPr>
            </w:pPr>
          </w:p>
        </w:tc>
      </w:tr>
      <w:tr w:rsidR="001E5C90" w14:paraId="5EA51068" w14:textId="77777777">
        <w:trPr>
          <w:trHeight w:val="158"/>
          <w:jc w:val="center"/>
        </w:trPr>
        <w:tc>
          <w:tcPr>
            <w:tcW w:w="7556" w:type="dxa"/>
            <w:vAlign w:val="center"/>
          </w:tcPr>
          <w:p w14:paraId="5EA51067" w14:textId="77777777" w:rsidR="001E5C90" w:rsidRDefault="004C0898">
            <w:pP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Norma Sofía Pérez Martínez”</w:t>
            </w:r>
          </w:p>
        </w:tc>
      </w:tr>
    </w:tbl>
    <w:p w14:paraId="5EA51069" w14:textId="77777777" w:rsidR="001E5C90" w:rsidRDefault="001E5C90">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5EA5106A" w14:textId="77777777" w:rsidR="001E5C90" w:rsidRDefault="001E5C90">
      <w:pPr>
        <w:spacing w:line="360" w:lineRule="auto"/>
        <w:jc w:val="both"/>
        <w:rPr>
          <w:rFonts w:ascii="Palatino Linotype" w:eastAsia="Palatino Linotype" w:hAnsi="Palatino Linotype" w:cs="Palatino Linotype"/>
          <w:sz w:val="22"/>
          <w:szCs w:val="22"/>
        </w:rPr>
      </w:pPr>
    </w:p>
    <w:p w14:paraId="5EA5106B" w14:textId="77777777" w:rsidR="001E5C90" w:rsidRDefault="004C0898">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A la respuesta se adjuntan los archivos que se describen enseguida:</w:t>
      </w:r>
    </w:p>
    <w:p w14:paraId="5EA5106C" w14:textId="77777777" w:rsidR="001E5C90" w:rsidRDefault="001E5C90">
      <w:pPr>
        <w:spacing w:line="360" w:lineRule="auto"/>
        <w:rPr>
          <w:rFonts w:ascii="Palatino Linotype" w:eastAsia="Palatino Linotype" w:hAnsi="Palatino Linotype" w:cs="Palatino Linotype"/>
          <w:sz w:val="22"/>
          <w:szCs w:val="22"/>
        </w:rPr>
      </w:pPr>
    </w:p>
    <w:p w14:paraId="5EA5106D" w14:textId="77777777" w:rsidR="001E5C90" w:rsidRDefault="00CC0811">
      <w:pPr>
        <w:numPr>
          <w:ilvl w:val="0"/>
          <w:numId w:val="1"/>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hyperlink r:id="rId8">
        <w:r w:rsidR="004C0898">
          <w:rPr>
            <w:rFonts w:ascii="Palatino Linotype" w:eastAsia="Palatino Linotype" w:hAnsi="Palatino Linotype" w:cs="Palatino Linotype"/>
            <w:b/>
            <w:color w:val="000000"/>
            <w:sz w:val="22"/>
            <w:szCs w:val="22"/>
            <w:u w:val="single"/>
          </w:rPr>
          <w:t>Respuesta 1788.pdf</w:t>
        </w:r>
      </w:hyperlink>
      <w:r w:rsidR="004C0898">
        <w:rPr>
          <w:rFonts w:ascii="Palatino Linotype" w:eastAsia="Palatino Linotype" w:hAnsi="Palatino Linotype" w:cs="Palatino Linotype"/>
          <w:color w:val="000000"/>
          <w:sz w:val="22"/>
          <w:szCs w:val="22"/>
        </w:rPr>
        <w:t>: documento de fecha diecinueve de junio de dos mil veintitrés, suscrito por el Titular de la Unidad de Transparencia, en el que señaló:</w:t>
      </w:r>
    </w:p>
    <w:p w14:paraId="5EA5106E" w14:textId="77777777" w:rsidR="001E5C90" w:rsidRDefault="001E5C90">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sz w:val="22"/>
          <w:szCs w:val="22"/>
        </w:rPr>
      </w:pPr>
    </w:p>
    <w:p w14:paraId="5EA5106F" w14:textId="77777777" w:rsidR="001E5C90" w:rsidRDefault="004C0898">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“…hago de su conocimiento que la Contraloría Municipal y Servidor Público Habilitado, informó a la que suscribe que con fundamento en el Cuadragésima Sexta Sesión Extraordinaria de fecha cinco de junio de dos mil veintitrés, mediante acuerdo AT/CT/01/2023, se aprobó la clasificación </w:t>
      </w:r>
      <w:r>
        <w:rPr>
          <w:rFonts w:ascii="Palatino Linotype" w:eastAsia="Palatino Linotype" w:hAnsi="Palatino Linotype" w:cs="Palatino Linotype"/>
          <w:i/>
          <w:color w:val="000000"/>
          <w:sz w:val="22"/>
          <w:szCs w:val="22"/>
        </w:rPr>
        <w:lastRenderedPageBreak/>
        <w:t>de la Información como reservada de hasta por dos años, en referencia a los expedientes d investigación del 2022, derivado del daño que la divulgación de esta información puede generar.”</w:t>
      </w:r>
    </w:p>
    <w:p w14:paraId="5EA51070" w14:textId="77777777" w:rsidR="001E5C90" w:rsidRDefault="001E5C90">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5EA51071" w14:textId="77777777" w:rsidR="001E5C90" w:rsidRDefault="00CC0811">
      <w:pPr>
        <w:numPr>
          <w:ilvl w:val="0"/>
          <w:numId w:val="1"/>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hyperlink r:id="rId9">
        <w:r w:rsidR="004C0898">
          <w:rPr>
            <w:rFonts w:ascii="Palatino Linotype" w:eastAsia="Palatino Linotype" w:hAnsi="Palatino Linotype" w:cs="Palatino Linotype"/>
            <w:b/>
            <w:color w:val="000000"/>
            <w:sz w:val="22"/>
            <w:szCs w:val="22"/>
            <w:u w:val="single"/>
          </w:rPr>
          <w:t>Acta 446.pdf</w:t>
        </w:r>
      </w:hyperlink>
      <w:r w:rsidR="004C0898">
        <w:rPr>
          <w:rFonts w:ascii="Palatino Linotype" w:eastAsia="Palatino Linotype" w:hAnsi="Palatino Linotype" w:cs="Palatino Linotype"/>
          <w:color w:val="000000"/>
          <w:sz w:val="22"/>
          <w:szCs w:val="22"/>
        </w:rPr>
        <w:t xml:space="preserve">: Acta de la Cuadrigentésima Cuadragésima Sexta Sesión Extraordinaria 2023 del Comité de Transparencia, en el que se aprobó la reserva de la información referente a los expediente de investigación del 2022, por un periodo de dos años. </w:t>
      </w:r>
    </w:p>
    <w:p w14:paraId="5EA51072" w14:textId="77777777" w:rsidR="001E5C90" w:rsidRDefault="001E5C9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5EA51073" w14:textId="77777777" w:rsidR="001E5C90" w:rsidRDefault="004C089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veinte (20) de junio de dos mil veintitrés,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interpuso el recurso de revisión, en contra de la respuesta, señalando como:</w:t>
      </w:r>
    </w:p>
    <w:p w14:paraId="5EA51074" w14:textId="77777777" w:rsidR="001E5C90" w:rsidRDefault="004C0898">
      <w:pPr>
        <w:numPr>
          <w:ilvl w:val="0"/>
          <w:numId w:val="5"/>
        </w:numPr>
        <w:pBdr>
          <w:top w:val="nil"/>
          <w:left w:val="nil"/>
          <w:bottom w:val="nil"/>
          <w:right w:val="nil"/>
          <w:between w:val="nil"/>
        </w:pBdr>
        <w:spacing w:line="360" w:lineRule="auto"/>
        <w:ind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Acto impugnado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"la clasificacion como reservada de la informacion relativa a los expedientes DIRA" (Sic)</w:t>
      </w:r>
    </w:p>
    <w:p w14:paraId="5EA51075" w14:textId="77777777" w:rsidR="001E5C90" w:rsidRDefault="004C0898">
      <w:pPr>
        <w:numPr>
          <w:ilvl w:val="0"/>
          <w:numId w:val="5"/>
        </w:numPr>
        <w:pBdr>
          <w:top w:val="nil"/>
          <w:left w:val="nil"/>
          <w:bottom w:val="nil"/>
          <w:right w:val="nil"/>
          <w:between w:val="nil"/>
        </w:pBdr>
        <w:spacing w:line="360" w:lineRule="auto"/>
        <w:ind w:right="567"/>
        <w:jc w:val="both"/>
        <w:rPr>
          <w:color w:val="000000"/>
        </w:rPr>
      </w:pPr>
      <w:r>
        <w:rPr>
          <w:rFonts w:ascii="Palatino Linotype" w:eastAsia="Palatino Linotype" w:hAnsi="Palatino Linotype" w:cs="Palatino Linotype"/>
          <w:b/>
          <w:color w:val="000000"/>
          <w:sz w:val="22"/>
          <w:szCs w:val="22"/>
        </w:rPr>
        <w:t xml:space="preserve">Razones o Motivos de inconformidad: </w:t>
      </w:r>
      <w:r>
        <w:rPr>
          <w:rFonts w:ascii="Palatino Linotype" w:eastAsia="Palatino Linotype" w:hAnsi="Palatino Linotype" w:cs="Palatino Linotype"/>
          <w:i/>
          <w:color w:val="000000"/>
          <w:sz w:val="22"/>
          <w:szCs w:val="22"/>
        </w:rPr>
        <w:t>"</w:t>
      </w:r>
      <w:r>
        <w:rPr>
          <w:rFonts w:ascii="Verdana" w:eastAsia="Verdana" w:hAnsi="Verdana" w:cs="Verdana"/>
          <w:color w:val="000000"/>
          <w:sz w:val="14"/>
          <w:szCs w:val="14"/>
        </w:rPr>
        <w:t xml:space="preserve"> </w:t>
      </w:r>
      <w:r>
        <w:rPr>
          <w:rFonts w:ascii="Palatino Linotype" w:eastAsia="Palatino Linotype" w:hAnsi="Palatino Linotype" w:cs="Palatino Linotype"/>
          <w:i/>
          <w:color w:val="000000"/>
          <w:sz w:val="22"/>
          <w:szCs w:val="22"/>
        </w:rPr>
        <w:t>Reservan la informacion por dos años, sin embargo si ya se cerraron o culminaron los prosedimientos DIRA, es decir, si ya causaron estado, cual es la afectacion que podria conllevar la entrega de los mismos?" (Sic)</w:t>
      </w:r>
    </w:p>
    <w:p w14:paraId="5EA51076" w14:textId="77777777" w:rsidR="001E5C90" w:rsidRDefault="001E5C90">
      <w:pPr>
        <w:spacing w:line="360" w:lineRule="auto"/>
        <w:ind w:right="567"/>
        <w:jc w:val="both"/>
        <w:rPr>
          <w:rFonts w:ascii="Palatino Linotype" w:eastAsia="Palatino Linotype" w:hAnsi="Palatino Linotype" w:cs="Palatino Linotype"/>
          <w:i/>
          <w:sz w:val="22"/>
          <w:szCs w:val="22"/>
        </w:rPr>
      </w:pPr>
    </w:p>
    <w:p w14:paraId="5EA51077" w14:textId="77777777" w:rsidR="001E5C90" w:rsidRDefault="004C089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registró el recurso de revisión bajo el número de expediente al rubro indicado, asimismo con fundamento en lo dispuesto por el artículo 185 fracción I de la </w:t>
      </w:r>
      <w:r>
        <w:rPr>
          <w:rFonts w:ascii="Palatino Linotype" w:eastAsia="Palatino Linotype" w:hAnsi="Palatino Linotype" w:cs="Palatino Linotype"/>
          <w:b/>
          <w:color w:val="000000"/>
        </w:rPr>
        <w:t xml:space="preserve">Ley de Transparencia y Acceso a la Información Pública del Estado de México y Municipios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rPr>
        <w:t>turna</w:t>
      </w:r>
      <w:r>
        <w:rPr>
          <w:rFonts w:ascii="Palatino Linotype" w:eastAsia="Palatino Linotype" w:hAnsi="Palatino Linotype" w:cs="Palatino Linotype"/>
          <w:color w:val="000000"/>
        </w:rPr>
        <w:t xml:space="preserve"> a la </w:t>
      </w:r>
      <w:r>
        <w:rPr>
          <w:rFonts w:ascii="Palatino Linotype" w:eastAsia="Palatino Linotype" w:hAnsi="Palatino Linotype" w:cs="Palatino Linotype"/>
          <w:b/>
          <w:color w:val="000000"/>
        </w:rPr>
        <w:t xml:space="preserve">Comisionada María del Rosario Mejía Ayala, </w:t>
      </w:r>
      <w:r>
        <w:rPr>
          <w:rFonts w:ascii="Palatino Linotype" w:eastAsia="Palatino Linotype" w:hAnsi="Palatino Linotype" w:cs="Palatino Linotype"/>
        </w:rPr>
        <w:t xml:space="preserve">para </w:t>
      </w:r>
      <w:r>
        <w:rPr>
          <w:rFonts w:ascii="Palatino Linotype" w:eastAsia="Palatino Linotype" w:hAnsi="Palatino Linotype" w:cs="Palatino Linotype"/>
          <w:color w:val="000000"/>
        </w:rPr>
        <w:t xml:space="preserve">su análisis. </w:t>
      </w:r>
    </w:p>
    <w:p w14:paraId="5EA51078" w14:textId="77777777" w:rsidR="00222689" w:rsidRDefault="00222689" w:rsidP="0022268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EA51079" w14:textId="77777777" w:rsidR="001E5C90" w:rsidRDefault="004C089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La</w:t>
      </w:r>
      <w:r>
        <w:rPr>
          <w:rFonts w:ascii="Palatino Linotype" w:eastAsia="Palatino Linotype" w:hAnsi="Palatino Linotype" w:cs="Palatino Linotype"/>
          <w:color w:val="000000"/>
        </w:rPr>
        <w:t xml:space="preserve"> Comisionad</w:t>
      </w:r>
      <w:r>
        <w:rPr>
          <w:rFonts w:ascii="Palatino Linotype" w:eastAsia="Palatino Linotype" w:hAnsi="Palatino Linotype" w:cs="Palatino Linotype"/>
        </w:rPr>
        <w:t>a</w:t>
      </w:r>
      <w:r>
        <w:rPr>
          <w:rFonts w:ascii="Palatino Linotype" w:eastAsia="Palatino Linotype" w:hAnsi="Palatino Linotype" w:cs="Palatino Linotype"/>
          <w:color w:val="000000"/>
        </w:rPr>
        <w:t xml:space="preserve"> Ponente con fundamento en lo dispuesto por el artículo 185 fracción II de la ley de la materia, a través del acuerdo de admisión del veintiuno (21) de junio de dos mil veintitrés, puso a disposición de las partes el expediente electrónico vía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 xml:space="preserve">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derecho </w:t>
      </w:r>
      <w:r>
        <w:rPr>
          <w:rFonts w:ascii="Palatino Linotype" w:eastAsia="Palatino Linotype" w:hAnsi="Palatino Linotype" w:cs="Palatino Linotype"/>
        </w:rPr>
        <w:lastRenderedPageBreak/>
        <w:t>conviniera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al caso concreto, de esta forma para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presentará</w:t>
      </w:r>
      <w:r>
        <w:rPr>
          <w:rFonts w:ascii="Palatino Linotype" w:eastAsia="Palatino Linotype" w:hAnsi="Palatino Linotype" w:cs="Palatino Linotype"/>
          <w:color w:val="000000"/>
        </w:rPr>
        <w:t xml:space="preserve"> el informe justificado procedente. </w:t>
      </w:r>
    </w:p>
    <w:p w14:paraId="5EA5107A" w14:textId="77777777" w:rsidR="001E5C90" w:rsidRDefault="001E5C90">
      <w:pPr>
        <w:pBdr>
          <w:top w:val="nil"/>
          <w:left w:val="nil"/>
          <w:bottom w:val="nil"/>
          <w:right w:val="nil"/>
          <w:between w:val="nil"/>
        </w:pBdr>
        <w:ind w:left="720"/>
        <w:rPr>
          <w:rFonts w:ascii="Palatino Linotype" w:eastAsia="Palatino Linotype" w:hAnsi="Palatino Linotype" w:cs="Palatino Linotype"/>
          <w:color w:val="000000"/>
        </w:rPr>
      </w:pPr>
    </w:p>
    <w:p w14:paraId="5EA5107B" w14:textId="77777777" w:rsidR="001E5C90" w:rsidRDefault="004C089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las constancias del expediente electrónico SAIMEX, se advierte que el Recurrente  realizó manifestaciones el treinta (30) de junio de dos mil veintitrés, a través del archivo </w:t>
      </w:r>
      <w:r>
        <w:rPr>
          <w:rFonts w:ascii="Palatino Linotype" w:eastAsia="Palatino Linotype" w:hAnsi="Palatino Linotype" w:cs="Palatino Linotype"/>
          <w:b/>
          <w:color w:val="000000"/>
          <w:u w:val="single"/>
        </w:rPr>
        <w:t>01788.pdf</w:t>
      </w:r>
      <w:r>
        <w:rPr>
          <w:rFonts w:ascii="Palatino Linotype" w:eastAsia="Palatino Linotype" w:hAnsi="Palatino Linotype" w:cs="Palatino Linotype"/>
          <w:color w:val="000000"/>
        </w:rPr>
        <w:t>, en el que señaló:</w:t>
      </w:r>
    </w:p>
    <w:p w14:paraId="5EA5107C" w14:textId="77777777" w:rsidR="001E5C90" w:rsidRPr="00DC72A3"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lang w:val="en-US"/>
        </w:rPr>
      </w:pPr>
      <w:r>
        <w:rPr>
          <w:rFonts w:ascii="Palatino Linotype" w:eastAsia="Palatino Linotype" w:hAnsi="Palatino Linotype" w:cs="Palatino Linotype"/>
          <w:i/>
          <w:color w:val="000000"/>
          <w:sz w:val="22"/>
          <w:szCs w:val="22"/>
        </w:rPr>
        <w:t xml:space="preserve"> </w:t>
      </w:r>
      <w:r w:rsidRPr="00DC72A3">
        <w:rPr>
          <w:rFonts w:ascii="Palatino Linotype" w:eastAsia="Palatino Linotype" w:hAnsi="Palatino Linotype" w:cs="Palatino Linotype"/>
          <w:i/>
          <w:color w:val="000000"/>
          <w:sz w:val="22"/>
          <w:szCs w:val="22"/>
          <w:lang w:val="en-US"/>
        </w:rPr>
        <w:t xml:space="preserve">“01788/TOLUCA/IP/2023 </w:t>
      </w:r>
    </w:p>
    <w:p w14:paraId="5EA5107D" w14:textId="77777777" w:rsidR="001E5C90" w:rsidRPr="00DC72A3"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lang w:val="en-US"/>
        </w:rPr>
      </w:pPr>
      <w:r w:rsidRPr="00DC72A3">
        <w:rPr>
          <w:rFonts w:ascii="Palatino Linotype" w:eastAsia="Palatino Linotype" w:hAnsi="Palatino Linotype" w:cs="Palatino Linotype"/>
          <w:i/>
          <w:color w:val="000000"/>
          <w:sz w:val="22"/>
          <w:szCs w:val="22"/>
          <w:lang w:val="en-US"/>
        </w:rPr>
        <w:t xml:space="preserve">03488/INFOEM/IP/RR/2023 </w:t>
      </w:r>
    </w:p>
    <w:p w14:paraId="5EA5107E" w14:textId="77777777" w:rsidR="001E5C90"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El Comité de Transparencia reservo bajo el argumento de </w:t>
      </w:r>
      <w:r>
        <w:rPr>
          <w:rFonts w:ascii="Palatino Linotype" w:eastAsia="Palatino Linotype" w:hAnsi="Palatino Linotype" w:cs="Palatino Linotype"/>
          <w:b/>
          <w:i/>
          <w:color w:val="000000"/>
          <w:sz w:val="22"/>
          <w:szCs w:val="22"/>
        </w:rPr>
        <w:t xml:space="preserve">“el daño que la divulgación de la información puede generar” </w:t>
      </w:r>
    </w:p>
    <w:p w14:paraId="5EA5107F" w14:textId="77777777" w:rsidR="001E5C90" w:rsidRDefault="001E5C90">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rPr>
      </w:pPr>
    </w:p>
    <w:p w14:paraId="5EA51080" w14:textId="77777777" w:rsidR="001E5C90"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Lo único que puede generar la divulgación de esa información, es la satisfacción del derecho humano de acceso a la información pública, provocando que el ciudadano vea un municipio transparente y honesto, y no uno opaco que, con mala fe, oculta información sin fundamentación ni motivación adecuada, como se desglosa adelante </w:t>
      </w:r>
    </w:p>
    <w:p w14:paraId="5EA51081" w14:textId="77777777" w:rsidR="001E5C90" w:rsidRDefault="001E5C90">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rPr>
      </w:pPr>
    </w:p>
    <w:p w14:paraId="5EA51082" w14:textId="77777777" w:rsidR="001E5C90"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No señala si los expedientes ya causaron estado, pero se presume que sí, ya que nunca refirió lo contrario, por lo cual, no existe ninguna razón valida para reservarlos 2 años. En la sesión de comité de transparencia Acta 446, se puede ver que la prueba de daño no es satisfactoria, por las siguientes razones: </w:t>
      </w:r>
    </w:p>
    <w:p w14:paraId="5EA51083" w14:textId="77777777" w:rsidR="001E5C90"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No pronuncio el riesgo real </w:t>
      </w:r>
    </w:p>
    <w:p w14:paraId="5EA51084" w14:textId="77777777" w:rsidR="001E5C90"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No pronuncio el riesgo demostrable </w:t>
      </w:r>
    </w:p>
    <w:p w14:paraId="5EA51085" w14:textId="77777777" w:rsidR="001E5C90"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No pronuncio el riesgo identificable </w:t>
      </w:r>
    </w:p>
    <w:p w14:paraId="5EA51086" w14:textId="77777777" w:rsidR="001E5C90"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No pronuncio el perjuicio, que el comité de transparencia considero aun mayor que el principio de máxima publicidad </w:t>
      </w:r>
    </w:p>
    <w:p w14:paraId="5EA51087" w14:textId="77777777" w:rsidR="001E5C90"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No fundamento, ni siquiera hizo el balance que demuestre la aplicación justa y honesta del principio de proporcionalidad, lo hizo a favor de la opacidad </w:t>
      </w:r>
    </w:p>
    <w:p w14:paraId="5EA51088" w14:textId="77777777" w:rsidR="001E5C90"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En el acta de comité, refieren el artículo 140 de la LTAIPEMM: </w:t>
      </w:r>
    </w:p>
    <w:p w14:paraId="5EA51089" w14:textId="77777777" w:rsidR="001E5C90" w:rsidRDefault="001E5C90">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rPr>
      </w:pPr>
    </w:p>
    <w:p w14:paraId="5EA5108A" w14:textId="77777777" w:rsidR="001E5C90"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140</w:t>
      </w:r>
      <w:r>
        <w:rPr>
          <w:rFonts w:ascii="Palatino Linotype" w:eastAsia="Palatino Linotype" w:hAnsi="Palatino Linotype" w:cs="Palatino Linotype"/>
          <w:i/>
          <w:color w:val="000000"/>
          <w:sz w:val="22"/>
          <w:szCs w:val="22"/>
        </w:rPr>
        <w:t xml:space="preserve">. El acceso a la información pública será restringido excepcionalmente, cuando por razones de interés público, ésta sea clasificada como reservada, conforme a los criterios siguientes: </w:t>
      </w:r>
    </w:p>
    <w:p w14:paraId="5EA5108B" w14:textId="77777777" w:rsidR="001E5C90"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Aquella cuya divulgación obstruya o pueda causar un serio perjuicio a: </w:t>
      </w:r>
    </w:p>
    <w:p w14:paraId="5EA5108C" w14:textId="77777777" w:rsidR="001E5C90"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 Las actividades de fiscalización, verificación, inspección, comprobación y auditoría sobre el cumplimiento de las Leyes; </w:t>
      </w:r>
      <w:r>
        <w:rPr>
          <w:rFonts w:ascii="Palatino Linotype" w:eastAsia="Palatino Linotype" w:hAnsi="Palatino Linotype" w:cs="Palatino Linotype"/>
          <w:b/>
          <w:i/>
          <w:color w:val="000000"/>
          <w:sz w:val="22"/>
          <w:szCs w:val="22"/>
        </w:rPr>
        <w:t>(si los expedientes ya causaron estado, ¿cuál es el riesgo que la divulgación de la información pueda generar? Ya no hay perjuicio que se pueda generar a las actividades de verificación, inspección, comprobación y auditoria que lleva a cabo la contraloría)</w:t>
      </w:r>
      <w:r>
        <w:rPr>
          <w:rFonts w:ascii="Palatino Linotype" w:eastAsia="Palatino Linotype" w:hAnsi="Palatino Linotype" w:cs="Palatino Linotype"/>
          <w:i/>
          <w:color w:val="000000"/>
          <w:sz w:val="22"/>
          <w:szCs w:val="22"/>
        </w:rPr>
        <w:t xml:space="preserve"> </w:t>
      </w:r>
    </w:p>
    <w:p w14:paraId="5EA5108D" w14:textId="77777777" w:rsidR="001E5C90"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r>
        <w:rPr>
          <w:rFonts w:ascii="Palatino Linotype" w:eastAsia="Palatino Linotype" w:hAnsi="Palatino Linotype" w:cs="Palatino Linotype"/>
          <w:b/>
          <w:i/>
          <w:color w:val="000000"/>
          <w:sz w:val="22"/>
          <w:szCs w:val="22"/>
        </w:rPr>
        <w:t>(nuevamente, no justifico como es que se alteraría el o los procesos de investigación de las carpetas de investigación, afecte o vulnere la conducción o los derechos del debido proceso en los procedimientos administrativos, quejas, denuncias, inconformidades, responsabilidades administrativas etc.)</w:t>
      </w:r>
      <w:r>
        <w:rPr>
          <w:rFonts w:ascii="Palatino Linotype" w:eastAsia="Palatino Linotype" w:hAnsi="Palatino Linotype" w:cs="Palatino Linotype"/>
          <w:i/>
          <w:color w:val="000000"/>
          <w:sz w:val="22"/>
          <w:szCs w:val="22"/>
        </w:rPr>
        <w:t xml:space="preserve"> </w:t>
      </w:r>
    </w:p>
    <w:p w14:paraId="5EA5108E" w14:textId="77777777" w:rsidR="001E5C90"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VIII. Vulnere la conducción de los expedientes judiciales o de los procedimientos administrativos seguidos en forma de juicio, en tanto no hayan quedado firmes; </w:t>
      </w:r>
      <w:r>
        <w:rPr>
          <w:rFonts w:ascii="Palatino Linotype" w:eastAsia="Palatino Linotype" w:hAnsi="Palatino Linotype" w:cs="Palatino Linotype"/>
          <w:b/>
          <w:i/>
          <w:color w:val="000000"/>
          <w:sz w:val="22"/>
          <w:szCs w:val="22"/>
        </w:rPr>
        <w:t>(nuevamente, los expedientes ya están cerrados, tan es así, que los integrantes del comité ni los servidores públicos habilitados, nunca advirtieron, que estaban aun en proceso, ya que son del año pasado)</w:t>
      </w:r>
      <w:r>
        <w:rPr>
          <w:rFonts w:ascii="Palatino Linotype" w:eastAsia="Palatino Linotype" w:hAnsi="Palatino Linotype" w:cs="Palatino Linotype"/>
          <w:i/>
          <w:color w:val="000000"/>
          <w:sz w:val="22"/>
          <w:szCs w:val="22"/>
        </w:rPr>
        <w:t xml:space="preserve"> </w:t>
      </w:r>
    </w:p>
    <w:p w14:paraId="5EA5108F" w14:textId="77777777" w:rsidR="001E5C90"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r>
        <w:rPr>
          <w:rFonts w:ascii="Palatino Linotype" w:eastAsia="Palatino Linotype" w:hAnsi="Palatino Linotype" w:cs="Palatino Linotype"/>
          <w:b/>
          <w:i/>
          <w:color w:val="000000"/>
          <w:sz w:val="22"/>
          <w:szCs w:val="22"/>
        </w:rPr>
        <w:t>(el único daño que pretenden evitar, es a la credibilidad del municipio, pero el que pueda provocar la verdad, es decir, la información integra relativa a los expedientes solicitados)</w:t>
      </w:r>
      <w:r>
        <w:rPr>
          <w:rFonts w:ascii="Palatino Linotype" w:eastAsia="Palatino Linotype" w:hAnsi="Palatino Linotype" w:cs="Palatino Linotype"/>
          <w:i/>
          <w:color w:val="000000"/>
          <w:sz w:val="22"/>
          <w:szCs w:val="22"/>
        </w:rPr>
        <w:t xml:space="preserve"> </w:t>
      </w:r>
    </w:p>
    <w:p w14:paraId="5EA51090" w14:textId="77777777" w:rsidR="001E5C90" w:rsidRDefault="001E5C90">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rPr>
      </w:pPr>
    </w:p>
    <w:p w14:paraId="5EA51091" w14:textId="77777777" w:rsidR="001E5C90"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Por lo anterior, solicito ante el Instituto, tenga a bien, admitir las presentes manifestaciones y condenar al sujeto obligado a entregar la información integra, por no tener elementos suficientes para su reserva.”</w:t>
      </w:r>
    </w:p>
    <w:p w14:paraId="5EA51092" w14:textId="77777777" w:rsidR="001E5C90" w:rsidRDefault="001E5C90">
      <w:pPr>
        <w:pBdr>
          <w:top w:val="nil"/>
          <w:left w:val="nil"/>
          <w:bottom w:val="nil"/>
          <w:right w:val="nil"/>
          <w:between w:val="nil"/>
        </w:pBdr>
        <w:ind w:left="720"/>
        <w:rPr>
          <w:rFonts w:ascii="Palatino Linotype" w:eastAsia="Palatino Linotype" w:hAnsi="Palatino Linotype" w:cs="Palatino Linotype"/>
          <w:color w:val="000000"/>
        </w:rPr>
      </w:pPr>
    </w:p>
    <w:p w14:paraId="5EA51093" w14:textId="77777777" w:rsidR="001E5C90" w:rsidRDefault="004C089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su parte, el Sujeto Obligado entregó informe justificado el treinta de junio de dos mil veintitrés y fue puesto  a la vista del particular el tres de julio de dos mil veinticuatro, a través del archivo </w:t>
      </w:r>
      <w:hyperlink r:id="rId10">
        <w:r>
          <w:rPr>
            <w:rFonts w:ascii="Palatino Linotype" w:eastAsia="Palatino Linotype" w:hAnsi="Palatino Linotype" w:cs="Palatino Linotype"/>
            <w:b/>
            <w:color w:val="0563C1"/>
            <w:u w:val="single"/>
          </w:rPr>
          <w:t>RR3488.pdf</w:t>
        </w:r>
      </w:hyperlink>
      <w:r>
        <w:rPr>
          <w:rFonts w:ascii="Palatino Linotype" w:eastAsia="Palatino Linotype" w:hAnsi="Palatino Linotype" w:cs="Palatino Linotype"/>
          <w:color w:val="000000"/>
        </w:rPr>
        <w:t xml:space="preserve">, en el que se advierte el oficio 2010A4000/UT/RR/00437/2023 de fecha treinta y uno de junio de dos mil veintitrés, en el que de forma medular se ratificó la respuesta. </w:t>
      </w:r>
    </w:p>
    <w:p w14:paraId="5EA51094" w14:textId="77777777" w:rsidR="001E5C90" w:rsidRDefault="001E5C90">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5EA51095" w14:textId="77777777" w:rsidR="001E5C90" w:rsidRDefault="004C089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once (11) de octubre de dos mil veintitrés, se notificó el acuerdo por el cual se aprobó la ampliación de plazo para emitir resolución.</w:t>
      </w:r>
    </w:p>
    <w:p w14:paraId="5EA51096" w14:textId="77777777" w:rsidR="001E5C90" w:rsidRDefault="001E5C9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EA51097" w14:textId="77777777" w:rsidR="001E5C90" w:rsidRDefault="004C0898">
      <w:pPr>
        <w:numPr>
          <w:ilvl w:val="0"/>
          <w:numId w:val="7"/>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Este organismo garante no pasa por alto justificar, que la dilación en la resolución del presente asunto encuentra justificación en el alto número de recursos de revisión, circunstancia atípica que ha rebasado las capacidades técnicas y humanas del personal encargado de la proyección de las resoluciones a dichos medios de impugnación.</w:t>
      </w:r>
    </w:p>
    <w:p w14:paraId="5EA51098" w14:textId="77777777" w:rsidR="001E5C90" w:rsidRDefault="001E5C90">
      <w:pPr>
        <w:spacing w:line="360" w:lineRule="auto"/>
        <w:rPr>
          <w:rFonts w:ascii="Palatino Linotype" w:eastAsia="Palatino Linotype" w:hAnsi="Palatino Linotype" w:cs="Palatino Linotype"/>
        </w:rPr>
      </w:pPr>
    </w:p>
    <w:p w14:paraId="5EA51099" w14:textId="77777777" w:rsidR="001E5C90" w:rsidRDefault="004C0898">
      <w:pPr>
        <w:numPr>
          <w:ilvl w:val="0"/>
          <w:numId w:val="7"/>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EA5109A" w14:textId="77777777" w:rsidR="001E5C90" w:rsidRDefault="001E5C90">
      <w:pPr>
        <w:spacing w:line="360" w:lineRule="auto"/>
        <w:rPr>
          <w:rFonts w:ascii="Palatino Linotype" w:eastAsia="Palatino Linotype" w:hAnsi="Palatino Linotype" w:cs="Palatino Linotype"/>
        </w:rPr>
      </w:pPr>
    </w:p>
    <w:p w14:paraId="5EA5109B" w14:textId="77777777" w:rsidR="001E5C90" w:rsidRDefault="004C0898">
      <w:pPr>
        <w:numPr>
          <w:ilvl w:val="0"/>
          <w:numId w:val="7"/>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EA5109C" w14:textId="77777777" w:rsidR="001E5C90" w:rsidRDefault="001E5C90">
      <w:pPr>
        <w:spacing w:line="360" w:lineRule="auto"/>
        <w:rPr>
          <w:rFonts w:ascii="Palatino Linotype" w:eastAsia="Palatino Linotype" w:hAnsi="Palatino Linotype" w:cs="Palatino Linotype"/>
        </w:rPr>
      </w:pPr>
    </w:p>
    <w:p w14:paraId="5EA5109D" w14:textId="77777777" w:rsidR="001E5C90" w:rsidRDefault="004C0898">
      <w:pPr>
        <w:numPr>
          <w:ilvl w:val="0"/>
          <w:numId w:val="7"/>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EA5109E" w14:textId="77777777" w:rsidR="001E5C90" w:rsidRDefault="001E5C90">
      <w:pPr>
        <w:spacing w:line="360" w:lineRule="auto"/>
        <w:jc w:val="both"/>
        <w:rPr>
          <w:rFonts w:ascii="Palatino Linotype" w:eastAsia="Palatino Linotype" w:hAnsi="Palatino Linotype" w:cs="Palatino Linotype"/>
          <w:b/>
        </w:rPr>
      </w:pPr>
    </w:p>
    <w:p w14:paraId="5EA5109F" w14:textId="77777777" w:rsidR="001E5C90" w:rsidRDefault="004C0898">
      <w:pPr>
        <w:numPr>
          <w:ilvl w:val="0"/>
          <w:numId w:val="7"/>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 dicha dilación atendiendo a los siguientes criterios:   </w:t>
      </w:r>
    </w:p>
    <w:p w14:paraId="5EA510A0" w14:textId="77777777" w:rsidR="001E5C90" w:rsidRDefault="004C0898">
      <w:pPr>
        <w:numPr>
          <w:ilvl w:val="0"/>
          <w:numId w:val="8"/>
        </w:numPr>
        <w:pBdr>
          <w:top w:val="nil"/>
          <w:left w:val="nil"/>
          <w:bottom w:val="nil"/>
          <w:right w:val="nil"/>
          <w:between w:val="nil"/>
        </w:pBdr>
        <w:spacing w:line="360" w:lineRule="auto"/>
        <w:ind w:left="851" w:right="822"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Complejidad del </w:t>
      </w:r>
      <w:r>
        <w:rPr>
          <w:rFonts w:ascii="Palatino Linotype" w:eastAsia="Palatino Linotype" w:hAnsi="Palatino Linotype" w:cs="Palatino Linotype"/>
          <w:sz w:val="22"/>
          <w:szCs w:val="22"/>
        </w:rPr>
        <w:t>asunto</w:t>
      </w:r>
      <w:r>
        <w:rPr>
          <w:rFonts w:ascii="Palatino Linotype" w:eastAsia="Palatino Linotype" w:hAnsi="Palatino Linotype" w:cs="Palatino Linotype"/>
          <w:color w:val="000000"/>
          <w:sz w:val="22"/>
          <w:szCs w:val="22"/>
        </w:rPr>
        <w:t xml:space="preserve">: La complejidad de la prueba, la pluralidad de sujetos procesales, el tiempo transcurrido, las características y contexto del recurso. </w:t>
      </w:r>
    </w:p>
    <w:p w14:paraId="5EA510A1" w14:textId="77777777" w:rsidR="001E5C90" w:rsidRDefault="004C0898">
      <w:pPr>
        <w:numPr>
          <w:ilvl w:val="0"/>
          <w:numId w:val="8"/>
        </w:numPr>
        <w:pBdr>
          <w:top w:val="nil"/>
          <w:left w:val="nil"/>
          <w:bottom w:val="nil"/>
          <w:right w:val="nil"/>
          <w:between w:val="nil"/>
        </w:pBdr>
        <w:spacing w:line="360" w:lineRule="auto"/>
        <w:ind w:left="851" w:right="822"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Actividad Procesal del interesado. Acciones u omisiones del interesado.</w:t>
      </w:r>
    </w:p>
    <w:p w14:paraId="5EA510A2" w14:textId="77777777" w:rsidR="001E5C90" w:rsidRDefault="004C0898">
      <w:pPr>
        <w:numPr>
          <w:ilvl w:val="0"/>
          <w:numId w:val="8"/>
        </w:numPr>
        <w:pBdr>
          <w:top w:val="nil"/>
          <w:left w:val="nil"/>
          <w:bottom w:val="nil"/>
          <w:right w:val="nil"/>
          <w:between w:val="nil"/>
        </w:pBdr>
        <w:spacing w:line="360" w:lineRule="auto"/>
        <w:ind w:left="851" w:right="822"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Conducta de la Autoridad: Las Acciones u omisiones realizadas en el procedimiento. Así como si la autoridad actuó con la debida diligencia.</w:t>
      </w:r>
    </w:p>
    <w:p w14:paraId="5EA510A3" w14:textId="77777777" w:rsidR="001E5C90" w:rsidRDefault="004C0898">
      <w:pPr>
        <w:spacing w:line="360" w:lineRule="auto"/>
        <w:ind w:left="851" w:right="82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5EA510A4" w14:textId="77777777" w:rsidR="001E5C90" w:rsidRDefault="001E5C90">
      <w:pPr>
        <w:spacing w:line="360" w:lineRule="auto"/>
        <w:rPr>
          <w:rFonts w:ascii="Palatino Linotype" w:eastAsia="Palatino Linotype" w:hAnsi="Palatino Linotype" w:cs="Palatino Linotype"/>
        </w:rPr>
      </w:pPr>
    </w:p>
    <w:p w14:paraId="5EA510A5" w14:textId="77777777" w:rsidR="001E5C90" w:rsidRDefault="004C0898">
      <w:pPr>
        <w:numPr>
          <w:ilvl w:val="0"/>
          <w:numId w:val="7"/>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EA510A6" w14:textId="77777777" w:rsidR="001E5C90" w:rsidRDefault="001E5C90">
      <w:pPr>
        <w:spacing w:line="360" w:lineRule="auto"/>
        <w:ind w:left="720"/>
        <w:jc w:val="both"/>
        <w:rPr>
          <w:rFonts w:ascii="Palatino Linotype" w:eastAsia="Palatino Linotype" w:hAnsi="Palatino Linotype" w:cs="Palatino Linotype"/>
        </w:rPr>
      </w:pPr>
    </w:p>
    <w:p w14:paraId="5EA510A7" w14:textId="77777777" w:rsidR="001E5C90" w:rsidRDefault="004C0898">
      <w:pPr>
        <w:numPr>
          <w:ilvl w:val="0"/>
          <w:numId w:val="7"/>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del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Semanario Judicial de la Federación con el registro digital 205635.</w:t>
      </w:r>
    </w:p>
    <w:p w14:paraId="5EA510A8" w14:textId="77777777" w:rsidR="001E5C90" w:rsidRDefault="001E5C90">
      <w:pPr>
        <w:spacing w:line="360" w:lineRule="auto"/>
        <w:rPr>
          <w:rFonts w:ascii="Palatino Linotype" w:eastAsia="Palatino Linotype" w:hAnsi="Palatino Linotype" w:cs="Palatino Linotype"/>
        </w:rPr>
      </w:pPr>
    </w:p>
    <w:p w14:paraId="5EA510A9" w14:textId="77777777" w:rsidR="001E5C90" w:rsidRDefault="004C0898">
      <w:pPr>
        <w:numPr>
          <w:ilvl w:val="0"/>
          <w:numId w:val="7"/>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5EA510AA" w14:textId="77777777" w:rsidR="001E5C90" w:rsidRDefault="001E5C90">
      <w:pPr>
        <w:spacing w:line="360" w:lineRule="auto"/>
        <w:rPr>
          <w:rFonts w:ascii="Palatino Linotype" w:eastAsia="Palatino Linotype" w:hAnsi="Palatino Linotype" w:cs="Palatino Linotype"/>
        </w:rPr>
      </w:pPr>
    </w:p>
    <w:p w14:paraId="5EA510AB" w14:textId="77777777" w:rsidR="001E5C90" w:rsidRDefault="004C0898">
      <w:pPr>
        <w:numPr>
          <w:ilvl w:val="0"/>
          <w:numId w:val="7"/>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EA510AC" w14:textId="77777777" w:rsidR="001E5C90" w:rsidRDefault="001E5C90">
      <w:pPr>
        <w:spacing w:line="360" w:lineRule="auto"/>
        <w:rPr>
          <w:rFonts w:ascii="Palatino Linotype" w:eastAsia="Palatino Linotype" w:hAnsi="Palatino Linotype" w:cs="Palatino Linotype"/>
        </w:rPr>
      </w:pPr>
    </w:p>
    <w:p w14:paraId="5EA510AD" w14:textId="77777777" w:rsidR="001E5C90" w:rsidRDefault="004C0898">
      <w:pPr>
        <w:numPr>
          <w:ilvl w:val="0"/>
          <w:numId w:val="7"/>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EA510AE" w14:textId="77777777" w:rsidR="001E5C90" w:rsidRDefault="004C0898">
      <w:pPr>
        <w:spacing w:line="360" w:lineRule="auto"/>
        <w:ind w:left="851" w:right="822"/>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“PLAZO RAZONABLE PARA RESOLVER. DIMENSIÓN Y EFECTOS DE ESTE CONCEPTO CUANDO SE ADUCE EXCESIVA CARGA DE TRABAJO.”</w:t>
      </w:r>
      <w:r>
        <w:rPr>
          <w:rFonts w:ascii="Palatino Linotype" w:eastAsia="Palatino Linotype" w:hAnsi="Palatino Linotype" w:cs="Palatino Linotype"/>
          <w:sz w:val="20"/>
          <w:szCs w:val="20"/>
        </w:rPr>
        <w:t xml:space="preserve"> consultable en el Seminario Judicial de la Federación y su gaceta, con el registro digital 2002351.</w:t>
      </w:r>
    </w:p>
    <w:p w14:paraId="5EA510AF" w14:textId="77777777" w:rsidR="001E5C90" w:rsidRDefault="001E5C90">
      <w:pPr>
        <w:spacing w:line="360" w:lineRule="auto"/>
        <w:ind w:left="851" w:right="822"/>
        <w:jc w:val="both"/>
        <w:rPr>
          <w:rFonts w:ascii="Palatino Linotype" w:eastAsia="Palatino Linotype" w:hAnsi="Palatino Linotype" w:cs="Palatino Linotype"/>
          <w:b/>
          <w:sz w:val="20"/>
          <w:szCs w:val="20"/>
        </w:rPr>
      </w:pPr>
    </w:p>
    <w:p w14:paraId="5EA510B0" w14:textId="77777777" w:rsidR="001E5C90" w:rsidRDefault="004C0898">
      <w:pPr>
        <w:spacing w:line="360" w:lineRule="auto"/>
        <w:ind w:left="851" w:right="822"/>
        <w:jc w:val="both"/>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t>“PLAZO RAZONABLE PARA RESOLVER. CONCEPTO Y ELEMENTOS QUE LO INTEGRAN A LA LUZ DEL DERECHO INTERNACIONAL DE LOS DERECHOS HUMANOS.”</w:t>
      </w:r>
      <w:r>
        <w:rPr>
          <w:rFonts w:ascii="Palatino Linotype" w:eastAsia="Palatino Linotype" w:hAnsi="Palatino Linotype" w:cs="Palatino Linotype"/>
          <w:sz w:val="20"/>
          <w:szCs w:val="20"/>
        </w:rPr>
        <w:t>, visible en el Seminario Judicial de la Federación y su gaceta, con el registro digital 2002350.</w:t>
      </w:r>
    </w:p>
    <w:p w14:paraId="5EA510B1" w14:textId="77777777" w:rsidR="001E5C90" w:rsidRDefault="001E5C90">
      <w:pPr>
        <w:spacing w:line="360" w:lineRule="auto"/>
        <w:ind w:right="822"/>
        <w:jc w:val="both"/>
        <w:rPr>
          <w:rFonts w:ascii="Palatino Linotype" w:eastAsia="Palatino Linotype" w:hAnsi="Palatino Linotype" w:cs="Palatino Linotype"/>
          <w:i/>
        </w:rPr>
      </w:pPr>
    </w:p>
    <w:p w14:paraId="5EA510B2" w14:textId="77777777" w:rsidR="001E5C90" w:rsidRDefault="004C0898">
      <w:pPr>
        <w:numPr>
          <w:ilvl w:val="0"/>
          <w:numId w:val="7"/>
        </w:numPr>
        <w:pBdr>
          <w:top w:val="nil"/>
          <w:left w:val="nil"/>
          <w:bottom w:val="nil"/>
          <w:right w:val="nil"/>
          <w:between w:val="nil"/>
        </w:pBdr>
        <w:spacing w:line="360" w:lineRule="auto"/>
        <w:ind w:left="0" w:right="113"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ello, este Organismo Garante comprometido con la tutela de los derechos humanos confiados, señala que este exceso de plazo legal para resolver el presente asunto, resulta de carácter excepcional. </w:t>
      </w:r>
    </w:p>
    <w:p w14:paraId="5EA510B3" w14:textId="77777777" w:rsidR="001E5C90" w:rsidRDefault="001E5C9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EA510B4" w14:textId="77777777" w:rsidR="001E5C90" w:rsidRDefault="004C089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Comisionada Ponente decretó el cierre de instrucción mediante el acuerdo del nueve (09) de julio de dos mil veinticuatro.</w:t>
      </w:r>
    </w:p>
    <w:p w14:paraId="5EA510B5" w14:textId="77777777" w:rsidR="001E5C90" w:rsidRDefault="004C0898">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b/>
        </w:rPr>
        <w:lastRenderedPageBreak/>
        <w:t>C O N S I D E R A N D O</w:t>
      </w:r>
    </w:p>
    <w:p w14:paraId="5EA510B6" w14:textId="77777777" w:rsidR="001E5C90" w:rsidRDefault="004C0898">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PRIMERO. De la competencia</w:t>
      </w:r>
    </w:p>
    <w:p w14:paraId="5EA510B7" w14:textId="77777777" w:rsidR="001E5C90" w:rsidRDefault="004C0898">
      <w:pPr>
        <w:numPr>
          <w:ilvl w:val="0"/>
          <w:numId w:val="7"/>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5EA510B8" w14:textId="77777777" w:rsidR="001E5C90" w:rsidRDefault="001E5C9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EA510B9" w14:textId="77777777" w:rsidR="001E5C90" w:rsidRDefault="004C0898">
      <w:pPr>
        <w:keepNext/>
        <w:keepLines/>
        <w:spacing w:line="360" w:lineRule="auto"/>
        <w:rPr>
          <w:rFonts w:ascii="Palatino Linotype" w:eastAsia="Palatino Linotype" w:hAnsi="Palatino Linotype" w:cs="Palatino Linotype"/>
          <w:b/>
        </w:rPr>
      </w:pPr>
      <w:r>
        <w:rPr>
          <w:rFonts w:ascii="Palatino Linotype" w:eastAsia="Palatino Linotype" w:hAnsi="Palatino Linotype" w:cs="Palatino Linotype"/>
          <w:b/>
        </w:rPr>
        <w:t>SEGUNDO. De la oportunidad y procedencia.</w:t>
      </w:r>
    </w:p>
    <w:p w14:paraId="5EA510BA" w14:textId="77777777" w:rsidR="001E5C90" w:rsidRDefault="004C089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medio de impugnación fue presentado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en el formato previamente aprobado para tal efecto y dentro del plazo legal de quince días hábiles otorgados; siendo así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entregó respuesta a la solicitud el día veintiuno (21) de agosto de dos mil veintitrés, de tal forma que el plazo para interponer el recurso de revisión transcurrió del veintidós (22) de agosto al once  (11) de septiembre de dos mil veintitrés; en consecuencia, presentó su inconformidad el día tres (03) de septiembre de dos mil veintitrés, por lo que se encuentra dentro de los márgenes temporales previstos en el artículo 178 de la </w:t>
      </w:r>
      <w:r>
        <w:rPr>
          <w:rFonts w:ascii="Palatino Linotype" w:eastAsia="Palatino Linotype" w:hAnsi="Palatino Linotype" w:cs="Palatino Linotype"/>
          <w:b/>
          <w:color w:val="000000"/>
        </w:rPr>
        <w:t xml:space="preserve">Ley de Transparencia y Acceso a la Información Pública del Estado de México y Municipios </w:t>
      </w:r>
      <w:r>
        <w:rPr>
          <w:rFonts w:ascii="Palatino Linotype" w:eastAsia="Palatino Linotype" w:hAnsi="Palatino Linotype" w:cs="Palatino Linotype"/>
          <w:color w:val="000000"/>
        </w:rPr>
        <w:t>vigente.</w:t>
      </w:r>
    </w:p>
    <w:p w14:paraId="5EA510BB" w14:textId="77777777" w:rsidR="001E5C90" w:rsidRDefault="001E5C9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EA510BC" w14:textId="77777777" w:rsidR="001E5C90" w:rsidRDefault="004C089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EA510BD" w14:textId="77777777" w:rsidR="001E5C90" w:rsidRDefault="001E5C90">
      <w:pPr>
        <w:pBdr>
          <w:top w:val="nil"/>
          <w:left w:val="nil"/>
          <w:bottom w:val="nil"/>
          <w:right w:val="nil"/>
          <w:between w:val="nil"/>
        </w:pBdr>
        <w:ind w:left="720"/>
        <w:rPr>
          <w:rFonts w:ascii="Palatino Linotype" w:eastAsia="Palatino Linotype" w:hAnsi="Palatino Linotype" w:cs="Palatino Linotype"/>
          <w:color w:val="000000"/>
        </w:rPr>
      </w:pPr>
    </w:p>
    <w:p w14:paraId="5EA510BE" w14:textId="77777777" w:rsidR="001E5C90" w:rsidRDefault="004C0898">
      <w:pPr>
        <w:spacing w:line="360" w:lineRule="auto"/>
        <w:ind w:right="49"/>
        <w:jc w:val="both"/>
        <w:rPr>
          <w:rFonts w:ascii="Palatino Linotype" w:eastAsia="Palatino Linotype" w:hAnsi="Palatino Linotype" w:cs="Palatino Linotype"/>
          <w:b/>
        </w:rPr>
      </w:pPr>
      <w:bookmarkStart w:id="0" w:name="_heading=h.2et92p0" w:colFirst="0" w:colLast="0"/>
      <w:bookmarkEnd w:id="0"/>
      <w:r>
        <w:rPr>
          <w:rFonts w:ascii="Palatino Linotype" w:eastAsia="Palatino Linotype" w:hAnsi="Palatino Linotype" w:cs="Palatino Linotype"/>
          <w:b/>
        </w:rPr>
        <w:t>TERCERO. Planteamiento de la Litis.</w:t>
      </w:r>
    </w:p>
    <w:p w14:paraId="5EA510BF" w14:textId="77777777" w:rsidR="001E5C90" w:rsidRDefault="004C0898">
      <w:pPr>
        <w:numPr>
          <w:ilvl w:val="0"/>
          <w:numId w:val="7"/>
        </w:numPr>
        <w:spacing w:line="360" w:lineRule="auto"/>
        <w:ind w:left="0" w:right="49" w:firstLine="0"/>
        <w:jc w:val="both"/>
        <w:rPr>
          <w:rFonts w:ascii="Palatino Linotype" w:eastAsia="Palatino Linotype" w:hAnsi="Palatino Linotype" w:cs="Palatino Linotype"/>
          <w:i/>
        </w:rPr>
      </w:pPr>
      <w:r>
        <w:rPr>
          <w:rFonts w:ascii="Palatino Linotype" w:eastAsia="Palatino Linotype" w:hAnsi="Palatino Linotype" w:cs="Palatino Linotype"/>
        </w:rPr>
        <w:t xml:space="preserve">El particular solicitó los expedientes DIRA (Dirección Investigación Responsabilidades Administrativas) del 2022. </w:t>
      </w:r>
    </w:p>
    <w:p w14:paraId="5EA510C0" w14:textId="77777777" w:rsidR="001E5C90" w:rsidRDefault="001E5C90">
      <w:pPr>
        <w:spacing w:line="360" w:lineRule="auto"/>
        <w:ind w:right="49"/>
        <w:jc w:val="both"/>
        <w:rPr>
          <w:rFonts w:ascii="Palatino Linotype" w:eastAsia="Palatino Linotype" w:hAnsi="Palatino Linotype" w:cs="Palatino Linotype"/>
          <w:i/>
        </w:rPr>
      </w:pPr>
    </w:p>
    <w:p w14:paraId="5EA510C1" w14:textId="77777777" w:rsidR="001E5C90" w:rsidRDefault="004C0898">
      <w:pPr>
        <w:numPr>
          <w:ilvl w:val="0"/>
          <w:numId w:val="7"/>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Sujeto Obligado reservó la información solicitada a través del acuerdo emitido por el Comité de Transparencia. Posteriormente, el Recurrente interpuso recurso de revisión en el que señaló su inconformidad por la clasificación de la información.  </w:t>
      </w:r>
    </w:p>
    <w:p w14:paraId="5EA510C2" w14:textId="77777777" w:rsidR="001E5C90" w:rsidRDefault="001E5C90">
      <w:pPr>
        <w:spacing w:line="360" w:lineRule="auto"/>
        <w:ind w:right="49"/>
        <w:jc w:val="both"/>
        <w:rPr>
          <w:rFonts w:ascii="Palatino Linotype" w:eastAsia="Palatino Linotype" w:hAnsi="Palatino Linotype" w:cs="Palatino Linotype"/>
        </w:rPr>
      </w:pPr>
    </w:p>
    <w:p w14:paraId="5EA510C3" w14:textId="77777777" w:rsidR="001E5C90" w:rsidRDefault="004C0898">
      <w:pPr>
        <w:numPr>
          <w:ilvl w:val="0"/>
          <w:numId w:val="7"/>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la Litis a resolver en este recurso, se circunscribe a determinar si la respuesta colma con lo solicitado o si se actualiza la causal de procedencia prevista en el artículo 179, fracción I y II de la Ley de Transparencia y Acceso a la Información Pública del Estado de México y Municipios; que establece la negativa de la información y la clasificación de la información.  </w:t>
      </w:r>
    </w:p>
    <w:p w14:paraId="5EA510C4" w14:textId="77777777" w:rsidR="001E5C90" w:rsidRDefault="001E5C90">
      <w:pPr>
        <w:spacing w:line="360" w:lineRule="auto"/>
        <w:ind w:right="49"/>
        <w:jc w:val="both"/>
        <w:rPr>
          <w:rFonts w:ascii="Palatino Linotype" w:eastAsia="Palatino Linotype" w:hAnsi="Palatino Linotype" w:cs="Palatino Linotype"/>
        </w:rPr>
      </w:pPr>
    </w:p>
    <w:p w14:paraId="5EA510C5" w14:textId="77777777" w:rsidR="001E5C90" w:rsidRDefault="004C0898">
      <w:pPr>
        <w:keepNext/>
        <w:keepLines/>
        <w:spacing w:line="360" w:lineRule="auto"/>
        <w:ind w:right="48"/>
        <w:rPr>
          <w:rFonts w:ascii="Palatino Linotype" w:eastAsia="Palatino Linotype" w:hAnsi="Palatino Linotype" w:cs="Palatino Linotype"/>
          <w:b/>
        </w:rPr>
      </w:pPr>
      <w:bookmarkStart w:id="1" w:name="_heading=h.tyjcwt" w:colFirst="0" w:colLast="0"/>
      <w:bookmarkEnd w:id="1"/>
      <w:r>
        <w:rPr>
          <w:rFonts w:ascii="Palatino Linotype" w:eastAsia="Palatino Linotype" w:hAnsi="Palatino Linotype" w:cs="Palatino Linotype"/>
          <w:b/>
        </w:rPr>
        <w:t>CUARTO. Del estudio y resolución del recurso de revisión.</w:t>
      </w:r>
    </w:p>
    <w:p w14:paraId="5EA510C6" w14:textId="77777777" w:rsidR="001E5C90" w:rsidRDefault="004C0898">
      <w:pPr>
        <w:numPr>
          <w:ilvl w:val="0"/>
          <w:numId w:val="7"/>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 procede analizar el contenido íntegro de las actuaciones que obran en el expediente electrónico, y así este Órgano Garante dicte la resolución correspondiente, apegándose en todo momento al principio de máxima publicidad de acuerdo con lo </w:t>
      </w:r>
      <w:r>
        <w:rPr>
          <w:rFonts w:ascii="Palatino Linotype" w:eastAsia="Palatino Linotype" w:hAnsi="Palatino Linotype" w:cs="Palatino Linotype"/>
        </w:rPr>
        <w:lastRenderedPageBreak/>
        <w:t>establecido en el artículo 8 de la Ley de Transparencia y Acceso a la Información Pública del Estado de México y Municipios.</w:t>
      </w:r>
    </w:p>
    <w:p w14:paraId="5EA510C7" w14:textId="77777777" w:rsidR="001E5C90" w:rsidRDefault="001E5C90">
      <w:pPr>
        <w:spacing w:line="360" w:lineRule="auto"/>
        <w:ind w:right="49"/>
        <w:jc w:val="both"/>
        <w:rPr>
          <w:rFonts w:ascii="Palatino Linotype" w:eastAsia="Palatino Linotype" w:hAnsi="Palatino Linotype" w:cs="Palatino Linotype"/>
        </w:rPr>
      </w:pPr>
    </w:p>
    <w:p w14:paraId="5EA510C8" w14:textId="77777777" w:rsidR="001E5C90" w:rsidRDefault="004C0898">
      <w:pPr>
        <w:numPr>
          <w:ilvl w:val="0"/>
          <w:numId w:val="7"/>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en el presente caso, el Recurrente solicitó los expedientes DIRA (Dirección Investigación Responsabilidades Administrativas) del 2022. En respuesta, el Sujeto Obligado reservó la información a través del acuerdo emitido por el Comité de Transparencia. Posteriormente, el Recurrente interpuso recurso de revisión en el que señaló su inconformidad por la clasificación de la información.  </w:t>
      </w:r>
    </w:p>
    <w:p w14:paraId="5EA510C9" w14:textId="77777777" w:rsidR="001E5C90" w:rsidRDefault="001E5C90">
      <w:pPr>
        <w:pBdr>
          <w:top w:val="nil"/>
          <w:left w:val="nil"/>
          <w:bottom w:val="nil"/>
          <w:right w:val="nil"/>
          <w:between w:val="nil"/>
        </w:pBdr>
        <w:spacing w:line="360" w:lineRule="auto"/>
        <w:ind w:right="822"/>
        <w:jc w:val="both"/>
        <w:rPr>
          <w:rFonts w:ascii="Palatino Linotype" w:eastAsia="Palatino Linotype" w:hAnsi="Palatino Linotype" w:cs="Palatino Linotype"/>
          <w:color w:val="000000"/>
          <w:sz w:val="22"/>
          <w:szCs w:val="22"/>
        </w:rPr>
      </w:pPr>
    </w:p>
    <w:p w14:paraId="5EA510CA" w14:textId="77777777" w:rsidR="001E5C90" w:rsidRDefault="004C089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rPr>
        <w:t xml:space="preserve">Debemos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Pr>
          <w:rFonts w:ascii="Palatino Linotype" w:eastAsia="Palatino Linotype" w:hAnsi="Palatino Linotype" w:cs="Palatino Linotype"/>
          <w:i/>
        </w:rPr>
        <w:t xml:space="preserve">en el ámbito de sus atribuciones, de promover, respetar, proteger y </w:t>
      </w:r>
      <w:r>
        <w:rPr>
          <w:rFonts w:ascii="Palatino Linotype" w:eastAsia="Palatino Linotype" w:hAnsi="Palatino Linotype" w:cs="Palatino Linotype"/>
          <w:b/>
          <w:i/>
        </w:rPr>
        <w:t>garantizar</w:t>
      </w:r>
      <w:r>
        <w:rPr>
          <w:rFonts w:ascii="Palatino Linotype" w:eastAsia="Palatino Linotype" w:hAnsi="Palatino Linotype" w:cs="Palatino Linotype"/>
          <w:i/>
        </w:rPr>
        <w:t xml:space="preserve"> los derechos humanos. </w:t>
      </w:r>
      <w:r>
        <w:rPr>
          <w:rFonts w:ascii="Palatino Linotype" w:eastAsia="Palatino Linotype" w:hAnsi="Palatino Linotype" w:cs="Palatino Linotype"/>
          <w:b/>
          <w:i/>
        </w:rPr>
        <w:t>En cuanto al derecho de acceso a la información, la Ley de Transparencia y Acceso a la Información Pública del Estado de México y Municipios prevé establece que e</w:t>
      </w:r>
      <w:r>
        <w:rPr>
          <w:rFonts w:ascii="Palatino Linotype" w:eastAsia="Palatino Linotype" w:hAnsi="Palatino Linotype" w:cs="Palatino Linotype"/>
          <w:i/>
        </w:rPr>
        <w:t>l procedimiento de acceso a la información es la garantía primaria del derecho en cuestión y se rige por los principios de simplicidad, rapidez y gratuidad del procedimiento, auxilio y orientación a los particulares</w:t>
      </w:r>
      <w:r>
        <w:rPr>
          <w:i/>
          <w:vertAlign w:val="superscript"/>
        </w:rPr>
        <w:footnoteReference w:id="1"/>
      </w:r>
      <w:r>
        <w:rPr>
          <w:rFonts w:ascii="Palatino Linotype" w:eastAsia="Palatino Linotype" w:hAnsi="Palatino Linotype" w:cs="Palatino Linotype"/>
          <w:i/>
        </w:rPr>
        <w:t xml:space="preserve">, </w:t>
      </w:r>
      <w:r>
        <w:rPr>
          <w:rFonts w:ascii="Palatino Linotype" w:eastAsia="Palatino Linotype" w:hAnsi="Palatino Linotype" w:cs="Palatino Linotype"/>
        </w:rPr>
        <w:t>asimismo establece</w:t>
      </w:r>
      <w:r>
        <w:rPr>
          <w:rFonts w:ascii="Palatino Linotype" w:eastAsia="Palatino Linotype" w:hAnsi="Palatino Linotype" w:cs="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5EA510CB" w14:textId="77777777" w:rsidR="001E5C90" w:rsidRDefault="001E5C90">
      <w:pPr>
        <w:pBdr>
          <w:top w:val="nil"/>
          <w:left w:val="nil"/>
          <w:bottom w:val="nil"/>
          <w:right w:val="nil"/>
          <w:between w:val="nil"/>
        </w:pBdr>
        <w:ind w:left="720"/>
        <w:rPr>
          <w:rFonts w:ascii="Palatino Linotype" w:eastAsia="Palatino Linotype" w:hAnsi="Palatino Linotype" w:cs="Palatino Linotype"/>
          <w:color w:val="000000"/>
        </w:rPr>
      </w:pPr>
    </w:p>
    <w:p w14:paraId="5EA510CC" w14:textId="77777777" w:rsidR="001E5C90" w:rsidRDefault="004C089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rPr>
        <w:lastRenderedPageBreak/>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administran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14:paraId="5EA510CD" w14:textId="77777777" w:rsidR="001E5C90" w:rsidRDefault="001E5C90">
      <w:pPr>
        <w:pBdr>
          <w:top w:val="nil"/>
          <w:left w:val="nil"/>
          <w:bottom w:val="nil"/>
          <w:right w:val="nil"/>
          <w:between w:val="nil"/>
        </w:pBdr>
        <w:ind w:left="720"/>
        <w:rPr>
          <w:rFonts w:ascii="Palatino Linotype" w:eastAsia="Palatino Linotype" w:hAnsi="Palatino Linotype" w:cs="Palatino Linotype"/>
          <w:color w:val="000000"/>
        </w:rPr>
      </w:pPr>
    </w:p>
    <w:p w14:paraId="5EA510CE" w14:textId="77777777" w:rsidR="001E5C90" w:rsidRDefault="004C089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rPr>
        <w:t xml:space="preserve">Es así que, su obligación es </w:t>
      </w:r>
      <w:r>
        <w:rPr>
          <w:rFonts w:ascii="Palatino Linotype" w:eastAsia="Palatino Linotype" w:hAnsi="Palatino Linotype" w:cs="Palatino Linotype"/>
          <w:i/>
        </w:rPr>
        <w:t>realizar, con efectividad, los trámites internos necesarios para la atención de las solicitudes de información</w:t>
      </w:r>
      <w:r>
        <w:rPr>
          <w:vertAlign w:val="superscript"/>
        </w:rPr>
        <w:footnoteReference w:id="2"/>
      </w:r>
      <w:r>
        <w:rPr>
          <w:rFonts w:ascii="Palatino Linotype" w:eastAsia="Palatino Linotype" w:hAnsi="Palatino Linotype" w:cs="Palatino Linotype"/>
        </w:rPr>
        <w:t>, es decir, deben otorgar respuestas concisas, contundentes y sobre todo que den la certeza de los actos que realizan.</w:t>
      </w:r>
    </w:p>
    <w:p w14:paraId="5EA510CF" w14:textId="77777777" w:rsidR="001E5C90" w:rsidRDefault="001E5C90">
      <w:pPr>
        <w:pBdr>
          <w:top w:val="nil"/>
          <w:left w:val="nil"/>
          <w:bottom w:val="nil"/>
          <w:right w:val="nil"/>
          <w:between w:val="nil"/>
        </w:pBdr>
        <w:ind w:left="720"/>
        <w:rPr>
          <w:rFonts w:ascii="Palatino Linotype" w:eastAsia="Palatino Linotype" w:hAnsi="Palatino Linotype" w:cs="Palatino Linotype"/>
          <w:color w:val="000000"/>
        </w:rPr>
      </w:pPr>
    </w:p>
    <w:p w14:paraId="5EA510D0" w14:textId="77777777" w:rsidR="001E5C90" w:rsidRDefault="004C089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rPr>
        <w:t>Al respecto, es menester hacer referencia a lo establecido en los artículos 50, 53 fracciones II, IV y V, 58, 59 fracciones I y II, y 162 de la Ley de Transparencia y Acceso a la Información del Estado de México y Municipios, que a la letra estipulan lo siguiente:</w:t>
      </w:r>
    </w:p>
    <w:p w14:paraId="5EA510D1" w14:textId="77777777" w:rsidR="001E5C90" w:rsidRDefault="004C0898">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50. </w:t>
      </w:r>
      <w:r>
        <w:rPr>
          <w:rFonts w:ascii="Palatino Linotype" w:eastAsia="Palatino Linotype" w:hAnsi="Palatino Linotype" w:cs="Palatino Linotype"/>
          <w:i/>
          <w:sz w:val="22"/>
          <w:szCs w:val="22"/>
        </w:rPr>
        <w:t>Los sujetos obligados contarán con un área responsable para la atención de las solicitudes de información, a la que se le denominará Unidad de Transparencia.</w:t>
      </w:r>
    </w:p>
    <w:p w14:paraId="5EA510D2" w14:textId="77777777" w:rsidR="001E5C90" w:rsidRDefault="001E5C90">
      <w:pPr>
        <w:ind w:left="851" w:right="822"/>
        <w:jc w:val="both"/>
        <w:rPr>
          <w:rFonts w:ascii="Palatino Linotype" w:eastAsia="Palatino Linotype" w:hAnsi="Palatino Linotype" w:cs="Palatino Linotype"/>
          <w:i/>
          <w:sz w:val="22"/>
          <w:szCs w:val="22"/>
        </w:rPr>
      </w:pPr>
    </w:p>
    <w:p w14:paraId="5EA510D3" w14:textId="77777777" w:rsidR="001E5C90" w:rsidRDefault="004C0898">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53. </w:t>
      </w:r>
      <w:r>
        <w:rPr>
          <w:rFonts w:ascii="Palatino Linotype" w:eastAsia="Palatino Linotype" w:hAnsi="Palatino Linotype" w:cs="Palatino Linotype"/>
          <w:i/>
          <w:sz w:val="22"/>
          <w:szCs w:val="22"/>
        </w:rPr>
        <w:t>Las Unidades de Transparencia tendrán las siguientes funciones:</w:t>
      </w:r>
    </w:p>
    <w:p w14:paraId="5EA510D4" w14:textId="77777777" w:rsidR="001E5C90" w:rsidRDefault="004C0898">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EA510D5" w14:textId="77777777" w:rsidR="001E5C90" w:rsidRDefault="004C0898">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Recibir, tramitar y dar respuesta a las solicitudes de acceso a la información;</w:t>
      </w:r>
    </w:p>
    <w:p w14:paraId="5EA510D6" w14:textId="77777777" w:rsidR="001E5C90" w:rsidRDefault="004C0898">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EA510D7" w14:textId="77777777" w:rsidR="001E5C90" w:rsidRDefault="004C0898">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Realizar, con efectividad, los trámites internos necesarios para la atención de las solicitudes de acceso a la información;</w:t>
      </w:r>
    </w:p>
    <w:p w14:paraId="5EA510D8" w14:textId="77777777" w:rsidR="001E5C90" w:rsidRDefault="004C0898">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Entregar, en su caso, a los particulares la información solicitada;</w:t>
      </w:r>
    </w:p>
    <w:p w14:paraId="5EA510D9" w14:textId="77777777" w:rsidR="001E5C90" w:rsidRDefault="004C0898">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EA510DA" w14:textId="77777777" w:rsidR="001E5C90" w:rsidRDefault="001E5C90">
      <w:pPr>
        <w:ind w:left="851" w:right="822"/>
        <w:jc w:val="both"/>
        <w:rPr>
          <w:rFonts w:ascii="Palatino Linotype" w:eastAsia="Palatino Linotype" w:hAnsi="Palatino Linotype" w:cs="Palatino Linotype"/>
          <w:i/>
          <w:sz w:val="22"/>
          <w:szCs w:val="22"/>
        </w:rPr>
      </w:pPr>
    </w:p>
    <w:p w14:paraId="5EA510DB" w14:textId="77777777" w:rsidR="001E5C90" w:rsidRDefault="004C0898">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Artículo 58. </w:t>
      </w:r>
      <w:r>
        <w:rPr>
          <w:rFonts w:ascii="Palatino Linotype" w:eastAsia="Palatino Linotype" w:hAnsi="Palatino Linotype" w:cs="Palatino Linotype"/>
          <w:i/>
          <w:sz w:val="22"/>
          <w:szCs w:val="22"/>
        </w:rPr>
        <w:t>Los servidores públicos habilitados serán designados por el titular del sujeto obligado a propuesta del responsable de la Unidad de Transparencia.</w:t>
      </w:r>
    </w:p>
    <w:p w14:paraId="5EA510DC" w14:textId="77777777" w:rsidR="001E5C90" w:rsidRDefault="001E5C90">
      <w:pPr>
        <w:ind w:left="851" w:right="822"/>
        <w:jc w:val="both"/>
        <w:rPr>
          <w:rFonts w:ascii="Palatino Linotype" w:eastAsia="Palatino Linotype" w:hAnsi="Palatino Linotype" w:cs="Palatino Linotype"/>
          <w:i/>
          <w:sz w:val="22"/>
          <w:szCs w:val="22"/>
        </w:rPr>
      </w:pPr>
    </w:p>
    <w:p w14:paraId="5EA510DD" w14:textId="77777777" w:rsidR="001E5C90" w:rsidRDefault="004C0898">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59. </w:t>
      </w:r>
      <w:r>
        <w:rPr>
          <w:rFonts w:ascii="Palatino Linotype" w:eastAsia="Palatino Linotype" w:hAnsi="Palatino Linotype" w:cs="Palatino Linotype"/>
          <w:i/>
          <w:sz w:val="22"/>
          <w:szCs w:val="22"/>
        </w:rPr>
        <w:t>Los servidores públicos habilitados tendrán las funciones siguientes:</w:t>
      </w:r>
    </w:p>
    <w:p w14:paraId="5EA510DE" w14:textId="77777777" w:rsidR="001E5C90" w:rsidRDefault="001E5C90">
      <w:pPr>
        <w:ind w:left="851" w:right="822"/>
        <w:jc w:val="both"/>
        <w:rPr>
          <w:rFonts w:ascii="Palatino Linotype" w:eastAsia="Palatino Linotype" w:hAnsi="Palatino Linotype" w:cs="Palatino Linotype"/>
          <w:i/>
          <w:sz w:val="22"/>
          <w:szCs w:val="22"/>
        </w:rPr>
      </w:pPr>
    </w:p>
    <w:p w14:paraId="5EA510DF" w14:textId="77777777" w:rsidR="001E5C90" w:rsidRDefault="004C0898">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Localizar la información que le solicite la Unidad de Transparencia;</w:t>
      </w:r>
    </w:p>
    <w:p w14:paraId="5EA510E0" w14:textId="77777777" w:rsidR="001E5C90" w:rsidRDefault="004C0898">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Proporcionar la información que obre en los archivos y que le sea solicitada por la Unidad de Transparencia;</w:t>
      </w:r>
    </w:p>
    <w:p w14:paraId="5EA510E1" w14:textId="77777777" w:rsidR="001E5C90" w:rsidRDefault="004C0898">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EA510E2" w14:textId="77777777" w:rsidR="001E5C90" w:rsidRDefault="001E5C90">
      <w:pPr>
        <w:ind w:left="851" w:right="822"/>
        <w:jc w:val="both"/>
        <w:rPr>
          <w:rFonts w:ascii="Palatino Linotype" w:eastAsia="Palatino Linotype" w:hAnsi="Palatino Linotype" w:cs="Palatino Linotype"/>
          <w:i/>
          <w:sz w:val="22"/>
          <w:szCs w:val="22"/>
        </w:rPr>
      </w:pPr>
    </w:p>
    <w:p w14:paraId="5EA510E3" w14:textId="77777777" w:rsidR="001E5C90" w:rsidRDefault="004C0898">
      <w:pPr>
        <w:ind w:left="851"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162. </w:t>
      </w:r>
      <w:r>
        <w:rPr>
          <w:rFonts w:ascii="Palatino Linotype" w:eastAsia="Palatino Linotype" w:hAnsi="Palatino Linotype" w:cs="Palatino Linotype"/>
          <w:i/>
          <w:sz w:val="22"/>
          <w:szCs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5EA510E4" w14:textId="77777777" w:rsidR="001E5C90" w:rsidRDefault="001E5C90">
      <w:pPr>
        <w:spacing w:line="360" w:lineRule="auto"/>
        <w:jc w:val="both"/>
        <w:rPr>
          <w:rFonts w:ascii="Palatino Linotype" w:eastAsia="Palatino Linotype" w:hAnsi="Palatino Linotype" w:cs="Palatino Linotype"/>
        </w:rPr>
      </w:pPr>
    </w:p>
    <w:p w14:paraId="5EA510E5" w14:textId="77777777" w:rsidR="001E5C90" w:rsidRDefault="004C089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los artículos citados se desprende que las Unidades de Transparencia de los sujetos obligados son las encargadas de tramitar internamente las solicitudes de información y tienen, entre otras funciones, las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 Por su parte, los servidores públicos habilitados </w:t>
      </w:r>
      <w:r>
        <w:rPr>
          <w:rFonts w:ascii="Palatino Linotype" w:eastAsia="Palatino Linotype" w:hAnsi="Palatino Linotype" w:cs="Palatino Linotype"/>
        </w:rPr>
        <w:t>auxiliará</w:t>
      </w:r>
      <w:r>
        <w:rPr>
          <w:rFonts w:ascii="Palatino Linotype" w:eastAsia="Palatino Linotype" w:hAnsi="Palatino Linotype" w:cs="Palatino Linotype"/>
          <w:color w:val="000000"/>
        </w:rPr>
        <w:t xml:space="preserve"> a las Unidades de Transparencia localizando la información solicitada y proporcionando la misma que obre en sus archivos. Asimismo, es una obligación de las Unidades de Transparencia turnar a todas las áreas que se consideren competentes para que realicen una búsqueda exhaustiva y razonable de la información solicitada a fin de que ésta sea entregada a los solicitantes.</w:t>
      </w:r>
    </w:p>
    <w:p w14:paraId="5EA510E6" w14:textId="77777777" w:rsidR="001E5C90" w:rsidRDefault="001E5C9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EA510E7" w14:textId="77777777" w:rsidR="001E5C90" w:rsidRDefault="004C089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se debe entender que el trámite interno que se realice a las solicitudes de acceso a la información, es con el propósito de que se realice una búsqueda exhaustiva y </w:t>
      </w:r>
      <w:r>
        <w:rPr>
          <w:rFonts w:ascii="Palatino Linotype" w:eastAsia="Palatino Linotype" w:hAnsi="Palatino Linotype" w:cs="Palatino Linotype"/>
          <w:color w:val="000000"/>
        </w:rPr>
        <w:lastRenderedPageBreak/>
        <w:t>razonable de la información entre sus archivos y, en su caso, se entregue la información de interés para el particular.</w:t>
      </w:r>
    </w:p>
    <w:p w14:paraId="5EA510E8" w14:textId="77777777" w:rsidR="001E5C90" w:rsidRDefault="001E5C90">
      <w:pPr>
        <w:pBdr>
          <w:top w:val="nil"/>
          <w:left w:val="nil"/>
          <w:bottom w:val="nil"/>
          <w:right w:val="nil"/>
          <w:between w:val="nil"/>
        </w:pBdr>
        <w:rPr>
          <w:rFonts w:ascii="Palatino Linotype" w:eastAsia="Palatino Linotype" w:hAnsi="Palatino Linotype" w:cs="Palatino Linotype"/>
          <w:color w:val="000000"/>
        </w:rPr>
      </w:pPr>
    </w:p>
    <w:p w14:paraId="5EA510E9" w14:textId="77777777" w:rsidR="001E5C90" w:rsidRDefault="004C089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color w:val="000000"/>
        </w:rPr>
        <w:t>En el caso que se resuelve, la respuesta fue emitida por el servidor público habilitado de la Contraloría Municipal, quien de acuerdo al Código Reglamentario Municipal de Toluca, tiene las siguientes funciones:</w:t>
      </w:r>
    </w:p>
    <w:p w14:paraId="5EA510EA" w14:textId="77777777" w:rsidR="001E5C90"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p>
    <w:p w14:paraId="5EA510EB" w14:textId="77777777" w:rsidR="001E5C90"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XIX. Iniciar los procesos de investigación, substanciación y resolución, tratándose de faltas administrativas no graves, a través de las áreas administrativas especializadas, respecto de las conductas que deriven del incumplimiento de obligaciones de las o los servidores públicos municipales en el ámbito de su competencia, en términos de la Ley de Responsabilidades Administrativas del Estado de México y Municipios; </w:t>
      </w:r>
    </w:p>
    <w:p w14:paraId="5EA510EC" w14:textId="77777777" w:rsidR="001E5C90"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XX. Iniciar la investigación, substanciación y remitir al Tribunal de Justicia Administrativa, los autos originales del expediente para la continuación del procedimiento y su resolución por dicho órgano; cuando se trate de faltas administrativas graves o faltas de particulares, en términos de la Ley de Responsabilidades Administrativas del Estado de México y Municipios; </w:t>
      </w:r>
    </w:p>
    <w:p w14:paraId="5EA510ED" w14:textId="77777777" w:rsidR="001E5C90"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XXI. Practicar de oficio o a solicitud de parte, las investigaciones sobre el incumplimiento de las obligaciones de las o los servidores públicos municipales, en términos de la Ley de Responsabilidades Administrativas del Estado de México y Municipios; </w:t>
      </w:r>
    </w:p>
    <w:p w14:paraId="5EA510EE" w14:textId="77777777" w:rsidR="001E5C90"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XXII. Conocer, investigar, y emitir el dictamen de procedencia o de no remoción de las autoridades auxiliares, para ser turnado al Ayuntamiento, a efecto de que sus integrantes, previa garantía de audiencia determinen la remoción o no de las autoridades auxiliares, en términos de lo dispuesto en el artículo 62 de la Ley Orgánica Municipal del Estado de México y demás disposiciones jurídicas aplicables;</w:t>
      </w:r>
    </w:p>
    <w:p w14:paraId="5EA510EF" w14:textId="77777777" w:rsidR="001E5C90"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p>
    <w:p w14:paraId="5EA510F0" w14:textId="77777777" w:rsidR="001E5C90" w:rsidRDefault="001E5C90">
      <w:pPr>
        <w:pBdr>
          <w:top w:val="nil"/>
          <w:left w:val="nil"/>
          <w:bottom w:val="nil"/>
          <w:right w:val="nil"/>
          <w:between w:val="nil"/>
        </w:pBdr>
        <w:spacing w:line="360" w:lineRule="auto"/>
        <w:ind w:left="851" w:right="822"/>
        <w:jc w:val="both"/>
        <w:rPr>
          <w:rFonts w:ascii="Palatino Linotype" w:eastAsia="Palatino Linotype" w:hAnsi="Palatino Linotype" w:cs="Palatino Linotype"/>
          <w:b/>
          <w:i/>
          <w:color w:val="000000"/>
          <w:sz w:val="20"/>
          <w:szCs w:val="20"/>
        </w:rPr>
      </w:pPr>
    </w:p>
    <w:p w14:paraId="5EA510F1" w14:textId="77777777" w:rsidR="001E5C90" w:rsidRDefault="004C089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se advierte que la respuesta fue emitida por el servidor público habilitado con facultades para generar, poseer o administrar la información solicitada. </w:t>
      </w:r>
      <w:r>
        <w:rPr>
          <w:rFonts w:ascii="Palatino Linotype" w:eastAsia="Palatino Linotype" w:hAnsi="Palatino Linotype" w:cs="Palatino Linotype"/>
          <w:color w:val="000000"/>
        </w:rPr>
        <w:lastRenderedPageBreak/>
        <w:t>Por otro lado</w:t>
      </w:r>
      <w:r>
        <w:rPr>
          <w:rFonts w:ascii="Palatino Linotype" w:eastAsia="Palatino Linotype" w:hAnsi="Palatino Linotype" w:cs="Palatino Linotype"/>
        </w:rPr>
        <w:t xml:space="preserve">, se debe resaltar que con las manifestaciones hechas valer por el servidor público habilitado competente,  se advierte que este no niega contar con la información peticionada, sino por el contrario, asume que la tiene de manera explícita, tan es así que restringe el derecho de acceso a la información solicitando la clasificación de la misma como reservada, por un término de dos años, </w:t>
      </w:r>
      <w:r>
        <w:rPr>
          <w:rFonts w:ascii="Palatino Linotype" w:eastAsia="Palatino Linotype" w:hAnsi="Palatino Linotype" w:cs="Palatino Linotype"/>
          <w:color w:val="000000"/>
        </w:rPr>
        <w:t xml:space="preserve">por lo que, </w:t>
      </w:r>
      <w:r>
        <w:rPr>
          <w:rFonts w:ascii="Palatino Linotype" w:eastAsia="Palatino Linotype" w:hAnsi="Palatino Linotype" w:cs="Palatino Linotype"/>
        </w:rPr>
        <w:t xml:space="preserve"> efecto de robustecer lo anterior, sirve de sustento el criterio orientador con clave de control SO/029/2010, emitido por el Instituto Nacional de Transparencia, Acceso a la Información y Protección de Datos Personales, INAI</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el cual refiere lo siguiente: </w:t>
      </w:r>
    </w:p>
    <w:p w14:paraId="5EA510F2" w14:textId="77777777" w:rsidR="001E5C90" w:rsidRDefault="004C0898">
      <w:pPr>
        <w:pBdr>
          <w:top w:val="nil"/>
          <w:left w:val="nil"/>
          <w:bottom w:val="nil"/>
          <w:right w:val="nil"/>
          <w:between w:val="nil"/>
        </w:pBdr>
        <w:spacing w:before="67" w:line="360" w:lineRule="auto"/>
        <w:ind w:left="720"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“La clasificación y la inexistencia de información son conceptos que no pueden coexistir. </w:t>
      </w:r>
      <w:r>
        <w:rPr>
          <w:rFonts w:ascii="Palatino Linotype" w:eastAsia="Palatino Linotype" w:hAnsi="Palatino Linotype" w:cs="Palatino Linotype"/>
          <w:i/>
          <w:color w:val="000000"/>
          <w:sz w:val="22"/>
          <w:szCs w:val="22"/>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w:t>
      </w:r>
      <w:r>
        <w:rPr>
          <w:rFonts w:ascii="Palatino Linotype" w:eastAsia="Palatino Linotype" w:hAnsi="Palatino Linotype" w:cs="Palatino Linotype"/>
          <w:b/>
          <w:i/>
          <w:color w:val="000000"/>
          <w:sz w:val="22"/>
          <w:szCs w:val="22"/>
        </w:rPr>
        <w:t>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r>
        <w:rPr>
          <w:rFonts w:ascii="Palatino Linotype" w:eastAsia="Palatino Linotype" w:hAnsi="Palatino Linotype" w:cs="Palatino Linotype"/>
          <w:i/>
          <w:color w:val="000000"/>
          <w:sz w:val="22"/>
          <w:szCs w:val="22"/>
        </w:rPr>
        <w:t>.”</w:t>
      </w:r>
    </w:p>
    <w:p w14:paraId="5EA510F3" w14:textId="77777777" w:rsidR="001E5C90" w:rsidRDefault="001E5C9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5EA510F4" w14:textId="77777777" w:rsidR="001E5C90" w:rsidRDefault="004C0898">
      <w:pPr>
        <w:numPr>
          <w:ilvl w:val="0"/>
          <w:numId w:val="7"/>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en razón de la clasificación de la información por parte del Sujeto Obligado, es importante señalar que la clasificación total o parcial de la información requerida mediante solicitud de acceso a la información pública, constituye una </w:t>
      </w:r>
      <w:r>
        <w:rPr>
          <w:rFonts w:ascii="Palatino Linotype" w:eastAsia="Palatino Linotype" w:hAnsi="Palatino Linotype" w:cs="Palatino Linotype"/>
        </w:rPr>
        <w:lastRenderedPageBreak/>
        <w:t>restricción al derecho humano de acceso a la información. Como reiteradamente han dicho, diversos órganos jurisdiccionales, ningún derecho es absoluto</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Pr>
          <w:rFonts w:ascii="Palatino Linotype" w:eastAsia="Palatino Linotype" w:hAnsi="Palatino Linotype" w:cs="Palatino Linotype"/>
          <w:vertAlign w:val="superscript"/>
        </w:rPr>
        <w:footnoteReference w:id="4"/>
      </w:r>
      <w:r>
        <w:rPr>
          <w:rFonts w:ascii="Palatino Linotype" w:eastAsia="Palatino Linotype" w:hAnsi="Palatino Linotype" w:cs="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EA510F5" w14:textId="77777777" w:rsidR="001E5C90" w:rsidRDefault="001E5C90">
      <w:pPr>
        <w:spacing w:line="360" w:lineRule="auto"/>
        <w:ind w:right="49"/>
        <w:jc w:val="both"/>
        <w:rPr>
          <w:rFonts w:ascii="Palatino Linotype" w:eastAsia="Palatino Linotype" w:hAnsi="Palatino Linotype" w:cs="Palatino Linotype"/>
        </w:rPr>
      </w:pPr>
    </w:p>
    <w:p w14:paraId="5EA510F6" w14:textId="77777777" w:rsidR="001E5C90" w:rsidRDefault="004C0898">
      <w:pPr>
        <w:numPr>
          <w:ilvl w:val="0"/>
          <w:numId w:val="7"/>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caso, es importante señalar que para la clasificación de la información se debe atender a cierta formalidades establecidas en la Ley, por lo que le </w:t>
      </w:r>
      <w:r>
        <w:rPr>
          <w:rFonts w:ascii="Palatino Linotype" w:eastAsia="Palatino Linotype" w:hAnsi="Palatino Linotype" w:cs="Palatino Linotype"/>
          <w:b/>
        </w:rPr>
        <w:t xml:space="preserve">SUJETO </w:t>
      </w:r>
      <w:r>
        <w:rPr>
          <w:rFonts w:ascii="Palatino Linotype" w:eastAsia="Palatino Linotype" w:hAnsi="Palatino Linotype" w:cs="Palatino Linotype"/>
          <w:b/>
        </w:rPr>
        <w:lastRenderedPageBreak/>
        <w:t>OBLIGADO</w:t>
      </w:r>
      <w:r>
        <w:rPr>
          <w:rFonts w:ascii="Palatino Linotype" w:eastAsia="Palatino Linotype" w:hAnsi="Palatino Linotype" w:cs="Palatino Linotype"/>
        </w:rPr>
        <w:t xml:space="preserve"> debe identificar claramente el tipo de información y hacer un juicio de subsunción o encaje</w:t>
      </w:r>
      <w:r>
        <w:rPr>
          <w:rFonts w:ascii="Palatino Linotype" w:eastAsia="Palatino Linotype" w:hAnsi="Palatino Linotype" w:cs="Palatino Linotype"/>
          <w:vertAlign w:val="superscript"/>
        </w:rPr>
        <w:footnoteReference w:id="5"/>
      </w:r>
      <w:r>
        <w:rPr>
          <w:rFonts w:ascii="Palatino Linotype" w:eastAsia="Palatino Linotype" w:hAnsi="Palatino Linotype" w:cs="Palatino Linotype"/>
        </w:rPr>
        <w:t xml:space="preserve"> para acreditar que el supuesto de hecho corresponde estrictamente con la hipótesis jurídica. Esto también lo debe de realizar el servidor público habilitado y el titular del área que administra la información.</w:t>
      </w:r>
    </w:p>
    <w:p w14:paraId="5EA510F7" w14:textId="77777777" w:rsidR="001E5C90" w:rsidRDefault="001E5C90">
      <w:pPr>
        <w:pBdr>
          <w:top w:val="nil"/>
          <w:left w:val="nil"/>
          <w:bottom w:val="nil"/>
          <w:right w:val="nil"/>
          <w:between w:val="nil"/>
        </w:pBdr>
        <w:spacing w:line="360" w:lineRule="auto"/>
        <w:rPr>
          <w:rFonts w:ascii="Palatino Linotype" w:eastAsia="Palatino Linotype" w:hAnsi="Palatino Linotype" w:cs="Palatino Linotype"/>
          <w:color w:val="000000"/>
        </w:rPr>
      </w:pPr>
    </w:p>
    <w:p w14:paraId="5EA510F8" w14:textId="77777777" w:rsidR="001E5C90" w:rsidRDefault="004C0898">
      <w:pPr>
        <w:numPr>
          <w:ilvl w:val="0"/>
          <w:numId w:val="7"/>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Al respecto, los Lineamientos Generales en Materia de Clasificación y Desclasificación de la Información, así Como para la Elaboración de Versiones Públicas, por cuanto hace a la clasificación de la información, señalan lo siguiente:</w:t>
      </w:r>
    </w:p>
    <w:p w14:paraId="5EA510F9" w14:textId="77777777" w:rsidR="001E5C90" w:rsidRDefault="004C0898">
      <w:pPr>
        <w:pBdr>
          <w:top w:val="nil"/>
          <w:left w:val="nil"/>
          <w:bottom w:val="nil"/>
          <w:right w:val="nil"/>
          <w:between w:val="nil"/>
        </w:pBdr>
        <w:tabs>
          <w:tab w:val="left" w:pos="142"/>
          <w:tab w:val="left" w:pos="284"/>
          <w:tab w:val="left" w:pos="851"/>
        </w:tabs>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Quincuagésimo.</w:t>
      </w:r>
      <w:r>
        <w:rPr>
          <w:rFonts w:ascii="Palatino Linotype" w:eastAsia="Palatino Linotype" w:hAnsi="Palatino Linotype" w:cs="Palatino Linotype"/>
          <w:i/>
          <w:color w:val="000000"/>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5EA510FA" w14:textId="77777777" w:rsidR="001E5C90" w:rsidRDefault="004C0898">
      <w:pPr>
        <w:pBdr>
          <w:top w:val="nil"/>
          <w:left w:val="nil"/>
          <w:bottom w:val="nil"/>
          <w:right w:val="nil"/>
          <w:between w:val="nil"/>
        </w:pBdr>
        <w:tabs>
          <w:tab w:val="left" w:pos="142"/>
          <w:tab w:val="left" w:pos="284"/>
          <w:tab w:val="left" w:pos="851"/>
        </w:tabs>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Quincuagésimo primero.</w:t>
      </w:r>
      <w:r>
        <w:rPr>
          <w:rFonts w:ascii="Palatino Linotype" w:eastAsia="Palatino Linotype" w:hAnsi="Palatino Linotype" w:cs="Palatino Linotype"/>
          <w:i/>
          <w:color w:val="000000"/>
          <w:sz w:val="22"/>
          <w:szCs w:val="22"/>
        </w:rPr>
        <w:t xml:space="preserve"> La leyenda en los documentos clasificados indicará:</w:t>
      </w:r>
    </w:p>
    <w:p w14:paraId="5EA510FB" w14:textId="77777777" w:rsidR="001E5C90" w:rsidRDefault="004C0898">
      <w:pPr>
        <w:pBdr>
          <w:top w:val="nil"/>
          <w:left w:val="nil"/>
          <w:bottom w:val="nil"/>
          <w:right w:val="nil"/>
          <w:between w:val="nil"/>
        </w:pBdr>
        <w:tabs>
          <w:tab w:val="left" w:pos="142"/>
          <w:tab w:val="left" w:pos="284"/>
          <w:tab w:val="left" w:pos="851"/>
        </w:tabs>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La fecha de sesión del Comité de Transparencia en donde se confirmó la clasificación, en su caso;</w:t>
      </w:r>
    </w:p>
    <w:p w14:paraId="5EA510FC" w14:textId="77777777" w:rsidR="001E5C90" w:rsidRDefault="004C0898">
      <w:pPr>
        <w:pBdr>
          <w:top w:val="nil"/>
          <w:left w:val="nil"/>
          <w:bottom w:val="nil"/>
          <w:right w:val="nil"/>
          <w:between w:val="nil"/>
        </w:pBdr>
        <w:tabs>
          <w:tab w:val="left" w:pos="142"/>
          <w:tab w:val="left" w:pos="284"/>
          <w:tab w:val="left" w:pos="851"/>
        </w:tabs>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El nombre del área;</w:t>
      </w:r>
    </w:p>
    <w:p w14:paraId="5EA510FD" w14:textId="77777777" w:rsidR="001E5C90" w:rsidRDefault="004C0898">
      <w:pPr>
        <w:pBdr>
          <w:top w:val="nil"/>
          <w:left w:val="nil"/>
          <w:bottom w:val="nil"/>
          <w:right w:val="nil"/>
          <w:between w:val="nil"/>
        </w:pBdr>
        <w:tabs>
          <w:tab w:val="left" w:pos="142"/>
          <w:tab w:val="left" w:pos="284"/>
          <w:tab w:val="left" w:pos="851"/>
        </w:tabs>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La palabra reservado o confidencial;</w:t>
      </w:r>
    </w:p>
    <w:p w14:paraId="5EA510FE" w14:textId="77777777" w:rsidR="001E5C90" w:rsidRDefault="004C0898">
      <w:pPr>
        <w:pBdr>
          <w:top w:val="nil"/>
          <w:left w:val="nil"/>
          <w:bottom w:val="nil"/>
          <w:right w:val="nil"/>
          <w:between w:val="nil"/>
        </w:pBdr>
        <w:tabs>
          <w:tab w:val="left" w:pos="142"/>
          <w:tab w:val="left" w:pos="284"/>
          <w:tab w:val="left" w:pos="851"/>
        </w:tabs>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IV. Las partes o secciones reservadas o confidenciales, en su caso;</w:t>
      </w:r>
    </w:p>
    <w:p w14:paraId="5EA510FF" w14:textId="77777777" w:rsidR="001E5C90" w:rsidRDefault="004C0898">
      <w:pPr>
        <w:pBdr>
          <w:top w:val="nil"/>
          <w:left w:val="nil"/>
          <w:bottom w:val="nil"/>
          <w:right w:val="nil"/>
          <w:between w:val="nil"/>
        </w:pBdr>
        <w:tabs>
          <w:tab w:val="left" w:pos="142"/>
          <w:tab w:val="left" w:pos="284"/>
          <w:tab w:val="left" w:pos="851"/>
        </w:tabs>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 El fundamento legal;</w:t>
      </w:r>
    </w:p>
    <w:p w14:paraId="5EA51100" w14:textId="77777777" w:rsidR="001E5C90" w:rsidRDefault="004C0898">
      <w:pPr>
        <w:pBdr>
          <w:top w:val="nil"/>
          <w:left w:val="nil"/>
          <w:bottom w:val="nil"/>
          <w:right w:val="nil"/>
          <w:between w:val="nil"/>
        </w:pBdr>
        <w:tabs>
          <w:tab w:val="left" w:pos="142"/>
          <w:tab w:val="left" w:pos="284"/>
          <w:tab w:val="left" w:pos="851"/>
        </w:tabs>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VI. El periodo de reserva, y</w:t>
      </w:r>
    </w:p>
    <w:p w14:paraId="5EA51101" w14:textId="77777777" w:rsidR="001E5C90" w:rsidRDefault="004C0898">
      <w:pPr>
        <w:pBdr>
          <w:top w:val="nil"/>
          <w:left w:val="nil"/>
          <w:bottom w:val="nil"/>
          <w:right w:val="nil"/>
          <w:between w:val="nil"/>
        </w:pBdr>
        <w:tabs>
          <w:tab w:val="left" w:pos="142"/>
          <w:tab w:val="left" w:pos="284"/>
          <w:tab w:val="left" w:pos="851"/>
        </w:tabs>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VII. La rúbrica del titular del área.</w:t>
      </w:r>
    </w:p>
    <w:p w14:paraId="5EA51102" w14:textId="77777777" w:rsidR="001E5C90" w:rsidRDefault="001E5C90">
      <w:pPr>
        <w:tabs>
          <w:tab w:val="left" w:pos="142"/>
          <w:tab w:val="left" w:pos="284"/>
          <w:tab w:val="left" w:pos="426"/>
        </w:tabs>
        <w:spacing w:line="360" w:lineRule="auto"/>
        <w:ind w:right="567"/>
        <w:jc w:val="both"/>
        <w:rPr>
          <w:rFonts w:ascii="Palatino Linotype" w:eastAsia="Palatino Linotype" w:hAnsi="Palatino Linotype" w:cs="Palatino Linotype"/>
          <w:i/>
        </w:rPr>
      </w:pPr>
    </w:p>
    <w:p w14:paraId="5EA51103" w14:textId="77777777" w:rsidR="001E5C90" w:rsidRDefault="004C0898">
      <w:pPr>
        <w:numPr>
          <w:ilvl w:val="0"/>
          <w:numId w:val="7"/>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Una vez hecho lo anterior, se remite la información al Titular de la Unidad de Transparencia, con el acuerdo de clasificación correspondiente, para que sea </w:t>
      </w:r>
      <w:r>
        <w:rPr>
          <w:rFonts w:ascii="Palatino Linotype" w:eastAsia="Palatino Linotype" w:hAnsi="Palatino Linotype" w:cs="Palatino Linotype"/>
        </w:rPr>
        <w:t>sometida</w:t>
      </w:r>
      <w:r>
        <w:rPr>
          <w:rFonts w:ascii="Palatino Linotype" w:eastAsia="Palatino Linotype" w:hAnsi="Palatino Linotype" w:cs="Palatino Linotype"/>
          <w:color w:val="000000"/>
        </w:rPr>
        <w:t xml:space="preserve"> al conocimiento del Comité de Transparencia.</w:t>
      </w:r>
    </w:p>
    <w:p w14:paraId="5EA51104" w14:textId="77777777" w:rsidR="001E5C90" w:rsidRDefault="001E5C9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5EA51105" w14:textId="77777777" w:rsidR="001E5C90" w:rsidRDefault="004C0898">
      <w:pPr>
        <w:pBdr>
          <w:top w:val="nil"/>
          <w:left w:val="nil"/>
          <w:bottom w:val="nil"/>
          <w:right w:val="nil"/>
          <w:between w:val="nil"/>
        </w:pBdr>
        <w:tabs>
          <w:tab w:val="left" w:pos="142"/>
          <w:tab w:val="left" w:pos="284"/>
          <w:tab w:val="left" w:pos="426"/>
        </w:tabs>
        <w:spacing w:line="360" w:lineRule="auto"/>
        <w:jc w:val="both"/>
        <w:rPr>
          <w:rFonts w:ascii="Palatino Linotype" w:eastAsia="Palatino Linotype" w:hAnsi="Palatino Linotype" w:cs="Palatino Linotype"/>
          <w:b/>
          <w:color w:val="000000"/>
        </w:rPr>
      </w:pPr>
      <w:bookmarkStart w:id="2" w:name="_heading=h.gjdgxs" w:colFirst="0" w:colLast="0"/>
      <w:bookmarkEnd w:id="2"/>
      <w:r>
        <w:rPr>
          <w:rFonts w:ascii="Palatino Linotype" w:eastAsia="Palatino Linotype" w:hAnsi="Palatino Linotype" w:cs="Palatino Linotype"/>
          <w:b/>
          <w:color w:val="000000"/>
        </w:rPr>
        <w:t>La intervención del Comité de Transparencia.</w:t>
      </w:r>
    </w:p>
    <w:p w14:paraId="5EA51106" w14:textId="77777777" w:rsidR="001E5C90" w:rsidRDefault="004C0898">
      <w:pPr>
        <w:numPr>
          <w:ilvl w:val="0"/>
          <w:numId w:val="1"/>
        </w:numPr>
        <w:pBdr>
          <w:top w:val="nil"/>
          <w:left w:val="nil"/>
          <w:bottom w:val="nil"/>
          <w:right w:val="nil"/>
          <w:between w:val="nil"/>
        </w:pBdr>
        <w:tabs>
          <w:tab w:val="left" w:pos="142"/>
          <w:tab w:val="left" w:pos="284"/>
          <w:tab w:val="left" w:pos="426"/>
        </w:tabs>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Formalidades para emitir el Acuerdo de Clasificación.</w:t>
      </w:r>
    </w:p>
    <w:p w14:paraId="5EA51107" w14:textId="77777777" w:rsidR="001E5C90" w:rsidRDefault="004C0898">
      <w:pPr>
        <w:numPr>
          <w:ilvl w:val="0"/>
          <w:numId w:val="7"/>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Pr>
          <w:rFonts w:ascii="Palatino Linotype" w:eastAsia="Palatino Linotype" w:hAnsi="Palatino Linotype" w:cs="Palatino Linotype"/>
          <w:b/>
          <w:color w:val="000000"/>
          <w:u w:val="single"/>
        </w:rPr>
        <w:t>confirmar, modificar o revocar</w:t>
      </w:r>
      <w:r>
        <w:rPr>
          <w:rFonts w:ascii="Palatino Linotype" w:eastAsia="Palatino Linotype" w:hAnsi="Palatino Linotype" w:cs="Palatino Linotype"/>
          <w:color w:val="000000"/>
        </w:rPr>
        <w:t xml:space="preserve"> la clasificación de la información que ha hecho el titular del área que administra la información. Por lo tanto, el Comité </w:t>
      </w:r>
      <w:r>
        <w:rPr>
          <w:rFonts w:ascii="Palatino Linotype" w:eastAsia="Palatino Linotype" w:hAnsi="Palatino Linotype" w:cs="Palatino Linotype"/>
          <w:b/>
          <w:color w:val="000000"/>
          <w:u w:val="single"/>
        </w:rPr>
        <w:t>no aprueba</w:t>
      </w:r>
      <w:r>
        <w:rPr>
          <w:rFonts w:ascii="Palatino Linotype" w:eastAsia="Palatino Linotype" w:hAnsi="Palatino Linotype" w:cs="Palatino Linotype"/>
          <w:color w:val="000000"/>
        </w:rPr>
        <w:t xml:space="preserve"> la clasificación, sino que revisa lo que ha hecho el titular del área y confirma, modifica o revoca la decisión a través de un acuerdo.</w:t>
      </w:r>
    </w:p>
    <w:p w14:paraId="5EA51108" w14:textId="77777777" w:rsidR="001E5C90" w:rsidRDefault="001E5C9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5EA51109" w14:textId="77777777" w:rsidR="001E5C90" w:rsidRDefault="004C0898">
      <w:pPr>
        <w:numPr>
          <w:ilvl w:val="0"/>
          <w:numId w:val="7"/>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Evidentemente, esta decisión implica una restricción a un derecho humano, por lo tanto, puede generar un agravio al particular y, en consecuencia, es necesario que </w:t>
      </w:r>
      <w:r>
        <w:rPr>
          <w:rFonts w:ascii="Palatino Linotype" w:eastAsia="Palatino Linotype" w:hAnsi="Palatino Linotype" w:cs="Palatino Linotype"/>
          <w:b/>
          <w:color w:val="000000"/>
          <w:u w:val="single"/>
        </w:rPr>
        <w:t>el acto reúna con los requisitos elementales</w:t>
      </w:r>
      <w:r>
        <w:rPr>
          <w:rFonts w:ascii="Palatino Linotype" w:eastAsia="Palatino Linotype" w:hAnsi="Palatino Linotype" w:cs="Palatino Linotype"/>
          <w:color w:val="000000"/>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w:t>
      </w:r>
      <w:r>
        <w:rPr>
          <w:rFonts w:ascii="Palatino Linotype" w:eastAsia="Palatino Linotype" w:hAnsi="Palatino Linotype" w:cs="Palatino Linotype"/>
          <w:color w:val="000000"/>
        </w:rPr>
        <w:lastRenderedPageBreak/>
        <w:t>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EA5110A" w14:textId="77777777" w:rsidR="001E5C90" w:rsidRDefault="001E5C90">
      <w:pPr>
        <w:pBdr>
          <w:top w:val="nil"/>
          <w:left w:val="nil"/>
          <w:bottom w:val="nil"/>
          <w:right w:val="nil"/>
          <w:between w:val="nil"/>
        </w:pBdr>
        <w:spacing w:line="360" w:lineRule="auto"/>
        <w:rPr>
          <w:rFonts w:ascii="Palatino Linotype" w:eastAsia="Palatino Linotype" w:hAnsi="Palatino Linotype" w:cs="Palatino Linotype"/>
          <w:color w:val="000000"/>
        </w:rPr>
      </w:pPr>
    </w:p>
    <w:p w14:paraId="5EA5110B" w14:textId="77777777" w:rsidR="001E5C90" w:rsidRDefault="004C0898">
      <w:pPr>
        <w:numPr>
          <w:ilvl w:val="0"/>
          <w:numId w:val="7"/>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5EA5110C" w14:textId="77777777" w:rsidR="001E5C90" w:rsidRDefault="001E5C9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5EA5110D" w14:textId="77777777" w:rsidR="001E5C90" w:rsidRDefault="004C0898">
      <w:pPr>
        <w:numPr>
          <w:ilvl w:val="0"/>
          <w:numId w:val="1"/>
        </w:numPr>
        <w:pBdr>
          <w:top w:val="nil"/>
          <w:left w:val="nil"/>
          <w:bottom w:val="nil"/>
          <w:right w:val="nil"/>
          <w:between w:val="nil"/>
        </w:pBdr>
        <w:tabs>
          <w:tab w:val="left" w:pos="142"/>
          <w:tab w:val="left" w:pos="284"/>
          <w:tab w:val="left" w:pos="426"/>
        </w:tabs>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Requisitos de fondo del Acuerdo de Clasificación.</w:t>
      </w:r>
    </w:p>
    <w:p w14:paraId="5EA5110E" w14:textId="77777777" w:rsidR="001E5C90" w:rsidRDefault="004C0898">
      <w:pPr>
        <w:numPr>
          <w:ilvl w:val="0"/>
          <w:numId w:val="7"/>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5EA5110F" w14:textId="77777777" w:rsidR="001E5C90" w:rsidRDefault="001E5C9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5EA51110" w14:textId="77777777" w:rsidR="001E5C90" w:rsidRDefault="004C0898">
      <w:pPr>
        <w:numPr>
          <w:ilvl w:val="0"/>
          <w:numId w:val="7"/>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EA51111" w14:textId="77777777" w:rsidR="001E5C90" w:rsidRDefault="001E5C9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5EA51112" w14:textId="77777777" w:rsidR="001E5C90" w:rsidRDefault="004C0898">
      <w:pPr>
        <w:numPr>
          <w:ilvl w:val="0"/>
          <w:numId w:val="7"/>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el intérprete judicial del país ha establecido una jurisprudencia respecto a qué debe entenderse por fundamentación y motivación, en los siguientes términos:</w:t>
      </w:r>
    </w:p>
    <w:p w14:paraId="5EA51113" w14:textId="77777777" w:rsidR="001E5C90" w:rsidRDefault="004C0898">
      <w:pPr>
        <w:spacing w:line="360" w:lineRule="auto"/>
        <w:ind w:left="851" w:right="618"/>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FUNDAMENTACIÓN Y MOTIVACIÓN.</w:t>
      </w:r>
      <w:r>
        <w:rPr>
          <w:rFonts w:ascii="Palatino Linotype" w:eastAsia="Palatino Linotype" w:hAnsi="Palatino Linotype" w:cs="Palatino Linotype"/>
          <w:i/>
          <w:color w:val="000000"/>
          <w:sz w:val="20"/>
          <w:szCs w:val="20"/>
        </w:rPr>
        <w:t xml:space="preserve"> “La </w:t>
      </w:r>
      <w:r>
        <w:rPr>
          <w:rFonts w:ascii="Palatino Linotype" w:eastAsia="Palatino Linotype" w:hAnsi="Palatino Linotype" w:cs="Palatino Linotype"/>
          <w:i/>
          <w:color w:val="000000"/>
          <w:sz w:val="20"/>
          <w:szCs w:val="2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Pr>
          <w:rFonts w:ascii="Palatino Linotype" w:eastAsia="Palatino Linotype" w:hAnsi="Palatino Linotype" w:cs="Palatino Linotype"/>
          <w:i/>
          <w:color w:val="000000"/>
          <w:sz w:val="20"/>
          <w:szCs w:val="20"/>
        </w:rPr>
        <w:t>.”</w:t>
      </w:r>
    </w:p>
    <w:p w14:paraId="5EA51114" w14:textId="77777777" w:rsidR="001E5C90" w:rsidRDefault="004C0898">
      <w:pPr>
        <w:spacing w:line="360" w:lineRule="auto"/>
        <w:ind w:left="851" w:right="618"/>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SEGUNDO TRIBUNAL COLEGIADO DEL SEXTO CIRCUITO.</w:t>
      </w:r>
    </w:p>
    <w:p w14:paraId="5EA51115" w14:textId="77777777" w:rsidR="001E5C90" w:rsidRDefault="004C0898">
      <w:pPr>
        <w:spacing w:line="360" w:lineRule="auto"/>
        <w:ind w:left="851" w:right="618"/>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Amparo directo 194/88. Bufete Industrial Construcciones, S.A. de C.V. 28 de junio de 1988. Unanimidad de votos. Ponente: Gustavo Calvillo Rangel. Secretario: Jorge Alberto González Álvarez.</w:t>
      </w:r>
    </w:p>
    <w:p w14:paraId="5EA51116" w14:textId="77777777" w:rsidR="001E5C90" w:rsidRDefault="004C0898">
      <w:pPr>
        <w:spacing w:line="360" w:lineRule="auto"/>
        <w:ind w:left="851" w:right="618"/>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Revisión fiscal 103/88. Instituto Mexicano del Seguro Social. 18 de octubre de 1988. Unanimidad de votos. Ponente: Arnoldo Nájera Virgen. Secretario: Alejandro Esponda Rincón.</w:t>
      </w:r>
    </w:p>
    <w:p w14:paraId="5EA51117" w14:textId="77777777" w:rsidR="001E5C90" w:rsidRDefault="004C0898">
      <w:pPr>
        <w:spacing w:line="360" w:lineRule="auto"/>
        <w:ind w:left="851" w:right="618"/>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Amparo en revisión 333/88. Adilia Romero. 26 de octubre de 1988. Unanimidad de votos. Ponente: Arnoldo Nájera Virgen. Secretario: Enrique Crispín Campos Ramírez.</w:t>
      </w:r>
    </w:p>
    <w:p w14:paraId="5EA51118" w14:textId="77777777" w:rsidR="001E5C90" w:rsidRDefault="004C0898">
      <w:pPr>
        <w:spacing w:line="360" w:lineRule="auto"/>
        <w:ind w:left="851" w:right="618"/>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Amparo en revisión 597/95. Emilio Maurer Bretón. 15 de noviembre de 1995. Unanimidad de votos. Ponente: Clementina Ramírez Moguel Goyzueta. Secretario: Gonzalo Carrera Molina.</w:t>
      </w:r>
    </w:p>
    <w:p w14:paraId="5EA51119" w14:textId="77777777" w:rsidR="001E5C90" w:rsidRDefault="004C0898">
      <w:pPr>
        <w:spacing w:line="360" w:lineRule="auto"/>
        <w:ind w:left="851" w:right="618"/>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Amparo directo 7/96. Pedro Vicente López Miro. 21 de febrero de 1996. Unanimidad de votos. Ponente: María Eugenia Estela Martínez Cardiel. Secretario: Enrique Baigts Muñoz.</w:t>
      </w:r>
    </w:p>
    <w:p w14:paraId="5EA5111A" w14:textId="77777777" w:rsidR="001E5C90" w:rsidRDefault="001E5C9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5EA5111B" w14:textId="77777777" w:rsidR="001E5C90" w:rsidRDefault="004C0898">
      <w:pPr>
        <w:numPr>
          <w:ilvl w:val="0"/>
          <w:numId w:val="7"/>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EA5111C" w14:textId="77777777" w:rsidR="001E5C90" w:rsidRDefault="001E5C9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5EA5111D" w14:textId="77777777" w:rsidR="001E5C90" w:rsidRDefault="004C0898">
      <w:pPr>
        <w:numPr>
          <w:ilvl w:val="0"/>
          <w:numId w:val="7"/>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EA5111E" w14:textId="77777777" w:rsidR="001E5C90" w:rsidRDefault="004C0898">
      <w:pPr>
        <w:numPr>
          <w:ilvl w:val="0"/>
          <w:numId w:val="7"/>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5EA5111F" w14:textId="77777777" w:rsidR="001E5C90" w:rsidRDefault="001E5C9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5EA51120" w14:textId="77777777" w:rsidR="001E5C90" w:rsidRDefault="004C0898">
      <w:pPr>
        <w:pStyle w:val="Ttulo3"/>
        <w:numPr>
          <w:ilvl w:val="0"/>
          <w:numId w:val="1"/>
        </w:numP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Condiciones especiales de la clasificación de la información como reservada </w:t>
      </w:r>
    </w:p>
    <w:p w14:paraId="5EA51121" w14:textId="77777777" w:rsidR="001E5C90" w:rsidRDefault="004C0898">
      <w:pPr>
        <w:numPr>
          <w:ilvl w:val="0"/>
          <w:numId w:val="6"/>
        </w:numPr>
        <w:pBdr>
          <w:top w:val="nil"/>
          <w:left w:val="nil"/>
          <w:bottom w:val="nil"/>
          <w:right w:val="nil"/>
          <w:between w:val="nil"/>
        </w:pBdr>
        <w:ind w:left="851" w:firstLine="0"/>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La fundamentación específica.</w:t>
      </w:r>
    </w:p>
    <w:p w14:paraId="5EA51122" w14:textId="77777777" w:rsidR="001E5C90" w:rsidRDefault="004C0898">
      <w:pPr>
        <w:numPr>
          <w:ilvl w:val="0"/>
          <w:numId w:val="7"/>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artículos 128 segundo párrafo y 103 segundo párrafo de las leyes estatal y general, respectivamente, señalan que, en el caso de la información reservada, se debe de señalar las razones, motivos o circunstancias especiales que llevan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w:t>
      </w:r>
    </w:p>
    <w:p w14:paraId="5EA51123" w14:textId="77777777" w:rsidR="001E5C90" w:rsidRDefault="001E5C90">
      <w:pPr>
        <w:spacing w:line="360" w:lineRule="auto"/>
        <w:jc w:val="both"/>
        <w:rPr>
          <w:rFonts w:ascii="Palatino Linotype" w:eastAsia="Palatino Linotype" w:hAnsi="Palatino Linotype" w:cs="Palatino Linotype"/>
          <w:b/>
          <w:color w:val="000000"/>
        </w:rPr>
      </w:pPr>
    </w:p>
    <w:p w14:paraId="5EA51124" w14:textId="77777777" w:rsidR="001E5C90" w:rsidRDefault="004C0898">
      <w:pPr>
        <w:numPr>
          <w:ilvl w:val="0"/>
          <w:numId w:val="6"/>
        </w:numPr>
        <w:pBdr>
          <w:top w:val="nil"/>
          <w:left w:val="nil"/>
          <w:bottom w:val="nil"/>
          <w:right w:val="nil"/>
          <w:between w:val="nil"/>
        </w:pBdr>
        <w:ind w:left="851" w:hanging="10"/>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La prueba de daño.</w:t>
      </w:r>
    </w:p>
    <w:p w14:paraId="5EA51125" w14:textId="77777777" w:rsidR="001E5C90" w:rsidRDefault="004C0898">
      <w:pPr>
        <w:numPr>
          <w:ilvl w:val="0"/>
          <w:numId w:val="7"/>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5EA51126" w14:textId="77777777" w:rsidR="001E5C90" w:rsidRDefault="001E5C90">
      <w:pPr>
        <w:spacing w:line="360" w:lineRule="auto"/>
        <w:jc w:val="both"/>
        <w:rPr>
          <w:rFonts w:ascii="Palatino Linotype" w:eastAsia="Palatino Linotype" w:hAnsi="Palatino Linotype" w:cs="Palatino Linotype"/>
          <w:color w:val="000000"/>
        </w:rPr>
      </w:pPr>
    </w:p>
    <w:p w14:paraId="5EA51127" w14:textId="77777777" w:rsidR="001E5C90" w:rsidRDefault="004C0898">
      <w:pPr>
        <w:numPr>
          <w:ilvl w:val="0"/>
          <w:numId w:val="7"/>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Para aplicar la prueba de daño, se deberán de precisar las razones objetivas por las que la apertura genera una afectación, acreditando que:</w:t>
      </w:r>
    </w:p>
    <w:p w14:paraId="5EA51128" w14:textId="77777777" w:rsidR="001E5C90" w:rsidRDefault="004C0898">
      <w:pPr>
        <w:widowControl w:val="0"/>
        <w:tabs>
          <w:tab w:val="left" w:pos="8222"/>
        </w:tabs>
        <w:spacing w:after="240"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La divulgación de la información representa un riesgo real, demostrable e identificable del perjuicio significativo al interés público o a la seguridad pública; </w:t>
      </w:r>
    </w:p>
    <w:p w14:paraId="5EA51129" w14:textId="77777777" w:rsidR="001E5C90" w:rsidRDefault="004C0898">
      <w:pPr>
        <w:widowControl w:val="0"/>
        <w:tabs>
          <w:tab w:val="left" w:pos="8222"/>
        </w:tabs>
        <w:spacing w:after="240"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El riesgo de perjuicio que supondría la divulgación supera el interés público general de que se difunda; y </w:t>
      </w:r>
    </w:p>
    <w:p w14:paraId="5EA5112A" w14:textId="77777777" w:rsidR="001E5C90" w:rsidRDefault="004C0898">
      <w:pPr>
        <w:widowControl w:val="0"/>
        <w:tabs>
          <w:tab w:val="left" w:pos="8222"/>
        </w:tabs>
        <w:spacing w:after="240"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La limitación se adecua al principio de proporcionalidad y representa el medio menos restrictivo disponible para evitar el perjuicio. </w:t>
      </w:r>
    </w:p>
    <w:p w14:paraId="5EA5112B" w14:textId="77777777" w:rsidR="001E5C90" w:rsidRDefault="004C0898">
      <w:pPr>
        <w:numPr>
          <w:ilvl w:val="0"/>
          <w:numId w:val="7"/>
        </w:numPr>
        <w:shd w:val="clear" w:color="auto" w:fill="FFFFFF"/>
        <w:spacing w:before="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elementos que brevemente se han señalado son todos los que deben de integrar el proceso de clasificación total o parcial de la información para, especialmente, responder a las solicitudes. La falta de cualquiera de ellos puede provocar que el acto que limita o restringe el acceso a la información sea considerada infundado y se proceda </w:t>
      </w:r>
      <w:r>
        <w:rPr>
          <w:rFonts w:ascii="Palatino Linotype" w:eastAsia="Palatino Linotype" w:hAnsi="Palatino Linotype" w:cs="Palatino Linotype"/>
          <w:color w:val="000000"/>
        </w:rPr>
        <w:lastRenderedPageBreak/>
        <w:t xml:space="preserve">a ordenar la desclasificación de la información por el incumplimiento de las formalidades, es decir, por vicios de legalidad o a la reposición del acto.  </w:t>
      </w:r>
    </w:p>
    <w:p w14:paraId="5EA5112C" w14:textId="77777777" w:rsidR="001E5C90" w:rsidRDefault="001E5C90">
      <w:pPr>
        <w:shd w:val="clear" w:color="auto" w:fill="FFFFFF"/>
        <w:spacing w:line="360" w:lineRule="auto"/>
        <w:jc w:val="both"/>
        <w:rPr>
          <w:rFonts w:ascii="Palatino Linotype" w:eastAsia="Palatino Linotype" w:hAnsi="Palatino Linotype" w:cs="Palatino Linotype"/>
          <w:color w:val="000000"/>
        </w:rPr>
      </w:pPr>
    </w:p>
    <w:p w14:paraId="5EA5112D" w14:textId="77777777" w:rsidR="001E5C90" w:rsidRDefault="004C0898">
      <w:pPr>
        <w:numPr>
          <w:ilvl w:val="0"/>
          <w:numId w:val="7"/>
        </w:numPr>
        <w:shd w:val="clear" w:color="auto" w:fill="FFFFFF"/>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Ahora bien, resulta necesario, analizar dicho Acuerdo de Reserva de la información antes referido, entregado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a fin de establecer si el Comité de Transparencia cumplió o no cabalmente con las formalidades exigidas por con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fracción I, VI y VIII de la ley local,  y 141, de la Ley de Transparencia y Acceso a la Información Pública del Estado de México y Municipios, relacionadas con las fracciones X y XI de la Ley General y Numerales Vigésimo Noveno y Trigésimo de los lineamientos: </w:t>
      </w:r>
    </w:p>
    <w:p w14:paraId="5EA5112E" w14:textId="77777777" w:rsidR="001E5C90" w:rsidRDefault="001E5C90">
      <w:pPr>
        <w:shd w:val="clear" w:color="auto" w:fill="FFFFFF"/>
        <w:spacing w:after="280" w:line="360" w:lineRule="auto"/>
        <w:jc w:val="both"/>
        <w:rPr>
          <w:rFonts w:ascii="Palatino Linotype" w:eastAsia="Palatino Linotype" w:hAnsi="Palatino Linotype" w:cs="Palatino Linotype"/>
          <w:color w:val="000000"/>
        </w:rPr>
      </w:pP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387"/>
        <w:gridCol w:w="1603"/>
      </w:tblGrid>
      <w:tr w:rsidR="001E5C90" w14:paraId="5EA51132" w14:textId="77777777">
        <w:tc>
          <w:tcPr>
            <w:tcW w:w="1838" w:type="dxa"/>
            <w:tcBorders>
              <w:top w:val="single" w:sz="4" w:space="0" w:color="000000"/>
              <w:left w:val="single" w:sz="4" w:space="0" w:color="000000"/>
              <w:bottom w:val="single" w:sz="4" w:space="0" w:color="000000"/>
              <w:right w:val="single" w:sz="4" w:space="0" w:color="000000"/>
            </w:tcBorders>
            <w:shd w:val="clear" w:color="auto" w:fill="7B7B7B"/>
          </w:tcPr>
          <w:p w14:paraId="5EA5112F" w14:textId="77777777" w:rsidR="001E5C90" w:rsidRDefault="004C0898">
            <w:pPr>
              <w:spacing w:before="100" w:after="200" w:line="276"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Elementos del acuerdo de clasificación</w:t>
            </w:r>
          </w:p>
        </w:tc>
        <w:tc>
          <w:tcPr>
            <w:tcW w:w="5387" w:type="dxa"/>
            <w:tcBorders>
              <w:top w:val="single" w:sz="4" w:space="0" w:color="000000"/>
              <w:left w:val="single" w:sz="4" w:space="0" w:color="000000"/>
              <w:bottom w:val="single" w:sz="4" w:space="0" w:color="000000"/>
              <w:right w:val="single" w:sz="4" w:space="0" w:color="000000"/>
            </w:tcBorders>
            <w:shd w:val="clear" w:color="auto" w:fill="7B7B7B"/>
          </w:tcPr>
          <w:p w14:paraId="5EA51130" w14:textId="77777777" w:rsidR="001E5C90" w:rsidRDefault="004C0898">
            <w:pPr>
              <w:spacing w:before="100" w:after="200" w:line="276"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Contenido</w:t>
            </w:r>
          </w:p>
        </w:tc>
        <w:tc>
          <w:tcPr>
            <w:tcW w:w="1603" w:type="dxa"/>
            <w:tcBorders>
              <w:top w:val="single" w:sz="4" w:space="0" w:color="000000"/>
              <w:left w:val="single" w:sz="4" w:space="0" w:color="000000"/>
              <w:bottom w:val="single" w:sz="4" w:space="0" w:color="000000"/>
              <w:right w:val="single" w:sz="4" w:space="0" w:color="000000"/>
            </w:tcBorders>
            <w:shd w:val="clear" w:color="auto" w:fill="7B7B7B"/>
          </w:tcPr>
          <w:p w14:paraId="5EA51131" w14:textId="77777777" w:rsidR="001E5C90" w:rsidRDefault="004C0898">
            <w:pPr>
              <w:spacing w:before="100" w:after="200" w:line="276"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Cumple</w:t>
            </w:r>
          </w:p>
        </w:tc>
      </w:tr>
      <w:tr w:rsidR="001E5C90" w14:paraId="5EA51136" w14:textId="77777777">
        <w:tc>
          <w:tcPr>
            <w:tcW w:w="1838" w:type="dxa"/>
            <w:tcBorders>
              <w:top w:val="single" w:sz="4" w:space="0" w:color="000000"/>
              <w:left w:val="single" w:sz="4" w:space="0" w:color="000000"/>
              <w:bottom w:val="single" w:sz="4" w:space="0" w:color="000000"/>
              <w:right w:val="single" w:sz="4" w:space="0" w:color="000000"/>
            </w:tcBorders>
          </w:tcPr>
          <w:p w14:paraId="5EA51133" w14:textId="77777777" w:rsidR="001E5C90" w:rsidRDefault="004C0898">
            <w:pPr>
              <w:spacing w:before="100" w:after="200" w:line="276" w:lineRule="auto"/>
              <w:jc w:val="center"/>
              <w:rPr>
                <w:rFonts w:ascii="Palatino Linotype" w:eastAsia="Palatino Linotype" w:hAnsi="Palatino Linotype" w:cs="Palatino Linotype"/>
                <w:sz w:val="16"/>
                <w:szCs w:val="16"/>
              </w:rPr>
            </w:pPr>
            <w:r>
              <w:rPr>
                <w:rFonts w:ascii="Palatino Linotype" w:eastAsia="Palatino Linotype" w:hAnsi="Palatino Linotype" w:cs="Palatino Linotype"/>
                <w:b/>
                <w:sz w:val="16"/>
                <w:szCs w:val="16"/>
              </w:rPr>
              <w:t>Número de folio de la solicitud</w:t>
            </w:r>
          </w:p>
        </w:tc>
        <w:tc>
          <w:tcPr>
            <w:tcW w:w="5387" w:type="dxa"/>
            <w:tcBorders>
              <w:top w:val="single" w:sz="4" w:space="0" w:color="000000"/>
              <w:left w:val="single" w:sz="4" w:space="0" w:color="000000"/>
              <w:bottom w:val="single" w:sz="4" w:space="0" w:color="000000"/>
              <w:right w:val="single" w:sz="4" w:space="0" w:color="000000"/>
            </w:tcBorders>
          </w:tcPr>
          <w:p w14:paraId="5EA51134" w14:textId="77777777" w:rsidR="001E5C90" w:rsidRDefault="004C0898">
            <w:pPr>
              <w:spacing w:before="100" w:after="200" w:line="276" w:lineRule="auto"/>
              <w:rPr>
                <w:sz w:val="16"/>
                <w:szCs w:val="16"/>
              </w:rPr>
            </w:pPr>
            <w:r>
              <w:rPr>
                <w:sz w:val="16"/>
                <w:szCs w:val="16"/>
              </w:rPr>
              <w:t xml:space="preserve"> </w:t>
            </w:r>
            <w:r>
              <w:rPr>
                <w:noProof/>
                <w:sz w:val="16"/>
                <w:szCs w:val="16"/>
              </w:rPr>
              <w:drawing>
                <wp:inline distT="0" distB="0" distL="0" distR="0" wp14:anchorId="5EA511DA" wp14:editId="5EA511DB">
                  <wp:extent cx="3416521" cy="548866"/>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416521" cy="548866"/>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5EA51135" w14:textId="77777777" w:rsidR="001E5C90" w:rsidRDefault="004C0898">
            <w:pPr>
              <w:spacing w:before="100" w:after="200" w:line="276"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Sí</w:t>
            </w:r>
          </w:p>
        </w:tc>
      </w:tr>
      <w:tr w:rsidR="001E5C90" w14:paraId="5EA5113A" w14:textId="77777777">
        <w:tc>
          <w:tcPr>
            <w:tcW w:w="1838" w:type="dxa"/>
            <w:tcBorders>
              <w:top w:val="single" w:sz="4" w:space="0" w:color="000000"/>
              <w:left w:val="single" w:sz="4" w:space="0" w:color="000000"/>
              <w:bottom w:val="single" w:sz="4" w:space="0" w:color="000000"/>
              <w:right w:val="single" w:sz="4" w:space="0" w:color="000000"/>
            </w:tcBorders>
          </w:tcPr>
          <w:p w14:paraId="5EA51137" w14:textId="77777777" w:rsidR="001E5C90" w:rsidRDefault="004C0898">
            <w:pPr>
              <w:spacing w:before="100" w:after="200" w:line="276" w:lineRule="auto"/>
              <w:jc w:val="center"/>
              <w:rPr>
                <w:rFonts w:ascii="Palatino Linotype" w:eastAsia="Palatino Linotype" w:hAnsi="Palatino Linotype" w:cs="Palatino Linotype"/>
                <w:sz w:val="16"/>
                <w:szCs w:val="16"/>
              </w:rPr>
            </w:pPr>
            <w:r>
              <w:rPr>
                <w:rFonts w:ascii="Palatino Linotype" w:eastAsia="Palatino Linotype" w:hAnsi="Palatino Linotype" w:cs="Palatino Linotype"/>
                <w:b/>
                <w:sz w:val="16"/>
                <w:szCs w:val="16"/>
              </w:rPr>
              <w:t>Referencia de la información solicitada</w:t>
            </w:r>
          </w:p>
        </w:tc>
        <w:tc>
          <w:tcPr>
            <w:tcW w:w="5387" w:type="dxa"/>
            <w:tcBorders>
              <w:top w:val="single" w:sz="4" w:space="0" w:color="000000"/>
              <w:left w:val="single" w:sz="4" w:space="0" w:color="000000"/>
              <w:bottom w:val="single" w:sz="4" w:space="0" w:color="000000"/>
              <w:right w:val="single" w:sz="4" w:space="0" w:color="000000"/>
            </w:tcBorders>
          </w:tcPr>
          <w:p w14:paraId="5EA51138" w14:textId="77777777" w:rsidR="001E5C90" w:rsidRDefault="004C0898">
            <w:pPr>
              <w:spacing w:before="100" w:after="200" w:line="276" w:lineRule="auto"/>
              <w:jc w:val="center"/>
              <w:rPr>
                <w:sz w:val="16"/>
                <w:szCs w:val="16"/>
              </w:rPr>
            </w:pPr>
            <w:r>
              <w:rPr>
                <w:noProof/>
                <w:sz w:val="16"/>
                <w:szCs w:val="16"/>
              </w:rPr>
              <w:drawing>
                <wp:inline distT="0" distB="0" distL="0" distR="0" wp14:anchorId="5EA511DC" wp14:editId="5EA511DD">
                  <wp:extent cx="3553460" cy="628650"/>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553460" cy="628650"/>
                          </a:xfrm>
                          <a:prstGeom prst="rect">
                            <a:avLst/>
                          </a:prstGeom>
                          <a:ln/>
                        </pic:spPr>
                      </pic:pic>
                    </a:graphicData>
                  </a:graphic>
                </wp:inline>
              </w:drawing>
            </w:r>
            <w:r>
              <w:rPr>
                <w:sz w:val="16"/>
                <w:szCs w:val="16"/>
              </w:rPr>
              <w:t xml:space="preserve"> </w:t>
            </w:r>
            <w:r>
              <w:rPr>
                <w:noProof/>
              </w:rPr>
              <mc:AlternateContent>
                <mc:Choice Requires="wps">
                  <w:drawing>
                    <wp:anchor distT="0" distB="0" distL="114300" distR="114300" simplePos="0" relativeHeight="251658240" behindDoc="0" locked="0" layoutInCell="1" hidden="0" allowOverlap="1" wp14:anchorId="5EA511DE" wp14:editId="5EA511DF">
                      <wp:simplePos x="0" y="0"/>
                      <wp:positionH relativeFrom="column">
                        <wp:posOffset>1054100</wp:posOffset>
                      </wp:positionH>
                      <wp:positionV relativeFrom="paragraph">
                        <wp:posOffset>292100</wp:posOffset>
                      </wp:positionV>
                      <wp:extent cx="2085975" cy="180975"/>
                      <wp:effectExtent l="0" t="0" r="0" b="0"/>
                      <wp:wrapNone/>
                      <wp:docPr id="15" name="Rectángulo redondeado 15"/>
                      <wp:cNvGraphicFramePr/>
                      <a:graphic xmlns:a="http://schemas.openxmlformats.org/drawingml/2006/main">
                        <a:graphicData uri="http://schemas.microsoft.com/office/word/2010/wordprocessingShape">
                          <wps:wsp>
                            <wps:cNvSpPr/>
                            <wps:spPr>
                              <a:xfrm>
                                <a:off x="4317300" y="3703800"/>
                                <a:ext cx="2057400" cy="152400"/>
                              </a:xfrm>
                              <a:prstGeom prst="roundRect">
                                <a:avLst>
                                  <a:gd name="adj" fmla="val 16667"/>
                                </a:avLst>
                              </a:prstGeom>
                              <a:noFill/>
                              <a:ln w="28575" cap="flat" cmpd="sng">
                                <a:solidFill>
                                  <a:srgbClr val="FF0000"/>
                                </a:solidFill>
                                <a:prstDash val="solid"/>
                                <a:miter lim="800000"/>
                                <a:headEnd type="none" w="sm" len="sm"/>
                                <a:tailEnd type="none" w="sm" len="sm"/>
                              </a:ln>
                            </wps:spPr>
                            <wps:txbx>
                              <w:txbxContent>
                                <w:p w14:paraId="5EA51224" w14:textId="77777777" w:rsidR="001E5C90" w:rsidRDefault="001E5C90">
                                  <w:pPr>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roundrect w14:anchorId="5EA511DE" id="Rectángulo redondeado 15" o:spid="_x0000_s1026" style="position:absolute;left:0;text-align:left;margin-left:83pt;margin-top:23pt;width:164.25pt;height:14.2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" filled="f" strokecolor="red" strokeweight="2.25pt">
                      <v:stroke startarrowwidth="narrow" startarrowlength="short" endarrowwidth="narrow" endarrowlength="short" joinstyle="miter"/>
                      <v:textbox inset="2.53958mm,2.53958mm,2.53958mm,2.53958mm">
                        <w:txbxContent>
                          <w:p w14:paraId="5EA51224" w14:textId="77777777" w:rsidR="001E5C90" w:rsidRDefault="001E5C90">
                            <w:pPr>
                              <w:textDirection w:val="btLr"/>
                            </w:pPr>
                          </w:p>
                        </w:txbxContent>
                      </v:textbox>
                    </v:roundrect>
                  </w:pict>
                </mc:Fallback>
              </mc:AlternateContent>
            </w:r>
          </w:p>
        </w:tc>
        <w:tc>
          <w:tcPr>
            <w:tcW w:w="1603" w:type="dxa"/>
            <w:tcBorders>
              <w:top w:val="single" w:sz="4" w:space="0" w:color="000000"/>
              <w:left w:val="single" w:sz="4" w:space="0" w:color="000000"/>
              <w:bottom w:val="single" w:sz="4" w:space="0" w:color="000000"/>
              <w:right w:val="single" w:sz="4" w:space="0" w:color="000000"/>
            </w:tcBorders>
          </w:tcPr>
          <w:p w14:paraId="5EA51139" w14:textId="77777777" w:rsidR="001E5C90" w:rsidRDefault="004C0898">
            <w:pPr>
              <w:spacing w:before="100" w:after="200" w:line="276" w:lineRule="auto"/>
              <w:jc w:val="center"/>
              <w:rPr>
                <w:rFonts w:ascii="Palatino Linotype" w:eastAsia="Palatino Linotype" w:hAnsi="Palatino Linotype" w:cs="Palatino Linotype"/>
                <w:sz w:val="16"/>
                <w:szCs w:val="16"/>
              </w:rPr>
            </w:pPr>
            <w:r>
              <w:rPr>
                <w:rFonts w:ascii="Palatino Linotype" w:eastAsia="Palatino Linotype" w:hAnsi="Palatino Linotype" w:cs="Palatino Linotype"/>
                <w:b/>
                <w:sz w:val="16"/>
                <w:szCs w:val="16"/>
              </w:rPr>
              <w:t>Sí</w:t>
            </w:r>
          </w:p>
        </w:tc>
      </w:tr>
      <w:tr w:rsidR="001E5C90" w14:paraId="5EA51140" w14:textId="77777777">
        <w:tc>
          <w:tcPr>
            <w:tcW w:w="1838" w:type="dxa"/>
            <w:tcBorders>
              <w:top w:val="single" w:sz="4" w:space="0" w:color="000000"/>
              <w:left w:val="single" w:sz="4" w:space="0" w:color="000000"/>
              <w:bottom w:val="single" w:sz="4" w:space="0" w:color="000000"/>
              <w:right w:val="single" w:sz="4" w:space="0" w:color="000000"/>
            </w:tcBorders>
          </w:tcPr>
          <w:p w14:paraId="5EA5113B" w14:textId="77777777" w:rsidR="001E5C90" w:rsidRDefault="004C0898">
            <w:pPr>
              <w:spacing w:before="100" w:after="200" w:line="276" w:lineRule="auto"/>
              <w:jc w:val="center"/>
              <w:rPr>
                <w:rFonts w:ascii="Palatino Linotype" w:eastAsia="Palatino Linotype" w:hAnsi="Palatino Linotype" w:cs="Palatino Linotype"/>
                <w:sz w:val="16"/>
                <w:szCs w:val="16"/>
              </w:rPr>
            </w:pPr>
            <w:r>
              <w:rPr>
                <w:rFonts w:ascii="Palatino Linotype" w:eastAsia="Palatino Linotype" w:hAnsi="Palatino Linotype" w:cs="Palatino Linotype"/>
                <w:b/>
                <w:sz w:val="16"/>
                <w:szCs w:val="16"/>
              </w:rPr>
              <w:t xml:space="preserve">Causal aplicable del artículo 113 de la Ley General, vinculándola con el </w:t>
            </w:r>
            <w:r>
              <w:rPr>
                <w:rFonts w:ascii="Palatino Linotype" w:eastAsia="Palatino Linotype" w:hAnsi="Palatino Linotype" w:cs="Palatino Linotype"/>
                <w:b/>
                <w:sz w:val="16"/>
                <w:szCs w:val="16"/>
              </w:rPr>
              <w:lastRenderedPageBreak/>
              <w:t>Lineamiento específico del presente ordenamiento y, cuando corresponda, el supuesto normativo que expresamente le otorga el carácter de información reservada</w:t>
            </w:r>
          </w:p>
        </w:tc>
        <w:tc>
          <w:tcPr>
            <w:tcW w:w="5387" w:type="dxa"/>
            <w:tcBorders>
              <w:top w:val="single" w:sz="4" w:space="0" w:color="000000"/>
              <w:left w:val="single" w:sz="4" w:space="0" w:color="000000"/>
              <w:bottom w:val="single" w:sz="4" w:space="0" w:color="000000"/>
              <w:right w:val="single" w:sz="4" w:space="0" w:color="000000"/>
            </w:tcBorders>
          </w:tcPr>
          <w:p w14:paraId="5EA5113C" w14:textId="77777777" w:rsidR="001E5C90" w:rsidRDefault="004C0898">
            <w:pPr>
              <w:spacing w:before="100" w:after="200" w:line="276" w:lineRule="auto"/>
              <w:rPr>
                <w:sz w:val="16"/>
                <w:szCs w:val="16"/>
              </w:rPr>
            </w:pPr>
            <w:r>
              <w:rPr>
                <w:sz w:val="16"/>
                <w:szCs w:val="16"/>
              </w:rPr>
              <w:lastRenderedPageBreak/>
              <w:t xml:space="preserve"> </w:t>
            </w:r>
          </w:p>
          <w:p w14:paraId="5EA5113D" w14:textId="77777777" w:rsidR="001E5C90" w:rsidRDefault="004C0898">
            <w:pPr>
              <w:spacing w:before="100" w:after="200" w:line="276" w:lineRule="auto"/>
              <w:rPr>
                <w:sz w:val="16"/>
                <w:szCs w:val="16"/>
              </w:rPr>
            </w:pPr>
            <w:r>
              <w:rPr>
                <w:noProof/>
                <w:sz w:val="16"/>
                <w:szCs w:val="16"/>
              </w:rPr>
              <w:lastRenderedPageBreak/>
              <w:drawing>
                <wp:inline distT="0" distB="0" distL="0" distR="0" wp14:anchorId="5EA511E0" wp14:editId="5EA511E1">
                  <wp:extent cx="3553460" cy="62611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553460" cy="626110"/>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5EA5113E" w14:textId="77777777" w:rsidR="001E5C90" w:rsidRDefault="004C0898">
            <w:pPr>
              <w:spacing w:before="100" w:after="200" w:line="276"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lastRenderedPageBreak/>
              <w:t>NO</w:t>
            </w:r>
          </w:p>
          <w:p w14:paraId="5EA5113F" w14:textId="77777777" w:rsidR="001E5C90" w:rsidRDefault="004C0898">
            <w:pPr>
              <w:spacing w:before="100" w:after="200" w:line="276"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sz w:val="16"/>
                <w:szCs w:val="16"/>
              </w:rPr>
              <w:t xml:space="preserve">Porque no se observa la </w:t>
            </w:r>
            <w:r>
              <w:rPr>
                <w:rFonts w:ascii="Palatino Linotype" w:eastAsia="Palatino Linotype" w:hAnsi="Palatino Linotype" w:cs="Palatino Linotype"/>
                <w:sz w:val="16"/>
                <w:szCs w:val="16"/>
              </w:rPr>
              <w:lastRenderedPageBreak/>
              <w:t xml:space="preserve">vinculación  aplicable del artículo 113 de la Ley General con los lineamientos aplicables. </w:t>
            </w:r>
          </w:p>
        </w:tc>
      </w:tr>
      <w:tr w:rsidR="001E5C90" w14:paraId="5EA51146" w14:textId="77777777">
        <w:tc>
          <w:tcPr>
            <w:tcW w:w="1838" w:type="dxa"/>
            <w:tcBorders>
              <w:top w:val="single" w:sz="4" w:space="0" w:color="000000"/>
              <w:left w:val="single" w:sz="4" w:space="0" w:color="000000"/>
              <w:bottom w:val="single" w:sz="4" w:space="0" w:color="000000"/>
              <w:right w:val="single" w:sz="4" w:space="0" w:color="000000"/>
            </w:tcBorders>
          </w:tcPr>
          <w:p w14:paraId="5EA51141" w14:textId="77777777" w:rsidR="001E5C90" w:rsidRDefault="004C0898">
            <w:pPr>
              <w:spacing w:before="100" w:after="200" w:line="276" w:lineRule="auto"/>
              <w:jc w:val="center"/>
              <w:rPr>
                <w:rFonts w:ascii="Palatino Linotype" w:eastAsia="Palatino Linotype" w:hAnsi="Palatino Linotype" w:cs="Palatino Linotype"/>
                <w:sz w:val="16"/>
                <w:szCs w:val="16"/>
              </w:rPr>
            </w:pPr>
            <w:r>
              <w:rPr>
                <w:rFonts w:ascii="Palatino Linotype" w:eastAsia="Palatino Linotype" w:hAnsi="Palatino Linotype" w:cs="Palatino Linotype"/>
                <w:b/>
                <w:sz w:val="16"/>
                <w:szCs w:val="16"/>
              </w:rPr>
              <w:lastRenderedPageBreak/>
              <w:t>Fundamento y Motivación Legal</w:t>
            </w:r>
          </w:p>
        </w:tc>
        <w:tc>
          <w:tcPr>
            <w:tcW w:w="5387" w:type="dxa"/>
            <w:tcBorders>
              <w:top w:val="single" w:sz="4" w:space="0" w:color="000000"/>
              <w:left w:val="single" w:sz="4" w:space="0" w:color="000000"/>
              <w:bottom w:val="single" w:sz="4" w:space="0" w:color="000000"/>
              <w:right w:val="single" w:sz="4" w:space="0" w:color="000000"/>
            </w:tcBorders>
          </w:tcPr>
          <w:p w14:paraId="5EA51142" w14:textId="77777777" w:rsidR="001E5C90" w:rsidRDefault="004C0898">
            <w:pPr>
              <w:spacing w:before="100" w:after="200" w:line="276" w:lineRule="auto"/>
              <w:rPr>
                <w:sz w:val="16"/>
                <w:szCs w:val="16"/>
              </w:rPr>
            </w:pPr>
            <w:r>
              <w:rPr>
                <w:noProof/>
                <w:sz w:val="16"/>
                <w:szCs w:val="16"/>
              </w:rPr>
              <w:drawing>
                <wp:inline distT="0" distB="0" distL="0" distR="0" wp14:anchorId="5EA511E2" wp14:editId="5EA511E3">
                  <wp:extent cx="3283585" cy="3643630"/>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283585" cy="3643630"/>
                          </a:xfrm>
                          <a:prstGeom prst="rect">
                            <a:avLst/>
                          </a:prstGeom>
                          <a:ln/>
                        </pic:spPr>
                      </pic:pic>
                    </a:graphicData>
                  </a:graphic>
                </wp:inline>
              </w:drawing>
            </w:r>
          </w:p>
          <w:p w14:paraId="5EA51143" w14:textId="77777777" w:rsidR="001E5C90" w:rsidRDefault="004C0898">
            <w:pPr>
              <w:spacing w:before="100" w:after="200" w:line="276" w:lineRule="auto"/>
              <w:rPr>
                <w:sz w:val="16"/>
                <w:szCs w:val="16"/>
              </w:rPr>
            </w:pPr>
            <w:r>
              <w:rPr>
                <w:noProof/>
                <w:sz w:val="16"/>
                <w:szCs w:val="16"/>
              </w:rPr>
              <w:drawing>
                <wp:inline distT="0" distB="0" distL="0" distR="0" wp14:anchorId="5EA511E4" wp14:editId="5EA511E5">
                  <wp:extent cx="3283585" cy="1038225"/>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b="23953"/>
                          <a:stretch>
                            <a:fillRect/>
                          </a:stretch>
                        </pic:blipFill>
                        <pic:spPr>
                          <a:xfrm>
                            <a:off x="0" y="0"/>
                            <a:ext cx="3283585" cy="1038225"/>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5EA51144" w14:textId="77777777" w:rsidR="001E5C90" w:rsidRDefault="004C0898">
            <w:pPr>
              <w:spacing w:before="100" w:after="200" w:line="276"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NO</w:t>
            </w:r>
          </w:p>
          <w:p w14:paraId="5EA51145" w14:textId="77777777" w:rsidR="001E5C90" w:rsidRDefault="004C0898">
            <w:pPr>
              <w:spacing w:before="100" w:after="20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Porque dicha fundamentación y motivación no se refieren al caso específico que nos ocupa. </w:t>
            </w:r>
          </w:p>
        </w:tc>
      </w:tr>
      <w:tr w:rsidR="001E5C90" w14:paraId="5EA5114B" w14:textId="77777777">
        <w:tc>
          <w:tcPr>
            <w:tcW w:w="1838" w:type="dxa"/>
            <w:tcBorders>
              <w:top w:val="single" w:sz="4" w:space="0" w:color="000000"/>
              <w:left w:val="single" w:sz="4" w:space="0" w:color="000000"/>
              <w:bottom w:val="single" w:sz="4" w:space="0" w:color="000000"/>
              <w:right w:val="single" w:sz="4" w:space="0" w:color="000000"/>
            </w:tcBorders>
          </w:tcPr>
          <w:p w14:paraId="5EA51147" w14:textId="77777777" w:rsidR="001E5C90" w:rsidRDefault="004C0898">
            <w:pPr>
              <w:spacing w:before="100" w:after="200" w:line="276" w:lineRule="auto"/>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lastRenderedPageBreak/>
              <w:t>Conexión entre los fundamentos y motivos que dieron origen a la Reserva de la información</w:t>
            </w:r>
          </w:p>
        </w:tc>
        <w:tc>
          <w:tcPr>
            <w:tcW w:w="5387" w:type="dxa"/>
            <w:tcBorders>
              <w:top w:val="single" w:sz="4" w:space="0" w:color="000000"/>
              <w:left w:val="single" w:sz="4" w:space="0" w:color="000000"/>
              <w:bottom w:val="single" w:sz="4" w:space="0" w:color="000000"/>
              <w:right w:val="single" w:sz="4" w:space="0" w:color="000000"/>
            </w:tcBorders>
          </w:tcPr>
          <w:p w14:paraId="5EA51148" w14:textId="77777777" w:rsidR="001E5C90" w:rsidRDefault="004C0898">
            <w:pPr>
              <w:spacing w:before="100" w:after="200" w:line="276" w:lineRule="auto"/>
              <w:rPr>
                <w:sz w:val="16"/>
                <w:szCs w:val="16"/>
              </w:rPr>
            </w:pPr>
            <w:r>
              <w:rPr>
                <w:noProof/>
                <w:sz w:val="16"/>
                <w:szCs w:val="16"/>
              </w:rPr>
              <w:drawing>
                <wp:inline distT="0" distB="0" distL="0" distR="0" wp14:anchorId="5EA511E6" wp14:editId="5EA511E7">
                  <wp:extent cx="3283585" cy="1438275"/>
                  <wp:effectExtent l="0" t="0" r="0" b="0"/>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3283585" cy="1438275"/>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5EA51149" w14:textId="77777777" w:rsidR="001E5C90" w:rsidRDefault="004C0898">
            <w:pPr>
              <w:spacing w:before="100" w:after="200" w:line="276"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NO</w:t>
            </w:r>
          </w:p>
          <w:p w14:paraId="5EA5114A" w14:textId="77777777" w:rsidR="001E5C90" w:rsidRDefault="004C0898">
            <w:pPr>
              <w:spacing w:before="100" w:after="200" w:line="276" w:lineRule="auto"/>
              <w:jc w:val="both"/>
              <w:rPr>
                <w:rFonts w:ascii="Palatino Linotype" w:eastAsia="Palatino Linotype" w:hAnsi="Palatino Linotype" w:cs="Palatino Linotype"/>
                <w:b/>
                <w:sz w:val="16"/>
                <w:szCs w:val="16"/>
              </w:rPr>
            </w:pPr>
            <w:r>
              <w:rPr>
                <w:rFonts w:ascii="Palatino Linotype" w:eastAsia="Palatino Linotype" w:hAnsi="Palatino Linotype" w:cs="Palatino Linotype"/>
                <w:sz w:val="16"/>
                <w:szCs w:val="16"/>
              </w:rPr>
              <w:t xml:space="preserve">No se refieren al caso específico </w:t>
            </w:r>
          </w:p>
        </w:tc>
      </w:tr>
      <w:tr w:rsidR="001E5C90" w14:paraId="5EA5114D" w14:textId="77777777">
        <w:tc>
          <w:tcPr>
            <w:tcW w:w="8828" w:type="dxa"/>
            <w:gridSpan w:val="3"/>
            <w:tcBorders>
              <w:top w:val="single" w:sz="4" w:space="0" w:color="000000"/>
              <w:left w:val="single" w:sz="4" w:space="0" w:color="000000"/>
              <w:bottom w:val="single" w:sz="4" w:space="0" w:color="000000"/>
              <w:right w:val="single" w:sz="4" w:space="0" w:color="000000"/>
            </w:tcBorders>
            <w:shd w:val="clear" w:color="auto" w:fill="7B7B7B"/>
          </w:tcPr>
          <w:p w14:paraId="5EA5114C" w14:textId="77777777" w:rsidR="001E5C90" w:rsidRDefault="004C0898">
            <w:pPr>
              <w:spacing w:before="100" w:after="200" w:line="276"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Elementos de la prueba de daño</w:t>
            </w:r>
          </w:p>
        </w:tc>
      </w:tr>
      <w:tr w:rsidR="001E5C90" w14:paraId="5EA51153" w14:textId="77777777">
        <w:tc>
          <w:tcPr>
            <w:tcW w:w="1838" w:type="dxa"/>
            <w:tcBorders>
              <w:top w:val="single" w:sz="4" w:space="0" w:color="000000"/>
              <w:left w:val="single" w:sz="4" w:space="0" w:color="000000"/>
              <w:bottom w:val="single" w:sz="4" w:space="0" w:color="000000"/>
              <w:right w:val="single" w:sz="4" w:space="0" w:color="000000"/>
            </w:tcBorders>
          </w:tcPr>
          <w:p w14:paraId="5EA5114E" w14:textId="77777777" w:rsidR="001E5C90" w:rsidRDefault="004C0898">
            <w:pPr>
              <w:spacing w:after="120" w:line="256"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Riesgo Real, Demostrable e Identificable</w:t>
            </w:r>
          </w:p>
          <w:p w14:paraId="5EA5114F" w14:textId="77777777" w:rsidR="001E5C90" w:rsidRDefault="004C0898">
            <w:pPr>
              <w:spacing w:before="100" w:after="200" w:line="276"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(Modo, Tiempo y Lugar)</w:t>
            </w:r>
          </w:p>
        </w:tc>
        <w:tc>
          <w:tcPr>
            <w:tcW w:w="5387" w:type="dxa"/>
            <w:tcBorders>
              <w:top w:val="single" w:sz="4" w:space="0" w:color="000000"/>
              <w:left w:val="single" w:sz="4" w:space="0" w:color="000000"/>
              <w:bottom w:val="single" w:sz="4" w:space="0" w:color="000000"/>
              <w:right w:val="single" w:sz="4" w:space="0" w:color="000000"/>
            </w:tcBorders>
          </w:tcPr>
          <w:p w14:paraId="5EA51150" w14:textId="77777777" w:rsidR="001E5C90" w:rsidRDefault="004C0898">
            <w:pPr>
              <w:spacing w:before="100" w:after="200" w:line="276" w:lineRule="auto"/>
              <w:rPr>
                <w:rFonts w:ascii="Palatino Linotype" w:eastAsia="Palatino Linotype" w:hAnsi="Palatino Linotype" w:cs="Palatino Linotype"/>
                <w:b/>
                <w:sz w:val="16"/>
                <w:szCs w:val="16"/>
              </w:rPr>
            </w:pPr>
            <w:r>
              <w:rPr>
                <w:rFonts w:ascii="Palatino Linotype" w:eastAsia="Palatino Linotype" w:hAnsi="Palatino Linotype" w:cs="Palatino Linotype"/>
                <w:b/>
                <w:noProof/>
                <w:sz w:val="16"/>
                <w:szCs w:val="16"/>
              </w:rPr>
              <w:drawing>
                <wp:inline distT="0" distB="0" distL="0" distR="0" wp14:anchorId="5EA511E8" wp14:editId="5EA511E9">
                  <wp:extent cx="3283585" cy="1239520"/>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3283585" cy="1239520"/>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5EA51151" w14:textId="77777777" w:rsidR="001E5C90" w:rsidRDefault="004C0898">
            <w:pPr>
              <w:spacing w:before="100" w:after="200" w:line="276"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No</w:t>
            </w:r>
          </w:p>
          <w:p w14:paraId="5EA51152" w14:textId="77777777" w:rsidR="001E5C90" w:rsidRDefault="004C0898">
            <w:pPr>
              <w:spacing w:before="100" w:after="200" w:line="276" w:lineRule="auto"/>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aplicada al  caso CONCRETO. </w:t>
            </w:r>
          </w:p>
        </w:tc>
      </w:tr>
      <w:tr w:rsidR="001E5C90" w14:paraId="5EA51157" w14:textId="77777777">
        <w:tc>
          <w:tcPr>
            <w:tcW w:w="1838" w:type="dxa"/>
            <w:tcBorders>
              <w:top w:val="single" w:sz="4" w:space="0" w:color="000000"/>
              <w:left w:val="single" w:sz="4" w:space="0" w:color="000000"/>
              <w:bottom w:val="single" w:sz="4" w:space="0" w:color="000000"/>
              <w:right w:val="single" w:sz="4" w:space="0" w:color="000000"/>
            </w:tcBorders>
          </w:tcPr>
          <w:p w14:paraId="5EA51154" w14:textId="77777777" w:rsidR="001E5C90" w:rsidRDefault="004C0898">
            <w:pPr>
              <w:spacing w:before="100" w:after="200" w:line="276"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Temporalidad de la Reserva de la información</w:t>
            </w:r>
          </w:p>
        </w:tc>
        <w:tc>
          <w:tcPr>
            <w:tcW w:w="5387" w:type="dxa"/>
            <w:tcBorders>
              <w:top w:val="single" w:sz="4" w:space="0" w:color="000000"/>
              <w:left w:val="single" w:sz="4" w:space="0" w:color="000000"/>
              <w:bottom w:val="single" w:sz="4" w:space="0" w:color="000000"/>
              <w:right w:val="single" w:sz="4" w:space="0" w:color="000000"/>
            </w:tcBorders>
          </w:tcPr>
          <w:p w14:paraId="5EA51155" w14:textId="77777777" w:rsidR="001E5C90" w:rsidRDefault="004C0898">
            <w:pPr>
              <w:spacing w:before="100" w:after="200" w:line="276" w:lineRule="auto"/>
              <w:rPr>
                <w:rFonts w:ascii="Palatino Linotype" w:eastAsia="Palatino Linotype" w:hAnsi="Palatino Linotype" w:cs="Palatino Linotype"/>
                <w:b/>
                <w:sz w:val="16"/>
                <w:szCs w:val="16"/>
              </w:rPr>
            </w:pPr>
            <w:r>
              <w:rPr>
                <w:rFonts w:ascii="Palatino Linotype" w:eastAsia="Palatino Linotype" w:hAnsi="Palatino Linotype" w:cs="Palatino Linotype"/>
                <w:b/>
                <w:noProof/>
                <w:sz w:val="16"/>
                <w:szCs w:val="16"/>
              </w:rPr>
              <w:drawing>
                <wp:inline distT="0" distB="0" distL="0" distR="0" wp14:anchorId="5EA511EA" wp14:editId="5EA511EB">
                  <wp:extent cx="3283585" cy="318135"/>
                  <wp:effectExtent l="0" t="0" r="0" b="0"/>
                  <wp:docPr id="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3283585" cy="318135"/>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5EA51156" w14:textId="77777777" w:rsidR="001E5C90" w:rsidRDefault="004C0898">
            <w:pPr>
              <w:spacing w:before="100" w:after="200" w:line="276"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 xml:space="preserve">Sí </w:t>
            </w:r>
          </w:p>
        </w:tc>
      </w:tr>
      <w:tr w:rsidR="001E5C90" w14:paraId="5EA5115C" w14:textId="77777777">
        <w:tc>
          <w:tcPr>
            <w:tcW w:w="1838" w:type="dxa"/>
            <w:tcBorders>
              <w:top w:val="single" w:sz="4" w:space="0" w:color="000000"/>
              <w:left w:val="single" w:sz="4" w:space="0" w:color="000000"/>
              <w:bottom w:val="single" w:sz="4" w:space="0" w:color="000000"/>
              <w:right w:val="single" w:sz="4" w:space="0" w:color="000000"/>
            </w:tcBorders>
          </w:tcPr>
          <w:p w14:paraId="5EA51158" w14:textId="77777777" w:rsidR="001E5C90" w:rsidRDefault="004C0898">
            <w:pPr>
              <w:spacing w:before="100" w:after="200" w:line="276"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Autoridades competentes.</w:t>
            </w:r>
          </w:p>
        </w:tc>
        <w:tc>
          <w:tcPr>
            <w:tcW w:w="5387" w:type="dxa"/>
            <w:tcBorders>
              <w:top w:val="single" w:sz="4" w:space="0" w:color="000000"/>
              <w:left w:val="single" w:sz="4" w:space="0" w:color="000000"/>
              <w:bottom w:val="single" w:sz="4" w:space="0" w:color="000000"/>
              <w:right w:val="single" w:sz="4" w:space="0" w:color="000000"/>
            </w:tcBorders>
          </w:tcPr>
          <w:p w14:paraId="5EA51159" w14:textId="77777777" w:rsidR="001E5C90" w:rsidRDefault="004C0898">
            <w:pPr>
              <w:spacing w:before="100" w:after="200" w:line="276" w:lineRule="auto"/>
              <w:rPr>
                <w:sz w:val="16"/>
                <w:szCs w:val="16"/>
              </w:rPr>
            </w:pPr>
            <w:r>
              <w:rPr>
                <w:noProof/>
                <w:sz w:val="16"/>
                <w:szCs w:val="16"/>
              </w:rPr>
              <w:drawing>
                <wp:inline distT="0" distB="0" distL="0" distR="0" wp14:anchorId="5EA511EC" wp14:editId="5EA511ED">
                  <wp:extent cx="1980794" cy="2661489"/>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1980794" cy="2661489"/>
                          </a:xfrm>
                          <a:prstGeom prst="rect">
                            <a:avLst/>
                          </a:prstGeom>
                          <a:ln/>
                        </pic:spPr>
                      </pic:pic>
                    </a:graphicData>
                  </a:graphic>
                </wp:inline>
              </w:drawing>
            </w:r>
          </w:p>
          <w:p w14:paraId="5EA5115A" w14:textId="77777777" w:rsidR="001E5C90" w:rsidRDefault="004C0898">
            <w:pPr>
              <w:spacing w:before="100" w:after="200" w:line="276" w:lineRule="auto"/>
              <w:rPr>
                <w:sz w:val="16"/>
                <w:szCs w:val="16"/>
              </w:rPr>
            </w:pPr>
            <w:r>
              <w:rPr>
                <w:noProof/>
                <w:sz w:val="16"/>
                <w:szCs w:val="16"/>
              </w:rPr>
              <w:lastRenderedPageBreak/>
              <w:drawing>
                <wp:inline distT="0" distB="0" distL="0" distR="0" wp14:anchorId="5EA511EE" wp14:editId="5EA511EF">
                  <wp:extent cx="2275243" cy="1848882"/>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275243" cy="1848882"/>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5EA5115B" w14:textId="77777777" w:rsidR="001E5C90" w:rsidRDefault="004C0898">
            <w:pPr>
              <w:spacing w:before="100" w:after="200" w:line="276"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lastRenderedPageBreak/>
              <w:t>Sí</w:t>
            </w:r>
          </w:p>
        </w:tc>
      </w:tr>
    </w:tbl>
    <w:p w14:paraId="5EA5115D" w14:textId="77777777" w:rsidR="001E5C90" w:rsidRDefault="001E5C9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5EA5115E" w14:textId="77777777" w:rsidR="001E5C90" w:rsidRDefault="004C089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rPr>
        <w:t xml:space="preserve">Como se vislumbra en páginas previas, el </w:t>
      </w:r>
      <w:r>
        <w:rPr>
          <w:rFonts w:ascii="Palatino Linotype" w:eastAsia="Palatino Linotype" w:hAnsi="Palatino Linotype" w:cs="Palatino Linotype"/>
          <w:b/>
        </w:rPr>
        <w:t>SUJETO OBLIGADO</w:t>
      </w:r>
      <w:r>
        <w:rPr>
          <w:rFonts w:ascii="Palatino Linotype" w:eastAsia="Palatino Linotype" w:hAnsi="Palatino Linotype" w:cs="Palatino Linotype"/>
        </w:rPr>
        <w:t>, realizó la prueba de daño y precisó las razones por las cuales la apertura de la información generaría una afectación, sin embargo, no está debidamente fundado y motivado aplicable al caso en concreto. Del análisis del acuerdo de reserva, se advierte que el sujeto obligado no funda y motiva adecuadamente la clasificación de la información como reservada, toda vez que de conformidad con lo establecido en el artículo 141 de la Ley de Transparencia del Estado, las causales de reserva se deberán fundar y motivar, a través de la aplicación de la prueba de daño.</w:t>
      </w:r>
    </w:p>
    <w:p w14:paraId="5EA5115F" w14:textId="77777777" w:rsidR="001E5C90" w:rsidRDefault="001E5C9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5EA51160" w14:textId="77777777" w:rsidR="001E5C90" w:rsidRDefault="004C089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P</w:t>
      </w:r>
      <w:r>
        <w:rPr>
          <w:rFonts w:ascii="Palatino Linotype" w:eastAsia="Palatino Linotype" w:hAnsi="Palatino Linotype" w:cs="Palatino Linotype"/>
        </w:rPr>
        <w:t>or lo que, la decisión a efecto de que se considere debidamente fundado y motivado, debe de exponer los hechos relevantes para decidir, citando la norma y un argumento mínimo pero suficiente para acreditar el razonamiento del que se deduzca la relación de pertenencia lógica de los hechos al derecho invocado, que es la subsunción.</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rPr>
        <w:t xml:space="preserve">Tal criterio se advierte de la tesis jurisprudencial I.4o.A. J/43, sustentada por el Cuarto Tribunal en Materia Administrativa del Primer Circuito, publicada en la página 1531 del Tomo XXIII, Mayo de 2006, del Semanario Judicial de la Federación y su Gaceta correspondiente a la Novena Época, que dice: </w:t>
      </w:r>
    </w:p>
    <w:p w14:paraId="5EA51161" w14:textId="77777777" w:rsidR="001E5C90" w:rsidRDefault="004C0898">
      <w:pPr>
        <w:pBdr>
          <w:top w:val="nil"/>
          <w:left w:val="nil"/>
          <w:bottom w:val="nil"/>
          <w:right w:val="nil"/>
          <w:between w:val="nil"/>
        </w:pBdr>
        <w:spacing w:line="276" w:lineRule="auto"/>
        <w:ind w:left="720" w:right="11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FUNDAMENTACIÓN Y MOTIVACIÓN. EL ASPECTO FORMAL DE LA GARANTÍA Y SU FINALIDAD SE TRADUCEN EN EXPLICAR, JUSTIFICAR, POSIBILITAR LA DEFENSA Y COMUNICAR LA DECISIÓN.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EA51162" w14:textId="77777777" w:rsidR="001E5C90" w:rsidRDefault="001E5C90">
      <w:pPr>
        <w:pBdr>
          <w:top w:val="nil"/>
          <w:left w:val="nil"/>
          <w:bottom w:val="nil"/>
          <w:right w:val="nil"/>
          <w:between w:val="nil"/>
        </w:pBdr>
        <w:spacing w:line="276" w:lineRule="auto"/>
        <w:ind w:left="720" w:right="1183"/>
        <w:jc w:val="both"/>
        <w:rPr>
          <w:rFonts w:ascii="Palatino Linotype" w:eastAsia="Palatino Linotype" w:hAnsi="Palatino Linotype" w:cs="Palatino Linotype"/>
          <w:i/>
          <w:color w:val="000000"/>
        </w:rPr>
      </w:pPr>
    </w:p>
    <w:p w14:paraId="5EA51163" w14:textId="77777777" w:rsidR="001E5C90" w:rsidRDefault="004C0898">
      <w:pPr>
        <w:numPr>
          <w:ilvl w:val="0"/>
          <w:numId w:val="7"/>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Expuesto lo anterior, y conforme a la reserva de la información contenida en el acta de la </w:t>
      </w:r>
      <w:r>
        <w:rPr>
          <w:rFonts w:ascii="Palatino Linotype" w:eastAsia="Palatino Linotype" w:hAnsi="Palatino Linotype" w:cs="Palatino Linotype"/>
        </w:rPr>
        <w:t>Cuadringentésima</w:t>
      </w:r>
      <w:r>
        <w:rPr>
          <w:rFonts w:ascii="Palatino Linotype" w:eastAsia="Palatino Linotype" w:hAnsi="Palatino Linotype" w:cs="Palatino Linotype"/>
          <w:color w:val="000000"/>
        </w:rPr>
        <w:t xml:space="preserve"> Cuadragésima Sexta Sesión Extraordinaria 2023 del Comité de Transparencia del Municipio de Toluca, se advierte que el sujeto obligado no fundó y motivó adecuadamente la reserva de la información.</w:t>
      </w:r>
    </w:p>
    <w:p w14:paraId="5EA51164" w14:textId="77777777" w:rsidR="001E5C90" w:rsidRDefault="001E5C9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5EA51165" w14:textId="77777777" w:rsidR="001E5C90" w:rsidRDefault="004C0898">
      <w:pPr>
        <w:numPr>
          <w:ilvl w:val="0"/>
          <w:numId w:val="2"/>
        </w:numPr>
        <w:pBdr>
          <w:top w:val="nil"/>
          <w:left w:val="nil"/>
          <w:bottom w:val="nil"/>
          <w:right w:val="nil"/>
          <w:between w:val="nil"/>
        </w:pBdr>
        <w:tabs>
          <w:tab w:val="left" w:pos="426"/>
        </w:tabs>
        <w:spacing w:line="360" w:lineRule="auto"/>
        <w:ind w:hanging="152"/>
        <w:jc w:val="both"/>
        <w:rPr>
          <w:rFonts w:ascii="Palatino Linotype" w:eastAsia="Palatino Linotype" w:hAnsi="Palatino Linotype" w:cs="Palatino Linotype"/>
          <w:b/>
          <w:color w:val="000000"/>
        </w:rPr>
      </w:pPr>
      <w:bookmarkStart w:id="3" w:name="_heading=h.30j0zll" w:colFirst="0" w:colLast="0"/>
      <w:bookmarkEnd w:id="3"/>
      <w:r>
        <w:rPr>
          <w:rFonts w:ascii="Palatino Linotype" w:eastAsia="Palatino Linotype" w:hAnsi="Palatino Linotype" w:cs="Palatino Linotype"/>
          <w:b/>
          <w:color w:val="000000"/>
        </w:rPr>
        <w:t>Procedimientos en trámite a la fecha de la presente resolución.</w:t>
      </w:r>
    </w:p>
    <w:p w14:paraId="5EA51166" w14:textId="77777777" w:rsidR="001E5C90" w:rsidRDefault="004C0898">
      <w:pPr>
        <w:numPr>
          <w:ilvl w:val="0"/>
          <w:numId w:val="7"/>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el artículo 140, fracción VI, de la Ley de Transparencia y Acceso a la Información Pública del Estado de México y Municipios (homólogo al artículo 113, fracción IX, de la Ley General de Transparencia y Acceso a la Información Pública), establece que aquella información que afecte o vulnere la conducción de procedimientos de responsabilidades administrativas, en tanto no hayan quedado firmes, será reservada.</w:t>
      </w:r>
    </w:p>
    <w:p w14:paraId="5EA51167" w14:textId="77777777" w:rsidR="001E5C90" w:rsidRDefault="001E5C90">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5EA51168" w14:textId="77777777" w:rsidR="001E5C90" w:rsidRDefault="004C0898">
      <w:pPr>
        <w:numPr>
          <w:ilvl w:val="0"/>
          <w:numId w:val="7"/>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cual, la causal de reserva prevé que la información podrá clasificarse como reservada en el caso de que obstruya los procedimientos para fincar responsabilidad a los servidores públicos, pretende proteger la información vinculada a dichos procedimientos.</w:t>
      </w:r>
    </w:p>
    <w:p w14:paraId="5EA51169" w14:textId="77777777" w:rsidR="001E5C90" w:rsidRDefault="001E5C90">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5EA5116A" w14:textId="77777777" w:rsidR="001E5C90" w:rsidRDefault="004C0898">
      <w:pPr>
        <w:numPr>
          <w:ilvl w:val="0"/>
          <w:numId w:val="7"/>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en los Lineamientos Generales en Materia de Clasificación y Desclasificación de la Información, así como para la elaboración de versiones públicas, se establece lo siguiente:</w:t>
      </w:r>
    </w:p>
    <w:p w14:paraId="5EA5116B" w14:textId="77777777" w:rsidR="001E5C90" w:rsidRDefault="004C0898">
      <w:pPr>
        <w:pBdr>
          <w:top w:val="nil"/>
          <w:left w:val="nil"/>
          <w:bottom w:val="nil"/>
          <w:right w:val="nil"/>
          <w:between w:val="nil"/>
        </w:pBdr>
        <w:tabs>
          <w:tab w:val="left" w:pos="851"/>
        </w:tabs>
        <w:spacing w:line="360" w:lineRule="auto"/>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5EA5116C" w14:textId="77777777" w:rsidR="001E5C90" w:rsidRDefault="004C0898">
      <w:pPr>
        <w:pBdr>
          <w:top w:val="nil"/>
          <w:left w:val="nil"/>
          <w:bottom w:val="nil"/>
          <w:right w:val="nil"/>
          <w:between w:val="nil"/>
        </w:pBdr>
        <w:tabs>
          <w:tab w:val="left" w:pos="851"/>
        </w:tabs>
        <w:spacing w:line="360" w:lineRule="auto"/>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Vigésimo octavo.</w:t>
      </w:r>
      <w:r>
        <w:rPr>
          <w:rFonts w:ascii="Palatino Linotype" w:eastAsia="Palatino Linotype" w:hAnsi="Palatino Linotype" w:cs="Palatino Linotype"/>
          <w:i/>
          <w:color w:val="000000"/>
          <w:sz w:val="22"/>
          <w:szCs w:val="22"/>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5EA5116D" w14:textId="77777777" w:rsidR="001E5C90" w:rsidRDefault="004C0898">
      <w:pPr>
        <w:pBdr>
          <w:top w:val="nil"/>
          <w:left w:val="nil"/>
          <w:bottom w:val="nil"/>
          <w:right w:val="nil"/>
          <w:between w:val="nil"/>
        </w:pBdr>
        <w:tabs>
          <w:tab w:val="left" w:pos="851"/>
        </w:tabs>
        <w:spacing w:line="360" w:lineRule="auto"/>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La existencia de un procedimiento de responsabilidad administrativa en trámite, y </w:t>
      </w:r>
    </w:p>
    <w:p w14:paraId="5EA5116E" w14:textId="77777777" w:rsidR="001E5C90" w:rsidRDefault="004C0898">
      <w:pPr>
        <w:pBdr>
          <w:top w:val="nil"/>
          <w:left w:val="nil"/>
          <w:bottom w:val="nil"/>
          <w:right w:val="nil"/>
          <w:between w:val="nil"/>
        </w:pBdr>
        <w:tabs>
          <w:tab w:val="left" w:pos="851"/>
        </w:tabs>
        <w:spacing w:line="360" w:lineRule="auto"/>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Que la información se refiera a actuaciones, diligencias y constancias propias del procedimiento de responsabilidad.</w:t>
      </w:r>
    </w:p>
    <w:p w14:paraId="5EA5116F" w14:textId="77777777" w:rsidR="001E5C90" w:rsidRDefault="004C0898">
      <w:pPr>
        <w:pBdr>
          <w:top w:val="nil"/>
          <w:left w:val="nil"/>
          <w:bottom w:val="nil"/>
          <w:right w:val="nil"/>
          <w:between w:val="nil"/>
        </w:pBdr>
        <w:tabs>
          <w:tab w:val="left" w:pos="851"/>
        </w:tabs>
        <w:spacing w:line="360" w:lineRule="auto"/>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5EA51170" w14:textId="77777777" w:rsidR="001E5C90" w:rsidRDefault="001E5C90">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5EA51171" w14:textId="77777777" w:rsidR="001E5C90" w:rsidRDefault="004C0898">
      <w:pPr>
        <w:numPr>
          <w:ilvl w:val="0"/>
          <w:numId w:val="7"/>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advierte que para que se actualice la causal de reserva que se analiza se debe acreditar </w:t>
      </w:r>
      <w:r>
        <w:rPr>
          <w:rFonts w:ascii="Palatino Linotype" w:eastAsia="Palatino Linotype" w:hAnsi="Palatino Linotype" w:cs="Palatino Linotype"/>
          <w:b/>
          <w:color w:val="000000"/>
        </w:rPr>
        <w:t>I)</w:t>
      </w:r>
      <w:r>
        <w:rPr>
          <w:rFonts w:ascii="Palatino Linotype" w:eastAsia="Palatino Linotype" w:hAnsi="Palatino Linotype" w:cs="Palatino Linotype"/>
          <w:color w:val="000000"/>
        </w:rPr>
        <w:t xml:space="preserve"> la existencia de un procedimiento de responsabilidad administrativa en trámite, y </w:t>
      </w:r>
      <w:r>
        <w:rPr>
          <w:rFonts w:ascii="Palatino Linotype" w:eastAsia="Palatino Linotype" w:hAnsi="Palatino Linotype" w:cs="Palatino Linotype"/>
          <w:b/>
          <w:color w:val="000000"/>
        </w:rPr>
        <w:t>II)</w:t>
      </w:r>
      <w:r>
        <w:rPr>
          <w:rFonts w:ascii="Palatino Linotype" w:eastAsia="Palatino Linotype" w:hAnsi="Palatino Linotype" w:cs="Palatino Linotype"/>
          <w:color w:val="000000"/>
        </w:rPr>
        <w:t xml:space="preserve"> que la información se refiera a actuaciones, diligencias y constancias propias del procedimiento de responsabilidad.</w:t>
      </w:r>
    </w:p>
    <w:p w14:paraId="5EA51172" w14:textId="77777777" w:rsidR="001E5C90" w:rsidRDefault="004C0898">
      <w:pPr>
        <w:numPr>
          <w:ilvl w:val="0"/>
          <w:numId w:val="7"/>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tales consideraciones, resulta procedente la reserva, en términos del artículo 140, fracción VI, de la Ley de Transparencia y Acceso a la Información Pública del Estado de </w:t>
      </w:r>
      <w:r>
        <w:rPr>
          <w:rFonts w:ascii="Palatino Linotype" w:eastAsia="Palatino Linotype" w:hAnsi="Palatino Linotype" w:cs="Palatino Linotype"/>
          <w:color w:val="000000"/>
        </w:rPr>
        <w:lastRenderedPageBreak/>
        <w:t xml:space="preserve">México y Municipios, de los </w:t>
      </w:r>
      <w:r w:rsidR="00222689">
        <w:rPr>
          <w:rFonts w:ascii="Palatino Linotype" w:eastAsia="Palatino Linotype" w:hAnsi="Palatino Linotype" w:cs="Palatino Linotype"/>
          <w:color w:val="000000"/>
        </w:rPr>
        <w:t>expedientes</w:t>
      </w:r>
      <w:r>
        <w:rPr>
          <w:rFonts w:ascii="Palatino Linotype" w:eastAsia="Palatino Linotype" w:hAnsi="Palatino Linotype" w:cs="Palatino Linotype"/>
          <w:color w:val="000000"/>
        </w:rPr>
        <w:t xml:space="preserve"> por responsabilidades administrativas en trámite, en caso de que existieran.</w:t>
      </w:r>
    </w:p>
    <w:p w14:paraId="5EA51173" w14:textId="77777777" w:rsidR="001E5C90" w:rsidRDefault="001E5C90">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5EA51174" w14:textId="77777777" w:rsidR="001E5C90" w:rsidRDefault="004C0898">
      <w:pPr>
        <w:numPr>
          <w:ilvl w:val="0"/>
          <w:numId w:val="7"/>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por lo que deberá determinar el periodo de reserva, de manera fundada y motivada.</w:t>
      </w:r>
    </w:p>
    <w:p w14:paraId="5EA51175" w14:textId="77777777" w:rsidR="001E5C90" w:rsidRDefault="001E5C90">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5EA51176" w14:textId="77777777" w:rsidR="001E5C90" w:rsidRDefault="004C0898">
      <w:pPr>
        <w:numPr>
          <w:ilvl w:val="0"/>
          <w:numId w:val="2"/>
        </w:numPr>
        <w:pBdr>
          <w:top w:val="nil"/>
          <w:left w:val="nil"/>
          <w:bottom w:val="nil"/>
          <w:right w:val="nil"/>
          <w:between w:val="nil"/>
        </w:pBdr>
        <w:tabs>
          <w:tab w:val="left" w:pos="567"/>
        </w:tabs>
        <w:spacing w:line="360" w:lineRule="auto"/>
        <w:ind w:right="51" w:hanging="152"/>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Excepciones</w:t>
      </w:r>
    </w:p>
    <w:p w14:paraId="5EA51177" w14:textId="77777777" w:rsidR="001E5C90" w:rsidRDefault="004C0898">
      <w:pPr>
        <w:numPr>
          <w:ilvl w:val="0"/>
          <w:numId w:val="7"/>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numeral 53 de la Ley del Sistema Anticorrupción del Estado de México y Municipios dispone que </w:t>
      </w:r>
      <w:r>
        <w:rPr>
          <w:rFonts w:ascii="Palatino Linotype" w:eastAsia="Palatino Linotype" w:hAnsi="Palatino Linotype" w:cs="Palatino Linotype"/>
          <w:b/>
          <w:color w:val="000000"/>
          <w:u w:val="single"/>
        </w:rPr>
        <w:t>las sanciones por faltas administrativas graves serán públicas</w:t>
      </w:r>
      <w:r>
        <w:rPr>
          <w:rFonts w:ascii="Palatino Linotype" w:eastAsia="Palatino Linotype" w:hAnsi="Palatino Linotype" w:cs="Palatino Linotype"/>
          <w:color w:val="000000"/>
        </w:rPr>
        <w:t xml:space="preserve"> cuando de éstas devengan impedimentos o inhabilitaciones para continuar ejerciendo el servicio público.</w:t>
      </w:r>
    </w:p>
    <w:p w14:paraId="5EA51178" w14:textId="77777777" w:rsidR="001E5C90" w:rsidRDefault="001E5C90">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5EA51179" w14:textId="77777777" w:rsidR="001E5C90" w:rsidRDefault="004C0898">
      <w:pPr>
        <w:numPr>
          <w:ilvl w:val="0"/>
          <w:numId w:val="7"/>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la Ley de Responsabilidades Administrativas del Estado de México y Municipios, define de forma clara y concreta cada uno de los actos considerados como faltas administrativas graves de los servidores públicos en sus artículos 53, 54, 55, 56, 57, 58, 59, 60, 61, 62, 63, 64, 65, 66 y 67; y, cuya ejecución se relacionan, en su mayoría, con el abuso del poder público encomendado en un empleo, cargo o comisión, buscando la obtención de un beneficio meramente personal en agravio del Estado, los ciudadanos u otros servidores públicos.</w:t>
      </w:r>
    </w:p>
    <w:p w14:paraId="5EA5117A" w14:textId="77777777" w:rsidR="001E5C90" w:rsidRDefault="004C0898">
      <w:pPr>
        <w:numPr>
          <w:ilvl w:val="0"/>
          <w:numId w:val="7"/>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 anterior separa, en consecuencia, a los actos contenidos en el artículo 52 de la Ley de Responsabilidades Administrativas Estatal de todos los demás que pudieran ser investigados por el Órgano de Control Interno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ya que éstos </w:t>
      </w:r>
      <w:r>
        <w:rPr>
          <w:rFonts w:ascii="Palatino Linotype" w:eastAsia="Palatino Linotype" w:hAnsi="Palatino Linotype" w:cs="Palatino Linotype"/>
          <w:color w:val="000000"/>
        </w:rPr>
        <w:lastRenderedPageBreak/>
        <w:t>se pueden determinar cómo actos de corrupción, aunado que su deber de investigación concluye con la emisión del Informe de Presunta Responsabilidad Administrativa, misma que debe turnar al Juzgador Administrativo Estatal para que sea éste quien conduzca el proceso de sustanciación y resolución.</w:t>
      </w:r>
    </w:p>
    <w:p w14:paraId="5EA5117B" w14:textId="77777777" w:rsidR="001E5C90" w:rsidRDefault="001E5C90">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5EA5117C" w14:textId="77777777" w:rsidR="001E5C90" w:rsidRDefault="004C0898">
      <w:pPr>
        <w:numPr>
          <w:ilvl w:val="0"/>
          <w:numId w:val="7"/>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sentido, debemos traer a estudio lo dispuesto por el numeral 142 de la Ley de Transparencia y Acceso a la Información Pública del Estado de México y Municipios, mismo que se inserta a continuación:</w:t>
      </w:r>
    </w:p>
    <w:p w14:paraId="5EA5117D" w14:textId="77777777" w:rsidR="001E5C90"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r>
        <w:rPr>
          <w:rFonts w:ascii="Palatino Linotype" w:eastAsia="Palatino Linotype" w:hAnsi="Palatino Linotype" w:cs="Palatino Linotype"/>
          <w:b/>
          <w:i/>
          <w:color w:val="000000"/>
          <w:sz w:val="20"/>
          <w:szCs w:val="20"/>
        </w:rPr>
        <w:t>Artículo 142.</w:t>
      </w:r>
      <w:r>
        <w:rPr>
          <w:rFonts w:ascii="Palatino Linotype" w:eastAsia="Palatino Linotype" w:hAnsi="Palatino Linotype" w:cs="Palatino Linotype"/>
          <w:i/>
          <w:color w:val="000000"/>
          <w:sz w:val="20"/>
          <w:szCs w:val="20"/>
        </w:rPr>
        <w:t xml:space="preserve"> </w:t>
      </w:r>
      <w:r>
        <w:rPr>
          <w:rFonts w:ascii="Palatino Linotype" w:eastAsia="Palatino Linotype" w:hAnsi="Palatino Linotype" w:cs="Palatino Linotype"/>
          <w:b/>
          <w:i/>
          <w:color w:val="000000"/>
          <w:sz w:val="20"/>
          <w:szCs w:val="20"/>
        </w:rPr>
        <w:t>Bajo ninguna circunstancia podrá invocarse el carácter de reservado cuando:</w:t>
      </w:r>
    </w:p>
    <w:p w14:paraId="5EA5117E" w14:textId="77777777" w:rsidR="001E5C90"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I. Se trate de violaciones graves de derechos humanos</w:t>
      </w:r>
      <w:r>
        <w:rPr>
          <w:rFonts w:ascii="Palatino Linotype" w:eastAsia="Palatino Linotype" w:hAnsi="Palatino Linotype" w:cs="Palatino Linotype"/>
          <w:i/>
          <w:color w:val="000000"/>
          <w:sz w:val="20"/>
          <w:szCs w:val="20"/>
        </w:rPr>
        <w:t>, calificada así por autoridad competente;</w:t>
      </w:r>
    </w:p>
    <w:p w14:paraId="5EA5117F" w14:textId="77777777" w:rsidR="001E5C90"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II.</w:t>
      </w:r>
      <w:r>
        <w:rPr>
          <w:rFonts w:ascii="Palatino Linotype" w:eastAsia="Palatino Linotype" w:hAnsi="Palatino Linotype" w:cs="Palatino Linotype"/>
          <w:i/>
          <w:color w:val="000000"/>
          <w:sz w:val="20"/>
          <w:szCs w:val="20"/>
        </w:rPr>
        <w:t xml:space="preserve"> </w:t>
      </w:r>
      <w:r>
        <w:rPr>
          <w:rFonts w:ascii="Palatino Linotype" w:eastAsia="Palatino Linotype" w:hAnsi="Palatino Linotype" w:cs="Palatino Linotype"/>
          <w:b/>
          <w:i/>
          <w:color w:val="000000"/>
          <w:sz w:val="20"/>
          <w:szCs w:val="20"/>
          <w:u w:val="single"/>
        </w:rPr>
        <w:t>Se trate de la investigación de posibles violaciones graves de derechos humanos aun cuando no exista pronunciamiento previo de autoridad competente</w:t>
      </w:r>
      <w:r>
        <w:rPr>
          <w:rFonts w:ascii="Palatino Linotype" w:eastAsia="Palatino Linotype" w:hAnsi="Palatino Linotype" w:cs="Palatino Linotype"/>
          <w:i/>
          <w:color w:val="000000"/>
          <w:sz w:val="20"/>
          <w:szCs w:val="20"/>
        </w:rPr>
        <w:t xml:space="preserve">, cuando se determine, a partir de criterios cuantitativos y cualitativos la trascendencia social de las violaciones; </w:t>
      </w:r>
    </w:p>
    <w:p w14:paraId="5EA51180" w14:textId="77777777" w:rsidR="001E5C90"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III.</w:t>
      </w:r>
      <w:r>
        <w:rPr>
          <w:rFonts w:ascii="Palatino Linotype" w:eastAsia="Palatino Linotype" w:hAnsi="Palatino Linotype" w:cs="Palatino Linotype"/>
          <w:i/>
          <w:color w:val="000000"/>
          <w:sz w:val="20"/>
          <w:szCs w:val="20"/>
        </w:rPr>
        <w:t xml:space="preserve">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5EA51181" w14:textId="77777777" w:rsidR="001E5C90" w:rsidRDefault="004C0898">
      <w:pPr>
        <w:pBdr>
          <w:top w:val="nil"/>
          <w:left w:val="nil"/>
          <w:bottom w:val="nil"/>
          <w:right w:val="nil"/>
          <w:between w:val="nil"/>
        </w:pBdr>
        <w:spacing w:line="360" w:lineRule="auto"/>
        <w:ind w:left="851" w:right="822"/>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i/>
          <w:color w:val="000000"/>
          <w:sz w:val="20"/>
          <w:szCs w:val="20"/>
        </w:rPr>
        <w:t>IV. Se trate de información relacionada con actos de corrupción</w:t>
      </w:r>
      <w:r>
        <w:rPr>
          <w:rFonts w:ascii="Palatino Linotype" w:eastAsia="Palatino Linotype" w:hAnsi="Palatino Linotype" w:cs="Palatino Linotype"/>
          <w:i/>
          <w:color w:val="000000"/>
          <w:sz w:val="20"/>
          <w:szCs w:val="20"/>
        </w:rPr>
        <w:t xml:space="preserve"> de conformidad con las disposiciones jurídicas aplicables.”</w:t>
      </w:r>
    </w:p>
    <w:p w14:paraId="5EA51182" w14:textId="77777777" w:rsidR="001E5C90" w:rsidRDefault="001E5C90">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5EA51183" w14:textId="77777777" w:rsidR="001E5C90" w:rsidRDefault="004C0898">
      <w:pPr>
        <w:numPr>
          <w:ilvl w:val="0"/>
          <w:numId w:val="7"/>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las cosas, la Ley de la materia reconoce a toda la información relacionada con violaciones a derechos humanos y actos de corrupción como información inmune a recibir un tratamiento de clasificación como reservada, en el margen de que, justamente, el hacer del conocimiento a la ciudadanía este tipo de conductas manifestadas por servidores públicos, atiende el objetivo fundamental de la normatividad: el control </w:t>
      </w:r>
      <w:r>
        <w:rPr>
          <w:rFonts w:ascii="Palatino Linotype" w:eastAsia="Palatino Linotype" w:hAnsi="Palatino Linotype" w:cs="Palatino Linotype"/>
          <w:color w:val="000000"/>
        </w:rPr>
        <w:lastRenderedPageBreak/>
        <w:t>ciudadano del funcionamiento del Estado y la gestión pública para el combate a la corrupción y la rendición de cuentas.</w:t>
      </w:r>
    </w:p>
    <w:p w14:paraId="5EA51184" w14:textId="77777777" w:rsidR="001E5C90" w:rsidRDefault="001E5C90">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5EA51185" w14:textId="77777777" w:rsidR="001E5C90" w:rsidRDefault="004C0898">
      <w:pPr>
        <w:numPr>
          <w:ilvl w:val="0"/>
          <w:numId w:val="7"/>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Correlativo a lo anterior, el Código Penal Federal, tipifica de manera específica cuáles son los delitos por hechos de corrupción en su Título Décimo, varios de los cuales se relacionan con las faltas administrativas graves contenidas en el artículo 52 de la Ley de Responsabilidades Administrativas del Estado de México y Municipios.</w:t>
      </w:r>
    </w:p>
    <w:p w14:paraId="5EA51186" w14:textId="77777777" w:rsidR="001E5C90" w:rsidRDefault="001E5C90">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5EA51187" w14:textId="77777777" w:rsidR="001E5C90" w:rsidRDefault="004C0898">
      <w:pPr>
        <w:numPr>
          <w:ilvl w:val="0"/>
          <w:numId w:val="7"/>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Luego entonces, </w:t>
      </w:r>
      <w:r>
        <w:rPr>
          <w:rFonts w:ascii="Palatino Linotype" w:eastAsia="Palatino Linotype" w:hAnsi="Palatino Linotype" w:cs="Palatino Linotype"/>
          <w:b/>
          <w:color w:val="000000"/>
        </w:rPr>
        <w:t>la autoridad quien, en primera instancia, clasifica la conducta sobre la cual se integra un expediente de investigación como una posible falta administrativa grave es el Órgano de Control Interno</w:t>
      </w:r>
      <w:r>
        <w:rPr>
          <w:rFonts w:ascii="Palatino Linotype" w:eastAsia="Palatino Linotype" w:hAnsi="Palatino Linotype" w:cs="Palatino Linotype"/>
          <w:color w:val="000000"/>
        </w:rPr>
        <w:t>, pues luego de revisar los supuestos de las faltas administrativas graves, el mismo Órgano de Control determinará las faltas administrativas graves que corresponden con lo que determina la Ley de Transparencia y Acceso a la Información Pública del Estado de México y Municipios como actos de corrupción</w:t>
      </w:r>
      <w:r>
        <w:rPr>
          <w:rFonts w:ascii="Palatino Linotype" w:eastAsia="Palatino Linotype" w:hAnsi="Palatino Linotype" w:cs="Palatino Linotype"/>
          <w:b/>
          <w:color w:val="000000"/>
        </w:rPr>
        <w:t>.</w:t>
      </w:r>
    </w:p>
    <w:p w14:paraId="5EA51188" w14:textId="77777777" w:rsidR="001E5C90" w:rsidRDefault="001E5C90">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5EA51189" w14:textId="77777777" w:rsidR="001E5C90" w:rsidRDefault="004C0898">
      <w:pPr>
        <w:numPr>
          <w:ilvl w:val="0"/>
          <w:numId w:val="7"/>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consecuencia, se insiste, este ejercicio de identificación de faltas administrativas graves que se relacionen con actos de corrupción será determinado mediante el Informe de Presunta Responsabilidad Administrativa, pues este instrumento contiene todos los elementos necesarios para comprobar si las responsabilidades administrativas graves son, o no, actos de corrupción.</w:t>
      </w:r>
    </w:p>
    <w:p w14:paraId="5EA5118A" w14:textId="77777777" w:rsidR="001E5C90" w:rsidRDefault="001E5C90">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5EA5118B" w14:textId="77777777" w:rsidR="001E5C90" w:rsidRDefault="004C0898">
      <w:pPr>
        <w:numPr>
          <w:ilvl w:val="0"/>
          <w:numId w:val="7"/>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tales circunstancias, </w:t>
      </w:r>
      <w:r>
        <w:rPr>
          <w:rFonts w:ascii="Palatino Linotype" w:eastAsia="Palatino Linotype" w:hAnsi="Palatino Linotype" w:cs="Palatino Linotype"/>
          <w:b/>
          <w:color w:val="000000"/>
        </w:rPr>
        <w:t xml:space="preserve">de identificarse expedientes formados que se encuentren en la etapa de investigación, o bien, en el procedimiento de responsabilidades administrativas por faltas graves relacionados con violaciones graves de derechos </w:t>
      </w:r>
      <w:r>
        <w:rPr>
          <w:rFonts w:ascii="Palatino Linotype" w:eastAsia="Palatino Linotype" w:hAnsi="Palatino Linotype" w:cs="Palatino Linotype"/>
          <w:b/>
          <w:color w:val="000000"/>
        </w:rPr>
        <w:lastRenderedPageBreak/>
        <w:t>humanos o actos de corrupción</w:t>
      </w:r>
      <w:r>
        <w:rPr>
          <w:rFonts w:ascii="Palatino Linotype" w:eastAsia="Palatino Linotype" w:hAnsi="Palatino Linotype" w:cs="Palatino Linotype"/>
          <w:color w:val="000000"/>
        </w:rPr>
        <w:t xml:space="preserve">, de conformidad con el artículo 142 de la Ley de Transparencia y Acceso a la Información Pública del Estado de México y Municipios, y el artículo 53 de la Ley del Sistema Anticorrupción del Estado de México y Municipios, </w:t>
      </w:r>
      <w:r>
        <w:rPr>
          <w:rFonts w:ascii="Palatino Linotype" w:eastAsia="Palatino Linotype" w:hAnsi="Palatino Linotype" w:cs="Palatino Linotype"/>
          <w:b/>
          <w:color w:val="000000"/>
        </w:rPr>
        <w:t>el SUJETO OBLIGADO deberá hacer entrega de éstas al no ser sujetos de clasificación</w:t>
      </w:r>
      <w:r>
        <w:rPr>
          <w:rFonts w:ascii="Palatino Linotype" w:eastAsia="Palatino Linotype" w:hAnsi="Palatino Linotype" w:cs="Palatino Linotype"/>
          <w:color w:val="000000"/>
        </w:rPr>
        <w:t>.</w:t>
      </w:r>
    </w:p>
    <w:p w14:paraId="5EA5118C" w14:textId="77777777" w:rsidR="001E5C90" w:rsidRDefault="001E5C90">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5EA5118D" w14:textId="77777777" w:rsidR="001E5C90" w:rsidRDefault="004C0898">
      <w:pPr>
        <w:numPr>
          <w:ilvl w:val="0"/>
          <w:numId w:val="7"/>
        </w:numPr>
        <w:pBdr>
          <w:top w:val="nil"/>
          <w:left w:val="nil"/>
          <w:bottom w:val="nil"/>
          <w:right w:val="nil"/>
          <w:between w:val="nil"/>
        </w:pBdr>
        <w:tabs>
          <w:tab w:val="left" w:pos="0"/>
        </w:tabs>
        <w:spacing w:after="240"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Razón de lo anterior,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entregar todos aquellos expedientes relacionadas con responsabilidades administrativas graves, a pesar de que éstas aún no hayan recibido una sentencia, </w:t>
      </w:r>
      <w:r>
        <w:rPr>
          <w:rFonts w:ascii="Palatino Linotype" w:eastAsia="Palatino Linotype" w:hAnsi="Palatino Linotype" w:cs="Palatino Linotype"/>
          <w:b/>
          <w:color w:val="000000"/>
        </w:rPr>
        <w:t>sin testar el nombre del o los servidores públicos presuntamente responsables</w:t>
      </w:r>
      <w:r>
        <w:rPr>
          <w:rFonts w:ascii="Palatino Linotype" w:eastAsia="Palatino Linotype" w:hAnsi="Palatino Linotype" w:cs="Palatino Linotype"/>
          <w:color w:val="000000"/>
        </w:rPr>
        <w:t xml:space="preserve">, atendiendo lo dispuesto por el artículo 142 de la Ley de Transparencia y Acceso a la Información Pública del Estado de México y Municipios. Claro está que, de ser el caso que los documentos donde consten las quejas respectivas contengan datos personales de terceros, tales como el nombre del o los particulares que presentaron la denuncia respectiva, se deberá realizar la versión pública </w:t>
      </w:r>
      <w:r>
        <w:rPr>
          <w:rFonts w:ascii="Palatino Linotype" w:eastAsia="Palatino Linotype" w:hAnsi="Palatino Linotype" w:cs="Palatino Linotype"/>
          <w:b/>
          <w:color w:val="000000"/>
        </w:rPr>
        <w:t>únicamente</w:t>
      </w:r>
      <w:r>
        <w:rPr>
          <w:rFonts w:ascii="Palatino Linotype" w:eastAsia="Palatino Linotype" w:hAnsi="Palatino Linotype" w:cs="Palatino Linotype"/>
          <w:color w:val="000000"/>
        </w:rPr>
        <w:t xml:space="preserve"> de estos datos, mas no de ninguno que individualice al presunto servidor público responsable.</w:t>
      </w:r>
    </w:p>
    <w:p w14:paraId="5EA5118E" w14:textId="77777777" w:rsidR="001E5C90" w:rsidRDefault="004C089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bookmarkStart w:id="4" w:name="_heading=h.1fob9te" w:colFirst="0" w:colLast="0"/>
      <w:bookmarkEnd w:id="4"/>
      <w:r>
        <w:rPr>
          <w:rFonts w:ascii="Palatino Linotype" w:eastAsia="Palatino Linotype" w:hAnsi="Palatino Linotype" w:cs="Palatino Linotype"/>
        </w:rPr>
        <w:t xml:space="preserve">Por lo anteriormente expuesto, este Órgano Garante determina procedente, con fundamento en el artículo 186, fracción III de la Ley de Transparencia y Acceso a la Información Pública del Estado de México y Municipios,  </w:t>
      </w:r>
      <w:r>
        <w:rPr>
          <w:rFonts w:ascii="Palatino Linotype" w:eastAsia="Palatino Linotype" w:hAnsi="Palatino Linotype" w:cs="Palatino Linotype"/>
          <w:b/>
        </w:rPr>
        <w:t xml:space="preserve">MODIFICAR </w:t>
      </w:r>
      <w:r>
        <w:rPr>
          <w:rFonts w:ascii="Palatino Linotype" w:eastAsia="Palatino Linotype" w:hAnsi="Palatino Linotype" w:cs="Palatino Linotype"/>
        </w:rPr>
        <w:t xml:space="preserve">la respuesta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y 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la entrega, de ser procedente en versión pública, la siguiente información:</w:t>
      </w:r>
    </w:p>
    <w:p w14:paraId="5EA5118F" w14:textId="77777777" w:rsidR="001E5C90" w:rsidRDefault="004C0898">
      <w:pPr>
        <w:numPr>
          <w:ilvl w:val="0"/>
          <w:numId w:val="3"/>
        </w:numPr>
        <w:pBdr>
          <w:top w:val="nil"/>
          <w:left w:val="nil"/>
          <w:bottom w:val="nil"/>
          <w:right w:val="nil"/>
          <w:between w:val="nil"/>
        </w:pBdr>
        <w:spacing w:before="480" w:after="480" w:line="360" w:lineRule="auto"/>
        <w:ind w:right="822" w:hanging="1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De los expedientes de responsabilidad administrativa en trámite a la fecha de la solicitud y generados del primero de enero al treinta y uno de diciembre de dos mil veintidós,  el acuerdo emitido por el Comité de </w:t>
      </w:r>
      <w:r>
        <w:rPr>
          <w:rFonts w:ascii="Palatino Linotype" w:eastAsia="Palatino Linotype" w:hAnsi="Palatino Linotype" w:cs="Palatino Linotype"/>
          <w:b/>
          <w:color w:val="000000"/>
          <w:sz w:val="22"/>
          <w:szCs w:val="22"/>
        </w:rPr>
        <w:lastRenderedPageBreak/>
        <w:t xml:space="preserve">Transparencia en el que se clasifique como reservada la información, excepto de aquellos que se encuentren contemplados en el artículo 142 de la Ley en la materia, de los que se deberá hacer entrega en versión pública. </w:t>
      </w:r>
    </w:p>
    <w:p w14:paraId="5EA51190" w14:textId="77777777" w:rsidR="001E5C90" w:rsidRDefault="004C0898">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QUINTO. De la versión pública.</w:t>
      </w:r>
    </w:p>
    <w:p w14:paraId="5EA51191" w14:textId="77777777" w:rsidR="001E5C90" w:rsidRDefault="004C0898">
      <w:pPr>
        <w:numPr>
          <w:ilvl w:val="0"/>
          <w:numId w:val="7"/>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Debe destacarse que, debido a la naturaleza de la información solicitada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tbl>
      <w:tblPr>
        <w:tblStyle w:val="a1"/>
        <w:tblW w:w="8828"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1838"/>
        <w:gridCol w:w="6990"/>
      </w:tblGrid>
      <w:tr w:rsidR="001E5C90" w14:paraId="5EA51197" w14:textId="77777777">
        <w:tc>
          <w:tcPr>
            <w:tcW w:w="1838" w:type="dxa"/>
          </w:tcPr>
          <w:p w14:paraId="5EA51192" w14:textId="77777777" w:rsidR="001E5C90" w:rsidRDefault="004C0898">
            <w:pPr>
              <w:spacing w:before="240" w:after="240"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 Requisitos previos.</w:t>
            </w:r>
          </w:p>
        </w:tc>
        <w:tc>
          <w:tcPr>
            <w:tcW w:w="6990" w:type="dxa"/>
          </w:tcPr>
          <w:p w14:paraId="5EA51193" w14:textId="77777777" w:rsidR="001E5C90" w:rsidRDefault="004C0898">
            <w:pPr>
              <w:spacing w:before="240"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5EA51194" w14:textId="77777777" w:rsidR="001E5C90" w:rsidRDefault="004C0898">
            <w:pPr>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Al hacerlo tienen que precisar de qué información se trata, señalando el supuesto de clasificación (confidencialidad o reserva).</w:t>
            </w:r>
          </w:p>
          <w:p w14:paraId="5EA51195" w14:textId="77777777" w:rsidR="001E5C90" w:rsidRDefault="004C0898">
            <w:pPr>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Además, se debe señalar el procedimiento, de los tres que establecen los artículos 132 y 106 de la Ley Estatal y General, respectivamente.</w:t>
            </w:r>
          </w:p>
          <w:p w14:paraId="5EA51196" w14:textId="77777777" w:rsidR="001E5C90" w:rsidRDefault="004C0898">
            <w:pPr>
              <w:spacing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El último de estos requisitos previos consiste en que no se pueden emitir acuerdos de carácter general ni particular, esto es, </w:t>
            </w:r>
            <w:r>
              <w:rPr>
                <w:rFonts w:ascii="Palatino Linotype" w:eastAsia="Palatino Linotype" w:hAnsi="Palatino Linotype" w:cs="Palatino Linotype"/>
                <w:sz w:val="20"/>
                <w:szCs w:val="20"/>
                <w:u w:val="single"/>
              </w:rPr>
              <w:t xml:space="preserve">no se puede hacer un acuerdo para clasificar de manera general todos los documentos de un expediente o área,  </w:t>
            </w:r>
            <w:r>
              <w:rPr>
                <w:rFonts w:ascii="Palatino Linotype" w:eastAsia="Palatino Linotype" w:hAnsi="Palatino Linotype" w:cs="Palatino Linotype"/>
                <w:sz w:val="20"/>
                <w:szCs w:val="20"/>
              </w:rPr>
              <w:t>sin individualizar su análisis y tampoco se puede hacer un acuerdo por cada dato que se vaya a clasificar dentro de un documento con diez datos, por ejemplo, susceptibles de ser clasificados.</w:t>
            </w:r>
          </w:p>
        </w:tc>
      </w:tr>
      <w:tr w:rsidR="001E5C90" w14:paraId="5EA5119C" w14:textId="77777777">
        <w:tc>
          <w:tcPr>
            <w:tcW w:w="1838" w:type="dxa"/>
          </w:tcPr>
          <w:p w14:paraId="5EA51198" w14:textId="77777777" w:rsidR="001E5C90" w:rsidRDefault="004C0898">
            <w:pPr>
              <w:spacing w:before="240" w:after="240"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b) Supuestos de clasificación.</w:t>
            </w:r>
          </w:p>
        </w:tc>
        <w:tc>
          <w:tcPr>
            <w:tcW w:w="6990" w:type="dxa"/>
          </w:tcPr>
          <w:p w14:paraId="5EA51199" w14:textId="77777777" w:rsidR="001E5C90" w:rsidRDefault="004C0898">
            <w:pPr>
              <w:spacing w:before="240"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Las disposiciones constitucionales y legales en la materia establecen los dos supuestos generales para clasificar la información: por reserva y por confidencialidad.</w:t>
            </w:r>
          </w:p>
          <w:p w14:paraId="5EA5119A" w14:textId="77777777" w:rsidR="001E5C90" w:rsidRDefault="004C0898">
            <w:pPr>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EA5119B" w14:textId="77777777" w:rsidR="001E5C90" w:rsidRDefault="004C0898">
            <w:pPr>
              <w:spacing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El </w:t>
            </w:r>
            <w:r>
              <w:rPr>
                <w:rFonts w:ascii="Palatino Linotype" w:eastAsia="Palatino Linotype" w:hAnsi="Palatino Linotype" w:cs="Palatino Linotype"/>
                <w:b/>
                <w:sz w:val="20"/>
                <w:szCs w:val="20"/>
              </w:rPr>
              <w:t>SUJETO OBLIGADO</w:t>
            </w:r>
            <w:r>
              <w:rPr>
                <w:rFonts w:ascii="Palatino Linotype" w:eastAsia="Palatino Linotype" w:hAnsi="Palatino Linotype" w:cs="Palatino Linotype"/>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E5C90" w14:paraId="5EA511A1" w14:textId="77777777">
        <w:tc>
          <w:tcPr>
            <w:tcW w:w="1838" w:type="dxa"/>
          </w:tcPr>
          <w:p w14:paraId="5EA5119D" w14:textId="77777777" w:rsidR="001E5C90" w:rsidRDefault="004C0898">
            <w:pPr>
              <w:spacing w:before="240" w:after="240"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 Formalidades para emitir el acuerdo de clasificación.</w:t>
            </w:r>
          </w:p>
        </w:tc>
        <w:tc>
          <w:tcPr>
            <w:tcW w:w="6990" w:type="dxa"/>
          </w:tcPr>
          <w:p w14:paraId="5EA5119E" w14:textId="77777777" w:rsidR="001E5C90" w:rsidRDefault="004C0898">
            <w:pPr>
              <w:spacing w:before="240"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El Comité de Transparencia, según lo dispuesto en los artículos cuenta con las facultades para aprobar, modificar o revocar la clasificación de la información que haya propuesto. </w:t>
            </w:r>
          </w:p>
          <w:p w14:paraId="5EA5119F" w14:textId="77777777" w:rsidR="001E5C90" w:rsidRDefault="004C0898">
            <w:pPr>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Es necesario que </w:t>
            </w:r>
            <w:r>
              <w:rPr>
                <w:rFonts w:ascii="Palatino Linotype" w:eastAsia="Palatino Linotype" w:hAnsi="Palatino Linotype" w:cs="Palatino Linotype"/>
                <w:b/>
                <w:sz w:val="20"/>
                <w:szCs w:val="20"/>
                <w:u w:val="single"/>
              </w:rPr>
              <w:t>el acto reúna con los requisitos elementales</w:t>
            </w:r>
            <w:r>
              <w:rPr>
                <w:rFonts w:ascii="Palatino Linotype" w:eastAsia="Palatino Linotype" w:hAnsi="Palatino Linotype" w:cs="Palatino Linotype"/>
                <w:sz w:val="20"/>
                <w:szCs w:val="20"/>
              </w:rPr>
              <w:t>, entre ellos, que la autoridad que va a emitir el acto de autoridad sea la legalmente facultada para ello.</w:t>
            </w:r>
          </w:p>
          <w:p w14:paraId="5EA511A0" w14:textId="77777777" w:rsidR="001E5C90" w:rsidRDefault="004C0898">
            <w:pPr>
              <w:spacing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w:t>
            </w:r>
            <w:r>
              <w:rPr>
                <w:rFonts w:ascii="Palatino Linotype" w:eastAsia="Palatino Linotype" w:hAnsi="Palatino Linotype" w:cs="Palatino Linotype"/>
                <w:sz w:val="20"/>
                <w:szCs w:val="20"/>
              </w:rPr>
              <w:lastRenderedPageBreak/>
              <w:t>decisiones adoptadas previamente por los titulares de áreas y que son sujetas a control, en primera instancia, por el Comité de Transparencia.</w:t>
            </w:r>
          </w:p>
        </w:tc>
      </w:tr>
      <w:tr w:rsidR="001E5C90" w14:paraId="5EA511A9" w14:textId="77777777">
        <w:tc>
          <w:tcPr>
            <w:tcW w:w="1838" w:type="dxa"/>
          </w:tcPr>
          <w:p w14:paraId="5EA511A2" w14:textId="77777777" w:rsidR="001E5C90" w:rsidRDefault="001E5C90">
            <w:pPr>
              <w:spacing w:before="240" w:after="240" w:line="360" w:lineRule="auto"/>
              <w:rPr>
                <w:rFonts w:ascii="Palatino Linotype" w:eastAsia="Palatino Linotype" w:hAnsi="Palatino Linotype" w:cs="Palatino Linotype"/>
                <w:sz w:val="20"/>
                <w:szCs w:val="20"/>
              </w:rPr>
            </w:pPr>
          </w:p>
          <w:p w14:paraId="5EA511A3" w14:textId="77777777" w:rsidR="001E5C90" w:rsidRDefault="004C0898">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 Requisitos de fondo del acuerdo de clasificación. </w:t>
            </w:r>
          </w:p>
        </w:tc>
        <w:tc>
          <w:tcPr>
            <w:tcW w:w="6990" w:type="dxa"/>
          </w:tcPr>
          <w:p w14:paraId="5EA511A4" w14:textId="77777777" w:rsidR="001E5C90" w:rsidRDefault="004C0898">
            <w:pPr>
              <w:spacing w:before="240"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sz w:val="20"/>
                <w:szCs w:val="20"/>
              </w:rPr>
              <w:t>Sujetos Obligados</w:t>
            </w:r>
            <w:r>
              <w:rPr>
                <w:rFonts w:ascii="Palatino Linotype" w:eastAsia="Palatino Linotype" w:hAnsi="Palatino Linotype" w:cs="Palatino Linotype"/>
                <w:sz w:val="20"/>
                <w:szCs w:val="20"/>
              </w:rPr>
              <w:t xml:space="preserve">, por lo que deberán fundar y motivar debidamente la clasificación. </w:t>
            </w:r>
          </w:p>
          <w:p w14:paraId="5EA511A5" w14:textId="77777777" w:rsidR="001E5C90" w:rsidRDefault="004C0898">
            <w:pPr>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De lo anterior, se desprende que para una correcta </w:t>
            </w:r>
            <w:r>
              <w:rPr>
                <w:rFonts w:ascii="Palatino Linotype" w:eastAsia="Palatino Linotype" w:hAnsi="Palatino Linotype" w:cs="Palatino Linotype"/>
                <w:b/>
                <w:sz w:val="20"/>
                <w:szCs w:val="20"/>
              </w:rPr>
              <w:t>clasificación total o parcial</w:t>
            </w:r>
            <w:r>
              <w:rPr>
                <w:rFonts w:ascii="Palatino Linotype" w:eastAsia="Palatino Linotype" w:hAnsi="Palatino Linotype" w:cs="Palatino Linotype"/>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EA511A6" w14:textId="77777777" w:rsidR="001E5C90" w:rsidRDefault="004C0898">
            <w:pPr>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EA511A7" w14:textId="77777777" w:rsidR="001E5C90" w:rsidRDefault="004C0898">
            <w:pPr>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ese mismo sentido, el numeral trigésimo tercero fracción V de los Lineamientos Generales, precisa que para motivar la clasificación se deben acreditar las circunstancias de tiempo, modo y lugar.</w:t>
            </w:r>
          </w:p>
          <w:p w14:paraId="5EA511A8" w14:textId="77777777" w:rsidR="001E5C90" w:rsidRDefault="004C0898">
            <w:pPr>
              <w:spacing w:after="240"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Ahora bien, </w:t>
            </w:r>
            <w:r>
              <w:rPr>
                <w:rFonts w:ascii="Palatino Linotype" w:eastAsia="Palatino Linotype" w:hAnsi="Palatino Linotype" w:cs="Palatino Linotype"/>
                <w:b/>
                <w:sz w:val="20"/>
                <w:szCs w:val="20"/>
                <w:u w:val="single"/>
              </w:rPr>
              <w:t>para cada caso además de fundar y motivar</w:t>
            </w:r>
            <w:r>
              <w:rPr>
                <w:rFonts w:ascii="Palatino Linotype" w:eastAsia="Palatino Linotype" w:hAnsi="Palatino Linotype" w:cs="Palatino Linotype"/>
                <w:sz w:val="20"/>
                <w:szCs w:val="20"/>
              </w:rPr>
              <w:t xml:space="preserve">, se debe identificar con claridad que datos contenidos en las documentales que son susceptibles de suprimirse, por ejemplo; Clave Única de Registro de Población (CURP), Registro Federal de Contribuyentes (R.F.C.), claves de seguros, préstamos o </w:t>
            </w:r>
            <w:r>
              <w:rPr>
                <w:rFonts w:ascii="Palatino Linotype" w:eastAsia="Palatino Linotype" w:hAnsi="Palatino Linotype" w:cs="Palatino Linotype"/>
                <w:sz w:val="20"/>
                <w:szCs w:val="20"/>
              </w:rPr>
              <w:lastRenderedPageBreak/>
              <w:t>descuentos personales, secretos bancario, fiduciario, industrial, comercial, fiscal, bursátil y postal, cuya titularidad corresponda a particulares, entre otros.</w:t>
            </w:r>
          </w:p>
        </w:tc>
      </w:tr>
      <w:tr w:rsidR="001E5C90" w14:paraId="5EA511AF" w14:textId="77777777">
        <w:tc>
          <w:tcPr>
            <w:tcW w:w="1838" w:type="dxa"/>
          </w:tcPr>
          <w:p w14:paraId="5EA511AA" w14:textId="77777777" w:rsidR="001E5C90" w:rsidRDefault="004C0898">
            <w:pPr>
              <w:spacing w:before="240" w:after="240"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e) Condiciones especiales de la clasificación de la información como confidencial. </w:t>
            </w:r>
          </w:p>
          <w:p w14:paraId="5EA511AB" w14:textId="77777777" w:rsidR="001E5C90" w:rsidRDefault="001E5C90">
            <w:pPr>
              <w:spacing w:before="240" w:after="240" w:line="360" w:lineRule="auto"/>
              <w:rPr>
                <w:rFonts w:ascii="Palatino Linotype" w:eastAsia="Palatino Linotype" w:hAnsi="Palatino Linotype" w:cs="Palatino Linotype"/>
                <w:sz w:val="20"/>
                <w:szCs w:val="20"/>
              </w:rPr>
            </w:pPr>
          </w:p>
        </w:tc>
        <w:tc>
          <w:tcPr>
            <w:tcW w:w="6990" w:type="dxa"/>
          </w:tcPr>
          <w:p w14:paraId="5EA511AC" w14:textId="77777777" w:rsidR="001E5C90" w:rsidRDefault="004C0898">
            <w:pPr>
              <w:spacing w:before="240"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Los artículos 148 y 120 de la Ley Estatal y de la Ley General, respectivamente, establecen que aun tratándose de datos personales, se podrán proporcionar, incluso sin solicitar el consentimiento de su titular. </w:t>
            </w:r>
          </w:p>
          <w:p w14:paraId="5EA511AD" w14:textId="77777777" w:rsidR="001E5C90" w:rsidRDefault="004C0898">
            <w:pPr>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EA511AE" w14:textId="77777777" w:rsidR="001E5C90" w:rsidRDefault="004C0898">
            <w:pPr>
              <w:spacing w:after="240"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EA511B0" w14:textId="77777777" w:rsidR="001E5C90" w:rsidRDefault="001E5C90">
      <w:pPr>
        <w:spacing w:line="360" w:lineRule="auto"/>
        <w:ind w:right="49"/>
        <w:jc w:val="both"/>
        <w:rPr>
          <w:rFonts w:ascii="Palatino Linotype" w:eastAsia="Palatino Linotype" w:hAnsi="Palatino Linotype" w:cs="Palatino Linotype"/>
        </w:rPr>
      </w:pPr>
    </w:p>
    <w:p w14:paraId="5EA511B1" w14:textId="77777777" w:rsidR="001E5C90" w:rsidRDefault="004C0898">
      <w:pPr>
        <w:numPr>
          <w:ilvl w:val="0"/>
          <w:numId w:val="7"/>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anteriormente expuesto y fundado, este </w:t>
      </w:r>
      <w:r>
        <w:rPr>
          <w:rFonts w:ascii="Palatino Linotype" w:eastAsia="Palatino Linotype" w:hAnsi="Palatino Linotype" w:cs="Palatino Linotype"/>
          <w:b/>
        </w:rPr>
        <w:t>ÓRGANO GARANTE</w:t>
      </w:r>
      <w:r>
        <w:rPr>
          <w:rFonts w:ascii="Palatino Linotype" w:eastAsia="Palatino Linotype" w:hAnsi="Palatino Linotype" w:cs="Palatino Linotype"/>
        </w:rPr>
        <w:t xml:space="preserve"> emite los siguientes:</w:t>
      </w:r>
    </w:p>
    <w:p w14:paraId="5EA511B2" w14:textId="77777777" w:rsidR="001E5C90" w:rsidRDefault="001E5C90">
      <w:pPr>
        <w:pBdr>
          <w:top w:val="nil"/>
          <w:left w:val="nil"/>
          <w:bottom w:val="nil"/>
          <w:right w:val="nil"/>
          <w:between w:val="nil"/>
        </w:pBdr>
        <w:ind w:left="720"/>
        <w:rPr>
          <w:rFonts w:ascii="Palatino Linotype" w:eastAsia="Palatino Linotype" w:hAnsi="Palatino Linotype" w:cs="Palatino Linotype"/>
          <w:color w:val="000000"/>
        </w:rPr>
      </w:pPr>
    </w:p>
    <w:p w14:paraId="5EA511B3" w14:textId="77777777" w:rsidR="001E5C90" w:rsidRDefault="004C0898">
      <w:pPr>
        <w:keepNext/>
        <w:keepLines/>
        <w:spacing w:line="360" w:lineRule="auto"/>
        <w:jc w:val="center"/>
        <w:rPr>
          <w:rFonts w:ascii="Palatino Linotype" w:eastAsia="Palatino Linotype" w:hAnsi="Palatino Linotype" w:cs="Palatino Linotype"/>
          <w:b/>
          <w:color w:val="000000"/>
        </w:rPr>
      </w:pPr>
      <w:bookmarkStart w:id="5" w:name="_heading=h.1t3h5sf" w:colFirst="0" w:colLast="0"/>
      <w:bookmarkEnd w:id="5"/>
      <w:r>
        <w:rPr>
          <w:rFonts w:ascii="Palatino Linotype" w:eastAsia="Palatino Linotype" w:hAnsi="Palatino Linotype" w:cs="Palatino Linotype"/>
          <w:b/>
          <w:color w:val="000000"/>
        </w:rPr>
        <w:t>R E S O L U T I V O S</w:t>
      </w:r>
    </w:p>
    <w:p w14:paraId="5EA511B4" w14:textId="77777777" w:rsidR="001E5C90" w:rsidRDefault="001E5C90">
      <w:pPr>
        <w:keepNext/>
        <w:keepLines/>
        <w:spacing w:line="360" w:lineRule="auto"/>
        <w:jc w:val="center"/>
        <w:rPr>
          <w:rFonts w:ascii="Palatino Linotype" w:eastAsia="Palatino Linotype" w:hAnsi="Palatino Linotype" w:cs="Palatino Linotype"/>
          <w:b/>
          <w:color w:val="000000"/>
        </w:rPr>
      </w:pPr>
    </w:p>
    <w:p w14:paraId="5EA511B5" w14:textId="77777777" w:rsidR="001E5C90" w:rsidRDefault="004C089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parcialmente fundadas las razones o motivos de inconformidad hechos valer en el Recurso de Revisión </w:t>
      </w:r>
      <w:r>
        <w:rPr>
          <w:rFonts w:ascii="Palatino Linotype" w:eastAsia="Palatino Linotype" w:hAnsi="Palatino Linotype" w:cs="Palatino Linotype"/>
          <w:b/>
        </w:rPr>
        <w:t>03488/INFOEM/IP/RR/2023</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términos de los Considerandos</w:t>
      </w:r>
      <w:r>
        <w:rPr>
          <w:rFonts w:ascii="Palatino Linotype" w:eastAsia="Palatino Linotype" w:hAnsi="Palatino Linotype" w:cs="Palatino Linotype"/>
          <w:b/>
        </w:rPr>
        <w:t xml:space="preserve"> Cuarto y Quinto </w:t>
      </w:r>
      <w:r>
        <w:rPr>
          <w:rFonts w:ascii="Palatino Linotype" w:eastAsia="Palatino Linotype" w:hAnsi="Palatino Linotype" w:cs="Palatino Linotype"/>
        </w:rPr>
        <w:t xml:space="preserve">de la presente resolución. </w:t>
      </w:r>
    </w:p>
    <w:p w14:paraId="5EA511B6" w14:textId="77777777" w:rsidR="001E5C90" w:rsidRDefault="001E5C90">
      <w:pPr>
        <w:spacing w:line="360" w:lineRule="auto"/>
        <w:jc w:val="both"/>
        <w:rPr>
          <w:rFonts w:ascii="Palatino Linotype" w:eastAsia="Palatino Linotype" w:hAnsi="Palatino Linotype" w:cs="Palatino Linotype"/>
        </w:rPr>
      </w:pPr>
    </w:p>
    <w:p w14:paraId="5EA511B7" w14:textId="77777777" w:rsidR="001E5C90" w:rsidRDefault="004C0898">
      <w:pPr>
        <w:spacing w:line="360" w:lineRule="auto"/>
        <w:ind w:right="49"/>
        <w:jc w:val="both"/>
        <w:rPr>
          <w:rFonts w:ascii="Palatino Linotype" w:eastAsia="Palatino Linotype" w:hAnsi="Palatino Linotype" w:cs="Palatino Linotype"/>
          <w:color w:val="000000"/>
        </w:rPr>
      </w:pPr>
      <w:bookmarkStart w:id="6" w:name="_heading=h.2s8eyo1" w:colFirst="0" w:colLast="0"/>
      <w:bookmarkEnd w:id="6"/>
      <w:r>
        <w:rPr>
          <w:rFonts w:ascii="Palatino Linotype" w:eastAsia="Palatino Linotype" w:hAnsi="Palatino Linotype" w:cs="Palatino Linotype"/>
          <w:b/>
        </w:rPr>
        <w:lastRenderedPageBreak/>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 xml:space="preserve">MODIFICA </w:t>
      </w:r>
      <w:r>
        <w:rPr>
          <w:rFonts w:ascii="Palatino Linotype" w:eastAsia="Palatino Linotype" w:hAnsi="Palatino Linotype" w:cs="Palatino Linotype"/>
          <w:color w:val="000000"/>
        </w:rPr>
        <w:t xml:space="preserve">la respuesta emitida por el </w:t>
      </w:r>
      <w:r>
        <w:rPr>
          <w:rFonts w:ascii="Palatino Linotype" w:eastAsia="Palatino Linotype" w:hAnsi="Palatino Linotype" w:cs="Palatino Linotype"/>
          <w:b/>
          <w:color w:val="000000"/>
        </w:rPr>
        <w:t xml:space="preserve">Ayuntamiento de Toluca </w:t>
      </w:r>
      <w:r>
        <w:rPr>
          <w:rFonts w:ascii="Palatino Linotype" w:eastAsia="Palatino Linotype" w:hAnsi="Palatino Linotype" w:cs="Palatino Linotype"/>
          <w:color w:val="000000"/>
        </w:rPr>
        <w:t xml:space="preserve">y se </w:t>
      </w:r>
      <w:r>
        <w:rPr>
          <w:rFonts w:ascii="Palatino Linotype" w:eastAsia="Palatino Linotype" w:hAnsi="Palatino Linotype" w:cs="Palatino Linotype"/>
          <w:b/>
          <w:color w:val="000000"/>
        </w:rPr>
        <w:t>ORDENA</w:t>
      </w:r>
      <w:r>
        <w:rPr>
          <w:rFonts w:ascii="Palatino Linotype" w:eastAsia="Palatino Linotype" w:hAnsi="Palatino Linotype" w:cs="Palatino Linotype"/>
          <w:color w:val="000000"/>
        </w:rPr>
        <w:t xml:space="preserve"> entregar vía Sistema de Acceso a la Información Mexiquense </w:t>
      </w:r>
      <w:r>
        <w:rPr>
          <w:rFonts w:ascii="Palatino Linotype" w:eastAsia="Palatino Linotype" w:hAnsi="Palatino Linotype" w:cs="Palatino Linotype"/>
          <w:b/>
          <w:color w:val="000000"/>
        </w:rPr>
        <w:t>(SAIMEX) y correo electrónico</w:t>
      </w:r>
      <w:r>
        <w:rPr>
          <w:rFonts w:ascii="Palatino Linotype" w:eastAsia="Palatino Linotype" w:hAnsi="Palatino Linotype" w:cs="Palatino Linotype"/>
          <w:color w:val="000000"/>
        </w:rPr>
        <w:t>, de ser procedente</w:t>
      </w:r>
      <w:r>
        <w:rPr>
          <w:rFonts w:ascii="Palatino Linotype" w:eastAsia="Palatino Linotype" w:hAnsi="Palatino Linotype" w:cs="Palatino Linotype"/>
        </w:rPr>
        <w:t xml:space="preserve"> en versión pública, la siguiente información:</w:t>
      </w:r>
    </w:p>
    <w:p w14:paraId="5EA511B8" w14:textId="77777777" w:rsidR="001E5C90" w:rsidRDefault="004C0898">
      <w:pPr>
        <w:numPr>
          <w:ilvl w:val="0"/>
          <w:numId w:val="4"/>
        </w:numPr>
        <w:pBdr>
          <w:top w:val="nil"/>
          <w:left w:val="nil"/>
          <w:bottom w:val="nil"/>
          <w:right w:val="nil"/>
          <w:between w:val="nil"/>
        </w:pBdr>
        <w:spacing w:before="480" w:after="480" w:line="360" w:lineRule="auto"/>
        <w:ind w:right="822"/>
        <w:jc w:val="both"/>
        <w:rPr>
          <w:rFonts w:ascii="Palatino Linotype" w:eastAsia="Palatino Linotype" w:hAnsi="Palatino Linotype" w:cs="Palatino Linotype"/>
          <w:b/>
          <w:color w:val="000000"/>
        </w:rPr>
      </w:pPr>
      <w:bookmarkStart w:id="7" w:name="_heading=h.3znysh7" w:colFirst="0" w:colLast="0"/>
      <w:bookmarkEnd w:id="7"/>
      <w:r>
        <w:rPr>
          <w:rFonts w:ascii="Palatino Linotype" w:eastAsia="Palatino Linotype" w:hAnsi="Palatino Linotype" w:cs="Palatino Linotype"/>
          <w:b/>
          <w:color w:val="000000"/>
        </w:rPr>
        <w:t xml:space="preserve">De los expedientes de responsabilidad administrativa en trámite a la fecha de la solicitud y generados del primero de enero al treinta y uno de diciembre de dos mil veintidós,  el acuerdo emitido por el Comité de Transparencia en el que se clasifique como reservada la información, excepto de aquellos que se encuentren contemplados en el artículo 142 de la Ley en la materia, de los que se deberá hacer entrega en versión pública. </w:t>
      </w:r>
    </w:p>
    <w:p w14:paraId="5EA511B9" w14:textId="77777777" w:rsidR="001E5C90" w:rsidRDefault="004C0898">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w:t>
      </w:r>
      <w:r>
        <w:rPr>
          <w:rFonts w:ascii="Palatino Linotype" w:eastAsia="Palatino Linotype" w:hAnsi="Palatino Linotype" w:cs="Palatino Linotype"/>
          <w:b/>
        </w:rPr>
        <w:t xml:space="preserve"> RECURRENTE.</w:t>
      </w:r>
    </w:p>
    <w:p w14:paraId="5EA511BA" w14:textId="77777777" w:rsidR="001E5C90" w:rsidRDefault="001E5C90">
      <w:pPr>
        <w:spacing w:line="360" w:lineRule="auto"/>
        <w:jc w:val="both"/>
        <w:rPr>
          <w:rFonts w:ascii="Palatino Linotype" w:eastAsia="Palatino Linotype" w:hAnsi="Palatino Linotype" w:cs="Palatino Linotype"/>
          <w:b/>
        </w:rPr>
      </w:pPr>
    </w:p>
    <w:p w14:paraId="5EA511BB" w14:textId="77777777" w:rsidR="001E5C90" w:rsidRDefault="004C0898">
      <w:pPr>
        <w:tabs>
          <w:tab w:val="left" w:pos="8080"/>
        </w:tabs>
        <w:spacing w:line="360" w:lineRule="auto"/>
        <w:ind w:right="48"/>
        <w:jc w:val="both"/>
        <w:rPr>
          <w:rFonts w:ascii="Palatino Linotype" w:eastAsia="Palatino Linotype" w:hAnsi="Palatino Linotype" w:cs="Palatino Linotype"/>
          <w:color w:val="222222"/>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la presente resolución al Titular de la Unidad de Transparencia del Sujeto Obligado 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rPr>
        <w:t>dé cumplimiento a lo ordenado dentro del plazo de diez días hábiles,</w:t>
      </w:r>
      <w:r>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w:t>
      </w:r>
      <w:r>
        <w:rPr>
          <w:rFonts w:ascii="Palatino Linotype" w:eastAsia="Palatino Linotype" w:hAnsi="Palatino Linotype" w:cs="Palatino Linotype"/>
        </w:rPr>
        <w:lastRenderedPageBreak/>
        <w:t>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EA511BC" w14:textId="77777777" w:rsidR="001E5C90" w:rsidRDefault="001E5C90">
      <w:pPr>
        <w:tabs>
          <w:tab w:val="left" w:pos="8080"/>
        </w:tabs>
        <w:spacing w:line="360" w:lineRule="auto"/>
        <w:ind w:right="48"/>
        <w:jc w:val="both"/>
        <w:rPr>
          <w:rFonts w:ascii="Palatino Linotype" w:eastAsia="Palatino Linotype" w:hAnsi="Palatino Linotype" w:cs="Palatino Linotype"/>
          <w:color w:val="222222"/>
        </w:rPr>
      </w:pPr>
    </w:p>
    <w:p w14:paraId="5EA511BD" w14:textId="77777777" w:rsidR="001E5C90" w:rsidRDefault="004C0898">
      <w:pPr>
        <w:shd w:val="clear" w:color="auto" w:fill="FFFFFF"/>
        <w:spacing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b/>
        </w:rPr>
        <w:t>CUARTO. Notifíquese al RECURRENTE</w:t>
      </w:r>
      <w:r>
        <w:rPr>
          <w:rFonts w:ascii="Palatino Linotype" w:eastAsia="Palatino Linotype" w:hAnsi="Palatino Linotype" w:cs="Palatino Linotype"/>
        </w:rPr>
        <w:t xml:space="preserve"> la presente resolución vía SAIMEX y correo electrónico.</w:t>
      </w:r>
    </w:p>
    <w:p w14:paraId="5EA511BE" w14:textId="77777777" w:rsidR="001E5C90" w:rsidRDefault="001E5C90">
      <w:pPr>
        <w:shd w:val="clear" w:color="auto" w:fill="FFFFFF"/>
        <w:spacing w:line="360" w:lineRule="auto"/>
        <w:ind w:right="48"/>
        <w:jc w:val="both"/>
        <w:rPr>
          <w:rFonts w:ascii="Palatino Linotype" w:eastAsia="Palatino Linotype" w:hAnsi="Palatino Linotype" w:cs="Palatino Linotype"/>
          <w:b/>
          <w:color w:val="FF0000"/>
        </w:rPr>
      </w:pPr>
    </w:p>
    <w:p w14:paraId="5EA511BF" w14:textId="77777777" w:rsidR="001E5C90" w:rsidRDefault="004C0898">
      <w:pPr>
        <w:spacing w:line="360" w:lineRule="auto"/>
        <w:ind w:right="48"/>
        <w:jc w:val="both"/>
        <w:rPr>
          <w:rFonts w:ascii="Palatino Linotype" w:eastAsia="Palatino Linotype" w:hAnsi="Palatino Linotype" w:cs="Palatino Linotype"/>
          <w:b/>
        </w:rPr>
      </w:pPr>
      <w:r>
        <w:rPr>
          <w:rFonts w:ascii="Palatino Linotype" w:eastAsia="Palatino Linotype" w:hAnsi="Palatino Linotype" w:cs="Palatino Linotype"/>
          <w:b/>
        </w:rPr>
        <w:t xml:space="preserve">SEXTO. </w:t>
      </w:r>
      <w:r>
        <w:rPr>
          <w:rFonts w:ascii="Palatino Linotype" w:eastAsia="Palatino Linotype" w:hAnsi="Palatino Linotype" w:cs="Palatino Linotype"/>
        </w:rPr>
        <w:t>Se hace del conocimiento del RECURRENTE que, de conformidad con lo establecido en el artículo 196 de la Ley de Transparencia y Acceso a la Información Pública del Estado de México y Municipios, y en lo dispuesto en los artículos 159 y 160 de la Ley General de Transparencia y Acceso a la Información Pública, en caso de que considere que la resolución le cause algún perjuicio podrá impugnar vía recurso de inconformidad ante el Instituto Nacional de Transparencia, Acceso a la Información y Protección de Datos, o bien, vía juicio de amparo en los términos de las leyes aplicables.</w:t>
      </w:r>
    </w:p>
    <w:p w14:paraId="5EA511C0" w14:textId="77777777" w:rsidR="001E5C90" w:rsidRDefault="001E5C90">
      <w:pPr>
        <w:spacing w:line="360" w:lineRule="auto"/>
        <w:ind w:right="48"/>
        <w:jc w:val="both"/>
        <w:rPr>
          <w:rFonts w:ascii="Palatino Linotype" w:eastAsia="Palatino Linotype" w:hAnsi="Palatino Linotype" w:cs="Palatino Linotype"/>
          <w:color w:val="000000"/>
        </w:rPr>
      </w:pPr>
    </w:p>
    <w:p w14:paraId="5EA511C1" w14:textId="77777777" w:rsidR="001E5C90" w:rsidRDefault="004C0898">
      <w:pPr>
        <w:spacing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b/>
          <w:color w:val="000000"/>
        </w:rPr>
        <w:t xml:space="preserve">SÉPTIMO.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EA511C2" w14:textId="77777777" w:rsidR="001E5C90" w:rsidRDefault="001E5C90">
      <w:pPr>
        <w:spacing w:line="360" w:lineRule="auto"/>
        <w:ind w:right="48"/>
        <w:jc w:val="both"/>
        <w:rPr>
          <w:rFonts w:ascii="Palatino Linotype" w:eastAsia="Palatino Linotype" w:hAnsi="Palatino Linotype" w:cs="Palatino Linotype"/>
        </w:rPr>
      </w:pPr>
    </w:p>
    <w:p w14:paraId="6A1DFB39" w14:textId="77777777" w:rsidR="00DA4091" w:rsidRDefault="00DA4091">
      <w:pPr>
        <w:spacing w:line="360" w:lineRule="auto"/>
        <w:ind w:right="48"/>
        <w:jc w:val="both"/>
        <w:rPr>
          <w:rFonts w:ascii="Palatino Linotype" w:eastAsia="Palatino Linotype" w:hAnsi="Palatino Linotype" w:cs="Palatino Linotype"/>
        </w:rPr>
      </w:pPr>
    </w:p>
    <w:p w14:paraId="1B3BA47B" w14:textId="77777777" w:rsidR="00DA4091" w:rsidRDefault="00DA4091">
      <w:pPr>
        <w:spacing w:line="360" w:lineRule="auto"/>
        <w:ind w:right="48"/>
        <w:jc w:val="both"/>
        <w:rPr>
          <w:rFonts w:ascii="Palatino Linotype" w:eastAsia="Palatino Linotype" w:hAnsi="Palatino Linotype" w:cs="Palatino Linotype"/>
        </w:rPr>
      </w:pPr>
    </w:p>
    <w:p w14:paraId="5A21D64D" w14:textId="77777777" w:rsidR="00DA4091" w:rsidRDefault="00DA4091">
      <w:pPr>
        <w:spacing w:line="360" w:lineRule="auto"/>
        <w:ind w:right="48"/>
        <w:jc w:val="both"/>
        <w:rPr>
          <w:rFonts w:ascii="Palatino Linotype" w:eastAsia="Palatino Linotype" w:hAnsi="Palatino Linotype" w:cs="Palatino Linotype"/>
        </w:rPr>
      </w:pPr>
    </w:p>
    <w:p w14:paraId="5F273D16" w14:textId="77777777" w:rsidR="00DA4091" w:rsidRDefault="00DA4091">
      <w:pPr>
        <w:spacing w:line="360" w:lineRule="auto"/>
        <w:ind w:right="48"/>
        <w:jc w:val="both"/>
        <w:rPr>
          <w:rFonts w:ascii="Palatino Linotype" w:eastAsia="Palatino Linotype" w:hAnsi="Palatino Linotype" w:cs="Palatino Linotype"/>
        </w:rPr>
      </w:pPr>
    </w:p>
    <w:p w14:paraId="7F5F4B28" w14:textId="77777777" w:rsidR="00DA4091" w:rsidRDefault="00DA4091">
      <w:pPr>
        <w:spacing w:line="360" w:lineRule="auto"/>
        <w:ind w:right="48"/>
        <w:jc w:val="both"/>
        <w:rPr>
          <w:rFonts w:ascii="Palatino Linotype" w:eastAsia="Palatino Linotype" w:hAnsi="Palatino Linotype" w:cs="Palatino Linotype"/>
        </w:rPr>
      </w:pPr>
    </w:p>
    <w:p w14:paraId="5EA511C3" w14:textId="6B51D037" w:rsidR="00E95790" w:rsidRPr="003C7186" w:rsidRDefault="00E95790" w:rsidP="00E95790">
      <w:pPr>
        <w:spacing w:line="360" w:lineRule="auto"/>
        <w:ind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DC72A3">
        <w:rPr>
          <w:rFonts w:ascii="Palatino Linotype" w:hAnsi="Palatino Linotype"/>
        </w:rPr>
        <w:t xml:space="preserve"> </w:t>
      </w:r>
      <w:r w:rsidR="00DC72A3" w:rsidRPr="00DC72A3">
        <w:rPr>
          <w:rFonts w:ascii="Palatino Linotype" w:hAnsi="Palatino Linotype"/>
        </w:rPr>
        <w:t>EMITIENDO VOTO PARTICULAR</w:t>
      </w:r>
      <w:r>
        <w:rPr>
          <w:rFonts w:ascii="Palatino Linotype" w:hAnsi="Palatino Linotype"/>
        </w:rPr>
        <w:t xml:space="preserve"> </w:t>
      </w:r>
      <w:r w:rsidRPr="003C7186">
        <w:rPr>
          <w:rFonts w:ascii="Palatino Linotype" w:hAnsi="Palatino Linotype"/>
        </w:rPr>
        <w:t xml:space="preserve">Y GUADALUPE RAMÍREZ PEÑA EN LA </w:t>
      </w:r>
      <w:r>
        <w:rPr>
          <w:rFonts w:ascii="Palatino Linotype" w:hAnsi="Palatino Linotype"/>
        </w:rPr>
        <w:t>TRIGÉSIMA</w:t>
      </w:r>
      <w:r w:rsidRPr="003C7186">
        <w:rPr>
          <w:rFonts w:ascii="Palatino Linotype" w:hAnsi="Palatino Linotype"/>
        </w:rPr>
        <w:t xml:space="preserve"> SESIÓN ORDINARIA CELEBRADA EL </w:t>
      </w:r>
      <w:r>
        <w:rPr>
          <w:rFonts w:ascii="Palatino Linotype" w:hAnsi="Palatino Linotype"/>
        </w:rPr>
        <w:t>VEINTIOCHO</w:t>
      </w:r>
      <w:r w:rsidRPr="003C7186">
        <w:rPr>
          <w:rFonts w:ascii="Palatino Linotype" w:hAnsi="Palatino Linotype"/>
        </w:rPr>
        <w:t xml:space="preserve"> </w:t>
      </w:r>
      <w:r>
        <w:rPr>
          <w:rFonts w:ascii="Palatino Linotype" w:hAnsi="Palatino Linotype"/>
        </w:rPr>
        <w:t>(28) DE AGOSTO</w:t>
      </w:r>
      <w:r w:rsidRPr="003C7186">
        <w:rPr>
          <w:rFonts w:ascii="Palatino Linotype" w:hAnsi="Palatino Linotype"/>
        </w:rPr>
        <w:t xml:space="preserve"> DE DOS MIL VEINTICUATRO, ANTE EL SECRETARIO TÉCNICO DEL PLENO ALEXIS TAPIA RAMÍREZ. </w:t>
      </w:r>
    </w:p>
    <w:p w14:paraId="5EA511C4" w14:textId="77777777" w:rsidR="001E5C90" w:rsidRDefault="001E5C90">
      <w:pPr>
        <w:spacing w:before="240" w:after="240" w:line="360" w:lineRule="auto"/>
        <w:jc w:val="both"/>
        <w:rPr>
          <w:rFonts w:ascii="Palatino Linotype" w:eastAsia="Palatino Linotype" w:hAnsi="Palatino Linotype" w:cs="Palatino Linotype"/>
        </w:rPr>
      </w:pPr>
    </w:p>
    <w:p w14:paraId="5EA511C5" w14:textId="77777777" w:rsidR="001E5C90" w:rsidRDefault="001E5C90">
      <w:pPr>
        <w:spacing w:before="240" w:after="240" w:line="360" w:lineRule="auto"/>
        <w:jc w:val="both"/>
        <w:rPr>
          <w:rFonts w:ascii="Palatino Linotype" w:eastAsia="Palatino Linotype" w:hAnsi="Palatino Linotype" w:cs="Palatino Linotype"/>
        </w:rPr>
      </w:pPr>
    </w:p>
    <w:p w14:paraId="5EA511C6" w14:textId="77777777" w:rsidR="001E5C90" w:rsidRDefault="001E5C90">
      <w:pPr>
        <w:spacing w:before="240" w:after="240" w:line="360" w:lineRule="auto"/>
        <w:jc w:val="both"/>
        <w:rPr>
          <w:rFonts w:ascii="Palatino Linotype" w:eastAsia="Palatino Linotype" w:hAnsi="Palatino Linotype" w:cs="Palatino Linotype"/>
        </w:rPr>
      </w:pPr>
    </w:p>
    <w:p w14:paraId="5EA511C7" w14:textId="77777777" w:rsidR="001E5C90" w:rsidRDefault="001E5C90">
      <w:pPr>
        <w:spacing w:before="240" w:after="240" w:line="360" w:lineRule="auto"/>
        <w:jc w:val="both"/>
        <w:rPr>
          <w:rFonts w:ascii="Palatino Linotype" w:eastAsia="Palatino Linotype" w:hAnsi="Palatino Linotype" w:cs="Palatino Linotype"/>
        </w:rPr>
      </w:pPr>
    </w:p>
    <w:p w14:paraId="5EA511C8" w14:textId="77777777" w:rsidR="001E5C90" w:rsidRDefault="001E5C90">
      <w:pPr>
        <w:spacing w:before="240" w:after="240" w:line="360" w:lineRule="auto"/>
        <w:jc w:val="both"/>
        <w:rPr>
          <w:rFonts w:ascii="Palatino Linotype" w:eastAsia="Palatino Linotype" w:hAnsi="Palatino Linotype" w:cs="Palatino Linotype"/>
        </w:rPr>
      </w:pPr>
    </w:p>
    <w:p w14:paraId="5EA511C9" w14:textId="77777777" w:rsidR="001E5C90" w:rsidRDefault="001E5C90">
      <w:pPr>
        <w:spacing w:before="240" w:after="240" w:line="360" w:lineRule="auto"/>
        <w:jc w:val="both"/>
        <w:rPr>
          <w:rFonts w:ascii="Palatino Linotype" w:eastAsia="Palatino Linotype" w:hAnsi="Palatino Linotype" w:cs="Palatino Linotype"/>
        </w:rPr>
      </w:pPr>
    </w:p>
    <w:p w14:paraId="5EA511CA" w14:textId="77777777" w:rsidR="001E5C90" w:rsidRDefault="001E5C90">
      <w:pPr>
        <w:spacing w:before="240" w:after="240" w:line="360" w:lineRule="auto"/>
        <w:jc w:val="both"/>
        <w:rPr>
          <w:rFonts w:ascii="Palatino Linotype" w:eastAsia="Palatino Linotype" w:hAnsi="Palatino Linotype" w:cs="Palatino Linotype"/>
        </w:rPr>
      </w:pPr>
    </w:p>
    <w:p w14:paraId="5EA511CB" w14:textId="77777777" w:rsidR="001E5C90" w:rsidRDefault="001E5C90">
      <w:pPr>
        <w:spacing w:before="240" w:after="240" w:line="360" w:lineRule="auto"/>
        <w:jc w:val="both"/>
        <w:rPr>
          <w:rFonts w:ascii="Palatino Linotype" w:eastAsia="Palatino Linotype" w:hAnsi="Palatino Linotype" w:cs="Palatino Linotype"/>
        </w:rPr>
      </w:pPr>
    </w:p>
    <w:p w14:paraId="5EA511CC" w14:textId="77777777" w:rsidR="001E5C90" w:rsidRDefault="001E5C90">
      <w:pPr>
        <w:spacing w:before="240" w:after="240" w:line="360" w:lineRule="auto"/>
        <w:jc w:val="both"/>
        <w:rPr>
          <w:rFonts w:ascii="Palatino Linotype" w:eastAsia="Palatino Linotype" w:hAnsi="Palatino Linotype" w:cs="Palatino Linotype"/>
        </w:rPr>
      </w:pPr>
    </w:p>
    <w:p w14:paraId="5EA511CD" w14:textId="77777777" w:rsidR="001E5C90" w:rsidRDefault="001E5C90">
      <w:pPr>
        <w:spacing w:before="240" w:after="240" w:line="360" w:lineRule="auto"/>
        <w:jc w:val="both"/>
        <w:rPr>
          <w:rFonts w:ascii="Palatino Linotype" w:eastAsia="Palatino Linotype" w:hAnsi="Palatino Linotype" w:cs="Palatino Linotype"/>
          <w:b/>
        </w:rPr>
      </w:pPr>
    </w:p>
    <w:p w14:paraId="5EA511CE" w14:textId="77777777" w:rsidR="001E5C90" w:rsidRDefault="001E5C90">
      <w:pPr>
        <w:spacing w:line="360" w:lineRule="auto"/>
        <w:ind w:right="48"/>
        <w:jc w:val="both"/>
        <w:rPr>
          <w:rFonts w:ascii="Palatino Linotype" w:eastAsia="Palatino Linotype" w:hAnsi="Palatino Linotype" w:cs="Palatino Linotype"/>
        </w:rPr>
      </w:pPr>
    </w:p>
    <w:p w14:paraId="5EA511CF" w14:textId="77777777" w:rsidR="001E5C90" w:rsidRDefault="001E5C90"/>
    <w:p w14:paraId="5EA511D0" w14:textId="77777777" w:rsidR="001E5C90" w:rsidRDefault="001E5C9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EA511D1" w14:textId="77777777" w:rsidR="001E5C90" w:rsidRDefault="001E5C9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EA511D2" w14:textId="77777777" w:rsidR="001E5C90" w:rsidRDefault="001E5C90"/>
    <w:p w14:paraId="5EA511D3" w14:textId="77777777" w:rsidR="001E5C90" w:rsidRDefault="001E5C90"/>
    <w:p w14:paraId="5EA511D4" w14:textId="77777777" w:rsidR="001E5C90" w:rsidRDefault="001E5C90"/>
    <w:p w14:paraId="5EA511D5" w14:textId="77777777" w:rsidR="001E5C90" w:rsidRDefault="001E5C90"/>
    <w:p w14:paraId="5EA511D6" w14:textId="77777777" w:rsidR="001E5C90" w:rsidRDefault="001E5C90"/>
    <w:p w14:paraId="5EA511D7" w14:textId="77777777" w:rsidR="001E5C90" w:rsidRDefault="001E5C90"/>
    <w:p w14:paraId="5EA511D8" w14:textId="77777777" w:rsidR="001E5C90" w:rsidRDefault="001E5C90"/>
    <w:p w14:paraId="5EA511D9" w14:textId="77777777" w:rsidR="001E5C90" w:rsidRDefault="001E5C90"/>
    <w:sectPr w:rsidR="001E5C90" w:rsidSect="00222689">
      <w:headerReference w:type="even" r:id="rId21"/>
      <w:headerReference w:type="default" r:id="rId22"/>
      <w:footerReference w:type="default" r:id="rId23"/>
      <w:headerReference w:type="first" r:id="rId24"/>
      <w:footerReference w:type="first" r:id="rId25"/>
      <w:pgSz w:w="12240" w:h="15840"/>
      <w:pgMar w:top="80" w:right="1325" w:bottom="1418" w:left="1588" w:header="709" w:footer="91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D2A2E" w14:textId="77777777" w:rsidR="00CC0811" w:rsidRDefault="00CC0811">
      <w:r>
        <w:separator/>
      </w:r>
    </w:p>
  </w:endnote>
  <w:endnote w:type="continuationSeparator" w:id="0">
    <w:p w14:paraId="23F296C3" w14:textId="77777777" w:rsidR="00CC0811" w:rsidRDefault="00CC0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1203" w14:textId="77777777" w:rsidR="001E5C90" w:rsidRDefault="004C0898">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DA4091">
      <w:rPr>
        <w:b/>
        <w:noProof/>
        <w:color w:val="000000"/>
      </w:rPr>
      <w:t>40</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DA4091">
      <w:rPr>
        <w:b/>
        <w:noProof/>
        <w:color w:val="000000"/>
      </w:rPr>
      <w:t>41</w:t>
    </w:r>
    <w:r>
      <w:rPr>
        <w:b/>
        <w:color w:val="000000"/>
      </w:rPr>
      <w:fldChar w:fldCharType="end"/>
    </w:r>
  </w:p>
  <w:p w14:paraId="5EA51204" w14:textId="77777777" w:rsidR="001E5C90" w:rsidRDefault="001E5C9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1216" w14:textId="77777777" w:rsidR="001E5C90" w:rsidRDefault="004C0898">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DA4091">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DA4091">
      <w:rPr>
        <w:b/>
        <w:noProof/>
        <w:color w:val="000000"/>
      </w:rPr>
      <w:t>41</w:t>
    </w:r>
    <w:r>
      <w:rPr>
        <w:b/>
        <w:color w:val="000000"/>
      </w:rPr>
      <w:fldChar w:fldCharType="end"/>
    </w:r>
  </w:p>
  <w:p w14:paraId="5EA51217" w14:textId="77777777" w:rsidR="001E5C90" w:rsidRDefault="001E5C9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E239F" w14:textId="77777777" w:rsidR="00CC0811" w:rsidRDefault="00CC0811">
      <w:r>
        <w:separator/>
      </w:r>
    </w:p>
  </w:footnote>
  <w:footnote w:type="continuationSeparator" w:id="0">
    <w:p w14:paraId="23ACDC39" w14:textId="77777777" w:rsidR="00CC0811" w:rsidRDefault="00CC0811">
      <w:r>
        <w:continuationSeparator/>
      </w:r>
    </w:p>
  </w:footnote>
  <w:footnote w:id="1">
    <w:p w14:paraId="5EA5121B" w14:textId="77777777" w:rsidR="001E5C90" w:rsidRDefault="004C0898">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Ley de Transparencia y Acceso a la Información Pública del Estado de México y Municipios.</w:t>
      </w:r>
    </w:p>
    <w:p w14:paraId="5EA5121C" w14:textId="77777777" w:rsidR="001E5C90" w:rsidRDefault="004C089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Artículo 151. Ibídem.</w:t>
      </w:r>
    </w:p>
  </w:footnote>
  <w:footnote w:id="2">
    <w:p w14:paraId="5EA5121D" w14:textId="77777777" w:rsidR="001E5C90" w:rsidRDefault="004C0898">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Fracción IV. Artículo 53. Ibídem.</w:t>
      </w:r>
    </w:p>
  </w:footnote>
  <w:footnote w:id="3">
    <w:p w14:paraId="5EA5121E" w14:textId="77777777" w:rsidR="001E5C90" w:rsidRDefault="004C0898">
      <w:pPr>
        <w:pBdr>
          <w:top w:val="nil"/>
          <w:left w:val="nil"/>
          <w:bottom w:val="nil"/>
          <w:right w:val="nil"/>
          <w:between w:val="nil"/>
        </w:pBdr>
        <w:jc w:val="both"/>
        <w:rPr>
          <w:rFonts w:ascii="Palatino Linotype" w:eastAsia="Palatino Linotype" w:hAnsi="Palatino Linotype" w:cs="Palatino Linotype"/>
          <w:color w:val="000000"/>
          <w:sz w:val="14"/>
          <w:szCs w:val="14"/>
        </w:rPr>
      </w:pPr>
      <w:r>
        <w:rPr>
          <w:vertAlign w:val="superscript"/>
        </w:rPr>
        <w:footnoteRef/>
      </w:r>
      <w:r>
        <w:rPr>
          <w:rFonts w:ascii="Palatino Linotype" w:eastAsia="Palatino Linotype" w:hAnsi="Palatino Linotype" w:cs="Palatino Linotype"/>
          <w:color w:val="000000"/>
          <w:sz w:val="14"/>
          <w:szCs w:val="14"/>
        </w:rPr>
        <w:t xml:space="preserve"> </w:t>
      </w:r>
      <w:r>
        <w:rPr>
          <w:rFonts w:ascii="Palatino Linotype" w:eastAsia="Palatino Linotype" w:hAnsi="Palatino Linotype" w:cs="Palatino Linotype"/>
          <w:b/>
          <w:color w:val="000000"/>
          <w:sz w:val="14"/>
          <w:szCs w:val="14"/>
        </w:rPr>
        <w:t>RESTRICCIONES A LOS DERECHOS FUNDAMENTALES. ELEMENTOS QUE EL JUEZ CONSTITUCIONAL DEBE TOMAR EN CUENTA PARA CONSIDERARLAS VÁLIDAS.</w:t>
      </w:r>
      <w:r>
        <w:rPr>
          <w:rFonts w:ascii="Palatino Linotype" w:eastAsia="Palatino Linotype" w:hAnsi="Palatino Linotype" w:cs="Palatino Linotype"/>
          <w:color w:val="000000"/>
          <w:sz w:val="14"/>
          <w:szCs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5EA5121F" w14:textId="77777777" w:rsidR="001E5C90" w:rsidRDefault="004C0898">
      <w:pPr>
        <w:pBdr>
          <w:top w:val="nil"/>
          <w:left w:val="nil"/>
          <w:bottom w:val="nil"/>
          <w:right w:val="nil"/>
          <w:between w:val="nil"/>
        </w:pBdr>
        <w:jc w:val="both"/>
        <w:rPr>
          <w:rFonts w:ascii="Palatino Linotype" w:eastAsia="Palatino Linotype" w:hAnsi="Palatino Linotype" w:cs="Palatino Linotype"/>
          <w:color w:val="000000"/>
          <w:sz w:val="14"/>
          <w:szCs w:val="14"/>
        </w:rPr>
      </w:pPr>
      <w:r>
        <w:rPr>
          <w:rFonts w:ascii="Palatino Linotype" w:eastAsia="Palatino Linotype" w:hAnsi="Palatino Linotype" w:cs="Palatino Linotype"/>
          <w:color w:val="000000"/>
          <w:sz w:val="14"/>
          <w:szCs w:val="14"/>
        </w:rPr>
        <w:t xml:space="preserve">1a./J. 2/2012 (9a.). Primera Sala. Décima Época. Semanario Judicial de la Federación y su Gaceta. Libro V, Febrero de 2012, Pág. 533.  </w:t>
      </w:r>
    </w:p>
  </w:footnote>
  <w:footnote w:id="4">
    <w:p w14:paraId="5EA51220" w14:textId="77777777" w:rsidR="001E5C90" w:rsidRDefault="004C0898">
      <w:pPr>
        <w:pBdr>
          <w:top w:val="nil"/>
          <w:left w:val="nil"/>
          <w:bottom w:val="nil"/>
          <w:right w:val="nil"/>
          <w:between w:val="nil"/>
        </w:pBdr>
        <w:jc w:val="both"/>
        <w:rPr>
          <w:rFonts w:ascii="Palatino Linotype" w:eastAsia="Palatino Linotype" w:hAnsi="Palatino Linotype" w:cs="Palatino Linotype"/>
          <w:color w:val="000000"/>
          <w:sz w:val="14"/>
          <w:szCs w:val="14"/>
        </w:rPr>
      </w:pPr>
      <w:r>
        <w:rPr>
          <w:vertAlign w:val="superscript"/>
        </w:rPr>
        <w:footnoteRef/>
      </w:r>
      <w:r>
        <w:rPr>
          <w:rFonts w:ascii="Palatino Linotype" w:eastAsia="Palatino Linotype" w:hAnsi="Palatino Linotype" w:cs="Palatino Linotype"/>
          <w:color w:val="000000"/>
          <w:sz w:val="14"/>
          <w:szCs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eastAsia="Palatino Linotype" w:hAnsi="Palatino Linotype" w:cs="Palatino Linotype"/>
          <w:i/>
          <w:color w:val="000000"/>
          <w:sz w:val="14"/>
          <w:szCs w:val="14"/>
        </w:rPr>
        <w:t>Marco jurídico interamericano sobre el derecho a la libertad de expresión</w:t>
      </w:r>
      <w:r>
        <w:rPr>
          <w:rFonts w:ascii="Palatino Linotype" w:eastAsia="Palatino Linotype" w:hAnsi="Palatino Linotype" w:cs="Palatino Linotype"/>
          <w:color w:val="000000"/>
          <w:sz w:val="14"/>
          <w:szCs w:val="14"/>
        </w:rPr>
        <w:t xml:space="preserve">. Párr. 67. </w:t>
      </w:r>
    </w:p>
  </w:footnote>
  <w:footnote w:id="5">
    <w:p w14:paraId="5EA51221" w14:textId="77777777" w:rsidR="001E5C90" w:rsidRDefault="004C0898">
      <w:pPr>
        <w:pBdr>
          <w:top w:val="nil"/>
          <w:left w:val="nil"/>
          <w:bottom w:val="nil"/>
          <w:right w:val="nil"/>
          <w:between w:val="nil"/>
        </w:pBdr>
        <w:jc w:val="both"/>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EA51222" w14:textId="77777777" w:rsidR="001E5C90" w:rsidRDefault="004C0898">
      <w:pPr>
        <w:pBdr>
          <w:top w:val="nil"/>
          <w:left w:val="nil"/>
          <w:bottom w:val="nil"/>
          <w:right w:val="nil"/>
          <w:between w:val="nil"/>
        </w:pBdr>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EA51223" w14:textId="77777777" w:rsidR="001E5C90" w:rsidRDefault="004C0898">
      <w:pPr>
        <w:pBdr>
          <w:top w:val="nil"/>
          <w:left w:val="nil"/>
          <w:bottom w:val="nil"/>
          <w:right w:val="nil"/>
          <w:between w:val="nil"/>
        </w:pBdr>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11F4" w14:textId="77777777" w:rsidR="001E5C90" w:rsidRDefault="00CC0811">
    <w:pPr>
      <w:pBdr>
        <w:top w:val="nil"/>
        <w:left w:val="nil"/>
        <w:bottom w:val="nil"/>
        <w:right w:val="nil"/>
        <w:between w:val="nil"/>
      </w:pBdr>
      <w:tabs>
        <w:tab w:val="center" w:pos="4419"/>
        <w:tab w:val="right" w:pos="8838"/>
      </w:tabs>
      <w:rPr>
        <w:color w:val="000000"/>
      </w:rPr>
    </w:pPr>
    <w:r>
      <w:rPr>
        <w:color w:val="000000"/>
      </w:rPr>
      <w:pict w14:anchorId="5EA512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2"/>
      <w:tblW w:w="10774" w:type="dxa"/>
      <w:tblInd w:w="0" w:type="dxa"/>
      <w:tblLayout w:type="fixed"/>
      <w:tblLook w:val="0400" w:firstRow="0" w:lastRow="0" w:firstColumn="0" w:lastColumn="0" w:noHBand="0" w:noVBand="1"/>
    </w:tblPr>
    <w:tblGrid>
      <w:gridCol w:w="3828"/>
      <w:gridCol w:w="6946"/>
    </w:tblGrid>
    <w:tr w:rsidR="001E5C90" w14:paraId="5EA51201" w14:textId="77777777" w:rsidTr="00222689">
      <w:trPr>
        <w:trHeight w:val="1435"/>
      </w:trPr>
      <w:tc>
        <w:tcPr>
          <w:tcW w:w="3828" w:type="dxa"/>
          <w:shd w:val="clear" w:color="auto" w:fill="auto"/>
        </w:tcPr>
        <w:p w14:paraId="5EA511F5" w14:textId="77777777" w:rsidR="001E5C90" w:rsidRDefault="001E5C90">
          <w:pPr>
            <w:tabs>
              <w:tab w:val="right" w:pos="4273"/>
            </w:tabs>
            <w:rPr>
              <w:rFonts w:ascii="Garamond" w:eastAsia="Garamond" w:hAnsi="Garamond" w:cs="Garamond"/>
              <w:sz w:val="16"/>
              <w:szCs w:val="16"/>
            </w:rPr>
          </w:pPr>
        </w:p>
      </w:tc>
      <w:tc>
        <w:tcPr>
          <w:tcW w:w="6946" w:type="dxa"/>
          <w:shd w:val="clear" w:color="auto" w:fill="auto"/>
        </w:tcPr>
        <w:tbl>
          <w:tblPr>
            <w:tblStyle w:val="a3"/>
            <w:tblW w:w="6662" w:type="dxa"/>
            <w:tblInd w:w="40" w:type="dxa"/>
            <w:tblLayout w:type="fixed"/>
            <w:tblLook w:val="0400" w:firstRow="0" w:lastRow="0" w:firstColumn="0" w:lastColumn="0" w:noHBand="0" w:noVBand="1"/>
          </w:tblPr>
          <w:tblGrid>
            <w:gridCol w:w="2551"/>
            <w:gridCol w:w="4111"/>
          </w:tblGrid>
          <w:tr w:rsidR="001E5C90" w14:paraId="5EA511F8" w14:textId="77777777">
            <w:trPr>
              <w:trHeight w:val="150"/>
            </w:trPr>
            <w:tc>
              <w:tcPr>
                <w:tcW w:w="2551" w:type="dxa"/>
                <w:shd w:val="clear" w:color="auto" w:fill="auto"/>
              </w:tcPr>
              <w:p w14:paraId="5EA511F6" w14:textId="77777777" w:rsidR="001E5C90" w:rsidRDefault="004C0898">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tcPr>
              <w:p w14:paraId="5EA511F7" w14:textId="77777777" w:rsidR="001E5C90" w:rsidRDefault="004C0898">
                <w:pPr>
                  <w:tabs>
                    <w:tab w:val="right" w:pos="8838"/>
                  </w:tabs>
                  <w:ind w:left="-108" w:right="-1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03488/INFOEM/IP/RR/2023</w:t>
                </w:r>
                <w:r>
                  <w:rPr>
                    <w:rFonts w:ascii="Palatino Linotype" w:eastAsia="Palatino Linotype" w:hAnsi="Palatino Linotype" w:cs="Palatino Linotype"/>
                    <w:b/>
                    <w:sz w:val="22"/>
                    <w:szCs w:val="22"/>
                  </w:rPr>
                  <w:t xml:space="preserve"> </w:t>
                </w:r>
              </w:p>
            </w:tc>
          </w:tr>
          <w:tr w:rsidR="001E5C90" w14:paraId="5EA511FB" w14:textId="77777777">
            <w:trPr>
              <w:trHeight w:val="295"/>
            </w:trPr>
            <w:tc>
              <w:tcPr>
                <w:tcW w:w="2551" w:type="dxa"/>
                <w:shd w:val="clear" w:color="auto" w:fill="auto"/>
              </w:tcPr>
              <w:p w14:paraId="5EA511F9" w14:textId="77777777" w:rsidR="001E5C90" w:rsidRDefault="004C0898">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tcPr>
              <w:p w14:paraId="5EA511FA" w14:textId="77777777" w:rsidR="001E5C90" w:rsidRDefault="004C0898">
                <w:pPr>
                  <w:tabs>
                    <w:tab w:val="left" w:pos="2834"/>
                    <w:tab w:val="right" w:pos="8838"/>
                  </w:tabs>
                  <w:ind w:left="-108" w:right="-1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Toluca</w:t>
                </w:r>
              </w:p>
            </w:tc>
          </w:tr>
          <w:tr w:rsidR="001E5C90" w14:paraId="5EA511FF" w14:textId="77777777">
            <w:trPr>
              <w:trHeight w:val="295"/>
            </w:trPr>
            <w:tc>
              <w:tcPr>
                <w:tcW w:w="2551" w:type="dxa"/>
                <w:shd w:val="clear" w:color="auto" w:fill="auto"/>
              </w:tcPr>
              <w:p w14:paraId="5EA511FC" w14:textId="77777777" w:rsidR="001E5C90" w:rsidRDefault="004C0898">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111" w:type="dxa"/>
                <w:shd w:val="clear" w:color="auto" w:fill="auto"/>
              </w:tcPr>
              <w:p w14:paraId="5EA511FD" w14:textId="77777777" w:rsidR="001E5C90" w:rsidRDefault="004C0898">
                <w:pPr>
                  <w:tabs>
                    <w:tab w:val="right" w:pos="8838"/>
                  </w:tabs>
                  <w:ind w:left="-108"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14:paraId="5EA511FE" w14:textId="77777777" w:rsidR="001E5C90" w:rsidRDefault="001E5C90">
                <w:pPr>
                  <w:tabs>
                    <w:tab w:val="right" w:pos="8838"/>
                  </w:tabs>
                  <w:ind w:left="-108" w:right="171"/>
                  <w:jc w:val="both"/>
                  <w:rPr>
                    <w:rFonts w:ascii="Palatino Linotype" w:eastAsia="Palatino Linotype" w:hAnsi="Palatino Linotype" w:cs="Palatino Linotype"/>
                    <w:b/>
                    <w:sz w:val="22"/>
                    <w:szCs w:val="22"/>
                  </w:rPr>
                </w:pPr>
              </w:p>
            </w:tc>
          </w:tr>
        </w:tbl>
        <w:p w14:paraId="5EA51200" w14:textId="77777777" w:rsidR="001E5C90" w:rsidRDefault="001E5C90">
          <w:pPr>
            <w:tabs>
              <w:tab w:val="right" w:pos="8838"/>
            </w:tabs>
            <w:ind w:left="-28"/>
            <w:jc w:val="both"/>
            <w:rPr>
              <w:rFonts w:ascii="Arial" w:eastAsia="Arial" w:hAnsi="Arial" w:cs="Arial"/>
              <w:b/>
              <w:sz w:val="22"/>
              <w:szCs w:val="22"/>
            </w:rPr>
          </w:pPr>
        </w:p>
      </w:tc>
    </w:tr>
  </w:tbl>
  <w:p w14:paraId="5EA51202" w14:textId="77777777" w:rsidR="001E5C90" w:rsidRDefault="00CC0811">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5EA51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53.85pt;margin-top:-122.55pt;width:589.8pt;height:768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4"/>
      <w:tblW w:w="10773" w:type="dxa"/>
      <w:tblInd w:w="0" w:type="dxa"/>
      <w:tblLayout w:type="fixed"/>
      <w:tblLook w:val="0400" w:firstRow="0" w:lastRow="0" w:firstColumn="0" w:lastColumn="0" w:noHBand="0" w:noVBand="1"/>
    </w:tblPr>
    <w:tblGrid>
      <w:gridCol w:w="2835"/>
      <w:gridCol w:w="7938"/>
    </w:tblGrid>
    <w:tr w:rsidR="001E5C90" w14:paraId="5EA51214" w14:textId="77777777" w:rsidTr="00222689">
      <w:trPr>
        <w:trHeight w:val="1435"/>
      </w:trPr>
      <w:tc>
        <w:tcPr>
          <w:tcW w:w="2835" w:type="dxa"/>
          <w:shd w:val="clear" w:color="auto" w:fill="auto"/>
        </w:tcPr>
        <w:p w14:paraId="5EA51205" w14:textId="77777777" w:rsidR="001E5C90" w:rsidRDefault="001E5C90">
          <w:pPr>
            <w:tabs>
              <w:tab w:val="right" w:pos="4273"/>
            </w:tabs>
            <w:rPr>
              <w:rFonts w:ascii="Garamond" w:eastAsia="Garamond" w:hAnsi="Garamond" w:cs="Garamond"/>
              <w:sz w:val="22"/>
              <w:szCs w:val="22"/>
            </w:rPr>
          </w:pPr>
        </w:p>
      </w:tc>
      <w:tc>
        <w:tcPr>
          <w:tcW w:w="7938" w:type="dxa"/>
          <w:shd w:val="clear" w:color="auto" w:fill="auto"/>
        </w:tcPr>
        <w:tbl>
          <w:tblPr>
            <w:tblStyle w:val="a5"/>
            <w:tblW w:w="6662" w:type="dxa"/>
            <w:tblInd w:w="1161" w:type="dxa"/>
            <w:tblLayout w:type="fixed"/>
            <w:tblLook w:val="0400" w:firstRow="0" w:lastRow="0" w:firstColumn="0" w:lastColumn="0" w:noHBand="0" w:noVBand="1"/>
          </w:tblPr>
          <w:tblGrid>
            <w:gridCol w:w="2444"/>
            <w:gridCol w:w="4218"/>
          </w:tblGrid>
          <w:tr w:rsidR="001E5C90" w14:paraId="5EA51208" w14:textId="77777777" w:rsidTr="00222689">
            <w:trPr>
              <w:trHeight w:val="281"/>
            </w:trPr>
            <w:tc>
              <w:tcPr>
                <w:tcW w:w="2444" w:type="dxa"/>
                <w:shd w:val="clear" w:color="auto" w:fill="auto"/>
              </w:tcPr>
              <w:p w14:paraId="5EA51206" w14:textId="77777777" w:rsidR="001E5C90" w:rsidRDefault="004C0898">
                <w:pPr>
                  <w:tabs>
                    <w:tab w:val="right" w:pos="8838"/>
                  </w:tabs>
                  <w:ind w:left="-264" w:right="-105" w:firstLine="19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18" w:type="dxa"/>
                <w:shd w:val="clear" w:color="auto" w:fill="auto"/>
              </w:tcPr>
              <w:p w14:paraId="5EA51207" w14:textId="77777777" w:rsidR="001E5C90" w:rsidRDefault="004C0898">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03488/INFOEM/IP/RR/2023</w:t>
                </w:r>
              </w:p>
            </w:tc>
          </w:tr>
          <w:tr w:rsidR="001E5C90" w14:paraId="5EA5120B" w14:textId="77777777" w:rsidTr="00222689">
            <w:trPr>
              <w:trHeight w:val="281"/>
            </w:trPr>
            <w:tc>
              <w:tcPr>
                <w:tcW w:w="2444" w:type="dxa"/>
                <w:shd w:val="clear" w:color="auto" w:fill="auto"/>
              </w:tcPr>
              <w:p w14:paraId="5EA51209" w14:textId="77777777" w:rsidR="001E5C90" w:rsidRDefault="004C0898">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218" w:type="dxa"/>
                <w:shd w:val="clear" w:color="auto" w:fill="auto"/>
              </w:tcPr>
              <w:p w14:paraId="5EA5120A" w14:textId="1D43D2D0" w:rsidR="001E5C90" w:rsidRDefault="00EE0713">
                <w:pPr>
                  <w:tabs>
                    <w:tab w:val="left" w:pos="3122"/>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XXX XXX</w:t>
                </w:r>
              </w:p>
            </w:tc>
          </w:tr>
          <w:tr w:rsidR="001E5C90" w14:paraId="5EA5120E" w14:textId="77777777" w:rsidTr="00222689">
            <w:trPr>
              <w:trHeight w:val="281"/>
            </w:trPr>
            <w:tc>
              <w:tcPr>
                <w:tcW w:w="2444" w:type="dxa"/>
                <w:shd w:val="clear" w:color="auto" w:fill="auto"/>
              </w:tcPr>
              <w:p w14:paraId="5EA5120C" w14:textId="77777777" w:rsidR="001E5C90" w:rsidRDefault="004C0898">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18" w:type="dxa"/>
                <w:shd w:val="clear" w:color="auto" w:fill="auto"/>
              </w:tcPr>
              <w:p w14:paraId="5EA5120D" w14:textId="77777777" w:rsidR="001E5C90" w:rsidRDefault="004C0898">
                <w:pPr>
                  <w:tabs>
                    <w:tab w:val="left" w:pos="2834"/>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Toluca</w:t>
                </w:r>
              </w:p>
            </w:tc>
          </w:tr>
          <w:tr w:rsidR="001E5C90" w14:paraId="5EA51212" w14:textId="77777777" w:rsidTr="00222689">
            <w:trPr>
              <w:trHeight w:val="563"/>
            </w:trPr>
            <w:tc>
              <w:tcPr>
                <w:tcW w:w="2444" w:type="dxa"/>
                <w:shd w:val="clear" w:color="auto" w:fill="auto"/>
              </w:tcPr>
              <w:p w14:paraId="5EA5120F" w14:textId="77777777" w:rsidR="001E5C90" w:rsidRDefault="004C0898">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218" w:type="dxa"/>
                <w:shd w:val="clear" w:color="auto" w:fill="auto"/>
              </w:tcPr>
              <w:p w14:paraId="5EA51210" w14:textId="77777777" w:rsidR="001E5C90" w:rsidRDefault="004C0898">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14:paraId="5EA51211" w14:textId="77777777" w:rsidR="001E5C90" w:rsidRDefault="001E5C90">
                <w:pPr>
                  <w:tabs>
                    <w:tab w:val="right" w:pos="8838"/>
                  </w:tabs>
                  <w:ind w:left="-74" w:right="-105"/>
                  <w:jc w:val="both"/>
                  <w:rPr>
                    <w:rFonts w:ascii="Palatino Linotype" w:eastAsia="Palatino Linotype" w:hAnsi="Palatino Linotype" w:cs="Palatino Linotype"/>
                    <w:b/>
                    <w:sz w:val="22"/>
                    <w:szCs w:val="22"/>
                  </w:rPr>
                </w:pPr>
              </w:p>
            </w:tc>
          </w:tr>
        </w:tbl>
        <w:p w14:paraId="5EA51213" w14:textId="77777777" w:rsidR="001E5C90" w:rsidRDefault="001E5C90">
          <w:pPr>
            <w:tabs>
              <w:tab w:val="right" w:pos="8838"/>
            </w:tabs>
            <w:ind w:left="-28"/>
            <w:jc w:val="both"/>
            <w:rPr>
              <w:rFonts w:ascii="Arial" w:eastAsia="Arial" w:hAnsi="Arial" w:cs="Arial"/>
              <w:b/>
              <w:sz w:val="22"/>
              <w:szCs w:val="22"/>
            </w:rPr>
          </w:pPr>
        </w:p>
      </w:tc>
    </w:tr>
  </w:tbl>
  <w:p w14:paraId="5EA51215" w14:textId="77777777" w:rsidR="001E5C90" w:rsidRDefault="00CC0811">
    <w:pPr>
      <w:pBdr>
        <w:top w:val="nil"/>
        <w:left w:val="nil"/>
        <w:bottom w:val="nil"/>
        <w:right w:val="nil"/>
        <w:between w:val="nil"/>
      </w:pBdr>
      <w:tabs>
        <w:tab w:val="center" w:pos="4419"/>
        <w:tab w:val="right" w:pos="8838"/>
      </w:tabs>
      <w:rPr>
        <w:color w:val="000000"/>
        <w:sz w:val="2"/>
        <w:szCs w:val="2"/>
      </w:rPr>
    </w:pPr>
    <w:r>
      <w:rPr>
        <w:color w:val="000000"/>
        <w:sz w:val="2"/>
        <w:szCs w:val="2"/>
      </w:rPr>
      <w:pict w14:anchorId="5EA512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56.65pt;margin-top:-114.2pt;width:589.8pt;height:768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6253C"/>
    <w:multiLevelType w:val="multilevel"/>
    <w:tmpl w:val="653ABB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802454"/>
    <w:multiLevelType w:val="multilevel"/>
    <w:tmpl w:val="DD5CBA64"/>
    <w:lvl w:ilvl="0">
      <w:start w:val="1"/>
      <w:numFmt w:val="upperLetter"/>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2" w15:restartNumberingAfterBreak="0">
    <w:nsid w:val="1920159E"/>
    <w:multiLevelType w:val="multilevel"/>
    <w:tmpl w:val="E244E5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B3D3133"/>
    <w:multiLevelType w:val="multilevel"/>
    <w:tmpl w:val="77A8E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A711C7"/>
    <w:multiLevelType w:val="multilevel"/>
    <w:tmpl w:val="72E2B020"/>
    <w:lvl w:ilvl="0">
      <w:start w:val="1"/>
      <w:numFmt w:val="upperLetter"/>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5" w15:restartNumberingAfterBreak="0">
    <w:nsid w:val="3BE0488C"/>
    <w:multiLevelType w:val="multilevel"/>
    <w:tmpl w:val="CBF62F88"/>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26142E2"/>
    <w:multiLevelType w:val="multilevel"/>
    <w:tmpl w:val="577E0A6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792845D4"/>
    <w:multiLevelType w:val="multilevel"/>
    <w:tmpl w:val="4B7EA2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95716611">
    <w:abstractNumId w:val="3"/>
  </w:num>
  <w:num w:numId="2" w16cid:durableId="1344433437">
    <w:abstractNumId w:val="0"/>
  </w:num>
  <w:num w:numId="3" w16cid:durableId="526412765">
    <w:abstractNumId w:val="1"/>
  </w:num>
  <w:num w:numId="4" w16cid:durableId="1407800168">
    <w:abstractNumId w:val="4"/>
  </w:num>
  <w:num w:numId="5" w16cid:durableId="2080469818">
    <w:abstractNumId w:val="2"/>
  </w:num>
  <w:num w:numId="6" w16cid:durableId="1948853653">
    <w:abstractNumId w:val="7"/>
  </w:num>
  <w:num w:numId="7" w16cid:durableId="1229463284">
    <w:abstractNumId w:val="5"/>
  </w:num>
  <w:num w:numId="8" w16cid:durableId="14641563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C90"/>
    <w:rsid w:val="001E5C90"/>
    <w:rsid w:val="00222689"/>
    <w:rsid w:val="004C0898"/>
    <w:rsid w:val="00B00CB0"/>
    <w:rsid w:val="00C36856"/>
    <w:rsid w:val="00CC0811"/>
    <w:rsid w:val="00DA4091"/>
    <w:rsid w:val="00DC72A3"/>
    <w:rsid w:val="00E95790"/>
    <w:rsid w:val="00EA7527"/>
    <w:rsid w:val="00EE0713"/>
    <w:rsid w:val="00FB34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5103F"/>
  <w15:docId w15:val="{A9085F17-353B-4043-8FC0-B7EB18FF0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7DB"/>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link w:val="Ttulo3Car"/>
    <w:uiPriority w:val="9"/>
    <w:unhideWhenUsed/>
    <w:qFormat/>
    <w:rsid w:val="002457DB"/>
    <w:pPr>
      <w:keepNext/>
      <w:keepLines/>
      <w:spacing w:before="40"/>
      <w:outlineLvl w:val="2"/>
    </w:pPr>
    <w:rPr>
      <w:rFonts w:asciiTheme="majorHAnsi" w:eastAsiaTheme="majorEastAsia" w:hAnsiTheme="majorHAnsi" w:cstheme="majorBidi"/>
      <w:color w:val="1F4D78" w:themeColor="accent1" w:themeShade="7F"/>
      <w:lang w:val="es-ES_tradnl" w:eastAsia="es-ES"/>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3Car">
    <w:name w:val="Título 3 Car"/>
    <w:basedOn w:val="Fuentedeprrafopredeter"/>
    <w:link w:val="Ttulo3"/>
    <w:uiPriority w:val="9"/>
    <w:rsid w:val="002457DB"/>
    <w:rPr>
      <w:rFonts w:asciiTheme="majorHAnsi" w:eastAsiaTheme="majorEastAsia" w:hAnsiTheme="majorHAnsi" w:cstheme="majorBidi"/>
      <w:color w:val="1F4D78" w:themeColor="accent1" w:themeShade="7F"/>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2457DB"/>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457D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2457DB"/>
    <w:rPr>
      <w:rFonts w:ascii="Times New Roman" w:eastAsia="Times New Roman" w:hAnsi="Times New Roman" w:cs="Times New Roman"/>
      <w:sz w:val="24"/>
      <w:szCs w:val="24"/>
      <w:lang w:eastAsia="es-MX"/>
    </w:rPr>
  </w:style>
  <w:style w:type="table" w:styleId="Tablaconcuadrcula4-nfasis3">
    <w:name w:val="Grid Table 4 Accent 3"/>
    <w:basedOn w:val="Tablanormal"/>
    <w:uiPriority w:val="49"/>
    <w:rsid w:val="002457D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457DB"/>
    <w:rPr>
      <w:rFonts w:ascii="Calibri" w:eastAsia="Calibri" w:hAnsi="Calibr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457DB"/>
    <w:rPr>
      <w:rFonts w:ascii="Calibri" w:eastAsia="Calibri" w:hAnsi="Calibri" w:cs="Times New Roman"/>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2457DB"/>
    <w:rPr>
      <w:vertAlign w:val="superscript"/>
    </w:rPr>
  </w:style>
  <w:style w:type="paragraph" w:customStyle="1" w:styleId="Default">
    <w:name w:val="Default"/>
    <w:rsid w:val="002457DB"/>
    <w:pPr>
      <w:autoSpaceDE w:val="0"/>
      <w:autoSpaceDN w:val="0"/>
      <w:adjustRightInd w:val="0"/>
    </w:pPr>
    <w:rPr>
      <w:rFonts w:ascii="Arial" w:hAnsi="Arial" w:cs="Arial"/>
      <w:color w:val="000000"/>
    </w:rPr>
  </w:style>
  <w:style w:type="paragraph" w:styleId="Piedepgina">
    <w:name w:val="footer"/>
    <w:basedOn w:val="Normal"/>
    <w:link w:val="PiedepginaCar"/>
    <w:uiPriority w:val="99"/>
    <w:unhideWhenUsed/>
    <w:rsid w:val="002457DB"/>
    <w:pPr>
      <w:tabs>
        <w:tab w:val="center" w:pos="4419"/>
        <w:tab w:val="right" w:pos="8838"/>
      </w:tabs>
    </w:pPr>
  </w:style>
  <w:style w:type="character" w:customStyle="1" w:styleId="PiedepginaCar">
    <w:name w:val="Pie de página Car"/>
    <w:basedOn w:val="Fuentedeprrafopredeter"/>
    <w:link w:val="Piedepgina"/>
    <w:uiPriority w:val="99"/>
    <w:rsid w:val="002457DB"/>
    <w:rPr>
      <w:rFonts w:ascii="Times New Roman" w:eastAsia="Times New Roman" w:hAnsi="Times New Roman" w:cs="Times New Roman"/>
      <w:sz w:val="24"/>
      <w:szCs w:val="24"/>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character" w:styleId="Referenciasutil">
    <w:name w:val="Subtle Reference"/>
    <w:basedOn w:val="Fuentedeprrafopredeter"/>
    <w:uiPriority w:val="31"/>
    <w:qFormat/>
    <w:rsid w:val="00222689"/>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16098.page"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saimex.org.mx/saimex/solicitud/downloadAttach/1829462.pag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saimex.org.mx/saimex/solicitud/downloadAttach/1816099.page"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8EhxmE/Yq+h8GHHgazFsFaTH5g==">CgMxLjAyCGguZ2pkZ3hzMgloLjMwajB6bGwyCWguMWZvYjl0ZTIJaC4zem55c2g3MgloLjJldDkycDAyCGgudHlqY3d0MghoLmdqZGd4czIJaC4zMGowemxsMgloLjFmb2I5dGUyCWguMXQzaDVzZjIJaC4yczhleW8xMgloLjN6bnlzaDc4AHIhMUNPRlNVMjVtWUVCUjhrNDZPY3V6S3IweTRtX0NXLWZt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41</Pages>
  <Words>9395</Words>
  <Characters>51675</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inf03m612@outlook.com</cp:lastModifiedBy>
  <cp:revision>6</cp:revision>
  <cp:lastPrinted>2024-08-29T21:28:00Z</cp:lastPrinted>
  <dcterms:created xsi:type="dcterms:W3CDTF">2024-08-20T20:21:00Z</dcterms:created>
  <dcterms:modified xsi:type="dcterms:W3CDTF">2024-09-04T16:41:00Z</dcterms:modified>
</cp:coreProperties>
</file>