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B8472" w14:textId="77777777" w:rsidR="00260C20" w:rsidRPr="006A0CC2" w:rsidRDefault="001A60FA">
      <w:pPr>
        <w:spacing w:before="120"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dieciocho de diciembre de dos mil veinticuatro.</w:t>
      </w:r>
    </w:p>
    <w:p w14:paraId="6EC4D2B1" w14:textId="77777777" w:rsidR="00260C20" w:rsidRPr="006A0CC2" w:rsidRDefault="00260C20">
      <w:pPr>
        <w:rPr>
          <w:rFonts w:ascii="Palatino Linotype" w:eastAsia="Palatino Linotype" w:hAnsi="Palatino Linotype" w:cs="Palatino Linotype"/>
        </w:rPr>
      </w:pPr>
    </w:p>
    <w:p w14:paraId="0FD3C2DF" w14:textId="5C837EB0" w:rsidR="00260C20" w:rsidRPr="006A0CC2" w:rsidRDefault="001A60FA">
      <w:pPr>
        <w:spacing w:before="120"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Visto </w:t>
      </w:r>
      <w:r w:rsidRPr="006A0CC2">
        <w:rPr>
          <w:rFonts w:ascii="Palatino Linotype" w:eastAsia="Palatino Linotype" w:hAnsi="Palatino Linotype" w:cs="Palatino Linotype"/>
        </w:rPr>
        <w:t xml:space="preserve">el expediente relativo al recurso de revisión </w:t>
      </w:r>
      <w:r w:rsidRPr="006A0CC2">
        <w:rPr>
          <w:rFonts w:ascii="Palatino Linotype" w:eastAsia="Palatino Linotype" w:hAnsi="Palatino Linotype" w:cs="Palatino Linotype"/>
          <w:b/>
        </w:rPr>
        <w:t>07359/INFOEM/IP/RR/2024</w:t>
      </w:r>
      <w:r w:rsidRPr="006A0CC2">
        <w:rPr>
          <w:rFonts w:ascii="Palatino Linotype" w:eastAsia="Palatino Linotype" w:hAnsi="Palatino Linotype" w:cs="Palatino Linotype"/>
        </w:rPr>
        <w:t>, interpuesto por</w:t>
      </w:r>
      <w:r w:rsidRPr="006A0CC2">
        <w:rPr>
          <w:rFonts w:ascii="Palatino Linotype" w:eastAsia="Palatino Linotype" w:hAnsi="Palatino Linotype" w:cs="Palatino Linotype"/>
          <w:b/>
        </w:rPr>
        <w:t xml:space="preserve"> </w:t>
      </w:r>
      <w:r w:rsidR="00B83FB1" w:rsidRPr="00B83FB1">
        <w:rPr>
          <w:rFonts w:ascii="Palatino Linotype" w:eastAsia="Palatino Linotype" w:hAnsi="Palatino Linotype" w:cs="Palatino Linotype"/>
          <w:b/>
        </w:rPr>
        <w:t>XXXXX XXXXXXX XXXXXX</w:t>
      </w:r>
      <w:r w:rsidRPr="006A0CC2">
        <w:rPr>
          <w:rFonts w:ascii="Palatino Linotype" w:eastAsia="Palatino Linotype" w:hAnsi="Palatino Linotype" w:cs="Palatino Linotype"/>
        </w:rPr>
        <w:t>, en lo sucesivo se le denominara la parte</w:t>
      </w:r>
      <w:r w:rsidRPr="006A0CC2">
        <w:rPr>
          <w:rFonts w:ascii="Palatino Linotype" w:eastAsia="Palatino Linotype" w:hAnsi="Palatino Linotype" w:cs="Palatino Linotype"/>
          <w:b/>
        </w:rPr>
        <w:t xml:space="preserve"> Recurrente</w:t>
      </w:r>
      <w:r w:rsidRPr="006A0CC2">
        <w:rPr>
          <w:rFonts w:ascii="Palatino Linotype" w:eastAsia="Palatino Linotype" w:hAnsi="Palatino Linotype" w:cs="Palatino Linotype"/>
        </w:rPr>
        <w:t xml:space="preserve">, en contra de la respuesta a la solicitud de información con número de folio </w:t>
      </w:r>
      <w:r w:rsidRPr="006A0CC2">
        <w:rPr>
          <w:rFonts w:ascii="Palatino Linotype" w:eastAsia="Palatino Linotype" w:hAnsi="Palatino Linotype" w:cs="Palatino Linotype"/>
          <w:b/>
        </w:rPr>
        <w:t>01032/TLALNEPA/IP/2024</w:t>
      </w:r>
      <w:r w:rsidRPr="006A0CC2">
        <w:rPr>
          <w:rFonts w:ascii="Palatino Linotype" w:eastAsia="Palatino Linotype" w:hAnsi="Palatino Linotype" w:cs="Palatino Linotype"/>
        </w:rPr>
        <w:t>, por parte del</w:t>
      </w:r>
      <w:r w:rsidRPr="006A0CC2">
        <w:rPr>
          <w:rFonts w:ascii="Palatino Linotype" w:eastAsia="Palatino Linotype" w:hAnsi="Palatino Linotype" w:cs="Palatino Linotype"/>
          <w:b/>
        </w:rPr>
        <w:t xml:space="preserve"> Ayuntamiento de Tlalnepantla de Baz</w:t>
      </w:r>
      <w:r w:rsidRPr="006A0CC2">
        <w:rPr>
          <w:rFonts w:ascii="Palatino Linotype" w:eastAsia="Palatino Linotype" w:hAnsi="Palatino Linotype" w:cs="Palatino Linotype"/>
        </w:rPr>
        <w:t>, en lo sucesivo</w:t>
      </w:r>
      <w:r w:rsidRPr="006A0CC2">
        <w:rPr>
          <w:rFonts w:ascii="Palatino Linotype" w:eastAsia="Palatino Linotype" w:hAnsi="Palatino Linotype" w:cs="Palatino Linotype"/>
          <w:b/>
        </w:rPr>
        <w:t xml:space="preserve"> </w:t>
      </w:r>
      <w:r w:rsidRPr="006A0CC2">
        <w:rPr>
          <w:rFonts w:ascii="Palatino Linotype" w:eastAsia="Palatino Linotype" w:hAnsi="Palatino Linotype" w:cs="Palatino Linotype"/>
        </w:rPr>
        <w:t>el</w:t>
      </w:r>
      <w:r w:rsidRPr="006A0CC2">
        <w:rPr>
          <w:rFonts w:ascii="Palatino Linotype" w:eastAsia="Palatino Linotype" w:hAnsi="Palatino Linotype" w:cs="Palatino Linotype"/>
          <w:b/>
        </w:rPr>
        <w:t xml:space="preserve"> Sujeto Obligado; </w:t>
      </w:r>
      <w:r w:rsidRPr="006A0CC2">
        <w:rPr>
          <w:rFonts w:ascii="Palatino Linotype" w:eastAsia="Palatino Linotype" w:hAnsi="Palatino Linotype" w:cs="Palatino Linotype"/>
        </w:rPr>
        <w:t xml:space="preserve">se procede a dictar la presente resolución, con base en lo siguiente. </w:t>
      </w:r>
    </w:p>
    <w:p w14:paraId="49E78E26" w14:textId="77777777" w:rsidR="00260C20" w:rsidRPr="006A0CC2" w:rsidRDefault="00260C20">
      <w:pPr>
        <w:spacing w:after="0"/>
        <w:rPr>
          <w:rFonts w:ascii="Palatino Linotype" w:eastAsia="Palatino Linotype" w:hAnsi="Palatino Linotype" w:cs="Palatino Linotype"/>
        </w:rPr>
      </w:pPr>
    </w:p>
    <w:p w14:paraId="534516EE" w14:textId="77777777" w:rsidR="00260C20" w:rsidRPr="006A0CC2" w:rsidRDefault="001A60FA">
      <w:pPr>
        <w:spacing w:after="0" w:line="360" w:lineRule="auto"/>
        <w:ind w:right="49"/>
        <w:jc w:val="center"/>
        <w:rPr>
          <w:rFonts w:ascii="Palatino Linotype" w:eastAsia="Palatino Linotype" w:hAnsi="Palatino Linotype" w:cs="Palatino Linotype"/>
          <w:b/>
        </w:rPr>
      </w:pPr>
      <w:r w:rsidRPr="006A0CC2">
        <w:rPr>
          <w:rFonts w:ascii="Palatino Linotype" w:eastAsia="Palatino Linotype" w:hAnsi="Palatino Linotype" w:cs="Palatino Linotype"/>
          <w:b/>
        </w:rPr>
        <w:t>A N T E C E D E N T E S</w:t>
      </w:r>
    </w:p>
    <w:p w14:paraId="1C8D7B1C" w14:textId="77777777" w:rsidR="00260C20" w:rsidRPr="006A0CC2" w:rsidRDefault="00260C20">
      <w:pPr>
        <w:spacing w:after="0" w:line="360" w:lineRule="auto"/>
        <w:ind w:right="49"/>
        <w:jc w:val="center"/>
        <w:rPr>
          <w:rFonts w:ascii="Palatino Linotype" w:eastAsia="Palatino Linotype" w:hAnsi="Palatino Linotype" w:cs="Palatino Linotype"/>
        </w:rPr>
      </w:pPr>
    </w:p>
    <w:p w14:paraId="7AB8A20E" w14:textId="77777777" w:rsidR="00260C20" w:rsidRPr="006A0CC2" w:rsidRDefault="001A60FA">
      <w:pP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b/>
        </w:rPr>
        <w:t>1.</w:t>
      </w:r>
      <w:r w:rsidRPr="006A0CC2">
        <w:rPr>
          <w:rFonts w:ascii="Palatino Linotype" w:eastAsia="Palatino Linotype" w:hAnsi="Palatino Linotype" w:cs="Palatino Linotype"/>
        </w:rPr>
        <w:t xml:space="preserve"> </w:t>
      </w:r>
      <w:r w:rsidRPr="006A0CC2">
        <w:rPr>
          <w:rFonts w:ascii="Palatino Linotype" w:eastAsia="Palatino Linotype" w:hAnsi="Palatino Linotype" w:cs="Palatino Linotype"/>
          <w:b/>
        </w:rPr>
        <w:t xml:space="preserve">Solicitud de Información. </w:t>
      </w:r>
      <w:r w:rsidRPr="006A0CC2">
        <w:rPr>
          <w:rFonts w:ascii="Palatino Linotype" w:eastAsia="Palatino Linotype" w:hAnsi="Palatino Linotype" w:cs="Palatino Linotype"/>
        </w:rPr>
        <w:t>Con fecha veinticinco de octubre de dos mil veinticuatro, la parte</w:t>
      </w:r>
      <w:r w:rsidRPr="006A0CC2">
        <w:rPr>
          <w:rFonts w:ascii="Palatino Linotype" w:eastAsia="Palatino Linotype" w:hAnsi="Palatino Linotype" w:cs="Palatino Linotype"/>
          <w:b/>
        </w:rPr>
        <w:t xml:space="preserve"> Recurrente</w:t>
      </w:r>
      <w:r w:rsidRPr="006A0CC2">
        <w:rPr>
          <w:rFonts w:ascii="Palatino Linotype" w:eastAsia="Palatino Linotype" w:hAnsi="Palatino Linotype" w:cs="Palatino Linotype"/>
        </w:rPr>
        <w:t>, presentó a través de la Plataforma Nacional de Transparencia vinculada al Sistema de Acceso a la Información Mexiquense (</w:t>
      </w:r>
      <w:r w:rsidRPr="006A0CC2">
        <w:rPr>
          <w:rFonts w:ascii="Palatino Linotype" w:eastAsia="Palatino Linotype" w:hAnsi="Palatino Linotype" w:cs="Palatino Linotype"/>
          <w:b/>
        </w:rPr>
        <w:t>SAIMEX)</w:t>
      </w:r>
      <w:r w:rsidRPr="006A0CC2">
        <w:rPr>
          <w:rFonts w:ascii="Palatino Linotype" w:eastAsia="Palatino Linotype" w:hAnsi="Palatino Linotype" w:cs="Palatino Linotype"/>
        </w:rPr>
        <w:t xml:space="preserve"> ante el</w:t>
      </w:r>
      <w:r w:rsidRPr="006A0CC2">
        <w:rPr>
          <w:rFonts w:ascii="Palatino Linotype" w:eastAsia="Palatino Linotype" w:hAnsi="Palatino Linotype" w:cs="Palatino Linotype"/>
          <w:b/>
        </w:rPr>
        <w:t xml:space="preserve"> Sujeto Obligado</w:t>
      </w:r>
      <w:r w:rsidRPr="006A0CC2">
        <w:rPr>
          <w:rFonts w:ascii="Palatino Linotype" w:eastAsia="Palatino Linotype" w:hAnsi="Palatino Linotype" w:cs="Palatino Linotype"/>
        </w:rPr>
        <w:t>, solicitud de acceso a la información pública, registrada bajo el número de expediente</w:t>
      </w:r>
      <w:r w:rsidRPr="006A0CC2">
        <w:rPr>
          <w:rFonts w:ascii="Palatino Linotype" w:eastAsia="Palatino Linotype" w:hAnsi="Palatino Linotype" w:cs="Palatino Linotype"/>
          <w:b/>
        </w:rPr>
        <w:t> 01032/TLALNEPA/IP/2024</w:t>
      </w:r>
      <w:r w:rsidRPr="006A0CC2">
        <w:rPr>
          <w:rFonts w:ascii="Palatino Linotype" w:eastAsia="Palatino Linotype" w:hAnsi="Palatino Linotype" w:cs="Palatino Linotype"/>
        </w:rPr>
        <w:t>,</w:t>
      </w:r>
      <w:r w:rsidRPr="006A0CC2">
        <w:rPr>
          <w:rFonts w:ascii="Palatino Linotype" w:eastAsia="Palatino Linotype" w:hAnsi="Palatino Linotype" w:cs="Palatino Linotype"/>
          <w:b/>
        </w:rPr>
        <w:t xml:space="preserve"> </w:t>
      </w:r>
      <w:r w:rsidRPr="006A0CC2">
        <w:rPr>
          <w:rFonts w:ascii="Palatino Linotype" w:eastAsia="Palatino Linotype" w:hAnsi="Palatino Linotype" w:cs="Palatino Linotype"/>
        </w:rPr>
        <w:t>mediante la cual solicitó la siguiente información:</w:t>
      </w:r>
    </w:p>
    <w:p w14:paraId="182DFED4" w14:textId="77777777" w:rsidR="00260C20" w:rsidRPr="006A0CC2" w:rsidRDefault="00260C20">
      <w:pPr>
        <w:spacing w:after="0" w:line="360" w:lineRule="auto"/>
        <w:ind w:right="49"/>
        <w:jc w:val="both"/>
        <w:rPr>
          <w:rFonts w:ascii="Palatino Linotype" w:eastAsia="Palatino Linotype" w:hAnsi="Palatino Linotype" w:cs="Palatino Linotype"/>
        </w:rPr>
      </w:pPr>
    </w:p>
    <w:p w14:paraId="3795DBB7" w14:textId="77777777" w:rsidR="00260C20" w:rsidRPr="006A0CC2" w:rsidRDefault="001A60FA">
      <w:pPr>
        <w:spacing w:after="0" w:line="276" w:lineRule="auto"/>
        <w:ind w:left="851" w:right="616"/>
        <w:jc w:val="both"/>
        <w:rPr>
          <w:rFonts w:ascii="Palatino Linotype" w:eastAsia="Palatino Linotype" w:hAnsi="Palatino Linotype" w:cs="Palatino Linotype"/>
          <w:i/>
        </w:rPr>
      </w:pPr>
      <w:bookmarkStart w:id="0" w:name="_heading=h.gjdgxs" w:colFirst="0" w:colLast="0"/>
      <w:bookmarkEnd w:id="0"/>
      <w:r w:rsidRPr="006A0CC2">
        <w:rPr>
          <w:rFonts w:ascii="Palatino Linotype" w:eastAsia="Palatino Linotype" w:hAnsi="Palatino Linotype" w:cs="Palatino Linotype"/>
          <w:i/>
        </w:rPr>
        <w:t xml:space="preserve">“En </w:t>
      </w:r>
      <w:proofErr w:type="gramStart"/>
      <w:r w:rsidRPr="006A0CC2">
        <w:rPr>
          <w:rFonts w:ascii="Palatino Linotype" w:eastAsia="Palatino Linotype" w:hAnsi="Palatino Linotype" w:cs="Palatino Linotype"/>
          <w:i/>
        </w:rPr>
        <w:t>diversa ocasiones</w:t>
      </w:r>
      <w:proofErr w:type="gramEnd"/>
      <w:r w:rsidRPr="006A0CC2">
        <w:rPr>
          <w:rFonts w:ascii="Palatino Linotype" w:eastAsia="Palatino Linotype" w:hAnsi="Palatino Linotype" w:cs="Palatino Linotype"/>
          <w:i/>
        </w:rPr>
        <w:t xml:space="preserve"> he acudido a la Subdirección de Asistencia Social y he notado que no tiene las capacidades de atención a la ciudadanía no tienen idea de los programas que se manejan solo se concretan a indicar que hay 40 comedores y las direcciones. Por lo que les solicito me indique el fundamento legal y en que Programa encuadran los comedores. Las reglas de operación de los comedores. Cuanto se ha gasta en cada comedor por mes. con comprobación por comedor por mes y desde el inicio de cada comedor a la fecha que se tenga como termino a esta solicitud Comprobación de desayunos otorgados diarios por comedor. Comprobación de comidas otorgados diarios por comedor. </w:t>
      </w:r>
      <w:proofErr w:type="gramStart"/>
      <w:r w:rsidRPr="006A0CC2">
        <w:rPr>
          <w:rFonts w:ascii="Palatino Linotype" w:eastAsia="Palatino Linotype" w:hAnsi="Palatino Linotype" w:cs="Palatino Linotype"/>
          <w:i/>
        </w:rPr>
        <w:t>Cuantas servidores públicos</w:t>
      </w:r>
      <w:proofErr w:type="gramEnd"/>
      <w:r w:rsidRPr="006A0CC2">
        <w:rPr>
          <w:rFonts w:ascii="Palatino Linotype" w:eastAsia="Palatino Linotype" w:hAnsi="Palatino Linotype" w:cs="Palatino Linotype"/>
          <w:i/>
        </w:rPr>
        <w:t xml:space="preserve"> atienden por </w:t>
      </w:r>
      <w:r w:rsidRPr="006A0CC2">
        <w:rPr>
          <w:rFonts w:ascii="Palatino Linotype" w:eastAsia="Palatino Linotype" w:hAnsi="Palatino Linotype" w:cs="Palatino Linotype"/>
          <w:i/>
        </w:rPr>
        <w:lastRenderedPageBreak/>
        <w:t xml:space="preserve">comedor. Sueldos de los servidores públicos que atienden por comedor. De no ser servidores públicos se me indique que son y de que partida presupuestal sale el pago. Se me indique con comprobantes cuanto genera cada comedor de excedente ya que como se paga las comidas y desayunos y se tiene un </w:t>
      </w:r>
      <w:proofErr w:type="spellStart"/>
      <w:r w:rsidRPr="006A0CC2">
        <w:rPr>
          <w:rFonts w:ascii="Palatino Linotype" w:eastAsia="Palatino Linotype" w:hAnsi="Palatino Linotype" w:cs="Palatino Linotype"/>
          <w:i/>
        </w:rPr>
        <w:t>presuesto</w:t>
      </w:r>
      <w:proofErr w:type="spellEnd"/>
      <w:r w:rsidRPr="006A0CC2">
        <w:rPr>
          <w:rFonts w:ascii="Palatino Linotype" w:eastAsia="Palatino Linotype" w:hAnsi="Palatino Linotype" w:cs="Palatino Linotype"/>
          <w:i/>
        </w:rPr>
        <w:t xml:space="preserve"> municipal por mes entonces se empate presupuesto con </w:t>
      </w:r>
      <w:proofErr w:type="spellStart"/>
      <w:r w:rsidRPr="006A0CC2">
        <w:rPr>
          <w:rFonts w:ascii="Palatino Linotype" w:eastAsia="Palatino Linotype" w:hAnsi="Palatino Linotype" w:cs="Palatino Linotype"/>
          <w:i/>
        </w:rPr>
        <w:t>ganacia</w:t>
      </w:r>
      <w:proofErr w:type="spellEnd"/>
      <w:r w:rsidRPr="006A0CC2">
        <w:rPr>
          <w:rFonts w:ascii="Palatino Linotype" w:eastAsia="Palatino Linotype" w:hAnsi="Palatino Linotype" w:cs="Palatino Linotype"/>
          <w:i/>
        </w:rPr>
        <w:t xml:space="preserve"> y que se hace con ella. Con comprobantes.” (Sic).</w:t>
      </w:r>
    </w:p>
    <w:p w14:paraId="0B1AC703" w14:textId="77777777" w:rsidR="00260C20" w:rsidRPr="006A0CC2" w:rsidRDefault="00260C20">
      <w:pPr>
        <w:spacing w:after="0" w:line="360" w:lineRule="auto"/>
        <w:ind w:right="758"/>
        <w:jc w:val="both"/>
        <w:rPr>
          <w:rFonts w:ascii="Palatino Linotype" w:eastAsia="Palatino Linotype" w:hAnsi="Palatino Linotype" w:cs="Palatino Linotype"/>
        </w:rPr>
      </w:pPr>
    </w:p>
    <w:p w14:paraId="1D51752A" w14:textId="77777777" w:rsidR="00260C20" w:rsidRPr="006A0CC2" w:rsidRDefault="001A60FA">
      <w:pP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Modalidad de entrega: A través del </w:t>
      </w:r>
      <w:r w:rsidRPr="006A0CC2">
        <w:rPr>
          <w:rFonts w:ascii="Palatino Linotype" w:eastAsia="Palatino Linotype" w:hAnsi="Palatino Linotype" w:cs="Palatino Linotype"/>
          <w:b/>
        </w:rPr>
        <w:t>SAIMEX</w:t>
      </w:r>
      <w:r w:rsidRPr="006A0CC2">
        <w:rPr>
          <w:rFonts w:ascii="Palatino Linotype" w:eastAsia="Palatino Linotype" w:hAnsi="Palatino Linotype" w:cs="Palatino Linotype"/>
        </w:rPr>
        <w:t xml:space="preserve">. </w:t>
      </w:r>
    </w:p>
    <w:p w14:paraId="59089324" w14:textId="77777777" w:rsidR="00260C20" w:rsidRPr="006A0CC2" w:rsidRDefault="00260C20">
      <w:pPr>
        <w:spacing w:after="0" w:line="360" w:lineRule="auto"/>
        <w:ind w:right="49"/>
        <w:jc w:val="both"/>
        <w:rPr>
          <w:rFonts w:ascii="Palatino Linotype" w:eastAsia="Palatino Linotype" w:hAnsi="Palatino Linotype" w:cs="Palatino Linotype"/>
        </w:rPr>
      </w:pPr>
    </w:p>
    <w:p w14:paraId="39019F79"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2. Respuesta. </w:t>
      </w:r>
      <w:r w:rsidRPr="006A0CC2">
        <w:rPr>
          <w:rFonts w:ascii="Palatino Linotype" w:eastAsia="Palatino Linotype" w:hAnsi="Palatino Linotype" w:cs="Palatino Linotype"/>
        </w:rPr>
        <w:t xml:space="preserve">Con fecha </w:t>
      </w:r>
      <w:r w:rsidRPr="006A0CC2">
        <w:rPr>
          <w:rFonts w:ascii="Palatino Linotype" w:eastAsia="Palatino Linotype" w:hAnsi="Palatino Linotype" w:cs="Palatino Linotype"/>
          <w:b/>
        </w:rPr>
        <w:t>catorce de noviembre de dos mil veinticuatro</w:t>
      </w:r>
      <w:r w:rsidRPr="006A0CC2">
        <w:rPr>
          <w:rFonts w:ascii="Palatino Linotype" w:eastAsia="Palatino Linotype" w:hAnsi="Palatino Linotype" w:cs="Palatino Linotype"/>
        </w:rPr>
        <w:t>, el</w:t>
      </w:r>
      <w:r w:rsidRPr="006A0CC2">
        <w:rPr>
          <w:rFonts w:ascii="Palatino Linotype" w:eastAsia="Palatino Linotype" w:hAnsi="Palatino Linotype" w:cs="Palatino Linotype"/>
          <w:b/>
        </w:rPr>
        <w:t xml:space="preserve"> Sujeto Obligado</w:t>
      </w:r>
      <w:r w:rsidRPr="006A0CC2">
        <w:rPr>
          <w:rFonts w:ascii="Palatino Linotype" w:eastAsia="Palatino Linotype" w:hAnsi="Palatino Linotype" w:cs="Palatino Linotype"/>
        </w:rPr>
        <w:t xml:space="preserve"> otorgó, a través del SAIMEX, respuesta a la solicitud de acceso a la información de la siguiente manera: </w:t>
      </w:r>
    </w:p>
    <w:p w14:paraId="0E4FC52B" w14:textId="77777777" w:rsidR="00260C20" w:rsidRPr="006A0CC2" w:rsidRDefault="00260C20">
      <w:pPr>
        <w:spacing w:after="0" w:line="360" w:lineRule="auto"/>
        <w:jc w:val="both"/>
        <w:rPr>
          <w:rFonts w:ascii="Palatino Linotype" w:eastAsia="Palatino Linotype" w:hAnsi="Palatino Linotype" w:cs="Palatino Linotype"/>
        </w:rPr>
      </w:pPr>
    </w:p>
    <w:p w14:paraId="254BBECA"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“LE ENVÍO UN CORDIAL SALUDO Y LE INFORMO QUE DE ACUERDO A LAS FACULTADES QUE TIENE LA UNIDAD DE TRANSPARENCIA, SE REVISÓ LA SOLICITUD Y SE REALIZARON LOS OFICIOS A LAS ÁREAS RESPONSABLE SOLICITANDO LA ATENCIÓN DE LA MISMA, ASÍ MISMO ENVÍO RESPUESTA DE LAS ÁREAS QUE TURNARON A LA UNIDAD DE TRANSPARENCIA PARA DAR CONTESTACIÓN.</w:t>
      </w:r>
    </w:p>
    <w:p w14:paraId="65E31FC0"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ATENTAMENTE</w:t>
      </w:r>
    </w:p>
    <w:p w14:paraId="5545F6D2"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C. MIGUEL ÀNGEL SÀMANO FLORES”</w:t>
      </w:r>
    </w:p>
    <w:p w14:paraId="781AA99B" w14:textId="77777777" w:rsidR="00260C20" w:rsidRPr="006A0CC2" w:rsidRDefault="00260C20">
      <w:pPr>
        <w:spacing w:after="0" w:line="360" w:lineRule="auto"/>
        <w:jc w:val="both"/>
        <w:rPr>
          <w:rFonts w:ascii="Palatino Linotype" w:eastAsia="Palatino Linotype" w:hAnsi="Palatino Linotype" w:cs="Palatino Linotype"/>
          <w:b/>
        </w:rPr>
      </w:pPr>
    </w:p>
    <w:p w14:paraId="31E99EEA"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El</w:t>
      </w:r>
      <w:r w:rsidRPr="006A0CC2">
        <w:rPr>
          <w:rFonts w:ascii="Palatino Linotype" w:eastAsia="Palatino Linotype" w:hAnsi="Palatino Linotype" w:cs="Palatino Linotype"/>
          <w:b/>
        </w:rPr>
        <w:t xml:space="preserve"> Sujeto Obligado</w:t>
      </w:r>
      <w:r w:rsidRPr="006A0CC2">
        <w:rPr>
          <w:rFonts w:ascii="Palatino Linotype" w:eastAsia="Palatino Linotype" w:hAnsi="Palatino Linotype" w:cs="Palatino Linotype"/>
        </w:rPr>
        <w:t xml:space="preserve">, adjunto a su respuesta la carpeta comprimida </w:t>
      </w:r>
      <w:r w:rsidRPr="006A0CC2">
        <w:rPr>
          <w:rFonts w:ascii="Palatino Linotype" w:eastAsia="Palatino Linotype" w:hAnsi="Palatino Linotype" w:cs="Palatino Linotype"/>
          <w:b/>
          <w:i/>
        </w:rPr>
        <w:t>“RESPUESTA SAIMEX 01032.zip”</w:t>
      </w:r>
      <w:r w:rsidRPr="006A0CC2">
        <w:rPr>
          <w:rFonts w:ascii="Palatino Linotype" w:eastAsia="Palatino Linotype" w:hAnsi="Palatino Linotype" w:cs="Palatino Linotype"/>
        </w:rPr>
        <w:t xml:space="preserve">, misma que contiene: </w:t>
      </w:r>
    </w:p>
    <w:p w14:paraId="6A82375E" w14:textId="77777777" w:rsidR="00260C20" w:rsidRPr="006A0CC2" w:rsidRDefault="00260C20">
      <w:pPr>
        <w:spacing w:after="0" w:line="360" w:lineRule="auto"/>
        <w:jc w:val="both"/>
        <w:rPr>
          <w:rFonts w:ascii="Palatino Linotype" w:eastAsia="Palatino Linotype" w:hAnsi="Palatino Linotype" w:cs="Palatino Linotype"/>
        </w:rPr>
      </w:pPr>
    </w:p>
    <w:p w14:paraId="2093127A" w14:textId="77777777" w:rsidR="00260C20" w:rsidRPr="006A0CC2" w:rsidRDefault="001A60FA">
      <w:pPr>
        <w:numPr>
          <w:ilvl w:val="0"/>
          <w:numId w:val="12"/>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Oficio número DA/4379/2024, de fecha once de noviembre de dos mil veinticuatro, signado por el </w:t>
      </w:r>
      <w:proofErr w:type="gramStart"/>
      <w:r w:rsidRPr="006A0CC2">
        <w:rPr>
          <w:rFonts w:ascii="Palatino Linotype" w:eastAsia="Palatino Linotype" w:hAnsi="Palatino Linotype" w:cs="Palatino Linotype"/>
        </w:rPr>
        <w:t>Director</w:t>
      </w:r>
      <w:proofErr w:type="gramEnd"/>
      <w:r w:rsidRPr="006A0CC2">
        <w:rPr>
          <w:rFonts w:ascii="Palatino Linotype" w:eastAsia="Palatino Linotype" w:hAnsi="Palatino Linotype" w:cs="Palatino Linotype"/>
        </w:rPr>
        <w:t xml:space="preserve"> de Administración, en el que informó: </w:t>
      </w:r>
    </w:p>
    <w:p w14:paraId="4538996D"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p>
    <w:p w14:paraId="2762D2E6"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“1. En atención a la solicitud de mérito, se informa que los que atienden los comedores no son servidores públicos, son personal eventual contratado por </w:t>
      </w:r>
      <w:r w:rsidRPr="006A0CC2">
        <w:rPr>
          <w:rFonts w:ascii="Palatino Linotype" w:eastAsia="Palatino Linotype" w:hAnsi="Palatino Linotype" w:cs="Palatino Linotype"/>
          <w:i/>
        </w:rPr>
        <w:lastRenderedPageBreak/>
        <w:t xml:space="preserve">honorarios asimilables a salarios y su sueldo es de acuerdo a lo establecido en el tabulador vigente, designado para sueldo eventual. </w:t>
      </w:r>
    </w:p>
    <w:p w14:paraId="15419567"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2. Cabe mencionar que la información respecto al sueldo de los trabajadores de los comedores, lo puede consultar el solicitante mediante acceso público en la página virtual IPOMEX (Información Pública de Oficio Mexiquense) en el apartado denominado “Tabulador de Sueldos y Salarios Fracción VIII B.”</w:t>
      </w:r>
    </w:p>
    <w:p w14:paraId="100D4DB6" w14:textId="77777777" w:rsidR="00260C20" w:rsidRPr="006A0CC2" w:rsidRDefault="00260C20">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p>
    <w:p w14:paraId="696B08EB"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Por lo que, hago de su conocimiento al ciudadano que la información requerida se considera de dominio público y la misma es un hecho notorio, toda vez que se encuentra publicada y a disposición del público en general en la página institucional de la Administración Pública Municipal de Tlalnepantla de Baz; así como también se encuentra publicado en el artículo 92 fracciones VIII B y XXXV A Gasto por capítulo, concepto y partida en la siguiente dirección de internet: </w:t>
      </w:r>
    </w:p>
    <w:p w14:paraId="4A421C5A"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Artículo 92 VIII B Tabulador de sueldos y XXXV A Gasto por capitulo, concepto y partida</w:t>
      </w:r>
    </w:p>
    <w:p w14:paraId="654681A2" w14:textId="77777777" w:rsidR="00260C20" w:rsidRPr="006A0CC2" w:rsidRDefault="001A60FA">
      <w:pPr>
        <w:pBdr>
          <w:top w:val="nil"/>
          <w:left w:val="nil"/>
          <w:bottom w:val="nil"/>
          <w:right w:val="nil"/>
          <w:between w:val="nil"/>
        </w:pBdr>
        <w:spacing w:after="0" w:line="276" w:lineRule="auto"/>
        <w:ind w:left="1276" w:right="758"/>
        <w:jc w:val="center"/>
        <w:rPr>
          <w:rFonts w:ascii="Palatino Linotype" w:eastAsia="Palatino Linotype" w:hAnsi="Palatino Linotype" w:cs="Palatino Linotype"/>
          <w:i/>
          <w:u w:val="single"/>
        </w:rPr>
      </w:pPr>
      <w:r w:rsidRPr="006A0CC2">
        <w:rPr>
          <w:rFonts w:ascii="Palatino Linotype" w:eastAsia="Palatino Linotype" w:hAnsi="Palatino Linotype" w:cs="Palatino Linotype"/>
          <w:noProof/>
        </w:rPr>
        <w:drawing>
          <wp:inline distT="0" distB="0" distL="0" distR="0" wp14:anchorId="10610A6B" wp14:editId="75D96F21">
            <wp:extent cx="3958003" cy="368011"/>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58003" cy="368011"/>
                    </a:xfrm>
                    <a:prstGeom prst="rect">
                      <a:avLst/>
                    </a:prstGeom>
                    <a:ln/>
                  </pic:spPr>
                </pic:pic>
              </a:graphicData>
            </a:graphic>
          </wp:inline>
        </w:drawing>
      </w:r>
    </w:p>
    <w:p w14:paraId="5CE814FE" w14:textId="77777777" w:rsidR="00260C20" w:rsidRPr="006A0CC2" w:rsidRDefault="00260C20">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p>
    <w:p w14:paraId="4E7A38C0"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Para mayor referencia, a continuación, se le indican los pasos a seguir para consultar la información requerida: </w:t>
      </w:r>
    </w:p>
    <w:p w14:paraId="41E00DD8"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rPr>
      </w:pPr>
      <w:r w:rsidRPr="006A0CC2">
        <w:rPr>
          <w:rFonts w:ascii="Palatino Linotype" w:eastAsia="Palatino Linotype" w:hAnsi="Palatino Linotype" w:cs="Palatino Linotype"/>
          <w:i/>
        </w:rPr>
        <w:t>…”</w:t>
      </w:r>
    </w:p>
    <w:p w14:paraId="4B7FE71E" w14:textId="77777777" w:rsidR="00260C20" w:rsidRPr="006A0CC2" w:rsidRDefault="001A60FA">
      <w:pPr>
        <w:numPr>
          <w:ilvl w:val="0"/>
          <w:numId w:val="12"/>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Oficio número DA/SCH/1798/2024 de fecha cinco de noviembre de dos mil veinticuatro, signado por la </w:t>
      </w:r>
      <w:proofErr w:type="gramStart"/>
      <w:r w:rsidRPr="006A0CC2">
        <w:rPr>
          <w:rFonts w:ascii="Palatino Linotype" w:eastAsia="Palatino Linotype" w:hAnsi="Palatino Linotype" w:cs="Palatino Linotype"/>
        </w:rPr>
        <w:t>Subdirectora</w:t>
      </w:r>
      <w:proofErr w:type="gramEnd"/>
      <w:r w:rsidRPr="006A0CC2">
        <w:rPr>
          <w:rFonts w:ascii="Palatino Linotype" w:eastAsia="Palatino Linotype" w:hAnsi="Palatino Linotype" w:cs="Palatino Linotype"/>
        </w:rPr>
        <w:t xml:space="preserve"> de Capital Humano en el que informó que después de realizar una búsqueda exhaustiva y minuciosa en sus archivos físicos y digitales, refirió: </w:t>
      </w:r>
    </w:p>
    <w:p w14:paraId="04D246F7"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“1. En atención a la solicitud de mérito, se informa que los que atienden los comedores no son servidores públicos, son personal eventual contratado por honorarios asimilables a salarios y su sueldo es de acuerdo a lo establecido en el tabulador vigente, designado para sueldo eventual. </w:t>
      </w:r>
    </w:p>
    <w:p w14:paraId="11F915C6"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2. Cabe mencionar que la información respecto al sueldo de los trabajadores de los comedores, lo puede consultar el solicitante mediante acceso público en la página virtual IPOMEX (Información Pública de Oficio Mexiquense) en el apartado denominado “Tabulador de Sueldos y Salarios Fracción VIII B.</w:t>
      </w:r>
    </w:p>
    <w:p w14:paraId="1BC50E92"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lastRenderedPageBreak/>
        <w:t xml:space="preserve">3. Ahora bien respecto al … “fundamento legal y en que programas encuadran los comedores. Las reglas de operación de los comedores. Cuanto se ha gasta en cada comedor por mes. con comprobación por comedor por mes y desde el inicio de cada comedor a la fecha que se tenga como termino a esta solicitud Comprobación de desayunos otorgados diarios por comedor. Comprobación de comidas otorgados diarios por comedor. </w:t>
      </w:r>
      <w:proofErr w:type="gramStart"/>
      <w:r w:rsidRPr="006A0CC2">
        <w:rPr>
          <w:rFonts w:ascii="Palatino Linotype" w:eastAsia="Palatino Linotype" w:hAnsi="Palatino Linotype" w:cs="Palatino Linotype"/>
          <w:i/>
        </w:rPr>
        <w:t>Cuantas servidores públicos</w:t>
      </w:r>
      <w:proofErr w:type="gramEnd"/>
      <w:r w:rsidRPr="006A0CC2">
        <w:rPr>
          <w:rFonts w:ascii="Palatino Linotype" w:eastAsia="Palatino Linotype" w:hAnsi="Palatino Linotype" w:cs="Palatino Linotype"/>
          <w:i/>
        </w:rPr>
        <w:t xml:space="preserve"> atienden por comedor. </w:t>
      </w:r>
      <w:proofErr w:type="gramStart"/>
      <w:r w:rsidRPr="006A0CC2">
        <w:rPr>
          <w:rFonts w:ascii="Palatino Linotype" w:eastAsia="Palatino Linotype" w:hAnsi="Palatino Linotype" w:cs="Palatino Linotype"/>
          <w:i/>
        </w:rPr>
        <w:t>“ (</w:t>
      </w:r>
      <w:proofErr w:type="gramEnd"/>
      <w:r w:rsidRPr="006A0CC2">
        <w:rPr>
          <w:rFonts w:ascii="Palatino Linotype" w:eastAsia="Palatino Linotype" w:hAnsi="Palatino Linotype" w:cs="Palatino Linotype"/>
          <w:i/>
        </w:rPr>
        <w:t>Sic) Esta Subdirección no es competente, ya que no quien genera la información. “</w:t>
      </w:r>
    </w:p>
    <w:p w14:paraId="71CCAF02" w14:textId="77777777" w:rsidR="00260C20" w:rsidRPr="006A0CC2" w:rsidRDefault="001A60FA">
      <w:pPr>
        <w:numPr>
          <w:ilvl w:val="0"/>
          <w:numId w:val="12"/>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Oficio número UTAIM/2896/2024 de fecha siete de noviembre de dos mil veinticuatro, signado por la </w:t>
      </w:r>
      <w:proofErr w:type="gramStart"/>
      <w:r w:rsidRPr="006A0CC2">
        <w:rPr>
          <w:rFonts w:ascii="Palatino Linotype" w:eastAsia="Palatino Linotype" w:hAnsi="Palatino Linotype" w:cs="Palatino Linotype"/>
        </w:rPr>
        <w:t>Directora</w:t>
      </w:r>
      <w:proofErr w:type="gramEnd"/>
      <w:r w:rsidRPr="006A0CC2">
        <w:rPr>
          <w:rFonts w:ascii="Palatino Linotype" w:eastAsia="Palatino Linotype" w:hAnsi="Palatino Linotype" w:cs="Palatino Linotype"/>
        </w:rPr>
        <w:t xml:space="preserve"> de Desarrollo Social, en el que informó lo siguiente: </w:t>
      </w:r>
    </w:p>
    <w:p w14:paraId="5462D3DD" w14:textId="77777777" w:rsidR="00260C20" w:rsidRPr="006A0CC2" w:rsidRDefault="00260C20">
      <w:p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p>
    <w:p w14:paraId="6E66B41A" w14:textId="77777777" w:rsidR="00260C20" w:rsidRPr="006A0CC2" w:rsidRDefault="001A60FA">
      <w:pPr>
        <w:pBdr>
          <w:top w:val="nil"/>
          <w:left w:val="nil"/>
          <w:bottom w:val="nil"/>
          <w:right w:val="nil"/>
          <w:between w:val="nil"/>
        </w:pBdr>
        <w:spacing w:after="0" w:line="276" w:lineRule="auto"/>
        <w:ind w:left="1276" w:right="900"/>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“1.- En este enunciado de </w:t>
      </w:r>
      <w:r w:rsidRPr="006A0CC2">
        <w:rPr>
          <w:rFonts w:ascii="Palatino Linotype" w:eastAsia="Palatino Linotype" w:hAnsi="Palatino Linotype" w:cs="Palatino Linotype"/>
          <w:b/>
          <w:i/>
        </w:rPr>
        <w:t>“… Por lo que les solicito me indiquen el fundamento legal y en que Programa encuadran los comedores…”</w:t>
      </w:r>
      <w:r w:rsidRPr="006A0CC2">
        <w:rPr>
          <w:rFonts w:ascii="Palatino Linotype" w:eastAsia="Palatino Linotype" w:hAnsi="Palatino Linotype" w:cs="Palatino Linotype"/>
          <w:i/>
        </w:rPr>
        <w:t xml:space="preserve"> al respecto se enuncia el siguiente marco normativo con la liga electrónica correspondiente para su breve consulta: </w:t>
      </w:r>
    </w:p>
    <w:p w14:paraId="75183C15" w14:textId="77777777" w:rsidR="00260C20" w:rsidRPr="006A0CC2" w:rsidRDefault="001A60FA">
      <w:pPr>
        <w:pBdr>
          <w:top w:val="nil"/>
          <w:left w:val="nil"/>
          <w:bottom w:val="nil"/>
          <w:right w:val="nil"/>
          <w:between w:val="nil"/>
        </w:pBdr>
        <w:spacing w:after="0" w:line="360" w:lineRule="auto"/>
        <w:ind w:left="851" w:right="616"/>
        <w:jc w:val="center"/>
        <w:rPr>
          <w:rFonts w:ascii="Palatino Linotype" w:eastAsia="Palatino Linotype" w:hAnsi="Palatino Linotype" w:cs="Palatino Linotype"/>
          <w:i/>
        </w:rPr>
      </w:pPr>
      <w:r w:rsidRPr="006A0CC2">
        <w:rPr>
          <w:rFonts w:ascii="Palatino Linotype" w:eastAsia="Palatino Linotype" w:hAnsi="Palatino Linotype" w:cs="Palatino Linotype"/>
          <w:i/>
          <w:noProof/>
        </w:rPr>
        <w:drawing>
          <wp:inline distT="0" distB="0" distL="0" distR="0" wp14:anchorId="31893109" wp14:editId="772AFD68">
            <wp:extent cx="3279809" cy="1665396"/>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279809" cy="1665396"/>
                    </a:xfrm>
                    <a:prstGeom prst="rect">
                      <a:avLst/>
                    </a:prstGeom>
                    <a:ln/>
                  </pic:spPr>
                </pic:pic>
              </a:graphicData>
            </a:graphic>
          </wp:inline>
        </w:drawing>
      </w:r>
    </w:p>
    <w:p w14:paraId="3DC5EE89" w14:textId="77777777" w:rsidR="00260C20" w:rsidRPr="006A0CC2" w:rsidRDefault="001A60FA">
      <w:pPr>
        <w:pBdr>
          <w:top w:val="nil"/>
          <w:left w:val="nil"/>
          <w:bottom w:val="nil"/>
          <w:right w:val="nil"/>
          <w:between w:val="nil"/>
        </w:pBdr>
        <w:spacing w:after="0" w:line="360" w:lineRule="auto"/>
        <w:ind w:left="851" w:right="616"/>
        <w:jc w:val="center"/>
        <w:rPr>
          <w:rFonts w:ascii="Palatino Linotype" w:eastAsia="Palatino Linotype" w:hAnsi="Palatino Linotype" w:cs="Palatino Linotype"/>
          <w:i/>
        </w:rPr>
      </w:pPr>
      <w:r w:rsidRPr="006A0CC2">
        <w:rPr>
          <w:rFonts w:ascii="Palatino Linotype" w:eastAsia="Palatino Linotype" w:hAnsi="Palatino Linotype" w:cs="Palatino Linotype"/>
          <w:i/>
          <w:noProof/>
        </w:rPr>
        <w:lastRenderedPageBreak/>
        <w:drawing>
          <wp:inline distT="0" distB="0" distL="0" distR="0" wp14:anchorId="47488880" wp14:editId="44A96AF2">
            <wp:extent cx="3312036" cy="2525387"/>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312036" cy="2525387"/>
                    </a:xfrm>
                    <a:prstGeom prst="rect">
                      <a:avLst/>
                    </a:prstGeom>
                    <a:ln/>
                  </pic:spPr>
                </pic:pic>
              </a:graphicData>
            </a:graphic>
          </wp:inline>
        </w:drawing>
      </w:r>
    </w:p>
    <w:p w14:paraId="6D5CCFD0" w14:textId="77777777" w:rsidR="00260C20" w:rsidRPr="006A0CC2" w:rsidRDefault="001A60FA">
      <w:pPr>
        <w:pBdr>
          <w:top w:val="nil"/>
          <w:left w:val="nil"/>
          <w:bottom w:val="nil"/>
          <w:right w:val="nil"/>
          <w:between w:val="nil"/>
        </w:pBdr>
        <w:spacing w:after="0" w:line="360" w:lineRule="auto"/>
        <w:ind w:left="851" w:right="616"/>
        <w:jc w:val="center"/>
        <w:rPr>
          <w:rFonts w:ascii="Palatino Linotype" w:eastAsia="Palatino Linotype" w:hAnsi="Palatino Linotype" w:cs="Palatino Linotype"/>
          <w:i/>
        </w:rPr>
      </w:pPr>
      <w:r w:rsidRPr="006A0CC2">
        <w:rPr>
          <w:rFonts w:ascii="Palatino Linotype" w:eastAsia="Palatino Linotype" w:hAnsi="Palatino Linotype" w:cs="Palatino Linotype"/>
          <w:i/>
          <w:noProof/>
        </w:rPr>
        <w:drawing>
          <wp:inline distT="0" distB="0" distL="0" distR="0" wp14:anchorId="32789497" wp14:editId="56E9340E">
            <wp:extent cx="3893050" cy="899921"/>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893050" cy="899921"/>
                    </a:xfrm>
                    <a:prstGeom prst="rect">
                      <a:avLst/>
                    </a:prstGeom>
                    <a:ln/>
                  </pic:spPr>
                </pic:pic>
              </a:graphicData>
            </a:graphic>
          </wp:inline>
        </w:drawing>
      </w:r>
    </w:p>
    <w:p w14:paraId="1C9D5ACC"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2. En cuanto a las </w:t>
      </w:r>
      <w:r w:rsidRPr="006A0CC2">
        <w:rPr>
          <w:rFonts w:ascii="Palatino Linotype" w:eastAsia="Palatino Linotype" w:hAnsi="Palatino Linotype" w:cs="Palatino Linotype"/>
          <w:b/>
          <w:i/>
        </w:rPr>
        <w:t>“… reglas de operación de los comedores…”</w:t>
      </w:r>
      <w:r w:rsidRPr="006A0CC2">
        <w:rPr>
          <w:rFonts w:ascii="Palatino Linotype" w:eastAsia="Palatino Linotype" w:hAnsi="Palatino Linotype" w:cs="Palatino Linotype"/>
          <w:i/>
        </w:rPr>
        <w:t xml:space="preserve"> Con relación a este punto, se adjunta al presente libelo un documento denominado Reglas de operación del programa social “Comedores Comunitarios” integrado por 32 fojas y se visualiza en la copia del documento citado que firman al calce de la última página las entonces </w:t>
      </w:r>
      <w:proofErr w:type="gramStart"/>
      <w:r w:rsidRPr="006A0CC2">
        <w:rPr>
          <w:rFonts w:ascii="Palatino Linotype" w:eastAsia="Palatino Linotype" w:hAnsi="Palatino Linotype" w:cs="Palatino Linotype"/>
          <w:i/>
        </w:rPr>
        <w:t>Directora</w:t>
      </w:r>
      <w:proofErr w:type="gramEnd"/>
      <w:r w:rsidRPr="006A0CC2">
        <w:rPr>
          <w:rFonts w:ascii="Palatino Linotype" w:eastAsia="Palatino Linotype" w:hAnsi="Palatino Linotype" w:cs="Palatino Linotype"/>
          <w:i/>
        </w:rPr>
        <w:t xml:space="preserve"> de Desarrollo Social, Subdirectora de Asistencia Social y la Jefa del Departamento de Comedores Comunitarios. (Anexo 1)</w:t>
      </w:r>
    </w:p>
    <w:p w14:paraId="5BB0FDE1"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3.- </w:t>
      </w:r>
      <w:r w:rsidRPr="006A0CC2">
        <w:rPr>
          <w:rFonts w:ascii="Palatino Linotype" w:eastAsia="Palatino Linotype" w:hAnsi="Palatino Linotype" w:cs="Palatino Linotype"/>
          <w:b/>
          <w:i/>
        </w:rPr>
        <w:t>“… Cuanto se ha gasta en cada comedor por mes. con comprobación por mes y desde el inicio de cada comedor a la fecha que se tenga como termino a esta solicitud …”</w:t>
      </w:r>
      <w:r w:rsidRPr="006A0CC2">
        <w:rPr>
          <w:rFonts w:ascii="Palatino Linotype" w:eastAsia="Palatino Linotype" w:hAnsi="Palatino Linotype" w:cs="Palatino Linotype"/>
          <w:i/>
        </w:rPr>
        <w:t xml:space="preserve"> Con relación a este punto se manifiesta para el conocimiento del solicitante que se tiene al antecedente proyectado un presupuesto para el periodo 2022 -$17,000,000.00; 2023 - $5,956,266.36 y para el 2024 - $3,461,423.60. </w:t>
      </w:r>
    </w:p>
    <w:p w14:paraId="30087C4D"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Adicionando al presente el vínculo electrónico para mayor referencia: </w:t>
      </w:r>
      <w:hyperlink r:id="rId12">
        <w:r w:rsidRPr="006A0CC2">
          <w:rPr>
            <w:rFonts w:ascii="Palatino Linotype" w:eastAsia="Palatino Linotype" w:hAnsi="Palatino Linotype" w:cs="Palatino Linotype"/>
            <w:i/>
            <w:u w:val="single"/>
          </w:rPr>
          <w:t>https://www.tlalnepantla.gob.mx/</w:t>
        </w:r>
      </w:hyperlink>
      <w:r w:rsidRPr="006A0CC2">
        <w:rPr>
          <w:rFonts w:ascii="Palatino Linotype" w:eastAsia="Palatino Linotype" w:hAnsi="Palatino Linotype" w:cs="Palatino Linotype"/>
          <w:i/>
        </w:rPr>
        <w:t xml:space="preserve"> </w:t>
      </w:r>
    </w:p>
    <w:p w14:paraId="50956E76"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4.- Respecto de </w:t>
      </w:r>
      <w:r w:rsidRPr="006A0CC2">
        <w:rPr>
          <w:rFonts w:ascii="Palatino Linotype" w:eastAsia="Palatino Linotype" w:hAnsi="Palatino Linotype" w:cs="Palatino Linotype"/>
          <w:b/>
          <w:i/>
        </w:rPr>
        <w:t>“…Comprobación de desayunos otorgados diarios por comedor. Comprobación de comidas otorgados diarios por comedor…”</w:t>
      </w:r>
      <w:r w:rsidRPr="006A0CC2">
        <w:rPr>
          <w:rFonts w:ascii="Palatino Linotype" w:eastAsia="Palatino Linotype" w:hAnsi="Palatino Linotype" w:cs="Palatino Linotype"/>
          <w:i/>
        </w:rPr>
        <w:t xml:space="preserve"> Se agrega al presente un documento que evidencia lo solicitado </w:t>
      </w:r>
      <w:r w:rsidRPr="006A0CC2">
        <w:rPr>
          <w:rFonts w:ascii="Palatino Linotype" w:eastAsia="Palatino Linotype" w:hAnsi="Palatino Linotype" w:cs="Palatino Linotype"/>
          <w:i/>
        </w:rPr>
        <w:lastRenderedPageBreak/>
        <w:t xml:space="preserve">a partir de la apertura de los comedores comunitarios del año 2022 a la presente anualidad. (Anexo 1) </w:t>
      </w:r>
    </w:p>
    <w:p w14:paraId="0FBB9291"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5.- </w:t>
      </w:r>
      <w:r w:rsidRPr="006A0CC2">
        <w:rPr>
          <w:rFonts w:ascii="Palatino Linotype" w:eastAsia="Palatino Linotype" w:hAnsi="Palatino Linotype" w:cs="Palatino Linotype"/>
          <w:b/>
          <w:i/>
        </w:rPr>
        <w:t>“</w:t>
      </w:r>
      <w:proofErr w:type="gramStart"/>
      <w:r w:rsidRPr="006A0CC2">
        <w:rPr>
          <w:rFonts w:ascii="Palatino Linotype" w:eastAsia="Palatino Linotype" w:hAnsi="Palatino Linotype" w:cs="Palatino Linotype"/>
          <w:b/>
          <w:i/>
        </w:rPr>
        <w:t>Cuantas servidores públicos</w:t>
      </w:r>
      <w:proofErr w:type="gramEnd"/>
      <w:r w:rsidRPr="006A0CC2">
        <w:rPr>
          <w:rFonts w:ascii="Palatino Linotype" w:eastAsia="Palatino Linotype" w:hAnsi="Palatino Linotype" w:cs="Palatino Linotype"/>
          <w:b/>
          <w:i/>
        </w:rPr>
        <w:t xml:space="preserve"> atienden por comedor. Sueldos de los servidores públicos que atienden por comedor. De no ser servidores públicos se me indique que son y de que partida presupuestal sale el pago…”</w:t>
      </w:r>
      <w:r w:rsidRPr="006A0CC2">
        <w:rPr>
          <w:rFonts w:ascii="Palatino Linotype" w:eastAsia="Palatino Linotype" w:hAnsi="Palatino Linotype" w:cs="Palatino Linotype"/>
          <w:i/>
        </w:rPr>
        <w:t xml:space="preserve"> Se manifiesta que el poseedor de la información es la Dirección de Administración, por lo que con fundamento por lo dispuesto en el artículo 210, 211, 214 fracción VII y demás preceptos relativos y aplicables del Reglamento Interno de la Administración Pública Municipal de Tlalnepantla de Baz, Estado de México; le solicito amablemente se sirva sugerir al ciudadano solicitante de la información, se dirija a la Dirección de Administración por ser la indicada y competente para proporcionar lo requerido. </w:t>
      </w:r>
    </w:p>
    <w:p w14:paraId="29F27528"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6.- </w:t>
      </w:r>
      <w:r w:rsidRPr="006A0CC2">
        <w:rPr>
          <w:rFonts w:ascii="Palatino Linotype" w:eastAsia="Palatino Linotype" w:hAnsi="Palatino Linotype" w:cs="Palatino Linotype"/>
          <w:b/>
          <w:i/>
        </w:rPr>
        <w:t xml:space="preserve">“Se me indique con comprobantes cuanto genera cada comedor de excedente ya que como se paga las comidas y desayunos y se tiene un </w:t>
      </w:r>
      <w:proofErr w:type="spellStart"/>
      <w:r w:rsidRPr="006A0CC2">
        <w:rPr>
          <w:rFonts w:ascii="Palatino Linotype" w:eastAsia="Palatino Linotype" w:hAnsi="Palatino Linotype" w:cs="Palatino Linotype"/>
          <w:b/>
          <w:i/>
        </w:rPr>
        <w:t>presuesto</w:t>
      </w:r>
      <w:proofErr w:type="spellEnd"/>
      <w:r w:rsidRPr="006A0CC2">
        <w:rPr>
          <w:rFonts w:ascii="Palatino Linotype" w:eastAsia="Palatino Linotype" w:hAnsi="Palatino Linotype" w:cs="Palatino Linotype"/>
          <w:b/>
          <w:i/>
        </w:rPr>
        <w:t xml:space="preserve"> municipal por mes entonces se empate presupuesto con </w:t>
      </w:r>
      <w:proofErr w:type="spellStart"/>
      <w:r w:rsidRPr="006A0CC2">
        <w:rPr>
          <w:rFonts w:ascii="Palatino Linotype" w:eastAsia="Palatino Linotype" w:hAnsi="Palatino Linotype" w:cs="Palatino Linotype"/>
          <w:b/>
          <w:i/>
        </w:rPr>
        <w:t>ganacia</w:t>
      </w:r>
      <w:proofErr w:type="spellEnd"/>
      <w:r w:rsidRPr="006A0CC2">
        <w:rPr>
          <w:rFonts w:ascii="Palatino Linotype" w:eastAsia="Palatino Linotype" w:hAnsi="Palatino Linotype" w:cs="Palatino Linotype"/>
          <w:b/>
          <w:i/>
        </w:rPr>
        <w:t xml:space="preserve"> y que se hace con ella. Con comprobantes…”</w:t>
      </w:r>
      <w:r w:rsidRPr="006A0CC2">
        <w:rPr>
          <w:rFonts w:ascii="Palatino Linotype" w:eastAsia="Palatino Linotype" w:hAnsi="Palatino Linotype" w:cs="Palatino Linotype"/>
          <w:i/>
        </w:rPr>
        <w:t>. Resulta importante dejar manifiesto que las comidas y desayunos no se pagan, en virtud de que es un Programa Social y de carácter no lucrativo, específicamente se solicita una cuota de recuperación, consistente en $10.00 (Diez pesos 00/</w:t>
      </w:r>
      <w:proofErr w:type="gramStart"/>
      <w:r w:rsidRPr="006A0CC2">
        <w:rPr>
          <w:rFonts w:ascii="Palatino Linotype" w:eastAsia="Palatino Linotype" w:hAnsi="Palatino Linotype" w:cs="Palatino Linotype"/>
          <w:i/>
        </w:rPr>
        <w:t>M.N</w:t>
      </w:r>
      <w:proofErr w:type="gramEnd"/>
      <w:r w:rsidRPr="006A0CC2">
        <w:rPr>
          <w:rFonts w:ascii="Palatino Linotype" w:eastAsia="Palatino Linotype" w:hAnsi="Palatino Linotype" w:cs="Palatino Linotype"/>
          <w:i/>
        </w:rPr>
        <w:t xml:space="preserve">) por desayuno y $15.00 (quince pesos 00/100 M.N) por comida. </w:t>
      </w:r>
    </w:p>
    <w:p w14:paraId="55854703"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No se puede empatar presupuesto con ganancia, toda vez que el presupuesto está determinado para cada ejercicio fiscal y en este caso para el Programa Social “Comedores Comunitarios” </w:t>
      </w:r>
      <w:proofErr w:type="gramStart"/>
      <w:r w:rsidRPr="006A0CC2">
        <w:rPr>
          <w:rFonts w:ascii="Palatino Linotype" w:eastAsia="Palatino Linotype" w:hAnsi="Palatino Linotype" w:cs="Palatino Linotype"/>
          <w:i/>
        </w:rPr>
        <w:t>y</w:t>
      </w:r>
      <w:proofErr w:type="gramEnd"/>
      <w:r w:rsidRPr="006A0CC2">
        <w:rPr>
          <w:rFonts w:ascii="Palatino Linotype" w:eastAsia="Palatino Linotype" w:hAnsi="Palatino Linotype" w:cs="Palatino Linotype"/>
          <w:i/>
        </w:rPr>
        <w:t xml:space="preserve"> por otra parte, dicho Programa no genera ganancias porque no es lucrativo, se genera una cuota de recuperación, la cual es mínima para sumar al buen desarrollo de cada comedor comunitario. </w:t>
      </w:r>
    </w:p>
    <w:p w14:paraId="750222DE" w14:textId="77777777" w:rsidR="00260C20" w:rsidRPr="006A0CC2" w:rsidRDefault="001A60FA">
      <w:pPr>
        <w:pBdr>
          <w:top w:val="nil"/>
          <w:left w:val="nil"/>
          <w:bottom w:val="nil"/>
          <w:right w:val="nil"/>
          <w:between w:val="nil"/>
        </w:pBdr>
        <w:spacing w:after="0" w:line="276" w:lineRule="auto"/>
        <w:ind w:left="1276" w:right="758"/>
        <w:jc w:val="both"/>
        <w:rPr>
          <w:rFonts w:ascii="Palatino Linotype" w:eastAsia="Palatino Linotype" w:hAnsi="Palatino Linotype" w:cs="Palatino Linotype"/>
          <w:i/>
        </w:rPr>
      </w:pPr>
      <w:r w:rsidRPr="006A0CC2">
        <w:rPr>
          <w:rFonts w:ascii="Palatino Linotype" w:eastAsia="Palatino Linotype" w:hAnsi="Palatino Linotype" w:cs="Palatino Linotype"/>
          <w:i/>
        </w:rPr>
        <w:t>Se agrega al presente un documento digital que evidencia lo solicitado a partir de la apertura de los comedores comunitarios del año 2022 a la presente anualidad. (Consultar anexo II)”.</w:t>
      </w:r>
    </w:p>
    <w:p w14:paraId="6E008440" w14:textId="77777777" w:rsidR="00260C20" w:rsidRPr="006A0CC2" w:rsidRDefault="00260C20">
      <w:p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p>
    <w:p w14:paraId="24DE70C8" w14:textId="77777777" w:rsidR="00260C20" w:rsidRPr="006A0CC2" w:rsidRDefault="001A60FA">
      <w:pPr>
        <w:numPr>
          <w:ilvl w:val="0"/>
          <w:numId w:val="12"/>
        </w:numPr>
        <w:pBdr>
          <w:top w:val="nil"/>
          <w:left w:val="nil"/>
          <w:bottom w:val="nil"/>
          <w:right w:val="nil"/>
          <w:between w:val="nil"/>
        </w:pBdr>
        <w:spacing w:after="0" w:line="360" w:lineRule="auto"/>
        <w:ind w:right="616"/>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Reglas de Operación del Programa Social </w:t>
      </w:r>
      <w:r w:rsidRPr="006A0CC2">
        <w:rPr>
          <w:rFonts w:ascii="Palatino Linotype" w:eastAsia="Palatino Linotype" w:hAnsi="Palatino Linotype" w:cs="Palatino Linotype"/>
          <w:i/>
        </w:rPr>
        <w:t>“Comedores Comunitarios”.</w:t>
      </w:r>
      <w:r w:rsidRPr="006A0CC2">
        <w:rPr>
          <w:rFonts w:ascii="Palatino Linotype" w:eastAsia="Palatino Linotype" w:hAnsi="Palatino Linotype" w:cs="Palatino Linotype"/>
        </w:rPr>
        <w:t xml:space="preserve"> </w:t>
      </w:r>
    </w:p>
    <w:p w14:paraId="049960EE" w14:textId="77777777" w:rsidR="00260C20" w:rsidRPr="006A0CC2" w:rsidRDefault="001A60FA">
      <w:pPr>
        <w:numPr>
          <w:ilvl w:val="0"/>
          <w:numId w:val="12"/>
        </w:numPr>
        <w:pBdr>
          <w:top w:val="nil"/>
          <w:left w:val="nil"/>
          <w:bottom w:val="nil"/>
          <w:right w:val="nil"/>
          <w:between w:val="nil"/>
        </w:pBdr>
        <w:spacing w:after="0" w:line="360" w:lineRule="auto"/>
        <w:ind w:right="616"/>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Documento que contiene el número de servicios de desayunos y comidas, otorgados por año, del 2022, 2023 y de enero a octubre de 2024, por comedor. </w:t>
      </w:r>
    </w:p>
    <w:p w14:paraId="0B284DC0" w14:textId="77777777" w:rsidR="00260C20" w:rsidRPr="006A0CC2" w:rsidRDefault="00260C20">
      <w:pPr>
        <w:pBdr>
          <w:top w:val="nil"/>
          <w:left w:val="nil"/>
          <w:bottom w:val="nil"/>
          <w:right w:val="nil"/>
          <w:between w:val="nil"/>
        </w:pBdr>
        <w:spacing w:after="0" w:line="360" w:lineRule="auto"/>
        <w:ind w:left="720"/>
        <w:jc w:val="both"/>
        <w:rPr>
          <w:rFonts w:ascii="Palatino Linotype" w:eastAsia="Palatino Linotype" w:hAnsi="Palatino Linotype" w:cs="Palatino Linotype"/>
          <w:b/>
          <w:i/>
        </w:rPr>
      </w:pPr>
    </w:p>
    <w:p w14:paraId="243B7693" w14:textId="77777777" w:rsidR="00260C20" w:rsidRPr="006A0CC2" w:rsidRDefault="001A60FA">
      <w:pPr>
        <w:spacing w:after="0" w:line="360" w:lineRule="auto"/>
        <w:ind w:right="-234"/>
        <w:jc w:val="both"/>
        <w:rPr>
          <w:rFonts w:ascii="Palatino Linotype" w:eastAsia="Palatino Linotype" w:hAnsi="Palatino Linotype" w:cs="Palatino Linotype"/>
        </w:rPr>
      </w:pPr>
      <w:r w:rsidRPr="006A0CC2">
        <w:rPr>
          <w:rFonts w:ascii="Palatino Linotype" w:eastAsia="Palatino Linotype" w:hAnsi="Palatino Linotype" w:cs="Palatino Linotype"/>
          <w:b/>
        </w:rPr>
        <w:lastRenderedPageBreak/>
        <w:t xml:space="preserve">3. Recurso de Revisión. </w:t>
      </w:r>
      <w:r w:rsidRPr="006A0CC2">
        <w:rPr>
          <w:rFonts w:ascii="Palatino Linotype" w:eastAsia="Palatino Linotype" w:hAnsi="Palatino Linotype" w:cs="Palatino Linotype"/>
        </w:rPr>
        <w:t>Inconforme con la respuesta del</w:t>
      </w:r>
      <w:r w:rsidRPr="006A0CC2">
        <w:rPr>
          <w:rFonts w:ascii="Palatino Linotype" w:eastAsia="Palatino Linotype" w:hAnsi="Palatino Linotype" w:cs="Palatino Linotype"/>
          <w:b/>
        </w:rPr>
        <w:t xml:space="preserve"> Sujeto Obligado, </w:t>
      </w:r>
      <w:r w:rsidRPr="006A0CC2">
        <w:rPr>
          <w:rFonts w:ascii="Palatino Linotype" w:eastAsia="Palatino Linotype" w:hAnsi="Palatino Linotype" w:cs="Palatino Linotype"/>
        </w:rPr>
        <w:t>en fecha veintiséis de noviembre de dos mil veinticuatro,</w:t>
      </w:r>
      <w:r w:rsidRPr="006A0CC2">
        <w:rPr>
          <w:rFonts w:ascii="Palatino Linotype" w:eastAsia="Palatino Linotype" w:hAnsi="Palatino Linotype" w:cs="Palatino Linotype"/>
          <w:b/>
        </w:rPr>
        <w:t xml:space="preserve"> </w:t>
      </w:r>
      <w:r w:rsidRPr="006A0CC2">
        <w:rPr>
          <w:rFonts w:ascii="Palatino Linotype" w:eastAsia="Palatino Linotype" w:hAnsi="Palatino Linotype" w:cs="Palatino Linotype"/>
        </w:rPr>
        <w:t>la parte</w:t>
      </w:r>
      <w:r w:rsidRPr="006A0CC2">
        <w:rPr>
          <w:rFonts w:ascii="Palatino Linotype" w:eastAsia="Palatino Linotype" w:hAnsi="Palatino Linotype" w:cs="Palatino Linotype"/>
          <w:b/>
        </w:rPr>
        <w:t xml:space="preserve"> Recurrente </w:t>
      </w:r>
      <w:r w:rsidRPr="006A0CC2">
        <w:rPr>
          <w:rFonts w:ascii="Palatino Linotype" w:eastAsia="Palatino Linotype" w:hAnsi="Palatino Linotype" w:cs="Palatino Linotype"/>
        </w:rPr>
        <w:t>interpuso el recurso de revisión, el cual fue registrado</w:t>
      </w:r>
      <w:r w:rsidRPr="006A0CC2">
        <w:rPr>
          <w:rFonts w:ascii="Palatino Linotype" w:eastAsia="Palatino Linotype" w:hAnsi="Palatino Linotype" w:cs="Palatino Linotype"/>
          <w:b/>
        </w:rPr>
        <w:t xml:space="preserve"> </w:t>
      </w:r>
      <w:r w:rsidRPr="006A0CC2">
        <w:rPr>
          <w:rFonts w:ascii="Palatino Linotype" w:eastAsia="Palatino Linotype" w:hAnsi="Palatino Linotype" w:cs="Palatino Linotype"/>
        </w:rPr>
        <w:t xml:space="preserve">en el sistema electrónico con el expediente número </w:t>
      </w:r>
      <w:r w:rsidRPr="006A0CC2">
        <w:rPr>
          <w:rFonts w:ascii="Palatino Linotype" w:eastAsia="Palatino Linotype" w:hAnsi="Palatino Linotype" w:cs="Palatino Linotype"/>
          <w:b/>
        </w:rPr>
        <w:t>07359/INFOEM/IP/RR/2024</w:t>
      </w:r>
      <w:r w:rsidRPr="006A0CC2">
        <w:rPr>
          <w:rFonts w:ascii="Palatino Linotype" w:eastAsia="Palatino Linotype" w:hAnsi="Palatino Linotype" w:cs="Palatino Linotype"/>
        </w:rPr>
        <w:t>, en el cual manifiesta, lo siguiente:</w:t>
      </w:r>
    </w:p>
    <w:p w14:paraId="1840A53E" w14:textId="77777777" w:rsidR="00260C20" w:rsidRPr="006A0CC2" w:rsidRDefault="001A60FA">
      <w:pPr>
        <w:spacing w:after="0" w:line="360" w:lineRule="auto"/>
        <w:ind w:right="-234"/>
        <w:jc w:val="both"/>
        <w:rPr>
          <w:rFonts w:ascii="Palatino Linotype" w:eastAsia="Palatino Linotype" w:hAnsi="Palatino Linotype" w:cs="Palatino Linotype"/>
          <w:b/>
        </w:rPr>
      </w:pPr>
      <w:r w:rsidRPr="006A0CC2">
        <w:rPr>
          <w:rFonts w:ascii="Palatino Linotype" w:eastAsia="Palatino Linotype" w:hAnsi="Palatino Linotype" w:cs="Palatino Linotype"/>
        </w:rPr>
        <w:t xml:space="preserve"> </w:t>
      </w:r>
    </w:p>
    <w:p w14:paraId="03100C13" w14:textId="77777777" w:rsidR="00260C20" w:rsidRPr="006A0CC2" w:rsidRDefault="001A60FA">
      <w:pPr>
        <w:numPr>
          <w:ilvl w:val="0"/>
          <w:numId w:val="1"/>
        </w:numPr>
        <w:pBdr>
          <w:top w:val="nil"/>
          <w:left w:val="nil"/>
          <w:bottom w:val="nil"/>
          <w:right w:val="nil"/>
          <w:between w:val="nil"/>
        </w:pBdr>
        <w:spacing w:after="240" w:line="360" w:lineRule="auto"/>
        <w:ind w:left="851" w:right="758"/>
        <w:jc w:val="both"/>
        <w:rPr>
          <w:rFonts w:ascii="Palatino Linotype" w:eastAsia="Palatino Linotype" w:hAnsi="Palatino Linotype" w:cs="Palatino Linotype"/>
          <w:b/>
          <w:i/>
        </w:rPr>
      </w:pPr>
      <w:r w:rsidRPr="006A0CC2">
        <w:rPr>
          <w:rFonts w:ascii="Palatino Linotype" w:eastAsia="Palatino Linotype" w:hAnsi="Palatino Linotype" w:cs="Palatino Linotype"/>
          <w:b/>
          <w:i/>
        </w:rPr>
        <w:t>Acto Impugnado:</w:t>
      </w:r>
    </w:p>
    <w:p w14:paraId="19ABF27F" w14:textId="77777777" w:rsidR="00260C20" w:rsidRPr="006A0CC2" w:rsidRDefault="001A60FA">
      <w:pPr>
        <w:tabs>
          <w:tab w:val="left" w:pos="8222"/>
        </w:tabs>
        <w:spacing w:before="240" w:after="24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proofErr w:type="spellStart"/>
      <w:r w:rsidRPr="006A0CC2">
        <w:rPr>
          <w:rFonts w:ascii="Palatino Linotype" w:eastAsia="Palatino Linotype" w:hAnsi="Palatino Linotype" w:cs="Palatino Linotype"/>
          <w:i/>
        </w:rPr>
        <w:t>Contestacion</w:t>
      </w:r>
      <w:proofErr w:type="spellEnd"/>
      <w:r w:rsidRPr="006A0CC2">
        <w:rPr>
          <w:rFonts w:ascii="Palatino Linotype" w:eastAsia="Palatino Linotype" w:hAnsi="Palatino Linotype" w:cs="Palatino Linotype"/>
          <w:i/>
        </w:rPr>
        <w:t xml:space="preserve"> que se refiere al UTAIM/2945/2024 de la </w:t>
      </w:r>
      <w:proofErr w:type="spellStart"/>
      <w:r w:rsidRPr="006A0CC2">
        <w:rPr>
          <w:rFonts w:ascii="Palatino Linotype" w:eastAsia="Palatino Linotype" w:hAnsi="Palatino Linotype" w:cs="Palatino Linotype"/>
          <w:i/>
        </w:rPr>
        <w:t>direccion</w:t>
      </w:r>
      <w:proofErr w:type="spellEnd"/>
      <w:r w:rsidRPr="006A0CC2">
        <w:rPr>
          <w:rFonts w:ascii="Palatino Linotype" w:eastAsia="Palatino Linotype" w:hAnsi="Palatino Linotype" w:cs="Palatino Linotype"/>
          <w:i/>
        </w:rPr>
        <w:t xml:space="preserve"> de Desarrollo Social.” [sic]</w:t>
      </w:r>
    </w:p>
    <w:p w14:paraId="7482B173" w14:textId="77777777" w:rsidR="00260C20" w:rsidRPr="006A0CC2" w:rsidRDefault="001A60FA">
      <w:pPr>
        <w:numPr>
          <w:ilvl w:val="0"/>
          <w:numId w:val="1"/>
        </w:numPr>
        <w:pBdr>
          <w:top w:val="nil"/>
          <w:left w:val="nil"/>
          <w:bottom w:val="nil"/>
          <w:right w:val="nil"/>
          <w:between w:val="nil"/>
        </w:pBdr>
        <w:spacing w:before="240" w:after="240" w:line="360" w:lineRule="auto"/>
        <w:ind w:left="851" w:right="758"/>
        <w:rPr>
          <w:rFonts w:ascii="Palatino Linotype" w:eastAsia="Palatino Linotype" w:hAnsi="Palatino Linotype" w:cs="Palatino Linotype"/>
          <w:i/>
        </w:rPr>
      </w:pPr>
      <w:r w:rsidRPr="006A0CC2">
        <w:rPr>
          <w:rFonts w:ascii="Palatino Linotype" w:eastAsia="Palatino Linotype" w:hAnsi="Palatino Linotype" w:cs="Palatino Linotype"/>
          <w:b/>
          <w:i/>
        </w:rPr>
        <w:t>Razones o Motivos de Inconformidad</w:t>
      </w:r>
      <w:r w:rsidRPr="006A0CC2">
        <w:rPr>
          <w:rFonts w:ascii="Palatino Linotype" w:eastAsia="Palatino Linotype" w:hAnsi="Palatino Linotype" w:cs="Palatino Linotype"/>
          <w:i/>
        </w:rPr>
        <w:t>:</w:t>
      </w:r>
    </w:p>
    <w:p w14:paraId="54DE8C47" w14:textId="77777777" w:rsidR="00260C20" w:rsidRPr="006A0CC2" w:rsidRDefault="001A60FA">
      <w:pPr>
        <w:spacing w:before="240" w:after="0" w:line="276" w:lineRule="auto"/>
        <w:ind w:left="851" w:right="616"/>
        <w:jc w:val="both"/>
        <w:rPr>
          <w:rFonts w:ascii="Palatino Linotype" w:eastAsia="Palatino Linotype" w:hAnsi="Palatino Linotype" w:cs="Palatino Linotype"/>
          <w:i/>
        </w:rPr>
      </w:pPr>
      <w:bookmarkStart w:id="1" w:name="_heading=h.30j0zll" w:colFirst="0" w:colLast="0"/>
      <w:bookmarkEnd w:id="1"/>
      <w:r w:rsidRPr="006A0CC2">
        <w:rPr>
          <w:rFonts w:ascii="Palatino Linotype" w:eastAsia="Palatino Linotype" w:hAnsi="Palatino Linotype" w:cs="Palatino Linotype"/>
          <w:i/>
        </w:rPr>
        <w:t xml:space="preserve">“No se me contesto. NO dan la </w:t>
      </w:r>
      <w:proofErr w:type="spellStart"/>
      <w:r w:rsidRPr="006A0CC2">
        <w:rPr>
          <w:rFonts w:ascii="Palatino Linotype" w:eastAsia="Palatino Linotype" w:hAnsi="Palatino Linotype" w:cs="Palatino Linotype"/>
          <w:i/>
        </w:rPr>
        <w:t>informacion</w:t>
      </w:r>
      <w:proofErr w:type="spellEnd"/>
      <w:r w:rsidRPr="006A0CC2">
        <w:rPr>
          <w:rFonts w:ascii="Palatino Linotype" w:eastAsia="Palatino Linotype" w:hAnsi="Palatino Linotype" w:cs="Palatino Linotype"/>
          <w:i/>
        </w:rPr>
        <w:t xml:space="preserve"> que se pide </w:t>
      </w:r>
      <w:proofErr w:type="spellStart"/>
      <w:r w:rsidRPr="006A0CC2">
        <w:rPr>
          <w:rFonts w:ascii="Palatino Linotype" w:eastAsia="Palatino Linotype" w:hAnsi="Palatino Linotype" w:cs="Palatino Linotype"/>
          <w:i/>
        </w:rPr>
        <w:t>excusandose</w:t>
      </w:r>
      <w:proofErr w:type="spellEnd"/>
      <w:r w:rsidRPr="006A0CC2">
        <w:rPr>
          <w:rFonts w:ascii="Palatino Linotype" w:eastAsia="Palatino Linotype" w:hAnsi="Palatino Linotype" w:cs="Palatino Linotype"/>
          <w:i/>
        </w:rPr>
        <w:t xml:space="preserve"> en el </w:t>
      </w:r>
      <w:proofErr w:type="spellStart"/>
      <w:r w:rsidRPr="006A0CC2">
        <w:rPr>
          <w:rFonts w:ascii="Palatino Linotype" w:eastAsia="Palatino Linotype" w:hAnsi="Palatino Linotype" w:cs="Palatino Linotype"/>
          <w:i/>
        </w:rPr>
        <w:t>articulo</w:t>
      </w:r>
      <w:proofErr w:type="spellEnd"/>
      <w:r w:rsidRPr="006A0CC2">
        <w:rPr>
          <w:rFonts w:ascii="Palatino Linotype" w:eastAsia="Palatino Linotype" w:hAnsi="Palatino Linotype" w:cs="Palatino Linotype"/>
          <w:i/>
        </w:rPr>
        <w:t xml:space="preserve"> 12 de la Ley de Transparencia, y lo acomodan en su "beneficio"... lo que no consideran es que no </w:t>
      </w:r>
      <w:proofErr w:type="spellStart"/>
      <w:r w:rsidRPr="006A0CC2">
        <w:rPr>
          <w:rFonts w:ascii="Palatino Linotype" w:eastAsia="Palatino Linotype" w:hAnsi="Palatino Linotype" w:cs="Palatino Linotype"/>
          <w:i/>
        </w:rPr>
        <w:t>estan</w:t>
      </w:r>
      <w:proofErr w:type="spellEnd"/>
      <w:r w:rsidRPr="006A0CC2">
        <w:rPr>
          <w:rFonts w:ascii="Palatino Linotype" w:eastAsia="Palatino Linotype" w:hAnsi="Palatino Linotype" w:cs="Palatino Linotype"/>
          <w:i/>
        </w:rPr>
        <w:t xml:space="preserve"> dando nada de </w:t>
      </w:r>
      <w:proofErr w:type="spellStart"/>
      <w:r w:rsidRPr="006A0CC2">
        <w:rPr>
          <w:rFonts w:ascii="Palatino Linotype" w:eastAsia="Palatino Linotype" w:hAnsi="Palatino Linotype" w:cs="Palatino Linotype"/>
          <w:i/>
        </w:rPr>
        <w:t>informacion</w:t>
      </w:r>
      <w:proofErr w:type="spellEnd"/>
      <w:r w:rsidRPr="006A0CC2">
        <w:rPr>
          <w:rFonts w:ascii="Palatino Linotype" w:eastAsia="Palatino Linotype" w:hAnsi="Palatino Linotype" w:cs="Palatino Linotype"/>
          <w:i/>
        </w:rPr>
        <w:t xml:space="preserve"> y toda la </w:t>
      </w:r>
      <w:proofErr w:type="spellStart"/>
      <w:r w:rsidRPr="006A0CC2">
        <w:rPr>
          <w:rFonts w:ascii="Palatino Linotype" w:eastAsia="Palatino Linotype" w:hAnsi="Palatino Linotype" w:cs="Palatino Linotype"/>
          <w:i/>
        </w:rPr>
        <w:t>informacion</w:t>
      </w:r>
      <w:proofErr w:type="spellEnd"/>
      <w:r w:rsidRPr="006A0CC2">
        <w:rPr>
          <w:rFonts w:ascii="Palatino Linotype" w:eastAsia="Palatino Linotype" w:hAnsi="Palatino Linotype" w:cs="Palatino Linotype"/>
          <w:i/>
        </w:rPr>
        <w:t xml:space="preserve"> que deriva de gasto es publica y lo que se solicite lo es porque no estoy pidiendo datos personales, ahora bien si el razonamiento es que no tiene la </w:t>
      </w:r>
      <w:proofErr w:type="spellStart"/>
      <w:r w:rsidRPr="006A0CC2">
        <w:rPr>
          <w:rFonts w:ascii="Palatino Linotype" w:eastAsia="Palatino Linotype" w:hAnsi="Palatino Linotype" w:cs="Palatino Linotype"/>
          <w:i/>
        </w:rPr>
        <w:t>informacion</w:t>
      </w:r>
      <w:proofErr w:type="spellEnd"/>
      <w:r w:rsidRPr="006A0CC2">
        <w:rPr>
          <w:rFonts w:ascii="Palatino Linotype" w:eastAsia="Palatino Linotype" w:hAnsi="Palatino Linotype" w:cs="Palatino Linotype"/>
          <w:i/>
        </w:rPr>
        <w:t xml:space="preserve"> de la forma que se pide </w:t>
      </w:r>
      <w:proofErr w:type="spellStart"/>
      <w:r w:rsidRPr="006A0CC2">
        <w:rPr>
          <w:rFonts w:ascii="Palatino Linotype" w:eastAsia="Palatino Linotype" w:hAnsi="Palatino Linotype" w:cs="Palatino Linotype"/>
          <w:i/>
        </w:rPr>
        <w:t>estarian</w:t>
      </w:r>
      <w:proofErr w:type="spellEnd"/>
      <w:r w:rsidRPr="006A0CC2">
        <w:rPr>
          <w:rFonts w:ascii="Palatino Linotype" w:eastAsia="Palatino Linotype" w:hAnsi="Palatino Linotype" w:cs="Palatino Linotype"/>
          <w:i/>
        </w:rPr>
        <w:t xml:space="preserve"> obligados a dar entonces toda la </w:t>
      </w:r>
      <w:proofErr w:type="spellStart"/>
      <w:r w:rsidRPr="006A0CC2">
        <w:rPr>
          <w:rFonts w:ascii="Palatino Linotype" w:eastAsia="Palatino Linotype" w:hAnsi="Palatino Linotype" w:cs="Palatino Linotype"/>
          <w:i/>
        </w:rPr>
        <w:t>infomacion</w:t>
      </w:r>
      <w:proofErr w:type="spellEnd"/>
      <w:r w:rsidRPr="006A0CC2">
        <w:rPr>
          <w:rFonts w:ascii="Palatino Linotype" w:eastAsia="Palatino Linotype" w:hAnsi="Palatino Linotype" w:cs="Palatino Linotype"/>
          <w:i/>
        </w:rPr>
        <w:t xml:space="preserve"> de sus </w:t>
      </w:r>
      <w:proofErr w:type="spellStart"/>
      <w:r w:rsidRPr="006A0CC2">
        <w:rPr>
          <w:rFonts w:ascii="Palatino Linotype" w:eastAsia="Palatino Linotype" w:hAnsi="Palatino Linotype" w:cs="Palatino Linotype"/>
          <w:i/>
        </w:rPr>
        <w:t>areas</w:t>
      </w:r>
      <w:proofErr w:type="spellEnd"/>
      <w:r w:rsidRPr="006A0CC2">
        <w:rPr>
          <w:rFonts w:ascii="Palatino Linotype" w:eastAsia="Palatino Linotype" w:hAnsi="Palatino Linotype" w:cs="Palatino Linotype"/>
          <w:i/>
        </w:rPr>
        <w:t xml:space="preserve"> como se tengan o de lo contario declararse incompetentes para que los ciudadanos podamos iniciar el proceso en </w:t>
      </w:r>
      <w:proofErr w:type="spellStart"/>
      <w:r w:rsidRPr="006A0CC2">
        <w:rPr>
          <w:rFonts w:ascii="Palatino Linotype" w:eastAsia="Palatino Linotype" w:hAnsi="Palatino Linotype" w:cs="Palatino Linotype"/>
          <w:i/>
        </w:rPr>
        <w:t>contraloria</w:t>
      </w:r>
      <w:proofErr w:type="spellEnd"/>
      <w:r w:rsidRPr="006A0CC2">
        <w:rPr>
          <w:rFonts w:ascii="Palatino Linotype" w:eastAsia="Palatino Linotype" w:hAnsi="Palatino Linotype" w:cs="Palatino Linotype"/>
          <w:i/>
        </w:rPr>
        <w:t xml:space="preserve"> porque que no </w:t>
      </w:r>
      <w:proofErr w:type="spellStart"/>
      <w:r w:rsidRPr="006A0CC2">
        <w:rPr>
          <w:rFonts w:ascii="Palatino Linotype" w:eastAsia="Palatino Linotype" w:hAnsi="Palatino Linotype" w:cs="Palatino Linotype"/>
          <w:i/>
        </w:rPr>
        <w:t>estan</w:t>
      </w:r>
      <w:proofErr w:type="spellEnd"/>
      <w:r w:rsidRPr="006A0CC2">
        <w:rPr>
          <w:rFonts w:ascii="Palatino Linotype" w:eastAsia="Palatino Linotype" w:hAnsi="Palatino Linotype" w:cs="Palatino Linotype"/>
          <w:i/>
        </w:rPr>
        <w:t xml:space="preserve"> cumpliendo sus obligaciones como servidores </w:t>
      </w:r>
      <w:proofErr w:type="spellStart"/>
      <w:r w:rsidRPr="006A0CC2">
        <w:rPr>
          <w:rFonts w:ascii="Palatino Linotype" w:eastAsia="Palatino Linotype" w:hAnsi="Palatino Linotype" w:cs="Palatino Linotype"/>
          <w:i/>
        </w:rPr>
        <w:t>publicos</w:t>
      </w:r>
      <w:proofErr w:type="spellEnd"/>
      <w:r w:rsidRPr="006A0CC2">
        <w:rPr>
          <w:rFonts w:ascii="Palatino Linotype" w:eastAsia="Palatino Linotype" w:hAnsi="Palatino Linotype" w:cs="Palatino Linotype"/>
          <w:i/>
        </w:rPr>
        <w:t>.” [sic]</w:t>
      </w:r>
    </w:p>
    <w:p w14:paraId="78B8513D" w14:textId="77777777" w:rsidR="00260C20" w:rsidRPr="006A0CC2" w:rsidRDefault="00260C20">
      <w:pPr>
        <w:spacing w:after="0" w:line="360" w:lineRule="auto"/>
        <w:jc w:val="both"/>
        <w:rPr>
          <w:rFonts w:ascii="Palatino Linotype" w:eastAsia="Palatino Linotype" w:hAnsi="Palatino Linotype" w:cs="Palatino Linotype"/>
        </w:rPr>
      </w:pPr>
    </w:p>
    <w:p w14:paraId="52117C02"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4. Turno. </w:t>
      </w:r>
      <w:r w:rsidRPr="006A0CC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A0CC2">
        <w:rPr>
          <w:rFonts w:ascii="Palatino Linotype" w:eastAsia="Palatino Linotype" w:hAnsi="Palatino Linotype" w:cs="Palatino Linotype"/>
          <w:b/>
        </w:rPr>
        <w:t xml:space="preserve">Guadalupe Ramírez Peña, </w:t>
      </w:r>
      <w:r w:rsidRPr="006A0CC2">
        <w:rPr>
          <w:rFonts w:ascii="Palatino Linotype" w:eastAsia="Palatino Linotype" w:hAnsi="Palatino Linotype" w:cs="Palatino Linotype"/>
        </w:rPr>
        <w:t xml:space="preserve">a efecto de que analizara sobre su admisión o su </w:t>
      </w:r>
      <w:proofErr w:type="spellStart"/>
      <w:r w:rsidRPr="006A0CC2">
        <w:rPr>
          <w:rFonts w:ascii="Palatino Linotype" w:eastAsia="Palatino Linotype" w:hAnsi="Palatino Linotype" w:cs="Palatino Linotype"/>
        </w:rPr>
        <w:t>desechamiento</w:t>
      </w:r>
      <w:proofErr w:type="spellEnd"/>
      <w:r w:rsidRPr="006A0CC2">
        <w:rPr>
          <w:rFonts w:ascii="Palatino Linotype" w:eastAsia="Palatino Linotype" w:hAnsi="Palatino Linotype" w:cs="Palatino Linotype"/>
        </w:rPr>
        <w:t>.</w:t>
      </w:r>
    </w:p>
    <w:p w14:paraId="03CF3378" w14:textId="77777777" w:rsidR="00260C20" w:rsidRPr="006A0CC2" w:rsidRDefault="00260C20">
      <w:pPr>
        <w:spacing w:after="0" w:line="360" w:lineRule="auto"/>
        <w:jc w:val="both"/>
        <w:rPr>
          <w:rFonts w:ascii="Palatino Linotype" w:eastAsia="Palatino Linotype" w:hAnsi="Palatino Linotype" w:cs="Palatino Linotype"/>
        </w:rPr>
      </w:pPr>
    </w:p>
    <w:p w14:paraId="3EF634CC"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5. Admisión del Recurso de Revisión.</w:t>
      </w:r>
      <w:r w:rsidRPr="006A0CC2">
        <w:rPr>
          <w:rFonts w:ascii="Palatino Linotype" w:eastAsia="Palatino Linotype" w:hAnsi="Palatino Linotype" w:cs="Palatino Linotype"/>
        </w:rPr>
        <w:t xml:space="preserve"> Con fecha</w:t>
      </w:r>
      <w:r w:rsidRPr="006A0CC2">
        <w:rPr>
          <w:rFonts w:ascii="Palatino Linotype" w:eastAsia="Palatino Linotype" w:hAnsi="Palatino Linotype" w:cs="Palatino Linotype"/>
          <w:b/>
        </w:rPr>
        <w:t xml:space="preserve"> veintinueve de noviembre de dos mil veinticuatro</w:t>
      </w:r>
      <w:r w:rsidRPr="006A0CC2">
        <w:rPr>
          <w:rFonts w:ascii="Palatino Linotype" w:eastAsia="Palatino Linotype" w:hAnsi="Palatino Linotype" w:cs="Palatino Linotype"/>
        </w:rPr>
        <w:t>,</w:t>
      </w:r>
      <w:r w:rsidRPr="006A0CC2">
        <w:rPr>
          <w:rFonts w:ascii="Palatino Linotype" w:eastAsia="Palatino Linotype" w:hAnsi="Palatino Linotype" w:cs="Palatino Linotype"/>
          <w:b/>
        </w:rPr>
        <w:t xml:space="preserve"> </w:t>
      </w:r>
      <w:r w:rsidRPr="006A0CC2">
        <w:rPr>
          <w:rFonts w:ascii="Palatino Linotype" w:eastAsia="Palatino Linotype" w:hAnsi="Palatino Linotype" w:cs="Palatino Linotype"/>
        </w:rPr>
        <w:t xml:space="preserve">este Instituto de Transparencia, Acceso a la Información Pública y Protección </w:t>
      </w:r>
      <w:r w:rsidRPr="006A0CC2">
        <w:rPr>
          <w:rFonts w:ascii="Palatino Linotype" w:eastAsia="Palatino Linotype" w:hAnsi="Palatino Linotype" w:cs="Palatino Linotype"/>
        </w:rPr>
        <w:lastRenderedPageBreak/>
        <w:t>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w:t>
      </w:r>
      <w:r w:rsidRPr="006A0CC2">
        <w:rPr>
          <w:rFonts w:ascii="Palatino Linotype" w:eastAsia="Palatino Linotype" w:hAnsi="Palatino Linotype" w:cs="Palatino Linotype"/>
          <w:b/>
        </w:rPr>
        <w:t xml:space="preserve"> Sujeto Obligado </w:t>
      </w:r>
      <w:r w:rsidRPr="006A0CC2">
        <w:rPr>
          <w:rFonts w:ascii="Palatino Linotype" w:eastAsia="Palatino Linotype" w:hAnsi="Palatino Linotype" w:cs="Palatino Linotype"/>
        </w:rPr>
        <w:t>presentará su informe justificado.</w:t>
      </w:r>
    </w:p>
    <w:p w14:paraId="0654446A" w14:textId="77777777" w:rsidR="00260C20" w:rsidRPr="006A0CC2" w:rsidRDefault="00260C20">
      <w:pPr>
        <w:spacing w:after="0" w:line="360" w:lineRule="auto"/>
        <w:jc w:val="both"/>
        <w:rPr>
          <w:rFonts w:ascii="Palatino Linotype" w:eastAsia="Palatino Linotype" w:hAnsi="Palatino Linotype" w:cs="Palatino Linotype"/>
        </w:rPr>
      </w:pPr>
    </w:p>
    <w:p w14:paraId="69D142DD" w14:textId="77777777" w:rsidR="00260C20" w:rsidRPr="006A0CC2" w:rsidRDefault="001A60FA">
      <w:pP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b/>
        </w:rPr>
        <w:t>6. Manifestaciones.</w:t>
      </w:r>
      <w:r w:rsidRPr="006A0CC2">
        <w:rPr>
          <w:rFonts w:ascii="Palatino Linotype" w:eastAsia="Palatino Linotype" w:hAnsi="Palatino Linotype" w:cs="Palatino Linotype"/>
        </w:rPr>
        <w:t xml:space="preserve"> De las constancias que obran en el expediente electrónico del SAIMEX se desprende que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rindió su informe justificado, en fecha </w:t>
      </w:r>
      <w:r w:rsidRPr="006A0CC2">
        <w:rPr>
          <w:rFonts w:ascii="Palatino Linotype" w:eastAsia="Palatino Linotype" w:hAnsi="Palatino Linotype" w:cs="Palatino Linotype"/>
          <w:b/>
        </w:rPr>
        <w:t>cuatro de diciembre de dos mil veinticuatr</w:t>
      </w:r>
      <w:r w:rsidRPr="006A0CC2">
        <w:rPr>
          <w:rFonts w:ascii="Palatino Linotype" w:eastAsia="Palatino Linotype" w:hAnsi="Palatino Linotype" w:cs="Palatino Linotype"/>
        </w:rPr>
        <w:t xml:space="preserve">o, adjuntando la carpeta comprimida denominada </w:t>
      </w:r>
      <w:r w:rsidRPr="006A0CC2">
        <w:rPr>
          <w:rFonts w:ascii="Palatino Linotype" w:eastAsia="Palatino Linotype" w:hAnsi="Palatino Linotype" w:cs="Palatino Linotype"/>
          <w:i/>
        </w:rPr>
        <w:t>“MANIFESTACION.zip”</w:t>
      </w:r>
      <w:r w:rsidRPr="006A0CC2">
        <w:rPr>
          <w:rFonts w:ascii="Palatino Linotype" w:eastAsia="Palatino Linotype" w:hAnsi="Palatino Linotype" w:cs="Palatino Linotype"/>
        </w:rPr>
        <w:t xml:space="preserve">, la cual contiene: </w:t>
      </w:r>
    </w:p>
    <w:p w14:paraId="1BFF0682" w14:textId="77777777" w:rsidR="00260C20" w:rsidRPr="006A0CC2" w:rsidRDefault="00260C20">
      <w:pPr>
        <w:spacing w:after="0" w:line="360" w:lineRule="auto"/>
        <w:ind w:right="49"/>
        <w:jc w:val="both"/>
        <w:rPr>
          <w:rFonts w:ascii="Palatino Linotype" w:eastAsia="Palatino Linotype" w:hAnsi="Palatino Linotype" w:cs="Palatino Linotype"/>
        </w:rPr>
      </w:pPr>
    </w:p>
    <w:p w14:paraId="21A9641F" w14:textId="77777777" w:rsidR="00260C20" w:rsidRPr="006A0CC2" w:rsidRDefault="001A60FA">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Oficio número UTAIM/3088/2024 de fecha veintiséis de noviembre de dos mil veinticuatro, signado por el Titular de la Unidad de Transparencia, mediante el cual solicitó al </w:t>
      </w:r>
      <w:proofErr w:type="gramStart"/>
      <w:r w:rsidRPr="006A0CC2">
        <w:rPr>
          <w:rFonts w:ascii="Palatino Linotype" w:eastAsia="Palatino Linotype" w:hAnsi="Palatino Linotype" w:cs="Palatino Linotype"/>
        </w:rPr>
        <w:t>Director</w:t>
      </w:r>
      <w:proofErr w:type="gramEnd"/>
      <w:r w:rsidRPr="006A0CC2">
        <w:rPr>
          <w:rFonts w:ascii="Palatino Linotype" w:eastAsia="Palatino Linotype" w:hAnsi="Palatino Linotype" w:cs="Palatino Linotype"/>
        </w:rPr>
        <w:t xml:space="preserve"> de Administración gire sus instrucciones a quien corresponda con la finalidad de que se realicen las manifestaciones que considere pertinente y que su derecho convenga, ya sea justificando su respuesta, ratificando o complementando la información requerida. </w:t>
      </w:r>
    </w:p>
    <w:p w14:paraId="7A72CA42" w14:textId="77777777" w:rsidR="00260C20" w:rsidRPr="006A0CC2" w:rsidRDefault="001A60FA">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Oficio número UTAIM/3089/2024 de fecha veintiséis de noviembre de dos mil veinticuatro, signado por el Titular de la Unidad de Transparencia, mediante el cual solicitó al </w:t>
      </w:r>
      <w:proofErr w:type="gramStart"/>
      <w:r w:rsidRPr="006A0CC2">
        <w:rPr>
          <w:rFonts w:ascii="Palatino Linotype" w:eastAsia="Palatino Linotype" w:hAnsi="Palatino Linotype" w:cs="Palatino Linotype"/>
        </w:rPr>
        <w:t>Director</w:t>
      </w:r>
      <w:proofErr w:type="gramEnd"/>
      <w:r w:rsidRPr="006A0CC2">
        <w:rPr>
          <w:rFonts w:ascii="Palatino Linotype" w:eastAsia="Palatino Linotype" w:hAnsi="Palatino Linotype" w:cs="Palatino Linotype"/>
        </w:rPr>
        <w:t xml:space="preserve"> de Desarrollo Social gire sus instrucciones a quien corresponda con la finalidad de que se realicen las manifestaciones que considere pertinente y que su derecho convenga, ya sea justificando su respuesta, ratificando o complementando la información requerida. </w:t>
      </w:r>
    </w:p>
    <w:p w14:paraId="20C62D61" w14:textId="77777777" w:rsidR="00260C20" w:rsidRPr="006A0CC2" w:rsidRDefault="001A60FA">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Oficio número DA/4775/2024 de fecha tres de diciembre de dos mil veinticuatro, signado por el </w:t>
      </w:r>
      <w:proofErr w:type="gramStart"/>
      <w:r w:rsidRPr="006A0CC2">
        <w:rPr>
          <w:rFonts w:ascii="Palatino Linotype" w:eastAsia="Palatino Linotype" w:hAnsi="Palatino Linotype" w:cs="Palatino Linotype"/>
        </w:rPr>
        <w:t>Director</w:t>
      </w:r>
      <w:proofErr w:type="gramEnd"/>
      <w:r w:rsidRPr="006A0CC2">
        <w:rPr>
          <w:rFonts w:ascii="Palatino Linotype" w:eastAsia="Palatino Linotype" w:hAnsi="Palatino Linotype" w:cs="Palatino Linotype"/>
        </w:rPr>
        <w:t xml:space="preserve"> de Administración, en el que ratificó su respuesta. </w:t>
      </w:r>
    </w:p>
    <w:p w14:paraId="6DC7AF30" w14:textId="77777777" w:rsidR="00260C20" w:rsidRPr="006A0CC2" w:rsidRDefault="001A60FA">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Oficio número DA/1958/2024 de fecha veintinueve de noviembre de dos mil veinticuatro, signado por la </w:t>
      </w:r>
      <w:proofErr w:type="gramStart"/>
      <w:r w:rsidRPr="006A0CC2">
        <w:rPr>
          <w:rFonts w:ascii="Palatino Linotype" w:eastAsia="Palatino Linotype" w:hAnsi="Palatino Linotype" w:cs="Palatino Linotype"/>
        </w:rPr>
        <w:t>Subdirectora</w:t>
      </w:r>
      <w:proofErr w:type="gramEnd"/>
      <w:r w:rsidRPr="006A0CC2">
        <w:rPr>
          <w:rFonts w:ascii="Palatino Linotype" w:eastAsia="Palatino Linotype" w:hAnsi="Palatino Linotype" w:cs="Palatino Linotype"/>
        </w:rPr>
        <w:t xml:space="preserve"> de Capital Humano, en el que ratificó su respuesta. </w:t>
      </w:r>
    </w:p>
    <w:p w14:paraId="2098B32F" w14:textId="77777777" w:rsidR="00260C20" w:rsidRPr="006A0CC2" w:rsidRDefault="001A60FA">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lastRenderedPageBreak/>
        <w:t xml:space="preserve">Oficio número DDS/0365/2024 de fecha tres de diciembre de dos mil veinticuatro, signado por la </w:t>
      </w:r>
      <w:proofErr w:type="gramStart"/>
      <w:r w:rsidRPr="006A0CC2">
        <w:rPr>
          <w:rFonts w:ascii="Palatino Linotype" w:eastAsia="Palatino Linotype" w:hAnsi="Palatino Linotype" w:cs="Palatino Linotype"/>
        </w:rPr>
        <w:t>Directora</w:t>
      </w:r>
      <w:proofErr w:type="gramEnd"/>
      <w:r w:rsidRPr="006A0CC2">
        <w:rPr>
          <w:rFonts w:ascii="Palatino Linotype" w:eastAsia="Palatino Linotype" w:hAnsi="Palatino Linotype" w:cs="Palatino Linotype"/>
        </w:rPr>
        <w:t xml:space="preserve"> de Desarrollo Social, en el que ratificó su respuesta, haciendo nuevamente entrega del oficio con el que dio atención a la solicitud de información. </w:t>
      </w:r>
    </w:p>
    <w:p w14:paraId="1D1ED789" w14:textId="77777777" w:rsidR="00260C20" w:rsidRPr="006A0CC2" w:rsidRDefault="00260C20">
      <w:pPr>
        <w:spacing w:after="0" w:line="360" w:lineRule="auto"/>
        <w:ind w:right="49"/>
        <w:jc w:val="both"/>
        <w:rPr>
          <w:rFonts w:ascii="Palatino Linotype" w:eastAsia="Palatino Linotype" w:hAnsi="Palatino Linotype" w:cs="Palatino Linotype"/>
        </w:rPr>
      </w:pPr>
    </w:p>
    <w:p w14:paraId="433F64DB" w14:textId="77777777" w:rsidR="00260C20" w:rsidRPr="006A0CC2" w:rsidRDefault="001A60FA">
      <w:pP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Del mismo modo, la parte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 xml:space="preserve"> omitió realizar manifestaciones. </w:t>
      </w:r>
    </w:p>
    <w:p w14:paraId="720D0756" w14:textId="77777777" w:rsidR="00260C20" w:rsidRPr="006A0CC2" w:rsidRDefault="00260C20">
      <w:pPr>
        <w:spacing w:after="0" w:line="360" w:lineRule="auto"/>
        <w:rPr>
          <w:rFonts w:ascii="Palatino Linotype" w:eastAsia="Palatino Linotype" w:hAnsi="Palatino Linotype" w:cs="Palatino Linotype"/>
        </w:rPr>
      </w:pPr>
    </w:p>
    <w:p w14:paraId="78DF7004"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9. Cierre de Instrucción. </w:t>
      </w:r>
      <w:r w:rsidRPr="006A0CC2">
        <w:rPr>
          <w:rFonts w:ascii="Palatino Linotype" w:eastAsia="Palatino Linotype" w:hAnsi="Palatino Linotype" w:cs="Palatino Linotype"/>
        </w:rPr>
        <w:t xml:space="preserve">El </w:t>
      </w:r>
      <w:r w:rsidRPr="006A0CC2">
        <w:rPr>
          <w:rFonts w:ascii="Palatino Linotype" w:eastAsia="Palatino Linotype" w:hAnsi="Palatino Linotype" w:cs="Palatino Linotype"/>
          <w:b/>
        </w:rPr>
        <w:t xml:space="preserve">dieciséis de diciembre de dos mil veinticuatro, </w:t>
      </w:r>
      <w:r w:rsidRPr="006A0CC2">
        <w:rPr>
          <w:rFonts w:ascii="Palatino Linotype" w:eastAsia="Palatino Linotype" w:hAnsi="Palatino Linotype" w:cs="Palatino Linotype"/>
        </w:rPr>
        <w:t>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ED93A5F" w14:textId="77777777" w:rsidR="00260C20" w:rsidRPr="006A0CC2" w:rsidRDefault="00260C20">
      <w:pPr>
        <w:spacing w:after="0" w:line="360" w:lineRule="auto"/>
        <w:jc w:val="both"/>
        <w:rPr>
          <w:rFonts w:ascii="Palatino Linotype" w:eastAsia="Palatino Linotype" w:hAnsi="Palatino Linotype" w:cs="Palatino Linotype"/>
        </w:rPr>
      </w:pPr>
    </w:p>
    <w:p w14:paraId="5EA11E29"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14:paraId="660EE7F4" w14:textId="77777777" w:rsidR="00260C20" w:rsidRPr="006A0CC2" w:rsidRDefault="00260C20">
      <w:pPr>
        <w:spacing w:after="0" w:line="360" w:lineRule="auto"/>
        <w:jc w:val="both"/>
        <w:rPr>
          <w:rFonts w:ascii="Palatino Linotype" w:eastAsia="Palatino Linotype" w:hAnsi="Palatino Linotype" w:cs="Palatino Linotype"/>
        </w:rPr>
      </w:pPr>
    </w:p>
    <w:p w14:paraId="64E56C68" w14:textId="77777777" w:rsidR="00260C20" w:rsidRPr="006A0CC2" w:rsidRDefault="001A60FA">
      <w:pPr>
        <w:widowControl w:val="0"/>
        <w:spacing w:after="0" w:line="360" w:lineRule="auto"/>
        <w:jc w:val="center"/>
        <w:rPr>
          <w:rFonts w:ascii="Palatino Linotype" w:eastAsia="Palatino Linotype" w:hAnsi="Palatino Linotype" w:cs="Palatino Linotype"/>
          <w:b/>
        </w:rPr>
      </w:pPr>
      <w:r w:rsidRPr="006A0CC2">
        <w:rPr>
          <w:rFonts w:ascii="Palatino Linotype" w:eastAsia="Palatino Linotype" w:hAnsi="Palatino Linotype" w:cs="Palatino Linotype"/>
          <w:b/>
        </w:rPr>
        <w:t>C O N S I D E R A N D O S</w:t>
      </w:r>
    </w:p>
    <w:p w14:paraId="507CB9C8" w14:textId="77777777" w:rsidR="00260C20" w:rsidRPr="006A0CC2" w:rsidRDefault="00260C20">
      <w:pPr>
        <w:widowControl w:val="0"/>
        <w:spacing w:after="0" w:line="360" w:lineRule="auto"/>
        <w:jc w:val="center"/>
        <w:rPr>
          <w:rFonts w:ascii="Palatino Linotype" w:eastAsia="Palatino Linotype" w:hAnsi="Palatino Linotype" w:cs="Palatino Linotype"/>
          <w:b/>
        </w:rPr>
      </w:pPr>
    </w:p>
    <w:p w14:paraId="5BF00BFD"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Primero. Competencia.</w:t>
      </w:r>
      <w:r w:rsidRPr="006A0CC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w:t>
      </w:r>
      <w:r w:rsidRPr="006A0CC2">
        <w:rPr>
          <w:rFonts w:ascii="Palatino Linotype" w:eastAsia="Palatino Linotype" w:hAnsi="Palatino Linotype" w:cs="Palatino Linotype"/>
        </w:rPr>
        <w:lastRenderedPageBreak/>
        <w:t>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308DD0D" w14:textId="77777777" w:rsidR="00260C20" w:rsidRPr="006A0CC2" w:rsidRDefault="00260C20">
      <w:pPr>
        <w:spacing w:after="0" w:line="360" w:lineRule="auto"/>
        <w:jc w:val="both"/>
        <w:rPr>
          <w:rFonts w:ascii="Palatino Linotype" w:eastAsia="Palatino Linotype" w:hAnsi="Palatino Linotype" w:cs="Palatino Linotype"/>
        </w:rPr>
      </w:pPr>
    </w:p>
    <w:p w14:paraId="26150408" w14:textId="77777777" w:rsidR="00260C20" w:rsidRPr="006A0CC2" w:rsidRDefault="001A60FA">
      <w:pP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Segundo. Oportunidad y Procedibilidad del Recurso de Revisión. </w:t>
      </w:r>
      <w:r w:rsidRPr="006A0CC2">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0F486540" w14:textId="77777777" w:rsidR="00260C20" w:rsidRPr="006A0CC2" w:rsidRDefault="00260C20">
      <w:pPr>
        <w:spacing w:after="0" w:line="360" w:lineRule="auto"/>
        <w:ind w:right="49"/>
        <w:jc w:val="both"/>
        <w:rPr>
          <w:rFonts w:ascii="Palatino Linotype" w:eastAsia="Palatino Linotype" w:hAnsi="Palatino Linotype" w:cs="Palatino Linotype"/>
        </w:rPr>
      </w:pPr>
    </w:p>
    <w:p w14:paraId="67610085"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Estado de México y Municipios, contados a partir de la fecha en que</w:t>
      </w:r>
      <w:r w:rsidRPr="006A0CC2">
        <w:rPr>
          <w:rFonts w:ascii="Palatino Linotype" w:eastAsia="Palatino Linotype" w:hAnsi="Palatino Linotype" w:cs="Palatino Linotype"/>
          <w:b/>
        </w:rPr>
        <w:t xml:space="preserve"> </w:t>
      </w:r>
      <w:r w:rsidRPr="006A0CC2">
        <w:rPr>
          <w:rFonts w:ascii="Palatino Linotype" w:eastAsia="Palatino Linotype" w:hAnsi="Palatino Linotype" w:cs="Palatino Linotype"/>
        </w:rPr>
        <w:t>el</w:t>
      </w:r>
      <w:r w:rsidRPr="006A0CC2">
        <w:rPr>
          <w:rFonts w:ascii="Palatino Linotype" w:eastAsia="Palatino Linotype" w:hAnsi="Palatino Linotype" w:cs="Palatino Linotype"/>
          <w:b/>
        </w:rPr>
        <w:t xml:space="preserve"> Sujeto Obligado </w:t>
      </w:r>
      <w:r w:rsidRPr="006A0CC2">
        <w:rPr>
          <w:rFonts w:ascii="Palatino Linotype" w:eastAsia="Palatino Linotype" w:hAnsi="Palatino Linotype" w:cs="Palatino Linotype"/>
        </w:rPr>
        <w:t xml:space="preserve">emitió la respuesta, toda vez que esta fue pronunciada el día </w:t>
      </w:r>
      <w:r w:rsidRPr="006A0CC2">
        <w:rPr>
          <w:rFonts w:ascii="Palatino Linotype" w:eastAsia="Palatino Linotype" w:hAnsi="Palatino Linotype" w:cs="Palatino Linotype"/>
          <w:b/>
        </w:rPr>
        <w:t>catorce de noviembre de dos mil veinticuatro</w:t>
      </w:r>
      <w:r w:rsidRPr="006A0CC2">
        <w:rPr>
          <w:rFonts w:ascii="Palatino Linotype" w:eastAsia="Palatino Linotype" w:hAnsi="Palatino Linotype" w:cs="Palatino Linotype"/>
        </w:rPr>
        <w:t xml:space="preserve">, mientras que la parte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 xml:space="preserve"> interpuso el recurso de revisión en fecha </w:t>
      </w:r>
      <w:r w:rsidRPr="006A0CC2">
        <w:rPr>
          <w:rFonts w:ascii="Palatino Linotype" w:eastAsia="Palatino Linotype" w:hAnsi="Palatino Linotype" w:cs="Palatino Linotype"/>
          <w:b/>
        </w:rPr>
        <w:t>veintiséis de noviembre de dos mil veinticuatro</w:t>
      </w:r>
      <w:r w:rsidRPr="006A0CC2">
        <w:rPr>
          <w:rFonts w:ascii="Palatino Linotype" w:eastAsia="Palatino Linotype" w:hAnsi="Palatino Linotype" w:cs="Palatino Linotype"/>
        </w:rPr>
        <w:t xml:space="preserve">, es decir, al séptimo día hábil de haber recibido la respuesta. </w:t>
      </w:r>
    </w:p>
    <w:p w14:paraId="0F5DD7F8" w14:textId="77777777" w:rsidR="00260C20" w:rsidRPr="006A0CC2" w:rsidRDefault="00260C20">
      <w:pPr>
        <w:spacing w:after="0" w:line="360" w:lineRule="auto"/>
        <w:jc w:val="both"/>
        <w:rPr>
          <w:rFonts w:ascii="Palatino Linotype" w:eastAsia="Palatino Linotype" w:hAnsi="Palatino Linotype" w:cs="Palatino Linotype"/>
        </w:rPr>
      </w:pPr>
    </w:p>
    <w:p w14:paraId="1E32FCEB" w14:textId="77777777" w:rsidR="00260C20" w:rsidRPr="006A0CC2" w:rsidRDefault="001A60FA">
      <w:pP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6A0CC2">
        <w:rPr>
          <w:rFonts w:ascii="Palatino Linotype" w:eastAsia="Palatino Linotype" w:hAnsi="Palatino Linotype" w:cs="Palatino Linotype"/>
          <w:b/>
        </w:rPr>
        <w:t>SAIMEX</w:t>
      </w:r>
      <w:r w:rsidRPr="006A0CC2">
        <w:rPr>
          <w:rFonts w:ascii="Palatino Linotype" w:eastAsia="Palatino Linotype" w:hAnsi="Palatino Linotype" w:cs="Palatino Linotype"/>
        </w:rPr>
        <w:t xml:space="preserve">.  </w:t>
      </w:r>
    </w:p>
    <w:p w14:paraId="251D8336" w14:textId="77777777" w:rsidR="00260C20" w:rsidRPr="006A0CC2" w:rsidRDefault="00260C20">
      <w:pPr>
        <w:spacing w:after="0" w:line="276" w:lineRule="auto"/>
        <w:ind w:right="902"/>
        <w:jc w:val="both"/>
        <w:rPr>
          <w:rFonts w:ascii="Palatino Linotype" w:eastAsia="Palatino Linotype" w:hAnsi="Palatino Linotype" w:cs="Palatino Linotype"/>
          <w:i/>
        </w:rPr>
      </w:pPr>
    </w:p>
    <w:p w14:paraId="783F7F29" w14:textId="77777777" w:rsidR="00260C20" w:rsidRPr="006A0CC2" w:rsidRDefault="001A60FA">
      <w:pP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fracción I de la Ley de la materia, que a la letra dice:</w:t>
      </w:r>
    </w:p>
    <w:p w14:paraId="36FE5237" w14:textId="77777777" w:rsidR="00260C20" w:rsidRPr="006A0CC2" w:rsidRDefault="00260C20">
      <w:pPr>
        <w:spacing w:after="0" w:line="360" w:lineRule="auto"/>
        <w:ind w:right="49"/>
        <w:jc w:val="both"/>
        <w:rPr>
          <w:rFonts w:ascii="Palatino Linotype" w:eastAsia="Palatino Linotype" w:hAnsi="Palatino Linotype" w:cs="Palatino Linotype"/>
        </w:rPr>
      </w:pPr>
    </w:p>
    <w:p w14:paraId="55A4C772"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lastRenderedPageBreak/>
        <w:t>“</w:t>
      </w:r>
      <w:r w:rsidRPr="006A0CC2">
        <w:rPr>
          <w:rFonts w:ascii="Palatino Linotype" w:eastAsia="Palatino Linotype" w:hAnsi="Palatino Linotype" w:cs="Palatino Linotype"/>
          <w:b/>
          <w:i/>
        </w:rPr>
        <w:t>Artículo 179.</w:t>
      </w:r>
      <w:r w:rsidRPr="006A0CC2">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2D84347C"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 La negativa a la información solicitada;</w:t>
      </w:r>
      <w:r w:rsidRPr="006A0CC2">
        <w:rPr>
          <w:rFonts w:ascii="Palatino Linotype" w:eastAsia="Palatino Linotype" w:hAnsi="Palatino Linotype" w:cs="Palatino Linotype"/>
          <w:i/>
        </w:rPr>
        <w:br/>
        <w:t>…”</w:t>
      </w:r>
    </w:p>
    <w:p w14:paraId="43DE4B3E" w14:textId="77777777" w:rsidR="00260C20" w:rsidRPr="006A0CC2" w:rsidRDefault="00260C20">
      <w:pPr>
        <w:spacing w:after="0" w:line="360" w:lineRule="auto"/>
        <w:ind w:right="49"/>
        <w:jc w:val="both"/>
        <w:rPr>
          <w:rFonts w:ascii="Palatino Linotype" w:eastAsia="Palatino Linotype" w:hAnsi="Palatino Linotype" w:cs="Palatino Linotype"/>
          <w:b/>
        </w:rPr>
      </w:pPr>
    </w:p>
    <w:p w14:paraId="41F96D54" w14:textId="77777777" w:rsidR="00260C20" w:rsidRPr="006A0CC2" w:rsidRDefault="001A60FA">
      <w:pPr>
        <w:spacing w:after="0" w:line="360" w:lineRule="auto"/>
        <w:ind w:right="-234"/>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Tercero. Materia de la Revisión. </w:t>
      </w:r>
      <w:r w:rsidRPr="006A0CC2">
        <w:rPr>
          <w:rFonts w:ascii="Palatino Linotype" w:eastAsia="Palatino Linotype" w:hAnsi="Palatino Linotype" w:cs="Palatino Linotype"/>
        </w:rPr>
        <w:t>De la revisión a las constancias y documentos que obran en el expediente electrónico se advierte, que el tema sobre el que este Organismo Garante de Transparencia y Acceso a la Información se pronunciará será: verificar si la respuesta e informe justificado otorgado por</w:t>
      </w:r>
      <w:r w:rsidRPr="006A0CC2">
        <w:rPr>
          <w:rFonts w:ascii="Palatino Linotype" w:eastAsia="Palatino Linotype" w:hAnsi="Palatino Linotype" w:cs="Palatino Linotype"/>
          <w:b/>
        </w:rPr>
        <w:t xml:space="preserve"> </w:t>
      </w:r>
      <w:r w:rsidRPr="006A0CC2">
        <w:rPr>
          <w:rFonts w:ascii="Palatino Linotype" w:eastAsia="Palatino Linotype" w:hAnsi="Palatino Linotype" w:cs="Palatino Linotype"/>
        </w:rPr>
        <w:t xml:space="preserve">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es adecuada y suficiente para satisfacer el derecho de acceso a la información pública de la parte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 o en su defecto, en caso de ser procedente, ordenar la entrega de información.</w:t>
      </w:r>
    </w:p>
    <w:p w14:paraId="18E40742" w14:textId="77777777" w:rsidR="00260C20" w:rsidRPr="006A0CC2" w:rsidRDefault="00260C20">
      <w:pPr>
        <w:spacing w:after="0" w:line="360" w:lineRule="auto"/>
        <w:jc w:val="both"/>
        <w:rPr>
          <w:rFonts w:ascii="Palatino Linotype" w:eastAsia="Palatino Linotype" w:hAnsi="Palatino Linotype" w:cs="Palatino Linotype"/>
        </w:rPr>
      </w:pPr>
    </w:p>
    <w:p w14:paraId="7EF73D59"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Cuarto. Estudio y Resolución del Asunto. </w:t>
      </w:r>
      <w:r w:rsidRPr="006A0CC2">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DF97F62" w14:textId="77777777" w:rsidR="00260C20" w:rsidRPr="006A0CC2" w:rsidRDefault="00260C20">
      <w:pPr>
        <w:spacing w:after="0" w:line="360" w:lineRule="auto"/>
        <w:jc w:val="both"/>
        <w:rPr>
          <w:rFonts w:ascii="Palatino Linotype" w:eastAsia="Palatino Linotype" w:hAnsi="Palatino Linotype" w:cs="Palatino Linotype"/>
        </w:rPr>
      </w:pPr>
    </w:p>
    <w:p w14:paraId="1798BCC7" w14:textId="77777777" w:rsidR="00260C20" w:rsidRPr="006A0CC2" w:rsidRDefault="001A60FA">
      <w:pPr>
        <w:tabs>
          <w:tab w:val="left" w:pos="709"/>
        </w:tabs>
        <w:spacing w:after="0" w:line="276" w:lineRule="auto"/>
        <w:ind w:left="851" w:right="616"/>
        <w:jc w:val="both"/>
        <w:rPr>
          <w:rFonts w:ascii="Palatino Linotype" w:eastAsia="Palatino Linotype" w:hAnsi="Palatino Linotype" w:cs="Palatino Linotype"/>
          <w:i/>
        </w:rPr>
      </w:pPr>
      <w:bookmarkStart w:id="2" w:name="_heading=h.2et92p0" w:colFirst="0" w:colLast="0"/>
      <w:bookmarkEnd w:id="2"/>
      <w:r w:rsidRPr="006A0CC2">
        <w:rPr>
          <w:rFonts w:ascii="Palatino Linotype" w:eastAsia="Palatino Linotype" w:hAnsi="Palatino Linotype" w:cs="Palatino Linotype"/>
          <w:i/>
          <w:u w:val="single"/>
        </w:rPr>
        <w:t>“</w:t>
      </w:r>
      <w:r w:rsidRPr="006A0CC2">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6A0CC2">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598EE09A" w14:textId="77777777" w:rsidR="00260C20" w:rsidRPr="006A0CC2" w:rsidRDefault="001A60FA">
      <w:pPr>
        <w:tabs>
          <w:tab w:val="left" w:pos="709"/>
        </w:tabs>
        <w:spacing w:after="0" w:line="276" w:lineRule="auto"/>
        <w:ind w:left="851" w:right="616"/>
        <w:jc w:val="both"/>
        <w:rPr>
          <w:rFonts w:ascii="Palatino Linotype" w:eastAsia="Palatino Linotype" w:hAnsi="Palatino Linotype" w:cs="Palatino Linotype"/>
          <w:b/>
          <w:i/>
        </w:rPr>
      </w:pPr>
      <w:r w:rsidRPr="006A0CC2">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94B6AA1" w14:textId="77777777" w:rsidR="00260C20" w:rsidRPr="006A0CC2" w:rsidRDefault="001A60FA">
      <w:pPr>
        <w:tabs>
          <w:tab w:val="left" w:pos="709"/>
        </w:tabs>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6A0CC2">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D4697E7" w14:textId="77777777" w:rsidR="00260C20" w:rsidRPr="006A0CC2" w:rsidRDefault="001A60FA">
      <w:pPr>
        <w:tabs>
          <w:tab w:val="left" w:pos="709"/>
        </w:tabs>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p>
    <w:p w14:paraId="583E4498"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“Artículo 6o.</w:t>
      </w:r>
    </w:p>
    <w:p w14:paraId="67DA6697"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p>
    <w:p w14:paraId="409E93DC"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 xml:space="preserve">A. Para el ejercicio del derecho de acceso a la información, la Federación y </w:t>
      </w:r>
      <w:r w:rsidRPr="006A0CC2">
        <w:rPr>
          <w:rFonts w:ascii="Palatino Linotype" w:eastAsia="Palatino Linotype" w:hAnsi="Palatino Linotype" w:cs="Palatino Linotype"/>
          <w:b/>
          <w:i/>
          <w:u w:val="single"/>
        </w:rPr>
        <w:t>las entidades federativas</w:t>
      </w:r>
      <w:r w:rsidRPr="006A0CC2">
        <w:rPr>
          <w:rFonts w:ascii="Palatino Linotype" w:eastAsia="Palatino Linotype" w:hAnsi="Palatino Linotype" w:cs="Palatino Linotype"/>
          <w:b/>
          <w:i/>
        </w:rPr>
        <w:t>,</w:t>
      </w:r>
      <w:r w:rsidRPr="006A0CC2">
        <w:rPr>
          <w:rFonts w:ascii="Palatino Linotype" w:eastAsia="Palatino Linotype" w:hAnsi="Palatino Linotype" w:cs="Palatino Linotype"/>
          <w:i/>
        </w:rPr>
        <w:t xml:space="preserve"> en el ámbito de sus respectivas competencias, se regirán por los siguientes principios y bases:</w:t>
      </w:r>
    </w:p>
    <w:p w14:paraId="1E9B3312"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w:t>
      </w:r>
    </w:p>
    <w:p w14:paraId="4302EC57"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 xml:space="preserve">I. </w:t>
      </w:r>
      <w:r w:rsidRPr="006A0CC2">
        <w:rPr>
          <w:rFonts w:ascii="Palatino Linotype" w:eastAsia="Palatino Linotype" w:hAnsi="Palatino Linotype" w:cs="Palatino Linotype"/>
          <w:b/>
          <w:i/>
          <w:u w:val="single"/>
        </w:rPr>
        <w:t>Toda la información en posesión de cualquier autoridad, entidad, órgano y organismo de los Poderes</w:t>
      </w:r>
      <w:r w:rsidRPr="006A0CC2">
        <w:rPr>
          <w:rFonts w:ascii="Palatino Linotype" w:eastAsia="Palatino Linotype" w:hAnsi="Palatino Linotype" w:cs="Palatino Linotype"/>
          <w:i/>
        </w:rPr>
        <w:t xml:space="preserve"> Ejecutivo, Legislativo </w:t>
      </w:r>
      <w:r w:rsidRPr="006A0CC2">
        <w:rPr>
          <w:rFonts w:ascii="Palatino Linotype" w:eastAsia="Palatino Linotype" w:hAnsi="Palatino Linotype" w:cs="Palatino Linotype"/>
          <w:b/>
          <w:i/>
          <w:u w:val="single"/>
        </w:rPr>
        <w:t>y Judicial</w:t>
      </w:r>
      <w:r w:rsidRPr="006A0CC2">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A0CC2">
        <w:rPr>
          <w:rFonts w:ascii="Palatino Linotype" w:eastAsia="Palatino Linotype" w:hAnsi="Palatino Linotype" w:cs="Palatino Linotype"/>
          <w:b/>
          <w:i/>
        </w:rPr>
        <w:t>es pública y sólo podrá ser reservada temporalmente por razones de interés público y seguridad nacional,</w:t>
      </w:r>
      <w:r w:rsidRPr="006A0CC2">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231A54A" w14:textId="77777777" w:rsidR="00260C20" w:rsidRPr="006A0CC2" w:rsidRDefault="001A60FA">
      <w:pPr>
        <w:spacing w:after="0" w:line="276" w:lineRule="auto"/>
        <w:ind w:left="851" w:right="616"/>
        <w:jc w:val="both"/>
        <w:rPr>
          <w:rFonts w:ascii="Palatino Linotype" w:eastAsia="Palatino Linotype" w:hAnsi="Palatino Linotype" w:cs="Palatino Linotype"/>
          <w:b/>
          <w:i/>
        </w:rPr>
      </w:pPr>
      <w:r w:rsidRPr="006A0CC2">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259EE000"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w:t>
      </w:r>
    </w:p>
    <w:p w14:paraId="5B042ADA"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 xml:space="preserve">III. </w:t>
      </w:r>
      <w:r w:rsidRPr="006A0CC2">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6A0CC2">
        <w:rPr>
          <w:rFonts w:ascii="Palatino Linotype" w:eastAsia="Palatino Linotype" w:hAnsi="Palatino Linotype" w:cs="Palatino Linotype"/>
          <w:i/>
        </w:rPr>
        <w:t xml:space="preserve"> a sus datos personales o a la rectificación de éstos.</w:t>
      </w:r>
    </w:p>
    <w:p w14:paraId="49ECD8A4"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 xml:space="preserve">IV. </w:t>
      </w:r>
      <w:r w:rsidRPr="006A0CC2">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1E3FF78D"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 xml:space="preserve">V. </w:t>
      </w:r>
      <w:r w:rsidRPr="006A0CC2">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w:t>
      </w:r>
      <w:r w:rsidRPr="006A0CC2">
        <w:rPr>
          <w:rFonts w:ascii="Palatino Linotype" w:eastAsia="Palatino Linotype" w:hAnsi="Palatino Linotype" w:cs="Palatino Linotype"/>
          <w:i/>
        </w:rPr>
        <w:lastRenderedPageBreak/>
        <w:t>disponibles, la información completa y actualizada sobre el ejercicio de los recursos públicos y los indicadores que permitan rendir cuenta del cumplimiento de sus objetivos y de los resultados obtenidos.</w:t>
      </w:r>
    </w:p>
    <w:p w14:paraId="1708AC40"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w:t>
      </w:r>
      <w:r w:rsidRPr="006A0CC2">
        <w:rPr>
          <w:rFonts w:ascii="Palatino Linotype" w:eastAsia="Palatino Linotype" w:hAnsi="Palatino Linotype" w:cs="Palatino Linotype"/>
          <w:b/>
          <w:i/>
        </w:rPr>
        <w:t xml:space="preserve">VI. </w:t>
      </w:r>
      <w:r w:rsidRPr="006A0CC2">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42C4C66D"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 xml:space="preserve">VII. </w:t>
      </w:r>
      <w:r w:rsidRPr="006A0CC2">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1FD1FC3"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(Énfasis Añadido)</w:t>
      </w:r>
    </w:p>
    <w:p w14:paraId="36B83F5A" w14:textId="77777777" w:rsidR="00260C20" w:rsidRPr="006A0CC2" w:rsidRDefault="00260C20">
      <w:pPr>
        <w:ind w:right="851"/>
        <w:jc w:val="both"/>
        <w:rPr>
          <w:rFonts w:ascii="Palatino Linotype" w:eastAsia="Palatino Linotype" w:hAnsi="Palatino Linotype" w:cs="Palatino Linotype"/>
        </w:rPr>
      </w:pPr>
    </w:p>
    <w:p w14:paraId="55632C6C" w14:textId="77777777" w:rsidR="00260C20" w:rsidRPr="006A0CC2" w:rsidRDefault="001A60FA">
      <w:pPr>
        <w:tabs>
          <w:tab w:val="left" w:pos="709"/>
        </w:tabs>
        <w:spacing w:before="160"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8AC0512" w14:textId="77777777" w:rsidR="00260C20" w:rsidRPr="006A0CC2" w:rsidRDefault="00260C20">
      <w:pPr>
        <w:spacing w:after="0" w:line="360" w:lineRule="auto"/>
        <w:jc w:val="both"/>
        <w:rPr>
          <w:rFonts w:ascii="Palatino Linotype" w:eastAsia="Palatino Linotype" w:hAnsi="Palatino Linotype" w:cs="Palatino Linotype"/>
        </w:rPr>
      </w:pPr>
    </w:p>
    <w:p w14:paraId="5A4B7B93"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En primer lugar, es conveniente analizar si la respuesta del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CD08FCB" w14:textId="77777777" w:rsidR="00260C20" w:rsidRPr="006A0CC2" w:rsidRDefault="00260C20">
      <w:pPr>
        <w:spacing w:after="0" w:line="360" w:lineRule="auto"/>
        <w:jc w:val="both"/>
        <w:rPr>
          <w:rFonts w:ascii="Palatino Linotype" w:eastAsia="Palatino Linotype" w:hAnsi="Palatino Linotype" w:cs="Palatino Linotype"/>
        </w:rPr>
      </w:pPr>
    </w:p>
    <w:p w14:paraId="08292CFA"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lastRenderedPageBreak/>
        <w:t>“</w:t>
      </w:r>
      <w:r w:rsidRPr="006A0CC2">
        <w:rPr>
          <w:rFonts w:ascii="Palatino Linotype" w:eastAsia="Palatino Linotype" w:hAnsi="Palatino Linotype" w:cs="Palatino Linotype"/>
          <w:b/>
          <w:i/>
        </w:rPr>
        <w:t>Artículo 4.</w:t>
      </w:r>
      <w:r w:rsidRPr="006A0CC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EAF1836" w14:textId="77777777" w:rsidR="00260C20" w:rsidRPr="006A0CC2" w:rsidRDefault="00260C20">
      <w:pPr>
        <w:spacing w:after="0" w:line="276" w:lineRule="auto"/>
        <w:ind w:left="851" w:right="616"/>
        <w:jc w:val="both"/>
        <w:rPr>
          <w:rFonts w:ascii="Palatino Linotype" w:eastAsia="Palatino Linotype" w:hAnsi="Palatino Linotype" w:cs="Palatino Linotype"/>
          <w:i/>
        </w:rPr>
      </w:pPr>
    </w:p>
    <w:p w14:paraId="0E409B99"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6A0CC2">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F9DF719"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6A0CC2">
        <w:rPr>
          <w:rFonts w:ascii="Palatino Linotype" w:eastAsia="Palatino Linotype" w:hAnsi="Palatino Linotype" w:cs="Palatino Linotype"/>
          <w:i/>
        </w:rPr>
        <w:t>.”(</w:t>
      </w:r>
      <w:proofErr w:type="gramEnd"/>
      <w:r w:rsidRPr="006A0CC2">
        <w:rPr>
          <w:rFonts w:ascii="Palatino Linotype" w:eastAsia="Palatino Linotype" w:hAnsi="Palatino Linotype" w:cs="Palatino Linotype"/>
          <w:i/>
        </w:rPr>
        <w:t>Sic)</w:t>
      </w:r>
    </w:p>
    <w:p w14:paraId="4A1D74F7" w14:textId="77777777" w:rsidR="00260C20" w:rsidRPr="006A0CC2" w:rsidRDefault="00260C20">
      <w:pPr>
        <w:spacing w:after="0" w:line="360" w:lineRule="auto"/>
        <w:ind w:left="709" w:right="760" w:firstLine="707"/>
        <w:jc w:val="both"/>
        <w:rPr>
          <w:rFonts w:ascii="Palatino Linotype" w:eastAsia="Palatino Linotype" w:hAnsi="Palatino Linotype" w:cs="Palatino Linotype"/>
        </w:rPr>
      </w:pPr>
    </w:p>
    <w:p w14:paraId="671CFD5F"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E3116F4" w14:textId="77777777" w:rsidR="00260C20" w:rsidRPr="006A0CC2" w:rsidRDefault="00260C20">
      <w:pPr>
        <w:spacing w:after="0" w:line="360" w:lineRule="auto"/>
        <w:jc w:val="both"/>
        <w:rPr>
          <w:rFonts w:ascii="Palatino Linotype" w:eastAsia="Palatino Linotype" w:hAnsi="Palatino Linotype" w:cs="Palatino Linotype"/>
        </w:rPr>
      </w:pPr>
    </w:p>
    <w:p w14:paraId="1C4A68A2"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r w:rsidRPr="006A0CC2">
        <w:rPr>
          <w:rFonts w:ascii="Palatino Linotype" w:eastAsia="Palatino Linotype" w:hAnsi="Palatino Linotype" w:cs="Palatino Linotype"/>
          <w:b/>
          <w:i/>
        </w:rPr>
        <w:t>Artículo 12.-</w:t>
      </w:r>
      <w:r w:rsidRPr="006A0CC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D9CC818" w14:textId="77777777" w:rsidR="00260C20" w:rsidRPr="006A0CC2" w:rsidRDefault="001A60FA">
      <w:pPr>
        <w:spacing w:after="0" w:line="276" w:lineRule="auto"/>
        <w:ind w:left="851" w:right="616"/>
        <w:jc w:val="both"/>
        <w:rPr>
          <w:rFonts w:ascii="Palatino Linotype" w:eastAsia="Palatino Linotype" w:hAnsi="Palatino Linotype" w:cs="Palatino Linotype"/>
          <w:b/>
          <w:i/>
        </w:rPr>
      </w:pPr>
      <w:r w:rsidRPr="006A0CC2">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6A0CC2">
        <w:rPr>
          <w:rFonts w:ascii="Palatino Linotype" w:eastAsia="Palatino Linotype" w:hAnsi="Palatino Linotype" w:cs="Palatino Linotype"/>
          <w:i/>
        </w:rPr>
        <w:t xml:space="preserve">. </w:t>
      </w:r>
      <w:r w:rsidRPr="006A0CC2">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w:t>
      </w:r>
      <w:r w:rsidRPr="006A0CC2">
        <w:rPr>
          <w:rFonts w:ascii="Palatino Linotype" w:eastAsia="Palatino Linotype" w:hAnsi="Palatino Linotype" w:cs="Palatino Linotype"/>
          <w:b/>
          <w:i/>
        </w:rPr>
        <w:lastRenderedPageBreak/>
        <w:t>obligados a generarla, resumirla, efectuar cálculos o practicar investigaciones.” (Sic)</w:t>
      </w:r>
    </w:p>
    <w:p w14:paraId="32B5383B" w14:textId="77777777" w:rsidR="00260C20" w:rsidRPr="006A0CC2" w:rsidRDefault="00260C20">
      <w:pPr>
        <w:spacing w:after="0" w:line="360" w:lineRule="auto"/>
        <w:ind w:left="567" w:right="758"/>
        <w:jc w:val="both"/>
        <w:rPr>
          <w:rFonts w:ascii="Palatino Linotype" w:eastAsia="Palatino Linotype" w:hAnsi="Palatino Linotype" w:cs="Palatino Linotype"/>
        </w:rPr>
      </w:pPr>
    </w:p>
    <w:p w14:paraId="6D3AFE7B"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B41A6BA" w14:textId="77777777" w:rsidR="00260C20" w:rsidRPr="006A0CC2" w:rsidRDefault="00260C20">
      <w:pPr>
        <w:spacing w:after="0" w:line="360" w:lineRule="auto"/>
        <w:jc w:val="both"/>
        <w:rPr>
          <w:rFonts w:ascii="Palatino Linotype" w:eastAsia="Palatino Linotype" w:hAnsi="Palatino Linotype" w:cs="Palatino Linotype"/>
        </w:rPr>
      </w:pPr>
    </w:p>
    <w:p w14:paraId="70A5F2BA" w14:textId="77777777" w:rsidR="00260C20" w:rsidRPr="006A0CC2" w:rsidRDefault="001A60FA">
      <w:pPr>
        <w:spacing w:after="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95DBC83" w14:textId="77777777" w:rsidR="00260C20" w:rsidRPr="006A0CC2" w:rsidRDefault="00260C20">
      <w:pPr>
        <w:spacing w:after="0" w:line="360" w:lineRule="auto"/>
        <w:ind w:right="49"/>
        <w:jc w:val="both"/>
        <w:rPr>
          <w:rFonts w:ascii="Palatino Linotype" w:eastAsia="Palatino Linotype" w:hAnsi="Palatino Linotype" w:cs="Palatino Linotype"/>
        </w:rPr>
      </w:pPr>
    </w:p>
    <w:p w14:paraId="0C15B9A5"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Por otra parte, conviene mencionar que la Ley de Transparencia vigente en el Estado de México refiere: </w:t>
      </w:r>
    </w:p>
    <w:p w14:paraId="387FB06E"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“Artículo 18.</w:t>
      </w:r>
      <w:r w:rsidRPr="006A0CC2">
        <w:rPr>
          <w:rFonts w:ascii="Palatino Linotype" w:eastAsia="Palatino Linotype" w:hAnsi="Palatino Linotype" w:cs="Palatino Linotype"/>
          <w:i/>
        </w:rPr>
        <w:t xml:space="preserve"> </w:t>
      </w:r>
      <w:r w:rsidRPr="006A0CC2">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6A0CC2">
        <w:rPr>
          <w:rFonts w:ascii="Palatino Linotype" w:eastAsia="Palatino Linotype" w:hAnsi="Palatino Linotype" w:cs="Palatino Linotype"/>
          <w:i/>
        </w:rPr>
        <w:t xml:space="preserve"> y reutilización de la información que generen.</w:t>
      </w:r>
    </w:p>
    <w:p w14:paraId="15A03C5D"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 xml:space="preserve">Artículo 19. </w:t>
      </w:r>
      <w:r w:rsidRPr="006A0CC2">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6A0CC2">
        <w:rPr>
          <w:rFonts w:ascii="Palatino Linotype" w:eastAsia="Palatino Linotype" w:hAnsi="Palatino Linotype" w:cs="Palatino Linotype"/>
          <w:i/>
        </w:rPr>
        <w:t>.</w:t>
      </w:r>
    </w:p>
    <w:p w14:paraId="3F386B71"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27E959B"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Si el sujeto obligado, en el ejercicio de sus atribuciones, debía generar, poseer o administrar la información, pero ésta no se encuentra, el Comité de transparencia </w:t>
      </w:r>
      <w:r w:rsidRPr="006A0CC2">
        <w:rPr>
          <w:rFonts w:ascii="Palatino Linotype" w:eastAsia="Palatino Linotype" w:hAnsi="Palatino Linotype" w:cs="Palatino Linotype"/>
          <w:i/>
        </w:rPr>
        <w:lastRenderedPageBreak/>
        <w:t>deberá emitir un acuerdo de inexistencia, debidamente fundado y motivado, en el que detalle las razones del por qué no obra en sus archivos.”</w:t>
      </w:r>
    </w:p>
    <w:p w14:paraId="7D3E470D" w14:textId="77777777" w:rsidR="00260C20" w:rsidRPr="006A0CC2" w:rsidRDefault="00260C20">
      <w:pPr>
        <w:spacing w:after="0" w:line="360" w:lineRule="auto"/>
        <w:jc w:val="both"/>
        <w:rPr>
          <w:rFonts w:ascii="Palatino Linotype" w:eastAsia="Palatino Linotype" w:hAnsi="Palatino Linotype" w:cs="Palatino Linotype"/>
        </w:rPr>
      </w:pPr>
    </w:p>
    <w:p w14:paraId="5938C5B7"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205F164" w14:textId="77777777" w:rsidR="00260C20" w:rsidRPr="006A0CC2" w:rsidRDefault="00260C20">
      <w:pPr>
        <w:spacing w:after="0" w:line="360" w:lineRule="auto"/>
        <w:jc w:val="both"/>
        <w:rPr>
          <w:rFonts w:ascii="Palatino Linotype" w:eastAsia="Palatino Linotype" w:hAnsi="Palatino Linotype" w:cs="Palatino Linotype"/>
        </w:rPr>
      </w:pPr>
    </w:p>
    <w:p w14:paraId="690A8974"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448185B" w14:textId="77777777" w:rsidR="00260C20" w:rsidRPr="006A0CC2" w:rsidRDefault="00260C20">
      <w:pPr>
        <w:spacing w:after="0" w:line="360" w:lineRule="auto"/>
        <w:jc w:val="both"/>
        <w:rPr>
          <w:rFonts w:ascii="Palatino Linotype" w:eastAsia="Palatino Linotype" w:hAnsi="Palatino Linotype" w:cs="Palatino Linotype"/>
        </w:rPr>
      </w:pPr>
    </w:p>
    <w:p w14:paraId="6CDB4681"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r w:rsidRPr="006A0CC2">
        <w:rPr>
          <w:rFonts w:ascii="Palatino Linotype" w:eastAsia="Palatino Linotype" w:hAnsi="Palatino Linotype" w:cs="Palatino Linotype"/>
          <w:b/>
          <w:i/>
        </w:rPr>
        <w:t xml:space="preserve">Artículo 3. </w:t>
      </w:r>
      <w:r w:rsidRPr="006A0CC2">
        <w:rPr>
          <w:rFonts w:ascii="Palatino Linotype" w:eastAsia="Palatino Linotype" w:hAnsi="Palatino Linotype" w:cs="Palatino Linotype"/>
          <w:i/>
        </w:rPr>
        <w:t>Para los efectos de la presente Ley se entenderá por:</w:t>
      </w:r>
    </w:p>
    <w:p w14:paraId="332CAED6"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p>
    <w:p w14:paraId="543C17D7"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XI. Documento:</w:t>
      </w:r>
      <w:r w:rsidRPr="006A0CC2">
        <w:rPr>
          <w:rFonts w:ascii="Palatino Linotype" w:eastAsia="Palatino Linotype" w:hAnsi="Palatino Linotype" w:cs="Palatino Linotype"/>
          <w:i/>
        </w:rPr>
        <w:t xml:space="preserve"> Los expedientes, reportes, estudios, actas</w:t>
      </w:r>
      <w:r w:rsidRPr="006A0CC2">
        <w:rPr>
          <w:rFonts w:ascii="Palatino Linotype" w:eastAsia="Palatino Linotype" w:hAnsi="Palatino Linotype" w:cs="Palatino Linotype"/>
          <w:b/>
          <w:i/>
        </w:rPr>
        <w:t>,</w:t>
      </w:r>
      <w:r w:rsidRPr="006A0CC2">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A0CC2">
        <w:rPr>
          <w:rFonts w:ascii="Palatino Linotype" w:eastAsia="Palatino Linotype" w:hAnsi="Palatino Linotype" w:cs="Palatino Linotype"/>
          <w:i/>
        </w:rPr>
        <w:lastRenderedPageBreak/>
        <w:t>elaboración. Los documentos podrán estar en cualquier medio, sea escrito, impreso, sonoro, visual, electrónico, informático u holográfico…” (Sic)</w:t>
      </w:r>
    </w:p>
    <w:p w14:paraId="206B739E" w14:textId="77777777" w:rsidR="00260C20" w:rsidRPr="006A0CC2" w:rsidRDefault="00260C20">
      <w:pPr>
        <w:spacing w:after="0" w:line="360" w:lineRule="auto"/>
        <w:ind w:left="851" w:right="899"/>
        <w:jc w:val="both"/>
        <w:rPr>
          <w:rFonts w:ascii="Palatino Linotype" w:eastAsia="Palatino Linotype" w:hAnsi="Palatino Linotype" w:cs="Palatino Linotype"/>
        </w:rPr>
      </w:pPr>
    </w:p>
    <w:p w14:paraId="553F2613"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2A49126" w14:textId="77777777" w:rsidR="00260C20" w:rsidRPr="006A0CC2" w:rsidRDefault="00260C20">
      <w:pPr>
        <w:spacing w:after="0" w:line="360" w:lineRule="auto"/>
        <w:jc w:val="both"/>
        <w:rPr>
          <w:rFonts w:ascii="Palatino Linotype" w:eastAsia="Palatino Linotype" w:hAnsi="Palatino Linotype" w:cs="Palatino Linotype"/>
        </w:rPr>
      </w:pPr>
    </w:p>
    <w:p w14:paraId="2E614E60" w14:textId="77777777" w:rsidR="00260C20" w:rsidRPr="006A0CC2" w:rsidRDefault="001A60FA">
      <w:pPr>
        <w:spacing w:after="0" w:line="276" w:lineRule="auto"/>
        <w:ind w:left="851" w:right="616"/>
        <w:jc w:val="both"/>
        <w:rPr>
          <w:rFonts w:ascii="Palatino Linotype" w:eastAsia="Palatino Linotype" w:hAnsi="Palatino Linotype" w:cs="Palatino Linotype"/>
          <w:b/>
          <w:i/>
        </w:rPr>
      </w:pPr>
      <w:r w:rsidRPr="006A0CC2">
        <w:rPr>
          <w:rFonts w:ascii="Palatino Linotype" w:eastAsia="Palatino Linotype" w:hAnsi="Palatino Linotype" w:cs="Palatino Linotype"/>
          <w:b/>
        </w:rPr>
        <w:t>“</w:t>
      </w:r>
      <w:r w:rsidRPr="006A0CC2">
        <w:rPr>
          <w:rFonts w:ascii="Palatino Linotype" w:eastAsia="Palatino Linotype" w:hAnsi="Palatino Linotype" w:cs="Palatino Linotype"/>
          <w:b/>
          <w:i/>
        </w:rPr>
        <w:t>CRITERIO 0002-11</w:t>
      </w:r>
    </w:p>
    <w:p w14:paraId="66087E2F"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A0CC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EDDAB96"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En </w:t>
      </w:r>
      <w:proofErr w:type="gramStart"/>
      <w:r w:rsidRPr="006A0CC2">
        <w:rPr>
          <w:rFonts w:ascii="Palatino Linotype" w:eastAsia="Palatino Linotype" w:hAnsi="Palatino Linotype" w:cs="Palatino Linotype"/>
          <w:i/>
        </w:rPr>
        <w:t>consecuencia</w:t>
      </w:r>
      <w:proofErr w:type="gramEnd"/>
      <w:r w:rsidRPr="006A0CC2">
        <w:rPr>
          <w:rFonts w:ascii="Palatino Linotype" w:eastAsia="Palatino Linotype" w:hAnsi="Palatino Linotype" w:cs="Palatino Linotype"/>
          <w:i/>
        </w:rPr>
        <w:t xml:space="preserve"> el acceso a la información se refiere a que se cumplan cualquiera de los siguientes tres supuestos:</w:t>
      </w:r>
    </w:p>
    <w:p w14:paraId="490C8384"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1) Que se trate de información registrada en cualquier soporte documental, </w:t>
      </w:r>
      <w:proofErr w:type="gramStart"/>
      <w:r w:rsidRPr="006A0CC2">
        <w:rPr>
          <w:rFonts w:ascii="Palatino Linotype" w:eastAsia="Palatino Linotype" w:hAnsi="Palatino Linotype" w:cs="Palatino Linotype"/>
          <w:i/>
        </w:rPr>
        <w:t>que</w:t>
      </w:r>
      <w:proofErr w:type="gramEnd"/>
      <w:r w:rsidRPr="006A0CC2">
        <w:rPr>
          <w:rFonts w:ascii="Palatino Linotype" w:eastAsia="Palatino Linotype" w:hAnsi="Palatino Linotype" w:cs="Palatino Linotype"/>
          <w:i/>
        </w:rPr>
        <w:t xml:space="preserve"> en ejercicio de las atribuciones conferidas, sea generada por los Sujetos Obligados;</w:t>
      </w:r>
    </w:p>
    <w:p w14:paraId="001E39B2"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2) Que se trate de información registrada en cualquier soporte documental, </w:t>
      </w:r>
      <w:proofErr w:type="gramStart"/>
      <w:r w:rsidRPr="006A0CC2">
        <w:rPr>
          <w:rFonts w:ascii="Palatino Linotype" w:eastAsia="Palatino Linotype" w:hAnsi="Palatino Linotype" w:cs="Palatino Linotype"/>
          <w:i/>
        </w:rPr>
        <w:t>que</w:t>
      </w:r>
      <w:proofErr w:type="gramEnd"/>
      <w:r w:rsidRPr="006A0CC2">
        <w:rPr>
          <w:rFonts w:ascii="Palatino Linotype" w:eastAsia="Palatino Linotype" w:hAnsi="Palatino Linotype" w:cs="Palatino Linotype"/>
          <w:i/>
        </w:rPr>
        <w:t xml:space="preserve"> en ejercicio de las atribuciones conferidas, sea administrada por los Sujetos Obligados, y</w:t>
      </w:r>
    </w:p>
    <w:p w14:paraId="229813DE"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3) Que se trate de información registrada en cualquier soporte documental, </w:t>
      </w:r>
      <w:proofErr w:type="gramStart"/>
      <w:r w:rsidRPr="006A0CC2">
        <w:rPr>
          <w:rFonts w:ascii="Palatino Linotype" w:eastAsia="Palatino Linotype" w:hAnsi="Palatino Linotype" w:cs="Palatino Linotype"/>
          <w:i/>
        </w:rPr>
        <w:t>que</w:t>
      </w:r>
      <w:proofErr w:type="gramEnd"/>
      <w:r w:rsidRPr="006A0CC2">
        <w:rPr>
          <w:rFonts w:ascii="Palatino Linotype" w:eastAsia="Palatino Linotype" w:hAnsi="Palatino Linotype" w:cs="Palatino Linotype"/>
          <w:i/>
        </w:rPr>
        <w:t xml:space="preserve"> en ejercicio de las atribuciones conferidas, se encuentre en posesión de los Sujetos Obligados.” </w:t>
      </w:r>
    </w:p>
    <w:p w14:paraId="3F3EF9F3" w14:textId="77777777" w:rsidR="00260C20" w:rsidRPr="006A0CC2" w:rsidRDefault="00260C20">
      <w:pPr>
        <w:spacing w:after="0" w:line="360" w:lineRule="auto"/>
        <w:ind w:left="851" w:right="899"/>
        <w:jc w:val="both"/>
        <w:rPr>
          <w:rFonts w:ascii="Palatino Linotype" w:eastAsia="Palatino Linotype" w:hAnsi="Palatino Linotype" w:cs="Palatino Linotype"/>
        </w:rPr>
      </w:pPr>
    </w:p>
    <w:p w14:paraId="6E07C062"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 ahí que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w:t>
      </w:r>
      <w:r w:rsidRPr="006A0CC2">
        <w:rPr>
          <w:rFonts w:ascii="Palatino Linotype" w:eastAsia="Palatino Linotype" w:hAnsi="Palatino Linotype" w:cs="Palatino Linotype"/>
        </w:rPr>
        <w:lastRenderedPageBreak/>
        <w:t>relativa a obligaciones de transparencia, la cual se relaciona con aquella que se genere de acuerdo con sus facultades, atribuciones y obligaciones señaladas por la Ley en la materia</w:t>
      </w:r>
      <w:r w:rsidRPr="006A0CC2">
        <w:rPr>
          <w:rFonts w:ascii="Palatino Linotype" w:eastAsia="Palatino Linotype" w:hAnsi="Palatino Linotype" w:cs="Palatino Linotype"/>
          <w:vertAlign w:val="superscript"/>
        </w:rPr>
        <w:footnoteReference w:id="1"/>
      </w:r>
      <w:r w:rsidRPr="006A0CC2">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A0CC2">
        <w:rPr>
          <w:rFonts w:ascii="Palatino Linotype" w:eastAsia="Palatino Linotype" w:hAnsi="Palatino Linotype" w:cs="Palatino Linotype"/>
          <w:vertAlign w:val="superscript"/>
        </w:rPr>
        <w:footnoteReference w:id="2"/>
      </w:r>
      <w:r w:rsidRPr="006A0CC2">
        <w:rPr>
          <w:rFonts w:ascii="Palatino Linotype" w:eastAsia="Palatino Linotype" w:hAnsi="Palatino Linotype" w:cs="Palatino Linotype"/>
        </w:rPr>
        <w:t>, como pudiera tratarse de aquella relacionada con las obligaciones de transparencia señalada en los artículo 92 de la Ley de la Materia.</w:t>
      </w:r>
    </w:p>
    <w:p w14:paraId="3A6C5907" w14:textId="77777777" w:rsidR="00260C20" w:rsidRPr="006A0CC2" w:rsidRDefault="00260C20">
      <w:pPr>
        <w:spacing w:after="0" w:line="360" w:lineRule="auto"/>
        <w:jc w:val="both"/>
        <w:rPr>
          <w:rFonts w:ascii="Palatino Linotype" w:eastAsia="Palatino Linotype" w:hAnsi="Palatino Linotype" w:cs="Palatino Linotype"/>
        </w:rPr>
      </w:pPr>
    </w:p>
    <w:p w14:paraId="69A02AE5"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En este sentido, cabe reiterar que la persona solicitante requirió al </w:t>
      </w:r>
      <w:r w:rsidRPr="006A0CC2">
        <w:rPr>
          <w:rFonts w:ascii="Palatino Linotype" w:eastAsia="Palatino Linotype" w:hAnsi="Palatino Linotype" w:cs="Palatino Linotype"/>
          <w:b/>
        </w:rPr>
        <w:t xml:space="preserve">Sujeto Obligado, </w:t>
      </w:r>
      <w:r w:rsidRPr="006A0CC2">
        <w:rPr>
          <w:rFonts w:ascii="Palatino Linotype" w:eastAsia="Palatino Linotype" w:hAnsi="Palatino Linotype" w:cs="Palatino Linotype"/>
        </w:rPr>
        <w:t xml:space="preserve">lo siguiente: </w:t>
      </w:r>
    </w:p>
    <w:p w14:paraId="409A8CBA" w14:textId="77777777" w:rsidR="00260C20" w:rsidRPr="006A0CC2" w:rsidRDefault="001A60FA">
      <w:pPr>
        <w:numPr>
          <w:ilvl w:val="0"/>
          <w:numId w:val="5"/>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El fundamento legal y en que programa encuadran los comedores.</w:t>
      </w:r>
    </w:p>
    <w:p w14:paraId="041586E1" w14:textId="77777777" w:rsidR="00260C20" w:rsidRPr="006A0CC2" w:rsidRDefault="001A60FA">
      <w:pPr>
        <w:numPr>
          <w:ilvl w:val="0"/>
          <w:numId w:val="5"/>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Las reglas de operación de los comedores.</w:t>
      </w:r>
    </w:p>
    <w:p w14:paraId="48E407E8" w14:textId="77777777" w:rsidR="00260C20" w:rsidRPr="006A0CC2" w:rsidRDefault="001A60FA">
      <w:pPr>
        <w:numPr>
          <w:ilvl w:val="0"/>
          <w:numId w:val="5"/>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Cuánto se gasta en cada comedor por mes, con comprobación por comedor, desde el inicio de cada comedor a la fecha.</w:t>
      </w:r>
    </w:p>
    <w:p w14:paraId="6F102286" w14:textId="77777777" w:rsidR="00260C20" w:rsidRPr="006A0CC2" w:rsidRDefault="001A60FA">
      <w:pPr>
        <w:numPr>
          <w:ilvl w:val="0"/>
          <w:numId w:val="5"/>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Comprobación de desayunos otorgados diarios por comedor.</w:t>
      </w:r>
    </w:p>
    <w:p w14:paraId="59096750" w14:textId="77777777" w:rsidR="00260C20" w:rsidRPr="006A0CC2" w:rsidRDefault="001A60FA">
      <w:pPr>
        <w:numPr>
          <w:ilvl w:val="0"/>
          <w:numId w:val="5"/>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Comprobación de comidas otorgados diarios por comedor.</w:t>
      </w:r>
    </w:p>
    <w:p w14:paraId="58CD52FC" w14:textId="77777777" w:rsidR="00260C20" w:rsidRPr="006A0CC2" w:rsidRDefault="001A60FA">
      <w:pPr>
        <w:numPr>
          <w:ilvl w:val="0"/>
          <w:numId w:val="5"/>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Cuántos servidores públicos atienden por comedor.</w:t>
      </w:r>
    </w:p>
    <w:p w14:paraId="57F56F1A" w14:textId="77777777" w:rsidR="00260C20" w:rsidRPr="006A0CC2" w:rsidRDefault="001A60FA">
      <w:pPr>
        <w:numPr>
          <w:ilvl w:val="0"/>
          <w:numId w:val="5"/>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Sueldos de los servidores públicos que atienden por comedor.</w:t>
      </w:r>
    </w:p>
    <w:p w14:paraId="7DB42550" w14:textId="77777777" w:rsidR="00260C20" w:rsidRPr="006A0CC2" w:rsidRDefault="001A60FA">
      <w:pPr>
        <w:numPr>
          <w:ilvl w:val="0"/>
          <w:numId w:val="5"/>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De no ser servidores públicos se me indique que son y de que partida presupuestal sale el pago.</w:t>
      </w:r>
    </w:p>
    <w:p w14:paraId="03086B59" w14:textId="77777777" w:rsidR="00260C20" w:rsidRPr="006A0CC2" w:rsidRDefault="001A60FA">
      <w:pPr>
        <w:numPr>
          <w:ilvl w:val="0"/>
          <w:numId w:val="5"/>
        </w:numPr>
        <w:pBdr>
          <w:top w:val="nil"/>
          <w:left w:val="nil"/>
          <w:bottom w:val="nil"/>
          <w:right w:val="nil"/>
          <w:between w:val="nil"/>
        </w:pBdr>
        <w:spacing w:after="0" w:line="360"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lastRenderedPageBreak/>
        <w:t>Cuanto genera cada comedor de excedente ya que como se paga las comidas y desayunos y se tiene un presupuesto municipal por mes, entonces se empate presupuesto con ganancia; y, que se hace con ella, con comprobantes.</w:t>
      </w:r>
    </w:p>
    <w:p w14:paraId="750ADD6A"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En respuesta, el </w:t>
      </w:r>
      <w:r w:rsidRPr="006A0CC2">
        <w:rPr>
          <w:rFonts w:ascii="Palatino Linotype" w:eastAsia="Palatino Linotype" w:hAnsi="Palatino Linotype" w:cs="Palatino Linotype"/>
          <w:b/>
        </w:rPr>
        <w:t xml:space="preserve">Sujeto Obligado </w:t>
      </w:r>
      <w:r w:rsidRPr="006A0CC2">
        <w:rPr>
          <w:rFonts w:ascii="Palatino Linotype" w:eastAsia="Palatino Linotype" w:hAnsi="Palatino Linotype" w:cs="Palatino Linotype"/>
        </w:rPr>
        <w:t xml:space="preserve">a través del </w:t>
      </w:r>
      <w:proofErr w:type="gramStart"/>
      <w:r w:rsidRPr="006A0CC2">
        <w:rPr>
          <w:rFonts w:ascii="Palatino Linotype" w:eastAsia="Palatino Linotype" w:hAnsi="Palatino Linotype" w:cs="Palatino Linotype"/>
        </w:rPr>
        <w:t>Director</w:t>
      </w:r>
      <w:proofErr w:type="gramEnd"/>
      <w:r w:rsidRPr="006A0CC2">
        <w:rPr>
          <w:rFonts w:ascii="Palatino Linotype" w:eastAsia="Palatino Linotype" w:hAnsi="Palatino Linotype" w:cs="Palatino Linotype"/>
        </w:rPr>
        <w:t xml:space="preserve"> de Administración informó que los que atienden los comedores no son servidores públicos, son personal eventual contratado por honorarios asimilables a salarios y su sueldo es de acuerdo a lo establecido en el tabulador vigente, designado para sueldo eventual. </w:t>
      </w:r>
    </w:p>
    <w:p w14:paraId="3CDD3288" w14:textId="77777777" w:rsidR="00260C20" w:rsidRPr="006A0CC2" w:rsidRDefault="00260C20">
      <w:pPr>
        <w:spacing w:after="0" w:line="360" w:lineRule="auto"/>
        <w:jc w:val="both"/>
        <w:rPr>
          <w:rFonts w:ascii="Palatino Linotype" w:eastAsia="Palatino Linotype" w:hAnsi="Palatino Linotype" w:cs="Palatino Linotype"/>
        </w:rPr>
      </w:pPr>
    </w:p>
    <w:p w14:paraId="0CE8621A" w14:textId="77777777" w:rsidR="00260C20" w:rsidRPr="006A0CC2" w:rsidRDefault="001A60FA">
      <w:pPr>
        <w:spacing w:after="0" w:line="360" w:lineRule="auto"/>
        <w:jc w:val="both"/>
        <w:rPr>
          <w:rFonts w:ascii="Palatino Linotype" w:eastAsia="Palatino Linotype" w:hAnsi="Palatino Linotype" w:cs="Palatino Linotype"/>
        </w:rPr>
      </w:pPr>
      <w:proofErr w:type="gramStart"/>
      <w:r w:rsidRPr="006A0CC2">
        <w:rPr>
          <w:rFonts w:ascii="Palatino Linotype" w:eastAsia="Palatino Linotype" w:hAnsi="Palatino Linotype" w:cs="Palatino Linotype"/>
        </w:rPr>
        <w:t>Asimismo</w:t>
      </w:r>
      <w:proofErr w:type="gramEnd"/>
      <w:r w:rsidRPr="006A0CC2">
        <w:rPr>
          <w:rFonts w:ascii="Palatino Linotype" w:eastAsia="Palatino Linotype" w:hAnsi="Palatino Linotype" w:cs="Palatino Linotype"/>
        </w:rPr>
        <w:t xml:space="preserve"> señaló que la información respecto al sueldo de los trabajadores de los comedores, se puede consultar en la página virtual IPOMEX (Información Pública de Oficio Mexiquense) en el artículo 92 VIII B Tabulador de sueldos y XXXV A Gasto por capítulo, concepto y partida: </w:t>
      </w:r>
    </w:p>
    <w:p w14:paraId="4A0838FD" w14:textId="77777777" w:rsidR="00260C20" w:rsidRPr="006A0CC2" w:rsidRDefault="001A60FA">
      <w:pPr>
        <w:spacing w:after="0" w:line="360" w:lineRule="auto"/>
        <w:jc w:val="center"/>
        <w:rPr>
          <w:rFonts w:ascii="Palatino Linotype" w:eastAsia="Palatino Linotype" w:hAnsi="Palatino Linotype" w:cs="Palatino Linotype"/>
        </w:rPr>
      </w:pPr>
      <w:r w:rsidRPr="006A0CC2">
        <w:rPr>
          <w:rFonts w:ascii="Palatino Linotype" w:eastAsia="Palatino Linotype" w:hAnsi="Palatino Linotype" w:cs="Palatino Linotype"/>
          <w:noProof/>
        </w:rPr>
        <w:drawing>
          <wp:inline distT="0" distB="0" distL="0" distR="0" wp14:anchorId="4B7ED6B3" wp14:editId="5BFF7428">
            <wp:extent cx="5020376" cy="46679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20376" cy="466790"/>
                    </a:xfrm>
                    <a:prstGeom prst="rect">
                      <a:avLst/>
                    </a:prstGeom>
                    <a:ln/>
                  </pic:spPr>
                </pic:pic>
              </a:graphicData>
            </a:graphic>
          </wp:inline>
        </w:drawing>
      </w:r>
    </w:p>
    <w:p w14:paraId="387F2EEE"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Asimismo, indicó los pasos a seguir para consultar la información requerida. </w:t>
      </w:r>
    </w:p>
    <w:p w14:paraId="02384552" w14:textId="77777777" w:rsidR="00260C20" w:rsidRPr="006A0CC2" w:rsidRDefault="00260C20">
      <w:pPr>
        <w:spacing w:after="0" w:line="360" w:lineRule="auto"/>
        <w:jc w:val="both"/>
        <w:rPr>
          <w:rFonts w:ascii="Palatino Linotype" w:eastAsia="Palatino Linotype" w:hAnsi="Palatino Linotype" w:cs="Palatino Linotype"/>
        </w:rPr>
      </w:pPr>
    </w:p>
    <w:p w14:paraId="43C7FAA2"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Por su parte, la </w:t>
      </w:r>
      <w:proofErr w:type="gramStart"/>
      <w:r w:rsidRPr="006A0CC2">
        <w:rPr>
          <w:rFonts w:ascii="Palatino Linotype" w:eastAsia="Palatino Linotype" w:hAnsi="Palatino Linotype" w:cs="Palatino Linotype"/>
        </w:rPr>
        <w:t>Directora</w:t>
      </w:r>
      <w:proofErr w:type="gramEnd"/>
      <w:r w:rsidRPr="006A0CC2">
        <w:rPr>
          <w:rFonts w:ascii="Palatino Linotype" w:eastAsia="Palatino Linotype" w:hAnsi="Palatino Linotype" w:cs="Palatino Linotype"/>
        </w:rPr>
        <w:t xml:space="preserve"> de Desarrollo Social informó: </w:t>
      </w:r>
    </w:p>
    <w:p w14:paraId="69E6FA42" w14:textId="77777777" w:rsidR="00260C20" w:rsidRPr="006A0CC2" w:rsidRDefault="00260C20">
      <w:pPr>
        <w:spacing w:after="0" w:line="360" w:lineRule="auto"/>
        <w:jc w:val="both"/>
        <w:rPr>
          <w:rFonts w:ascii="Palatino Linotype" w:eastAsia="Palatino Linotype" w:hAnsi="Palatino Linotype" w:cs="Palatino Linotype"/>
        </w:rPr>
      </w:pPr>
    </w:p>
    <w:p w14:paraId="5D1BABEA" w14:textId="77777777" w:rsidR="00260C20" w:rsidRPr="006A0CC2" w:rsidRDefault="001A60FA">
      <w:pPr>
        <w:numPr>
          <w:ilvl w:val="3"/>
          <w:numId w:val="1"/>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Que hace del conocimiento de las ligas electrónicas en las que se puede consultar el marco normativo. </w:t>
      </w:r>
    </w:p>
    <w:p w14:paraId="099F061B" w14:textId="77777777" w:rsidR="00260C20" w:rsidRPr="006A0CC2" w:rsidRDefault="001A60FA">
      <w:pPr>
        <w:numPr>
          <w:ilvl w:val="3"/>
          <w:numId w:val="1"/>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Que hace entrega de las Reglas de Operación del programa social “Comedores Comunitarios” integrado por 32 fojas, firmado al calce de la última página las entonces </w:t>
      </w:r>
      <w:proofErr w:type="gramStart"/>
      <w:r w:rsidRPr="006A0CC2">
        <w:rPr>
          <w:rFonts w:ascii="Palatino Linotype" w:eastAsia="Palatino Linotype" w:hAnsi="Palatino Linotype" w:cs="Palatino Linotype"/>
        </w:rPr>
        <w:t>Directora</w:t>
      </w:r>
      <w:proofErr w:type="gramEnd"/>
      <w:r w:rsidRPr="006A0CC2">
        <w:rPr>
          <w:rFonts w:ascii="Palatino Linotype" w:eastAsia="Palatino Linotype" w:hAnsi="Palatino Linotype" w:cs="Palatino Linotype"/>
        </w:rPr>
        <w:t xml:space="preserve"> de Desarrollo Social, Subdirectora de Asistencia Social y la Jefa del Departamento de Comedores Comunitarios. </w:t>
      </w:r>
    </w:p>
    <w:p w14:paraId="34B9E1F9" w14:textId="77777777" w:rsidR="00260C20" w:rsidRPr="006A0CC2" w:rsidRDefault="001A60FA">
      <w:pPr>
        <w:numPr>
          <w:ilvl w:val="3"/>
          <w:numId w:val="1"/>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Que se tiene al antecedente proyectado un presupuesto para el periodo 2022 -$17,000,000.00; 2023 - $5,956,266.36 y para el 2024 - $3,461,423.60. </w:t>
      </w:r>
      <w:r w:rsidRPr="006A0CC2">
        <w:rPr>
          <w:rFonts w:ascii="Palatino Linotype" w:eastAsia="Palatino Linotype" w:hAnsi="Palatino Linotype" w:cs="Palatino Linotype"/>
        </w:rPr>
        <w:lastRenderedPageBreak/>
        <w:t xml:space="preserve">Adicionando al presente el vínculo electrónico para mayor referencia: https://www.tlalnepantla.gob.mx/ </w:t>
      </w:r>
    </w:p>
    <w:p w14:paraId="5A1ECEB8" w14:textId="77777777" w:rsidR="00260C20" w:rsidRPr="006A0CC2" w:rsidRDefault="001A60FA">
      <w:pPr>
        <w:numPr>
          <w:ilvl w:val="3"/>
          <w:numId w:val="1"/>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Que hace entrega de la evidencia de lo solicitado, a partir de la apertura de los comedores comunitarios del año 2022 a la presente anualidad. </w:t>
      </w:r>
    </w:p>
    <w:p w14:paraId="6AED4AB3" w14:textId="77777777" w:rsidR="00260C20" w:rsidRPr="006A0CC2" w:rsidRDefault="001A60FA">
      <w:pPr>
        <w:numPr>
          <w:ilvl w:val="3"/>
          <w:numId w:val="1"/>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r w:rsidRPr="006A0CC2">
        <w:rPr>
          <w:rFonts w:ascii="Palatino Linotype" w:eastAsia="Palatino Linotype" w:hAnsi="Palatino Linotype" w:cs="Palatino Linotype"/>
        </w:rPr>
        <w:t>Que las comidas y desayunos no se pagan, en virtud de que es un Programa Social y de carácter no lucrativo, especificando que se solicita una cuota de recuperación, consistente en $10.00 (Diez pesos 00/</w:t>
      </w:r>
      <w:proofErr w:type="gramStart"/>
      <w:r w:rsidRPr="006A0CC2">
        <w:rPr>
          <w:rFonts w:ascii="Palatino Linotype" w:eastAsia="Palatino Linotype" w:hAnsi="Palatino Linotype" w:cs="Palatino Linotype"/>
        </w:rPr>
        <w:t>M.N</w:t>
      </w:r>
      <w:proofErr w:type="gramEnd"/>
      <w:r w:rsidRPr="006A0CC2">
        <w:rPr>
          <w:rFonts w:ascii="Palatino Linotype" w:eastAsia="Palatino Linotype" w:hAnsi="Palatino Linotype" w:cs="Palatino Linotype"/>
        </w:rPr>
        <w:t xml:space="preserve">) por desayuno y $15.00 (quince pesos 00/100 M.N) por comida. </w:t>
      </w:r>
    </w:p>
    <w:p w14:paraId="2C579769" w14:textId="77777777" w:rsidR="00260C20" w:rsidRPr="006A0CC2" w:rsidRDefault="001A60FA">
      <w:pPr>
        <w:numPr>
          <w:ilvl w:val="3"/>
          <w:numId w:val="1"/>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Que no se puede empatar presupuesto con ganancia, toda vez que el presupuesto está determinado para cada ejercicio fiscal y en este caso para el Programa Social “Comedores Comunitarios” </w:t>
      </w:r>
      <w:proofErr w:type="gramStart"/>
      <w:r w:rsidRPr="006A0CC2">
        <w:rPr>
          <w:rFonts w:ascii="Palatino Linotype" w:eastAsia="Palatino Linotype" w:hAnsi="Palatino Linotype" w:cs="Palatino Linotype"/>
        </w:rPr>
        <w:t>y</w:t>
      </w:r>
      <w:proofErr w:type="gramEnd"/>
      <w:r w:rsidRPr="006A0CC2">
        <w:rPr>
          <w:rFonts w:ascii="Palatino Linotype" w:eastAsia="Palatino Linotype" w:hAnsi="Palatino Linotype" w:cs="Palatino Linotype"/>
        </w:rPr>
        <w:t xml:space="preserve"> por otra parte, dicho programa no genera ganancias porque no es lucrativo, se genera una cuota de recuperación, la cual es mínima para sumar al buen desarrollo de cada comedor comunitario. </w:t>
      </w:r>
    </w:p>
    <w:p w14:paraId="37585DA7" w14:textId="77777777" w:rsidR="00260C20" w:rsidRPr="006A0CC2" w:rsidRDefault="001A60FA">
      <w:pPr>
        <w:spacing w:before="240" w:after="240"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Derivado de ello, la parte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 xml:space="preserve"> interpuso el recurso de revisión que se analiza en el presente asunto, por medio del cual se inconformó medularmente de la negativa a la información solicitada. </w:t>
      </w:r>
    </w:p>
    <w:p w14:paraId="540DA695" w14:textId="77777777" w:rsidR="00260C20" w:rsidRPr="006A0CC2" w:rsidRDefault="001A60FA">
      <w:pPr>
        <w:spacing w:line="360" w:lineRule="auto"/>
        <w:ind w:right="49"/>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 este modo, </w:t>
      </w:r>
      <w:r w:rsidRPr="006A0CC2">
        <w:rPr>
          <w:rFonts w:ascii="Palatino Linotype" w:eastAsia="Palatino Linotype" w:hAnsi="Palatino Linotype" w:cs="Palatino Linotype"/>
          <w:b/>
        </w:rPr>
        <w:t>el Sujeto Obligado</w:t>
      </w:r>
      <w:r w:rsidRPr="006A0CC2">
        <w:rPr>
          <w:rFonts w:ascii="Palatino Linotype" w:eastAsia="Palatino Linotype" w:hAnsi="Palatino Linotype" w:cs="Palatino Linotype"/>
        </w:rPr>
        <w:t xml:space="preserve">, mediante Informe Justificado ratificó su respuesta inicial. </w:t>
      </w:r>
    </w:p>
    <w:p w14:paraId="2ABC96F2"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Expuesto lo anterior, conviene señalar que el artículo 33 del Bando Municipal del Ayuntamiento de Tlalnepantla de Baz, precisa que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contará con las Direcciones de Administración y Desarrollo Social para el despacho, estudio y planeación de los diversos asuntos de la Administración Municipal. </w:t>
      </w:r>
    </w:p>
    <w:p w14:paraId="1FF77C36" w14:textId="77777777" w:rsidR="00260C20" w:rsidRPr="006A0CC2" w:rsidRDefault="00260C20">
      <w:pPr>
        <w:spacing w:after="0" w:line="360" w:lineRule="auto"/>
        <w:jc w:val="both"/>
        <w:rPr>
          <w:rFonts w:ascii="Palatino Linotype" w:eastAsia="Palatino Linotype" w:hAnsi="Palatino Linotype" w:cs="Palatino Linotype"/>
        </w:rPr>
      </w:pPr>
    </w:p>
    <w:p w14:paraId="7464E33A"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lastRenderedPageBreak/>
        <w:t>“</w:t>
      </w:r>
      <w:r w:rsidRPr="006A0CC2">
        <w:rPr>
          <w:rFonts w:ascii="Palatino Linotype" w:eastAsia="Palatino Linotype" w:hAnsi="Palatino Linotype" w:cs="Palatino Linotype"/>
          <w:b/>
          <w:i/>
        </w:rPr>
        <w:t>Artículo 33.</w:t>
      </w:r>
      <w:r w:rsidRPr="006A0CC2">
        <w:rPr>
          <w:rFonts w:ascii="Palatino Linotype" w:eastAsia="Palatino Linotype" w:hAnsi="Palatino Linotype" w:cs="Palatino Linotype"/>
          <w:i/>
        </w:rPr>
        <w:t xml:space="preserve"> La Administración Pública Municipal Centralizada estará integrada por las siguientes dependencias administrativas:</w:t>
      </w:r>
    </w:p>
    <w:p w14:paraId="5D6E3070"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I. al V. </w:t>
      </w:r>
    </w:p>
    <w:p w14:paraId="67452901" w14:textId="77777777" w:rsidR="00260C20" w:rsidRPr="006A0CC2" w:rsidRDefault="001A60FA">
      <w:pPr>
        <w:spacing w:after="0" w:line="276" w:lineRule="auto"/>
        <w:ind w:left="851" w:right="616"/>
        <w:jc w:val="both"/>
        <w:rPr>
          <w:rFonts w:ascii="Palatino Linotype" w:eastAsia="Palatino Linotype" w:hAnsi="Palatino Linotype" w:cs="Palatino Linotype"/>
          <w:b/>
          <w:i/>
        </w:rPr>
      </w:pPr>
      <w:r w:rsidRPr="006A0CC2">
        <w:rPr>
          <w:rFonts w:ascii="Palatino Linotype" w:eastAsia="Palatino Linotype" w:hAnsi="Palatino Linotype" w:cs="Palatino Linotype"/>
          <w:b/>
          <w:i/>
        </w:rPr>
        <w:t>VI. Dirección de Administración;</w:t>
      </w:r>
    </w:p>
    <w:p w14:paraId="6342EFEA"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p>
    <w:p w14:paraId="19FADB12" w14:textId="77777777" w:rsidR="00260C20" w:rsidRPr="006A0CC2" w:rsidRDefault="001A60FA">
      <w:pPr>
        <w:spacing w:after="0" w:line="276" w:lineRule="auto"/>
        <w:ind w:left="851" w:right="616"/>
        <w:jc w:val="both"/>
        <w:rPr>
          <w:rFonts w:ascii="Palatino Linotype" w:eastAsia="Palatino Linotype" w:hAnsi="Palatino Linotype" w:cs="Palatino Linotype"/>
          <w:b/>
          <w:i/>
        </w:rPr>
      </w:pPr>
      <w:r w:rsidRPr="006A0CC2">
        <w:rPr>
          <w:rFonts w:ascii="Palatino Linotype" w:eastAsia="Palatino Linotype" w:hAnsi="Palatino Linotype" w:cs="Palatino Linotype"/>
          <w:b/>
          <w:i/>
        </w:rPr>
        <w:t>IX. Dirección de Desarrollo Social;</w:t>
      </w:r>
    </w:p>
    <w:p w14:paraId="47B30D11"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p>
    <w:p w14:paraId="3B09229D"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Dependencias que para el desempeño de sus funciones, atribuciones y facultades estarán a lo previsto por el Reglamento Interno de la Administración Pública Municipal de Tlalnepantla de Baz, Estado de México y demás ordenamientos jurídicos aplicables en su ámbito de competencia, encontrándose facultados para realizar las diligencias necesarias, pudiendo habilitar o comisionar al personal correspondiente para realizar la notificación respectiva, a fin de atender los asuntos de su competencia.”</w:t>
      </w:r>
    </w:p>
    <w:p w14:paraId="6881A7EA" w14:textId="77777777" w:rsidR="00260C20" w:rsidRPr="006A0CC2" w:rsidRDefault="00260C20">
      <w:pPr>
        <w:spacing w:after="0" w:line="360" w:lineRule="auto"/>
        <w:jc w:val="both"/>
        <w:rPr>
          <w:rFonts w:ascii="Palatino Linotype" w:eastAsia="Palatino Linotype" w:hAnsi="Palatino Linotype" w:cs="Palatino Linotype"/>
        </w:rPr>
      </w:pPr>
    </w:p>
    <w:p w14:paraId="5113B5C4"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Por otra parte, el artículo 210 del Reglamento Interno de la Administración Pública Municipal de Tlalnepantla de Baz vigente, establece que para el despacho de los asuntos de su competencia, la Dirección de Administración tendrá como facultades y atribuciones vigilar y supervisar que el personal que las dependencias requieran sea debidamente seleccionado y contratado, cuando así lo establezcan las descripciones y especificaciones de los puestos, atendiendo a la normatividad aplicable; así como, vigilar y supervisar la integración de los expedientes del personal. </w:t>
      </w:r>
    </w:p>
    <w:p w14:paraId="7C310068" w14:textId="77777777" w:rsidR="00260C20" w:rsidRPr="006A0CC2" w:rsidRDefault="00260C20">
      <w:pPr>
        <w:spacing w:after="0" w:line="360" w:lineRule="auto"/>
        <w:jc w:val="both"/>
        <w:rPr>
          <w:rFonts w:ascii="Palatino Linotype" w:eastAsia="Palatino Linotype" w:hAnsi="Palatino Linotype" w:cs="Palatino Linotype"/>
        </w:rPr>
      </w:pPr>
    </w:p>
    <w:p w14:paraId="7EE99EAC"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Del mismo modo, el artículo 211 de la normativa en cita, establece que la Dirección de Administración se auxiliara de la Subdirección de Capital Humano, la cual tiene como facultades y obligaciones diseñar y establecer los tabuladores de sueldos anuales del personal de la Administración Pública Municipal y llevar a cabo el procesamiento de las nóminas quincenales y de fin de año para el pago de las remuneraciones y prestaciones a los servidores públicos municipales. </w:t>
      </w:r>
    </w:p>
    <w:p w14:paraId="6379274A" w14:textId="77777777" w:rsidR="00260C20" w:rsidRPr="006A0CC2" w:rsidRDefault="00260C20">
      <w:pPr>
        <w:spacing w:after="0" w:line="360" w:lineRule="auto"/>
        <w:jc w:val="both"/>
        <w:rPr>
          <w:rFonts w:ascii="Palatino Linotype" w:eastAsia="Palatino Linotype" w:hAnsi="Palatino Linotype" w:cs="Palatino Linotype"/>
        </w:rPr>
      </w:pPr>
    </w:p>
    <w:p w14:paraId="39E536FF"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lastRenderedPageBreak/>
        <w:t xml:space="preserve">Asimismo, el artículo 288 del reglamento interno del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establece que es la Dirección de Desarrollo Social, el área administrativa que se encarga de promover en el ámbito de su competencia, programas en beneficio de la población del Municipio, así como </w:t>
      </w:r>
      <w:r w:rsidRPr="006A0CC2">
        <w:rPr>
          <w:rFonts w:ascii="Palatino Linotype" w:eastAsia="Palatino Linotype" w:hAnsi="Palatino Linotype" w:cs="Palatino Linotype"/>
          <w:b/>
          <w:u w:val="single"/>
        </w:rPr>
        <w:t>dirigir los programas municipales de comedores comunitarios y apoyos alimentarios</w:t>
      </w:r>
      <w:r w:rsidRPr="006A0CC2">
        <w:rPr>
          <w:rFonts w:ascii="Palatino Linotype" w:eastAsia="Palatino Linotype" w:hAnsi="Palatino Linotype" w:cs="Palatino Linotype"/>
        </w:rPr>
        <w:t xml:space="preserve">. </w:t>
      </w:r>
    </w:p>
    <w:p w14:paraId="297BAACE" w14:textId="77777777" w:rsidR="00260C20" w:rsidRPr="006A0CC2" w:rsidRDefault="00260C20">
      <w:pPr>
        <w:spacing w:after="0" w:line="360" w:lineRule="auto"/>
        <w:jc w:val="both"/>
        <w:rPr>
          <w:rFonts w:ascii="Palatino Linotype" w:eastAsia="Palatino Linotype" w:hAnsi="Palatino Linotype" w:cs="Palatino Linotype"/>
        </w:rPr>
      </w:pPr>
    </w:p>
    <w:p w14:paraId="08547655"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Aunado a ello, la Dirección de Desarrollo Social se auxiliará de una Subdirección de Asistencia Social y este a su vez del Departamento de Comedores Comunitarios, cuyas facultades y atribuciones son las siguientes: </w:t>
      </w:r>
    </w:p>
    <w:p w14:paraId="2B4C5806" w14:textId="77777777" w:rsidR="00260C20" w:rsidRPr="006A0CC2" w:rsidRDefault="00260C20">
      <w:pPr>
        <w:spacing w:after="0" w:line="360" w:lineRule="auto"/>
        <w:jc w:val="both"/>
        <w:rPr>
          <w:rFonts w:ascii="Palatino Linotype" w:eastAsia="Palatino Linotype" w:hAnsi="Palatino Linotype" w:cs="Palatino Linotype"/>
        </w:rPr>
      </w:pPr>
    </w:p>
    <w:p w14:paraId="2AD99A0D"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r w:rsidRPr="006A0CC2">
        <w:rPr>
          <w:rFonts w:ascii="Palatino Linotype" w:eastAsia="Palatino Linotype" w:hAnsi="Palatino Linotype" w:cs="Palatino Linotype"/>
          <w:b/>
          <w:i/>
        </w:rPr>
        <w:t>ARTÍCULO 302.</w:t>
      </w:r>
      <w:r w:rsidRPr="006A0CC2">
        <w:rPr>
          <w:rFonts w:ascii="Palatino Linotype" w:eastAsia="Palatino Linotype" w:hAnsi="Palatino Linotype" w:cs="Palatino Linotype"/>
          <w:i/>
        </w:rPr>
        <w:t xml:space="preserve"> Para el desempeño de sus atribuciones, el Departamento de Comedores Comunitarios, tendrá las siguientes facultades y obligaciones:</w:t>
      </w:r>
    </w:p>
    <w:p w14:paraId="78F79D37"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I. </w:t>
      </w:r>
      <w:r w:rsidRPr="006A0CC2">
        <w:rPr>
          <w:rFonts w:ascii="Palatino Linotype" w:eastAsia="Palatino Linotype" w:hAnsi="Palatino Linotype" w:cs="Palatino Linotype"/>
          <w:b/>
          <w:i/>
        </w:rPr>
        <w:t>Definir las reglas de operación de los comedores comunitarios municipales</w:t>
      </w:r>
      <w:r w:rsidRPr="006A0CC2">
        <w:rPr>
          <w:rFonts w:ascii="Palatino Linotype" w:eastAsia="Palatino Linotype" w:hAnsi="Palatino Linotype" w:cs="Palatino Linotype"/>
          <w:i/>
        </w:rPr>
        <w:t>;</w:t>
      </w:r>
    </w:p>
    <w:p w14:paraId="4E574589"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II. </w:t>
      </w:r>
      <w:r w:rsidRPr="006A0CC2">
        <w:rPr>
          <w:rFonts w:ascii="Palatino Linotype" w:eastAsia="Palatino Linotype" w:hAnsi="Palatino Linotype" w:cs="Palatino Linotype"/>
          <w:b/>
          <w:i/>
        </w:rPr>
        <w:t>Definir en coordinación con la Dirección de Desarrollo Social</w:t>
      </w:r>
      <w:r w:rsidRPr="006A0CC2">
        <w:rPr>
          <w:rFonts w:ascii="Palatino Linotype" w:eastAsia="Palatino Linotype" w:hAnsi="Palatino Linotype" w:cs="Palatino Linotype"/>
          <w:i/>
        </w:rPr>
        <w:t xml:space="preserve"> la ubicación de los comedores comunitarios, así como </w:t>
      </w:r>
      <w:r w:rsidRPr="006A0CC2">
        <w:rPr>
          <w:rFonts w:ascii="Palatino Linotype" w:eastAsia="Palatino Linotype" w:hAnsi="Palatino Linotype" w:cs="Palatino Linotype"/>
          <w:b/>
          <w:i/>
        </w:rPr>
        <w:t>las personas que se harán cargo de estos</w:t>
      </w:r>
      <w:r w:rsidRPr="006A0CC2">
        <w:rPr>
          <w:rFonts w:ascii="Palatino Linotype" w:eastAsia="Palatino Linotype" w:hAnsi="Palatino Linotype" w:cs="Palatino Linotype"/>
          <w:i/>
        </w:rPr>
        <w:t>;</w:t>
      </w:r>
    </w:p>
    <w:p w14:paraId="05136AAC"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III. </w:t>
      </w:r>
      <w:r w:rsidRPr="006A0CC2">
        <w:rPr>
          <w:rFonts w:ascii="Palatino Linotype" w:eastAsia="Palatino Linotype" w:hAnsi="Palatino Linotype" w:cs="Palatino Linotype"/>
          <w:b/>
          <w:i/>
        </w:rPr>
        <w:t>Supervisar el buen funcionamiento de los comedores comunitarios municipales</w:t>
      </w:r>
      <w:r w:rsidRPr="006A0CC2">
        <w:rPr>
          <w:rFonts w:ascii="Palatino Linotype" w:eastAsia="Palatino Linotype" w:hAnsi="Palatino Linotype" w:cs="Palatino Linotype"/>
          <w:i/>
        </w:rPr>
        <w:t>; y</w:t>
      </w:r>
    </w:p>
    <w:p w14:paraId="54EFEA0D"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IV. Las demás que deriven de otros ordenamientos legales aplicables o le sean encomendados en el área de su competencia por sus superiores jerárquicos.</w:t>
      </w:r>
    </w:p>
    <w:p w14:paraId="12F2DCF3" w14:textId="77777777" w:rsidR="00260C20" w:rsidRPr="006A0CC2" w:rsidRDefault="00260C20">
      <w:pPr>
        <w:spacing w:after="0" w:line="276" w:lineRule="auto"/>
        <w:ind w:left="851" w:right="616"/>
        <w:jc w:val="both"/>
        <w:rPr>
          <w:rFonts w:ascii="Palatino Linotype" w:eastAsia="Palatino Linotype" w:hAnsi="Palatino Linotype" w:cs="Palatino Linotype"/>
          <w:i/>
        </w:rPr>
      </w:pPr>
    </w:p>
    <w:p w14:paraId="0A132328" w14:textId="77777777" w:rsidR="00260C20" w:rsidRPr="006A0CC2" w:rsidRDefault="001A60FA">
      <w:pP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ARTÍCULO 303.</w:t>
      </w:r>
      <w:r w:rsidRPr="006A0CC2">
        <w:rPr>
          <w:rFonts w:ascii="Palatino Linotype" w:eastAsia="Palatino Linotype" w:hAnsi="Palatino Linotype" w:cs="Palatino Linotype"/>
          <w:i/>
        </w:rPr>
        <w:t xml:space="preserve"> El Departamento de Comedores Comunitarios, contará con un o una titular que será responsable de la conducción, supervisión y ejecución de las atribuciones a que se refiere el artículo que antecede.”</w:t>
      </w:r>
      <w:r w:rsidRPr="006A0CC2">
        <w:rPr>
          <w:rFonts w:ascii="Palatino Linotype" w:eastAsia="Palatino Linotype" w:hAnsi="Palatino Linotype" w:cs="Palatino Linotype"/>
        </w:rPr>
        <w:br/>
        <w:t>(Énfasis Añadido)</w:t>
      </w:r>
    </w:p>
    <w:p w14:paraId="1B3876F2" w14:textId="77777777" w:rsidR="00260C20" w:rsidRPr="006A0CC2" w:rsidRDefault="00260C20">
      <w:pPr>
        <w:spacing w:after="0" w:line="360" w:lineRule="auto"/>
        <w:jc w:val="both"/>
        <w:rPr>
          <w:rFonts w:ascii="Palatino Linotype" w:eastAsia="Palatino Linotype" w:hAnsi="Palatino Linotype" w:cs="Palatino Linotype"/>
        </w:rPr>
      </w:pPr>
    </w:p>
    <w:p w14:paraId="6037EB58" w14:textId="77777777" w:rsidR="00260C20" w:rsidRPr="006A0CC2" w:rsidRDefault="001A60FA">
      <w:pPr>
        <w:spacing w:after="0" w:line="360" w:lineRule="auto"/>
        <w:jc w:val="both"/>
        <w:rPr>
          <w:rFonts w:ascii="Palatino Linotype" w:eastAsia="Palatino Linotype" w:hAnsi="Palatino Linotype" w:cs="Palatino Linotype"/>
        </w:rPr>
      </w:pPr>
      <w:bookmarkStart w:id="3" w:name="_heading=h.tyjcwt" w:colFirst="0" w:colLast="0"/>
      <w:bookmarkEnd w:id="3"/>
      <w:r w:rsidRPr="006A0CC2">
        <w:rPr>
          <w:rFonts w:ascii="Palatino Linotype" w:eastAsia="Palatino Linotype" w:hAnsi="Palatino Linotype" w:cs="Palatino Linotype"/>
        </w:rPr>
        <w:t xml:space="preserve">Por lo anteriormente expuesto, y de la revisión a las constancias que obran en el expediente electrónico, se logra advertir que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turnó la solicitud de información a las Direcciones de Administración y Desarrollo Social, por lo que, es necesario hacer referencia al procedimiento de búsqueda que deben de seguir los Sujetos Obligados para localizar la información, el cual se encuentra previsto en los artículos 160 y 162 de la Ley de </w:t>
      </w:r>
      <w:r w:rsidRPr="006A0CC2">
        <w:rPr>
          <w:rFonts w:ascii="Palatino Linotype" w:eastAsia="Palatino Linotype" w:hAnsi="Palatino Linotype" w:cs="Palatino Linotype"/>
        </w:rPr>
        <w:lastRenderedPageBreak/>
        <w:t>Transparencia y Acceso a la Información Pública del Estado de México y Municipios, mismo que es el siguiente:</w:t>
      </w:r>
    </w:p>
    <w:p w14:paraId="5C4C691B" w14:textId="77777777" w:rsidR="00260C20" w:rsidRPr="006A0CC2" w:rsidRDefault="00260C20">
      <w:pPr>
        <w:spacing w:after="0" w:line="360" w:lineRule="auto"/>
        <w:rPr>
          <w:rFonts w:ascii="Palatino Linotype" w:eastAsia="Palatino Linotype" w:hAnsi="Palatino Linotype" w:cs="Palatino Linotype"/>
        </w:rPr>
      </w:pPr>
    </w:p>
    <w:p w14:paraId="7A691E5A" w14:textId="77777777" w:rsidR="00260C20" w:rsidRPr="006A0CC2" w:rsidRDefault="001A60FA">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DBE51F7" w14:textId="77777777" w:rsidR="00260C20" w:rsidRPr="006A0CC2" w:rsidRDefault="001A60FA">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Los sujetos obligados otorgarán acceso a los documentos que se encuentren en sus archivos o que estén obligados a documentar de acuerdo con sus facultades, competencias o funciones, en el formato en que el solicitante manifieste, de entre aquellos formatos existentes.</w:t>
      </w:r>
    </w:p>
    <w:p w14:paraId="795B4087" w14:textId="77777777" w:rsidR="00260C20" w:rsidRPr="006A0CC2" w:rsidRDefault="00260C20">
      <w:pPr>
        <w:tabs>
          <w:tab w:val="left" w:pos="4962"/>
        </w:tabs>
        <w:spacing w:after="0" w:line="360" w:lineRule="auto"/>
        <w:ind w:right="-28"/>
        <w:jc w:val="both"/>
        <w:rPr>
          <w:rFonts w:ascii="Palatino Linotype" w:eastAsia="Palatino Linotype" w:hAnsi="Palatino Linotype" w:cs="Palatino Linotype"/>
        </w:rPr>
      </w:pPr>
    </w:p>
    <w:p w14:paraId="3CC7660B"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 tal circunstancia, se logra colegir que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cumplió con el procedimiento de búsqueda establecido en el artículo 162 de la Ley de Transparencia y Acceso a la Información Pública del Estado de México y Municipios, toda vez que turno la solicitud a la Dirección de Administración y Dirección de Desarrollo Social encargadas de realizar, la primera de ellas, de llevar a cabo el procesamiento de las nóminas quincenales para el pago de las remuneraciones y prestaciones a los servidores públicos municipales; y la segunda, es la encargada de dirigir los programas municipales de comedores comunitarios y apoyos alimentarios. </w:t>
      </w:r>
    </w:p>
    <w:p w14:paraId="48A27628" w14:textId="77777777" w:rsidR="00260C20" w:rsidRPr="006A0CC2" w:rsidRDefault="00260C20">
      <w:pPr>
        <w:spacing w:after="0" w:line="360" w:lineRule="auto"/>
        <w:jc w:val="both"/>
        <w:rPr>
          <w:rFonts w:ascii="Palatino Linotype" w:eastAsia="Palatino Linotype" w:hAnsi="Palatino Linotype" w:cs="Palatino Linotype"/>
        </w:rPr>
      </w:pPr>
    </w:p>
    <w:p w14:paraId="1B9BC549"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Dicho lo anterior, conviene señalar que las Reglas de Operación del Programa Social “Comedores Comunitarios” del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definen a los comedores comunitarios como los espacios que destinados y adaptados para su funcionamiento, tendrán la capacidad de proveer de alimentos sanos, nutritivos y suficientes a la población y darán cumplimiento al Programa Social, a fin de contribuir y garantizar el derecho humano de </w:t>
      </w:r>
      <w:r w:rsidRPr="006A0CC2">
        <w:rPr>
          <w:rFonts w:ascii="Palatino Linotype" w:eastAsia="Palatino Linotype" w:hAnsi="Palatino Linotype" w:cs="Palatino Linotype"/>
        </w:rPr>
        <w:lastRenderedPageBreak/>
        <w:t xml:space="preserve">acceder a una alimentación con calidad e higiene, a precio accesible, promoviendo así una cultura de alimentación adecuada, saludable e inocua, que permita mejorar los hábitos alimentarios y la nutrición; y en los cuales, atendiendo el espacio y acondicionamiento, podrá también operar como centro de actividades de desarrollo social, solo los casos de existir la necesidad de que se otorguen otros servicios complementarios y actividades que permitan en la región. </w:t>
      </w:r>
    </w:p>
    <w:p w14:paraId="41EC3273" w14:textId="77777777" w:rsidR="00260C20" w:rsidRPr="006A0CC2" w:rsidRDefault="00260C20">
      <w:pPr>
        <w:spacing w:after="0" w:line="360" w:lineRule="auto"/>
        <w:jc w:val="both"/>
        <w:rPr>
          <w:rFonts w:ascii="Palatino Linotype" w:eastAsia="Palatino Linotype" w:hAnsi="Palatino Linotype" w:cs="Palatino Linotype"/>
        </w:rPr>
      </w:pPr>
    </w:p>
    <w:p w14:paraId="1D5830B5"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Por su parte, el artículo 6.6 de las referidas reglas, refiere </w:t>
      </w:r>
      <w:proofErr w:type="gramStart"/>
      <w:r w:rsidRPr="006A0CC2">
        <w:rPr>
          <w:rFonts w:ascii="Palatino Linotype" w:eastAsia="Palatino Linotype" w:hAnsi="Palatino Linotype" w:cs="Palatino Linotype"/>
        </w:rPr>
        <w:t>que</w:t>
      </w:r>
      <w:proofErr w:type="gramEnd"/>
      <w:r w:rsidRPr="006A0CC2">
        <w:rPr>
          <w:rFonts w:ascii="Palatino Linotype" w:eastAsia="Palatino Linotype" w:hAnsi="Palatino Linotype" w:cs="Palatino Linotype"/>
        </w:rPr>
        <w:t xml:space="preserve"> para el ejercicio fiscal correspondiente, se autorizará por parte del Gobierno Municipal de Tlalnepantla de Baz, un presupuesto que está destinado a:</w:t>
      </w:r>
    </w:p>
    <w:p w14:paraId="5B515BCE" w14:textId="77777777" w:rsidR="00260C20" w:rsidRPr="006A0CC2" w:rsidRDefault="00260C20">
      <w:pPr>
        <w:spacing w:after="0" w:line="360" w:lineRule="auto"/>
        <w:jc w:val="both"/>
        <w:rPr>
          <w:rFonts w:ascii="Palatino Linotype" w:eastAsia="Palatino Linotype" w:hAnsi="Palatino Linotype" w:cs="Palatino Linotype"/>
        </w:rPr>
      </w:pPr>
    </w:p>
    <w:p w14:paraId="5B3BD5AF" w14:textId="77777777" w:rsidR="00260C20" w:rsidRPr="006A0CC2" w:rsidRDefault="001A60FA">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La adquisición de todos los enseres y menaje para los comedores comunitarios. </w:t>
      </w:r>
    </w:p>
    <w:p w14:paraId="21819156" w14:textId="77777777" w:rsidR="00260C20" w:rsidRPr="006A0CC2" w:rsidRDefault="001A60FA">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Para el abastecimiento quincenal. </w:t>
      </w:r>
    </w:p>
    <w:p w14:paraId="02B16644" w14:textId="77777777" w:rsidR="00260C20" w:rsidRPr="006A0CC2" w:rsidRDefault="001A60FA">
      <w:pPr>
        <w:numPr>
          <w:ilvl w:val="0"/>
          <w:numId w:val="7"/>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Capacitación al equipo voluntario en materia del funcionamiento del comedor comunitario y alimentos. </w:t>
      </w:r>
    </w:p>
    <w:p w14:paraId="6AACDFE5" w14:textId="77777777" w:rsidR="00260C20" w:rsidRPr="006A0CC2" w:rsidRDefault="00260C20">
      <w:pPr>
        <w:spacing w:after="0" w:line="360" w:lineRule="auto"/>
        <w:jc w:val="both"/>
        <w:rPr>
          <w:rFonts w:ascii="Palatino Linotype" w:eastAsia="Palatino Linotype" w:hAnsi="Palatino Linotype" w:cs="Palatino Linotype"/>
        </w:rPr>
      </w:pPr>
    </w:p>
    <w:p w14:paraId="05163FF2"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Al respecto, para el cumplimiento de las presentes reglas, se destinará para el equipamiento y mantenimiento de los comedores comunitarios, un presupuesto que será aplicado para que cada comedor funcione de manera óptima; presupuesto que tendrá una variación dependiendo de la situación y necesidades que presente cada comedor. </w:t>
      </w:r>
    </w:p>
    <w:p w14:paraId="419FD2AC" w14:textId="77777777" w:rsidR="00260C20" w:rsidRPr="006A0CC2" w:rsidRDefault="00260C20">
      <w:pPr>
        <w:spacing w:after="0" w:line="360" w:lineRule="auto"/>
        <w:jc w:val="both"/>
        <w:rPr>
          <w:rFonts w:ascii="Palatino Linotype" w:eastAsia="Palatino Linotype" w:hAnsi="Palatino Linotype" w:cs="Palatino Linotype"/>
        </w:rPr>
      </w:pPr>
    </w:p>
    <w:p w14:paraId="2B61ED52"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Del mismo modo, el artículo 10.8 de las Reglas de operación, establece </w:t>
      </w:r>
      <w:proofErr w:type="gramStart"/>
      <w:r w:rsidRPr="006A0CC2">
        <w:rPr>
          <w:rFonts w:ascii="Palatino Linotype" w:eastAsia="Palatino Linotype" w:hAnsi="Palatino Linotype" w:cs="Palatino Linotype"/>
        </w:rPr>
        <w:t>que</w:t>
      </w:r>
      <w:proofErr w:type="gramEnd"/>
      <w:r w:rsidRPr="006A0CC2">
        <w:rPr>
          <w:rFonts w:ascii="Palatino Linotype" w:eastAsia="Palatino Linotype" w:hAnsi="Palatino Linotype" w:cs="Palatino Linotype"/>
        </w:rPr>
        <w:t xml:space="preserve"> dentro del programa social, intervendrá el desarrollo de varios procedimientos que permitirán el cumplimiento del objetivo para formar un innovador modelo de progreso social y económico, para elevar los estándares de excelencia en el servicio que a través de los comedores comunitarios, se otorgará a las y los beneficiarios, tales como instalaciones adecuadas, servicios óptimos de higiene y una alimentación nutritiva. </w:t>
      </w:r>
    </w:p>
    <w:p w14:paraId="66DA3EA6" w14:textId="77777777" w:rsidR="00260C20" w:rsidRPr="006A0CC2" w:rsidRDefault="00260C20">
      <w:pPr>
        <w:spacing w:after="0" w:line="360" w:lineRule="auto"/>
        <w:jc w:val="both"/>
        <w:rPr>
          <w:rFonts w:ascii="Palatino Linotype" w:eastAsia="Palatino Linotype" w:hAnsi="Palatino Linotype" w:cs="Palatino Linotype"/>
        </w:rPr>
      </w:pPr>
    </w:p>
    <w:p w14:paraId="5DA25AAB"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En dicho proceso, la operatividad de los comedores comunitarios, se conformarán por los siguientes procedimientos: Equipamiento, Abasto, Periodicidad y entrega de alimentos, Planificación, Ejecución y Supervisión. </w:t>
      </w:r>
    </w:p>
    <w:p w14:paraId="387D2F55" w14:textId="77777777" w:rsidR="00260C20" w:rsidRPr="006A0CC2" w:rsidRDefault="00260C20">
      <w:pPr>
        <w:spacing w:after="0" w:line="360" w:lineRule="auto"/>
        <w:jc w:val="both"/>
        <w:rPr>
          <w:rFonts w:ascii="Palatino Linotype" w:eastAsia="Palatino Linotype" w:hAnsi="Palatino Linotype" w:cs="Palatino Linotype"/>
        </w:rPr>
      </w:pPr>
    </w:p>
    <w:p w14:paraId="358DA838"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Aunado a ello, este Instituto localizó el Primer Informe de Resultados de la actual administración, del que se advierte que se instalaron 40 Comedores Comunitarios en los que se ofrecen comidas completas y balanceadas a bajo costo en espacios limpios y adecuados conforme a las normas sanitarias en la materia. Con este programa se provee de una alimentación sana, nutritiva, suficiente y de calidad. </w:t>
      </w:r>
    </w:p>
    <w:p w14:paraId="167B4C1B" w14:textId="77777777" w:rsidR="00260C20" w:rsidRPr="006A0CC2" w:rsidRDefault="00260C20">
      <w:pPr>
        <w:spacing w:after="0" w:line="360" w:lineRule="auto"/>
        <w:jc w:val="both"/>
        <w:rPr>
          <w:rFonts w:ascii="Palatino Linotype" w:eastAsia="Palatino Linotype" w:hAnsi="Palatino Linotype" w:cs="Palatino Linotype"/>
        </w:rPr>
      </w:pPr>
    </w:p>
    <w:p w14:paraId="13236088"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Del mismo modo, se advierten los comedores, ubicación, sector y delegación de los Comedores Comunitarios, siendo estos los siguientes: </w:t>
      </w:r>
    </w:p>
    <w:p w14:paraId="4F3B0823" w14:textId="77777777" w:rsidR="00260C20" w:rsidRPr="006A0CC2" w:rsidRDefault="001A60FA">
      <w:pPr>
        <w:spacing w:after="0" w:line="360" w:lineRule="auto"/>
        <w:jc w:val="center"/>
        <w:rPr>
          <w:rFonts w:ascii="Palatino Linotype" w:eastAsia="Palatino Linotype" w:hAnsi="Palatino Linotype" w:cs="Palatino Linotype"/>
        </w:rPr>
      </w:pPr>
      <w:r w:rsidRPr="006A0CC2">
        <w:rPr>
          <w:rFonts w:ascii="Palatino Linotype" w:eastAsia="Palatino Linotype" w:hAnsi="Palatino Linotype" w:cs="Palatino Linotype"/>
          <w:noProof/>
        </w:rPr>
        <w:drawing>
          <wp:inline distT="0" distB="0" distL="0" distR="0" wp14:anchorId="72180848" wp14:editId="1F02A5A0">
            <wp:extent cx="5015611" cy="3715456"/>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015611" cy="3715456"/>
                    </a:xfrm>
                    <a:prstGeom prst="rect">
                      <a:avLst/>
                    </a:prstGeom>
                    <a:ln/>
                  </pic:spPr>
                </pic:pic>
              </a:graphicData>
            </a:graphic>
          </wp:inline>
        </w:drawing>
      </w:r>
    </w:p>
    <w:p w14:paraId="26B4128A" w14:textId="77777777" w:rsidR="00260C20" w:rsidRPr="006A0CC2" w:rsidRDefault="001A60FA">
      <w:pPr>
        <w:spacing w:after="0" w:line="360" w:lineRule="auto"/>
        <w:jc w:val="center"/>
        <w:rPr>
          <w:rFonts w:ascii="Palatino Linotype" w:eastAsia="Palatino Linotype" w:hAnsi="Palatino Linotype" w:cs="Palatino Linotype"/>
        </w:rPr>
      </w:pPr>
      <w:r w:rsidRPr="006A0CC2">
        <w:rPr>
          <w:rFonts w:ascii="Palatino Linotype" w:eastAsia="Palatino Linotype" w:hAnsi="Palatino Linotype" w:cs="Palatino Linotype"/>
          <w:noProof/>
        </w:rPr>
        <w:lastRenderedPageBreak/>
        <w:drawing>
          <wp:inline distT="0" distB="0" distL="0" distR="0" wp14:anchorId="43989B27" wp14:editId="50851191">
            <wp:extent cx="4606341" cy="3676525"/>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606341" cy="3676525"/>
                    </a:xfrm>
                    <a:prstGeom prst="rect">
                      <a:avLst/>
                    </a:prstGeom>
                    <a:ln/>
                  </pic:spPr>
                </pic:pic>
              </a:graphicData>
            </a:graphic>
          </wp:inline>
        </w:drawing>
      </w:r>
    </w:p>
    <w:p w14:paraId="6537FA38" w14:textId="77777777" w:rsidR="00260C20" w:rsidRPr="006A0CC2" w:rsidRDefault="001A60FA">
      <w:pPr>
        <w:spacing w:after="0" w:line="360" w:lineRule="auto"/>
        <w:jc w:val="center"/>
        <w:rPr>
          <w:rFonts w:ascii="Palatino Linotype" w:eastAsia="Palatino Linotype" w:hAnsi="Palatino Linotype" w:cs="Palatino Linotype"/>
        </w:rPr>
      </w:pPr>
      <w:r w:rsidRPr="006A0CC2">
        <w:rPr>
          <w:rFonts w:ascii="Palatino Linotype" w:eastAsia="Palatino Linotype" w:hAnsi="Palatino Linotype" w:cs="Palatino Linotype"/>
          <w:noProof/>
        </w:rPr>
        <w:drawing>
          <wp:inline distT="0" distB="0" distL="0" distR="0" wp14:anchorId="1BFFBED2" wp14:editId="3D483B48">
            <wp:extent cx="4848973" cy="3779653"/>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848973" cy="3779653"/>
                    </a:xfrm>
                    <a:prstGeom prst="rect">
                      <a:avLst/>
                    </a:prstGeom>
                    <a:ln/>
                  </pic:spPr>
                </pic:pic>
              </a:graphicData>
            </a:graphic>
          </wp:inline>
        </w:drawing>
      </w:r>
    </w:p>
    <w:p w14:paraId="2F871820" w14:textId="77777777" w:rsidR="00260C20" w:rsidRPr="006A0CC2" w:rsidRDefault="00260C20">
      <w:pPr>
        <w:spacing w:after="0" w:line="360" w:lineRule="auto"/>
        <w:jc w:val="both"/>
        <w:rPr>
          <w:rFonts w:ascii="Palatino Linotype" w:eastAsia="Palatino Linotype" w:hAnsi="Palatino Linotype" w:cs="Palatino Linotype"/>
        </w:rPr>
      </w:pPr>
    </w:p>
    <w:p w14:paraId="6CB55F09"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 lo anteriormente expuesto, es claro que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genera, posee y administra la información que es del interés del particular, por lo que, se procede a realizar un cuadro comparativo de la información solicitada con la información entregada en respuesta, para determinar si se colma o no el derecho de acceso a la información pública del hoy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 conforme a lo siguiente:</w:t>
      </w:r>
    </w:p>
    <w:p w14:paraId="050BCD31" w14:textId="77777777" w:rsidR="00260C20" w:rsidRPr="006A0CC2" w:rsidRDefault="00260C20">
      <w:pPr>
        <w:spacing w:after="0" w:line="360" w:lineRule="auto"/>
        <w:jc w:val="both"/>
        <w:rPr>
          <w:rFonts w:ascii="Palatino Linotype" w:eastAsia="Palatino Linotype" w:hAnsi="Palatino Linotype" w:cs="Palatino Linotype"/>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4352"/>
        <w:gridCol w:w="1276"/>
        <w:gridCol w:w="1603"/>
      </w:tblGrid>
      <w:tr w:rsidR="006A0CC2" w:rsidRPr="006A0CC2" w14:paraId="27A1737B" w14:textId="77777777">
        <w:tc>
          <w:tcPr>
            <w:tcW w:w="1597" w:type="dxa"/>
            <w:shd w:val="clear" w:color="auto" w:fill="CCFFFF"/>
          </w:tcPr>
          <w:p w14:paraId="30CB7A16" w14:textId="77777777" w:rsidR="00260C20" w:rsidRPr="006A0CC2" w:rsidRDefault="001A60FA">
            <w:pPr>
              <w:jc w:val="center"/>
              <w:rPr>
                <w:rFonts w:ascii="Palatino Linotype" w:eastAsia="Palatino Linotype" w:hAnsi="Palatino Linotype" w:cs="Palatino Linotype"/>
                <w:b/>
                <w:sz w:val="20"/>
                <w:szCs w:val="20"/>
              </w:rPr>
            </w:pPr>
            <w:r w:rsidRPr="006A0CC2">
              <w:rPr>
                <w:rFonts w:ascii="Palatino Linotype" w:eastAsia="Palatino Linotype" w:hAnsi="Palatino Linotype" w:cs="Palatino Linotype"/>
                <w:b/>
                <w:sz w:val="20"/>
                <w:szCs w:val="20"/>
              </w:rPr>
              <w:t>Solicitó</w:t>
            </w:r>
          </w:p>
        </w:tc>
        <w:tc>
          <w:tcPr>
            <w:tcW w:w="4352" w:type="dxa"/>
            <w:shd w:val="clear" w:color="auto" w:fill="CCFFFF"/>
          </w:tcPr>
          <w:p w14:paraId="09177B0F" w14:textId="77777777" w:rsidR="00260C20" w:rsidRPr="006A0CC2" w:rsidRDefault="001A60FA">
            <w:pPr>
              <w:jc w:val="center"/>
              <w:rPr>
                <w:rFonts w:ascii="Palatino Linotype" w:eastAsia="Palatino Linotype" w:hAnsi="Palatino Linotype" w:cs="Palatino Linotype"/>
                <w:b/>
                <w:sz w:val="20"/>
                <w:szCs w:val="20"/>
              </w:rPr>
            </w:pPr>
            <w:r w:rsidRPr="006A0CC2">
              <w:rPr>
                <w:rFonts w:ascii="Palatino Linotype" w:eastAsia="Palatino Linotype" w:hAnsi="Palatino Linotype" w:cs="Palatino Linotype"/>
                <w:b/>
                <w:sz w:val="20"/>
                <w:szCs w:val="20"/>
              </w:rPr>
              <w:t>Respuesta</w:t>
            </w:r>
          </w:p>
        </w:tc>
        <w:tc>
          <w:tcPr>
            <w:tcW w:w="1276" w:type="dxa"/>
            <w:shd w:val="clear" w:color="auto" w:fill="CCFFFF"/>
          </w:tcPr>
          <w:p w14:paraId="64D8927D" w14:textId="77777777" w:rsidR="00260C20" w:rsidRPr="006A0CC2" w:rsidRDefault="001A60FA">
            <w:pPr>
              <w:jc w:val="center"/>
              <w:rPr>
                <w:rFonts w:ascii="Palatino Linotype" w:eastAsia="Palatino Linotype" w:hAnsi="Palatino Linotype" w:cs="Palatino Linotype"/>
                <w:b/>
                <w:sz w:val="20"/>
                <w:szCs w:val="20"/>
              </w:rPr>
            </w:pPr>
            <w:r w:rsidRPr="006A0CC2">
              <w:rPr>
                <w:rFonts w:ascii="Palatino Linotype" w:eastAsia="Palatino Linotype" w:hAnsi="Palatino Linotype" w:cs="Palatino Linotype"/>
                <w:b/>
                <w:sz w:val="20"/>
                <w:szCs w:val="20"/>
              </w:rPr>
              <w:t>Informe Justificado</w:t>
            </w:r>
          </w:p>
        </w:tc>
        <w:tc>
          <w:tcPr>
            <w:tcW w:w="1603" w:type="dxa"/>
            <w:shd w:val="clear" w:color="auto" w:fill="CCFFFF"/>
          </w:tcPr>
          <w:p w14:paraId="6378AD69" w14:textId="77777777" w:rsidR="00260C20" w:rsidRPr="006A0CC2" w:rsidRDefault="001A60FA">
            <w:pPr>
              <w:jc w:val="center"/>
              <w:rPr>
                <w:rFonts w:ascii="Palatino Linotype" w:eastAsia="Palatino Linotype" w:hAnsi="Palatino Linotype" w:cs="Palatino Linotype"/>
                <w:b/>
                <w:sz w:val="20"/>
                <w:szCs w:val="20"/>
              </w:rPr>
            </w:pPr>
            <w:r w:rsidRPr="006A0CC2">
              <w:rPr>
                <w:rFonts w:ascii="Palatino Linotype" w:eastAsia="Palatino Linotype" w:hAnsi="Palatino Linotype" w:cs="Palatino Linotype"/>
                <w:b/>
                <w:sz w:val="20"/>
                <w:szCs w:val="20"/>
              </w:rPr>
              <w:t>Colmó o no Colmó</w:t>
            </w:r>
          </w:p>
        </w:tc>
      </w:tr>
      <w:tr w:rsidR="006A0CC2" w:rsidRPr="006A0CC2" w14:paraId="53D68C7F" w14:textId="77777777">
        <w:tc>
          <w:tcPr>
            <w:tcW w:w="1597" w:type="dxa"/>
          </w:tcPr>
          <w:p w14:paraId="77D80375"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Fundamento legal y en que Programa encuadran los comedores.</w:t>
            </w:r>
          </w:p>
        </w:tc>
        <w:tc>
          <w:tcPr>
            <w:tcW w:w="4352" w:type="dxa"/>
          </w:tcPr>
          <w:p w14:paraId="35098E2D" w14:textId="77777777" w:rsidR="00260C20" w:rsidRPr="006A0CC2" w:rsidRDefault="001A60FA">
            <w:pPr>
              <w:tabs>
                <w:tab w:val="left" w:pos="1361"/>
              </w:tabs>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Al respecto se enuncia el siguiente marco normativo con la liga electrónica correspondiente para su breve consulta:</w:t>
            </w:r>
          </w:p>
          <w:p w14:paraId="4AA012C3" w14:textId="77777777" w:rsidR="00260C20" w:rsidRPr="006A0CC2" w:rsidRDefault="001A60FA">
            <w:pPr>
              <w:tabs>
                <w:tab w:val="left" w:pos="1361"/>
              </w:tabs>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i/>
                <w:noProof/>
                <w:sz w:val="20"/>
                <w:szCs w:val="20"/>
              </w:rPr>
              <w:drawing>
                <wp:inline distT="0" distB="0" distL="0" distR="0" wp14:anchorId="17170D74" wp14:editId="6A6BDBE0">
                  <wp:extent cx="2500302" cy="1269584"/>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500302" cy="1269584"/>
                          </a:xfrm>
                          <a:prstGeom prst="rect">
                            <a:avLst/>
                          </a:prstGeom>
                          <a:ln/>
                        </pic:spPr>
                      </pic:pic>
                    </a:graphicData>
                  </a:graphic>
                </wp:inline>
              </w:drawing>
            </w:r>
          </w:p>
          <w:p w14:paraId="79FCA870" w14:textId="77777777" w:rsidR="00260C20" w:rsidRPr="006A0CC2" w:rsidRDefault="001A60FA">
            <w:pPr>
              <w:tabs>
                <w:tab w:val="left" w:pos="1361"/>
              </w:tabs>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i/>
                <w:noProof/>
                <w:sz w:val="20"/>
                <w:szCs w:val="20"/>
              </w:rPr>
              <w:drawing>
                <wp:inline distT="0" distB="0" distL="0" distR="0" wp14:anchorId="46DF1E2E" wp14:editId="7895A393">
                  <wp:extent cx="2474834" cy="1887030"/>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474834" cy="1887030"/>
                          </a:xfrm>
                          <a:prstGeom prst="rect">
                            <a:avLst/>
                          </a:prstGeom>
                          <a:ln/>
                        </pic:spPr>
                      </pic:pic>
                    </a:graphicData>
                  </a:graphic>
                </wp:inline>
              </w:drawing>
            </w:r>
          </w:p>
          <w:p w14:paraId="6CD6DC94" w14:textId="77777777" w:rsidR="00260C20" w:rsidRPr="006A0CC2" w:rsidRDefault="001A60FA">
            <w:pPr>
              <w:tabs>
                <w:tab w:val="left" w:pos="1361"/>
              </w:tabs>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i/>
                <w:noProof/>
                <w:sz w:val="20"/>
                <w:szCs w:val="20"/>
              </w:rPr>
              <w:drawing>
                <wp:inline distT="0" distB="0" distL="0" distR="0" wp14:anchorId="1FB12894" wp14:editId="6A6E7813">
                  <wp:extent cx="2673751" cy="618067"/>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673751" cy="618067"/>
                          </a:xfrm>
                          <a:prstGeom prst="rect">
                            <a:avLst/>
                          </a:prstGeom>
                          <a:ln/>
                        </pic:spPr>
                      </pic:pic>
                    </a:graphicData>
                  </a:graphic>
                </wp:inline>
              </w:drawing>
            </w:r>
          </w:p>
        </w:tc>
        <w:tc>
          <w:tcPr>
            <w:tcW w:w="1276" w:type="dxa"/>
            <w:vMerge w:val="restart"/>
          </w:tcPr>
          <w:p w14:paraId="09D8F867"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Ratifica su respuesta </w:t>
            </w:r>
          </w:p>
        </w:tc>
        <w:tc>
          <w:tcPr>
            <w:tcW w:w="1603" w:type="dxa"/>
          </w:tcPr>
          <w:p w14:paraId="63BE4AC7" w14:textId="77777777" w:rsidR="00260C20" w:rsidRPr="006A0CC2" w:rsidRDefault="001A60FA">
            <w:pPr>
              <w:jc w:val="center"/>
              <w:rPr>
                <w:rFonts w:ascii="Palatino Linotype" w:eastAsia="Palatino Linotype" w:hAnsi="Palatino Linotype" w:cs="Palatino Linotype"/>
                <w:b/>
                <w:sz w:val="20"/>
                <w:szCs w:val="20"/>
              </w:rPr>
            </w:pPr>
            <w:r w:rsidRPr="006A0CC2">
              <w:rPr>
                <w:rFonts w:ascii="Palatino Linotype" w:eastAsia="Palatino Linotype" w:hAnsi="Palatino Linotype" w:cs="Palatino Linotype"/>
                <w:b/>
                <w:sz w:val="20"/>
                <w:szCs w:val="20"/>
              </w:rPr>
              <w:t>Colmó</w:t>
            </w:r>
          </w:p>
          <w:p w14:paraId="16479973" w14:textId="77777777" w:rsidR="00260C20" w:rsidRPr="006A0CC2" w:rsidRDefault="00260C20">
            <w:pPr>
              <w:jc w:val="both"/>
              <w:rPr>
                <w:rFonts w:ascii="Palatino Linotype" w:eastAsia="Palatino Linotype" w:hAnsi="Palatino Linotype" w:cs="Palatino Linotype"/>
                <w:sz w:val="20"/>
                <w:szCs w:val="20"/>
              </w:rPr>
            </w:pPr>
          </w:p>
        </w:tc>
      </w:tr>
      <w:tr w:rsidR="006A0CC2" w:rsidRPr="006A0CC2" w14:paraId="0532E0E5" w14:textId="77777777">
        <w:tc>
          <w:tcPr>
            <w:tcW w:w="1597" w:type="dxa"/>
          </w:tcPr>
          <w:p w14:paraId="68D8B50F"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Reglas de operación de los comedores.</w:t>
            </w:r>
          </w:p>
        </w:tc>
        <w:tc>
          <w:tcPr>
            <w:tcW w:w="4352" w:type="dxa"/>
          </w:tcPr>
          <w:p w14:paraId="5CA6E0E1"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Hace entrega de las Reglas de operación del programa social “Comedores Comunitarios”. </w:t>
            </w:r>
          </w:p>
        </w:tc>
        <w:tc>
          <w:tcPr>
            <w:tcW w:w="1276" w:type="dxa"/>
            <w:vMerge/>
          </w:tcPr>
          <w:p w14:paraId="090E0F2D"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603" w:type="dxa"/>
          </w:tcPr>
          <w:p w14:paraId="7B68F95A" w14:textId="77777777" w:rsidR="00260C20" w:rsidRPr="006A0CC2" w:rsidRDefault="001A60FA">
            <w:pPr>
              <w:jc w:val="center"/>
              <w:rPr>
                <w:rFonts w:ascii="Palatino Linotype" w:eastAsia="Palatino Linotype" w:hAnsi="Palatino Linotype" w:cs="Palatino Linotype"/>
                <w:b/>
                <w:sz w:val="20"/>
                <w:szCs w:val="20"/>
              </w:rPr>
            </w:pPr>
            <w:r w:rsidRPr="006A0CC2">
              <w:rPr>
                <w:rFonts w:ascii="Palatino Linotype" w:eastAsia="Palatino Linotype" w:hAnsi="Palatino Linotype" w:cs="Palatino Linotype"/>
                <w:b/>
                <w:sz w:val="20"/>
                <w:szCs w:val="20"/>
              </w:rPr>
              <w:t>Colmó</w:t>
            </w:r>
          </w:p>
        </w:tc>
      </w:tr>
      <w:tr w:rsidR="006A0CC2" w:rsidRPr="006A0CC2" w14:paraId="222DE7C8" w14:textId="77777777">
        <w:tc>
          <w:tcPr>
            <w:tcW w:w="1597" w:type="dxa"/>
          </w:tcPr>
          <w:p w14:paraId="0BEA5396"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Cuanto se gasta en cada </w:t>
            </w:r>
            <w:r w:rsidRPr="006A0CC2">
              <w:rPr>
                <w:rFonts w:ascii="Palatino Linotype" w:eastAsia="Palatino Linotype" w:hAnsi="Palatino Linotype" w:cs="Palatino Linotype"/>
                <w:sz w:val="20"/>
                <w:szCs w:val="20"/>
              </w:rPr>
              <w:lastRenderedPageBreak/>
              <w:t xml:space="preserve">comedor por mes, con comprobación por comedor por mes. </w:t>
            </w:r>
          </w:p>
        </w:tc>
        <w:tc>
          <w:tcPr>
            <w:tcW w:w="4352" w:type="dxa"/>
          </w:tcPr>
          <w:p w14:paraId="37956348"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lastRenderedPageBreak/>
              <w:t xml:space="preserve">Con relación a este punto se manifiesta para el conocimiento del solicitante que se tiene al </w:t>
            </w:r>
            <w:r w:rsidRPr="006A0CC2">
              <w:rPr>
                <w:rFonts w:ascii="Palatino Linotype" w:eastAsia="Palatino Linotype" w:hAnsi="Palatino Linotype" w:cs="Palatino Linotype"/>
                <w:sz w:val="20"/>
                <w:szCs w:val="20"/>
              </w:rPr>
              <w:lastRenderedPageBreak/>
              <w:t xml:space="preserve">antecedente proyectado un presupuesto para el periodo: </w:t>
            </w:r>
          </w:p>
          <w:p w14:paraId="790E8710" w14:textId="77777777" w:rsidR="00260C20" w:rsidRPr="006A0CC2" w:rsidRDefault="001A60FA">
            <w:pPr>
              <w:numPr>
                <w:ilvl w:val="0"/>
                <w:numId w:val="6"/>
              </w:numPr>
              <w:pBdr>
                <w:top w:val="nil"/>
                <w:left w:val="nil"/>
                <w:bottom w:val="nil"/>
                <w:right w:val="nil"/>
                <w:between w:val="nil"/>
              </w:pBdr>
              <w:spacing w:line="259" w:lineRule="auto"/>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2022 -$17,000,000.00; </w:t>
            </w:r>
          </w:p>
          <w:p w14:paraId="3D605CB6" w14:textId="77777777" w:rsidR="00260C20" w:rsidRPr="006A0CC2" w:rsidRDefault="001A60FA">
            <w:pPr>
              <w:numPr>
                <w:ilvl w:val="0"/>
                <w:numId w:val="6"/>
              </w:numPr>
              <w:pBdr>
                <w:top w:val="nil"/>
                <w:left w:val="nil"/>
                <w:bottom w:val="nil"/>
                <w:right w:val="nil"/>
                <w:between w:val="nil"/>
              </w:pBdr>
              <w:spacing w:line="259" w:lineRule="auto"/>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2023 - $5,956,266.36;</w:t>
            </w:r>
          </w:p>
          <w:p w14:paraId="34D17B2C" w14:textId="77777777" w:rsidR="00260C20" w:rsidRPr="006A0CC2" w:rsidRDefault="001A60FA">
            <w:pPr>
              <w:numPr>
                <w:ilvl w:val="0"/>
                <w:numId w:val="6"/>
              </w:numPr>
              <w:pBdr>
                <w:top w:val="nil"/>
                <w:left w:val="nil"/>
                <w:bottom w:val="nil"/>
                <w:right w:val="nil"/>
                <w:between w:val="nil"/>
              </w:pBdr>
              <w:spacing w:after="160" w:line="259" w:lineRule="auto"/>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2024 - $3,461,423.60. </w:t>
            </w:r>
          </w:p>
          <w:p w14:paraId="636F24A5"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Adicionando el vínculo electrónico para mayor referencia: https://www.tlalnepantla.gob.mx/</w:t>
            </w:r>
          </w:p>
        </w:tc>
        <w:tc>
          <w:tcPr>
            <w:tcW w:w="1276" w:type="dxa"/>
            <w:vMerge/>
          </w:tcPr>
          <w:p w14:paraId="39DDA9BB"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603" w:type="dxa"/>
          </w:tcPr>
          <w:p w14:paraId="07C531F8" w14:textId="77777777" w:rsidR="00260C20" w:rsidRPr="006A0CC2" w:rsidRDefault="001A60FA">
            <w:pPr>
              <w:jc w:val="both"/>
              <w:rPr>
                <w:rFonts w:ascii="Palatino Linotype" w:eastAsia="Palatino Linotype" w:hAnsi="Palatino Linotype" w:cs="Palatino Linotype"/>
                <w:b/>
                <w:sz w:val="20"/>
                <w:szCs w:val="20"/>
              </w:rPr>
            </w:pPr>
            <w:r w:rsidRPr="006A0CC2">
              <w:rPr>
                <w:rFonts w:ascii="Palatino Linotype" w:eastAsia="Palatino Linotype" w:hAnsi="Palatino Linotype" w:cs="Palatino Linotype"/>
                <w:b/>
                <w:sz w:val="20"/>
                <w:szCs w:val="20"/>
              </w:rPr>
              <w:t>Parcialmente</w:t>
            </w:r>
          </w:p>
          <w:p w14:paraId="331AB210" w14:textId="77777777" w:rsidR="00260C20" w:rsidRPr="006A0CC2" w:rsidRDefault="00260C20">
            <w:pPr>
              <w:jc w:val="both"/>
              <w:rPr>
                <w:rFonts w:ascii="Palatino Linotype" w:eastAsia="Palatino Linotype" w:hAnsi="Palatino Linotype" w:cs="Palatino Linotype"/>
                <w:sz w:val="20"/>
                <w:szCs w:val="20"/>
              </w:rPr>
            </w:pPr>
          </w:p>
        </w:tc>
      </w:tr>
      <w:tr w:rsidR="006A0CC2" w:rsidRPr="006A0CC2" w14:paraId="4F3279FE" w14:textId="77777777">
        <w:tc>
          <w:tcPr>
            <w:tcW w:w="1597" w:type="dxa"/>
          </w:tcPr>
          <w:p w14:paraId="5621A092"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Comprobación de desayunos otorgados diarios por comedor.</w:t>
            </w:r>
          </w:p>
        </w:tc>
        <w:tc>
          <w:tcPr>
            <w:tcW w:w="4352" w:type="dxa"/>
            <w:vMerge w:val="restart"/>
          </w:tcPr>
          <w:p w14:paraId="6319F4BA"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Informó la entrega del documento que evidencia lo solicitado a partir de la apertura de los comedores comunitarios del año 2022 a la presente anualidad.</w:t>
            </w:r>
          </w:p>
          <w:p w14:paraId="75CE6ECA" w14:textId="77777777" w:rsidR="00260C20" w:rsidRPr="006A0CC2" w:rsidRDefault="00260C20">
            <w:pPr>
              <w:jc w:val="both"/>
              <w:rPr>
                <w:rFonts w:ascii="Palatino Linotype" w:eastAsia="Palatino Linotype" w:hAnsi="Palatino Linotype" w:cs="Palatino Linotype"/>
                <w:sz w:val="20"/>
                <w:szCs w:val="20"/>
              </w:rPr>
            </w:pPr>
          </w:p>
          <w:p w14:paraId="0B7D38D1"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Adjuntando el documento en el que se advierte el número de servicios y de comidas otorgadas por comedor, de los años 2022, 2023 y 2024: </w:t>
            </w:r>
          </w:p>
          <w:p w14:paraId="5DF96019"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noProof/>
                <w:sz w:val="20"/>
                <w:szCs w:val="20"/>
              </w:rPr>
              <w:drawing>
                <wp:inline distT="0" distB="0" distL="0" distR="0" wp14:anchorId="2B016797" wp14:editId="6FEFDAE7">
                  <wp:extent cx="1304809" cy="2148604"/>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304809" cy="2148604"/>
                          </a:xfrm>
                          <a:prstGeom prst="rect">
                            <a:avLst/>
                          </a:prstGeom>
                          <a:ln/>
                        </pic:spPr>
                      </pic:pic>
                    </a:graphicData>
                  </a:graphic>
                </wp:inline>
              </w:drawing>
            </w:r>
            <w:r w:rsidRPr="006A0CC2">
              <w:rPr>
                <w:rFonts w:ascii="Palatino Linotype" w:eastAsia="Palatino Linotype" w:hAnsi="Palatino Linotype" w:cs="Palatino Linotype"/>
                <w:sz w:val="20"/>
                <w:szCs w:val="20"/>
              </w:rPr>
              <w:t xml:space="preserve"> </w:t>
            </w:r>
            <w:r w:rsidRPr="006A0CC2">
              <w:rPr>
                <w:noProof/>
              </w:rPr>
              <w:drawing>
                <wp:anchor distT="0" distB="0" distL="114300" distR="114300" simplePos="0" relativeHeight="251658240" behindDoc="0" locked="0" layoutInCell="1" hidden="0" allowOverlap="1" wp14:anchorId="5FADC1F5" wp14:editId="27F6BF87">
                  <wp:simplePos x="0" y="0"/>
                  <wp:positionH relativeFrom="column">
                    <wp:posOffset>1436370</wp:posOffset>
                  </wp:positionH>
                  <wp:positionV relativeFrom="paragraph">
                    <wp:posOffset>189865</wp:posOffset>
                  </wp:positionV>
                  <wp:extent cx="1190625" cy="1920240"/>
                  <wp:effectExtent l="0" t="0" r="0" b="0"/>
                  <wp:wrapSquare wrapText="bothSides" distT="0" distB="0" distL="114300" distR="11430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190625" cy="1920240"/>
                          </a:xfrm>
                          <a:prstGeom prst="rect">
                            <a:avLst/>
                          </a:prstGeom>
                          <a:ln/>
                        </pic:spPr>
                      </pic:pic>
                    </a:graphicData>
                  </a:graphic>
                </wp:anchor>
              </w:drawing>
            </w:r>
          </w:p>
          <w:p w14:paraId="42E8856F" w14:textId="77777777" w:rsidR="00260C20" w:rsidRPr="006A0CC2" w:rsidRDefault="001A60FA">
            <w:pPr>
              <w:jc w:val="center"/>
              <w:rPr>
                <w:rFonts w:ascii="Palatino Linotype" w:eastAsia="Palatino Linotype" w:hAnsi="Palatino Linotype" w:cs="Palatino Linotype"/>
                <w:sz w:val="20"/>
                <w:szCs w:val="20"/>
              </w:rPr>
            </w:pPr>
            <w:r w:rsidRPr="006A0CC2">
              <w:rPr>
                <w:rFonts w:ascii="Palatino Linotype" w:eastAsia="Palatino Linotype" w:hAnsi="Palatino Linotype" w:cs="Palatino Linotype"/>
                <w:noProof/>
                <w:sz w:val="20"/>
                <w:szCs w:val="20"/>
              </w:rPr>
              <w:drawing>
                <wp:inline distT="0" distB="0" distL="0" distR="0" wp14:anchorId="401E6A9F" wp14:editId="69ED21A9">
                  <wp:extent cx="1450987" cy="221699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450987" cy="2216990"/>
                          </a:xfrm>
                          <a:prstGeom prst="rect">
                            <a:avLst/>
                          </a:prstGeom>
                          <a:ln/>
                        </pic:spPr>
                      </pic:pic>
                    </a:graphicData>
                  </a:graphic>
                </wp:inline>
              </w:drawing>
            </w:r>
          </w:p>
        </w:tc>
        <w:tc>
          <w:tcPr>
            <w:tcW w:w="1276" w:type="dxa"/>
            <w:vMerge/>
          </w:tcPr>
          <w:p w14:paraId="6D53D1CE"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603" w:type="dxa"/>
            <w:vMerge w:val="restart"/>
          </w:tcPr>
          <w:p w14:paraId="43A4CDE9" w14:textId="77777777" w:rsidR="00260C20" w:rsidRPr="006A0CC2" w:rsidRDefault="001A60FA">
            <w:pPr>
              <w:jc w:val="both"/>
              <w:rPr>
                <w:rFonts w:ascii="Palatino Linotype" w:eastAsia="Palatino Linotype" w:hAnsi="Palatino Linotype" w:cs="Palatino Linotype"/>
                <w:b/>
                <w:sz w:val="20"/>
                <w:szCs w:val="20"/>
              </w:rPr>
            </w:pPr>
            <w:r w:rsidRPr="006A0CC2">
              <w:rPr>
                <w:rFonts w:ascii="Palatino Linotype" w:eastAsia="Palatino Linotype" w:hAnsi="Palatino Linotype" w:cs="Palatino Linotype"/>
                <w:b/>
                <w:sz w:val="20"/>
                <w:szCs w:val="20"/>
              </w:rPr>
              <w:t>Parcialmente</w:t>
            </w:r>
          </w:p>
          <w:p w14:paraId="247C4A13" w14:textId="77777777" w:rsidR="00260C20" w:rsidRPr="006A0CC2" w:rsidRDefault="00260C20">
            <w:pPr>
              <w:jc w:val="both"/>
              <w:rPr>
                <w:rFonts w:ascii="Palatino Linotype" w:eastAsia="Palatino Linotype" w:hAnsi="Palatino Linotype" w:cs="Palatino Linotype"/>
                <w:sz w:val="20"/>
                <w:szCs w:val="20"/>
              </w:rPr>
            </w:pPr>
          </w:p>
        </w:tc>
      </w:tr>
      <w:tr w:rsidR="006A0CC2" w:rsidRPr="006A0CC2" w14:paraId="34F3E34E" w14:textId="77777777">
        <w:tc>
          <w:tcPr>
            <w:tcW w:w="1597" w:type="dxa"/>
          </w:tcPr>
          <w:p w14:paraId="5E7EDCDD"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Comprobación de comidas otorgados diarios por comedor</w:t>
            </w:r>
          </w:p>
        </w:tc>
        <w:tc>
          <w:tcPr>
            <w:tcW w:w="4352" w:type="dxa"/>
            <w:vMerge/>
          </w:tcPr>
          <w:p w14:paraId="43EBF116"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276" w:type="dxa"/>
            <w:vMerge/>
          </w:tcPr>
          <w:p w14:paraId="4D8CBAEC"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603" w:type="dxa"/>
            <w:vMerge/>
          </w:tcPr>
          <w:p w14:paraId="2AEBD916"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6A0CC2" w:rsidRPr="006A0CC2" w14:paraId="484D0F24" w14:textId="77777777">
        <w:tc>
          <w:tcPr>
            <w:tcW w:w="1597" w:type="dxa"/>
          </w:tcPr>
          <w:p w14:paraId="0B63F7AA"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Cuantos servidores públicos </w:t>
            </w:r>
            <w:r w:rsidRPr="006A0CC2">
              <w:rPr>
                <w:rFonts w:ascii="Palatino Linotype" w:eastAsia="Palatino Linotype" w:hAnsi="Palatino Linotype" w:cs="Palatino Linotype"/>
                <w:sz w:val="20"/>
                <w:szCs w:val="20"/>
              </w:rPr>
              <w:lastRenderedPageBreak/>
              <w:t>atienden por comedor.</w:t>
            </w:r>
          </w:p>
        </w:tc>
        <w:tc>
          <w:tcPr>
            <w:tcW w:w="4352" w:type="dxa"/>
            <w:vMerge w:val="restart"/>
          </w:tcPr>
          <w:p w14:paraId="1520DD72"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lastRenderedPageBreak/>
              <w:t xml:space="preserve">Informó que los que atienden los comedores no son servidores públicos, son personal eventual contratado por honorarios asimilables a </w:t>
            </w:r>
            <w:r w:rsidRPr="006A0CC2">
              <w:rPr>
                <w:rFonts w:ascii="Palatino Linotype" w:eastAsia="Palatino Linotype" w:hAnsi="Palatino Linotype" w:cs="Palatino Linotype"/>
                <w:sz w:val="20"/>
                <w:szCs w:val="20"/>
              </w:rPr>
              <w:lastRenderedPageBreak/>
              <w:t>salarios y su sueldo es de acuerdo a lo establecido en el tabulador vigente, designado para sueldo eventual.</w:t>
            </w:r>
          </w:p>
          <w:p w14:paraId="28DC2A18" w14:textId="77777777" w:rsidR="00260C20" w:rsidRPr="006A0CC2" w:rsidRDefault="00260C20">
            <w:pPr>
              <w:jc w:val="both"/>
              <w:rPr>
                <w:rFonts w:ascii="Palatino Linotype" w:eastAsia="Palatino Linotype" w:hAnsi="Palatino Linotype" w:cs="Palatino Linotype"/>
                <w:sz w:val="20"/>
                <w:szCs w:val="20"/>
              </w:rPr>
            </w:pPr>
          </w:p>
          <w:p w14:paraId="21479FBB"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Respecto al sueldo de los trabajadores de los comedores, informó que lo puede consultar en la página virtual IPOMEX, artículo 92 VIII B Tabulador de sueldos y XXXV A Gasto por capitulo, concepto y partida: </w:t>
            </w:r>
          </w:p>
          <w:p w14:paraId="53C78793"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noProof/>
              </w:rPr>
              <w:drawing>
                <wp:inline distT="0" distB="0" distL="0" distR="0" wp14:anchorId="493150AC" wp14:editId="03F0AF21">
                  <wp:extent cx="2371590" cy="220508"/>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71590" cy="220508"/>
                          </a:xfrm>
                          <a:prstGeom prst="rect">
                            <a:avLst/>
                          </a:prstGeom>
                          <a:ln/>
                        </pic:spPr>
                      </pic:pic>
                    </a:graphicData>
                  </a:graphic>
                </wp:inline>
              </w:drawing>
            </w:r>
          </w:p>
          <w:p w14:paraId="28A8E68C" w14:textId="77777777" w:rsidR="00260C20" w:rsidRPr="006A0CC2" w:rsidRDefault="00260C20">
            <w:pPr>
              <w:jc w:val="both"/>
              <w:rPr>
                <w:rFonts w:ascii="Palatino Linotype" w:eastAsia="Palatino Linotype" w:hAnsi="Palatino Linotype" w:cs="Palatino Linotype"/>
                <w:sz w:val="20"/>
                <w:szCs w:val="20"/>
              </w:rPr>
            </w:pPr>
          </w:p>
          <w:p w14:paraId="72A16205"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Aunado a ello, indico los pasos a seguir para consultar la información requerida.</w:t>
            </w:r>
          </w:p>
        </w:tc>
        <w:tc>
          <w:tcPr>
            <w:tcW w:w="1276" w:type="dxa"/>
            <w:vMerge/>
          </w:tcPr>
          <w:p w14:paraId="343A5FDD"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603" w:type="dxa"/>
            <w:vMerge w:val="restart"/>
          </w:tcPr>
          <w:p w14:paraId="3E7C797A" w14:textId="77777777" w:rsidR="00260C20" w:rsidRPr="006A0CC2" w:rsidRDefault="001A60FA">
            <w:pPr>
              <w:jc w:val="both"/>
              <w:rPr>
                <w:rFonts w:ascii="Palatino Linotype" w:eastAsia="Palatino Linotype" w:hAnsi="Palatino Linotype" w:cs="Palatino Linotype"/>
                <w:b/>
                <w:sz w:val="20"/>
                <w:szCs w:val="20"/>
              </w:rPr>
            </w:pPr>
            <w:r w:rsidRPr="006A0CC2">
              <w:rPr>
                <w:rFonts w:ascii="Palatino Linotype" w:eastAsia="Palatino Linotype" w:hAnsi="Palatino Linotype" w:cs="Palatino Linotype"/>
                <w:b/>
                <w:sz w:val="20"/>
                <w:szCs w:val="20"/>
              </w:rPr>
              <w:t xml:space="preserve">Parcialmente </w:t>
            </w:r>
          </w:p>
        </w:tc>
      </w:tr>
      <w:tr w:rsidR="006A0CC2" w:rsidRPr="006A0CC2" w14:paraId="4DDC9679" w14:textId="77777777">
        <w:tc>
          <w:tcPr>
            <w:tcW w:w="1597" w:type="dxa"/>
          </w:tcPr>
          <w:p w14:paraId="4F4ABF67"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Sueldos de los servidores públicos que atienden por comedor</w:t>
            </w:r>
          </w:p>
        </w:tc>
        <w:tc>
          <w:tcPr>
            <w:tcW w:w="4352" w:type="dxa"/>
            <w:vMerge/>
          </w:tcPr>
          <w:p w14:paraId="019DBEC5"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276" w:type="dxa"/>
            <w:vMerge/>
          </w:tcPr>
          <w:p w14:paraId="1BAC31B5"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603" w:type="dxa"/>
            <w:vMerge/>
          </w:tcPr>
          <w:p w14:paraId="37FBB1B1"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6A0CC2" w:rsidRPr="006A0CC2" w14:paraId="4AC10BD2" w14:textId="77777777">
        <w:tc>
          <w:tcPr>
            <w:tcW w:w="1597" w:type="dxa"/>
          </w:tcPr>
          <w:p w14:paraId="228586E9"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De no ser servidores públicos se me indique que son y de que partida presupuestal sale el pago.</w:t>
            </w:r>
          </w:p>
        </w:tc>
        <w:tc>
          <w:tcPr>
            <w:tcW w:w="4352" w:type="dxa"/>
            <w:vMerge/>
          </w:tcPr>
          <w:p w14:paraId="77956225"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276" w:type="dxa"/>
            <w:vMerge/>
          </w:tcPr>
          <w:p w14:paraId="38E32CEA"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603" w:type="dxa"/>
            <w:vMerge/>
          </w:tcPr>
          <w:p w14:paraId="7E3ED011"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r>
      <w:tr w:rsidR="006A0CC2" w:rsidRPr="006A0CC2" w14:paraId="000F9EEC" w14:textId="77777777">
        <w:trPr>
          <w:trHeight w:val="7717"/>
        </w:trPr>
        <w:tc>
          <w:tcPr>
            <w:tcW w:w="1597" w:type="dxa"/>
          </w:tcPr>
          <w:p w14:paraId="6AEF43A4"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Cuanto genera cada comedor </w:t>
            </w:r>
            <w:r w:rsidRPr="006A0CC2">
              <w:rPr>
                <w:rFonts w:ascii="Palatino Linotype" w:eastAsia="Palatino Linotype" w:hAnsi="Palatino Linotype" w:cs="Palatino Linotype"/>
                <w:b/>
                <w:sz w:val="20"/>
                <w:szCs w:val="20"/>
                <w:u w:val="single"/>
              </w:rPr>
              <w:t>de excedente</w:t>
            </w:r>
            <w:r w:rsidRPr="006A0CC2">
              <w:rPr>
                <w:rFonts w:ascii="Palatino Linotype" w:eastAsia="Palatino Linotype" w:hAnsi="Palatino Linotype" w:cs="Palatino Linotype"/>
                <w:sz w:val="20"/>
                <w:szCs w:val="20"/>
              </w:rPr>
              <w:t xml:space="preserve"> ya que como se paga las comidas y desayunos y se tiene un presupuesto municipal por mes entonces </w:t>
            </w:r>
            <w:r w:rsidRPr="006A0CC2">
              <w:rPr>
                <w:rFonts w:ascii="Palatino Linotype" w:eastAsia="Palatino Linotype" w:hAnsi="Palatino Linotype" w:cs="Palatino Linotype"/>
                <w:b/>
                <w:sz w:val="20"/>
                <w:szCs w:val="20"/>
                <w:u w:val="single"/>
              </w:rPr>
              <w:t>se empate presupuesto con ganancia</w:t>
            </w:r>
            <w:r w:rsidRPr="006A0CC2">
              <w:rPr>
                <w:rFonts w:ascii="Palatino Linotype" w:eastAsia="Palatino Linotype" w:hAnsi="Palatino Linotype" w:cs="Palatino Linotype"/>
                <w:sz w:val="20"/>
                <w:szCs w:val="20"/>
              </w:rPr>
              <w:t>; y, que se hace con ella, con comprobantes.</w:t>
            </w:r>
          </w:p>
        </w:tc>
        <w:tc>
          <w:tcPr>
            <w:tcW w:w="4352" w:type="dxa"/>
          </w:tcPr>
          <w:p w14:paraId="7802C7F0"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Resulta importante dejar manifiesto que las comidas y desayunos no se pagan, en virtud de que es un Programa Social y de carácter no lucrativo, específicamente se solicita una cuota de recuperación, consistente en $10.00 (Diez pesos 00/</w:t>
            </w:r>
            <w:proofErr w:type="gramStart"/>
            <w:r w:rsidRPr="006A0CC2">
              <w:rPr>
                <w:rFonts w:ascii="Palatino Linotype" w:eastAsia="Palatino Linotype" w:hAnsi="Palatino Linotype" w:cs="Palatino Linotype"/>
                <w:sz w:val="20"/>
                <w:szCs w:val="20"/>
              </w:rPr>
              <w:t>M.N</w:t>
            </w:r>
            <w:proofErr w:type="gramEnd"/>
            <w:r w:rsidRPr="006A0CC2">
              <w:rPr>
                <w:rFonts w:ascii="Palatino Linotype" w:eastAsia="Palatino Linotype" w:hAnsi="Palatino Linotype" w:cs="Palatino Linotype"/>
                <w:sz w:val="20"/>
                <w:szCs w:val="20"/>
              </w:rPr>
              <w:t xml:space="preserve">) por desayuno y $15.00 (quince pesos 00/100 M.N) por comida. </w:t>
            </w:r>
          </w:p>
          <w:p w14:paraId="1DBD289E"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No se puede empatar presupuesto con ganancia, toda vez que el presupuesto está determinado para cada ejercicio fiscal y en este caso para el Programa Social “Comedores Comunitarios” </w:t>
            </w:r>
            <w:proofErr w:type="gramStart"/>
            <w:r w:rsidRPr="006A0CC2">
              <w:rPr>
                <w:rFonts w:ascii="Palatino Linotype" w:eastAsia="Palatino Linotype" w:hAnsi="Palatino Linotype" w:cs="Palatino Linotype"/>
                <w:sz w:val="20"/>
                <w:szCs w:val="20"/>
              </w:rPr>
              <w:t>y</w:t>
            </w:r>
            <w:proofErr w:type="gramEnd"/>
            <w:r w:rsidRPr="006A0CC2">
              <w:rPr>
                <w:rFonts w:ascii="Palatino Linotype" w:eastAsia="Palatino Linotype" w:hAnsi="Palatino Linotype" w:cs="Palatino Linotype"/>
                <w:sz w:val="20"/>
                <w:szCs w:val="20"/>
              </w:rPr>
              <w:t xml:space="preserve"> por otra parte, dicho Programa </w:t>
            </w:r>
            <w:r w:rsidRPr="006A0CC2">
              <w:rPr>
                <w:rFonts w:ascii="Palatino Linotype" w:eastAsia="Palatino Linotype" w:hAnsi="Palatino Linotype" w:cs="Palatino Linotype"/>
                <w:b/>
                <w:sz w:val="20"/>
                <w:szCs w:val="20"/>
              </w:rPr>
              <w:t>no genera ganancias</w:t>
            </w:r>
            <w:r w:rsidRPr="006A0CC2">
              <w:rPr>
                <w:rFonts w:ascii="Palatino Linotype" w:eastAsia="Palatino Linotype" w:hAnsi="Palatino Linotype" w:cs="Palatino Linotype"/>
                <w:sz w:val="20"/>
                <w:szCs w:val="20"/>
              </w:rPr>
              <w:t xml:space="preserve"> porque no es lucrativo, se genera una cuota de recuperación, la cual es mínima </w:t>
            </w:r>
            <w:r w:rsidRPr="006A0CC2">
              <w:rPr>
                <w:rFonts w:ascii="Palatino Linotype" w:eastAsia="Palatino Linotype" w:hAnsi="Palatino Linotype" w:cs="Palatino Linotype"/>
                <w:b/>
                <w:sz w:val="20"/>
                <w:szCs w:val="20"/>
              </w:rPr>
              <w:t>para sumar al buen desarrollo de cada comedor comunitario</w:t>
            </w:r>
            <w:r w:rsidRPr="006A0CC2">
              <w:rPr>
                <w:rFonts w:ascii="Palatino Linotype" w:eastAsia="Palatino Linotype" w:hAnsi="Palatino Linotype" w:cs="Palatino Linotype"/>
                <w:sz w:val="20"/>
                <w:szCs w:val="20"/>
              </w:rPr>
              <w:t xml:space="preserve">. </w:t>
            </w:r>
          </w:p>
          <w:p w14:paraId="7CCBF48F"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 xml:space="preserve">Se agrega al presente un documento digital que evidencia lo solicitado a partir de la apertura de los comedores comunitarios del año 2022 a la presente anualidad. </w:t>
            </w:r>
          </w:p>
          <w:p w14:paraId="377216DF" w14:textId="77777777" w:rsidR="00260C20" w:rsidRPr="006A0CC2" w:rsidRDefault="001A60FA">
            <w:pPr>
              <w:jc w:val="both"/>
              <w:rPr>
                <w:rFonts w:ascii="Palatino Linotype" w:eastAsia="Palatino Linotype" w:hAnsi="Palatino Linotype" w:cs="Palatino Linotype"/>
                <w:sz w:val="20"/>
                <w:szCs w:val="20"/>
              </w:rPr>
            </w:pPr>
            <w:r w:rsidRPr="006A0CC2">
              <w:rPr>
                <w:rFonts w:ascii="Palatino Linotype" w:eastAsia="Palatino Linotype" w:hAnsi="Palatino Linotype" w:cs="Palatino Linotype"/>
                <w:sz w:val="20"/>
                <w:szCs w:val="20"/>
              </w:rPr>
              <w:t>Adjuntando el documento en el que se advierte el número de servicios y de comidas otorgadas por comedor, de los años 2022, 2023 y 2024.</w:t>
            </w:r>
          </w:p>
        </w:tc>
        <w:tc>
          <w:tcPr>
            <w:tcW w:w="1276" w:type="dxa"/>
            <w:vMerge/>
          </w:tcPr>
          <w:p w14:paraId="2EE44BD8" w14:textId="77777777" w:rsidR="00260C20" w:rsidRPr="006A0CC2" w:rsidRDefault="00260C20">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c>
        <w:tc>
          <w:tcPr>
            <w:tcW w:w="1603" w:type="dxa"/>
          </w:tcPr>
          <w:p w14:paraId="073E675A" w14:textId="77777777" w:rsidR="00260C20" w:rsidRPr="006A0CC2" w:rsidRDefault="001A60FA">
            <w:pPr>
              <w:jc w:val="both"/>
              <w:rPr>
                <w:rFonts w:ascii="Palatino Linotype" w:eastAsia="Palatino Linotype" w:hAnsi="Palatino Linotype" w:cs="Palatino Linotype"/>
                <w:b/>
                <w:sz w:val="20"/>
                <w:szCs w:val="20"/>
              </w:rPr>
            </w:pPr>
            <w:r w:rsidRPr="006A0CC2">
              <w:rPr>
                <w:rFonts w:ascii="Palatino Linotype" w:eastAsia="Palatino Linotype" w:hAnsi="Palatino Linotype" w:cs="Palatino Linotype"/>
                <w:b/>
                <w:sz w:val="20"/>
                <w:szCs w:val="20"/>
              </w:rPr>
              <w:t xml:space="preserve">Parcialmente </w:t>
            </w:r>
          </w:p>
        </w:tc>
      </w:tr>
    </w:tbl>
    <w:p w14:paraId="72507230" w14:textId="77777777" w:rsidR="00260C20" w:rsidRPr="006A0CC2" w:rsidRDefault="00260C20">
      <w:pPr>
        <w:spacing w:after="0" w:line="360" w:lineRule="auto"/>
        <w:jc w:val="both"/>
        <w:rPr>
          <w:rFonts w:ascii="Palatino Linotype" w:eastAsia="Palatino Linotype" w:hAnsi="Palatino Linotype" w:cs="Palatino Linotype"/>
        </w:rPr>
      </w:pPr>
    </w:p>
    <w:p w14:paraId="13398CF5"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Determinado lo anterior, se procede al análisis pormenorizado de los puntos que no fueron colmados para efecto de determinar si es pertinente su entrega:</w:t>
      </w:r>
    </w:p>
    <w:p w14:paraId="21E15B50"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Primeramente, y como puede advertirse, la parte solicitante fue omisa en señalar el periodo sobre el cual requería la información, siendo aplicable el criterio de interpretación 03/19 emitido por el Instituto Nacional de Transparencia Acceso a la Información y Protección de Datos Personales, INAI, en el cual es del tenor literal siguiente:</w:t>
      </w:r>
    </w:p>
    <w:p w14:paraId="5D78CA67" w14:textId="77777777" w:rsidR="00260C20" w:rsidRPr="006A0CC2" w:rsidRDefault="001A60FA">
      <w:pP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rPr>
        <w:t>“</w:t>
      </w:r>
      <w:r w:rsidRPr="006A0CC2">
        <w:rPr>
          <w:rFonts w:ascii="Palatino Linotype" w:eastAsia="Palatino Linotype" w:hAnsi="Palatino Linotype" w:cs="Palatino Linotype"/>
          <w:i/>
        </w:rPr>
        <w:t>Periodo de búsqueda de la información.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7DF9B00D" w14:textId="77777777" w:rsidR="00260C20" w:rsidRPr="006A0CC2" w:rsidRDefault="00260C20">
      <w:pPr>
        <w:spacing w:after="0" w:line="276" w:lineRule="auto"/>
        <w:ind w:left="851" w:right="616"/>
        <w:jc w:val="both"/>
        <w:rPr>
          <w:rFonts w:ascii="Palatino Linotype" w:eastAsia="Palatino Linotype" w:hAnsi="Palatino Linotype" w:cs="Palatino Linotype"/>
        </w:rPr>
      </w:pPr>
    </w:p>
    <w:p w14:paraId="6EE3CC5E"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De manera que, ante la omisión por parte de la solicitante, la información que es susceptible de entrega, en su caso, corresponde a la que el Sujeto Obligado hubiera generado, administre o posea en el año inmediato anterior contado a partir de la fecha de presentación de la solicitud, es decir, del veinticinco de octubre de dos mil veintitrés al veinticinco de octubre de dos mil veinticuatro.</w:t>
      </w:r>
    </w:p>
    <w:p w14:paraId="342436D9" w14:textId="77777777" w:rsidR="00260C20" w:rsidRPr="006A0CC2" w:rsidRDefault="001A60F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6A0CC2">
        <w:rPr>
          <w:rFonts w:ascii="Palatino Linotype" w:eastAsia="Palatino Linotype" w:hAnsi="Palatino Linotype" w:cs="Palatino Linotype"/>
          <w:b/>
        </w:rPr>
        <w:t>Cuánto se gasta en cada comedor por mes, con comprobación por comedor por mes.</w:t>
      </w:r>
    </w:p>
    <w:p w14:paraId="6C58F0AE"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En respuesta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informó el presupuesto proyectado para los siguientes periodos: </w:t>
      </w:r>
    </w:p>
    <w:p w14:paraId="2B1638DA"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w:t>
      </w:r>
      <w:r w:rsidRPr="006A0CC2">
        <w:rPr>
          <w:rFonts w:ascii="Palatino Linotype" w:eastAsia="Palatino Linotype" w:hAnsi="Palatino Linotype" w:cs="Palatino Linotype"/>
        </w:rPr>
        <w:tab/>
        <w:t xml:space="preserve">2022 -$17, 000, 000.00; </w:t>
      </w:r>
    </w:p>
    <w:p w14:paraId="0E8FBD91"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w:t>
      </w:r>
      <w:r w:rsidRPr="006A0CC2">
        <w:rPr>
          <w:rFonts w:ascii="Palatino Linotype" w:eastAsia="Palatino Linotype" w:hAnsi="Palatino Linotype" w:cs="Palatino Linotype"/>
        </w:rPr>
        <w:tab/>
        <w:t>2023 - $5, 956, 266.36;</w:t>
      </w:r>
    </w:p>
    <w:p w14:paraId="3B682A42"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w:t>
      </w:r>
      <w:r w:rsidRPr="006A0CC2">
        <w:rPr>
          <w:rFonts w:ascii="Palatino Linotype" w:eastAsia="Palatino Linotype" w:hAnsi="Palatino Linotype" w:cs="Palatino Linotype"/>
        </w:rPr>
        <w:tab/>
        <w:t xml:space="preserve">2024 - $3, 461, 423.60. </w:t>
      </w:r>
    </w:p>
    <w:p w14:paraId="262A03DD" w14:textId="77777777" w:rsidR="00260C20" w:rsidRPr="006A0CC2" w:rsidRDefault="00260C20">
      <w:pPr>
        <w:spacing w:after="0" w:line="360" w:lineRule="auto"/>
        <w:jc w:val="both"/>
        <w:rPr>
          <w:rFonts w:ascii="Palatino Linotype" w:eastAsia="Palatino Linotype" w:hAnsi="Palatino Linotype" w:cs="Palatino Linotype"/>
        </w:rPr>
      </w:pPr>
    </w:p>
    <w:p w14:paraId="34E2FF9D"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lastRenderedPageBreak/>
        <w:t xml:space="preserve">No obstante, el hoy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 xml:space="preserve"> solicitó conocer el gasto efectuado de cada comedor por mes; para ello, el artículo 10.13 de la Reglas para la operación del Programa Social “Comedores Comunitarios” señala que para ejecutar el programa social, intervendrán algunos órganos de autoridad, entre el que se encuentra el Consejo Comunitario Directivo, mismo que será reconocido como de mando y funcionamiento, el cual es nombrado por el Comité Técnico Especializado en Asamblea General, y contará con la facultad para tomar acuerdos, administrar y desarrollar la planeación y organización de las acciones y actividades a implementar para el buen funcionamiento del comedor. Aunado a ello, se encargará de lo siguiente: </w:t>
      </w:r>
    </w:p>
    <w:p w14:paraId="03750B12" w14:textId="77777777" w:rsidR="00260C20" w:rsidRPr="006A0CC2" w:rsidRDefault="00260C20">
      <w:pPr>
        <w:spacing w:after="0" w:line="360" w:lineRule="auto"/>
        <w:jc w:val="both"/>
        <w:rPr>
          <w:rFonts w:ascii="Palatino Linotype" w:eastAsia="Palatino Linotype" w:hAnsi="Palatino Linotype" w:cs="Palatino Linotype"/>
        </w:rPr>
      </w:pPr>
    </w:p>
    <w:p w14:paraId="3C366DA2" w14:textId="77777777" w:rsidR="00260C20" w:rsidRPr="006A0CC2" w:rsidRDefault="001A60F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Conocer de todas y cada una de las acciones que se desarrollen para la reactivación y funcionamiento de cada comedor comunitario. </w:t>
      </w:r>
    </w:p>
    <w:p w14:paraId="0F18AD41" w14:textId="77777777" w:rsidR="00260C20" w:rsidRPr="006A0CC2" w:rsidRDefault="001A60F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Ejercer la administración y la representación del comedor comunitario, dentro de los límites que se deriven de las reglas de operación que regirán el Programa social de los comedores comunitarios, así como, de los acuerdos de la asamblea general. </w:t>
      </w:r>
    </w:p>
    <w:p w14:paraId="40BB6271" w14:textId="77777777" w:rsidR="00260C20" w:rsidRPr="006A0CC2" w:rsidRDefault="001A60F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6A0CC2">
        <w:rPr>
          <w:rFonts w:ascii="Palatino Linotype" w:eastAsia="Palatino Linotype" w:hAnsi="Palatino Linotype" w:cs="Palatino Linotype"/>
          <w:b/>
        </w:rPr>
        <w:t xml:space="preserve">Realizar un </w:t>
      </w:r>
      <w:r w:rsidRPr="006A0CC2">
        <w:rPr>
          <w:rFonts w:ascii="Palatino Linotype" w:eastAsia="Palatino Linotype" w:hAnsi="Palatino Linotype" w:cs="Palatino Linotype"/>
          <w:b/>
          <w:u w:val="single"/>
        </w:rPr>
        <w:t>informe mensual</w:t>
      </w:r>
      <w:r w:rsidRPr="006A0CC2">
        <w:rPr>
          <w:rFonts w:ascii="Palatino Linotype" w:eastAsia="Palatino Linotype" w:hAnsi="Palatino Linotype" w:cs="Palatino Linotype"/>
          <w:b/>
        </w:rPr>
        <w:t xml:space="preserve">, mediante el cual se haga constar los fondos ingresados y </w:t>
      </w:r>
      <w:r w:rsidRPr="006A0CC2">
        <w:rPr>
          <w:rFonts w:ascii="Palatino Linotype" w:eastAsia="Palatino Linotype" w:hAnsi="Palatino Linotype" w:cs="Palatino Linotype"/>
          <w:b/>
          <w:u w:val="single"/>
        </w:rPr>
        <w:t>gastos erogados</w:t>
      </w:r>
      <w:r w:rsidRPr="006A0CC2">
        <w:rPr>
          <w:rFonts w:ascii="Palatino Linotype" w:eastAsia="Palatino Linotype" w:hAnsi="Palatino Linotype" w:cs="Palatino Linotype"/>
          <w:b/>
        </w:rPr>
        <w:t xml:space="preserve"> por mes. </w:t>
      </w:r>
    </w:p>
    <w:p w14:paraId="6FBC5BFE" w14:textId="77777777" w:rsidR="00260C20" w:rsidRPr="006A0CC2" w:rsidRDefault="001A60F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Llevar el libro o documentos de registro del comedor comunitario, a través del </w:t>
      </w:r>
      <w:proofErr w:type="gramStart"/>
      <w:r w:rsidRPr="006A0CC2">
        <w:rPr>
          <w:rFonts w:ascii="Palatino Linotype" w:eastAsia="Palatino Linotype" w:hAnsi="Palatino Linotype" w:cs="Palatino Linotype"/>
        </w:rPr>
        <w:t>Secretario General</w:t>
      </w:r>
      <w:proofErr w:type="gramEnd"/>
      <w:r w:rsidRPr="006A0CC2">
        <w:rPr>
          <w:rFonts w:ascii="Palatino Linotype" w:eastAsia="Palatino Linotype" w:hAnsi="Palatino Linotype" w:cs="Palatino Linotype"/>
        </w:rPr>
        <w:t xml:space="preserve">. </w:t>
      </w:r>
    </w:p>
    <w:p w14:paraId="28222266" w14:textId="77777777" w:rsidR="00260C20" w:rsidRPr="006A0CC2" w:rsidRDefault="001A60FA">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Designar las comisiones y roles que estime convenientes para la realización de los fines del comedor, nombrando y removiendo a los integrantes de las mismas y fijándoles sus atribuciones, deberes y facultades. </w:t>
      </w:r>
    </w:p>
    <w:p w14:paraId="408E7819" w14:textId="77777777" w:rsidR="00260C20" w:rsidRPr="006A0CC2" w:rsidRDefault="00260C20">
      <w:pPr>
        <w:spacing w:after="0" w:line="360" w:lineRule="auto"/>
        <w:jc w:val="both"/>
        <w:rPr>
          <w:rFonts w:ascii="Palatino Linotype" w:eastAsia="Palatino Linotype" w:hAnsi="Palatino Linotype" w:cs="Palatino Linotype"/>
        </w:rPr>
      </w:pPr>
    </w:p>
    <w:p w14:paraId="34A23724"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Es por lo anteriormente expuesto, que el documento que puede atender el requerimiento del particular, de manera enunciativa más no limitativa es el Informe Mensual que genera el Consejo Comunitario Directivo, toda vez que este se hace constar los gastos erogados por mes de los comedores comunitarios; por lo que, este Organismo Garante determina ordenar </w:t>
      </w:r>
      <w:r w:rsidRPr="006A0CC2">
        <w:rPr>
          <w:rFonts w:ascii="Palatino Linotype" w:eastAsia="Palatino Linotype" w:hAnsi="Palatino Linotype" w:cs="Palatino Linotype"/>
        </w:rPr>
        <w:lastRenderedPageBreak/>
        <w:t xml:space="preserve">la entrega del documento en donde conste el gasto efectuado de cada comedor por mes, del veinticinco de octubre de dos mil veintitrés al veinticinco de octubre de dos mil veinticuatro. </w:t>
      </w:r>
    </w:p>
    <w:p w14:paraId="4E2A34AC" w14:textId="77777777" w:rsidR="00260C20" w:rsidRPr="006A0CC2" w:rsidRDefault="00260C20">
      <w:pPr>
        <w:spacing w:after="0" w:line="360" w:lineRule="auto"/>
        <w:jc w:val="both"/>
        <w:rPr>
          <w:rFonts w:ascii="Palatino Linotype" w:eastAsia="Palatino Linotype" w:hAnsi="Palatino Linotype" w:cs="Palatino Linotype"/>
        </w:rPr>
      </w:pPr>
    </w:p>
    <w:p w14:paraId="44338719" w14:textId="77777777" w:rsidR="00260C20" w:rsidRPr="006A0CC2" w:rsidRDefault="001A60FA">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6A0CC2">
        <w:rPr>
          <w:rFonts w:ascii="Palatino Linotype" w:eastAsia="Palatino Linotype" w:hAnsi="Palatino Linotype" w:cs="Palatino Linotype"/>
          <w:b/>
        </w:rPr>
        <w:t>Comprobación de desayunos otorgados diarios por comedor.</w:t>
      </w:r>
    </w:p>
    <w:p w14:paraId="07D2910B" w14:textId="77777777" w:rsidR="00260C20" w:rsidRPr="006A0CC2" w:rsidRDefault="001A60FA">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6A0CC2">
        <w:rPr>
          <w:rFonts w:ascii="Palatino Linotype" w:eastAsia="Palatino Linotype" w:hAnsi="Palatino Linotype" w:cs="Palatino Linotype"/>
          <w:b/>
        </w:rPr>
        <w:t>Comprobación de comidas otorgados diarios por comedor</w:t>
      </w:r>
    </w:p>
    <w:p w14:paraId="341306FF" w14:textId="77777777" w:rsidR="00260C20" w:rsidRPr="006A0CC2" w:rsidRDefault="00260C20">
      <w:pPr>
        <w:spacing w:after="0" w:line="360" w:lineRule="auto"/>
        <w:jc w:val="both"/>
        <w:rPr>
          <w:rFonts w:ascii="Palatino Linotype" w:eastAsia="Palatino Linotype" w:hAnsi="Palatino Linotype" w:cs="Palatino Linotype"/>
        </w:rPr>
      </w:pPr>
    </w:p>
    <w:p w14:paraId="590040B9"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Respecto a estos puntos,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hizo entrega de los documentos en los que se advierte el número de servicios y de comidas otorgadas por comedor, de los años 2022, 2023 y 2024; sin embargo, si bien es cierto que de dicho documento se puede advertir el número de servicios otorgados en los comedores comunitarios, lo cierto es que, solo es un dato estadístico y no el documento fuente del que se obtuvo la información, por lo que, este Organismo Garante considera que el documento remitido en respuesta no colma el derecho de acceso a la información del particular, al considerar que, tal y como fue advertido en párrafos que anteceden, el Consejo Comunitario Directivo es el encargado de llevar el libro o documentos de registro del comedor comunitario, a través del Secretario General, documento que de manera enunciativa más no limitativa, puede atender dichos requerimientos, pues estos pueden dar cuenta de la entrega de alimentos otorgados por los comedores; aunado a que de la revisión a los documentos remitidos en respuesta, se advierte que para el año 2022 solo refirió 39 comedores y para el 2024 solo 23 comedores; por lo que, resulta procedente ordenar la entrega del documento que dé cuenta de los desayunos y comidas otorgados por comedor, del veinticinco de octubre de dos mil veintitrés al veinticinco de octubre de dos mil veinticuatro, de ser procedente en versión pública. </w:t>
      </w:r>
    </w:p>
    <w:p w14:paraId="79BFDC1C" w14:textId="77777777" w:rsidR="00260C20" w:rsidRPr="006A0CC2" w:rsidRDefault="00260C20">
      <w:pPr>
        <w:spacing w:after="0" w:line="360" w:lineRule="auto"/>
        <w:jc w:val="both"/>
        <w:rPr>
          <w:rFonts w:ascii="Palatino Linotype" w:eastAsia="Palatino Linotype" w:hAnsi="Palatino Linotype" w:cs="Palatino Linotype"/>
        </w:rPr>
      </w:pPr>
    </w:p>
    <w:p w14:paraId="506C1562" w14:textId="77777777" w:rsidR="00260C20" w:rsidRPr="006A0CC2" w:rsidRDefault="001A60FA">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6A0CC2">
        <w:rPr>
          <w:rFonts w:ascii="Palatino Linotype" w:eastAsia="Palatino Linotype" w:hAnsi="Palatino Linotype" w:cs="Palatino Linotype"/>
          <w:b/>
        </w:rPr>
        <w:t>Cuántos servidores públicos atienden por comedor.</w:t>
      </w:r>
    </w:p>
    <w:p w14:paraId="5D7D2A24" w14:textId="77777777" w:rsidR="00260C20" w:rsidRPr="006A0CC2" w:rsidRDefault="001A60FA">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6A0CC2">
        <w:rPr>
          <w:rFonts w:ascii="Palatino Linotype" w:eastAsia="Palatino Linotype" w:hAnsi="Palatino Linotype" w:cs="Palatino Linotype"/>
          <w:b/>
        </w:rPr>
        <w:t>Sueldos de los servidores públicos que atienden por comedor</w:t>
      </w:r>
    </w:p>
    <w:p w14:paraId="25C6833E" w14:textId="77777777" w:rsidR="00260C20" w:rsidRPr="006A0CC2" w:rsidRDefault="001A60FA">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6A0CC2">
        <w:rPr>
          <w:rFonts w:ascii="Palatino Linotype" w:eastAsia="Palatino Linotype" w:hAnsi="Palatino Linotype" w:cs="Palatino Linotype"/>
          <w:b/>
        </w:rPr>
        <w:t>De no ser servidores públicos se me indique que son y de que partida presupuestal sale el pago.</w:t>
      </w:r>
    </w:p>
    <w:p w14:paraId="4BA5A509" w14:textId="77777777" w:rsidR="00260C20" w:rsidRPr="006A0CC2" w:rsidRDefault="00260C20">
      <w:pPr>
        <w:spacing w:after="0" w:line="360" w:lineRule="auto"/>
        <w:jc w:val="both"/>
        <w:rPr>
          <w:rFonts w:ascii="Palatino Linotype" w:eastAsia="Palatino Linotype" w:hAnsi="Palatino Linotype" w:cs="Palatino Linotype"/>
        </w:rPr>
      </w:pPr>
    </w:p>
    <w:p w14:paraId="2CB916FF"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En respuesta,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a través de la Dirección de Administración informó que los que atienden los comedores no son servidores públicos, son personal eventual contratado por honorarios asimilables a salarios y su sueldo es de acuerdo a lo establecido en el tabulador vigente, designado para sueldo eventual.</w:t>
      </w:r>
    </w:p>
    <w:p w14:paraId="53B40E7A" w14:textId="77777777" w:rsidR="00260C20" w:rsidRPr="006A0CC2" w:rsidRDefault="00260C20">
      <w:pPr>
        <w:spacing w:after="0" w:line="360" w:lineRule="auto"/>
        <w:jc w:val="both"/>
        <w:rPr>
          <w:rFonts w:ascii="Palatino Linotype" w:eastAsia="Palatino Linotype" w:hAnsi="Palatino Linotype" w:cs="Palatino Linotype"/>
        </w:rPr>
      </w:pPr>
    </w:p>
    <w:p w14:paraId="3D9C2FFE"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Respecto al sueldo de los trabajadores de los comedores, informó que lo puede consultar en la página virtual IPOMEX, artículo 92 VIII B Tabulador de sueldos y XXXV A Gasto por capítulo, concepto y partida, en las siguientes ligas electrónicas: </w:t>
      </w:r>
    </w:p>
    <w:p w14:paraId="2BE9FCAA" w14:textId="77777777" w:rsidR="00260C20" w:rsidRPr="006A0CC2" w:rsidRDefault="001A60FA">
      <w:pPr>
        <w:spacing w:after="0" w:line="360" w:lineRule="auto"/>
        <w:jc w:val="center"/>
        <w:rPr>
          <w:rFonts w:ascii="Palatino Linotype" w:eastAsia="Palatino Linotype" w:hAnsi="Palatino Linotype" w:cs="Palatino Linotype"/>
        </w:rPr>
      </w:pPr>
      <w:r w:rsidRPr="006A0CC2">
        <w:rPr>
          <w:rFonts w:ascii="Palatino Linotype" w:eastAsia="Palatino Linotype" w:hAnsi="Palatino Linotype" w:cs="Palatino Linotype"/>
          <w:noProof/>
        </w:rPr>
        <w:drawing>
          <wp:inline distT="0" distB="0" distL="0" distR="0" wp14:anchorId="437B33E5" wp14:editId="6882A6CA">
            <wp:extent cx="5020376" cy="466790"/>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20376" cy="466790"/>
                    </a:xfrm>
                    <a:prstGeom prst="rect">
                      <a:avLst/>
                    </a:prstGeom>
                    <a:ln/>
                  </pic:spPr>
                </pic:pic>
              </a:graphicData>
            </a:graphic>
          </wp:inline>
        </w:drawing>
      </w:r>
    </w:p>
    <w:p w14:paraId="4A8ED3FC"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Ligas que como puede advertirse se encuentran en formato cerrado, es decir, que no se puede copiar y pegar para tener acceso; sobre el tema, Trujillo, Humberto (2019), en el “Diccionario de Transparencia y Acceso a la Información Pública”, precisa que cuando un </w:t>
      </w:r>
      <w:r w:rsidRPr="006A0CC2">
        <w:rPr>
          <w:rFonts w:ascii="Palatino Linotype" w:eastAsia="Palatino Linotype" w:hAnsi="Palatino Linotype" w:cs="Palatino Linotype"/>
          <w:b/>
        </w:rPr>
        <w:t xml:space="preserve">Sujeto Obligado </w:t>
      </w:r>
      <w:r w:rsidRPr="006A0CC2">
        <w:rPr>
          <w:rFonts w:ascii="Palatino Linotype" w:eastAsia="Palatino Linotype" w:hAnsi="Palatino Linotype" w:cs="Palatino Linotype"/>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6467364C"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669AF3F3"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18D9228" w14:textId="77777777" w:rsidR="00260C20" w:rsidRPr="006A0CC2" w:rsidRDefault="001A60FA">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lastRenderedPageBreak/>
        <w:t>Dato abierto:</w:t>
      </w:r>
      <w:r w:rsidRPr="006A0CC2">
        <w:rPr>
          <w:rFonts w:ascii="Palatino Linotype" w:eastAsia="Palatino Linotype" w:hAnsi="Palatino Linotype" w:cs="Palatino Linotype"/>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F2D036B" w14:textId="77777777" w:rsidR="00260C20" w:rsidRPr="006A0CC2" w:rsidRDefault="001A60FA">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Formato accesible: </w:t>
      </w:r>
      <w:r w:rsidRPr="006A0CC2">
        <w:rPr>
          <w:rFonts w:ascii="Palatino Linotype" w:eastAsia="Palatino Linotype" w:hAnsi="Palatino Linotype" w:cs="Palatino Linotype"/>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CE8CF26" w14:textId="77777777" w:rsidR="00260C20" w:rsidRPr="006A0CC2" w:rsidRDefault="00260C20">
      <w:pPr>
        <w:spacing w:line="360" w:lineRule="auto"/>
        <w:jc w:val="both"/>
        <w:rPr>
          <w:rFonts w:ascii="Palatino Linotype" w:eastAsia="Palatino Linotype" w:hAnsi="Palatino Linotype" w:cs="Palatino Linotype"/>
        </w:rPr>
      </w:pPr>
    </w:p>
    <w:p w14:paraId="1A5FD640"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Conforme a lo anterior, se considera que en el caso de que la información peticionada obre en ligas electrónicas,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deberá privilegiar la entrega de estas, en datos abiertos, es decir, en un formato que permita la accesibilidad y facilidad a los Particulares, para obtener la información contenida en estas.</w:t>
      </w:r>
    </w:p>
    <w:p w14:paraId="69AB08E0"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618058FB"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Como se logra observar,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si bien señaló unas páginas electrónicas, omitió proporcionarlas en formato abierto; lo cual implica la dificultad de acceder a la misma, pues se traduce al hecho de que el particular tendría que colocar cada dígito alfanumérico, y cuya equivocación implicaría no acceder a la información contenida en las mismas.</w:t>
      </w:r>
    </w:p>
    <w:p w14:paraId="13E28CB2" w14:textId="77777777" w:rsidR="00260C20" w:rsidRPr="006A0CC2" w:rsidRDefault="001A60FA">
      <w:pPr>
        <w:spacing w:before="240" w:after="24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lastRenderedPageBreak/>
        <w:t>Dicho lo anterior, y respecto a que los comedores son atendidos por personal eventual; bajo esa premisa, es importante traer a colación que dicha información pudiera obrar en la lista de raya; ello en virtud de que como lo contempla el Glosario de Términos Administrativos, de la Coordinación General de Estudios Administrativos del Instituto Nacional de Administración Pública, A. C, el concepto de personal de “lista de raya”, resulta aplicable para trabajadores temporales, tal como infiere el término que se cita a continuación:</w:t>
      </w:r>
    </w:p>
    <w:p w14:paraId="753C57A3" w14:textId="77777777" w:rsidR="00260C20" w:rsidRPr="006A0CC2" w:rsidRDefault="001A60FA">
      <w:pPr>
        <w:spacing w:line="276" w:lineRule="auto"/>
        <w:ind w:left="851" w:right="616"/>
        <w:jc w:val="both"/>
        <w:rPr>
          <w:rFonts w:ascii="Palatino Linotype" w:eastAsia="Palatino Linotype" w:hAnsi="Palatino Linotype" w:cs="Palatino Linotype"/>
          <w:b/>
          <w:i/>
        </w:rPr>
      </w:pPr>
      <w:r w:rsidRPr="006A0CC2">
        <w:rPr>
          <w:rFonts w:ascii="Palatino Linotype" w:eastAsia="Palatino Linotype" w:hAnsi="Palatino Linotype" w:cs="Palatino Linotype"/>
          <w:b/>
          <w:i/>
        </w:rPr>
        <w:t xml:space="preserve">“PERSONAL A LISTA DE RAYA. </w:t>
      </w:r>
      <w:r w:rsidRPr="006A0CC2">
        <w:rPr>
          <w:rFonts w:ascii="Palatino Linotype" w:eastAsia="Palatino Linotype" w:hAnsi="Palatino Linotype" w:cs="Palatino Linotype"/>
          <w:b/>
          <w:i/>
          <w:u w:val="single"/>
        </w:rPr>
        <w:t xml:space="preserve">Lo integran los trabajadores temporales </w:t>
      </w:r>
      <w:r w:rsidRPr="006A0CC2">
        <w:rPr>
          <w:rFonts w:ascii="Palatino Linotype" w:eastAsia="Palatino Linotype" w:hAnsi="Palatino Linotype" w:cs="Palatino Linotype"/>
          <w:b/>
          <w:i/>
        </w:rPr>
        <w:t xml:space="preserve">cuya relación laboral se formaliza por su inclusión en nómina o documentos denominados "Lista de Raya" y que, por lo tanto, carecen de nombramiento.” </w:t>
      </w:r>
      <w:r w:rsidRPr="006A0CC2">
        <w:rPr>
          <w:rFonts w:ascii="Palatino Linotype" w:eastAsia="Palatino Linotype" w:hAnsi="Palatino Linotype" w:cs="Palatino Linotype"/>
          <w:i/>
        </w:rPr>
        <w:t xml:space="preserve">(Énfasis añadido) </w:t>
      </w:r>
    </w:p>
    <w:p w14:paraId="26FAF34A"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Así como se apuntó, si bien nuestra legislación no establece la definición de “lista de raya” o “nómina de personal”, estos términos son mencionados en diferentes ordenamientos legales; por ejemplo, en el artículo 804 en su fracción II de la Ley Federal de Trabajo señala: </w:t>
      </w:r>
    </w:p>
    <w:p w14:paraId="04542717" w14:textId="77777777" w:rsidR="00260C20" w:rsidRPr="006A0CC2" w:rsidRDefault="001A60FA">
      <w:pPr>
        <w:spacing w:after="0" w:line="276" w:lineRule="auto"/>
        <w:ind w:left="566" w:right="912"/>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r w:rsidRPr="006A0CC2">
        <w:rPr>
          <w:rFonts w:ascii="Palatino Linotype" w:eastAsia="Palatino Linotype" w:hAnsi="Palatino Linotype" w:cs="Palatino Linotype"/>
          <w:b/>
          <w:i/>
        </w:rPr>
        <w:t xml:space="preserve">Artículo 804.- </w:t>
      </w:r>
      <w:r w:rsidRPr="006A0CC2">
        <w:rPr>
          <w:rFonts w:ascii="Palatino Linotype" w:eastAsia="Palatino Linotype" w:hAnsi="Palatino Linotype" w:cs="Palatino Linotype"/>
          <w:i/>
        </w:rPr>
        <w:t xml:space="preserve">El patrón tiene obligación de conservar y exhibir en juicio los documentos que a continuación se precisan: </w:t>
      </w:r>
    </w:p>
    <w:p w14:paraId="2B6C6297" w14:textId="77777777" w:rsidR="00260C20" w:rsidRPr="006A0CC2" w:rsidRDefault="001A60FA">
      <w:pPr>
        <w:spacing w:after="0" w:line="276" w:lineRule="auto"/>
        <w:ind w:left="566" w:right="912"/>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 </w:t>
      </w:r>
    </w:p>
    <w:p w14:paraId="780F0E66" w14:textId="77777777" w:rsidR="00260C20" w:rsidRPr="006A0CC2" w:rsidRDefault="001A60FA">
      <w:pPr>
        <w:spacing w:after="0" w:line="276" w:lineRule="auto"/>
        <w:ind w:left="566" w:right="912"/>
        <w:jc w:val="both"/>
        <w:rPr>
          <w:rFonts w:ascii="Palatino Linotype" w:eastAsia="Palatino Linotype" w:hAnsi="Palatino Linotype" w:cs="Palatino Linotype"/>
          <w:i/>
        </w:rPr>
      </w:pPr>
      <w:r w:rsidRPr="006A0CC2">
        <w:rPr>
          <w:rFonts w:ascii="Palatino Linotype" w:eastAsia="Palatino Linotype" w:hAnsi="Palatino Linotype" w:cs="Palatino Linotype"/>
          <w:b/>
          <w:i/>
          <w:u w:val="single"/>
        </w:rPr>
        <w:t>II. Listas de raya</w:t>
      </w:r>
      <w:r w:rsidRPr="006A0CC2">
        <w:rPr>
          <w:rFonts w:ascii="Palatino Linotype" w:eastAsia="Palatino Linotype" w:hAnsi="Palatino Linotype" w:cs="Palatino Linotype"/>
          <w:i/>
        </w:rPr>
        <w:t xml:space="preserve"> o nómina de personal, cuando se lleven en el centro de trabajo; o recibos de pagos de salarios; </w:t>
      </w:r>
    </w:p>
    <w:p w14:paraId="74A84D32" w14:textId="77777777" w:rsidR="00260C20" w:rsidRPr="006A0CC2" w:rsidRDefault="001A60FA">
      <w:pPr>
        <w:spacing w:after="0" w:line="276" w:lineRule="auto"/>
        <w:ind w:left="566" w:right="912"/>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 </w:t>
      </w:r>
    </w:p>
    <w:p w14:paraId="77A677F6" w14:textId="77777777" w:rsidR="00260C20" w:rsidRPr="006A0CC2" w:rsidRDefault="001A60FA">
      <w:pPr>
        <w:spacing w:after="0" w:line="276" w:lineRule="auto"/>
        <w:ind w:left="566" w:right="912"/>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w:t>
      </w:r>
    </w:p>
    <w:p w14:paraId="485521DC" w14:textId="77777777" w:rsidR="00260C20" w:rsidRPr="006A0CC2" w:rsidRDefault="001A60FA">
      <w:pPr>
        <w:spacing w:after="0" w:line="276" w:lineRule="auto"/>
        <w:ind w:left="566" w:right="912"/>
        <w:jc w:val="both"/>
        <w:rPr>
          <w:rFonts w:ascii="Palatino Linotype" w:eastAsia="Palatino Linotype" w:hAnsi="Palatino Linotype" w:cs="Palatino Linotype"/>
          <w:i/>
        </w:rPr>
      </w:pPr>
      <w:r w:rsidRPr="006A0CC2">
        <w:rPr>
          <w:rFonts w:ascii="Palatino Linotype" w:eastAsia="Palatino Linotype" w:hAnsi="Palatino Linotype" w:cs="Palatino Linotype"/>
          <w:i/>
        </w:rPr>
        <w:t>(Énfasis añadido)</w:t>
      </w:r>
    </w:p>
    <w:p w14:paraId="0500DAC1" w14:textId="77777777" w:rsidR="00260C20" w:rsidRPr="006A0CC2" w:rsidRDefault="00260C20">
      <w:pPr>
        <w:spacing w:after="0" w:line="276" w:lineRule="auto"/>
        <w:ind w:left="566" w:right="912"/>
        <w:jc w:val="both"/>
        <w:rPr>
          <w:rFonts w:ascii="Palatino Linotype" w:eastAsia="Palatino Linotype" w:hAnsi="Palatino Linotype" w:cs="Palatino Linotype"/>
          <w:i/>
        </w:rPr>
      </w:pPr>
    </w:p>
    <w:p w14:paraId="0CD4CBD3" w14:textId="77777777" w:rsidR="00260C20" w:rsidRPr="006A0CC2" w:rsidRDefault="001A60FA">
      <w:pPr>
        <w:spacing w:line="360" w:lineRule="auto"/>
        <w:jc w:val="both"/>
        <w:rPr>
          <w:rFonts w:ascii="Palatino Linotype" w:eastAsia="Palatino Linotype" w:hAnsi="Palatino Linotype" w:cs="Palatino Linotype"/>
          <w:b/>
          <w:u w:val="single"/>
        </w:rPr>
      </w:pPr>
      <w:r w:rsidRPr="006A0CC2">
        <w:rPr>
          <w:rFonts w:ascii="Palatino Linotype" w:eastAsia="Palatino Linotype" w:hAnsi="Palatino Linotype" w:cs="Palatino Linotype"/>
        </w:rPr>
        <w:t xml:space="preserve">De lo establecido en dicho precepto legal, se advierte que </w:t>
      </w:r>
      <w:r w:rsidRPr="006A0CC2">
        <w:rPr>
          <w:rFonts w:ascii="Palatino Linotype" w:eastAsia="Palatino Linotype" w:hAnsi="Palatino Linotype" w:cs="Palatino Linotype"/>
          <w:b/>
        </w:rPr>
        <w:t>la lista de raya consiste en registros conformados por el conjunto de trabajadores a los cuales se les va a remunerar por los servicios que éstos le prestan al patrón</w:t>
      </w:r>
      <w:r w:rsidRPr="006A0CC2">
        <w:rPr>
          <w:rFonts w:ascii="Palatino Linotype" w:eastAsia="Palatino Linotype" w:hAnsi="Palatino Linotype" w:cs="Palatino Linotype"/>
        </w:rPr>
        <w:t xml:space="preserve">, en el cual se asientan las percepciones </w:t>
      </w:r>
      <w:r w:rsidRPr="006A0CC2">
        <w:rPr>
          <w:rFonts w:ascii="Palatino Linotype" w:eastAsia="Palatino Linotype" w:hAnsi="Palatino Linotype" w:cs="Palatino Linotype"/>
        </w:rPr>
        <w:lastRenderedPageBreak/>
        <w:t xml:space="preserve">brutas, deducciones y el neto a recibir de dichos trabajadores, con la única especificación de que la </w:t>
      </w:r>
      <w:r w:rsidRPr="006A0CC2">
        <w:rPr>
          <w:rFonts w:ascii="Palatino Linotype" w:eastAsia="Palatino Linotype" w:hAnsi="Palatino Linotype" w:cs="Palatino Linotype"/>
          <w:b/>
          <w:u w:val="single"/>
        </w:rPr>
        <w:t>lista de raya refiere únicamente a los trabajadores temporales.</w:t>
      </w:r>
    </w:p>
    <w:p w14:paraId="5A9C097C"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En relación a ello, el artículo 50 de la Ley del Trabajo de los Servidores Públicos del Estado y Municipios, señala: </w:t>
      </w:r>
    </w:p>
    <w:p w14:paraId="2F24BDDA"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r w:rsidRPr="006A0CC2">
        <w:rPr>
          <w:rFonts w:ascii="Palatino Linotype" w:eastAsia="Palatino Linotype" w:hAnsi="Palatino Linotype" w:cs="Palatino Linotype"/>
          <w:b/>
          <w:i/>
        </w:rPr>
        <w:t>Artículo 50.-</w:t>
      </w:r>
      <w:r w:rsidRPr="006A0CC2">
        <w:rPr>
          <w:rFonts w:ascii="Palatino Linotype" w:eastAsia="Palatino Linotype" w:hAnsi="Palatino Linotype" w:cs="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2F942BF0"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w:t>
      </w:r>
      <w:r w:rsidRPr="006A0CC2">
        <w:rPr>
          <w:rFonts w:ascii="Palatino Linotype" w:eastAsia="Palatino Linotype" w:hAnsi="Palatino Linotype" w:cs="Palatino Linotype"/>
          <w:b/>
          <w:i/>
          <w:u w:val="single"/>
        </w:rPr>
        <w:t>guales consecuencias se generarán para todos los servidores públicos, cuando la relación de trabajo se formalice mediante un contrato o por encontrarse en lista de raya</w:t>
      </w:r>
      <w:r w:rsidRPr="006A0CC2">
        <w:rPr>
          <w:rFonts w:ascii="Palatino Linotype" w:eastAsia="Palatino Linotype" w:hAnsi="Palatino Linotype" w:cs="Palatino Linotype"/>
          <w:i/>
        </w:rPr>
        <w:t xml:space="preserve">.” </w:t>
      </w:r>
    </w:p>
    <w:p w14:paraId="62666490"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(Énfasis añadido) </w:t>
      </w:r>
    </w:p>
    <w:p w14:paraId="0D2CC201" w14:textId="77777777" w:rsidR="00260C20" w:rsidRPr="006A0CC2" w:rsidRDefault="00260C20">
      <w:pPr>
        <w:spacing w:line="360" w:lineRule="auto"/>
        <w:jc w:val="both"/>
        <w:rPr>
          <w:rFonts w:ascii="Palatino Linotype" w:eastAsia="Palatino Linotype" w:hAnsi="Palatino Linotype" w:cs="Palatino Linotype"/>
        </w:rPr>
      </w:pPr>
    </w:p>
    <w:p w14:paraId="091B641A"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 lo anterior, se advierte que la relación de trabajo de un servidor público se formaliza mediante nombramiento, contrato, formato único de movimientos de personal y lo referente a la lista de raya es por cuanto a la forma de pago del personal por contrato. Una vez puntualizado lo anterior, se colige que la lista de raya contiene la información relativa a las remuneraciones de los servidores públicos temporales. </w:t>
      </w:r>
    </w:p>
    <w:p w14:paraId="7ADBF4B6"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Bajo este orden de ideas es que este Instituto considera que si bien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informó que los comedores son atendidos por personal eventual, lo cierto es que no informó la totalidad del personal; así como tampoco hizo entrega del sueldo que perciben, por lo que, no colma a cabalidad el requerimiento de información del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 xml:space="preserve">, de modo que resulta procedente ordenar previa búsqueda exhaustiva, la entrega del documento en donde conste el número de personal eventual que atienden los Comedores Comunitarios; así como el sueldo que perciben por concepto de honorarios, vigente al veinticinco de octubre de veinticuatro, en versión pública. </w:t>
      </w:r>
    </w:p>
    <w:p w14:paraId="6347DDF4" w14:textId="77777777" w:rsidR="00260C20" w:rsidRPr="006A0CC2" w:rsidRDefault="001A60FA">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6A0CC2">
        <w:rPr>
          <w:rFonts w:ascii="Palatino Linotype" w:eastAsia="Palatino Linotype" w:hAnsi="Palatino Linotype" w:cs="Palatino Linotype"/>
          <w:b/>
        </w:rPr>
        <w:lastRenderedPageBreak/>
        <w:t>Cuanto genera cada comedor de excedente ya que como se paga las comidas y desayunos y se tiene un presupuesto municipal por mes entonces se empate presupuesto con ganancia; y, que se hace con ella, con comprobantes.</w:t>
      </w:r>
    </w:p>
    <w:p w14:paraId="571AD2F3" w14:textId="77777777" w:rsidR="00260C20" w:rsidRPr="006A0CC2" w:rsidRDefault="00260C20">
      <w:pPr>
        <w:spacing w:after="0" w:line="360" w:lineRule="auto"/>
        <w:jc w:val="both"/>
        <w:rPr>
          <w:rFonts w:ascii="Palatino Linotype" w:eastAsia="Palatino Linotype" w:hAnsi="Palatino Linotype" w:cs="Palatino Linotype"/>
        </w:rPr>
      </w:pPr>
    </w:p>
    <w:p w14:paraId="3B1B910A"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Finalmente, respecto a esta punto,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informó que las comidas y desayunos no se pagan, en virtud de que es un Programa Social y de carácter no lucrativo, específicamente solicitando una cuota de recuperación, consistente en $10.00 (Diez pesos 00/M.N) por desayuno y $15.00 (quince pesos 00/100 M.N) por comida; aunado a que, no se puede empatar presupuesto con ganancia, toda vez que el presupuesto está determinado para cada ejercicio fiscal y en este caso para el Programa Social “Comedores Comunitarios”; reiterando que dicho Programa no genera ganancias porque no es lucrativo y se genera una cuota de recuperación, la cual es mínima para sumar al buen desarrollo de cada comedor comunitario. </w:t>
      </w:r>
    </w:p>
    <w:p w14:paraId="2B980187" w14:textId="77777777" w:rsidR="00260C20" w:rsidRPr="006A0CC2" w:rsidRDefault="00260C20">
      <w:pPr>
        <w:spacing w:after="0" w:line="360" w:lineRule="auto"/>
        <w:jc w:val="both"/>
        <w:rPr>
          <w:rFonts w:ascii="Palatino Linotype" w:eastAsia="Palatino Linotype" w:hAnsi="Palatino Linotype" w:cs="Palatino Linotype"/>
        </w:rPr>
      </w:pPr>
    </w:p>
    <w:p w14:paraId="017F6A2B"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Ahora bien, este Instituto considera necesario señalar que respecto a </w:t>
      </w:r>
      <w:r w:rsidRPr="006A0CC2">
        <w:rPr>
          <w:rFonts w:ascii="Palatino Linotype" w:eastAsia="Palatino Linotype" w:hAnsi="Palatino Linotype" w:cs="Palatino Linotype"/>
          <w:i/>
        </w:rPr>
        <w:t>“</w:t>
      </w:r>
      <w:r w:rsidRPr="006A0CC2">
        <w:rPr>
          <w:rFonts w:ascii="Palatino Linotype" w:eastAsia="Palatino Linotype" w:hAnsi="Palatino Linotype" w:cs="Palatino Linotype"/>
          <w:b/>
          <w:i/>
        </w:rPr>
        <w:t>Cuanto genera cada comedor de excedente</w:t>
      </w:r>
      <w:r w:rsidRPr="006A0CC2">
        <w:rPr>
          <w:rFonts w:ascii="Palatino Linotype" w:eastAsia="Palatino Linotype" w:hAnsi="Palatino Linotype" w:cs="Palatino Linotype"/>
          <w:i/>
        </w:rPr>
        <w:t xml:space="preserve"> ya que como se paga las comidas y desayunos y se tiene un presupuesto municipal por mes entonces </w:t>
      </w:r>
      <w:r w:rsidRPr="006A0CC2">
        <w:rPr>
          <w:rFonts w:ascii="Palatino Linotype" w:eastAsia="Palatino Linotype" w:hAnsi="Palatino Linotype" w:cs="Palatino Linotype"/>
          <w:b/>
          <w:i/>
        </w:rPr>
        <w:t>se empate presupuesto con ganancia</w:t>
      </w:r>
      <w:r w:rsidRPr="006A0CC2">
        <w:rPr>
          <w:rFonts w:ascii="Palatino Linotype" w:eastAsia="Palatino Linotype" w:hAnsi="Palatino Linotype" w:cs="Palatino Linotype"/>
          <w:i/>
        </w:rPr>
        <w:t>;…”</w:t>
      </w:r>
      <w:r w:rsidRPr="006A0CC2">
        <w:rPr>
          <w:rFonts w:ascii="Palatino Linotype" w:eastAsia="Palatino Linotype" w:hAnsi="Palatino Linotype" w:cs="Palatino Linotype"/>
        </w:rPr>
        <w:t xml:space="preserve"> los Sujetos Obligados únicamente tiene la obligación de proporcionar la información pública que obren en su poder como así lo establece el artículo 12 de la Ley de Transparencia y Acceso a la Información Pública del Estado de México y Municipios; toda vez que, </w:t>
      </w:r>
      <w:r w:rsidRPr="006A0CC2">
        <w:rPr>
          <w:rFonts w:ascii="Palatino Linotype" w:eastAsia="Palatino Linotype" w:hAnsi="Palatino Linotype" w:cs="Palatino Linotype"/>
          <w:u w:val="single"/>
        </w:rPr>
        <w:t>no tienen el deber de generar, poseer o administrar la información pública con el grado de detalle solicitado</w:t>
      </w:r>
      <w:r w:rsidRPr="006A0CC2">
        <w:rPr>
          <w:rFonts w:ascii="Palatino Linotype" w:eastAsia="Palatino Linotype" w:hAnsi="Palatino Linotype" w:cs="Palatino Linotype"/>
        </w:rPr>
        <w:t xml:space="preserve">; esto es, que no tienen el deber de generar un documento </w:t>
      </w:r>
      <w:r w:rsidRPr="006A0CC2">
        <w:rPr>
          <w:rFonts w:ascii="Palatino Linotype" w:eastAsia="Palatino Linotype" w:hAnsi="Palatino Linotype" w:cs="Palatino Linotype"/>
          <w:i/>
        </w:rPr>
        <w:t>ad hoc</w:t>
      </w:r>
      <w:r w:rsidRPr="006A0CC2">
        <w:rPr>
          <w:rFonts w:ascii="Palatino Linotype" w:eastAsia="Palatino Linotype" w:hAnsi="Palatino Linotype" w:cs="Palatino Linotype"/>
        </w:rPr>
        <w:t xml:space="preserve">, para satisfacer el derecho de acceso a la información pública, por lo que no está obligado a realizar el empate de presupuesto con los gastos que solicitó la parte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 xml:space="preserve">. </w:t>
      </w:r>
    </w:p>
    <w:p w14:paraId="1018AA19" w14:textId="77777777" w:rsidR="00260C20" w:rsidRPr="006A0CC2" w:rsidRDefault="00260C20">
      <w:pPr>
        <w:spacing w:after="0" w:line="360" w:lineRule="auto"/>
        <w:jc w:val="both"/>
        <w:rPr>
          <w:rFonts w:ascii="Palatino Linotype" w:eastAsia="Palatino Linotype" w:hAnsi="Palatino Linotype" w:cs="Palatino Linotype"/>
        </w:rPr>
      </w:pPr>
    </w:p>
    <w:p w14:paraId="1D423696"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Sin embargo, respecto a los comprobantes de los gastos erogados, este Organismo Garante advierte que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a través del Consejo Comunitario se encarga de realizar un </w:t>
      </w:r>
      <w:r w:rsidRPr="006A0CC2">
        <w:rPr>
          <w:rFonts w:ascii="Palatino Linotype" w:eastAsia="Palatino Linotype" w:hAnsi="Palatino Linotype" w:cs="Palatino Linotype"/>
          <w:u w:val="single"/>
        </w:rPr>
        <w:lastRenderedPageBreak/>
        <w:t>informe mensual</w:t>
      </w:r>
      <w:r w:rsidRPr="006A0CC2">
        <w:rPr>
          <w:rFonts w:ascii="Palatino Linotype" w:eastAsia="Palatino Linotype" w:hAnsi="Palatino Linotype" w:cs="Palatino Linotype"/>
        </w:rPr>
        <w:t xml:space="preserve">, mediante el cual se hace constar </w:t>
      </w:r>
      <w:r w:rsidRPr="006A0CC2">
        <w:rPr>
          <w:rFonts w:ascii="Palatino Linotype" w:eastAsia="Palatino Linotype" w:hAnsi="Palatino Linotype" w:cs="Palatino Linotype"/>
          <w:u w:val="single"/>
        </w:rPr>
        <w:t>los fondos ingresados y gastos erogados</w:t>
      </w:r>
      <w:r w:rsidRPr="006A0CC2">
        <w:rPr>
          <w:rFonts w:ascii="Palatino Linotype" w:eastAsia="Palatino Linotype" w:hAnsi="Palatino Linotype" w:cs="Palatino Linotype"/>
        </w:rPr>
        <w:t xml:space="preserve"> por mes de los comedores comunitarios; así como de llevar el libro o documentos de registro del comedor comunitario, a través del Secretario General; por lo que, si genera, posee y administra dicha información; no obstante, el Sujeto Obligado fue omiso en hacer entrega del documento que dé cuenta de los gastos erogados de los ingresos obtenidos de las cuotas de recuperación; al únicamente señalar que se genera una cuota de recuperación, la cual es mínima para sumar al buen desarrollo de cada comedor comunitario.</w:t>
      </w:r>
    </w:p>
    <w:p w14:paraId="1034CBA2" w14:textId="77777777" w:rsidR="00260C20" w:rsidRPr="006A0CC2" w:rsidRDefault="00260C20">
      <w:pPr>
        <w:spacing w:after="0" w:line="360" w:lineRule="auto"/>
        <w:jc w:val="both"/>
        <w:rPr>
          <w:rFonts w:ascii="Palatino Linotype" w:eastAsia="Palatino Linotype" w:hAnsi="Palatino Linotype" w:cs="Palatino Linotype"/>
        </w:rPr>
      </w:pPr>
    </w:p>
    <w:p w14:paraId="5474CB59"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Por lo que, conviene traer a colación, el artículo 5.3 de las Reglas de operación del Programa Social, el cual señala que la cuota de recuperación es aquella cantidad monetaria previamente establecida por el Comité Técnico Especializado, la cual servirá para solventar los gastos que se generen en la operatividad del comedor o la adquisición de productos alimenticios que complementen la elaboración de las raciones alimenticias conforme a los menús del comedor. </w:t>
      </w:r>
    </w:p>
    <w:p w14:paraId="1FA9EE16" w14:textId="77777777" w:rsidR="00260C20" w:rsidRPr="006A0CC2" w:rsidRDefault="00260C20">
      <w:pPr>
        <w:spacing w:after="0" w:line="360" w:lineRule="auto"/>
        <w:jc w:val="both"/>
        <w:rPr>
          <w:rFonts w:ascii="Palatino Linotype" w:eastAsia="Palatino Linotype" w:hAnsi="Palatino Linotype" w:cs="Palatino Linotype"/>
        </w:rPr>
      </w:pPr>
    </w:p>
    <w:p w14:paraId="551F8E91"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Asimismo, señala que la recepción de la cuota de recuperación será realizada por el Consejo Comunitario Directivo, a través de la Coordinadora General al interior de las instalaciones de cada comedor comunitario y será quien administre su aplicación para sufragar los gastos internos que el comedor genere derivado de su operatividad, tal y como la compra de producto perecederos, gas, artículos de limpieza y en general todo aquello que se deba implementar para seguir otorgando un servicio de calidad y con esmero a cada uno de las y los beneficiarios. </w:t>
      </w:r>
    </w:p>
    <w:p w14:paraId="36AD42F1" w14:textId="77777777" w:rsidR="00260C20" w:rsidRPr="006A0CC2" w:rsidRDefault="00260C20">
      <w:pPr>
        <w:spacing w:after="0" w:line="360" w:lineRule="auto"/>
        <w:jc w:val="both"/>
        <w:rPr>
          <w:rFonts w:ascii="Palatino Linotype" w:eastAsia="Palatino Linotype" w:hAnsi="Palatino Linotype" w:cs="Palatino Linotype"/>
        </w:rPr>
      </w:pPr>
    </w:p>
    <w:p w14:paraId="2FEDF177"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Es por lo expuesto anteriormente, que este Instituto considera que el documento que de manera enunciativa más no limitativa puede atender el requerimiento del particular, son los comprobantes de dichas compras, por ello, es importante traer a colación el Criterio </w:t>
      </w:r>
      <w:r w:rsidRPr="006A0CC2">
        <w:rPr>
          <w:rFonts w:ascii="Palatino Linotype" w:eastAsia="Palatino Linotype" w:hAnsi="Palatino Linotype" w:cs="Palatino Linotype"/>
        </w:rPr>
        <w:lastRenderedPageBreak/>
        <w:t xml:space="preserve">02/2017 emitido por el Instituto Nacional de Transparencia, Acceso a la Información y Protección de Datos Personales, que establece: </w:t>
      </w:r>
    </w:p>
    <w:p w14:paraId="56553ADF" w14:textId="77777777" w:rsidR="00260C20" w:rsidRPr="006A0CC2" w:rsidRDefault="00260C20">
      <w:pPr>
        <w:pBdr>
          <w:top w:val="nil"/>
          <w:left w:val="nil"/>
          <w:bottom w:val="nil"/>
          <w:right w:val="nil"/>
          <w:between w:val="nil"/>
        </w:pBdr>
        <w:spacing w:line="360" w:lineRule="auto"/>
        <w:jc w:val="both"/>
        <w:rPr>
          <w:rFonts w:ascii="Palatino Linotype" w:eastAsia="Palatino Linotype" w:hAnsi="Palatino Linotype" w:cs="Palatino Linotype"/>
        </w:rPr>
      </w:pPr>
    </w:p>
    <w:p w14:paraId="1EC05248" w14:textId="77777777" w:rsidR="00260C20" w:rsidRPr="006A0CC2" w:rsidRDefault="001A60FA">
      <w:pPr>
        <w:ind w:left="851" w:right="567"/>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r w:rsidRPr="006A0CC2">
        <w:rPr>
          <w:rFonts w:ascii="Palatino Linotype" w:eastAsia="Palatino Linotype" w:hAnsi="Palatino Linotype" w:cs="Palatino Linotype"/>
          <w:b/>
          <w:i/>
        </w:rPr>
        <w:t xml:space="preserve">Congruencia y exhaustividad. Sus alcances para garantizar el derecho de acceso a la información. </w:t>
      </w:r>
      <w:r w:rsidRPr="006A0CC2">
        <w:rPr>
          <w:rFonts w:ascii="Palatino Linotype" w:eastAsia="Palatino Linotype" w:hAnsi="Palatino Linotype" w:cs="Palatino Linotype"/>
          <w:i/>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32162C1" w14:textId="77777777" w:rsidR="00260C20" w:rsidRPr="006A0CC2" w:rsidRDefault="00260C20">
      <w:pPr>
        <w:ind w:left="567" w:right="567"/>
        <w:jc w:val="both"/>
        <w:rPr>
          <w:rFonts w:ascii="Palatino Linotype" w:eastAsia="Palatino Linotype" w:hAnsi="Palatino Linotype" w:cs="Palatino Linotype"/>
          <w:i/>
        </w:rPr>
      </w:pPr>
    </w:p>
    <w:p w14:paraId="42D674B5" w14:textId="77777777" w:rsidR="00260C20" w:rsidRPr="006A0CC2" w:rsidRDefault="001A60FA">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la exhaustividad establece que el sujeto obligado </w:t>
      </w:r>
      <w:r w:rsidRPr="006A0CC2">
        <w:rPr>
          <w:rFonts w:ascii="Palatino Linotype" w:eastAsia="Palatino Linotype" w:hAnsi="Palatino Linotype" w:cs="Palatino Linotype"/>
          <w:b/>
          <w:u w:val="single"/>
        </w:rPr>
        <w:t>deberá atender de manera expresa cada uno de los puntos solicitados</w:t>
      </w:r>
      <w:r w:rsidRPr="006A0CC2">
        <w:rPr>
          <w:rFonts w:ascii="Palatino Linotype" w:eastAsia="Palatino Linotype" w:hAnsi="Palatino Linotype" w:cs="Palatino Linotype"/>
        </w:rPr>
        <w:t xml:space="preserve">, situación que en el presente caso </w:t>
      </w:r>
      <w:r w:rsidRPr="006A0CC2">
        <w:rPr>
          <w:rFonts w:ascii="Palatino Linotype" w:eastAsia="Palatino Linotype" w:hAnsi="Palatino Linotype" w:cs="Palatino Linotype"/>
          <w:b/>
          <w:u w:val="single"/>
        </w:rPr>
        <w:t>no aconteció</w:t>
      </w:r>
      <w:r w:rsidRPr="006A0CC2">
        <w:rPr>
          <w:rFonts w:ascii="Palatino Linotype" w:eastAsia="Palatino Linotype" w:hAnsi="Palatino Linotype" w:cs="Palatino Linotype"/>
        </w:rPr>
        <w:t xml:space="preserve">, pues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no se pronunció y tampoco proporcionó los documentos que den cuenta de los gastos erogados de los ingresos obtenidos de las cuotas de recuperación de los comedores comunitarios. </w:t>
      </w:r>
    </w:p>
    <w:p w14:paraId="3848217D" w14:textId="77777777" w:rsidR="00260C20" w:rsidRPr="006A0CC2" w:rsidRDefault="001A60FA">
      <w:pPr>
        <w:pBdr>
          <w:top w:val="nil"/>
          <w:left w:val="nil"/>
          <w:bottom w:val="nil"/>
          <w:right w:val="nil"/>
          <w:between w:val="nil"/>
        </w:pBd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Es por lo que, se determina ordenar al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realizar una nueva búsqueda exhaustiva y razonable, con la finalidad de que proporcione, de ser el caso, en versión pública, los documentos que den cuenta de los gastos erogados de los ingresos obtenidos </w:t>
      </w:r>
      <w:r w:rsidRPr="006A0CC2">
        <w:rPr>
          <w:rFonts w:ascii="Palatino Linotype" w:eastAsia="Palatino Linotype" w:hAnsi="Palatino Linotype" w:cs="Palatino Linotype"/>
        </w:rPr>
        <w:lastRenderedPageBreak/>
        <w:t xml:space="preserve">de las cuotas de recuperación de los comedores comunitarios, del veinticinco de octubre de dos mil veintitrés al veinticinco de octubre de dos mil veinticuatro. </w:t>
      </w:r>
    </w:p>
    <w:p w14:paraId="42399B2A"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Quinto. Versión Pública. </w:t>
      </w:r>
      <w:r w:rsidRPr="006A0CC2">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 xml:space="preserve"> sin menoscabar el derecho a la protección de los datos personales de terceros.</w:t>
      </w:r>
    </w:p>
    <w:p w14:paraId="37028388" w14:textId="77777777" w:rsidR="00260C20" w:rsidRPr="006A0CC2" w:rsidRDefault="001A60FA">
      <w:pPr>
        <w:spacing w:before="240" w:after="240" w:line="360" w:lineRule="auto"/>
        <w:ind w:right="50"/>
        <w:jc w:val="both"/>
        <w:rPr>
          <w:rFonts w:ascii="Palatino Linotype" w:eastAsia="Palatino Linotype" w:hAnsi="Palatino Linotype" w:cs="Palatino Linotype"/>
        </w:rPr>
      </w:pPr>
      <w:r w:rsidRPr="006A0CC2">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767CDA1C" w14:textId="77777777" w:rsidR="00260C20" w:rsidRPr="006A0CC2" w:rsidRDefault="001A60FA">
      <w:pPr>
        <w:spacing w:after="0" w:line="276" w:lineRule="auto"/>
        <w:ind w:left="851" w:right="616"/>
        <w:jc w:val="both"/>
        <w:rPr>
          <w:rFonts w:ascii="Palatino Linotype" w:eastAsia="Palatino Linotype" w:hAnsi="Palatino Linotype" w:cs="Palatino Linotype"/>
          <w:b/>
          <w:i/>
        </w:rPr>
      </w:pPr>
      <w:r w:rsidRPr="006A0CC2">
        <w:rPr>
          <w:rFonts w:ascii="Palatino Linotype" w:eastAsia="Palatino Linotype" w:hAnsi="Palatino Linotype" w:cs="Palatino Linotype"/>
          <w:b/>
          <w:i/>
        </w:rPr>
        <w:t xml:space="preserve"> “Artículo 3. Para los efectos de la presente Ley se entenderá por:</w:t>
      </w:r>
    </w:p>
    <w:p w14:paraId="2EC85EFB"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IX. Datos personales:</w:t>
      </w:r>
      <w:r w:rsidRPr="006A0CC2">
        <w:rPr>
          <w:rFonts w:ascii="Palatino Linotype" w:eastAsia="Palatino Linotype" w:hAnsi="Palatino Linotype" w:cs="Palatino Linotype"/>
          <w:i/>
        </w:rPr>
        <w:t xml:space="preserve"> </w:t>
      </w:r>
      <w:r w:rsidRPr="006A0CC2">
        <w:rPr>
          <w:rFonts w:ascii="Palatino Linotype" w:eastAsia="Palatino Linotype" w:hAnsi="Palatino Linotype" w:cs="Palatino Linotype"/>
          <w:b/>
          <w:i/>
        </w:rPr>
        <w:t>La información concerniente a una persona, identificada o identificable</w:t>
      </w:r>
      <w:r w:rsidRPr="006A0CC2">
        <w:rPr>
          <w:rFonts w:ascii="Palatino Linotype" w:eastAsia="Palatino Linotype" w:hAnsi="Palatino Linotype" w:cs="Palatino Linotype"/>
          <w:i/>
        </w:rPr>
        <w:t xml:space="preserve"> según lo dispuesto por la Ley de Protección de Datos Personales del Estado de México;</w:t>
      </w:r>
    </w:p>
    <w:p w14:paraId="57F091EF"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XX. Información clasificada:</w:t>
      </w:r>
      <w:r w:rsidRPr="006A0CC2">
        <w:rPr>
          <w:rFonts w:ascii="Palatino Linotype" w:eastAsia="Palatino Linotype" w:hAnsi="Palatino Linotype" w:cs="Palatino Linotype"/>
          <w:i/>
        </w:rPr>
        <w:t xml:space="preserve"> Aquella considerada por la presente Ley como reservada o confidencial;</w:t>
      </w:r>
    </w:p>
    <w:p w14:paraId="431B53FE"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XXXII. Protección de Datos Personales:</w:t>
      </w:r>
      <w:r w:rsidRPr="006A0CC2">
        <w:rPr>
          <w:rFonts w:ascii="Palatino Linotype" w:eastAsia="Palatino Linotype" w:hAnsi="Palatino Linotype" w:cs="Palatino Linotype"/>
          <w:i/>
        </w:rPr>
        <w:t xml:space="preserve"> Derecho humano que tutela la privacidad de datos personales en poder de los sujetos obligados y sujetos particulares;</w:t>
      </w:r>
    </w:p>
    <w:p w14:paraId="0A720CC5"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XLV. Versión pública</w:t>
      </w:r>
      <w:r w:rsidRPr="006A0CC2">
        <w:rPr>
          <w:rFonts w:ascii="Palatino Linotype" w:eastAsia="Palatino Linotype" w:hAnsi="Palatino Linotype" w:cs="Palatino Linotype"/>
          <w:i/>
        </w:rPr>
        <w:t>: Documento en el que se elimine, suprime o borra la información clasificada como reservada o confidencial para permitir su acceso.”</w:t>
      </w:r>
    </w:p>
    <w:p w14:paraId="54609EB5" w14:textId="77777777" w:rsidR="00260C20" w:rsidRPr="006A0CC2" w:rsidRDefault="00260C20">
      <w:pPr>
        <w:spacing w:after="0" w:line="276" w:lineRule="auto"/>
        <w:ind w:left="851" w:right="616"/>
        <w:jc w:val="both"/>
        <w:rPr>
          <w:rFonts w:ascii="Palatino Linotype" w:eastAsia="Palatino Linotype" w:hAnsi="Palatino Linotype" w:cs="Palatino Linotype"/>
          <w:i/>
        </w:rPr>
      </w:pPr>
    </w:p>
    <w:p w14:paraId="19B567FD"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“Artículo 6.</w:t>
      </w:r>
      <w:r w:rsidRPr="006A0CC2">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w:t>
      </w:r>
      <w:r w:rsidRPr="006A0CC2">
        <w:rPr>
          <w:rFonts w:ascii="Palatino Linotype" w:eastAsia="Palatino Linotype" w:hAnsi="Palatino Linotype" w:cs="Palatino Linotype"/>
          <w:i/>
        </w:rPr>
        <w:lastRenderedPageBreak/>
        <w:t>rectificación, cancelación u oposición; los principios, procedimientos, medidas de seguridad en el tratamiento y demás disposiciones en materia de datos personales, se deberá estar a lo dispuesto en las leyes de la materia.”</w:t>
      </w:r>
    </w:p>
    <w:p w14:paraId="5F630D68" w14:textId="77777777" w:rsidR="00260C20" w:rsidRPr="006A0CC2" w:rsidRDefault="00260C20">
      <w:pPr>
        <w:spacing w:after="0" w:line="276" w:lineRule="auto"/>
        <w:ind w:left="851" w:right="616"/>
        <w:jc w:val="both"/>
        <w:rPr>
          <w:rFonts w:ascii="Palatino Linotype" w:eastAsia="Palatino Linotype" w:hAnsi="Palatino Linotype" w:cs="Palatino Linotype"/>
          <w:i/>
        </w:rPr>
      </w:pPr>
    </w:p>
    <w:p w14:paraId="760626F8" w14:textId="77777777" w:rsidR="00260C20" w:rsidRPr="006A0CC2" w:rsidRDefault="001A60FA">
      <w:pPr>
        <w:spacing w:after="0" w:line="276" w:lineRule="auto"/>
        <w:ind w:left="851" w:right="616"/>
        <w:jc w:val="both"/>
        <w:rPr>
          <w:rFonts w:ascii="Palatino Linotype" w:eastAsia="Palatino Linotype" w:hAnsi="Palatino Linotype" w:cs="Palatino Linotype"/>
          <w:b/>
          <w:i/>
        </w:rPr>
      </w:pPr>
      <w:r w:rsidRPr="006A0CC2">
        <w:rPr>
          <w:rFonts w:ascii="Palatino Linotype" w:eastAsia="Palatino Linotype" w:hAnsi="Palatino Linotype" w:cs="Palatino Linotype"/>
          <w:b/>
          <w:i/>
        </w:rPr>
        <w:t>“Artículo 137.</w:t>
      </w:r>
      <w:r w:rsidRPr="006A0CC2">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511F047" w14:textId="77777777" w:rsidR="00260C20" w:rsidRPr="006A0CC2" w:rsidRDefault="00260C20">
      <w:pPr>
        <w:spacing w:after="0" w:line="276" w:lineRule="auto"/>
        <w:ind w:left="851" w:right="616"/>
        <w:jc w:val="both"/>
        <w:rPr>
          <w:rFonts w:ascii="Palatino Linotype" w:eastAsia="Palatino Linotype" w:hAnsi="Palatino Linotype" w:cs="Palatino Linotype"/>
          <w:b/>
          <w:i/>
        </w:rPr>
      </w:pPr>
    </w:p>
    <w:p w14:paraId="7C3BBB1E"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“Artículo 143</w:t>
      </w:r>
      <w:r w:rsidRPr="006A0CC2">
        <w:rPr>
          <w:rFonts w:ascii="Palatino Linotype" w:eastAsia="Palatino Linotype" w:hAnsi="Palatino Linotype" w:cs="Palatino Linotype"/>
          <w:i/>
        </w:rPr>
        <w:t>. Para los efectos de esta Ley se considera información confidencial, la clasificada como tal, de manera permanente, por su naturaleza, cuando:</w:t>
      </w:r>
    </w:p>
    <w:p w14:paraId="1A865A3F"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I.</w:t>
      </w:r>
      <w:r w:rsidRPr="006A0CC2">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2F40EF8A"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69325400"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4ACD8028" w14:textId="77777777" w:rsidR="00260C20" w:rsidRPr="006A0CC2" w:rsidRDefault="00260C20">
      <w:pPr>
        <w:ind w:left="993" w:right="1041"/>
        <w:jc w:val="both"/>
        <w:rPr>
          <w:rFonts w:ascii="Palatino Linotype" w:eastAsia="Palatino Linotype" w:hAnsi="Palatino Linotype" w:cs="Palatino Linotype"/>
          <w:i/>
        </w:rPr>
      </w:pPr>
    </w:p>
    <w:p w14:paraId="48BA578C" w14:textId="77777777" w:rsidR="00260C20" w:rsidRPr="006A0CC2" w:rsidRDefault="001A60FA">
      <w:pPr>
        <w:spacing w:line="360" w:lineRule="auto"/>
        <w:ind w:right="51"/>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para satisfacer el derecho de acceso a la información pública de la parte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w:t>
      </w:r>
      <w:r w:rsidRPr="006A0CC2">
        <w:rPr>
          <w:rFonts w:ascii="Palatino Linotype" w:eastAsia="Palatino Linotype" w:hAnsi="Palatino Linotype" w:cs="Palatino Linotype"/>
        </w:rPr>
        <w:lastRenderedPageBreak/>
        <w:t>XII del artículo 4 de la Ley de Protección de Datos Personales en Posesión de Sujetos Obligados del Estado de México.</w:t>
      </w:r>
    </w:p>
    <w:p w14:paraId="2FBD679C" w14:textId="77777777" w:rsidR="00260C20" w:rsidRPr="006A0CC2" w:rsidRDefault="001A60FA">
      <w:pPr>
        <w:spacing w:line="360" w:lineRule="auto"/>
        <w:ind w:right="50"/>
        <w:jc w:val="both"/>
        <w:rPr>
          <w:rFonts w:ascii="Palatino Linotype" w:eastAsia="Palatino Linotype" w:hAnsi="Palatino Linotype" w:cs="Palatino Linotype"/>
        </w:rPr>
      </w:pPr>
      <w:r w:rsidRPr="006A0CC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03C85AB" w14:textId="77777777" w:rsidR="00260C20" w:rsidRPr="006A0CC2" w:rsidRDefault="001A60FA">
      <w:pPr>
        <w:spacing w:line="360" w:lineRule="auto"/>
        <w:ind w:right="51"/>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6A0CC2">
        <w:rPr>
          <w:rFonts w:ascii="Palatino Linotype" w:eastAsia="Palatino Linotype" w:hAnsi="Palatino Linotype" w:cs="Palatino Linotype"/>
        </w:rPr>
        <w:t>Responsable</w:t>
      </w:r>
      <w:proofErr w:type="gramEnd"/>
      <w:r w:rsidRPr="006A0CC2">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CE0BB39" w14:textId="77777777" w:rsidR="00260C20" w:rsidRPr="006A0CC2" w:rsidRDefault="00260C20">
      <w:pPr>
        <w:spacing w:line="360" w:lineRule="auto"/>
        <w:ind w:right="51"/>
        <w:jc w:val="both"/>
        <w:rPr>
          <w:rFonts w:ascii="Palatino Linotype" w:eastAsia="Palatino Linotype" w:hAnsi="Palatino Linotype" w:cs="Palatino Linotype"/>
        </w:rPr>
      </w:pPr>
    </w:p>
    <w:p w14:paraId="547B6C32"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“Artículo 49.</w:t>
      </w:r>
      <w:r w:rsidRPr="006A0CC2">
        <w:rPr>
          <w:rFonts w:ascii="Palatino Linotype" w:eastAsia="Palatino Linotype" w:hAnsi="Palatino Linotype" w:cs="Palatino Linotype"/>
          <w:i/>
        </w:rPr>
        <w:t xml:space="preserve"> Los Comités de Transparencia tendrán las siguientes atribuciones:</w:t>
      </w:r>
    </w:p>
    <w:p w14:paraId="1DF2A8FC"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VIII. Aprobar, modificar o revocar la clasificación de la información…”</w:t>
      </w:r>
    </w:p>
    <w:p w14:paraId="014997D4"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r w:rsidRPr="006A0CC2">
        <w:rPr>
          <w:rFonts w:ascii="Palatino Linotype" w:eastAsia="Palatino Linotype" w:hAnsi="Palatino Linotype" w:cs="Palatino Linotype"/>
          <w:b/>
          <w:i/>
        </w:rPr>
        <w:t>Artículo 53.</w:t>
      </w:r>
      <w:r w:rsidRPr="006A0CC2">
        <w:rPr>
          <w:rFonts w:ascii="Palatino Linotype" w:eastAsia="Palatino Linotype" w:hAnsi="Palatino Linotype" w:cs="Palatino Linotype"/>
          <w:i/>
        </w:rPr>
        <w:t xml:space="preserve"> Las Unidades de Transparencia tendrán las siguientes funciones:</w:t>
      </w:r>
    </w:p>
    <w:p w14:paraId="7F52500B"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X. Presentar ante el Comité, el proyecto de clasificación de información…” </w:t>
      </w:r>
    </w:p>
    <w:p w14:paraId="13D5A066"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“Artículo 59.</w:t>
      </w:r>
      <w:r w:rsidRPr="006A0CC2">
        <w:rPr>
          <w:rFonts w:ascii="Palatino Linotype" w:eastAsia="Palatino Linotype" w:hAnsi="Palatino Linotype" w:cs="Palatino Linotype"/>
          <w:i/>
        </w:rPr>
        <w:t xml:space="preserve"> Los servidores públicos habilitados tendrán las funciones siguientes:</w:t>
      </w:r>
    </w:p>
    <w:p w14:paraId="05772560"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roofErr w:type="gramStart"/>
      <w:r w:rsidRPr="006A0CC2">
        <w:rPr>
          <w:rFonts w:ascii="Palatino Linotype" w:eastAsia="Palatino Linotype" w:hAnsi="Palatino Linotype" w:cs="Palatino Linotype"/>
          <w:i/>
        </w:rPr>
        <w:t>…”(</w:t>
      </w:r>
      <w:proofErr w:type="gramEnd"/>
      <w:r w:rsidRPr="006A0CC2">
        <w:rPr>
          <w:rFonts w:ascii="Palatino Linotype" w:eastAsia="Palatino Linotype" w:hAnsi="Palatino Linotype" w:cs="Palatino Linotype"/>
          <w:i/>
        </w:rPr>
        <w:t>Sic)</w:t>
      </w:r>
    </w:p>
    <w:p w14:paraId="46E18FD1" w14:textId="77777777" w:rsidR="00260C20" w:rsidRPr="006A0CC2" w:rsidRDefault="00260C20">
      <w:pPr>
        <w:ind w:left="992" w:right="1043"/>
        <w:jc w:val="both"/>
        <w:rPr>
          <w:rFonts w:ascii="Palatino Linotype" w:eastAsia="Palatino Linotype" w:hAnsi="Palatino Linotype" w:cs="Palatino Linotype"/>
          <w:i/>
        </w:rPr>
      </w:pPr>
    </w:p>
    <w:p w14:paraId="56572AC1"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w:t>
      </w:r>
      <w:r w:rsidRPr="006A0CC2">
        <w:rPr>
          <w:rFonts w:ascii="Palatino Linotype" w:eastAsia="Palatino Linotype" w:hAnsi="Palatino Linotype" w:cs="Palatino Linotype"/>
        </w:rPr>
        <w:lastRenderedPageBreak/>
        <w:t>finalmente sea éste último quien apruebe, modifique o revoque la clasificación de la información solicitada.</w:t>
      </w:r>
    </w:p>
    <w:p w14:paraId="6910022E"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6309746" w14:textId="77777777" w:rsidR="00260C20" w:rsidRPr="006A0CC2" w:rsidRDefault="001A60FA">
      <w:pP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r w:rsidRPr="006A0CC2">
        <w:rPr>
          <w:rFonts w:ascii="Palatino Linotype" w:eastAsia="Palatino Linotype" w:hAnsi="Palatino Linotype" w:cs="Palatino Linotype"/>
          <w:b/>
          <w:i/>
        </w:rPr>
        <w:t>Artículo 149.</w:t>
      </w:r>
      <w:r w:rsidRPr="006A0CC2">
        <w:rPr>
          <w:rFonts w:ascii="Palatino Linotype" w:eastAsia="Palatino Linotype" w:hAnsi="Palatino Linotype" w:cs="Palatino Linotype"/>
          <w:i/>
        </w:rPr>
        <w:t xml:space="preserve"> El </w:t>
      </w:r>
      <w:r w:rsidRPr="006A0CC2">
        <w:rPr>
          <w:rFonts w:ascii="Palatino Linotype" w:eastAsia="Palatino Linotype" w:hAnsi="Palatino Linotype" w:cs="Palatino Linotype"/>
          <w:b/>
          <w:i/>
        </w:rPr>
        <w:t>acuerdo que clasifique la información como confidencial</w:t>
      </w:r>
      <w:r w:rsidRPr="006A0CC2">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6A0CC2">
        <w:rPr>
          <w:rFonts w:ascii="Palatino Linotype" w:eastAsia="Palatino Linotype" w:hAnsi="Palatino Linotype" w:cs="Palatino Linotype"/>
          <w:i/>
        </w:rPr>
        <w:t>.”(</w:t>
      </w:r>
      <w:proofErr w:type="gramEnd"/>
      <w:r w:rsidRPr="006A0CC2">
        <w:rPr>
          <w:rFonts w:ascii="Palatino Linotype" w:eastAsia="Palatino Linotype" w:hAnsi="Palatino Linotype" w:cs="Palatino Linotype"/>
          <w:i/>
        </w:rPr>
        <w:t>Sic)</w:t>
      </w:r>
    </w:p>
    <w:p w14:paraId="312815DF" w14:textId="77777777" w:rsidR="00260C20" w:rsidRPr="006A0CC2" w:rsidRDefault="00260C20">
      <w:pPr>
        <w:spacing w:after="0" w:line="276" w:lineRule="auto"/>
        <w:ind w:left="851" w:right="616"/>
        <w:jc w:val="both"/>
        <w:rPr>
          <w:rFonts w:ascii="Palatino Linotype" w:eastAsia="Palatino Linotype" w:hAnsi="Palatino Linotype" w:cs="Palatino Linotype"/>
          <w:i/>
        </w:rPr>
      </w:pPr>
    </w:p>
    <w:p w14:paraId="69DBE3C0" w14:textId="77777777" w:rsidR="00260C20" w:rsidRPr="006A0CC2" w:rsidRDefault="001A60FA">
      <w:pPr>
        <w:spacing w:line="360" w:lineRule="auto"/>
        <w:ind w:right="51"/>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Es decir,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3BD317D"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Al respecto, se destaca que la versión pública que elabore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A0CC2">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6A0CC2">
        <w:rPr>
          <w:rFonts w:ascii="Palatino Linotype" w:eastAsia="Palatino Linotype" w:hAnsi="Palatino Linotype" w:cs="Palatino Linotype"/>
        </w:rPr>
        <w:t xml:space="preserve">, publicados en el Diario Oficial de la Federación en fecha dieciocho de noviembre del año dos mil veintidós, mediante Acuerdo </w:t>
      </w:r>
      <w:r w:rsidRPr="006A0CC2">
        <w:rPr>
          <w:rFonts w:ascii="Palatino Linotype" w:eastAsia="Palatino Linotype" w:hAnsi="Palatino Linotype" w:cs="Palatino Linotype"/>
        </w:rPr>
        <w:lastRenderedPageBreak/>
        <w:t>del Consejo Nacional del Sistema Nacional de Transparencia, Acceso a la Información Pública y Protección de Datos Personales, que literalmente expresan:</w:t>
      </w:r>
    </w:p>
    <w:p w14:paraId="7C206219" w14:textId="77777777" w:rsidR="00260C20" w:rsidRPr="006A0CC2" w:rsidRDefault="00260C20">
      <w:pPr>
        <w:ind w:left="709" w:right="709"/>
        <w:jc w:val="both"/>
        <w:rPr>
          <w:rFonts w:ascii="Palatino Linotype" w:eastAsia="Palatino Linotype" w:hAnsi="Palatino Linotype" w:cs="Palatino Linotype"/>
          <w:b/>
          <w:i/>
        </w:rPr>
      </w:pPr>
    </w:p>
    <w:p w14:paraId="0160432F"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“Lineamientos Generales en materia de Clasificación y Desclasificación de la Información, así como para la elaboración de Versiones Públicas</w:t>
      </w:r>
    </w:p>
    <w:p w14:paraId="64FE1D57"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i/>
        </w:rPr>
        <w:t>“</w:t>
      </w:r>
      <w:proofErr w:type="gramStart"/>
      <w:r w:rsidRPr="006A0CC2">
        <w:rPr>
          <w:rFonts w:ascii="Palatino Linotype" w:eastAsia="Palatino Linotype" w:hAnsi="Palatino Linotype" w:cs="Palatino Linotype"/>
          <w:b/>
          <w:i/>
        </w:rPr>
        <w:t>Segundo.-</w:t>
      </w:r>
      <w:proofErr w:type="gramEnd"/>
      <w:r w:rsidRPr="006A0CC2">
        <w:rPr>
          <w:rFonts w:ascii="Palatino Linotype" w:eastAsia="Palatino Linotype" w:hAnsi="Palatino Linotype" w:cs="Palatino Linotype"/>
          <w:i/>
        </w:rPr>
        <w:t xml:space="preserve"> Para efectos de los presentes Lineamientos Generales, se entenderá por:</w:t>
      </w:r>
    </w:p>
    <w:p w14:paraId="03B88673"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XVIII.</w:t>
      </w:r>
      <w:r w:rsidRPr="006A0CC2">
        <w:rPr>
          <w:rFonts w:ascii="Palatino Linotype" w:eastAsia="Palatino Linotype" w:hAnsi="Palatino Linotype" w:cs="Palatino Linotype"/>
          <w:i/>
        </w:rPr>
        <w:t xml:space="preserve"> </w:t>
      </w:r>
      <w:r w:rsidRPr="006A0CC2">
        <w:rPr>
          <w:rFonts w:ascii="Palatino Linotype" w:eastAsia="Palatino Linotype" w:hAnsi="Palatino Linotype" w:cs="Palatino Linotype"/>
          <w:b/>
          <w:i/>
        </w:rPr>
        <w:t>Versión pública:</w:t>
      </w:r>
      <w:r w:rsidRPr="006A0CC2">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6A0CC2">
        <w:rPr>
          <w:rFonts w:ascii="Palatino Linotype" w:eastAsia="Palatino Linotype" w:hAnsi="Palatino Linotype" w:cs="Palatino Linotype"/>
          <w:b/>
          <w:i/>
          <w:u w:val="single"/>
        </w:rPr>
        <w:t>fundando y motivando la</w:t>
      </w:r>
      <w:r w:rsidRPr="006A0CC2">
        <w:rPr>
          <w:rFonts w:ascii="Palatino Linotype" w:eastAsia="Palatino Linotype" w:hAnsi="Palatino Linotype" w:cs="Palatino Linotype"/>
          <w:i/>
        </w:rPr>
        <w:t xml:space="preserve"> reserva o </w:t>
      </w:r>
      <w:r w:rsidRPr="006A0CC2">
        <w:rPr>
          <w:rFonts w:ascii="Palatino Linotype" w:eastAsia="Palatino Linotype" w:hAnsi="Palatino Linotype" w:cs="Palatino Linotype"/>
          <w:b/>
          <w:i/>
          <w:u w:val="single"/>
        </w:rPr>
        <w:t>confidencialidad</w:t>
      </w:r>
      <w:r w:rsidRPr="006A0CC2">
        <w:rPr>
          <w:rFonts w:ascii="Palatino Linotype" w:eastAsia="Palatino Linotype" w:hAnsi="Palatino Linotype" w:cs="Palatino Linotype"/>
          <w:i/>
        </w:rPr>
        <w:t>, a través de la resolución que para tal efecto emita el Comité de Transparencia.</w:t>
      </w:r>
    </w:p>
    <w:p w14:paraId="590AA1AC"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Cuarto.</w:t>
      </w:r>
      <w:r w:rsidRPr="006A0CC2">
        <w:rPr>
          <w:rFonts w:ascii="Palatino Linotype" w:eastAsia="Palatino Linotype" w:hAnsi="Palatino Linotype" w:cs="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E930A9"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17FC6976"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Quinto.</w:t>
      </w:r>
      <w:r w:rsidRPr="006A0CC2">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96691D5"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w:t>
      </w:r>
    </w:p>
    <w:p w14:paraId="7EF57A88"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Séptimo.</w:t>
      </w:r>
      <w:r w:rsidRPr="006A0CC2">
        <w:rPr>
          <w:rFonts w:ascii="Palatino Linotype" w:eastAsia="Palatino Linotype" w:hAnsi="Palatino Linotype" w:cs="Palatino Linotype"/>
          <w:i/>
        </w:rPr>
        <w:t xml:space="preserve"> La clasificación de la información se llevará a cabo en el momento en que:</w:t>
      </w:r>
    </w:p>
    <w:p w14:paraId="2A6AB1A9"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I.</w:t>
      </w:r>
      <w:r w:rsidRPr="006A0CC2">
        <w:rPr>
          <w:rFonts w:ascii="Palatino Linotype" w:eastAsia="Palatino Linotype" w:hAnsi="Palatino Linotype" w:cs="Palatino Linotype"/>
          <w:i/>
        </w:rPr>
        <w:t xml:space="preserve"> Se reciba una solicitud de acceso a la información;</w:t>
      </w:r>
    </w:p>
    <w:p w14:paraId="5A2E7CC8"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II.</w:t>
      </w:r>
      <w:r w:rsidRPr="006A0CC2">
        <w:rPr>
          <w:rFonts w:ascii="Palatino Linotype" w:eastAsia="Palatino Linotype" w:hAnsi="Palatino Linotype" w:cs="Palatino Linotype"/>
          <w:i/>
        </w:rPr>
        <w:t xml:space="preserve"> </w:t>
      </w:r>
      <w:proofErr w:type="gramStart"/>
      <w:r w:rsidRPr="006A0CC2">
        <w:rPr>
          <w:rFonts w:ascii="Palatino Linotype" w:eastAsia="Palatino Linotype" w:hAnsi="Palatino Linotype" w:cs="Palatino Linotype"/>
          <w:i/>
        </w:rPr>
        <w:t>Se  determine</w:t>
      </w:r>
      <w:proofErr w:type="gramEnd"/>
      <w:r w:rsidRPr="006A0CC2">
        <w:rPr>
          <w:rFonts w:ascii="Palatino Linotype" w:eastAsia="Palatino Linotype" w:hAnsi="Palatino Linotype" w:cs="Palatino Linotype"/>
          <w:i/>
        </w:rPr>
        <w:t xml:space="preserve"> mediante resolución del Comité de Transparencia, el órgano garante </w:t>
      </w:r>
    </w:p>
    <w:p w14:paraId="4475DD12"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i/>
        </w:rPr>
        <w:t>competente, o en cumplimiento a una sentencia del Poder Judicial; o</w:t>
      </w:r>
    </w:p>
    <w:p w14:paraId="78AEE243"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lastRenderedPageBreak/>
        <w:t>III.</w:t>
      </w:r>
      <w:r w:rsidRPr="006A0CC2">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682B25AA"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i/>
        </w:rPr>
        <w:t>Los titulares de las áreas deberán revisar la clasificación al momento de la recepción de una solicitud de acceso a la información, para verificar si encuadra en una causal de reserva o de confidencialidad.</w:t>
      </w:r>
    </w:p>
    <w:p w14:paraId="5A50D860"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Octavo.</w:t>
      </w:r>
      <w:r w:rsidRPr="006A0CC2">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A89D11C"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14:paraId="44281123"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026501E"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Noveno.</w:t>
      </w:r>
      <w:r w:rsidRPr="006A0CC2">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8DC7805"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b/>
          <w:i/>
        </w:rPr>
        <w:t>Décimo.</w:t>
      </w:r>
      <w:r w:rsidRPr="006A0CC2">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CF551F2"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1A55B3F7"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Décimo primero.</w:t>
      </w:r>
      <w:r w:rsidRPr="006A0CC2">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4E5D8BB"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i/>
        </w:rPr>
        <w:lastRenderedPageBreak/>
        <w:t>[…]</w:t>
      </w:r>
    </w:p>
    <w:p w14:paraId="60B85B25" w14:textId="77777777" w:rsidR="00260C20" w:rsidRPr="006A0CC2" w:rsidRDefault="001A60FA">
      <w:pPr>
        <w:pBdr>
          <w:top w:val="nil"/>
          <w:left w:val="nil"/>
          <w:bottom w:val="nil"/>
          <w:right w:val="nil"/>
          <w:between w:val="nil"/>
        </w:pBdr>
        <w:spacing w:after="0" w:line="276" w:lineRule="auto"/>
        <w:ind w:left="851" w:right="616"/>
        <w:jc w:val="center"/>
        <w:rPr>
          <w:rFonts w:ascii="Palatino Linotype" w:eastAsia="Palatino Linotype" w:hAnsi="Palatino Linotype" w:cs="Palatino Linotype"/>
        </w:rPr>
      </w:pPr>
      <w:r w:rsidRPr="006A0CC2">
        <w:rPr>
          <w:rFonts w:ascii="Palatino Linotype" w:eastAsia="Palatino Linotype" w:hAnsi="Palatino Linotype" w:cs="Palatino Linotype"/>
          <w:b/>
          <w:i/>
        </w:rPr>
        <w:t>CAPÍTULO VIII</w:t>
      </w:r>
    </w:p>
    <w:p w14:paraId="1B8D72C9" w14:textId="77777777" w:rsidR="00260C20" w:rsidRPr="006A0CC2" w:rsidRDefault="001A60FA">
      <w:pPr>
        <w:pBdr>
          <w:top w:val="nil"/>
          <w:left w:val="nil"/>
          <w:bottom w:val="nil"/>
          <w:right w:val="nil"/>
          <w:between w:val="nil"/>
        </w:pBdr>
        <w:spacing w:after="0" w:line="276" w:lineRule="auto"/>
        <w:ind w:left="851" w:right="616"/>
        <w:jc w:val="center"/>
        <w:rPr>
          <w:rFonts w:ascii="Palatino Linotype" w:eastAsia="Palatino Linotype" w:hAnsi="Palatino Linotype" w:cs="Palatino Linotype"/>
          <w:b/>
          <w:i/>
        </w:rPr>
      </w:pPr>
      <w:r w:rsidRPr="006A0CC2">
        <w:rPr>
          <w:rFonts w:ascii="Palatino Linotype" w:eastAsia="Palatino Linotype" w:hAnsi="Palatino Linotype" w:cs="Palatino Linotype"/>
          <w:b/>
          <w:i/>
        </w:rPr>
        <w:t>DE LOS ELEMENTOS PARA LA CLASIFICACIÓN</w:t>
      </w:r>
    </w:p>
    <w:p w14:paraId="1C79426B"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Quincuagésimo</w:t>
      </w:r>
      <w:r w:rsidRPr="006A0CC2">
        <w:rPr>
          <w:rFonts w:ascii="Palatino Linotype" w:eastAsia="Palatino Linotype" w:hAnsi="Palatino Linotype" w:cs="Palatino Linotype"/>
          <w:i/>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2F5BB97"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Quincuagésimo primero</w:t>
      </w:r>
      <w:r w:rsidRPr="006A0CC2">
        <w:rPr>
          <w:rFonts w:ascii="Palatino Linotype" w:eastAsia="Palatino Linotype" w:hAnsi="Palatino Linotype" w:cs="Palatino Linotype"/>
          <w:i/>
        </w:rPr>
        <w:t>. Toda acta del Comité de Transparencia deberá contener:</w:t>
      </w:r>
    </w:p>
    <w:p w14:paraId="582A7CF3"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I. El número de sesión y fecha; </w:t>
      </w:r>
    </w:p>
    <w:p w14:paraId="71086219"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II. El nombre del área que solicitó la clasificación de información;</w:t>
      </w:r>
    </w:p>
    <w:p w14:paraId="69A84188"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III. La fundamentación legal y motivación correspondiente;</w:t>
      </w:r>
    </w:p>
    <w:p w14:paraId="76E6E056"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IV. La resolución o resoluciones aprobadas; y</w:t>
      </w:r>
    </w:p>
    <w:p w14:paraId="12392C98"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V. La rúbrica o firma digital de cada integrante del Comité de Transparencia. </w:t>
      </w:r>
    </w:p>
    <w:p w14:paraId="367085AE"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15C54279"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 Los motivos y razonamientos que sustenten la confirmación o modificación de la prueba de daño;</w:t>
      </w:r>
    </w:p>
    <w:p w14:paraId="4B93E2C4"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II. Descripción de las partes o secciones reservadas, en caso de clasificación parcial;</w:t>
      </w:r>
    </w:p>
    <w:p w14:paraId="036F45A2"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III. El periodo por el que mantendrá su clasificación y fecha de expiración; y</w:t>
      </w:r>
    </w:p>
    <w:p w14:paraId="5ECF15D1"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IV. El nombre del titular y área encargada de realizar la versión pública del documento, en su caso.</w:t>
      </w:r>
    </w:p>
    <w:p w14:paraId="4984D515"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07EF5E86"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0509F0A2"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b/>
          <w:i/>
        </w:rPr>
        <w:t>Quincuagésimo segundo</w:t>
      </w:r>
      <w:r w:rsidRPr="006A0CC2">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96121EF"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En el caso específico de la clasificación y elaboración de versiones públicas de documentos que contengan información confidencial, las áreas de los sujetos obligados deberán:</w:t>
      </w:r>
    </w:p>
    <w:p w14:paraId="4E5FB8AC"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lastRenderedPageBreak/>
        <w:t>I. Fijar la fecha en que se elaboró la versión pública y la fecha en la cual el Comité de Transparencia confirmó dicha versión;</w:t>
      </w:r>
    </w:p>
    <w:p w14:paraId="493C7913"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2FFD9888"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III. Señalar las personas o instancias autorizadas a acceder a la información clasificada.</w:t>
      </w:r>
    </w:p>
    <w:p w14:paraId="2ED16FF3"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33C08F40"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w:t>
      </w:r>
    </w:p>
    <w:p w14:paraId="7D445925"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21CEAE9"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rPr>
      </w:pPr>
      <w:r w:rsidRPr="006A0CC2">
        <w:rPr>
          <w:rFonts w:ascii="Palatino Linotype" w:eastAsia="Palatino Linotype" w:hAnsi="Palatino Linotype" w:cs="Palatino Linotype"/>
          <w:i/>
        </w:rPr>
        <w:t xml:space="preserve">Quincuagésimo quinto. Cada área del sujeto obligado podrá designar formalmente a una o más personas como responsables del </w:t>
      </w:r>
      <w:proofErr w:type="spellStart"/>
      <w:r w:rsidRPr="006A0CC2">
        <w:rPr>
          <w:rFonts w:ascii="Palatino Linotype" w:eastAsia="Palatino Linotype" w:hAnsi="Palatino Linotype" w:cs="Palatino Linotype"/>
          <w:i/>
        </w:rPr>
        <w:t>testado</w:t>
      </w:r>
      <w:proofErr w:type="spellEnd"/>
      <w:r w:rsidRPr="006A0CC2">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6A0CC2">
        <w:rPr>
          <w:rFonts w:ascii="Palatino Linotype" w:eastAsia="Palatino Linotype" w:hAnsi="Palatino Linotype" w:cs="Palatino Linotype"/>
        </w:rPr>
        <w:t>.”</w:t>
      </w:r>
    </w:p>
    <w:p w14:paraId="6A6CB9E5" w14:textId="77777777" w:rsidR="00260C20" w:rsidRPr="006A0CC2" w:rsidRDefault="00260C20">
      <w:pPr>
        <w:rPr>
          <w:rFonts w:ascii="Palatino Linotype" w:eastAsia="Palatino Linotype" w:hAnsi="Palatino Linotype" w:cs="Palatino Linotype"/>
        </w:rPr>
      </w:pPr>
    </w:p>
    <w:p w14:paraId="68246A71" w14:textId="77777777" w:rsidR="00260C20" w:rsidRPr="006A0CC2" w:rsidRDefault="001A60FA">
      <w:pPr>
        <w:spacing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5814729A" w14:textId="77777777" w:rsidR="00260C20" w:rsidRPr="006A0CC2" w:rsidRDefault="001A60FA">
      <w:pPr>
        <w:shd w:val="clear" w:color="auto" w:fill="FFFFFF"/>
        <w:spacing w:line="360" w:lineRule="auto"/>
        <w:ind w:right="51"/>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w:t>
      </w:r>
      <w:r w:rsidRPr="006A0CC2">
        <w:rPr>
          <w:rFonts w:ascii="Palatino Linotype" w:eastAsia="Palatino Linotype" w:hAnsi="Palatino Linotype" w:cs="Palatino Linotype"/>
        </w:rPr>
        <w:lastRenderedPageBreak/>
        <w:t xml:space="preserve">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6A0CC2">
        <w:rPr>
          <w:rFonts w:ascii="Palatino Linotype" w:eastAsia="Palatino Linotype" w:hAnsi="Palatino Linotype" w:cs="Palatino Linotype"/>
          <w:b/>
        </w:rPr>
        <w:t>Recurrente</w:t>
      </w:r>
      <w:r w:rsidRPr="006A0CC2">
        <w:rPr>
          <w:rFonts w:ascii="Palatino Linotype" w:eastAsia="Palatino Linotype" w:hAnsi="Palatino Linotype" w:cs="Palatino Linotype"/>
        </w:rPr>
        <w:t>.</w:t>
      </w:r>
    </w:p>
    <w:p w14:paraId="237D59F6" w14:textId="77777777" w:rsidR="00260C20" w:rsidRPr="006A0CC2" w:rsidRDefault="001A60FA">
      <w:pPr>
        <w:pBdr>
          <w:top w:val="nil"/>
          <w:left w:val="nil"/>
          <w:bottom w:val="nil"/>
          <w:right w:val="nil"/>
          <w:between w:val="nil"/>
        </w:pBd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1AF0E7F2" w14:textId="77777777" w:rsidR="00260C20" w:rsidRPr="006A0CC2" w:rsidRDefault="001A60FA">
      <w:pPr>
        <w:spacing w:after="0" w:line="360" w:lineRule="auto"/>
        <w:ind w:right="-93"/>
        <w:jc w:val="center"/>
        <w:rPr>
          <w:rFonts w:ascii="Palatino Linotype" w:eastAsia="Palatino Linotype" w:hAnsi="Palatino Linotype" w:cs="Palatino Linotype"/>
          <w:b/>
        </w:rPr>
      </w:pPr>
      <w:r w:rsidRPr="006A0CC2">
        <w:rPr>
          <w:rFonts w:ascii="Palatino Linotype" w:eastAsia="Palatino Linotype" w:hAnsi="Palatino Linotype" w:cs="Palatino Linotype"/>
          <w:b/>
        </w:rPr>
        <w:t>R E S U E L V E:</w:t>
      </w:r>
    </w:p>
    <w:p w14:paraId="26FEDD85" w14:textId="77777777" w:rsidR="00260C20" w:rsidRPr="006A0CC2" w:rsidRDefault="00260C20">
      <w:pPr>
        <w:spacing w:after="0" w:line="360" w:lineRule="auto"/>
        <w:ind w:right="-93"/>
        <w:jc w:val="center"/>
        <w:rPr>
          <w:rFonts w:ascii="Palatino Linotype" w:eastAsia="Palatino Linotype" w:hAnsi="Palatino Linotype" w:cs="Palatino Linotype"/>
          <w:b/>
        </w:rPr>
      </w:pPr>
    </w:p>
    <w:p w14:paraId="1A851069"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PRIMERO. </w:t>
      </w:r>
      <w:r w:rsidRPr="006A0CC2">
        <w:rPr>
          <w:rFonts w:ascii="Palatino Linotype" w:eastAsia="Palatino Linotype" w:hAnsi="Palatino Linotype" w:cs="Palatino Linotype"/>
        </w:rPr>
        <w:t>Resultan parcialmente fundados los motivos de inconformidad hechos valer por la parte</w:t>
      </w:r>
      <w:r w:rsidRPr="006A0CC2">
        <w:rPr>
          <w:rFonts w:ascii="Palatino Linotype" w:eastAsia="Palatino Linotype" w:hAnsi="Palatino Linotype" w:cs="Palatino Linotype"/>
          <w:b/>
        </w:rPr>
        <w:t xml:space="preserve"> Recurrente</w:t>
      </w:r>
      <w:r w:rsidRPr="006A0CC2">
        <w:rPr>
          <w:rFonts w:ascii="Palatino Linotype" w:eastAsia="Palatino Linotype" w:hAnsi="Palatino Linotype" w:cs="Palatino Linotype"/>
        </w:rPr>
        <w:t xml:space="preserve"> en el Recurso de Revisión </w:t>
      </w:r>
      <w:r w:rsidRPr="006A0CC2">
        <w:rPr>
          <w:rFonts w:ascii="Palatino Linotype" w:eastAsia="Palatino Linotype" w:hAnsi="Palatino Linotype" w:cs="Palatino Linotype"/>
          <w:b/>
        </w:rPr>
        <w:t xml:space="preserve">07359/INFOEM/IP/RR/2024, </w:t>
      </w:r>
      <w:r w:rsidRPr="006A0CC2">
        <w:rPr>
          <w:rFonts w:ascii="Palatino Linotype" w:eastAsia="Palatino Linotype" w:hAnsi="Palatino Linotype" w:cs="Palatino Linotype"/>
        </w:rPr>
        <w:t xml:space="preserve">por lo que, en términos del considerando </w:t>
      </w:r>
      <w:r w:rsidRPr="006A0CC2">
        <w:rPr>
          <w:rFonts w:ascii="Palatino Linotype" w:eastAsia="Palatino Linotype" w:hAnsi="Palatino Linotype" w:cs="Palatino Linotype"/>
          <w:b/>
        </w:rPr>
        <w:t xml:space="preserve">Cuarto </w:t>
      </w:r>
      <w:r w:rsidRPr="006A0CC2">
        <w:rPr>
          <w:rFonts w:ascii="Palatino Linotype" w:eastAsia="Palatino Linotype" w:hAnsi="Palatino Linotype" w:cs="Palatino Linotype"/>
        </w:rPr>
        <w:t xml:space="preserve">de esta resolución, se </w:t>
      </w:r>
      <w:r w:rsidRPr="006A0CC2">
        <w:rPr>
          <w:rFonts w:ascii="Palatino Linotype" w:eastAsia="Palatino Linotype" w:hAnsi="Palatino Linotype" w:cs="Palatino Linotype"/>
          <w:b/>
        </w:rPr>
        <w:t xml:space="preserve">Modifica </w:t>
      </w:r>
      <w:r w:rsidRPr="006A0CC2">
        <w:rPr>
          <w:rFonts w:ascii="Palatino Linotype" w:eastAsia="Palatino Linotype" w:hAnsi="Palatino Linotype" w:cs="Palatino Linotype"/>
        </w:rPr>
        <w:t xml:space="preserve">la respuesta emitida por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w:t>
      </w:r>
    </w:p>
    <w:p w14:paraId="7DD33E7E" w14:textId="77777777" w:rsidR="00260C20" w:rsidRPr="006A0CC2" w:rsidRDefault="00260C20">
      <w:pPr>
        <w:spacing w:after="0" w:line="360" w:lineRule="auto"/>
        <w:jc w:val="both"/>
        <w:rPr>
          <w:rFonts w:ascii="Palatino Linotype" w:eastAsia="Palatino Linotype" w:hAnsi="Palatino Linotype" w:cs="Palatino Linotype"/>
          <w:b/>
        </w:rPr>
      </w:pPr>
      <w:bookmarkStart w:id="4" w:name="_heading=h.kelgs2428oa6" w:colFirst="0" w:colLast="0"/>
      <w:bookmarkEnd w:id="4"/>
    </w:p>
    <w:p w14:paraId="2C116A60"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SEGUNDO. </w:t>
      </w:r>
      <w:r w:rsidRPr="006A0CC2">
        <w:rPr>
          <w:rFonts w:ascii="Palatino Linotype" w:eastAsia="Palatino Linotype" w:hAnsi="Palatino Linotype" w:cs="Palatino Linotype"/>
        </w:rPr>
        <w:t>Se</w:t>
      </w:r>
      <w:r w:rsidRPr="006A0CC2">
        <w:rPr>
          <w:rFonts w:ascii="Palatino Linotype" w:eastAsia="Palatino Linotype" w:hAnsi="Palatino Linotype" w:cs="Palatino Linotype"/>
          <w:b/>
        </w:rPr>
        <w:t xml:space="preserve"> ordena </w:t>
      </w:r>
      <w:r w:rsidRPr="006A0CC2">
        <w:rPr>
          <w:rFonts w:ascii="Palatino Linotype" w:eastAsia="Palatino Linotype" w:hAnsi="Palatino Linotype" w:cs="Palatino Linotype"/>
        </w:rPr>
        <w:t xml:space="preserve">al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en términos del Considerando </w:t>
      </w:r>
      <w:r w:rsidRPr="006A0CC2">
        <w:rPr>
          <w:rFonts w:ascii="Palatino Linotype" w:eastAsia="Palatino Linotype" w:hAnsi="Palatino Linotype" w:cs="Palatino Linotype"/>
          <w:b/>
        </w:rPr>
        <w:t xml:space="preserve">Cuarto y Quinto </w:t>
      </w:r>
      <w:r w:rsidRPr="006A0CC2">
        <w:rPr>
          <w:rFonts w:ascii="Palatino Linotype" w:eastAsia="Palatino Linotype" w:hAnsi="Palatino Linotype" w:cs="Palatino Linotype"/>
        </w:rPr>
        <w:t xml:space="preserve">de esta resolución, haga entrega, vía </w:t>
      </w:r>
      <w:r w:rsidRPr="006A0CC2">
        <w:rPr>
          <w:rFonts w:ascii="Palatino Linotype" w:eastAsia="Palatino Linotype" w:hAnsi="Palatino Linotype" w:cs="Palatino Linotype"/>
          <w:b/>
        </w:rPr>
        <w:t>SAIMEX</w:t>
      </w:r>
      <w:r w:rsidRPr="006A0CC2">
        <w:rPr>
          <w:rFonts w:ascii="Palatino Linotype" w:eastAsia="Palatino Linotype" w:hAnsi="Palatino Linotype" w:cs="Palatino Linotype"/>
        </w:rPr>
        <w:t xml:space="preserve">, previa búsqueda exhaustiva y razonable, de ser el caso en versión pública, el documento o documentos en donde conste, lo siguiente: </w:t>
      </w:r>
    </w:p>
    <w:p w14:paraId="332AAF6E" w14:textId="77777777" w:rsidR="00260C20" w:rsidRPr="006A0CC2" w:rsidRDefault="00260C20">
      <w:pPr>
        <w:spacing w:after="0" w:line="360" w:lineRule="auto"/>
        <w:jc w:val="both"/>
        <w:rPr>
          <w:rFonts w:ascii="Palatino Linotype" w:eastAsia="Palatino Linotype" w:hAnsi="Palatino Linotype" w:cs="Palatino Linotype"/>
        </w:rPr>
      </w:pPr>
    </w:p>
    <w:p w14:paraId="0798DE8A" w14:textId="77777777" w:rsidR="00260C20" w:rsidRPr="006A0CC2" w:rsidRDefault="001A60FA">
      <w:pPr>
        <w:numPr>
          <w:ilvl w:val="0"/>
          <w:numId w:val="13"/>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bookmarkStart w:id="5" w:name="_heading=h.3znysh7" w:colFirst="0" w:colLast="0"/>
      <w:bookmarkEnd w:id="5"/>
      <w:r w:rsidRPr="006A0CC2">
        <w:rPr>
          <w:rFonts w:ascii="Palatino Linotype" w:eastAsia="Palatino Linotype" w:hAnsi="Palatino Linotype" w:cs="Palatino Linotype"/>
        </w:rPr>
        <w:t xml:space="preserve">El gasto efectuado de cada comedor por mes, del veinticinco de octubre de dos mil veintitrés al veinticinco de octubre de dos mil veinticuatro. </w:t>
      </w:r>
    </w:p>
    <w:p w14:paraId="0E9E03DE" w14:textId="77777777" w:rsidR="00260C20" w:rsidRPr="006A0CC2" w:rsidRDefault="001A60FA">
      <w:pPr>
        <w:numPr>
          <w:ilvl w:val="0"/>
          <w:numId w:val="13"/>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Los desayunos y comidas otorgados por comedor, del veinticinco de octubre de dos mil veintitrés al veinticinco de octubre de dos mil veinticuatro. </w:t>
      </w:r>
    </w:p>
    <w:p w14:paraId="5F0703CF" w14:textId="77777777" w:rsidR="00260C20" w:rsidRPr="006A0CC2" w:rsidRDefault="001A60FA">
      <w:pPr>
        <w:numPr>
          <w:ilvl w:val="0"/>
          <w:numId w:val="13"/>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r w:rsidRPr="006A0CC2">
        <w:rPr>
          <w:rFonts w:ascii="Palatino Linotype" w:eastAsia="Palatino Linotype" w:hAnsi="Palatino Linotype" w:cs="Palatino Linotype"/>
        </w:rPr>
        <w:lastRenderedPageBreak/>
        <w:t xml:space="preserve">El número de personal eventual que atienden los Comedores Comunitarios; así como el </w:t>
      </w:r>
      <w:proofErr w:type="gramStart"/>
      <w:r w:rsidRPr="006A0CC2">
        <w:rPr>
          <w:rFonts w:ascii="Palatino Linotype" w:eastAsia="Palatino Linotype" w:hAnsi="Palatino Linotype" w:cs="Palatino Linotype"/>
        </w:rPr>
        <w:t>sueldo  bruto</w:t>
      </w:r>
      <w:proofErr w:type="gramEnd"/>
      <w:r w:rsidRPr="006A0CC2">
        <w:rPr>
          <w:rFonts w:ascii="Palatino Linotype" w:eastAsia="Palatino Linotype" w:hAnsi="Palatino Linotype" w:cs="Palatino Linotype"/>
        </w:rPr>
        <w:t xml:space="preserve"> y neto que perciben por concepto de honorarios, vigente al veinticinco de octubre de dos mil veinticuatro.</w:t>
      </w:r>
    </w:p>
    <w:p w14:paraId="2B2A03D4" w14:textId="77777777" w:rsidR="00260C20" w:rsidRPr="006A0CC2" w:rsidRDefault="001A60FA">
      <w:pPr>
        <w:numPr>
          <w:ilvl w:val="0"/>
          <w:numId w:val="13"/>
        </w:numPr>
        <w:pBdr>
          <w:top w:val="nil"/>
          <w:left w:val="nil"/>
          <w:bottom w:val="nil"/>
          <w:right w:val="nil"/>
          <w:between w:val="nil"/>
        </w:pBdr>
        <w:spacing w:after="0" w:line="360" w:lineRule="auto"/>
        <w:ind w:left="851" w:right="616" w:firstLine="0"/>
        <w:jc w:val="both"/>
        <w:rPr>
          <w:rFonts w:ascii="Palatino Linotype" w:eastAsia="Palatino Linotype" w:hAnsi="Palatino Linotype" w:cs="Palatino Linotype"/>
        </w:rPr>
      </w:pPr>
      <w:r w:rsidRPr="006A0CC2">
        <w:rPr>
          <w:rFonts w:ascii="Palatino Linotype" w:eastAsia="Palatino Linotype" w:hAnsi="Palatino Linotype" w:cs="Palatino Linotype"/>
        </w:rPr>
        <w:t xml:space="preserve">Los gastos erogados de los ingresos obtenidos de las cuotas de recuperación de los comedores comunitarios, del veinticinco de octubre de dos mil veintitrés al veinticinco de octubre de dos mil veinticuatro. </w:t>
      </w:r>
    </w:p>
    <w:p w14:paraId="05E19783" w14:textId="77777777" w:rsidR="00260C20" w:rsidRPr="006A0CC2" w:rsidRDefault="00260C20">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p>
    <w:p w14:paraId="3A7E389C" w14:textId="77777777" w:rsidR="00260C20" w:rsidRPr="006A0CC2" w:rsidRDefault="001A60FA">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r w:rsidRPr="006A0CC2">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6A0CC2">
        <w:rPr>
          <w:rFonts w:ascii="Palatino Linotype" w:eastAsia="Palatino Linotype" w:hAnsi="Palatino Linotype" w:cs="Palatino Linotype"/>
          <w:b/>
          <w:i/>
        </w:rPr>
        <w:t>Recurrente</w:t>
      </w:r>
      <w:r w:rsidRPr="006A0CC2">
        <w:rPr>
          <w:rFonts w:ascii="Palatino Linotype" w:eastAsia="Palatino Linotype" w:hAnsi="Palatino Linotype" w:cs="Palatino Linotype"/>
          <w:i/>
        </w:rPr>
        <w:t>.</w:t>
      </w:r>
    </w:p>
    <w:p w14:paraId="174E7F1B" w14:textId="77777777" w:rsidR="00260C20" w:rsidRPr="006A0CC2" w:rsidRDefault="00260C20">
      <w:pPr>
        <w:pBdr>
          <w:top w:val="nil"/>
          <w:left w:val="nil"/>
          <w:bottom w:val="nil"/>
          <w:right w:val="nil"/>
          <w:between w:val="nil"/>
        </w:pBdr>
        <w:spacing w:after="0" w:line="276" w:lineRule="auto"/>
        <w:ind w:left="851" w:right="616"/>
        <w:jc w:val="both"/>
        <w:rPr>
          <w:rFonts w:ascii="Palatino Linotype" w:eastAsia="Palatino Linotype" w:hAnsi="Palatino Linotype" w:cs="Palatino Linotype"/>
          <w:i/>
        </w:rPr>
      </w:pPr>
    </w:p>
    <w:p w14:paraId="396EFEC2"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t xml:space="preserve">TERCERO.  Notifíquese vía SAIMEX, </w:t>
      </w:r>
      <w:r w:rsidRPr="006A0CC2">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2302B0B" w14:textId="77777777" w:rsidR="00260C20" w:rsidRPr="006A0CC2" w:rsidRDefault="00260C20">
      <w:pPr>
        <w:spacing w:after="0" w:line="360" w:lineRule="auto"/>
        <w:jc w:val="both"/>
        <w:rPr>
          <w:rFonts w:ascii="Palatino Linotype" w:eastAsia="Palatino Linotype" w:hAnsi="Palatino Linotype" w:cs="Palatino Linotype"/>
        </w:rPr>
      </w:pPr>
    </w:p>
    <w:p w14:paraId="3CF04BA5" w14:textId="77777777" w:rsidR="00260C20" w:rsidRPr="006A0CC2" w:rsidRDefault="001A60FA">
      <w:pPr>
        <w:spacing w:after="0" w:line="360" w:lineRule="auto"/>
        <w:jc w:val="both"/>
        <w:rPr>
          <w:rFonts w:ascii="Palatino Linotype" w:eastAsia="Palatino Linotype" w:hAnsi="Palatino Linotype" w:cs="Palatino Linotype"/>
        </w:rPr>
      </w:pPr>
      <w:bookmarkStart w:id="6" w:name="_heading=h.3dy6vkm" w:colFirst="0" w:colLast="0"/>
      <w:bookmarkEnd w:id="6"/>
      <w:r w:rsidRPr="006A0CC2">
        <w:rPr>
          <w:rFonts w:ascii="Palatino Linotype" w:eastAsia="Palatino Linotype" w:hAnsi="Palatino Linotype" w:cs="Palatino Linotype"/>
          <w:b/>
        </w:rPr>
        <w:t xml:space="preserve">CUARTO. </w:t>
      </w:r>
      <w:r w:rsidRPr="006A0CC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A0CC2">
        <w:rPr>
          <w:rFonts w:ascii="Palatino Linotype" w:eastAsia="Palatino Linotype" w:hAnsi="Palatino Linotype" w:cs="Palatino Linotype"/>
          <w:b/>
        </w:rPr>
        <w:t>Sujeto Obligado</w:t>
      </w:r>
      <w:r w:rsidRPr="006A0CC2">
        <w:rPr>
          <w:rFonts w:ascii="Palatino Linotype" w:eastAsia="Palatino Linotype" w:hAnsi="Palatino Linotype" w:cs="Palatino Linotype"/>
        </w:rPr>
        <w:t xml:space="preserve"> de manera fundada y motivada, podrá solicitar una ampliación de plazo para el cumplimiento de la presente resolución.</w:t>
      </w:r>
    </w:p>
    <w:p w14:paraId="6992BC26" w14:textId="77777777" w:rsidR="00260C20" w:rsidRPr="006A0CC2" w:rsidRDefault="00260C20">
      <w:pPr>
        <w:spacing w:after="0" w:line="360" w:lineRule="auto"/>
        <w:jc w:val="both"/>
        <w:rPr>
          <w:rFonts w:ascii="Palatino Linotype" w:eastAsia="Palatino Linotype" w:hAnsi="Palatino Linotype" w:cs="Palatino Linotype"/>
        </w:rPr>
      </w:pPr>
    </w:p>
    <w:p w14:paraId="3D48FB63" w14:textId="77777777" w:rsidR="00260C20" w:rsidRPr="006A0CC2" w:rsidRDefault="001A60FA">
      <w:pPr>
        <w:spacing w:after="0" w:line="360" w:lineRule="auto"/>
        <w:jc w:val="both"/>
        <w:rPr>
          <w:rFonts w:ascii="Palatino Linotype" w:eastAsia="Palatino Linotype" w:hAnsi="Palatino Linotype" w:cs="Palatino Linotype"/>
        </w:rPr>
      </w:pPr>
      <w:r w:rsidRPr="006A0CC2">
        <w:rPr>
          <w:rFonts w:ascii="Palatino Linotype" w:eastAsia="Palatino Linotype" w:hAnsi="Palatino Linotype" w:cs="Palatino Linotype"/>
          <w:b/>
        </w:rPr>
        <w:lastRenderedPageBreak/>
        <w:t xml:space="preserve">QUINTO. Notifíquese vía SAIMEX, </w:t>
      </w:r>
      <w:r w:rsidRPr="006A0CC2">
        <w:rPr>
          <w:rFonts w:ascii="Palatino Linotype" w:eastAsia="Palatino Linotype" w:hAnsi="Palatino Linotype" w:cs="Palatino Linotype"/>
        </w:rPr>
        <w:t>a la parte</w:t>
      </w:r>
      <w:r w:rsidRPr="006A0CC2">
        <w:rPr>
          <w:rFonts w:ascii="Palatino Linotype" w:eastAsia="Palatino Linotype" w:hAnsi="Palatino Linotype" w:cs="Palatino Linotype"/>
          <w:b/>
        </w:rPr>
        <w:t xml:space="preserve"> Recurrente</w:t>
      </w:r>
      <w:r w:rsidRPr="006A0CC2">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33E0C8ED" w14:textId="77777777" w:rsidR="00260C20" w:rsidRPr="006A0CC2" w:rsidRDefault="00260C20">
      <w:pPr>
        <w:spacing w:after="0" w:line="360" w:lineRule="auto"/>
        <w:jc w:val="both"/>
        <w:rPr>
          <w:rFonts w:ascii="Palatino Linotype" w:eastAsia="Palatino Linotype" w:hAnsi="Palatino Linotype" w:cs="Palatino Linotype"/>
        </w:rPr>
      </w:pPr>
    </w:p>
    <w:p w14:paraId="5188FC45" w14:textId="77777777" w:rsidR="00260C20" w:rsidRPr="006A0CC2" w:rsidRDefault="001A60FA">
      <w:pPr>
        <w:spacing w:after="0" w:line="360" w:lineRule="auto"/>
        <w:jc w:val="both"/>
        <w:rPr>
          <w:rFonts w:ascii="Palatino Linotype" w:eastAsia="Palatino Linotype" w:hAnsi="Palatino Linotype" w:cs="Palatino Linotype"/>
        </w:rPr>
        <w:sectPr w:rsidR="00260C20" w:rsidRPr="006A0CC2">
          <w:headerReference w:type="default" r:id="rId19"/>
          <w:footerReference w:type="default" r:id="rId20"/>
          <w:headerReference w:type="first" r:id="rId21"/>
          <w:footerReference w:type="first" r:id="rId22"/>
          <w:pgSz w:w="12240" w:h="15840"/>
          <w:pgMar w:top="1417" w:right="1701" w:bottom="1417" w:left="1701" w:header="708" w:footer="708" w:gutter="0"/>
          <w:pgNumType w:start="1"/>
          <w:cols w:space="720"/>
          <w:titlePg/>
        </w:sectPr>
      </w:pPr>
      <w:r w:rsidRPr="006A0CC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DIECIOCHO DE DICIEMBRE DE DOS MIL VEINTICUATRO, ANTE EL SECRETARIO TÉCNICO DEL PLENO ALEXIS TAPIA RAMÍREZ.</w:t>
      </w:r>
    </w:p>
    <w:p w14:paraId="0F42CA8C" w14:textId="77777777" w:rsidR="00260C20" w:rsidRPr="006A0CC2" w:rsidRDefault="00260C20">
      <w:pPr>
        <w:spacing w:after="0" w:line="360" w:lineRule="auto"/>
        <w:jc w:val="both"/>
        <w:rPr>
          <w:rFonts w:ascii="Palatino Linotype" w:eastAsia="Palatino Linotype" w:hAnsi="Palatino Linotype" w:cs="Palatino Linotype"/>
        </w:rPr>
      </w:pPr>
    </w:p>
    <w:sectPr w:rsidR="00260C20" w:rsidRPr="006A0CC2">
      <w:headerReference w:type="first" r:id="rId23"/>
      <w:footerReference w:type="first" r:id="rId2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C5243" w14:textId="77777777" w:rsidR="004135AF" w:rsidRDefault="004135AF">
      <w:pPr>
        <w:spacing w:after="0" w:line="240" w:lineRule="auto"/>
      </w:pPr>
      <w:r>
        <w:separator/>
      </w:r>
    </w:p>
  </w:endnote>
  <w:endnote w:type="continuationSeparator" w:id="0">
    <w:p w14:paraId="197A3625" w14:textId="77777777" w:rsidR="004135AF" w:rsidRDefault="00413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C1FE" w14:textId="77777777" w:rsidR="00260C20" w:rsidRDefault="001A60F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0623A">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0623A">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2AC2F73B" w14:textId="77777777" w:rsidR="00260C20" w:rsidRDefault="00260C2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B97D5" w14:textId="77777777" w:rsidR="00260C20" w:rsidRDefault="001A60F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proofErr w:type="gramStart"/>
    <w:r>
      <w:rPr>
        <w:rFonts w:ascii="Palatino Linotype" w:eastAsia="Palatino Linotype" w:hAnsi="Palatino Linotype" w:cs="Palatino Linotype"/>
        <w:b/>
        <w:color w:val="000000"/>
        <w:sz w:val="20"/>
        <w:szCs w:val="20"/>
      </w:rPr>
      <w:t xml:space="preserve">1 </w:t>
    </w:r>
    <w:r>
      <w:rPr>
        <w:rFonts w:ascii="Palatino Linotype" w:eastAsia="Palatino Linotype" w:hAnsi="Palatino Linotype" w:cs="Palatino Linotype"/>
        <w:color w:val="000000"/>
        <w:sz w:val="20"/>
        <w:szCs w:val="20"/>
      </w:rPr>
      <w:t xml:space="preserve"> de</w:t>
    </w:r>
    <w:proofErr w:type="gramEnd"/>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0623A">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1C5CAE3B" w14:textId="77777777" w:rsidR="00260C20" w:rsidRDefault="00260C2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F96D3" w14:textId="64F708D1" w:rsidR="00260C20" w:rsidRDefault="001A60F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proofErr w:type="gramStart"/>
    <w:r>
      <w:rPr>
        <w:rFonts w:ascii="Palatino Linotype" w:eastAsia="Palatino Linotype" w:hAnsi="Palatino Linotype" w:cs="Palatino Linotype"/>
        <w:b/>
        <w:color w:val="000000"/>
        <w:sz w:val="20"/>
        <w:szCs w:val="20"/>
      </w:rPr>
      <w:t xml:space="preserve">51 </w:t>
    </w:r>
    <w:r>
      <w:rPr>
        <w:rFonts w:ascii="Palatino Linotype" w:eastAsia="Palatino Linotype" w:hAnsi="Palatino Linotype" w:cs="Palatino Linotype"/>
        <w:color w:val="000000"/>
        <w:sz w:val="20"/>
        <w:szCs w:val="20"/>
      </w:rPr>
      <w:t xml:space="preserve"> de</w:t>
    </w:r>
    <w:proofErr w:type="gramEnd"/>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0623A">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32C9F718" w14:textId="77777777" w:rsidR="00260C20" w:rsidRDefault="00260C2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BAA01" w14:textId="77777777" w:rsidR="004135AF" w:rsidRDefault="004135AF">
      <w:pPr>
        <w:spacing w:after="0" w:line="240" w:lineRule="auto"/>
      </w:pPr>
      <w:r>
        <w:separator/>
      </w:r>
    </w:p>
  </w:footnote>
  <w:footnote w:type="continuationSeparator" w:id="0">
    <w:p w14:paraId="324C4C5D" w14:textId="77777777" w:rsidR="004135AF" w:rsidRDefault="004135AF">
      <w:pPr>
        <w:spacing w:after="0" w:line="240" w:lineRule="auto"/>
      </w:pPr>
      <w:r>
        <w:continuationSeparator/>
      </w:r>
    </w:p>
  </w:footnote>
  <w:footnote w:id="1">
    <w:p w14:paraId="1D156EF2" w14:textId="77777777" w:rsidR="00260C20" w:rsidRDefault="001A60F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5A4DFBB3" w14:textId="77777777" w:rsidR="00260C20" w:rsidRDefault="001A60F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F36D" w14:textId="77777777" w:rsidR="00260C20" w:rsidRDefault="001A60FA">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48EDFDAF" wp14:editId="6D29F884">
          <wp:simplePos x="0" y="0"/>
          <wp:positionH relativeFrom="column">
            <wp:posOffset>-1080134</wp:posOffset>
          </wp:positionH>
          <wp:positionV relativeFrom="paragraph">
            <wp:posOffset>-198754</wp:posOffset>
          </wp:positionV>
          <wp:extent cx="7534275" cy="9895205"/>
          <wp:effectExtent l="0" t="0" r="0" b="0"/>
          <wp:wrapNone/>
          <wp:docPr id="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tbl>
    <w:tblPr>
      <w:tblStyle w:val="a5"/>
      <w:tblW w:w="10254" w:type="dxa"/>
      <w:tblInd w:w="-1281" w:type="dxa"/>
      <w:tblLayout w:type="fixed"/>
      <w:tblLook w:val="0400" w:firstRow="0" w:lastRow="0" w:firstColumn="0" w:lastColumn="0" w:noHBand="0" w:noVBand="1"/>
    </w:tblPr>
    <w:tblGrid>
      <w:gridCol w:w="5817"/>
      <w:gridCol w:w="4437"/>
    </w:tblGrid>
    <w:tr w:rsidR="00260C20" w14:paraId="540750F2" w14:textId="77777777">
      <w:trPr>
        <w:trHeight w:val="260"/>
      </w:trPr>
      <w:tc>
        <w:tcPr>
          <w:tcW w:w="5817" w:type="dxa"/>
        </w:tcPr>
        <w:p w14:paraId="08F56E20" w14:textId="77777777" w:rsidR="00260C20" w:rsidRDefault="001A60FA">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437" w:type="dxa"/>
        </w:tcPr>
        <w:p w14:paraId="4A8E66B7" w14:textId="77777777" w:rsidR="00260C20" w:rsidRDefault="001A60FA">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07359/INFOEM/IP/RR/2024</w:t>
          </w:r>
        </w:p>
      </w:tc>
    </w:tr>
    <w:tr w:rsidR="00260C20" w14:paraId="775DD813" w14:textId="77777777">
      <w:trPr>
        <w:trHeight w:val="278"/>
      </w:trPr>
      <w:tc>
        <w:tcPr>
          <w:tcW w:w="5817" w:type="dxa"/>
        </w:tcPr>
        <w:p w14:paraId="37B94548" w14:textId="77777777" w:rsidR="00260C20" w:rsidRDefault="001A60FA">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437" w:type="dxa"/>
        </w:tcPr>
        <w:p w14:paraId="59A3AE2D" w14:textId="77777777" w:rsidR="00260C20" w:rsidRDefault="001A60FA">
          <w:pPr>
            <w:ind w:left="-495" w:right="-73" w:firstLine="239"/>
            <w:jc w:val="right"/>
            <w:rPr>
              <w:rFonts w:ascii="Palatino Linotype" w:eastAsia="Palatino Linotype" w:hAnsi="Palatino Linotype" w:cs="Palatino Linotype"/>
            </w:rPr>
          </w:pPr>
          <w:r>
            <w:rPr>
              <w:rFonts w:ascii="Palatino Linotype" w:eastAsia="Palatino Linotype" w:hAnsi="Palatino Linotype" w:cs="Palatino Linotype"/>
            </w:rPr>
            <w:t>Ayuntamiento de Tlalnepantla de Baz</w:t>
          </w:r>
        </w:p>
      </w:tc>
    </w:tr>
    <w:tr w:rsidR="00260C20" w14:paraId="5906DD0B" w14:textId="77777777">
      <w:trPr>
        <w:trHeight w:val="393"/>
      </w:trPr>
      <w:tc>
        <w:tcPr>
          <w:tcW w:w="5817" w:type="dxa"/>
        </w:tcPr>
        <w:p w14:paraId="66374809" w14:textId="77777777" w:rsidR="00260C20" w:rsidRDefault="001A60FA">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437" w:type="dxa"/>
        </w:tcPr>
        <w:p w14:paraId="71D37A47" w14:textId="77777777" w:rsidR="00260C20" w:rsidRDefault="001A60FA">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775AD485" w14:textId="77777777" w:rsidR="00260C20" w:rsidRDefault="00260C2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DAD2" w14:textId="77777777" w:rsidR="00260C20" w:rsidRDefault="001A60FA">
    <w:pPr>
      <w:widowControl w:val="0"/>
      <w:pBdr>
        <w:top w:val="nil"/>
        <w:left w:val="nil"/>
        <w:bottom w:val="nil"/>
        <w:right w:val="nil"/>
        <w:between w:val="nil"/>
      </w:pBdr>
      <w:spacing w:after="0" w:line="276" w:lineRule="auto"/>
      <w:rPr>
        <w:rFonts w:ascii="Palatino Linotype" w:eastAsia="Palatino Linotype" w:hAnsi="Palatino Linotype" w:cs="Palatino Linotype"/>
        <w:i/>
        <w:color w:val="000000"/>
        <w:sz w:val="16"/>
        <w:szCs w:val="16"/>
      </w:rPr>
    </w:pPr>
    <w:r>
      <w:rPr>
        <w:noProof/>
      </w:rPr>
      <w:drawing>
        <wp:anchor distT="0" distB="0" distL="0" distR="0" simplePos="0" relativeHeight="251659264" behindDoc="1" locked="0" layoutInCell="1" hidden="0" allowOverlap="1" wp14:anchorId="7E2FC6E7" wp14:editId="09EE7BF0">
          <wp:simplePos x="0" y="0"/>
          <wp:positionH relativeFrom="column">
            <wp:posOffset>-1193799</wp:posOffset>
          </wp:positionH>
          <wp:positionV relativeFrom="paragraph">
            <wp:posOffset>-196214</wp:posOffset>
          </wp:positionV>
          <wp:extent cx="7534275" cy="9895205"/>
          <wp:effectExtent l="0" t="0" r="0" b="0"/>
          <wp:wrapNone/>
          <wp:docPr id="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34275" cy="9895205"/>
                  </a:xfrm>
                  <a:prstGeom prst="rect">
                    <a:avLst/>
                  </a:prstGeom>
                  <a:ln/>
                </pic:spPr>
              </pic:pic>
            </a:graphicData>
          </a:graphic>
        </wp:anchor>
      </w:drawing>
    </w:r>
  </w:p>
  <w:tbl>
    <w:tblPr>
      <w:tblStyle w:val="a6"/>
      <w:tblW w:w="10113" w:type="dxa"/>
      <w:tblInd w:w="-1281" w:type="dxa"/>
      <w:tblLayout w:type="fixed"/>
      <w:tblLook w:val="0400" w:firstRow="0" w:lastRow="0" w:firstColumn="0" w:lastColumn="0" w:noHBand="0" w:noVBand="1"/>
    </w:tblPr>
    <w:tblGrid>
      <w:gridCol w:w="5676"/>
      <w:gridCol w:w="4437"/>
    </w:tblGrid>
    <w:tr w:rsidR="00260C20" w14:paraId="6B296EAF" w14:textId="77777777">
      <w:trPr>
        <w:trHeight w:val="260"/>
      </w:trPr>
      <w:tc>
        <w:tcPr>
          <w:tcW w:w="5676" w:type="dxa"/>
        </w:tcPr>
        <w:p w14:paraId="073F9C2F" w14:textId="77777777" w:rsidR="00260C20" w:rsidRDefault="001A60FA">
          <w:pPr>
            <w:spacing w:after="120"/>
            <w:ind w:right="-115"/>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437" w:type="dxa"/>
        </w:tcPr>
        <w:p w14:paraId="2E576E26" w14:textId="77777777" w:rsidR="00260C20" w:rsidRDefault="001A60FA">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07359/INFOEM/IP/RR/2024</w:t>
          </w:r>
        </w:p>
      </w:tc>
    </w:tr>
    <w:tr w:rsidR="00260C20" w14:paraId="2FDC4865" w14:textId="77777777">
      <w:trPr>
        <w:trHeight w:val="224"/>
      </w:trPr>
      <w:tc>
        <w:tcPr>
          <w:tcW w:w="5676" w:type="dxa"/>
        </w:tcPr>
        <w:p w14:paraId="2F882956" w14:textId="77777777" w:rsidR="00260C20" w:rsidRDefault="001A60FA">
          <w:pPr>
            <w:spacing w:after="120"/>
            <w:ind w:right="-115"/>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437" w:type="dxa"/>
        </w:tcPr>
        <w:p w14:paraId="15A6822A" w14:textId="406C66CD" w:rsidR="00260C20" w:rsidRDefault="00B83FB1">
          <w:pPr>
            <w:pBdr>
              <w:top w:val="nil"/>
              <w:left w:val="nil"/>
              <w:bottom w:val="nil"/>
              <w:right w:val="nil"/>
              <w:between w:val="nil"/>
            </w:pBdr>
            <w:spacing w:after="120"/>
            <w:ind w:left="801" w:right="214"/>
            <w:jc w:val="right"/>
            <w:rPr>
              <w:rFonts w:ascii="Palatino Linotype" w:eastAsia="Palatino Linotype" w:hAnsi="Palatino Linotype" w:cs="Palatino Linotype"/>
              <w:color w:val="000000"/>
            </w:rPr>
          </w:pPr>
          <w:bookmarkStart w:id="7" w:name="_Hlk187928933"/>
          <w:r>
            <w:rPr>
              <w:rFonts w:ascii="Palatino Linotype" w:eastAsia="Palatino Linotype" w:hAnsi="Palatino Linotype" w:cs="Palatino Linotype"/>
              <w:color w:val="000000"/>
            </w:rPr>
            <w:t>XXXXX XXXXXXX XXXXXX</w:t>
          </w:r>
          <w:bookmarkEnd w:id="7"/>
        </w:p>
      </w:tc>
    </w:tr>
    <w:tr w:rsidR="00260C20" w14:paraId="160EB1A7" w14:textId="77777777">
      <w:trPr>
        <w:trHeight w:val="278"/>
      </w:trPr>
      <w:tc>
        <w:tcPr>
          <w:tcW w:w="5676" w:type="dxa"/>
        </w:tcPr>
        <w:p w14:paraId="30D21AF1" w14:textId="77777777" w:rsidR="00260C20" w:rsidRDefault="001A60FA">
          <w:pPr>
            <w:ind w:right="-115"/>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437" w:type="dxa"/>
        </w:tcPr>
        <w:p w14:paraId="076057A3" w14:textId="77777777" w:rsidR="00260C20" w:rsidRDefault="001A60FA">
          <w:pPr>
            <w:tabs>
              <w:tab w:val="left" w:pos="27"/>
            </w:tabs>
            <w:ind w:left="-541" w:right="-73" w:hanging="45"/>
            <w:jc w:val="right"/>
            <w:rPr>
              <w:rFonts w:ascii="Palatino Linotype" w:eastAsia="Palatino Linotype" w:hAnsi="Palatino Linotype" w:cs="Palatino Linotype"/>
            </w:rPr>
          </w:pPr>
          <w:r>
            <w:rPr>
              <w:rFonts w:ascii="Palatino Linotype" w:eastAsia="Palatino Linotype" w:hAnsi="Palatino Linotype" w:cs="Palatino Linotype"/>
            </w:rPr>
            <w:t>Ayuntamiento de Tlalnepantla de Baz</w:t>
          </w:r>
        </w:p>
      </w:tc>
    </w:tr>
    <w:tr w:rsidR="00260C20" w14:paraId="0C0A32E4" w14:textId="77777777">
      <w:trPr>
        <w:trHeight w:val="393"/>
      </w:trPr>
      <w:tc>
        <w:tcPr>
          <w:tcW w:w="5676" w:type="dxa"/>
        </w:tcPr>
        <w:p w14:paraId="4CC2184D" w14:textId="77777777" w:rsidR="00260C20" w:rsidRDefault="001A60FA">
          <w:pPr>
            <w:tabs>
              <w:tab w:val="left" w:pos="4892"/>
            </w:tabs>
            <w:spacing w:after="120"/>
            <w:ind w:right="-115"/>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437" w:type="dxa"/>
        </w:tcPr>
        <w:p w14:paraId="4D2B2A7F" w14:textId="77777777" w:rsidR="00260C20" w:rsidRDefault="001A60FA">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7E4F05C1" w14:textId="77777777" w:rsidR="00260C20" w:rsidRDefault="00260C2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CA24" w14:textId="77777777" w:rsidR="00260C20" w:rsidRDefault="00260C2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D569A"/>
    <w:multiLevelType w:val="multilevel"/>
    <w:tmpl w:val="5538D5F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 w15:restartNumberingAfterBreak="0">
    <w:nsid w:val="2C2E149C"/>
    <w:multiLevelType w:val="multilevel"/>
    <w:tmpl w:val="ADD43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88121D"/>
    <w:multiLevelType w:val="multilevel"/>
    <w:tmpl w:val="3BE088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9D7B06"/>
    <w:multiLevelType w:val="multilevel"/>
    <w:tmpl w:val="B916F7E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3B3097"/>
    <w:multiLevelType w:val="multilevel"/>
    <w:tmpl w:val="95CC2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A32092"/>
    <w:multiLevelType w:val="multilevel"/>
    <w:tmpl w:val="51EA0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73D26DE"/>
    <w:multiLevelType w:val="multilevel"/>
    <w:tmpl w:val="B3E265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7F6C0C"/>
    <w:multiLevelType w:val="multilevel"/>
    <w:tmpl w:val="B674FE7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035383"/>
    <w:multiLevelType w:val="multilevel"/>
    <w:tmpl w:val="0B143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29364E6"/>
    <w:multiLevelType w:val="multilevel"/>
    <w:tmpl w:val="12581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6E33D4"/>
    <w:multiLevelType w:val="multilevel"/>
    <w:tmpl w:val="FC421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2350AD"/>
    <w:multiLevelType w:val="multilevel"/>
    <w:tmpl w:val="72F22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474167"/>
    <w:multiLevelType w:val="multilevel"/>
    <w:tmpl w:val="96CC8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6"/>
  </w:num>
  <w:num w:numId="3">
    <w:abstractNumId w:val="10"/>
  </w:num>
  <w:num w:numId="4">
    <w:abstractNumId w:val="11"/>
  </w:num>
  <w:num w:numId="5">
    <w:abstractNumId w:val="12"/>
  </w:num>
  <w:num w:numId="6">
    <w:abstractNumId w:val="3"/>
  </w:num>
  <w:num w:numId="7">
    <w:abstractNumId w:val="9"/>
  </w:num>
  <w:num w:numId="8">
    <w:abstractNumId w:val="8"/>
  </w:num>
  <w:num w:numId="9">
    <w:abstractNumId w:val="5"/>
  </w:num>
  <w:num w:numId="10">
    <w:abstractNumId w:val="2"/>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C20"/>
    <w:rsid w:val="001A60FA"/>
    <w:rsid w:val="00260C20"/>
    <w:rsid w:val="004135AF"/>
    <w:rsid w:val="0060623A"/>
    <w:rsid w:val="006A0CC2"/>
    <w:rsid w:val="00B83F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4D548"/>
  <w15:docId w15:val="{8AEB51A6-5CF8-4621-875E-D5BC16DA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FB6"/>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13F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13FB6"/>
  </w:style>
  <w:style w:type="paragraph" w:styleId="Piedepgina">
    <w:name w:val="footer"/>
    <w:basedOn w:val="Normal"/>
    <w:link w:val="PiedepginaCar"/>
    <w:uiPriority w:val="99"/>
    <w:unhideWhenUsed/>
    <w:rsid w:val="00D13FB6"/>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13FB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26EE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026EEA"/>
    <w:rPr>
      <w:rFonts w:ascii="Calibri" w:eastAsia="Calibri" w:hAnsi="Calibri" w:cs="Calibri"/>
      <w:lang w:eastAsia="es-MX"/>
    </w:rPr>
  </w:style>
  <w:style w:type="table" w:customStyle="1" w:styleId="4">
    <w:name w:val="4"/>
    <w:basedOn w:val="Tablanormal"/>
    <w:rsid w:val="00871626"/>
    <w:pPr>
      <w:spacing w:after="0" w:line="240" w:lineRule="auto"/>
    </w:pPr>
    <w:tblPr>
      <w:tblStyleRowBandSize w:val="1"/>
      <w:tblStyleColBandSize w:val="1"/>
      <w:tblInd w:w="0" w:type="nil"/>
    </w:tblPr>
  </w:style>
  <w:style w:type="character" w:styleId="Hipervnculo">
    <w:name w:val="Hyperlink"/>
    <w:basedOn w:val="Fuentedeprrafopredeter"/>
    <w:uiPriority w:val="99"/>
    <w:unhideWhenUsed/>
    <w:rsid w:val="00FC722E"/>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6628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2807"/>
    <w:rPr>
      <w:sz w:val="20"/>
      <w:szCs w:val="20"/>
    </w:rPr>
  </w:style>
  <w:style w:type="character" w:styleId="Refdenotaalpie">
    <w:name w:val="footnote reference"/>
    <w:basedOn w:val="Fuentedeprrafopredeter"/>
    <w:uiPriority w:val="99"/>
    <w:semiHidden/>
    <w:unhideWhenUsed/>
    <w:rsid w:val="00662807"/>
    <w:rPr>
      <w:vertAlign w:val="superscript"/>
    </w:rPr>
  </w:style>
  <w:style w:type="character" w:customStyle="1" w:styleId="TtuloCar">
    <w:name w:val="Título Car"/>
    <w:aliases w:val="Cita textual Car"/>
    <w:basedOn w:val="Fuentedeprrafopredeter"/>
    <w:link w:val="Ttulo"/>
    <w:uiPriority w:val="10"/>
    <w:rsid w:val="007745EC"/>
    <w:rPr>
      <w:b/>
      <w:sz w:val="72"/>
      <w:szCs w:val="72"/>
    </w:rPr>
  </w:style>
  <w:style w:type="table" w:styleId="Tablaconcuadrcula">
    <w:name w:val="Table Grid"/>
    <w:basedOn w:val="Tablanormal"/>
    <w:uiPriority w:val="59"/>
    <w:rsid w:val="0088323C"/>
    <w:pPr>
      <w:spacing w:after="0" w:line="240" w:lineRule="auto"/>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15" w:type="dxa"/>
        <w:right w:w="115" w:type="dxa"/>
      </w:tblCellMar>
    </w:tblPr>
  </w:style>
  <w:style w:type="table" w:customStyle="1" w:styleId="a6">
    <w:basedOn w:val="TableNormal0"/>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lalnepantla.gob.mx/"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7Ptob/flik6TTOlMA2hh5kGO4w==">CgMxLjAyCGguZ2pkZ3hzMgloLjMwajB6bGwyCWguMmV0OTJwMDIIaC50eWpjd3QyCWguM2R5NnZrbTIOaC5rZWxnczI0MjhvYTYyCWguM3pueXNoNzIJaC4zZHk2dmttOAByITFIODhtUmZBOUtGS3ItTHdEMGRPWnAxVkR6eG5RcW9sSg==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13323</Words>
  <Characters>73282</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2024-12-19T20:59:00Z</cp:lastPrinted>
  <dcterms:created xsi:type="dcterms:W3CDTF">2025-01-16T20:11:00Z</dcterms:created>
  <dcterms:modified xsi:type="dcterms:W3CDTF">2025-01-16T20:11:00Z</dcterms:modified>
</cp:coreProperties>
</file>