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de fecha dieciocho de diciembre de dos mil veinticuatro.</w:t>
      </w:r>
    </w:p>
    <w:p w:rsidR="00000000" w:rsidDel="00000000" w:rsidP="00000000" w:rsidRDefault="00000000" w:rsidRPr="00000000" w14:paraId="0000000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relativo al recurso de revisión </w:t>
      </w:r>
      <w:r w:rsidDel="00000000" w:rsidR="00000000" w:rsidRPr="00000000">
        <w:rPr>
          <w:rFonts w:ascii="Palatino Linotype" w:cs="Palatino Linotype" w:eastAsia="Palatino Linotype" w:hAnsi="Palatino Linotype"/>
          <w:b w:val="1"/>
          <w:sz w:val="22"/>
          <w:szCs w:val="22"/>
          <w:rtl w:val="0"/>
        </w:rPr>
        <w:t xml:space="preserve">07399/INFOEM/IP/RR/2024</w:t>
      </w:r>
      <w:r w:rsidDel="00000000" w:rsidR="00000000" w:rsidRPr="00000000">
        <w:rPr>
          <w:rFonts w:ascii="Palatino Linotype" w:cs="Palatino Linotype" w:eastAsia="Palatino Linotype" w:hAnsi="Palatino Linotype"/>
          <w:sz w:val="22"/>
          <w:szCs w:val="22"/>
          <w:rtl w:val="0"/>
        </w:rPr>
        <w:t xml:space="preserve">, interpuesto por </w:t>
      </w:r>
      <w:r w:rsidDel="00000000" w:rsidR="00000000" w:rsidRPr="00000000">
        <w:rPr>
          <w:rFonts w:ascii="Palatino Linotype" w:cs="Palatino Linotype" w:eastAsia="Palatino Linotype" w:hAnsi="Palatino Linotype"/>
          <w:b w:val="1"/>
          <w:sz w:val="22"/>
          <w:szCs w:val="22"/>
          <w:rtl w:val="0"/>
        </w:rPr>
        <w:t xml:space="preserve">XXXXXX XXXX XXXXXXX</w:t>
      </w:r>
      <w:r w:rsidDel="00000000" w:rsidR="00000000" w:rsidRPr="00000000">
        <w:rPr>
          <w:rFonts w:ascii="Palatino Linotype" w:cs="Palatino Linotype" w:eastAsia="Palatino Linotype" w:hAnsi="Palatino Linotype"/>
          <w:sz w:val="22"/>
          <w:szCs w:val="22"/>
          <w:rtl w:val="0"/>
        </w:rPr>
        <w:t xml:space="preserve">, en lo sucesivo se le denominará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contra de la respuesta a su solicitud de información con número de folio</w:t>
      </w:r>
      <w:r w:rsidDel="00000000" w:rsidR="00000000" w:rsidRPr="00000000">
        <w:rPr>
          <w:rFonts w:ascii="Palatino Linotype" w:cs="Palatino Linotype" w:eastAsia="Palatino Linotype" w:hAnsi="Palatino Linotype"/>
          <w:b w:val="1"/>
          <w:sz w:val="22"/>
          <w:szCs w:val="22"/>
          <w:rtl w:val="0"/>
        </w:rPr>
        <w:t xml:space="preserve"> 00126/TRIECA/IP/2024</w:t>
      </w:r>
      <w:r w:rsidDel="00000000" w:rsidR="00000000" w:rsidRPr="00000000">
        <w:rPr>
          <w:rFonts w:ascii="Palatino Linotype" w:cs="Palatino Linotype" w:eastAsia="Palatino Linotype" w:hAnsi="Palatino Linotype"/>
          <w:sz w:val="22"/>
          <w:szCs w:val="22"/>
          <w:rtl w:val="0"/>
        </w:rPr>
        <w:t xml:space="preserve">, por parte del </w:t>
      </w:r>
      <w:r w:rsidDel="00000000" w:rsidR="00000000" w:rsidRPr="00000000">
        <w:rPr>
          <w:rFonts w:ascii="Palatino Linotype" w:cs="Palatino Linotype" w:eastAsia="Palatino Linotype" w:hAnsi="Palatino Linotype"/>
          <w:b w:val="1"/>
          <w:sz w:val="22"/>
          <w:szCs w:val="22"/>
          <w:rtl w:val="0"/>
        </w:rPr>
        <w:t xml:space="preserve">Tribunal Estatal de Conciliación y Arbitraje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w:t>
      </w:r>
      <w:r w:rsidDel="00000000" w:rsidR="00000000" w:rsidRPr="00000000">
        <w:rPr>
          <w:rtl w:val="0"/>
        </w:rPr>
      </w:r>
    </w:p>
    <w:p w:rsidR="00000000" w:rsidDel="00000000" w:rsidP="00000000" w:rsidRDefault="00000000" w:rsidRPr="00000000" w14:paraId="00000004">
      <w:pPr>
        <w:spacing w:line="360" w:lineRule="auto"/>
        <w:jc w:val="cente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5">
      <w:pPr>
        <w:numPr>
          <w:ilvl w:val="0"/>
          <w:numId w:val="4"/>
        </w:numPr>
        <w:pBdr>
          <w:top w:space="0" w:sz="0" w:val="nil"/>
          <w:left w:space="0" w:sz="0" w:val="nil"/>
          <w:bottom w:space="0" w:sz="0" w:val="nil"/>
          <w:right w:space="0" w:sz="0" w:val="nil"/>
          <w:between w:space="0" w:sz="0" w:val="nil"/>
        </w:pBdr>
        <w:spacing w:line="360" w:lineRule="auto"/>
        <w:ind w:left="993" w:hanging="276.0000000000001"/>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 N T E C E D E N T E S:</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60" w:lineRule="auto"/>
        <w:ind w:left="1077"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7">
      <w:pPr>
        <w:numPr>
          <w:ilvl w:val="1"/>
          <w:numId w:val="3"/>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Solicitud de acceso a la información.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cinco de noviembre de dos mil veinticuatro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formuló solicitud de acceso a información pública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en la que requirió lo siguiente:</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9">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quien corresponda: Por este conducto me permito solicitar del expediente SAE/330/2020: A. Acuse del oficio enviado a la Secretaría de Finanzas del Estado de México para la imposición de la multa por la interposición de los incidentes improcedentes de nulidad de actuaciones y de acumulación en el expediente SAE/330/2020 que se encuentra en la Sala Auxiliar de Ecatepec del Tribunal Estatal de Conciliación y Arbitraje.”</w:t>
      </w:r>
    </w:p>
    <w:p w:rsidR="00000000" w:rsidDel="00000000" w:rsidP="00000000" w:rsidRDefault="00000000" w:rsidRPr="00000000" w14:paraId="0000000A">
      <w:pPr>
        <w:spacing w:line="360" w:lineRule="auto"/>
        <w:ind w:left="709"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0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elegida para la entrega de la información: </w:t>
      </w:r>
      <w:r w:rsidDel="00000000" w:rsidR="00000000" w:rsidRPr="00000000">
        <w:rPr>
          <w:rFonts w:ascii="Palatino Linotype" w:cs="Palatino Linotype" w:eastAsia="Palatino Linotype" w:hAnsi="Palatino Linotype"/>
          <w:sz w:val="22"/>
          <w:szCs w:val="22"/>
          <w:rtl w:val="0"/>
        </w:rPr>
        <w:t xml:space="preserve">a través del Sistema de Acceso a la Información Mexiquense. </w:t>
      </w:r>
    </w:p>
    <w:p w:rsidR="00000000" w:rsidDel="00000000" w:rsidP="00000000" w:rsidRDefault="00000000" w:rsidRPr="00000000" w14:paraId="0000000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Respuesta.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sz w:val="22"/>
          <w:szCs w:val="22"/>
          <w:rtl w:val="0"/>
        </w:rPr>
        <w:t xml:space="preserve">veintisiete de noviembre de dos mil veinticuatro</w:t>
      </w:r>
      <w:r w:rsidDel="00000000" w:rsidR="00000000" w:rsidRPr="00000000">
        <w:rPr>
          <w:rFonts w:ascii="Palatino Linotype" w:cs="Palatino Linotype" w:eastAsia="Palatino Linotype" w:hAnsi="Palatino Linotype"/>
          <w:sz w:val="22"/>
          <w:szCs w:val="22"/>
          <w:rtl w:val="0"/>
        </w:rPr>
        <w:t xml:space="preserve"> se tuvo por presentada la respuesta,</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mediante la cual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señaló de lo siguiente:</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00126/TRIECA/IP/2024 donde "A quien corresponda: Por este conducto me permito solicitar del expediente SAE/330/2020: A. Acuse del oficio enviado a la Secretaría de Finanzas del Estado de México para la imposición de la multa por la interposición de los incidentes improcedentes de nulidad de actuaciones y de acumulación en el expediente SAE/330/2020 que se encuentra en la Sala Auxiliar de Ecatepec del Tribunal Estatal de Conciliación y Arbitraje." Se solicito a la Sala correspondiente dar respuesta la cual se adjunta.</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LIC. JORGE RODRIGUEZ GAMA”</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adjuntó los documentos electrónicos</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que se describen a continuación:</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5">
      <w:pPr>
        <w:numPr>
          <w:ilvl w:val="0"/>
          <w:numId w:val="5"/>
        </w:numPr>
        <w:pBdr>
          <w:top w:space="0" w:sz="0" w:val="nil"/>
          <w:left w:space="0" w:sz="0" w:val="nil"/>
          <w:bottom w:space="0" w:sz="0" w:val="nil"/>
          <w:right w:space="0" w:sz="0" w:val="nil"/>
          <w:between w:space="0" w:sz="0" w:val="nil"/>
        </w:pBdr>
        <w:spacing w:line="360" w:lineRule="auto"/>
        <w:ind w:left="426" w:right="49"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Oficio 1887_2024.pdf: </w:t>
      </w:r>
      <w:r w:rsidDel="00000000" w:rsidR="00000000" w:rsidRPr="00000000">
        <w:rPr>
          <w:rFonts w:ascii="Palatino Linotype" w:cs="Palatino Linotype" w:eastAsia="Palatino Linotype" w:hAnsi="Palatino Linotype"/>
          <w:sz w:val="22"/>
          <w:szCs w:val="22"/>
          <w:rtl w:val="0"/>
        </w:rPr>
        <w:t xml:space="preserve">Oficio 40500001020000T/1887/2024 suscrito por el Presidente de la Sala Auxiliar de Ecatepec del Tribunal Estatal de Conciliación y Arbitraje mediante el cual refiere que de los autos que integran el expediente referido en la solicitud, refiere que no se observa algún oficio dirigido a la Secretaría de Finanzas, únicamente se localizó el oficio 400F12000/0870/2022</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de fecha veinticuatro de agosto de 2022, dirigido al Delegado Fiscal de Nezahualcóyotl, el cual se remite en PDF.</w:t>
      </w:r>
      <w:r w:rsidDel="00000000" w:rsidR="00000000" w:rsidRPr="00000000">
        <w:rPr>
          <w:rtl w:val="0"/>
        </w:rPr>
      </w:r>
    </w:p>
    <w:p w:rsidR="00000000" w:rsidDel="00000000" w:rsidP="00000000" w:rsidRDefault="00000000" w:rsidRPr="00000000" w14:paraId="00000016">
      <w:pPr>
        <w:numPr>
          <w:ilvl w:val="0"/>
          <w:numId w:val="5"/>
        </w:numPr>
        <w:pBdr>
          <w:top w:space="0" w:sz="0" w:val="nil"/>
          <w:left w:space="0" w:sz="0" w:val="nil"/>
          <w:bottom w:space="0" w:sz="0" w:val="nil"/>
          <w:right w:space="0" w:sz="0" w:val="nil"/>
          <w:between w:space="0" w:sz="0" w:val="nil"/>
        </w:pBdr>
        <w:spacing w:line="360" w:lineRule="auto"/>
        <w:ind w:left="426" w:right="49"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Oficio dirigido a Delegación fiscal de Nezahualcóyotl.pdf: Oficio </w:t>
      </w:r>
      <w:r w:rsidDel="00000000" w:rsidR="00000000" w:rsidRPr="00000000">
        <w:rPr>
          <w:rFonts w:ascii="Palatino Linotype" w:cs="Palatino Linotype" w:eastAsia="Palatino Linotype" w:hAnsi="Palatino Linotype"/>
          <w:sz w:val="22"/>
          <w:szCs w:val="22"/>
          <w:rtl w:val="0"/>
        </w:rPr>
        <w:t xml:space="preserve">400F12000/0870/2022</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de fecha veinticuatro de agosto de 2022, suscrito por la Presidenta de la Sala Auxiliar de Ecatepec del Tribunal Estatal de Conciliación y Arbitraje y dirigido al Delegado Fiscal de Nezahualcóyotl mediante el cual refiere que en cumplimiento al acuerdo dictado de fecha diecisiete de agosto de dos mil veintidós del expediente SAE/330/2020 solicita que se aplique una multa al Presidente Municipal y Apoderado Legal del Ayuntamiento de Valle de Chalco Solidaridad.</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360" w:lineRule="auto"/>
        <w:ind w:left="426" w:right="49"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18">
      <w:pPr>
        <w:numPr>
          <w:ilvl w:val="0"/>
          <w:numId w:val="3"/>
        </w:numPr>
        <w:pBdr>
          <w:top w:space="0" w:sz="0" w:val="nil"/>
          <w:left w:space="0" w:sz="0" w:val="nil"/>
          <w:bottom w:space="0" w:sz="0" w:val="nil"/>
          <w:right w:space="0" w:sz="0" w:val="nil"/>
          <w:between w:space="0" w:sz="0" w:val="nil"/>
        </w:pBdr>
        <w:tabs>
          <w:tab w:val="left" w:leader="none" w:pos="426"/>
        </w:tabs>
        <w:spacing w:line="360" w:lineRule="auto"/>
        <w:ind w:left="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la respuesta del </w:t>
      </w:r>
      <w:r w:rsidDel="00000000" w:rsidR="00000000" w:rsidRPr="00000000">
        <w:rPr>
          <w:rFonts w:ascii="Palatino Linotype" w:cs="Palatino Linotype" w:eastAsia="Palatino Linotype" w:hAnsi="Palatino Linotype"/>
          <w:b w:val="1"/>
          <w:sz w:val="22"/>
          <w:szCs w:val="22"/>
          <w:rtl w:val="0"/>
        </w:rPr>
        <w:t xml:space="preserve">SUJETO OBLIGADO el ahora RECURRENTE</w:t>
      </w:r>
      <w:r w:rsidDel="00000000" w:rsidR="00000000" w:rsidRPr="00000000">
        <w:rPr>
          <w:rFonts w:ascii="Palatino Linotype" w:cs="Palatino Linotype" w:eastAsia="Palatino Linotype" w:hAnsi="Palatino Linotype"/>
          <w:sz w:val="22"/>
          <w:szCs w:val="22"/>
          <w:rtl w:val="0"/>
        </w:rPr>
        <w:t xml:space="preserve"> interpuso recurso de revisión a través del SAIMEX en fecha </w:t>
      </w:r>
      <w:r w:rsidDel="00000000" w:rsidR="00000000" w:rsidRPr="00000000">
        <w:rPr>
          <w:rFonts w:ascii="Palatino Linotype" w:cs="Palatino Linotype" w:eastAsia="Palatino Linotype" w:hAnsi="Palatino Linotype"/>
          <w:b w:val="1"/>
          <w:sz w:val="22"/>
          <w:szCs w:val="22"/>
          <w:rtl w:val="0"/>
        </w:rPr>
        <w:t xml:space="preserve">doce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agosto de dos mil veinticuatro;</w:t>
      </w:r>
      <w:r w:rsidDel="00000000" w:rsidR="00000000" w:rsidRPr="00000000">
        <w:rPr>
          <w:rFonts w:ascii="Palatino Linotype" w:cs="Palatino Linotype" w:eastAsia="Palatino Linotype" w:hAnsi="Palatino Linotype"/>
          <w:sz w:val="22"/>
          <w:szCs w:val="22"/>
          <w:rtl w:val="0"/>
        </w:rPr>
        <w:t xml:space="preserve"> a través del cual expresó lo siguiente:</w:t>
      </w:r>
    </w:p>
    <w:p w:rsidR="00000000" w:rsidDel="00000000" w:rsidP="00000000" w:rsidRDefault="00000000" w:rsidRPr="00000000" w14:paraId="00000019">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A">
      <w:pPr>
        <w:spacing w:line="360"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Acto impugnado. </w:t>
      </w:r>
      <w:r w:rsidDel="00000000" w:rsidR="00000000" w:rsidRPr="00000000">
        <w:rPr>
          <w:rFonts w:ascii="Palatino Linotype" w:cs="Palatino Linotype" w:eastAsia="Palatino Linotype" w:hAnsi="Palatino Linotype"/>
          <w:i w:val="1"/>
          <w:sz w:val="22"/>
          <w:szCs w:val="22"/>
          <w:rtl w:val="0"/>
        </w:rPr>
        <w:t xml:space="preserve">“No se entrega lo solicitado.”.</w:t>
      </w:r>
      <w:r w:rsidDel="00000000" w:rsidR="00000000" w:rsidRPr="00000000">
        <w:rPr>
          <w:rtl w:val="0"/>
        </w:rPr>
      </w:r>
    </w:p>
    <w:p w:rsidR="00000000" w:rsidDel="00000000" w:rsidP="00000000" w:rsidRDefault="00000000" w:rsidRPr="00000000" w14:paraId="0000001B">
      <w:pPr>
        <w:spacing w:line="360" w:lineRule="auto"/>
        <w:ind w:left="567" w:right="900"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1C">
      <w:pPr>
        <w:spacing w:line="36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Motivos de inconformidad. </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Debido a la próxima conclusión de las administraciones públicas municipales que iniciaron el 01 de enero de 2022, es que se solicitó esta información sobre las multas, que a estas alturas ya se deberían haber aplicado a los dos funcionarios del ayuntamiento de Valle de Chalco Solidaridad por la interposición de incidentes que solo buscaron retrasar la resolución del conflicto, lo cual, fue posible gracias a la negligencia, a la complicidad y a la obstrucción de servidores públicos de la Sala Ecatepec, pues desde 2022 debieron haber terminado el procedimiento para que las multas fueran aplicadas, por lo tanto, se pide que el Infoem ordene la entrega de lo que se solicitó y quede constancia de la complicidad entre las autoridades de la Sala Ecatepec y del ayuntamiento de Valle de Chalco Solidaridad para emprender, en su momento, las denuncias a las que haya lugar contra los funcionarios involucrados de la Sala Ecatepec por tratar de evitar que las multas se apliquen.</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1D">
      <w:pPr>
        <w:spacing w:line="360" w:lineRule="auto"/>
        <w:ind w:left="567"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E">
      <w:pPr>
        <w:numPr>
          <w:ilvl w:val="0"/>
          <w:numId w:val="3"/>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sz w:val="22"/>
          <w:szCs w:val="22"/>
          <w:rtl w:val="0"/>
        </w:rPr>
        <w:t xml:space="preserve">07399/INFOEM/IP/RR/2024</w:t>
      </w:r>
      <w:r w:rsidDel="00000000" w:rsidR="00000000" w:rsidRPr="00000000">
        <w:rPr>
          <w:rFonts w:ascii="Palatino Linotype" w:cs="Palatino Linotype" w:eastAsia="Palatino Linotype" w:hAnsi="Palatino Linotype"/>
          <w:sz w:val="22"/>
          <w:szCs w:val="22"/>
          <w:rtl w:val="0"/>
        </w:rPr>
        <w:t xml:space="preserve">,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w:t>
      </w:r>
      <w:r w:rsidDel="00000000" w:rsidR="00000000" w:rsidRPr="00000000">
        <w:rPr>
          <w:rFonts w:ascii="Palatino Linotype" w:cs="Palatino Linotype" w:eastAsia="Palatino Linotype" w:hAnsi="Palatino Linotype"/>
          <w:sz w:val="22"/>
          <w:szCs w:val="22"/>
          <w:rtl w:val="0"/>
        </w:rPr>
        <w:t xml:space="preserve">, para su análisis, estudio, elaboración del proyecto y presentación ante el Pleno de este Instituto.</w:t>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0">
      <w:pPr>
        <w:numPr>
          <w:ilvl w:val="0"/>
          <w:numId w:val="3"/>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bookmarkStart w:colFirst="0" w:colLast="0" w:name="_heading=h.gjdgxs" w:id="0"/>
      <w:bookmarkEnd w:id="0"/>
      <w:r w:rsidDel="00000000" w:rsidR="00000000" w:rsidRPr="00000000">
        <w:rPr>
          <w:rFonts w:ascii="Palatino Linotype" w:cs="Palatino Linotype" w:eastAsia="Palatino Linotype" w:hAnsi="Palatino Linotype"/>
          <w:b w:val="1"/>
          <w:sz w:val="22"/>
          <w:szCs w:val="22"/>
          <w:rtl w:val="0"/>
        </w:rPr>
        <w:t xml:space="preserve">Admisión del recurso de revisión: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sz w:val="22"/>
          <w:szCs w:val="22"/>
          <w:rtl w:val="0"/>
        </w:rPr>
        <w:t xml:space="preserve">dos de diciembre de dos mil veinticuatro</w:t>
      </w:r>
      <w:r w:rsidDel="00000000" w:rsidR="00000000" w:rsidRPr="00000000">
        <w:rPr>
          <w:rFonts w:ascii="Palatino Linotype" w:cs="Palatino Linotype" w:eastAsia="Palatino Linotype" w:hAnsi="Palatino Linotype"/>
          <w:sz w:val="22"/>
          <w:szCs w:val="22"/>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presentara su informe justificado.</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360" w:lineRule="auto"/>
        <w:ind w:left="708"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22">
      <w:pPr>
        <w:numPr>
          <w:ilvl w:val="0"/>
          <w:numId w:val="3"/>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Manifestaciones</w:t>
      </w:r>
      <w:r w:rsidDel="00000000" w:rsidR="00000000" w:rsidRPr="00000000">
        <w:rPr>
          <w:rFonts w:ascii="Palatino Linotype" w:cs="Palatino Linotype" w:eastAsia="Palatino Linotype" w:hAnsi="Palatino Linotype"/>
          <w:sz w:val="22"/>
          <w:szCs w:val="22"/>
          <w:rtl w:val="0"/>
        </w:rPr>
        <w:t xml:space="preserve">: De las constancias que obran en el expediente electrónico del SAIMEX, se aprecia que las partes fueron omisas en realizar manifestaciones.</w:t>
      </w:r>
    </w:p>
    <w:p w:rsidR="00000000" w:rsidDel="00000000" w:rsidP="00000000" w:rsidRDefault="00000000" w:rsidRPr="00000000" w14:paraId="00000023">
      <w:pPr>
        <w:pBdr>
          <w:top w:space="0" w:sz="0" w:val="nil"/>
          <w:left w:space="0" w:sz="0" w:val="nil"/>
          <w:bottom w:space="0" w:sz="0" w:val="nil"/>
          <w:right w:space="0" w:sz="0" w:val="nil"/>
          <w:between w:space="0" w:sz="0" w:val="nil"/>
        </w:pBdr>
        <w:ind w:left="708"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1424305"/>
            <wp:effectExtent b="0" l="0" r="0" t="0"/>
            <wp:docPr id="4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612130" cy="142430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ind w:left="708"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6">
      <w:pPr>
        <w:numPr>
          <w:ilvl w:val="0"/>
          <w:numId w:val="3"/>
        </w:numPr>
        <w:pBdr>
          <w:top w:space="0" w:sz="0" w:val="nil"/>
          <w:left w:space="0" w:sz="0" w:val="nil"/>
          <w:bottom w:space="0" w:sz="0" w:val="nil"/>
          <w:right w:space="0" w:sz="0" w:val="nil"/>
          <w:between w:space="0" w:sz="0" w:val="nil"/>
        </w:pBdr>
        <w:tabs>
          <w:tab w:val="left" w:leader="none" w:pos="360"/>
        </w:tabs>
        <w:spacing w:line="360" w:lineRule="auto"/>
        <w:ind w:left="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Cierre de instrucción.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doce de diciembre de dos mil veinticuatro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leader="none" w:pos="360"/>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2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A">
      <w:pPr>
        <w:numPr>
          <w:ilvl w:val="0"/>
          <w:numId w:val="4"/>
        </w:numPr>
        <w:pBdr>
          <w:top w:space="0" w:sz="0" w:val="nil"/>
          <w:left w:space="0" w:sz="0" w:val="nil"/>
          <w:bottom w:space="0" w:sz="0" w:val="nil"/>
          <w:right w:space="0" w:sz="0" w:val="nil"/>
          <w:between w:space="0" w:sz="0" w:val="nil"/>
        </w:pBdr>
        <w:spacing w:line="360" w:lineRule="auto"/>
        <w:ind w:left="1077" w:hanging="360"/>
        <w:jc w:val="center"/>
        <w:rPr>
          <w:rFonts w:ascii="Palatino Linotype" w:cs="Palatino Linotype" w:eastAsia="Palatino Linotype" w:hAnsi="Palatino Linotype"/>
          <w:b w:val="1"/>
          <w:sz w:val="22"/>
          <w:szCs w:val="22"/>
        </w:rPr>
      </w:pPr>
      <w:bookmarkStart w:colFirst="0" w:colLast="0" w:name="_heading=h.30j0zll" w:id="1"/>
      <w:bookmarkEnd w:id="1"/>
      <w:r w:rsidDel="00000000" w:rsidR="00000000" w:rsidRPr="00000000">
        <w:rPr>
          <w:rFonts w:ascii="Palatino Linotype" w:cs="Palatino Linotype" w:eastAsia="Palatino Linotype" w:hAnsi="Palatino Linotype"/>
          <w:b w:val="1"/>
          <w:sz w:val="22"/>
          <w:szCs w:val="22"/>
          <w:rtl w:val="0"/>
        </w:rPr>
        <w:t xml:space="preserve">C O N S I D E R A N D O:</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360" w:lineRule="auto"/>
        <w:ind w:left="1077"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2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 </w:t>
      </w:r>
      <w:r w:rsidDel="00000000" w:rsidR="00000000" w:rsidRPr="00000000">
        <w:rPr>
          <w:rFonts w:ascii="Palatino Linotype" w:cs="Palatino Linotype" w:eastAsia="Palatino Linotype" w:hAnsi="Palatino Linotype"/>
          <w:sz w:val="22"/>
          <w:szCs w:val="22"/>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D">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2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2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0">
      <w:pPr>
        <w:spacing w:line="360" w:lineRule="auto"/>
        <w:ind w:right="49"/>
        <w:jc w:val="both"/>
        <w:rPr>
          <w:rFonts w:ascii="Palatino Linotype" w:cs="Palatino Linotype" w:eastAsia="Palatino Linotype" w:hAnsi="Palatino Linotype"/>
          <w:sz w:val="22"/>
          <w:szCs w:val="22"/>
        </w:rPr>
      </w:pPr>
      <w:bookmarkStart w:colFirst="0" w:colLast="0" w:name="_heading=h.1fob9te" w:id="2"/>
      <w:bookmarkEnd w:id="2"/>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proporcionó su respuesta a la solicitud de información el </w:t>
      </w:r>
      <w:r w:rsidDel="00000000" w:rsidR="00000000" w:rsidRPr="00000000">
        <w:rPr>
          <w:rFonts w:ascii="Palatino Linotype" w:cs="Palatino Linotype" w:eastAsia="Palatino Linotype" w:hAnsi="Palatino Linotype"/>
          <w:b w:val="1"/>
          <w:sz w:val="22"/>
          <w:szCs w:val="22"/>
          <w:rtl w:val="0"/>
        </w:rPr>
        <w:t xml:space="preserve">veintisiete de noviembre de dos mil veinticuatro</w:t>
      </w:r>
      <w:r w:rsidDel="00000000" w:rsidR="00000000" w:rsidRPr="00000000">
        <w:rPr>
          <w:rFonts w:ascii="Palatino Linotype" w:cs="Palatino Linotype" w:eastAsia="Palatino Linotype" w:hAnsi="Palatino Linotype"/>
          <w:sz w:val="22"/>
          <w:szCs w:val="22"/>
          <w:rtl w:val="0"/>
        </w:rPr>
        <w:t xml:space="preserve">, y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presentó su recurso de revisión el </w:t>
      </w:r>
      <w:r w:rsidDel="00000000" w:rsidR="00000000" w:rsidRPr="00000000">
        <w:rPr>
          <w:rFonts w:ascii="Palatino Linotype" w:cs="Palatino Linotype" w:eastAsia="Palatino Linotype" w:hAnsi="Palatino Linotype"/>
          <w:b w:val="1"/>
          <w:sz w:val="22"/>
          <w:szCs w:val="22"/>
          <w:rtl w:val="0"/>
        </w:rPr>
        <w:t xml:space="preserve">veintisiete de noviembre de dos mil veinticuatro</w:t>
      </w:r>
      <w:r w:rsidDel="00000000" w:rsidR="00000000" w:rsidRPr="00000000">
        <w:rPr>
          <w:rFonts w:ascii="Palatino Linotype" w:cs="Palatino Linotype" w:eastAsia="Palatino Linotype" w:hAnsi="Palatino Linotype"/>
          <w:sz w:val="22"/>
          <w:szCs w:val="22"/>
          <w:rtl w:val="0"/>
        </w:rPr>
        <w:t xml:space="preserve">, es decir, al octavo día que se tuvo por presentada, por lo que se encuentra dentro de los márgenes temporales previstos para tal efecto. </w:t>
      </w:r>
    </w:p>
    <w:p w:rsidR="00000000" w:rsidDel="00000000" w:rsidP="00000000" w:rsidRDefault="00000000" w:rsidRPr="00000000" w14:paraId="00000031">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left" w:leader="none" w:pos="1418"/>
        </w:tabs>
        <w:spacing w:after="120" w:before="120" w:lineRule="auto"/>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“RECURSO DE RECLAMACIÓN. SU INTERPOSICIÓN NO ES EXTEMPORÁNEA SI SE REALIZA ANTES DE QUE INICIE EL PLAZO PARA HACERLO</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left" w:leader="none" w:pos="1418"/>
        </w:tabs>
        <w:spacing w:after="120" w:before="12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se concluye que el presente recurso de revisión se encuentra dentro de los márgenes temporales previstos en las disposiciones legales referidas.</w:t>
      </w:r>
    </w:p>
    <w:p w:rsidR="00000000" w:rsidDel="00000000" w:rsidP="00000000" w:rsidRDefault="00000000" w:rsidRPr="00000000" w14:paraId="00000037">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Entonces,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000000" w:rsidDel="00000000" w:rsidP="00000000" w:rsidRDefault="00000000" w:rsidRPr="00000000" w14:paraId="0000003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resulta procedente la interposición del recurso de revisión al rubro anotado, toda vez que se actualiza la hipótesis prevista en el artículo 179, fracción I de la ley de la materia, que a la letra dice:</w:t>
      </w:r>
    </w:p>
    <w:p w:rsidR="00000000" w:rsidDel="00000000" w:rsidP="00000000" w:rsidRDefault="00000000" w:rsidRPr="00000000" w14:paraId="0000003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C">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D">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negativa de la información solicitada </w:t>
      </w:r>
    </w:p>
    <w:p w:rsidR="00000000" w:rsidDel="00000000" w:rsidP="00000000" w:rsidRDefault="00000000" w:rsidRPr="00000000" w14:paraId="0000003E">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F">
      <w:pPr>
        <w:spacing w:after="240" w:before="240" w:line="360" w:lineRule="auto"/>
        <w:jc w:val="both"/>
        <w:rPr/>
      </w:pPr>
      <w:r w:rsidDel="00000000" w:rsidR="00000000" w:rsidRPr="00000000">
        <w:rPr>
          <w:rFonts w:ascii="Palatino Linotype" w:cs="Palatino Linotype" w:eastAsia="Palatino Linotype" w:hAnsi="Palatino Linotype"/>
          <w:b w:val="1"/>
          <w:rtl w:val="0"/>
        </w:rPr>
        <w:t xml:space="preserve">Tercero. Análisis de las causales de improcedencia y sobreseimiento del recurso de revisión.</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r w:rsidDel="00000000" w:rsidR="00000000" w:rsidRPr="00000000">
        <w:rPr>
          <w:rtl w:val="0"/>
        </w:rPr>
      </w:r>
    </w:p>
    <w:p w:rsidR="00000000" w:rsidDel="00000000" w:rsidP="00000000" w:rsidRDefault="00000000" w:rsidRPr="00000000" w14:paraId="00000040">
      <w:pPr>
        <w:tabs>
          <w:tab w:val="left" w:leader="none" w:pos="1350"/>
        </w:tabs>
        <w:spacing w:line="360" w:lineRule="auto"/>
        <w:jc w:val="both"/>
        <w:rPr>
          <w:rFonts w:ascii="Palatino Linotype" w:cs="Palatino Linotype" w:eastAsia="Palatino Linotype" w:hAnsi="Palatino Linotype"/>
        </w:rPr>
      </w:pPr>
      <w:r w:rsidDel="00000000" w:rsidR="00000000" w:rsidRPr="00000000">
        <w:rPr>
          <w:rtl w:val="0"/>
        </w:rPr>
        <w:tab/>
      </w:r>
      <w:r w:rsidDel="00000000" w:rsidR="00000000" w:rsidRPr="00000000">
        <w:rPr>
          <w:rtl w:val="0"/>
        </w:rPr>
      </w:r>
    </w:p>
    <w:p w:rsidR="00000000" w:rsidDel="00000000" w:rsidP="00000000" w:rsidRDefault="00000000" w:rsidRPr="00000000" w14:paraId="00000041">
      <w:pPr>
        <w:spacing w:line="360" w:lineRule="auto"/>
        <w:jc w:val="both"/>
        <w:rPr/>
      </w:pPr>
      <w:r w:rsidDel="00000000" w:rsidR="00000000" w:rsidRPr="00000000">
        <w:rPr>
          <w:rFonts w:ascii="Palatino Linotype" w:cs="Palatino Linotype" w:eastAsia="Palatino Linotype" w:hAnsi="Palatino Linotype"/>
          <w:rtl w:val="0"/>
        </w:rPr>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este no se coarta por regular causas de improcedencia y sobreseimiento con tales fines.</w:t>
      </w:r>
      <w:r w:rsidDel="00000000" w:rsidR="00000000" w:rsidRPr="00000000">
        <w:rPr>
          <w:rtl w:val="0"/>
        </w:rPr>
      </w:r>
    </w:p>
    <w:p w:rsidR="00000000" w:rsidDel="00000000" w:rsidP="00000000" w:rsidRDefault="00000000" w:rsidRPr="00000000" w14:paraId="00000042">
      <w:pPr>
        <w:spacing w:line="360" w:lineRule="auto"/>
        <w:rPr/>
      </w:pPr>
      <w:r w:rsidDel="00000000" w:rsidR="00000000" w:rsidRPr="00000000">
        <w:rPr>
          <w:rtl w:val="0"/>
        </w:rPr>
      </w:r>
    </w:p>
    <w:p w:rsidR="00000000" w:rsidDel="00000000" w:rsidP="00000000" w:rsidRDefault="00000000" w:rsidRPr="00000000" w14:paraId="00000043">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manera preliminar en el caso concreto conviene analizar si se actualiza alguna de las causales de sobreseimiento del recurso de revisión.</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principio, resulta conveniente recordar que la pretensión de la parte Recurrente es obtener la información relativa al acuse del oficio enviado a la Secretaría de Finanzas para la imposición de multa por la interposición de incidentes improcedentes de nulidad de actuaciones y de acumulación, esto del expediente </w:t>
      </w:r>
      <w:r w:rsidDel="00000000" w:rsidR="00000000" w:rsidRPr="00000000">
        <w:rPr>
          <w:rFonts w:ascii="Palatino Linotype" w:cs="Palatino Linotype" w:eastAsia="Palatino Linotype" w:hAnsi="Palatino Linotype"/>
          <w:i w:val="1"/>
          <w:sz w:val="22"/>
          <w:szCs w:val="22"/>
          <w:rtl w:val="0"/>
        </w:rPr>
        <w:t xml:space="preserve">SAE/330/2020</w:t>
      </w:r>
      <w:r w:rsidDel="00000000" w:rsidR="00000000" w:rsidRPr="00000000">
        <w:rPr>
          <w:rFonts w:ascii="Palatino Linotype" w:cs="Palatino Linotype" w:eastAsia="Palatino Linotype" w:hAnsi="Palatino Linotype"/>
          <w:sz w:val="22"/>
          <w:szCs w:val="22"/>
          <w:rtl w:val="0"/>
        </w:rPr>
        <w:t xml:space="preserve"> radicado en la Sala Auxiliar de Ecatepec del Tribunal Estatal de Conciliación y Arbitraje.</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Sujeto Obligado, a través del Presidente de la Sala Auxiliar de Ecatepec del Tribunal Estatal de Conciliación y Arbitraje refirió que, de los autos del expediente de referencia, no se localizó ningún oficio dirigido a la Secretaría de Finanzas, sólo se localizó el oficio 400F12000/0870/2022</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de fecha veinticuatro de agosto de 2022, dirigido al Delegado Fiscal de Nezahualcóyotl.</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Recurrente promovió su escrito de recurso de revisión señalando que no se entregó lo solicitado.</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necesario precisar que, quien emitió respuesta a la solicitud es el Presidente de la Sala Auxiliar de Ecatepec del Tribunal Estatal de Conciliación y Arbitraje, ante tal circunstancia, es necesario traer a contexto el Reglamento Interior del Tribunal Estatal de Conciliación y Arbitraje, que dispone lo siguiente:</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7.- El Tribunal y las Salas contarán con los servidores públicos y unidades administrativas que sean necesarios y que el presupuesto de egresos permita, como son: </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B). PARA LAS SALAS </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Pleno de Sala; </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Presidente de Sala; </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Secretarios Auxiliares; </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Secretarios de Acuerdos; </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Actuarios; y </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Conciliadores.</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line="276" w:lineRule="auto"/>
        <w:ind w:left="567"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CAPÍTULO IV</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line="276" w:lineRule="auto"/>
        <w:ind w:left="567"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DEL FUNCIONAMIENTO DE LAS SALAS AUXILIARES</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line="276" w:lineRule="auto"/>
        <w:ind w:left="567"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SECCIÓN PRIMERA</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line="276" w:lineRule="auto"/>
        <w:ind w:left="567"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DEL PLENO DE LAS SALAS AUXILIARES</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38.- El Pleno de las Salas es el órgano supremo y sus disposiciones son obligatorias, celebrará Sesiones Ordinarias dos veces al mes, para conocer y resolver los asuntos de su competencia e informando de los mismos a los Representantes. </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Asimismo, podrán celebrar Sesiones Extraordinarias, en las que se tratarán la elección del Presidente de Sala, y los asuntos que propongan éste o alguno de los Representantes y cuando sea necesario según propuesta que les haga el Presidente del Tribunal. </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39.- El Pleno de cada una de las Salas, tendrá las facultades y obligaciones siguientes: </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Conocer y resolver los asuntos de su competencia; </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Conocer de las excusas que presente alguno de los Representantes; </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Emitir y firmar las resoluciones en las que se haga necesaria la concurrencia del Pleno; </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Discutir, aprobar y firmar los laudos que sean sometidos a su consideración; y </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Las demás que les confieran las Leyes.</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276" w:lineRule="auto"/>
        <w:ind w:left="567"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SECCIÓN SEGUNDA</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276" w:lineRule="auto"/>
        <w:ind w:left="567"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LOS PESIDENTES DE SALAS AUXILIARES</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40.- Los Presidentes de Salas, en el ámbito de su competencia, tendrán las facultades y obligaciones siguientes:</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Presidir el Pleno de la Sala y convocar a Sesiones Ordinarias y Sesiones Extraordinarias, formulando el orden del día; </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Ejecutar los laudos emitidos por el Pleno y los convenios celebrados ante la Sala a su cargo, empleando los medios de apremio que la Ley les autorice; </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Revisar los actos de los Actuarios en las ejecuciones de los laudos y los convenios; </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Adscribir a los servidores públicos de la Sala a su cargo, a sus diferentes unidades administrativas, para su mejor funcionamiento, previo acuerdo con el Presidente del Tribunal; </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Cuidar el buen funcionamiento de la Sala a su cargo, así como el orden y disciplina del personal de las mismas, imponiendo las sanciones administrativas que el presente Reglamento establece así como las que la Ley autorice; </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Rendir informe de actividades de los asuntos de la Sala a su cargo, quincenalmente a los Representantes del Pleno y diariamente al Presidente del Tribunal;</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Vigilar que se engrosen los laudos emitidos, discutidos y aprobados; </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Vigilar que los Secretarios de Acuerdos de la Sala prevengan sobre la oscuridad o defecto de la demanda del servidor público en términos de Ley; </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Interrogar libremente a las partes, a los testigos y a los peritos que intervengan en el juicio, para el esclarecimiento de la verdad; </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 Proveer lo necesario para que los asuntos en trámite, no queden inactivos; </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 Cumplimentar los exhortos que le sean turnados por otros Tribunales; </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 Imponer los medios de apremio y correcciones disciplinarias que señala la Ley, para mantener el buen orden y asegurar el cumplimiento de sus resoluciones, y aquellas que por razón de sus facultades tenga que dictar; </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XIII. Rendir los informes en los Amparos que se interpongan en contra de los laudos y resoluciones que emita la Sala a su cargo; </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XIV. Determinar dentro de los Secretarios Auxiliares adscritos a la Sala a su cargo, quién fungirá como Secretario del Pleno de la misma y; </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 Las demás que le confiera la Ley</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la interpretación a la normatividad citada, se determina que el Tribunal, para el correcto funcionamiento cuenta con salas auxiliares, las cuales contarán con un Pleno; Presidente; Secretarios auxiliares; Secretarios de Acuerdos; Actuarios y Conciliadores. Al respecto, el Presidente de cada Sala Auxiliar, tiene entre sus atribuciones, entre otras, ejecutar los laudos emitidos por el Pleno; Revisar los actos de los Actuarios; e Imponer los medios de apremio y correcciones disciplinarias para asegurar el cumplimiento de las resoluciones, por lo que se determina que se turnó la solicitud al área que cuenta con atribuciones para atender el requerimiento del particular.</w:t>
      </w:r>
    </w:p>
    <w:p w:rsidR="00000000" w:rsidDel="00000000" w:rsidP="00000000" w:rsidRDefault="00000000" w:rsidRPr="00000000" w14:paraId="0000007C">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Siguiendo con ello el procedimiento para la atención a las solicitudes de acceso a la información, establecido en los artículos 151, 160, 162, 163, 164, 165 y 166, de la Ley de Transparencia y Acceso a la Información Pública del Estado de México y Municipios: </w:t>
      </w:r>
    </w:p>
    <w:p w:rsidR="00000000" w:rsidDel="00000000" w:rsidP="00000000" w:rsidRDefault="00000000" w:rsidRPr="00000000" w14:paraId="0000007D">
      <w:pP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rsidR="00000000" w:rsidDel="00000000" w:rsidP="00000000" w:rsidRDefault="00000000" w:rsidRPr="00000000" w14:paraId="0000007E">
      <w:pP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 respuesta a los requerimientos informativos, deberá notificarse al interesado en el menor tiempo posible, que no podrá exceder de quince días hábiles, contados a partir del día siguiente a la presentación de esta.  </w:t>
      </w:r>
    </w:p>
    <w:p w:rsidR="00000000" w:rsidDel="00000000" w:rsidP="00000000" w:rsidRDefault="00000000" w:rsidRPr="00000000" w14:paraId="0000007F">
      <w:pP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Excepcionalmente, el plazo referido podrá ampliarse por siete días hábiles más, cuando existan razones fundadas y motivadas, a través del Comité de Transparencia; </w:t>
      </w:r>
    </w:p>
    <w:p w:rsidR="00000000" w:rsidDel="00000000" w:rsidP="00000000" w:rsidRDefault="00000000" w:rsidRPr="00000000" w14:paraId="00000080">
      <w:pP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rsidR="00000000" w:rsidDel="00000000" w:rsidP="00000000" w:rsidRDefault="00000000" w:rsidRPr="00000000" w14:paraId="00000081">
      <w:pP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rsidR="00000000" w:rsidDel="00000000" w:rsidP="00000000" w:rsidRDefault="00000000" w:rsidRPr="00000000" w14:paraId="00000082">
      <w:pP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orden de ideas, se reitera que la Unidad de Transparencia turnó la solicitud de información al Presidente de la Sala Auxiliar de Ecatepec del Tribunal Estatal de Conciliación y Arbitraje, la cual cuenta con atribuciones para generar, administrar o poseer la información requerida; conforme al Reglamento Interior del Sujeto Obligado, con lo que se acreditó que se realizó una correcta búsqueda exhaustiva y razonable de la información.</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presente asunto, en atención a la solicitud al requerimiento, el Sujeto Obligado señaló lo siguiente:</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7">
      <w:pPr>
        <w:numPr>
          <w:ilvl w:val="0"/>
          <w:numId w:val="1"/>
        </w:numPr>
        <w:pBdr>
          <w:top w:space="0" w:sz="0" w:val="nil"/>
          <w:left w:space="0" w:sz="0" w:val="nil"/>
          <w:bottom w:space="0" w:sz="0" w:val="nil"/>
          <w:right w:space="0" w:sz="0" w:val="nil"/>
          <w:between w:space="0" w:sz="0" w:val="nil"/>
        </w:pBdr>
        <w:spacing w:line="360" w:lineRule="auto"/>
        <w:ind w:left="720" w:right="-15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la revisión a los autos del expediente no se localizó oficio remitido a la Secretaría de Finanzas; y,</w:t>
      </w:r>
    </w:p>
    <w:p w:rsidR="00000000" w:rsidDel="00000000" w:rsidP="00000000" w:rsidRDefault="00000000" w:rsidRPr="00000000" w14:paraId="00000088">
      <w:pPr>
        <w:numPr>
          <w:ilvl w:val="0"/>
          <w:numId w:val="1"/>
        </w:numPr>
        <w:pBdr>
          <w:top w:space="0" w:sz="0" w:val="nil"/>
          <w:left w:space="0" w:sz="0" w:val="nil"/>
          <w:bottom w:space="0" w:sz="0" w:val="nil"/>
          <w:right w:space="0" w:sz="0" w:val="nil"/>
          <w:between w:space="0" w:sz="0" w:val="nil"/>
        </w:pBdr>
        <w:spacing w:line="360" w:lineRule="auto"/>
        <w:ind w:left="720" w:right="-15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localizó y entregó el oficio 400F12000/0870/2022</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de fecha veinticuatro de agosto de 2022, dirigido al Delegado Fiscal de Nezahualcóyotl.</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line="360" w:lineRule="auto"/>
        <w:ind w:left="720" w:right="-15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pasa desapercibido que el oficio que se entregó en respuesta se remitió al Delegado Fiscal de Nezahualcóyotl, dicha dependencia, se encuentra adscrita a la Secretaría de Finanzas, conforme al organigrama de este último, se inserta imagen de referencia:</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3751580"/>
            <wp:effectExtent b="0" l="0" r="0" t="0"/>
            <wp:docPr id="4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612130" cy="375158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2425700</wp:posOffset>
                </wp:positionH>
                <wp:positionV relativeFrom="paragraph">
                  <wp:posOffset>2616200</wp:posOffset>
                </wp:positionV>
                <wp:extent cx="759409" cy="496062"/>
                <wp:effectExtent b="0" l="0" r="0" t="0"/>
                <wp:wrapNone/>
                <wp:docPr id="39" name=""/>
                <a:graphic>
                  <a:graphicData uri="http://schemas.microsoft.com/office/word/2010/wordprocessingShape">
                    <wps:wsp>
                      <wps:cNvSpPr/>
                      <wps:cNvPr id="2" name="Shape 2"/>
                      <wps:spPr>
                        <a:xfrm>
                          <a:off x="4994871" y="3560544"/>
                          <a:ext cx="702259" cy="438912"/>
                        </a:xfrm>
                        <a:prstGeom prst="rect">
                          <a:avLst/>
                        </a:prstGeom>
                        <a:noFill/>
                        <a:ln cap="flat" cmpd="sng" w="2857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2425700</wp:posOffset>
                </wp:positionH>
                <wp:positionV relativeFrom="paragraph">
                  <wp:posOffset>2616200</wp:posOffset>
                </wp:positionV>
                <wp:extent cx="759409" cy="496062"/>
                <wp:effectExtent b="0" l="0" r="0" t="0"/>
                <wp:wrapNone/>
                <wp:docPr id="39"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759409" cy="496062"/>
                        </a:xfrm>
                        <a:prstGeom prst="rect"/>
                        <a:ln/>
                      </pic:spPr>
                    </pic:pic>
                  </a:graphicData>
                </a:graphic>
              </wp:anchor>
            </w:drawing>
          </mc:Fallback>
        </mc:AlternateContent>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Dicho documento, en su contenido refiere que en cumplimiento al acuerdo dictado de fecha diecisiete de agosto de dos mil veintidós del expediente SAE/330/2020 solicita que se aplique una multa al Presidente Municipal y Apoderado Legal del Ayuntamiento de Valle de Chalco Solidaridad, por lo que corresponde a la información requerida por el Particular, atendiendo su requerimiento.</w:t>
      </w: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consecuencia, al existir un pronunciamiento por parte del área, es que no se puede dudar de la veracidad. Sirve de apoyo a lo anterior por analogía </w:t>
      </w:r>
      <w:r w:rsidDel="00000000" w:rsidR="00000000" w:rsidRPr="00000000">
        <w:rPr>
          <w:rFonts w:ascii="Palatino Linotype" w:cs="Palatino Linotype" w:eastAsia="Palatino Linotype" w:hAnsi="Palatino Linotype"/>
          <w:b w:val="1"/>
          <w:sz w:val="22"/>
          <w:szCs w:val="22"/>
          <w:rtl w:val="0"/>
        </w:rPr>
        <w:t xml:space="preserve">el criterio histórico 31-10 </w:t>
      </w:r>
      <w:r w:rsidDel="00000000" w:rsidR="00000000" w:rsidRPr="00000000">
        <w:rPr>
          <w:rFonts w:ascii="Palatino Linotype" w:cs="Palatino Linotype" w:eastAsia="Palatino Linotype" w:hAnsi="Palatino Linotype"/>
          <w:sz w:val="22"/>
          <w:szCs w:val="22"/>
          <w:rtl w:val="0"/>
        </w:rPr>
        <w:t xml:space="preserve">emitido por el entonces Instituto Federal de Acceso a la Información y Protección de Datos, que a la letra dice:  </w:t>
      </w:r>
    </w:p>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left" w:leader="none" w:pos="1740"/>
        </w:tabs>
        <w:ind w:left="708" w:firstLine="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ab/>
      </w:r>
    </w:p>
    <w:p w:rsidR="00000000" w:rsidDel="00000000" w:rsidP="00000000" w:rsidRDefault="00000000" w:rsidRPr="00000000" w14:paraId="00000092">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El Instituto Federal de Acceso a la Información y Protección de Datos no cuenta con facultades para pronunciarse respecto de la veracidad de los documentos proporcionados por los sujetos obligados.</w:t>
      </w:r>
      <w:r w:rsidDel="00000000" w:rsidR="00000000" w:rsidRPr="00000000">
        <w:rPr>
          <w:rFonts w:ascii="Palatino Linotype" w:cs="Palatino Linotype" w:eastAsia="Palatino Linotype" w:hAnsi="Palatino Linotype"/>
          <w:i w:val="1"/>
          <w:sz w:val="22"/>
          <w:szCs w:val="22"/>
          <w:rtl w:val="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left" w:leader="none" w:pos="284"/>
        </w:tabs>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Este Órgano Garante carece de facultades para dudar de la veracidad sobre la información proporcionada por el Sujeto Obligado, en consecuencia, deben declararse atendidos dichos requerimientos. </w:t>
      </w:r>
    </w:p>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left" w:leader="none" w:pos="284"/>
        </w:tabs>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último, no pasa desapercibido que el Recurrente en su escrito de recurso de revisión manifestó “</w:t>
      </w:r>
      <w:r w:rsidDel="00000000" w:rsidR="00000000" w:rsidRPr="00000000">
        <w:rPr>
          <w:rFonts w:ascii="Palatino Linotype" w:cs="Palatino Linotype" w:eastAsia="Palatino Linotype" w:hAnsi="Palatino Linotype"/>
          <w:b w:val="1"/>
          <w:i w:val="1"/>
          <w:sz w:val="22"/>
          <w:szCs w:val="22"/>
          <w:u w:val="single"/>
          <w:rtl w:val="0"/>
        </w:rPr>
        <w:t xml:space="preserve">Debido a la próxima conclusión de las administraciones públicas municipales que iniciaron el 01 de enero de 2022, es que se solicitó esta información sobre las multas, que a estas alturas ya se deberían haber aplicado a los dos funcionarios del ayuntamiento de Valle de Chalco Solidaridad por la interposición de incidentes que solo buscaron retrasar la resolución del conflicto, lo cual, fue posible gracias a la negligencia, a la complicidad y a la obstrucción de servidores públicos de la Sala Ecatepec, pues desde 2022 debieron haber terminado el procedimiento para que las multas fueran aplicadas, por lo tanto,</w:t>
      </w:r>
      <w:r w:rsidDel="00000000" w:rsidR="00000000" w:rsidRPr="00000000">
        <w:rPr>
          <w:rFonts w:ascii="Palatino Linotype" w:cs="Palatino Linotype" w:eastAsia="Palatino Linotype" w:hAnsi="Palatino Linotype"/>
          <w:i w:val="1"/>
          <w:sz w:val="22"/>
          <w:szCs w:val="22"/>
          <w:rtl w:val="0"/>
        </w:rPr>
        <w:t xml:space="preserve"> se pide que el Infoem ordene la entrega de lo que se solicitó </w:t>
      </w:r>
      <w:r w:rsidDel="00000000" w:rsidR="00000000" w:rsidRPr="00000000">
        <w:rPr>
          <w:rFonts w:ascii="Palatino Linotype" w:cs="Palatino Linotype" w:eastAsia="Palatino Linotype" w:hAnsi="Palatino Linotype"/>
          <w:b w:val="1"/>
          <w:i w:val="1"/>
          <w:sz w:val="22"/>
          <w:szCs w:val="22"/>
          <w:u w:val="single"/>
          <w:rtl w:val="0"/>
        </w:rPr>
        <w:t xml:space="preserve">y quede constancia de la complicidad entre las autoridades de la Sala Ecatepec y del ayuntamiento de Valle de Chalco Solidaridad para emprender, en su momento, las denuncias a las que haya lugar contra los funcionarios involucrados de la Sala Ecatepec por tratar de evitar que las multas se apliquen</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left" w:leader="none" w:pos="284"/>
        </w:tabs>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cual corresponde a una serie de manifestaciones  que se alejan de la materia del derecho de acceso a la información pública, por lo que no son atendibles por esta vía, asimismo, se hace de conocimiento al Recurrente que el recurso de revisión no es el medio para investigar ni sancionar a servidores públicos, por lo que, se dejan a salvo sus derechos, para presentar queja o denuncia ante las autoridades correspondientes.</w:t>
      </w:r>
    </w:p>
    <w:p w:rsidR="00000000" w:rsidDel="00000000" w:rsidP="00000000" w:rsidRDefault="00000000" w:rsidRPr="00000000" w14:paraId="00000096">
      <w:pPr>
        <w:numPr>
          <w:ilvl w:val="0"/>
          <w:numId w:val="2"/>
        </w:numPr>
        <w:pBdr>
          <w:top w:space="0" w:sz="0" w:val="nil"/>
          <w:left w:space="0" w:sz="0" w:val="nil"/>
          <w:bottom w:space="0" w:sz="0" w:val="nil"/>
          <w:right w:space="0" w:sz="0" w:val="nil"/>
          <w:between w:space="0" w:sz="0" w:val="nil"/>
        </w:pBdr>
        <w:spacing w:line="360" w:lineRule="auto"/>
        <w:ind w:left="426"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 la  vista a la Dirección General de Protección de Datos Personales. </w:t>
      </w:r>
    </w:p>
    <w:p w:rsidR="00000000" w:rsidDel="00000000" w:rsidP="00000000" w:rsidRDefault="00000000" w:rsidRPr="00000000" w14:paraId="0000009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de la información proporcionada en respuesta, se logra advertir que el Sujeto Obligado dejó visibles nombres de los promoventes en juicios laborales, los cuales pudieran ser susceptibles de clasificarse como confidenciales, circunstancia que vulnera lo previsto en el artículo 143, fracción I, de la Ley de Transparencia y Acceso a la Información Pública del Estado de México y Municipios, por los argumentos expuestos anteriormente.  </w:t>
      </w:r>
    </w:p>
    <w:p w:rsidR="00000000" w:rsidDel="00000000" w:rsidP="00000000" w:rsidRDefault="00000000" w:rsidRPr="00000000" w14:paraId="00000099">
      <w:pPr>
        <w:spacing w:line="360" w:lineRule="auto"/>
        <w:jc w:val="both"/>
        <w:rPr>
          <w:rFonts w:ascii="Palatino Linotype" w:cs="Palatino Linotype" w:eastAsia="Palatino Linotype" w:hAnsi="Palatino Linotype"/>
          <w:strike w:val="1"/>
          <w:sz w:val="22"/>
          <w:szCs w:val="22"/>
        </w:rPr>
      </w:pPr>
      <w:r w:rsidDel="00000000" w:rsidR="00000000" w:rsidRPr="00000000">
        <w:rPr>
          <w:rtl w:val="0"/>
        </w:rPr>
      </w:r>
    </w:p>
    <w:p w:rsidR="00000000" w:rsidDel="00000000" w:rsidP="00000000" w:rsidRDefault="00000000" w:rsidRPr="00000000" w14:paraId="0000009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se considera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que determine lo correspondiente.</w:t>
      </w:r>
    </w:p>
    <w:p w:rsidR="00000000" w:rsidDel="00000000" w:rsidP="00000000" w:rsidRDefault="00000000" w:rsidRPr="00000000" w14:paraId="0000009B">
      <w:pPr>
        <w:pBdr>
          <w:top w:space="0" w:sz="0" w:val="nil"/>
          <w:left w:space="0" w:sz="0" w:val="nil"/>
          <w:bottom w:space="0" w:sz="0" w:val="nil"/>
          <w:right w:space="0" w:sz="0" w:val="nil"/>
          <w:between w:space="0" w:sz="0" w:val="nil"/>
        </w:pBdr>
        <w:ind w:left="708"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left" w:leader="none" w:pos="851"/>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en apego al Criterio de interpretación, con clave de control SO/015/2023, de la Tercera Época, emitido por el Instituto Nacional de Transparencia y Acceso a la Información y Protección de Datos Personales, en el cual se precisa lo siguiente:</w:t>
      </w:r>
    </w:p>
    <w:p w:rsidR="00000000" w:rsidDel="00000000" w:rsidP="00000000" w:rsidRDefault="00000000" w:rsidRPr="00000000" w14:paraId="0000009D">
      <w:pPr>
        <w:pBdr>
          <w:top w:space="0" w:sz="0" w:val="nil"/>
          <w:left w:space="0" w:sz="0" w:val="nil"/>
          <w:bottom w:space="0" w:sz="0" w:val="nil"/>
          <w:right w:space="0" w:sz="0" w:val="nil"/>
          <w:between w:space="0" w:sz="0" w:val="nil"/>
        </w:pBdr>
        <w:ind w:left="708"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E">
      <w:pPr>
        <w:spacing w:before="240"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Nombre de actores en juicios laborales. Constituye, en principio, información confidencial.</w:t>
      </w:r>
      <w:r w:rsidDel="00000000" w:rsidR="00000000" w:rsidRPr="00000000">
        <w:rPr>
          <w:rFonts w:ascii="Palatino Linotype" w:cs="Palatino Linotype" w:eastAsia="Palatino Linotype" w:hAnsi="Palatino Linotype"/>
          <w:i w:val="1"/>
          <w:sz w:val="22"/>
          <w:szCs w:val="22"/>
          <w:rtl w:val="0"/>
        </w:rPr>
        <w:t xml:space="preserve"> El nombre es un atributo de la personalidad y la manifestación principal del derecho a la identidad, debido a que por sí mismo permite identificar a una persona física. Por lo que respecta al nombre de las personas que han entablado un juicio laboral, éste permite identificar a quienes presentaron una demanda laboral y participan en un juicio, lo cual constituye una decisión personal que refleja un acto de voluntad de quien lo realiza. En efecto, las acciones legales que emprende la parte actora en el ejercicio de sus derechos laborales hacen evidente la posición jurídica en la cual se ha colocado por decisión propia, con relación a determinados entes públicos, para la obtención de algunas prestaciones laborales o económicas, lo cual constituye cuestiones de carácter estrictamente privado. En este tenor, el nombre de la parte actora en un juicio laboral que se encuentra en trámite o que, en su defecto, concluyó con la emisión de un laudo desfavorable a los intereses personales de dicha parte, constituye información confidencial. No obstante, procede la entrega del nombre de las partes actoras en juicios laborales cuando, en definitiva, se haya condenado al sujeto obligado demandado al pago de las prestaciones económicas reclamadas y/o a la reinstalación de la persona servidora pública, en virtud de que el cumplimiento de dicho fallo se realiza necesariamente con recursos públicos a cargo del presupuesto del sujeto obligado, lo cual por una parte permite dar cumplimiento a la obligación de transparentar la gestión pública y por la otra favorece la rendición de cuentas a las y los ciudadanos, ya que se refiere al ejercicio de los recursos públicos y al cumplimiento que se da a las resoluciones emitidas por alguna autoridad jurisdiccional encargada de dirimir conflictos laborales.</w:t>
      </w:r>
    </w:p>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left" w:leader="none" w:pos="851"/>
        </w:tabs>
        <w:spacing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nombre de los actores en conflictos laborales, evidencian un acto de voluntad de quien lo realiza y refleja la posición jurídica en la que se han colocado por decisión propia, con la finalidad de obtener sus pretensiones laborales, las cuales revisten de carácter estrictamente privado; por lo cual, el nombre de los actores de los juicios laborales que se encuentran en trámite o que, en su defecto, concluyeron con la emisión de un laudo desfavorable, se trata de información confidencial;</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sin embargo, </w:t>
      </w:r>
      <w:r w:rsidDel="00000000" w:rsidR="00000000" w:rsidRPr="00000000">
        <w:rPr>
          <w:rFonts w:ascii="Palatino Linotype" w:cs="Palatino Linotype" w:eastAsia="Palatino Linotype" w:hAnsi="Palatino Linotype"/>
          <w:b w:val="1"/>
          <w:sz w:val="22"/>
          <w:szCs w:val="22"/>
          <w:rtl w:val="0"/>
        </w:rPr>
        <w:t xml:space="preserve">procede la entrega de dicho dato, cuando en definitiva se haya condenado a una dependencia o entidad al pago de las prestaciones económicas reclamadas o la reinstalación del servidor público.</w:t>
      </w: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left" w:leader="none" w:pos="851"/>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left" w:leader="none" w:pos="851"/>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logra observar, únicamente procede la entrega de los nombres de los actores que hayan obtenido una determinación del Tribunal Estatal de Conciliación y Arbitraje favorable, que implique el pago de las prestaciones o bien, la reinstalación, pues el cumplimiento de dicha resolución, </w:t>
      </w:r>
      <w:r w:rsidDel="00000000" w:rsidR="00000000" w:rsidRPr="00000000">
        <w:rPr>
          <w:rFonts w:ascii="Palatino Linotype" w:cs="Palatino Linotype" w:eastAsia="Palatino Linotype" w:hAnsi="Palatino Linotype"/>
          <w:b w:val="1"/>
          <w:sz w:val="22"/>
          <w:szCs w:val="22"/>
          <w:rtl w:val="0"/>
        </w:rPr>
        <w:t xml:space="preserve">se realiza necesariamente con recursos públicos; </w:t>
      </w:r>
      <w:r w:rsidDel="00000000" w:rsidR="00000000" w:rsidRPr="00000000">
        <w:rPr>
          <w:rFonts w:ascii="Palatino Linotype" w:cs="Palatino Linotype" w:eastAsia="Palatino Linotype" w:hAnsi="Palatino Linotype"/>
          <w:sz w:val="22"/>
          <w:szCs w:val="22"/>
          <w:rtl w:val="0"/>
        </w:rPr>
        <w:t xml:space="preserve">por lo que, procede su clasificación, únicamente en el caso, de que el juicio este en trámite o bien, el Laudo sea desfavorable para el Actor, en términos del artículo 143, fracción I, de la Ley de la materia.</w:t>
      </w:r>
    </w:p>
    <w:p w:rsidR="00000000" w:rsidDel="00000000" w:rsidP="00000000" w:rsidRDefault="00000000" w:rsidRPr="00000000" w14:paraId="000000A2">
      <w:pPr>
        <w:pBdr>
          <w:top w:space="0" w:sz="0" w:val="nil"/>
          <w:left w:space="0" w:sz="0" w:val="nil"/>
          <w:bottom w:space="0" w:sz="0" w:val="nil"/>
          <w:right w:space="0" w:sz="0" w:val="nil"/>
          <w:between w:space="0" w:sz="0" w:val="nil"/>
        </w:pBdr>
        <w:ind w:left="708"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left" w:leader="none" w:pos="851"/>
        </w:tabs>
        <w:spacing w:after="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contexto, en el presente asunto no se tiene la certeza de la existencia de un laudo favorable o desfavorable al actor, por lo que, se procede dar vista a la Dirección General de Protección de Datos Personales de este Organismo Garante para que determina lo conducente.</w:t>
      </w:r>
    </w:p>
    <w:p w:rsidR="00000000" w:rsidDel="00000000" w:rsidP="00000000" w:rsidRDefault="00000000" w:rsidRPr="00000000" w14:paraId="000000A4">
      <w:pPr>
        <w:spacing w:after="240" w:before="240" w:line="360" w:lineRule="auto"/>
        <w:ind w:right="96"/>
        <w:jc w:val="both"/>
        <w:rPr>
          <w:rFonts w:ascii="Palatino Linotype" w:cs="Palatino Linotype" w:eastAsia="Palatino Linotype" w:hAnsi="Palatino Linotype"/>
        </w:rPr>
      </w:pPr>
      <w:bookmarkStart w:colFirst="0" w:colLast="0" w:name="_heading=h.2et92p0" w:id="3"/>
      <w:bookmarkEnd w:id="3"/>
      <w:r w:rsidDel="00000000" w:rsidR="00000000" w:rsidRPr="00000000">
        <w:rPr>
          <w:rFonts w:ascii="Palatino Linotype" w:cs="Palatino Linotype" w:eastAsia="Palatino Linotype" w:hAnsi="Palatino Linotype"/>
          <w:rtl w:val="0"/>
        </w:rPr>
        <w:t xml:space="preserve">Por lo tanto, en virtud de  los argumentos expuestos con anterioridad así como del análisis realizado a las constancias que obran en el expediente electrónico, si bien el Sujeto Obligado entregó el documento que atiende el requerimiento del particular; también lo es que al haberse dejado a la vista el nombre de las partes del expediente es que se determina que la respuesta no cumplió con los parámetros establecidos en la Ley, al no tener certeza respecto de si procedía en el caso particular la publicidad del nombre de los actores, por las consideraciones antes expuestas, es por ello que se determina </w:t>
      </w:r>
      <w:r w:rsidDel="00000000" w:rsidR="00000000" w:rsidRPr="00000000">
        <w:rPr>
          <w:rFonts w:ascii="Palatino Linotype" w:cs="Palatino Linotype" w:eastAsia="Palatino Linotype" w:hAnsi="Palatino Linotype"/>
          <w:i w:val="1"/>
          <w:rtl w:val="0"/>
        </w:rPr>
        <w:t xml:space="preserve">sobreseer </w:t>
      </w:r>
      <w:r w:rsidDel="00000000" w:rsidR="00000000" w:rsidRPr="00000000">
        <w:rPr>
          <w:rFonts w:ascii="Palatino Linotype" w:cs="Palatino Linotype" w:eastAsia="Palatino Linotype" w:hAnsi="Palatino Linotype"/>
          <w:rtl w:val="0"/>
        </w:rPr>
        <w:t xml:space="preserve">el presente recurso de revisión por actualizarse la causal de sobreseimiento prevista en la fracción V del artículo 192 de la Ley de Transparencia y Acceso a la Información Pública del Estado de México y Municipios, </w:t>
      </w:r>
      <w:r w:rsidDel="00000000" w:rsidR="00000000" w:rsidRPr="00000000">
        <w:rPr>
          <w:rFonts w:ascii="Palatino Linotype" w:cs="Palatino Linotype" w:eastAsia="Palatino Linotype" w:hAnsi="Palatino Linotype"/>
          <w:sz w:val="22"/>
          <w:szCs w:val="22"/>
          <w:rtl w:val="0"/>
        </w:rPr>
        <w:t xml:space="preserve">el</w:t>
      </w:r>
      <w:r w:rsidDel="00000000" w:rsidR="00000000" w:rsidRPr="00000000">
        <w:rPr>
          <w:rFonts w:ascii="Palatino Linotype" w:cs="Palatino Linotype" w:eastAsia="Palatino Linotype" w:hAnsi="Palatino Linotype"/>
          <w:rtl w:val="0"/>
        </w:rPr>
        <w:t xml:space="preserve"> que se transcribe a continuación, para un mejor entendimiento:</w:t>
      </w:r>
    </w:p>
    <w:p w:rsidR="00000000" w:rsidDel="00000000" w:rsidP="00000000" w:rsidRDefault="00000000" w:rsidRPr="00000000" w14:paraId="000000A5">
      <w:pPr>
        <w:tabs>
          <w:tab w:val="left" w:leader="none" w:pos="7938"/>
        </w:tabs>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192.</w:t>
      </w:r>
      <w:r w:rsidDel="00000000" w:rsidR="00000000" w:rsidRPr="00000000">
        <w:rPr>
          <w:rFonts w:ascii="Palatino Linotype" w:cs="Palatino Linotype" w:eastAsia="Palatino Linotype" w:hAnsi="Palatino Linotype"/>
          <w:i w:val="1"/>
          <w:sz w:val="22"/>
          <w:szCs w:val="22"/>
          <w:rtl w:val="0"/>
        </w:rPr>
        <w:t xml:space="preserve"> El recurso será sobreseído, en todo o en parte, cuando una vez admitido, se actualicen alguno de los siguientes supuestos:</w:t>
      </w:r>
    </w:p>
    <w:p w:rsidR="00000000" w:rsidDel="00000000" w:rsidP="00000000" w:rsidRDefault="00000000" w:rsidRPr="00000000" w14:paraId="000000A6">
      <w:pPr>
        <w:tabs>
          <w:tab w:val="left" w:leader="none" w:pos="7938"/>
        </w:tabs>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7">
      <w:pPr>
        <w:tabs>
          <w:tab w:val="left" w:leader="none" w:pos="7938"/>
        </w:tabs>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Cuando por cualquier motivo quede sin materia el recurso. “</w:t>
      </w:r>
    </w:p>
    <w:p w:rsidR="00000000" w:rsidDel="00000000" w:rsidP="00000000" w:rsidRDefault="00000000" w:rsidRPr="00000000" w14:paraId="000000A8">
      <w:pPr>
        <w:tabs>
          <w:tab w:val="left" w:leader="none" w:pos="7938"/>
        </w:tabs>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9">
      <w:pPr>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el </w:t>
      </w:r>
      <w:r w:rsidDel="00000000" w:rsidR="00000000" w:rsidRPr="00000000">
        <w:rPr>
          <w:rFonts w:ascii="Palatino Linotype" w:cs="Palatino Linotype" w:eastAsia="Palatino Linotype" w:hAnsi="Palatino Linotype"/>
          <w:i w:val="1"/>
          <w:rtl w:val="0"/>
        </w:rPr>
        <w:t xml:space="preserve">sobreseimiento</w:t>
      </w:r>
      <w:r w:rsidDel="00000000" w:rsidR="00000000" w:rsidRPr="00000000">
        <w:rPr>
          <w:rFonts w:ascii="Palatino Linotype" w:cs="Palatino Linotype" w:eastAsia="Palatino Linotype" w:hAnsi="Palatino Linotype"/>
          <w:rtl w:val="0"/>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rsidR="00000000" w:rsidDel="00000000" w:rsidP="00000000" w:rsidRDefault="00000000" w:rsidRPr="00000000" w14:paraId="000000AA">
      <w:pPr>
        <w:spacing w:after="120" w:lineRule="auto"/>
        <w:ind w:left="851"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SOBRESEIMIENTO, NO PERMITE ENTRAR AL ESTUDIO DE LAS CUESTIONES DE FONDO</w:t>
      </w:r>
      <w:r w:rsidDel="00000000" w:rsidR="00000000" w:rsidRPr="00000000">
        <w:rPr>
          <w:rtl w:val="0"/>
        </w:rPr>
      </w:r>
    </w:p>
    <w:p w:rsidR="00000000" w:rsidDel="00000000" w:rsidP="00000000" w:rsidRDefault="00000000" w:rsidRPr="00000000" w14:paraId="000000A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Localización: 213609. II.2o.183 K. Tribunales Colegiados de Circuito. Octava Época. Semanario Judicial de la Federación. Tomo XIII, Febrero de 1994, Pág. 420</w:t>
      </w:r>
    </w:p>
    <w:p w:rsidR="00000000" w:rsidDel="00000000" w:rsidP="00000000" w:rsidRDefault="00000000" w:rsidRPr="00000000" w14:paraId="000000A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000000" w:rsidDel="00000000" w:rsidP="00000000" w:rsidRDefault="00000000" w:rsidRPr="00000000" w14:paraId="000000A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destacar que la decisión de este Organismo Colegiado de sobreseer el recurso de revisión no implica una limitación o negación a la justicia, según lo ha establecido el Poder Judicial Federal, en el criterio que es aplicable por analogía, con rubro:</w:t>
      </w:r>
    </w:p>
    <w:p w:rsidR="00000000" w:rsidDel="00000000" w:rsidP="00000000" w:rsidRDefault="00000000" w:rsidRPr="00000000" w14:paraId="000000AE">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“DESECHAMIENTO O SOBRESEIMIENTO EN EL JUICIO DE AMPARO. NO IMPLICA DENEGACIÓN DE JUSTICIA NI GENERA INSEGURIDAD JURÍDICA”</w:t>
      </w:r>
    </w:p>
    <w:p w:rsidR="00000000" w:rsidDel="00000000" w:rsidP="00000000" w:rsidRDefault="00000000" w:rsidRPr="00000000" w14:paraId="000000A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Del="00000000" w:rsidR="00000000" w:rsidRPr="00000000">
        <w:rPr>
          <w:rFonts w:ascii="Palatino Linotype" w:cs="Palatino Linotype" w:eastAsia="Palatino Linotype" w:hAnsi="Palatino Linotype"/>
          <w:rtl w:val="0"/>
        </w:rPr>
        <w:tab/>
      </w:r>
      <w:r w:rsidDel="00000000" w:rsidR="00000000" w:rsidRPr="00000000">
        <w:rPr>
          <w:rtl w:val="0"/>
        </w:rPr>
      </w:r>
    </w:p>
    <w:p w:rsidR="00000000" w:rsidDel="00000000" w:rsidP="00000000" w:rsidRDefault="00000000" w:rsidRPr="00000000" w14:paraId="000000B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ese tenor con fundamento en la segunda hipótesis de la fracción I del artículo 186, de la Ley de Transparencia y Acceso a la Información Pública del Estado de México y Municipios, se determina </w:t>
      </w:r>
      <w:r w:rsidDel="00000000" w:rsidR="00000000" w:rsidRPr="00000000">
        <w:rPr>
          <w:rFonts w:ascii="Palatino Linotype" w:cs="Palatino Linotype" w:eastAsia="Palatino Linotype" w:hAnsi="Palatino Linotype"/>
          <w:b w:val="1"/>
          <w:rtl w:val="0"/>
        </w:rPr>
        <w:t xml:space="preserve">SOBRESEER </w:t>
      </w:r>
      <w:r w:rsidDel="00000000" w:rsidR="00000000" w:rsidRPr="00000000">
        <w:rPr>
          <w:rFonts w:ascii="Palatino Linotype" w:cs="Palatino Linotype" w:eastAsia="Palatino Linotype" w:hAnsi="Palatino Linotype"/>
          <w:rtl w:val="0"/>
        </w:rPr>
        <w:t xml:space="preserve">el Recurso de Revisión </w:t>
      </w:r>
      <w:r w:rsidDel="00000000" w:rsidR="00000000" w:rsidRPr="00000000">
        <w:rPr>
          <w:rFonts w:ascii="Palatino Linotype" w:cs="Palatino Linotype" w:eastAsia="Palatino Linotype" w:hAnsi="Palatino Linotype"/>
          <w:b w:val="1"/>
          <w:rtl w:val="0"/>
        </w:rPr>
        <w:t xml:space="preserve">07399/INFOEM/IP/RR/2024</w:t>
      </w:r>
      <w:r w:rsidDel="00000000" w:rsidR="00000000" w:rsidRPr="00000000">
        <w:rPr>
          <w:rFonts w:ascii="Palatino Linotype" w:cs="Palatino Linotype" w:eastAsia="Palatino Linotype" w:hAnsi="Palatino Linotype"/>
          <w:rtl w:val="0"/>
        </w:rPr>
        <w:t xml:space="preserve">, que ha sido materia del presente fallo.</w:t>
      </w:r>
    </w:p>
    <w:p w:rsidR="00000000" w:rsidDel="00000000" w:rsidP="00000000" w:rsidRDefault="00000000" w:rsidRPr="00000000" w14:paraId="000000B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line="360" w:lineRule="auto"/>
        <w:ind w:right="96"/>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segundo, trigésimo tercero y trigésimo cuarto de la Constitución Política del Estado Libre y Soberano de México; 2, fracción II; 29, 36 fracciones I y II; 176, 178, 181, 185 y 186 fracción I de la Ley de Transparencia y Acceso a la Información Pública del Estado de México y Municipios, este Pleno:</w:t>
      </w:r>
    </w:p>
    <w:p w:rsidR="00000000" w:rsidDel="00000000" w:rsidP="00000000" w:rsidRDefault="00000000" w:rsidRPr="00000000" w14:paraId="000000B4">
      <w:pPr>
        <w:spacing w:line="360" w:lineRule="auto"/>
        <w:jc w:val="cente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5">
      <w:pPr>
        <w:spacing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 E S U E L V E:</w:t>
      </w:r>
    </w:p>
    <w:p w:rsidR="00000000" w:rsidDel="00000000" w:rsidP="00000000" w:rsidRDefault="00000000" w:rsidRPr="00000000" w14:paraId="000000B6">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B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Se </w:t>
      </w:r>
      <w:r w:rsidDel="00000000" w:rsidR="00000000" w:rsidRPr="00000000">
        <w:rPr>
          <w:rFonts w:ascii="Palatino Linotype" w:cs="Palatino Linotype" w:eastAsia="Palatino Linotype" w:hAnsi="Palatino Linotype"/>
          <w:b w:val="1"/>
          <w:rtl w:val="0"/>
        </w:rPr>
        <w:t xml:space="preserve">SOBRESEE</w:t>
      </w:r>
      <w:r w:rsidDel="00000000" w:rsidR="00000000" w:rsidRPr="00000000">
        <w:rPr>
          <w:rFonts w:ascii="Palatino Linotype" w:cs="Palatino Linotype" w:eastAsia="Palatino Linotype" w:hAnsi="Palatino Linotype"/>
          <w:rtl w:val="0"/>
        </w:rPr>
        <w:t xml:space="preserve"> el Recurso de Revisión </w:t>
      </w:r>
      <w:r w:rsidDel="00000000" w:rsidR="00000000" w:rsidRPr="00000000">
        <w:rPr>
          <w:rFonts w:ascii="Palatino Linotype" w:cs="Palatino Linotype" w:eastAsia="Palatino Linotype" w:hAnsi="Palatino Linotype"/>
          <w:b w:val="1"/>
          <w:rtl w:val="0"/>
        </w:rPr>
        <w:t xml:space="preserve">07399/INFOEM/IP/RR/2024</w:t>
      </w:r>
      <w:r w:rsidDel="00000000" w:rsidR="00000000" w:rsidRPr="00000000">
        <w:rPr>
          <w:rFonts w:ascii="Palatino Linotype" w:cs="Palatino Linotype" w:eastAsia="Palatino Linotype" w:hAnsi="Palatino Linotype"/>
          <w:rtl w:val="0"/>
        </w:rPr>
        <w:t xml:space="preserve">, al quedarse sin materia en términos de lo dispuesto por la fracción V del artículo 192 de la Ley de Transparencia y Acceso a la Información Pública del Estado de México y Municipios, en términos del </w:t>
      </w:r>
      <w:r w:rsidDel="00000000" w:rsidR="00000000" w:rsidRPr="00000000">
        <w:rPr>
          <w:rFonts w:ascii="Palatino Linotype" w:cs="Palatino Linotype" w:eastAsia="Palatino Linotype" w:hAnsi="Palatino Linotype"/>
          <w:b w:val="1"/>
          <w:rtl w:val="0"/>
        </w:rPr>
        <w:t xml:space="preserve">Considerando Tercero</w:t>
      </w:r>
      <w:r w:rsidDel="00000000" w:rsidR="00000000" w:rsidRPr="00000000">
        <w:rPr>
          <w:rFonts w:ascii="Palatino Linotype" w:cs="Palatino Linotype" w:eastAsia="Palatino Linotype" w:hAnsi="Palatino Linotype"/>
          <w:rtl w:val="0"/>
        </w:rPr>
        <w:t xml:space="preserve"> de la presente resolución.</w:t>
      </w:r>
    </w:p>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left" w:leader="none" w:pos="7936"/>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tabs>
          <w:tab w:val="left" w:leader="none" w:pos="7936"/>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Notifíquese, </w:t>
      </w:r>
      <w:r w:rsidDel="00000000" w:rsidR="00000000" w:rsidRPr="00000000">
        <w:rPr>
          <w:rFonts w:ascii="Palatino Linotype" w:cs="Palatino Linotype" w:eastAsia="Palatino Linotype" w:hAnsi="Palatino Linotype"/>
          <w:rtl w:val="0"/>
        </w:rPr>
        <w:t xml:space="preserve">vía</w:t>
      </w:r>
      <w:r w:rsidDel="00000000" w:rsidR="00000000" w:rsidRPr="00000000">
        <w:rPr>
          <w:rFonts w:ascii="Palatino Linotype" w:cs="Palatino Linotype" w:eastAsia="Palatino Linotype" w:hAnsi="Palatino Linotype"/>
          <w:b w:val="1"/>
          <w:rtl w:val="0"/>
        </w:rPr>
        <w:t xml:space="preserve"> SAIMEX,</w:t>
      </w:r>
      <w:r w:rsidDel="00000000" w:rsidR="00000000" w:rsidRPr="00000000">
        <w:rPr>
          <w:rFonts w:ascii="Palatino Linotype" w:cs="Palatino Linotype" w:eastAsia="Palatino Linotype" w:hAnsi="Palatino Linotype"/>
          <w:rtl w:val="0"/>
        </w:rPr>
        <w:t xml:space="preserve"> al Titular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presente resolución, para su conocimiento.</w:t>
      </w:r>
    </w:p>
    <w:p w:rsidR="00000000" w:rsidDel="00000000" w:rsidP="00000000" w:rsidRDefault="00000000" w:rsidRPr="00000000" w14:paraId="000000BA">
      <w:pPr>
        <w:pBdr>
          <w:top w:space="0" w:sz="0" w:val="nil"/>
          <w:left w:space="0" w:sz="0" w:val="nil"/>
          <w:bottom w:space="0" w:sz="0" w:val="nil"/>
          <w:right w:space="0" w:sz="0" w:val="nil"/>
          <w:between w:space="0" w:sz="0" w:val="nil"/>
        </w:pBdr>
        <w:tabs>
          <w:tab w:val="left" w:leader="none" w:pos="7936"/>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Notifíquese, </w:t>
      </w:r>
      <w:r w:rsidDel="00000000" w:rsidR="00000000" w:rsidRPr="00000000">
        <w:rPr>
          <w:rFonts w:ascii="Palatino Linotype" w:cs="Palatino Linotype" w:eastAsia="Palatino Linotype" w:hAnsi="Palatino Linotype"/>
          <w:rtl w:val="0"/>
        </w:rPr>
        <w:t xml:space="preserve">vía</w:t>
      </w:r>
      <w:r w:rsidDel="00000000" w:rsidR="00000000" w:rsidRPr="00000000">
        <w:rPr>
          <w:rFonts w:ascii="Palatino Linotype" w:cs="Palatino Linotype" w:eastAsia="Palatino Linotype" w:hAnsi="Palatino Linotype"/>
          <w:b w:val="1"/>
          <w:rtl w:val="0"/>
        </w:rPr>
        <w:t xml:space="preserve"> SAIMEX</w:t>
      </w:r>
      <w:r w:rsidDel="00000000" w:rsidR="00000000" w:rsidRPr="00000000">
        <w:rPr>
          <w:rFonts w:ascii="Palatino Linotype" w:cs="Palatino Linotype" w:eastAsia="Palatino Linotype" w:hAnsi="Palatino Linotype"/>
          <w:rtl w:val="0"/>
        </w:rPr>
        <w:t xml:space="preserve">, a</w:t>
      </w:r>
      <w:r w:rsidDel="00000000" w:rsidR="00000000" w:rsidRPr="00000000">
        <w:rPr>
          <w:rFonts w:ascii="Palatino Linotype" w:cs="Palatino Linotype" w:eastAsia="Palatino Linotype" w:hAnsi="Palatino Linotype"/>
          <w:b w:val="1"/>
          <w:rtl w:val="0"/>
        </w:rPr>
        <w:t xml:space="preserve"> la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000000" w:rsidDel="00000000" w:rsidP="00000000" w:rsidRDefault="00000000" w:rsidRPr="00000000" w14:paraId="000000BC">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BD">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GÍRESE </w:t>
      </w:r>
      <w:r w:rsidDel="00000000" w:rsidR="00000000" w:rsidRPr="00000000">
        <w:rPr>
          <w:rFonts w:ascii="Palatino Linotype" w:cs="Palatino Linotype" w:eastAsia="Palatino Linotype" w:hAnsi="Palatino Linotype"/>
          <w:rtl w:val="0"/>
        </w:rPr>
        <w:t xml:space="preserve">oficio a la Dirección de Protección de Datos Personales de este Instituto para hacer de su conocimiento la presente resolución, a fin de que en ejercicio de sus atribuciones y de conformidad con el artículo 82 de la Ley de Protección de Datos Personales en Posesión de Sujetos Obligados del Estado de México y Municipios, determine lo conducente, en términos de lo señalado en el Considerando Tercero de la presente resolución.</w:t>
      </w:r>
    </w:p>
    <w:p w:rsidR="00000000" w:rsidDel="00000000" w:rsidP="00000000" w:rsidRDefault="00000000" w:rsidRPr="00000000" w14:paraId="000000BE">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0">
      <w:pPr>
        <w:spacing w:line="360" w:lineRule="auto"/>
        <w:jc w:val="both"/>
        <w:rPr>
          <w:rFonts w:ascii="Palatino Linotype" w:cs="Palatino Linotype" w:eastAsia="Palatino Linotype" w:hAnsi="Palatino Linotype"/>
          <w:sz w:val="22"/>
          <w:szCs w:val="22"/>
        </w:rPr>
        <w:sectPr>
          <w:headerReference r:id="rId10" w:type="default"/>
          <w:headerReference r:id="rId11" w:type="first"/>
          <w:footerReference r:id="rId12" w:type="default"/>
          <w:footerReference r:id="rId13" w:type="first"/>
          <w:pgSz w:h="15840" w:w="12240" w:orient="portrait"/>
          <w:pgMar w:bottom="1701" w:top="2041" w:left="1701" w:right="1701" w:header="709" w:footer="709"/>
          <w:pgNumType w:start="1"/>
          <w:titlePg w:val="1"/>
        </w:sect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DIECIOCHO DE DICIEMBRE DE DOS MIL VEINTICUATRO ANTE EL SECRETARIO TÉCNICO DEL PLENO ALEXIS TAPIA RAMÍREZ.                             </w:t>
      </w:r>
    </w:p>
    <w:p w:rsidR="00000000" w:rsidDel="00000000" w:rsidP="00000000" w:rsidRDefault="00000000" w:rsidRPr="00000000" w14:paraId="000000C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2">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14" w:type="first"/>
      <w:type w:val="nextPage"/>
      <w:pgSz w:h="15840" w:w="12240" w:orient="portrait"/>
      <w:pgMar w:bottom="1701" w:top="2041"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7">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A">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3">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-781047</wp:posOffset>
          </wp:positionH>
          <wp:positionV relativeFrom="paragraph">
            <wp:posOffset>-316862</wp:posOffset>
          </wp:positionV>
          <wp:extent cx="7809876" cy="10165823"/>
          <wp:effectExtent b="0" l="0" r="0" t="0"/>
          <wp:wrapNone/>
          <wp:docPr id="4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528.0" w:type="dxa"/>
      <w:jc w:val="left"/>
      <w:tblInd w:w="3261.0" w:type="dxa"/>
      <w:tblLayout w:type="fixed"/>
      <w:tblLook w:val="0400"/>
    </w:tblPr>
    <w:tblGrid>
      <w:gridCol w:w="2551"/>
      <w:gridCol w:w="2977"/>
      <w:tblGridChange w:id="0">
        <w:tblGrid>
          <w:gridCol w:w="2551"/>
          <w:gridCol w:w="2977"/>
        </w:tblGrid>
      </w:tblGridChange>
    </w:tblGrid>
    <w:tr>
      <w:trPr>
        <w:cantSplit w:val="0"/>
        <w:tblHeader w:val="0"/>
      </w:trPr>
      <w:tc>
        <w:tcPr>
          <w:vAlign w:val="center"/>
        </w:tcPr>
        <w:p w:rsidR="00000000" w:rsidDel="00000000" w:rsidP="00000000" w:rsidRDefault="00000000" w:rsidRPr="00000000" w14:paraId="000000C4">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Recurso de Revisión:</w:t>
          </w:r>
        </w:p>
      </w:tc>
      <w:tc>
        <w:tcPr>
          <w:vAlign w:val="center"/>
        </w:tcPr>
        <w:p w:rsidR="00000000" w:rsidDel="00000000" w:rsidP="00000000" w:rsidRDefault="00000000" w:rsidRPr="00000000" w14:paraId="000000C5">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07399/INFOEM/IP/RR/2024</w:t>
          </w:r>
        </w:p>
      </w:tc>
    </w:tr>
    <w:tr>
      <w:trPr>
        <w:cantSplit w:val="0"/>
        <w:trHeight w:val="228" w:hRule="atLeast"/>
        <w:tblHeader w:val="0"/>
      </w:trPr>
      <w:tc>
        <w:tcPr>
          <w:vAlign w:val="center"/>
        </w:tcPr>
        <w:p w:rsidR="00000000" w:rsidDel="00000000" w:rsidP="00000000" w:rsidRDefault="00000000" w:rsidRPr="00000000" w14:paraId="000000C6">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Sujeto obligado:</w:t>
          </w:r>
        </w:p>
      </w:tc>
      <w:tc>
        <w:tcPr>
          <w:vAlign w:val="center"/>
        </w:tcPr>
        <w:p w:rsidR="00000000" w:rsidDel="00000000" w:rsidP="00000000" w:rsidRDefault="00000000" w:rsidRPr="00000000" w14:paraId="000000C7">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Tribunal Estatal de Conciliación y Arbitraje</w:t>
          </w:r>
        </w:p>
      </w:tc>
    </w:tr>
    <w:tr>
      <w:trPr>
        <w:cantSplit w:val="0"/>
        <w:tblHeader w:val="0"/>
      </w:trPr>
      <w:tc>
        <w:tcPr>
          <w:vAlign w:val="center"/>
        </w:tcPr>
        <w:p w:rsidR="00000000" w:rsidDel="00000000" w:rsidP="00000000" w:rsidRDefault="00000000" w:rsidRPr="00000000" w14:paraId="000000C8">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Comisionada ponente:</w:t>
          </w:r>
        </w:p>
      </w:tc>
      <w:tc>
        <w:tcPr>
          <w:vAlign w:val="center"/>
        </w:tcPr>
        <w:p w:rsidR="00000000" w:rsidDel="00000000" w:rsidP="00000000" w:rsidRDefault="00000000" w:rsidRPr="00000000" w14:paraId="000000C9">
          <w:pPr>
            <w:ind w:right="-533"/>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Guadalupe Ramírez Peña</w:t>
          </w:r>
        </w:p>
      </w:tc>
    </w:tr>
  </w:tbl>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libri" w:cs="Calibri" w:eastAsia="Calibri" w:hAnsi="Calibri"/>
        <w:color w:val="000000"/>
      </w:rPr>
    </w:pPr>
    <w:r w:rsidDel="00000000" w:rsidR="00000000" w:rsidRPr="00000000">
      <w:rPr>
        <w:rFonts w:ascii="Calibri" w:cs="Calibri" w:eastAsia="Calibri" w:hAnsi="Calibri"/>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-798189</wp:posOffset>
          </wp:positionH>
          <wp:positionV relativeFrom="paragraph">
            <wp:posOffset>-399410</wp:posOffset>
          </wp:positionV>
          <wp:extent cx="7809876" cy="10165823"/>
          <wp:effectExtent b="0" l="0" r="0" t="0"/>
          <wp:wrapNone/>
          <wp:docPr id="4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670.0" w:type="dxa"/>
      <w:jc w:val="left"/>
      <w:tblInd w:w="3119.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0CC">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Recurso de Revisión:</w:t>
          </w:r>
        </w:p>
      </w:tc>
      <w:tc>
        <w:tcPr>
          <w:vAlign w:val="center"/>
        </w:tcPr>
        <w:p w:rsidR="00000000" w:rsidDel="00000000" w:rsidP="00000000" w:rsidRDefault="00000000" w:rsidRPr="00000000" w14:paraId="000000CD">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07399/INFOEM/IP/RR/2024 </w:t>
          </w:r>
        </w:p>
      </w:tc>
    </w:tr>
    <w:tr>
      <w:trPr>
        <w:cantSplit w:val="0"/>
        <w:tblHeader w:val="0"/>
      </w:trPr>
      <w:tc>
        <w:tcPr>
          <w:vAlign w:val="center"/>
        </w:tcPr>
        <w:p w:rsidR="00000000" w:rsidDel="00000000" w:rsidP="00000000" w:rsidRDefault="00000000" w:rsidRPr="00000000" w14:paraId="000000CE">
          <w:pPr>
            <w:ind w:left="35" w:hanging="35"/>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Recurrente:</w:t>
          </w:r>
        </w:p>
      </w:tc>
      <w:tc>
        <w:tcPr>
          <w:vAlign w:val="center"/>
        </w:tcPr>
        <w:p w:rsidR="00000000" w:rsidDel="00000000" w:rsidP="00000000" w:rsidRDefault="00000000" w:rsidRPr="00000000" w14:paraId="000000CF">
          <w:pPr>
            <w:ind w:right="27"/>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XXXXXX XXXX XXXXXXX </w:t>
          </w:r>
        </w:p>
      </w:tc>
    </w:tr>
    <w:tr>
      <w:trPr>
        <w:cantSplit w:val="0"/>
        <w:trHeight w:val="228" w:hRule="atLeast"/>
        <w:tblHeader w:val="0"/>
      </w:trPr>
      <w:tc>
        <w:tcPr>
          <w:vAlign w:val="center"/>
        </w:tcPr>
        <w:p w:rsidR="00000000" w:rsidDel="00000000" w:rsidP="00000000" w:rsidRDefault="00000000" w:rsidRPr="00000000" w14:paraId="000000D0">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Sujeto obligado:</w:t>
          </w:r>
        </w:p>
      </w:tc>
      <w:tc>
        <w:tcPr>
          <w:vAlign w:val="center"/>
        </w:tcPr>
        <w:p w:rsidR="00000000" w:rsidDel="00000000" w:rsidP="00000000" w:rsidRDefault="00000000" w:rsidRPr="00000000" w14:paraId="000000D1">
          <w:pPr>
            <w:ind w:right="27"/>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Tribunal Estatal de Conciliación y Arbitraje</w:t>
          </w:r>
        </w:p>
      </w:tc>
    </w:tr>
    <w:tr>
      <w:trPr>
        <w:cantSplit w:val="0"/>
        <w:tblHeader w:val="0"/>
      </w:trPr>
      <w:tc>
        <w:tcPr>
          <w:vAlign w:val="center"/>
        </w:tcPr>
        <w:p w:rsidR="00000000" w:rsidDel="00000000" w:rsidP="00000000" w:rsidRDefault="00000000" w:rsidRPr="00000000" w14:paraId="000000D2">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Comisionada ponente:</w:t>
          </w:r>
        </w:p>
      </w:tc>
      <w:tc>
        <w:tcPr>
          <w:vAlign w:val="center"/>
        </w:tcPr>
        <w:p w:rsidR="00000000" w:rsidDel="00000000" w:rsidP="00000000" w:rsidRDefault="00000000" w:rsidRPr="00000000" w14:paraId="000000D3">
          <w:pPr>
            <w:ind w:right="-533"/>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Guadalupe Ramírez Peña</w:t>
          </w:r>
        </w:p>
      </w:tc>
    </w:tr>
  </w:tbl>
  <w:p w:rsidR="00000000" w:rsidDel="00000000" w:rsidP="00000000" w:rsidRDefault="00000000" w:rsidRPr="00000000" w14:paraId="000000D4">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b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upperRoman"/>
      <w:lvlText w:val="%1."/>
      <w:lvlJc w:val="right"/>
      <w:pPr>
        <w:ind w:left="1077" w:hanging="360"/>
      </w:pPr>
      <w:rPr/>
    </w:lvl>
    <w:lvl w:ilvl="1">
      <w:start w:val="1"/>
      <w:numFmt w:val="decimal"/>
      <w:lvlText w:val="%2."/>
      <w:lvlJc w:val="left"/>
      <w:pPr>
        <w:ind w:left="1797" w:hanging="360"/>
      </w:pPr>
      <w:rPr/>
    </w:lvl>
    <w:lvl w:ilvl="2">
      <w:start w:val="1"/>
      <w:numFmt w:val="lowerRoman"/>
      <w:lvlText w:val="%3."/>
      <w:lvlJc w:val="right"/>
      <w:pPr>
        <w:ind w:left="2517" w:hanging="180"/>
      </w:pPr>
      <w:rPr/>
    </w:lvl>
    <w:lvl w:ilvl="3">
      <w:start w:val="1"/>
      <w:numFmt w:val="decimal"/>
      <w:lvlText w:val="%4."/>
      <w:lvlJc w:val="left"/>
      <w:pPr>
        <w:ind w:left="3237" w:hanging="360"/>
      </w:pPr>
      <w:rPr/>
    </w:lvl>
    <w:lvl w:ilvl="4">
      <w:start w:val="1"/>
      <w:numFmt w:val="lowerLetter"/>
      <w:lvlText w:val="%5."/>
      <w:lvlJc w:val="left"/>
      <w:pPr>
        <w:ind w:left="3957" w:hanging="360"/>
      </w:pPr>
      <w:rPr/>
    </w:lvl>
    <w:lvl w:ilvl="5">
      <w:start w:val="1"/>
      <w:numFmt w:val="lowerRoman"/>
      <w:lvlText w:val="%6."/>
      <w:lvlJc w:val="right"/>
      <w:pPr>
        <w:ind w:left="4677" w:hanging="180"/>
      </w:pPr>
      <w:rPr/>
    </w:lvl>
    <w:lvl w:ilvl="6">
      <w:start w:val="1"/>
      <w:numFmt w:val="decimal"/>
      <w:lvlText w:val="%7."/>
      <w:lvlJc w:val="left"/>
      <w:pPr>
        <w:ind w:left="5397" w:hanging="360"/>
      </w:pPr>
      <w:rPr/>
    </w:lvl>
    <w:lvl w:ilvl="7">
      <w:start w:val="1"/>
      <w:numFmt w:val="lowerLetter"/>
      <w:lvlText w:val="%8."/>
      <w:lvlJc w:val="left"/>
      <w:pPr>
        <w:ind w:left="6117" w:hanging="360"/>
      </w:pPr>
      <w:rPr/>
    </w:lvl>
    <w:lvl w:ilvl="8">
      <w:start w:val="1"/>
      <w:numFmt w:val="lowerRoman"/>
      <w:lvlText w:val="%9."/>
      <w:lvlJc w:val="right"/>
      <w:pPr>
        <w:ind w:left="6837"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AC3C64"/>
    <w:rPr>
      <w:lang w:eastAsia="es-ES"/>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link w:val="Ttulo3Car"/>
    <w:uiPriority w:val="9"/>
    <w:semiHidden w:val="1"/>
    <w:unhideWhenUsed w:val="1"/>
    <w:qFormat w:val="1"/>
    <w:rsid w:val="002D2EAC"/>
    <w:pPr>
      <w:spacing w:after="100" w:afterAutospacing="1" w:before="100" w:beforeAutospacing="1"/>
      <w:outlineLvl w:val="2"/>
    </w:pPr>
    <w:rPr>
      <w:b w:val="1"/>
      <w:bCs w:val="1"/>
      <w:sz w:val="27"/>
      <w:szCs w:val="27"/>
      <w:lang w:eastAsia="es-MX" w:val="es-MX"/>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AC3C64"/>
    <w:rPr>
      <w:rFonts w:eastAsiaTheme="minorEastAsia"/>
      <w:sz w:val="24"/>
      <w:szCs w:val="24"/>
      <w:lang w:eastAsia="es-ES" w:val="es-ES_tradnl"/>
    </w:rPr>
  </w:style>
  <w:style w:type="paragraph" w:styleId="Piedepgina">
    <w:name w:val="footer"/>
    <w:basedOn w:val="Normal"/>
    <w:link w:val="Piedepgina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AC3C64"/>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AC3C64"/>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AC3C64"/>
  </w:style>
  <w:style w:type="character" w:styleId="apple-converted-space" w:customStyle="1">
    <w:name w:val="apple-converted-space"/>
    <w:basedOn w:val="Fuentedeprrafopredeter"/>
    <w:rsid w:val="00AC3C64"/>
  </w:style>
  <w:style w:type="paragraph" w:styleId="paragraph" w:customStyle="1">
    <w:name w:val="paragraph"/>
    <w:basedOn w:val="Normal"/>
    <w:rsid w:val="00AC3C64"/>
    <w:pPr>
      <w:spacing w:after="100" w:afterAutospacing="1" w:before="100" w:beforeAutospacing="1"/>
    </w:pPr>
    <w:rPr>
      <w:lang w:eastAsia="es-MX" w:val="es-MX"/>
    </w:rPr>
  </w:style>
  <w:style w:type="character" w:styleId="eop" w:customStyle="1">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val="1"/>
    <w:qFormat w:val="1"/>
    <w:rsid w:val="00AC3C64"/>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val="1"/>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val="1"/>
    <w:qFormat w:val="1"/>
    <w:rsid w:val="00AC3C64"/>
    <w:rPr>
      <w:color w:val="0563c1" w:themeColor="hyperlink"/>
      <w:u w:val="single"/>
    </w:rPr>
  </w:style>
  <w:style w:type="paragraph" w:styleId="NormalWeb">
    <w:name w:val="Normal (Web)"/>
    <w:basedOn w:val="Normal"/>
    <w:uiPriority w:val="99"/>
    <w:unhideWhenUsed w:val="1"/>
    <w:rsid w:val="00AC3C64"/>
    <w:pPr>
      <w:spacing w:after="100" w:afterAutospacing="1" w:before="100" w:beforeAutospacing="1"/>
    </w:pPr>
    <w:rPr>
      <w:lang w:eastAsia="es-MX" w:val="es-MX"/>
    </w:rPr>
  </w:style>
  <w:style w:type="character" w:styleId="Ttulo3Car" w:customStyle="1">
    <w:name w:val="Título 3 Car"/>
    <w:basedOn w:val="Fuentedeprrafopredeter"/>
    <w:link w:val="Ttulo3"/>
    <w:uiPriority w:val="9"/>
    <w:rsid w:val="002D2EAC"/>
    <w:rPr>
      <w:rFonts w:ascii="Times New Roman" w:cs="Times New Roman" w:eastAsia="Times New Roman" w:hAnsi="Times New Roman"/>
      <w:b w:val="1"/>
      <w:bCs w:val="1"/>
      <w:sz w:val="27"/>
      <w:szCs w:val="27"/>
      <w:lang w:eastAsia="es-MX"/>
    </w:rPr>
  </w:style>
  <w:style w:type="character" w:styleId="titulorubro" w:customStyle="1">
    <w:name w:val="titulorubro"/>
    <w:basedOn w:val="Fuentedeprrafopredeter"/>
    <w:rsid w:val="002D2EAC"/>
  </w:style>
  <w:style w:type="paragraph" w:styleId="Textoindependiente">
    <w:name w:val="Body Text"/>
    <w:basedOn w:val="Normal"/>
    <w:link w:val="TextoindependienteCar"/>
    <w:uiPriority w:val="1"/>
    <w:qFormat w:val="1"/>
    <w:rsid w:val="006F3C93"/>
    <w:pPr>
      <w:autoSpaceDE w:val="0"/>
      <w:autoSpaceDN w:val="0"/>
      <w:adjustRightInd w:val="0"/>
      <w:ind w:left="93"/>
    </w:pPr>
    <w:rPr>
      <w:rFonts w:eastAsiaTheme="minorHAnsi"/>
      <w:sz w:val="23"/>
      <w:szCs w:val="23"/>
      <w:lang w:eastAsia="en-US" w:val="es-MX"/>
    </w:rPr>
  </w:style>
  <w:style w:type="character" w:styleId="TextoindependienteCar" w:customStyle="1">
    <w:name w:val="Texto independiente Car"/>
    <w:basedOn w:val="Fuentedeprrafopredeter"/>
    <w:link w:val="Textoindependiente"/>
    <w:uiPriority w:val="1"/>
    <w:rsid w:val="006F3C93"/>
    <w:rPr>
      <w:rFonts w:ascii="Times New Roman" w:cs="Times New Roman" w:hAnsi="Times New Roman"/>
      <w:sz w:val="23"/>
      <w:szCs w:val="23"/>
    </w:rPr>
  </w:style>
  <w:style w:type="paragraph" w:styleId="Textodeglobo">
    <w:name w:val="Balloon Text"/>
    <w:basedOn w:val="Normal"/>
    <w:link w:val="TextodegloboCar"/>
    <w:uiPriority w:val="99"/>
    <w:semiHidden w:val="1"/>
    <w:unhideWhenUsed w:val="1"/>
    <w:rsid w:val="00A037B6"/>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A037B6"/>
    <w:rPr>
      <w:rFonts w:ascii="Segoe UI" w:cs="Segoe UI" w:eastAsia="Times New Roman" w:hAnsi="Segoe UI"/>
      <w:sz w:val="18"/>
      <w:szCs w:val="18"/>
      <w:lang w:eastAsia="es-ES" w:val="es-ES"/>
    </w:rPr>
  </w:style>
  <w:style w:type="paragraph" w:styleId="Pa1" w:customStyle="1">
    <w:name w:val="Pa1"/>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2" w:customStyle="1">
    <w:name w:val="Pa2"/>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3" w:customStyle="1">
    <w:name w:val="Pa3"/>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Sinespaciado">
    <w:name w:val="No Spacing"/>
    <w:aliases w:val="Francesa,INAI"/>
    <w:link w:val="SinespaciadoCar"/>
    <w:uiPriority w:val="1"/>
    <w:qFormat w:val="1"/>
    <w:rsid w:val="00CE2CFE"/>
  </w:style>
  <w:style w:type="character" w:styleId="SinespaciadoCar" w:customStyle="1">
    <w:name w:val="Sin espaciado Car"/>
    <w:aliases w:val="Francesa Car,INAI Car"/>
    <w:link w:val="Sinespaciado"/>
    <w:uiPriority w:val="1"/>
    <w:locked w:val="1"/>
    <w:rsid w:val="00CE2CFE"/>
  </w:style>
  <w:style w:type="table" w:styleId="Tabladelista1clara-nfasis1">
    <w:name w:val="List Table 1 Light Accent 1"/>
    <w:basedOn w:val="Tablanormal"/>
    <w:uiPriority w:val="46"/>
    <w:rsid w:val="00D30935"/>
    <w:rPr>
      <w:rFonts w:eastAsiaTheme="minorEastAsia"/>
      <w:lang w:eastAsia="es-ES" w:val="es-ES_tradnl"/>
    </w:rPr>
    <w:tblPr>
      <w:tblStyleRowBandSize w:val="1"/>
      <w:tblStyleColBandSize w:val="1"/>
    </w:tblPr>
    <w:tblStylePr w:type="firstRow">
      <w:rPr>
        <w:b w:val="1"/>
        <w:bCs w:val="1"/>
      </w:rPr>
      <w:tblPr/>
      <w:tcPr>
        <w:tcBorders>
          <w:bottom w:color="9cc2e5" w:space="0" w:sz="4" w:themeColor="accent1" w:themeTint="000099" w:val="single"/>
        </w:tcBorders>
      </w:tcPr>
    </w:tblStylePr>
    <w:tblStylePr w:type="lastRow">
      <w:rPr>
        <w:b w:val="1"/>
        <w:bCs w:val="1"/>
      </w:rPr>
      <w:tblPr/>
      <w:tcPr>
        <w:tcBorders>
          <w:top w:color="9cc2e5"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4"/>
    <w:tblPr>
      <w:tblStyleRowBandSize w:val="1"/>
      <w:tblStyleColBandSize w:val="1"/>
      <w:tblCellMar>
        <w:left w:w="108.0" w:type="dxa"/>
        <w:right w:w="108.0" w:type="dxa"/>
      </w:tblCellMar>
    </w:tblPr>
  </w:style>
  <w:style w:type="table" w:styleId="a0" w:customStyle="1">
    <w:basedOn w:val="TableNormal4"/>
    <w:tblPr>
      <w:tblStyleRowBandSize w:val="1"/>
      <w:tblStyleColBandSize w:val="1"/>
      <w:tblCellMar>
        <w:left w:w="115.0" w:type="dxa"/>
        <w:right w:w="115.0" w:type="dxa"/>
      </w:tblCellMar>
    </w:tblPr>
  </w:style>
  <w:style w:type="table" w:styleId="a1" w:customStyle="1">
    <w:basedOn w:val="TableNormal4"/>
    <w:tblPr>
      <w:tblStyleRowBandSize w:val="1"/>
      <w:tblStyleColBandSize w:val="1"/>
      <w:tblCellMar>
        <w:left w:w="115.0" w:type="dxa"/>
        <w:right w:w="115.0" w:type="dxa"/>
      </w:tblCellMar>
    </w:tblPr>
  </w:style>
  <w:style w:type="character" w:styleId="Hipervnculovisitado">
    <w:name w:val="FollowedHyperlink"/>
    <w:basedOn w:val="Fuentedeprrafopredeter"/>
    <w:uiPriority w:val="99"/>
    <w:semiHidden w:val="1"/>
    <w:unhideWhenUsed w:val="1"/>
    <w:rsid w:val="00B93218"/>
    <w:rPr>
      <w:color w:val="954f72" w:themeColor="followedHyperlink"/>
      <w:u w:val="single"/>
    </w:rPr>
  </w:style>
  <w:style w:type="table" w:styleId="a2" w:customStyle="1">
    <w:basedOn w:val="TableNormal4"/>
    <w:tblPr>
      <w:tblStyleRowBandSize w:val="1"/>
      <w:tblStyleColBandSize w:val="1"/>
      <w:tblCellMar>
        <w:left w:w="108.0" w:type="dxa"/>
        <w:right w:w="108.0" w:type="dxa"/>
      </w:tblCellMar>
    </w:tblPr>
  </w:style>
  <w:style w:type="table" w:styleId="a3" w:customStyle="1">
    <w:basedOn w:val="TableNormal4"/>
    <w:tblPr>
      <w:tblStyleRowBandSize w:val="1"/>
      <w:tblStyleColBandSize w:val="1"/>
      <w:tblCellMar>
        <w:left w:w="108.0" w:type="dxa"/>
        <w:right w:w="108.0" w:type="dxa"/>
      </w:tblCellMar>
    </w:tblPr>
  </w:style>
  <w:style w:type="table" w:styleId="a4" w:customStyle="1">
    <w:basedOn w:val="TableNormal4"/>
    <w:tblPr>
      <w:tblStyleRowBandSize w:val="1"/>
      <w:tblStyleColBandSize w:val="1"/>
      <w:tblCellMar>
        <w:left w:w="108.0" w:type="dxa"/>
        <w:right w:w="108.0" w:type="dxa"/>
      </w:tblCellMar>
    </w:tblPr>
  </w:style>
  <w:style w:type="table" w:styleId="a5" w:customStyle="1">
    <w:basedOn w:val="TableNormal4"/>
    <w:tblPr>
      <w:tblStyleRowBandSize w:val="1"/>
      <w:tblStyleColBandSize w:val="1"/>
      <w:tblCellMar>
        <w:left w:w="108.0" w:type="dxa"/>
        <w:right w:w="108.0" w:type="dxa"/>
      </w:tblCellMar>
    </w:tblPr>
  </w:style>
  <w:style w:type="table" w:styleId="a6" w:customStyle="1">
    <w:basedOn w:val="TableNormal4"/>
    <w:tblPr>
      <w:tblStyleRowBandSize w:val="1"/>
      <w:tblStyleColBandSize w:val="1"/>
      <w:tblCellMar>
        <w:left w:w="108.0" w:type="dxa"/>
        <w:right w:w="108.0" w:type="dxa"/>
      </w:tblCellMar>
    </w:tblPr>
  </w:style>
  <w:style w:type="table" w:styleId="a7" w:customStyle="1">
    <w:basedOn w:val="TableNormal4"/>
    <w:tblPr>
      <w:tblStyleRowBandSize w:val="1"/>
      <w:tblStyleColBandSize w:val="1"/>
      <w:tblCellMar>
        <w:left w:w="108.0" w:type="dxa"/>
        <w:right w:w="108.0" w:type="dxa"/>
      </w:tblCellMar>
    </w:tblPr>
  </w:style>
  <w:style w:type="table" w:styleId="a8" w:customStyle="1">
    <w:basedOn w:val="TableNormal4"/>
    <w:tblPr>
      <w:tblStyleRowBandSize w:val="1"/>
      <w:tblStyleColBandSize w:val="1"/>
      <w:tblCellMar>
        <w:left w:w="108.0" w:type="dxa"/>
        <w:right w:w="108.0" w:type="dxa"/>
      </w:tblCellMar>
    </w:tblPr>
  </w:style>
  <w:style w:type="table" w:styleId="a9" w:customStyle="1">
    <w:basedOn w:val="TableNormal4"/>
    <w:tblPr>
      <w:tblStyleRowBandSize w:val="1"/>
      <w:tblStyleColBandSize w:val="1"/>
      <w:tblCellMar>
        <w:left w:w="115.0" w:type="dxa"/>
        <w:right w:w="115.0" w:type="dxa"/>
      </w:tblCellMar>
    </w:tblPr>
  </w:style>
  <w:style w:type="table" w:styleId="aa" w:customStyle="1">
    <w:basedOn w:val="TableNormal4"/>
    <w:tblPr>
      <w:tblStyleRowBandSize w:val="1"/>
      <w:tblStyleColBandSize w:val="1"/>
      <w:tblCellMar>
        <w:left w:w="115.0" w:type="dxa"/>
        <w:right w:w="115.0" w:type="dxa"/>
      </w:tblCellMar>
    </w:tblPr>
  </w:style>
  <w:style w:type="table" w:styleId="ab" w:customStyle="1">
    <w:basedOn w:val="TableNormal4"/>
    <w:tblPr>
      <w:tblStyleRowBandSize w:val="1"/>
      <w:tblStyleColBandSize w:val="1"/>
      <w:tblCellMar>
        <w:left w:w="115.0" w:type="dxa"/>
        <w:right w:w="115.0" w:type="dxa"/>
      </w:tblCellMar>
    </w:tblPr>
  </w:style>
  <w:style w:type="table" w:styleId="ac" w:customStyle="1">
    <w:basedOn w:val="TableNormal3"/>
    <w:tblPr>
      <w:tblStyleRowBandSize w:val="1"/>
      <w:tblStyleColBandSize w:val="1"/>
      <w:tblCellMar>
        <w:left w:w="115.0" w:type="dxa"/>
        <w:right w:w="115.0" w:type="dxa"/>
      </w:tblCellMar>
    </w:tblPr>
  </w:style>
  <w:style w:type="table" w:styleId="ad" w:customStyle="1">
    <w:basedOn w:val="TableNormal3"/>
    <w:tblPr>
      <w:tblStyleRowBandSize w:val="1"/>
      <w:tblStyleColBandSize w:val="1"/>
      <w:tblCellMar>
        <w:left w:w="115.0" w:type="dxa"/>
        <w:right w:w="115.0" w:type="dxa"/>
      </w:tblCellMar>
    </w:tblPr>
  </w:style>
  <w:style w:type="table" w:styleId="ae" w:customStyle="1">
    <w:basedOn w:val="TableNormal3"/>
    <w:tblPr>
      <w:tblStyleRowBandSize w:val="1"/>
      <w:tblStyleColBandSize w:val="1"/>
      <w:tblCellMar>
        <w:left w:w="115.0" w:type="dxa"/>
        <w:right w:w="115.0" w:type="dxa"/>
      </w:tblCellMar>
    </w:tblPr>
  </w:style>
  <w:style w:type="character" w:styleId="Textoennegrita">
    <w:name w:val="Strong"/>
    <w:uiPriority w:val="22"/>
    <w:qFormat w:val="1"/>
    <w:rsid w:val="002B3D0A"/>
    <w:rPr>
      <w:b w:val="1"/>
      <w:bCs w:val="1"/>
    </w:rPr>
  </w:style>
  <w:style w:type="paragraph" w:styleId="Texto" w:customStyle="1">
    <w:name w:val="Texto"/>
    <w:basedOn w:val="Normal"/>
    <w:link w:val="TextoCar"/>
    <w:qFormat w:val="1"/>
    <w:rsid w:val="002B3D0A"/>
    <w:pPr>
      <w:spacing w:after="101" w:line="216" w:lineRule="exact"/>
      <w:ind w:firstLine="288"/>
      <w:jc w:val="both"/>
    </w:pPr>
    <w:rPr>
      <w:rFonts w:ascii="Arial" w:cs="Arial" w:hAnsi="Arial"/>
      <w:sz w:val="18"/>
      <w:szCs w:val="18"/>
      <w:lang w:val="es-MX"/>
    </w:rPr>
  </w:style>
  <w:style w:type="character" w:styleId="apple-style-span" w:customStyle="1">
    <w:name w:val="apple-style-span"/>
    <w:rsid w:val="002B3D0A"/>
  </w:style>
  <w:style w:type="character" w:styleId="TextoCar" w:customStyle="1">
    <w:name w:val="Texto Car"/>
    <w:link w:val="Texto"/>
    <w:locked w:val="1"/>
    <w:rsid w:val="002B3D0A"/>
    <w:rPr>
      <w:rFonts w:ascii="Arial" w:cs="Arial" w:hAnsi="Arial"/>
      <w:sz w:val="18"/>
      <w:szCs w:val="18"/>
      <w:lang w:eastAsia="es-ES" w:val="es-MX"/>
    </w:rPr>
  </w:style>
  <w:style w:type="paragraph" w:styleId="Citas" w:customStyle="1">
    <w:name w:val="Citas"/>
    <w:basedOn w:val="Normal"/>
    <w:qFormat w:val="1"/>
    <w:rsid w:val="009D3D69"/>
    <w:pPr>
      <w:spacing w:after="160" w:before="240" w:line="360" w:lineRule="auto"/>
      <w:ind w:left="851" w:right="851"/>
      <w:jc w:val="both"/>
    </w:pPr>
    <w:rPr>
      <w:rFonts w:ascii="Palatino Linotype" w:cs="Arial" w:hAnsi="Palatino Linotype" w:eastAsiaTheme="minorHAnsi"/>
      <w:i w:val="1"/>
      <w:sz w:val="22"/>
      <w:szCs w:val="22"/>
      <w:lang w:eastAsia="en-US" w:val="es-MX"/>
    </w:rPr>
  </w:style>
  <w:style w:type="paragraph" w:styleId="Listaconvietas3">
    <w:name w:val="List Bullet 3"/>
    <w:basedOn w:val="Normal"/>
    <w:uiPriority w:val="99"/>
    <w:unhideWhenUsed w:val="1"/>
    <w:rsid w:val="009E0405"/>
    <w:pPr>
      <w:numPr>
        <w:numId w:val="3"/>
      </w:numPr>
      <w:contextualSpacing w:val="1"/>
    </w:pPr>
    <w:rPr>
      <w:lang w:eastAsia="es-MX" w:val="es-MX"/>
    </w:rPr>
  </w:style>
  <w:style w:type="paragraph" w:styleId="Listaconvietas">
    <w:name w:val="List Bullet"/>
    <w:basedOn w:val="Normal"/>
    <w:uiPriority w:val="99"/>
    <w:unhideWhenUsed w:val="1"/>
    <w:rsid w:val="00E6231A"/>
    <w:pPr>
      <w:tabs>
        <w:tab w:val="num" w:pos="720"/>
      </w:tabs>
      <w:ind w:left="720" w:hanging="720"/>
      <w:contextualSpacing w:val="1"/>
    </w:pPr>
    <w:rPr>
      <w:lang w:eastAsia="es-MX" w:val="es-MX"/>
    </w:rPr>
  </w:style>
  <w:style w:type="character" w:styleId="Mencinsinresolver1" w:customStyle="1">
    <w:name w:val="Mención sin resolver1"/>
    <w:basedOn w:val="Fuentedeprrafopredeter"/>
    <w:uiPriority w:val="99"/>
    <w:semiHidden w:val="1"/>
    <w:unhideWhenUsed w:val="1"/>
    <w:rsid w:val="00582A33"/>
    <w:rPr>
      <w:color w:val="605e5c"/>
      <w:shd w:color="auto" w:fill="e1dfdd" w:val="clear"/>
    </w:rPr>
  </w:style>
  <w:style w:type="table" w:styleId="af" w:customStyle="1">
    <w:basedOn w:val="TableNormal2"/>
    <w:tblPr>
      <w:tblStyleRowBandSize w:val="1"/>
      <w:tblStyleColBandSize w:val="1"/>
      <w:tblCellMar>
        <w:left w:w="115.0" w:type="dxa"/>
        <w:right w:w="115.0" w:type="dxa"/>
      </w:tblCellMar>
    </w:tblPr>
  </w:style>
  <w:style w:type="table" w:styleId="af0" w:customStyle="1">
    <w:basedOn w:val="TableNormal2"/>
    <w:tblPr>
      <w:tblStyleRowBandSize w:val="1"/>
      <w:tblStyleColBandSize w:val="1"/>
      <w:tblCellMar>
        <w:left w:w="115.0" w:type="dxa"/>
        <w:right w:w="115.0" w:type="dxa"/>
      </w:tblCellMar>
    </w:tblPr>
  </w:style>
  <w:style w:type="character" w:styleId="Mencinsinresolver2" w:customStyle="1">
    <w:name w:val="Mención sin resolver2"/>
    <w:basedOn w:val="Fuentedeprrafopredeter"/>
    <w:uiPriority w:val="99"/>
    <w:semiHidden w:val="1"/>
    <w:unhideWhenUsed w:val="1"/>
    <w:rsid w:val="00836A8D"/>
    <w:rPr>
      <w:color w:val="605e5c"/>
      <w:shd w:color="auto" w:fill="e1dfdd" w:val="clear"/>
    </w:rPr>
  </w:style>
  <w:style w:type="character" w:styleId="Mencinsinresolver3" w:customStyle="1">
    <w:name w:val="Mención sin resolver3"/>
    <w:basedOn w:val="Fuentedeprrafopredeter"/>
    <w:uiPriority w:val="99"/>
    <w:semiHidden w:val="1"/>
    <w:unhideWhenUsed w:val="1"/>
    <w:rsid w:val="00D21E62"/>
    <w:rPr>
      <w:color w:val="605e5c"/>
      <w:shd w:color="auto" w:fill="e1dfdd" w:val="clear"/>
    </w:rPr>
  </w:style>
  <w:style w:type="paragraph" w:styleId="INFOEM" w:customStyle="1">
    <w:name w:val="INFOEM"/>
    <w:basedOn w:val="Normal"/>
    <w:qFormat w:val="1"/>
    <w:rsid w:val="00A87C1D"/>
    <w:pPr>
      <w:spacing w:after="160" w:before="240" w:line="360" w:lineRule="auto"/>
      <w:ind w:left="851" w:right="851"/>
      <w:jc w:val="both"/>
    </w:pPr>
    <w:rPr>
      <w:rFonts w:ascii="Palatino Linotype" w:hAnsi="Palatino Linotype" w:cstheme="minorBidi" w:eastAsiaTheme="minorHAnsi"/>
      <w:i w:val="1"/>
      <w:sz w:val="22"/>
      <w:szCs w:val="14"/>
      <w:lang w:eastAsia="en-US" w:val="es-MX"/>
    </w:rPr>
  </w:style>
  <w:style w:type="table" w:styleId="Tablanormal11" w:customStyle="1">
    <w:name w:val="Tabla normal 11"/>
    <w:basedOn w:val="Tablanormal"/>
    <w:uiPriority w:val="41"/>
    <w:rsid w:val="00F66760"/>
    <w:rPr>
      <w:rFonts w:asciiTheme="minorHAnsi" w:cstheme="minorBidi" w:eastAsiaTheme="minorHAnsi" w:hAnsiTheme="minorHAnsi"/>
      <w:sz w:val="22"/>
      <w:szCs w:val="22"/>
      <w:lang w:eastAsia="en-US" w:val="es-MX"/>
    </w:r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af1" w:customStyle="1">
    <w:basedOn w:val="TableNormal1"/>
    <w:rPr>
      <w:rFonts w:ascii="Calibri" w:cs="Calibri" w:eastAsia="Calibri" w:hAnsi="Calibri"/>
      <w:sz w:val="22"/>
      <w:szCs w:val="22"/>
    </w:rPr>
    <w:tblPr>
      <w:tblStyleRowBandSize w:val="1"/>
      <w:tblStyleColBandSize w:val="1"/>
      <w:tblCellMar>
        <w:left w:w="108.0" w:type="dxa"/>
        <w:right w:w="108.0" w:type="dxa"/>
      </w:tblCellMar>
    </w:tblPr>
    <w:tblStylePr w:type="firstRow">
      <w:rPr>
        <w:b w:val="1"/>
      </w:rPr>
    </w:tblStylePr>
    <w:tblStylePr w:type="lastRow">
      <w:rPr>
        <w:b w:val="1"/>
      </w:rPr>
      <w:tblPr/>
      <w:tcPr>
        <w:tcBorders>
          <w:top w:color="bfbfbf" w:space="0" w:sz="4" w:val="single"/>
        </w:tcBorders>
      </w:tc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table" w:styleId="af2" w:customStyle="1">
    <w:basedOn w:val="TableNormal1"/>
    <w:tblPr>
      <w:tblStyleRowBandSize w:val="1"/>
      <w:tblStyleColBandSize w:val="1"/>
      <w:tblCellMar>
        <w:left w:w="115.0" w:type="dxa"/>
        <w:right w:w="115.0" w:type="dxa"/>
      </w:tblCellMar>
    </w:tblPr>
  </w:style>
  <w:style w:type="table" w:styleId="af3" w:customStyle="1">
    <w:basedOn w:val="TableNormal1"/>
    <w:tblPr>
      <w:tblStyleRowBandSize w:val="1"/>
      <w:tblStyleColBandSize w:val="1"/>
      <w:tblCellMar>
        <w:left w:w="115.0" w:type="dxa"/>
        <w:right w:w="115.0" w:type="dxa"/>
      </w:tblCellMar>
    </w:tblPr>
  </w:style>
  <w:style w:type="table" w:styleId="af4" w:customStyle="1">
    <w:basedOn w:val="TableNormal0"/>
    <w:rPr>
      <w:rFonts w:ascii="Calibri" w:cs="Calibri" w:eastAsia="Calibri" w:hAnsi="Calibri"/>
      <w:sz w:val="22"/>
      <w:szCs w:val="22"/>
    </w:rPr>
    <w:tblPr>
      <w:tblStyleRowBandSize w:val="1"/>
      <w:tblStyleColBandSize w:val="1"/>
      <w:tblCellMar>
        <w:left w:w="115.0" w:type="dxa"/>
        <w:right w:w="115.0" w:type="dxa"/>
      </w:tblCellMar>
    </w:tblPr>
  </w:style>
  <w:style w:type="table" w:styleId="af5" w:customStyle="1">
    <w:basedOn w:val="TableNormal0"/>
    <w:rPr>
      <w:rFonts w:ascii="Calibri" w:cs="Calibri" w:eastAsia="Calibri" w:hAnsi="Calibri"/>
      <w:sz w:val="22"/>
      <w:szCs w:val="22"/>
    </w:rPr>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4gX/YK0yS4X8j3yLo+XfZvdKZg==">CgMxLjAyCGguZ2pkZ3hzMgloLjMwajB6bGwyCWguMWZvYjl0ZTIJaC4yZXQ5MnAwOAByITFoODlCOW5iZjVsVXcxeHBia1JCNkx2R2JCLWpEZHJiZA==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2025-01-16T20:23:00Z</dcterms:created>
  <dc:creator>USER</dc:creator>
</cp:coreProperties>
</file>