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35nkun2"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seis de marzo de dos mil veinticuatro.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00014/INFOEM/IP/RR/2024</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un particular que no proporcionó nombre o seudónimo para ser identificado, </w:t>
      </w:r>
      <w:r w:rsidDel="00000000" w:rsidR="00000000" w:rsidRPr="00000000">
        <w:rPr>
          <w:rFonts w:ascii="Palatino Linotype" w:cs="Palatino Linotype" w:eastAsia="Palatino Linotype" w:hAnsi="Palatino Linotype"/>
          <w:rtl w:val="0"/>
        </w:rPr>
        <w:t xml:space="preserve">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 </w:t>
      </w:r>
      <w:r w:rsidDel="00000000" w:rsidR="00000000" w:rsidRPr="00000000">
        <w:rPr>
          <w:rFonts w:ascii="Palatino Linotype" w:cs="Palatino Linotype" w:eastAsia="Palatino Linotype" w:hAnsi="Palatino Linotype"/>
          <w:b w:val="1"/>
          <w:rtl w:val="0"/>
        </w:rPr>
        <w:t xml:space="preserve">01330/SF/IP/2023, </w:t>
      </w:r>
      <w:r w:rsidDel="00000000" w:rsidR="00000000" w:rsidRPr="00000000">
        <w:rPr>
          <w:rFonts w:ascii="Palatino Linotype" w:cs="Palatino Linotype" w:eastAsia="Palatino Linotype" w:hAnsi="Palatino Linotype"/>
          <w:rtl w:val="0"/>
        </w:rPr>
        <w:t xml:space="preserve">por parte de la</w:t>
      </w:r>
      <w:r w:rsidDel="00000000" w:rsidR="00000000" w:rsidRPr="00000000">
        <w:rPr>
          <w:rFonts w:ascii="Palatino Linotype" w:cs="Palatino Linotype" w:eastAsia="Palatino Linotype" w:hAnsi="Palatino Linotype"/>
          <w:b w:val="1"/>
          <w:rtl w:val="0"/>
        </w:rPr>
        <w:t xml:space="preserve"> Secretaría de Finanzas,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dieciocho de diciembre de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dos mil veintitrés,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01330/SF/IP/2023,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“Respetuosamente se adjunta requerimiento de información” (sic) </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adjuntó un escrito libre cuyo contenido es el siguiente:</w:t>
      </w:r>
    </w:p>
    <w:p w:rsidR="00000000" w:rsidDel="00000000" w:rsidP="00000000" w:rsidRDefault="00000000" w:rsidRPr="00000000" w14:paraId="00000007">
      <w:pPr>
        <w:spacing w:after="120" w:before="120" w:lineRule="auto"/>
        <w:ind w:left="284"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“Respetuosamente al </w:t>
      </w:r>
      <w:r w:rsidDel="00000000" w:rsidR="00000000" w:rsidRPr="00000000">
        <w:rPr>
          <w:rFonts w:ascii="Palatino Linotype" w:cs="Palatino Linotype" w:eastAsia="Palatino Linotype" w:hAnsi="Palatino Linotype"/>
          <w:b w:val="1"/>
          <w:i w:val="1"/>
          <w:sz w:val="22"/>
          <w:szCs w:val="22"/>
          <w:rtl w:val="0"/>
        </w:rPr>
        <w:t xml:space="preserve">DIF del Estado de México</w:t>
      </w:r>
      <w:r w:rsidDel="00000000" w:rsidR="00000000" w:rsidRPr="00000000">
        <w:rPr>
          <w:rFonts w:ascii="Palatino Linotype" w:cs="Palatino Linotype" w:eastAsia="Palatino Linotype" w:hAnsi="Palatino Linotype"/>
          <w:i w:val="1"/>
          <w:sz w:val="22"/>
          <w:szCs w:val="22"/>
          <w:rtl w:val="0"/>
        </w:rPr>
        <w:t xml:space="preserve"> solicito la información que más adelante se detalla bajo el siguiente contexto: </w:t>
      </w:r>
    </w:p>
    <w:p w:rsidR="00000000" w:rsidDel="00000000" w:rsidP="00000000" w:rsidRDefault="00000000" w:rsidRPr="00000000" w14:paraId="00000008">
      <w:pPr>
        <w:spacing w:after="120" w:before="120" w:lineRule="auto"/>
        <w:ind w:left="284"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personas en </w:t>
      </w:r>
      <w:r w:rsidDel="00000000" w:rsidR="00000000" w:rsidRPr="00000000">
        <w:rPr>
          <w:rFonts w:ascii="Palatino Linotype" w:cs="Palatino Linotype" w:eastAsia="Palatino Linotype" w:hAnsi="Palatino Linotype"/>
          <w:b w:val="1"/>
          <w:i w:val="1"/>
          <w:sz w:val="22"/>
          <w:szCs w:val="22"/>
          <w:rtl w:val="0"/>
        </w:rPr>
        <w:t xml:space="preserve">extrema pobreza</w:t>
      </w:r>
      <w:r w:rsidDel="00000000" w:rsidR="00000000" w:rsidRPr="00000000">
        <w:rPr>
          <w:rFonts w:ascii="Palatino Linotype" w:cs="Palatino Linotype" w:eastAsia="Palatino Linotype" w:hAnsi="Palatino Linotype"/>
          <w:i w:val="1"/>
          <w:sz w:val="22"/>
          <w:szCs w:val="22"/>
          <w:rtl w:val="0"/>
        </w:rPr>
        <w:t xml:space="preserve"> –en su mayoría- desconocen acerca de los apoyos que brindan los gobiernos municipales a este sector de la población, en muchos de los casos, aun y cuando conozcan de dichos apoyos, se niegan a solicitar dichos apoyos principalmente por la burocratización que implica.</w:t>
      </w:r>
    </w:p>
    <w:p w:rsidR="00000000" w:rsidDel="00000000" w:rsidP="00000000" w:rsidRDefault="00000000" w:rsidRPr="00000000" w14:paraId="00000009">
      <w:pPr>
        <w:spacing w:after="120" w:before="120" w:lineRule="auto"/>
        <w:ind w:left="284"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omite señalar que, de ese sector de la población, estos carecen de documentos oficiales como identificación oficial vigente, actas de nacimiento vigentes, CURP, entre otros, limitando de esta manera que los recursos y/o apoyos les puedan llegar. </w:t>
      </w:r>
    </w:p>
    <w:p w:rsidR="00000000" w:rsidDel="00000000" w:rsidP="00000000" w:rsidRDefault="00000000" w:rsidRPr="00000000" w14:paraId="0000000A">
      <w:pPr>
        <w:spacing w:after="120" w:before="120" w:lineRule="auto"/>
        <w:ind w:left="284"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Ante un panorama y contexto antes planteado, atendiendo al principio de máxima publicidad, conforme a los archivos físicos y digitales que obran en sus archivos, requiero: </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120" w:before="120" w:line="240" w:lineRule="auto"/>
        <w:ind w:left="567" w:right="335"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Señale el proceso y/o procedimiento para que, una persona en extrema pobreza pueda adquirir una silla de ruedas ante su falta de poder caminar por una condición de salud que le aqueja en las piernas. </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120" w:before="120" w:line="240" w:lineRule="auto"/>
        <w:ind w:left="567" w:right="335"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Ante una ausencia o falta de documentos oficiales como identificación oficial vigente, acta de nacimiento, CURP y/o cualquier documento que sirva para identificar a una persona en extrema pobreza, señale que procedimiento adopta el área responsable para otorgar una silla de ruedas a dicha persona con situación de extrema pobreza.</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120" w:before="120" w:line="240" w:lineRule="auto"/>
        <w:ind w:left="567" w:right="335"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relación al punto anterior, en caso de que sea exigible cualquiera de los documentos oficiales antes descritos para que, una persona en situación de extrema pobreza pueda obtener una silla de ruedas, le solicito concretamente el fundamento legal y administrativo en donde se detalle la exigibilidad de cualquiera de dichos documentos oficiales. </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120" w:before="120" w:line="240" w:lineRule="auto"/>
        <w:ind w:left="567" w:right="335"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Indique por favor el nombre de la unidad administrativa, a efecto de solicitar una silla de ruedas para una persona en situación de extrema pobreza.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40" w:lineRule="auto"/>
        <w:ind w:left="851" w:right="335"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 Requiero el nombre del titular de esa área, número telefónico con extensión vigente, ubicación del área, horarios de atención, correo electrónico institucional,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40" w:lineRule="auto"/>
        <w:ind w:left="851" w:right="335"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b) Para las personas en extrema pobreza que no cuentan con documentos oficiales, señale el procedimiento para que la persona en extrema pobreza este en posibilidades de requerir una silla de ruedas.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120" w:before="120" w:line="240" w:lineRule="auto"/>
        <w:ind w:left="567" w:right="335"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caso de existir irregularidades en el proceso de petición de una silla de ruedas para una persona en extrema pobreza, señale el nombre del titular, número telefónico institucional, correo institucional, número telefónico para realizar la queja y/o denuncia correspondiente, página de internet para realizar dicha queja y/o denuncia vía internet. </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51"/>
        </w:tabs>
        <w:spacing w:after="120" w:before="120" w:line="240" w:lineRule="auto"/>
        <w:ind w:left="567" w:right="335"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Para el caso de los habitantes del municipio de Chicoloapan, requiero indique (en caso de existir) la ubicación de la oficina territorial que atienda esa zona.</w:t>
      </w:r>
    </w:p>
    <w:p w:rsidR="00000000" w:rsidDel="00000000" w:rsidP="00000000" w:rsidRDefault="00000000" w:rsidRPr="00000000" w14:paraId="00000013">
      <w:pPr>
        <w:spacing w:after="120" w:before="120" w:lineRule="auto"/>
        <w:ind w:left="284" w:right="335"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No se omite señalar que, para dar atención a un requerimiento de información pública no necesariamente se atiende mediante la entrega de un documento, al respecto, la respuesta puede ser atendida fundando y motivando su respuesta o pronunciamiento.”</w:t>
      </w:r>
      <w:r w:rsidDel="00000000" w:rsidR="00000000" w:rsidRPr="00000000">
        <w:rPr>
          <w:i w:val="1"/>
          <w:sz w:val="22"/>
          <w:szCs w:val="22"/>
          <w:rtl w:val="0"/>
        </w:rPr>
        <w:t xml:space="preserve"> </w:t>
      </w:r>
      <w:r w:rsidDel="00000000" w:rsidR="00000000" w:rsidRPr="00000000">
        <w:rPr>
          <w:i w:val="1"/>
          <w:rtl w:val="0"/>
        </w:rPr>
        <w:t xml:space="preserve">(sic)</w:t>
      </w:r>
      <w:r w:rsidDel="00000000" w:rsidR="00000000" w:rsidRPr="00000000">
        <w:rPr>
          <w:rtl w:val="0"/>
        </w:rPr>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b w:val="1"/>
        </w:rPr>
      </w:pPr>
      <w:bookmarkStart w:colFirst="0" w:colLast="0" w:name="_heading=h.3dy6vkm" w:id="2"/>
      <w:bookmarkEnd w:id="2"/>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w:t>
      </w:r>
      <w:r w:rsidDel="00000000" w:rsidR="00000000" w:rsidRPr="00000000">
        <w:rPr>
          <w:rFonts w:ascii="Palatino Linotype" w:cs="Palatino Linotype" w:eastAsia="Palatino Linotype" w:hAnsi="Palatino Linotype"/>
          <w:b w:val="1"/>
          <w:rtl w:val="0"/>
        </w:rPr>
        <w:t xml:space="preserve"> SAIMEX</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b w:val="1"/>
        </w:rPr>
      </w:pPr>
      <w:bookmarkStart w:colFirst="0" w:colLast="0" w:name="_heading=h.17dp8vu" w:id="3"/>
      <w:bookmarkEnd w:id="3"/>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diecinueve de diciembre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16">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“…Sobre el particular, sírvase encontrar en archivo adjunto copia del Acuerdo de Incompetencia de fecha 18 de diciembre de 2023, mediante el cual se detalla incompetencia de este Sujeto Obligado...” (sic)</w:t>
      </w:r>
      <w:r w:rsidDel="00000000" w:rsidR="00000000" w:rsidRPr="00000000">
        <w:rPr>
          <w:rtl w:val="0"/>
        </w:rPr>
      </w:r>
    </w:p>
    <w:p w:rsidR="00000000" w:rsidDel="00000000" w:rsidP="00000000" w:rsidRDefault="00000000" w:rsidRPr="00000000" w14:paraId="0000001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el Acuerdo de incompetencia de la solicitud de información pública número 01330/SF/IP/2023, signado por el Jefe de la UIPPE y Titular de la Unidad de Transparencia, mediante el cual, con fundamento en el artículo 167 de la Ley de Transparencia y Acceso a la Información Pública del Estado de México y Municipios precisa que la información solicitada no es generada por la Secretaría de Finanzas, asimismo, informa que pudiera ser competencia del Sistema para el Desarrollo Integral de la Familia del Estado de México, el cual es un Sujeto Obligado en términos de lo dispuesto en el artículo 3, fracción XLI de la Ley de Transparencia y Acceso a la Información Pública del Estado de México y Municipios, en correlación con lo establecido en los artículos 14, 16 y 17 de la Ley de Asistencia Social del Estado de México y Municipios.</w:t>
      </w:r>
    </w:p>
    <w:p w:rsidR="00000000" w:rsidDel="00000000" w:rsidP="00000000" w:rsidRDefault="00000000" w:rsidRPr="00000000" w14:paraId="00000018">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once de enero de dos mil veinticuatro,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r w:rsidDel="00000000" w:rsidR="00000000" w:rsidRPr="00000000">
        <w:rPr>
          <w:rtl w:val="0"/>
        </w:rPr>
      </w:r>
    </w:p>
    <w:p w:rsidR="00000000" w:rsidDel="00000000" w:rsidP="00000000" w:rsidRDefault="00000000" w:rsidRPr="00000000" w14:paraId="00000019">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1A">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impugna la respuesta ya que, el DIF del Estado de México no figura como un sujeto obligado dentro del catalogo del SAIMEX para requerir la información que nos ocupa. Por lo tanto, se impugna su incompetencia.” (sic)</w:t>
      </w:r>
    </w:p>
    <w:p w:rsidR="00000000" w:rsidDel="00000000" w:rsidP="00000000" w:rsidRDefault="00000000" w:rsidRPr="00000000" w14:paraId="0000001B">
      <w:pPr>
        <w:spacing w:line="360" w:lineRule="auto"/>
        <w:jc w:val="both"/>
        <w:rPr>
          <w:rFonts w:ascii="Palatino Linotype" w:cs="Palatino Linotype" w:eastAsia="Palatino Linotype" w:hAnsi="Palatino Linotype"/>
        </w:rPr>
      </w:pPr>
      <w:bookmarkStart w:colFirst="0" w:colLast="0" w:name="_heading=h.30j0zll" w:id="4"/>
      <w:bookmarkEnd w:id="4"/>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C">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impugna la respuesta ya que, </w:t>
      </w:r>
      <w:r w:rsidDel="00000000" w:rsidR="00000000" w:rsidRPr="00000000">
        <w:rPr>
          <w:rFonts w:ascii="Palatino Linotype" w:cs="Palatino Linotype" w:eastAsia="Palatino Linotype" w:hAnsi="Palatino Linotype"/>
          <w:b w:val="1"/>
          <w:i w:val="1"/>
          <w:sz w:val="22"/>
          <w:szCs w:val="22"/>
          <w:rtl w:val="0"/>
        </w:rPr>
        <w:t xml:space="preserve">el DIF del Estado de México no figura como un sujeto obligado dentro del catalogo del SAIMEX</w:t>
      </w:r>
      <w:r w:rsidDel="00000000" w:rsidR="00000000" w:rsidRPr="00000000">
        <w:rPr>
          <w:rFonts w:ascii="Palatino Linotype" w:cs="Palatino Linotype" w:eastAsia="Palatino Linotype" w:hAnsi="Palatino Linotype"/>
          <w:i w:val="1"/>
          <w:sz w:val="22"/>
          <w:szCs w:val="22"/>
          <w:rtl w:val="0"/>
        </w:rPr>
        <w:t xml:space="preserve"> para requerir la información que nos ocupa. Por lo tanto, se impugna su incompetencia.” (sic)</w:t>
      </w:r>
    </w:p>
    <w:p w:rsidR="00000000" w:rsidDel="00000000" w:rsidP="00000000" w:rsidRDefault="00000000" w:rsidRPr="00000000" w14:paraId="0000001D">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dieciséis de enero de dos mil veinticuatro,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F">
      <w:pPr>
        <w:spacing w:after="240" w:before="240" w:line="360" w:lineRule="auto"/>
        <w:ind w:right="49"/>
        <w:jc w:val="both"/>
        <w:rPr>
          <w:rFonts w:ascii="Palatino Linotype" w:cs="Palatino Linotype" w:eastAsia="Palatino Linotype" w:hAnsi="Palatino Linotype"/>
        </w:rPr>
      </w:pPr>
      <w:bookmarkStart w:colFirst="0" w:colLast="0" w:name="_heading=h.2s8eyo1" w:id="5"/>
      <w:bookmarkEnd w:id="5"/>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obran en el expediente electrónico aperturado con motivo del presente medio de impugnación, se advierte que durante el periodo de manifestaciones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catorce de febrero de dos mil veinticuatro </w:t>
      </w:r>
      <w:r w:rsidDel="00000000" w:rsidR="00000000" w:rsidRPr="00000000">
        <w:rPr>
          <w:rFonts w:ascii="Palatino Linotype" w:cs="Palatino Linotype" w:eastAsia="Palatino Linotype" w:hAnsi="Palatino Linotype"/>
          <w:rtl w:val="0"/>
        </w:rPr>
        <w:t xml:space="preserve">rindió su informe justificado a través del archivo electrónico denominado “</w:t>
      </w:r>
      <w:r w:rsidDel="00000000" w:rsidR="00000000" w:rsidRPr="00000000">
        <w:rPr>
          <w:rFonts w:ascii="Palatino Linotype" w:cs="Palatino Linotype" w:eastAsia="Palatino Linotype" w:hAnsi="Palatino Linotype"/>
          <w:b w:val="1"/>
          <w:i w:val="1"/>
          <w:rtl w:val="0"/>
        </w:rPr>
        <w:t xml:space="preserve">MANIFESTACIÓNES RR 00564 24.pdf</w:t>
      </w:r>
      <w:r w:rsidDel="00000000" w:rsidR="00000000" w:rsidRPr="00000000">
        <w:rPr>
          <w:rFonts w:ascii="Palatino Linotype" w:cs="Palatino Linotype" w:eastAsia="Palatino Linotype" w:hAnsi="Palatino Linotype"/>
          <w:rtl w:val="0"/>
        </w:rPr>
        <w:t xml:space="preserve">” que contiene la información siguiente:</w:t>
      </w:r>
    </w:p>
    <w:p w:rsidR="00000000" w:rsidDel="00000000" w:rsidP="00000000" w:rsidRDefault="00000000" w:rsidRPr="00000000" w14:paraId="00000020">
      <w:pPr>
        <w:spacing w:line="259" w:lineRule="auto"/>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numPr>
          <w:ilvl w:val="0"/>
          <w:numId w:val="2"/>
        </w:numPr>
        <w:tabs>
          <w:tab w:val="left" w:leader="none" w:pos="142"/>
          <w:tab w:val="left" w:leader="none" w:pos="284"/>
        </w:tabs>
        <w:spacing w:line="276"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del catorce de febrero del dos mil veinticuatro, mediante el cual el Titular de la Unidad de Transparencia rinde informe justificado en el que medularmente ratifica la respuesta inicial.</w:t>
      </w:r>
    </w:p>
    <w:p w:rsidR="00000000" w:rsidDel="00000000" w:rsidP="00000000" w:rsidRDefault="00000000" w:rsidRPr="00000000" w14:paraId="00000022">
      <w:pPr>
        <w:spacing w:after="240" w:before="240" w:line="360" w:lineRule="auto"/>
        <w:ind w:right="49"/>
        <w:jc w:val="both"/>
        <w:rPr>
          <w:rFonts w:ascii="Palatino Linotype" w:cs="Palatino Linotype" w:eastAsia="Palatino Linotype" w:hAnsi="Palatino Linotype"/>
        </w:rPr>
      </w:pPr>
      <w:bookmarkStart w:colFirst="0" w:colLast="0" w:name="_heading=h.gndkr3r0e21x" w:id="6"/>
      <w:bookmarkEnd w:id="6"/>
      <w:r w:rsidDel="00000000" w:rsidR="00000000" w:rsidRPr="00000000">
        <w:rPr>
          <w:rtl w:val="0"/>
        </w:rPr>
      </w:r>
    </w:p>
    <w:p w:rsidR="00000000" w:rsidDel="00000000" w:rsidP="00000000" w:rsidRDefault="00000000" w:rsidRPr="00000000" w14:paraId="00000023">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veintinueve de febrero de dos mil veinticuatro, </w:t>
      </w:r>
      <w:r w:rsidDel="00000000" w:rsidR="00000000" w:rsidRPr="00000000">
        <w:rPr>
          <w:rFonts w:ascii="Palatino Linotype" w:cs="Palatino Linotype" w:eastAsia="Palatino Linotype" w:hAnsi="Palatino Linotype"/>
          <w:rtl w:val="0"/>
        </w:rPr>
        <w:t xml:space="preserve">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4">
      <w:pPr>
        <w:spacing w:after="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veintinueve de febrero de dos mil veinticuatro,</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bookmarkStart w:colFirst="0" w:colLast="0" w:name="_heading=h.tyjcwt" w:id="7"/>
      <w:bookmarkEnd w:id="7"/>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w:t>
      </w:r>
      <w:r w:rsidDel="00000000" w:rsidR="00000000" w:rsidRPr="00000000">
        <w:rPr>
          <w:rFonts w:ascii="Palatino Linotype" w:cs="Palatino Linotype" w:eastAsia="Palatino Linotype" w:hAnsi="Palatino Linotype"/>
          <w:b w:val="1"/>
          <w:rtl w:val="0"/>
        </w:rPr>
        <w:t xml:space="preserve">diecinueve de diciembre de dos mil veintitrés,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once de enero de dos mil veinticuatro, </w:t>
      </w:r>
      <w:r w:rsidDel="00000000" w:rsidR="00000000" w:rsidRPr="00000000">
        <w:rPr>
          <w:rFonts w:ascii="Palatino Linotype" w:cs="Palatino Linotype" w:eastAsia="Palatino Linotype" w:hAnsi="Palatino Linotype"/>
          <w:rtl w:val="0"/>
        </w:rPr>
        <w:t xml:space="preserve">esto es, al segundo día hábil posterior en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2B">
      <w:pPr>
        <w:tabs>
          <w:tab w:val="left" w:leader="none" w:pos="7938"/>
        </w:tabs>
        <w:spacing w:after="240" w:before="240" w:line="360" w:lineRule="auto"/>
        <w:jc w:val="both"/>
        <w:rPr>
          <w:rFonts w:ascii="Palatino Linotype" w:cs="Palatino Linotype" w:eastAsia="Palatino Linotype" w:hAnsi="Palatino Linotype"/>
        </w:rPr>
      </w:pPr>
      <w:bookmarkStart w:colFirst="0" w:colLast="0" w:name="_heading=h.3znysh7" w:id="8"/>
      <w:bookmarkEnd w:id="8"/>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rtl w:val="0"/>
        </w:rPr>
        <w:t xml:space="preserve">no proporcionó nombre o seudónimo</w:t>
      </w:r>
      <w:r w:rsidDel="00000000" w:rsidR="00000000" w:rsidRPr="00000000">
        <w:rPr>
          <w:rFonts w:ascii="Palatino Linotype" w:cs="Palatino Linotype" w:eastAsia="Palatino Linotype" w:hAnsi="Palatino Linotype"/>
          <w:rtl w:val="0"/>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D">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 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IV del ordenamiento legal citado, que a la letra dice: </w:t>
      </w:r>
    </w:p>
    <w:p w:rsidR="00000000" w:rsidDel="00000000" w:rsidP="00000000" w:rsidRDefault="00000000" w:rsidRPr="00000000" w14:paraId="0000003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1">
      <w:pPr>
        <w:spacing w:after="120" w:before="120" w:lineRule="auto"/>
        <w:ind w:left="1134"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32">
      <w:pPr>
        <w:spacing w:after="120" w:before="120" w:lineRule="auto"/>
        <w:ind w:left="1134"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La declaración de incompetencia por el sujeto obligado</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bookmarkStart w:colFirst="0" w:colLast="0" w:name="_heading=h.2et92p0" w:id="9"/>
      <w:bookmarkEnd w:id="9"/>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3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3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3B">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apoyo a lo anterior Criterio de interpretación, con clave de control SO/003/2017, emitido por el Pleno del Instituto Nacional de Transparencia, Acceso a la Información y Protección de Datos Personales, INAI, que dice:</w:t>
      </w: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p w:rsidR="00000000" w:rsidDel="00000000" w:rsidP="00000000" w:rsidRDefault="00000000" w:rsidRPr="00000000" w14:paraId="0000003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3F">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4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4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4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4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4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49">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4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4C">
      <w:pPr>
        <w:spacing w:after="240" w:before="240" w:line="360" w:lineRule="auto"/>
        <w:ind w:left="284" w:right="51"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Al DIF del Estado de México:</w:t>
      </w:r>
    </w:p>
    <w:p w:rsidR="00000000" w:rsidDel="00000000" w:rsidP="00000000" w:rsidRDefault="00000000" w:rsidRPr="00000000" w14:paraId="0000004D">
      <w:pPr>
        <w:spacing w:after="240" w:before="240" w:line="360" w:lineRule="auto"/>
        <w:ind w:left="426"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1. Señale el proceso y/o procedimiento para que, una persona en extrema pobreza pueda adquirir una silla de ruedas ante su falta de poder caminar por una condición de salud que le aqueja en las piernas. </w:t>
      </w:r>
    </w:p>
    <w:p w:rsidR="00000000" w:rsidDel="00000000" w:rsidP="00000000" w:rsidRDefault="00000000" w:rsidRPr="00000000" w14:paraId="0000004E">
      <w:pPr>
        <w:spacing w:after="240" w:before="240" w:line="360" w:lineRule="auto"/>
        <w:ind w:left="426"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Ante una ausencia o falta de documentos oficiales como identificación oficial vigente, acta de nacimiento, CURP y/o cualquier documento que sirva para identificar a una persona en extrema pobreza, señale que procedimiento adopta el área responsable para otorgar una silla de ruedas a dicha persona con situación de extrema pobreza.</w:t>
      </w:r>
    </w:p>
    <w:p w:rsidR="00000000" w:rsidDel="00000000" w:rsidP="00000000" w:rsidRDefault="00000000" w:rsidRPr="00000000" w14:paraId="0000004F">
      <w:pPr>
        <w:spacing w:after="240" w:before="240" w:line="360" w:lineRule="auto"/>
        <w:ind w:left="426"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Con relación al punto anterior, en caso de que sea exigible cualquiera de los documentos oficiales antes descritos para que, una persona en situación de extrema pobreza pueda obtener una silla de ruedas, le solicito concretamente el fundamento legal y administrativo en donde se detalle la exigibilidad de cualquiera de dichos documentos oficiales. </w:t>
      </w:r>
    </w:p>
    <w:p w:rsidR="00000000" w:rsidDel="00000000" w:rsidP="00000000" w:rsidRDefault="00000000" w:rsidRPr="00000000" w14:paraId="00000050">
      <w:pPr>
        <w:spacing w:after="240" w:before="240" w:line="360" w:lineRule="auto"/>
        <w:ind w:left="426"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Indique por favor el nombre de la unidad administrativa, a efecto de solicitar una silla de ruedas para una persona en situación de extrema pobreza. </w:t>
      </w:r>
    </w:p>
    <w:p w:rsidR="00000000" w:rsidDel="00000000" w:rsidP="00000000" w:rsidRDefault="00000000" w:rsidRPr="00000000" w14:paraId="00000051">
      <w:pPr>
        <w:spacing w:after="240" w:before="240" w:line="360" w:lineRule="auto"/>
        <w:ind w:left="709"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Requiero el nombre del titular de esa área, número telefónico con extensión vigente, ubicación del área, horarios de atención, correo electrónico institucional, </w:t>
      </w:r>
    </w:p>
    <w:p w:rsidR="00000000" w:rsidDel="00000000" w:rsidP="00000000" w:rsidRDefault="00000000" w:rsidRPr="00000000" w14:paraId="00000052">
      <w:pPr>
        <w:spacing w:after="240" w:before="240" w:line="360" w:lineRule="auto"/>
        <w:ind w:left="709"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Para las personas en extrema pobreza que no cuentan con documentos oficiales, señale el procedimiento para que la persona en extrema pobreza este en posibilidades de requerir una silla de ruedas. </w:t>
      </w:r>
    </w:p>
    <w:p w:rsidR="00000000" w:rsidDel="00000000" w:rsidP="00000000" w:rsidRDefault="00000000" w:rsidRPr="00000000" w14:paraId="00000053">
      <w:pPr>
        <w:spacing w:after="240" w:before="240" w:line="360" w:lineRule="auto"/>
        <w:ind w:left="426"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 En caso de existir irregularidades en el proceso de petición de una silla de ruedas para una persona en extrema pobreza, señale el nombre del titular, número telefónico institucional, correo institucional, número telefónico para realizar la queja y/o denuncia correspondiente, página de internet para realizar dicha queja y/o denuncia vía internet. </w:t>
      </w:r>
    </w:p>
    <w:p w:rsidR="00000000" w:rsidDel="00000000" w:rsidP="00000000" w:rsidRDefault="00000000" w:rsidRPr="00000000" w14:paraId="00000054">
      <w:pPr>
        <w:spacing w:after="240" w:before="240" w:line="360" w:lineRule="auto"/>
        <w:ind w:left="426"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 Para el caso de los habitantes del municipio de Chicoloapan, requiero indique (en caso de existir) la ubicación de la oficina territorial que atienda esa zona.</w:t>
      </w:r>
    </w:p>
    <w:p w:rsidR="00000000" w:rsidDel="00000000" w:rsidP="00000000" w:rsidRDefault="00000000" w:rsidRPr="00000000" w14:paraId="0000005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Titular de la Unidad de Transparencia hizo del conocimiento de la persona solicitante que la información solicitada no es generada por la Secretaría de Finanzas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asimismo, que el Sujeto Obligado que puede ser competente para atender la solicitud, el Sistema para el Desarrollo Integral de la Familia del Estado de México.</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no estar conforme con los términos de la respuesta emitida,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interpuso el recurso de revisión que nos ocupa, donde señaló como motivo de inconformidad, que el DIF del Estado de México no figura como un Sujeto Obligado dentro del catálogo del SAIMEX para requerir la información, por ello impugna la incompetencia.</w:t>
      </w:r>
    </w:p>
    <w:p w:rsidR="00000000" w:rsidDel="00000000" w:rsidP="00000000" w:rsidRDefault="00000000" w:rsidRPr="00000000" w14:paraId="0000005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la etapa de manifestaciones, el Titular de la Unidad de Transparencia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reiteró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carece de atribuciones para proporcionar la información solicitada.</w:t>
      </w:r>
    </w:p>
    <w:p w:rsidR="00000000" w:rsidDel="00000000" w:rsidP="00000000" w:rsidRDefault="00000000" w:rsidRPr="00000000" w14:paraId="00000058">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u w:val="single"/>
          <w:rtl w:val="0"/>
        </w:rPr>
        <w:t xml:space="preserve">De las atribuciones del Sujeto Obligado</w:t>
      </w:r>
      <w:r w:rsidDel="00000000" w:rsidR="00000000" w:rsidRPr="00000000">
        <w:rPr>
          <w:rtl w:val="0"/>
        </w:rPr>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tomando en consideración el pronunciamiento emitido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respuesta a la solicitud, es oportuno partir de las atribuciones que la normativa le confiere, para lo cual es necesario traer a colación, en primer lugar, el contenido de la Ley Orgánica de la Administración Pública del Estado de México.</w:t>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el artículo 28 del referido ordenamiento legal dispone que la Secretaría de Finanzas es la encargada de la planeación, programación, presupuestación y evaluación de las actividades del Poder Ejecutivo, de la administración financiera y tributaria de la hacienda pública del Estado que requieran las dependencias del Poder Ejecutivo del Estado, en los ámbitos de su competencia.</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cumplimiento de su objeto, se le confieren las siguientes atribuciones, de conformidad con el artículo 29 de la Ley Orgánica:</w:t>
      </w:r>
    </w:p>
    <w:p w:rsidR="00000000" w:rsidDel="00000000" w:rsidP="00000000" w:rsidRDefault="00000000" w:rsidRPr="00000000" w14:paraId="0000005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29</w:t>
      </w:r>
      <w:r w:rsidDel="00000000" w:rsidR="00000000" w:rsidRPr="00000000">
        <w:rPr>
          <w:rFonts w:ascii="Palatino Linotype" w:cs="Palatino Linotype" w:eastAsia="Palatino Linotype" w:hAnsi="Palatino Linotype"/>
          <w:i w:val="1"/>
          <w:sz w:val="22"/>
          <w:szCs w:val="22"/>
          <w:rtl w:val="0"/>
        </w:rPr>
        <w:t xml:space="preserve">. La Secretaría de Finanzas contará con las siguientes atribuciones: </w:t>
      </w:r>
    </w:p>
    <w:p w:rsidR="00000000" w:rsidDel="00000000" w:rsidP="00000000" w:rsidRDefault="00000000" w:rsidRPr="00000000" w14:paraId="0000005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Formular y someter a consideración del Poder Ejecutivo, bajo los principios de austeridad y equidad, los proyectos de leyes, reglamentos y demás disposiciones de carácter general que se requieran para la planeación, programación, presupuestación, y evaluación de la actividad económica y financiera del Estado, así como para la actividad fiscal y tributaria en el marco del sistema de planeación democrático; </w:t>
      </w:r>
    </w:p>
    <w:p w:rsidR="00000000" w:rsidDel="00000000" w:rsidP="00000000" w:rsidRDefault="00000000" w:rsidRPr="00000000" w14:paraId="0000005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Establecer políticas en materia hacendaria, así como recaudar los impuestos, derechos, aportaciones de mejoras, productos y aprovechamientos, que correspondan al Estado; y las contribuciones federales y municipales en los términos de los convenios suscritos, conforme a las leyes estatales y generales aplicables, mediante designación directa de las personas servidoras públicas consideradas en la Ley, cualesquiera de sus facultades otorgadas por los propios convenios suscritos, excepto aquéllas que por disposición de ley o del reglamento interior respectivo, deban ser ejercidas precisamente por la propia persona titular de la Secretaría; </w:t>
      </w:r>
    </w:p>
    <w:p w:rsidR="00000000" w:rsidDel="00000000" w:rsidP="00000000" w:rsidRDefault="00000000" w:rsidRPr="00000000" w14:paraId="0000005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Instrumentar, vigilar y buscar asegurar el cumplimiento de las disposiciones legales de carácter fiscal y las demás de su ramo, aplicables en el Estado; </w:t>
      </w:r>
    </w:p>
    <w:p w:rsidR="00000000" w:rsidDel="00000000" w:rsidP="00000000" w:rsidRDefault="00000000" w:rsidRPr="00000000" w14:paraId="0000006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Ejercer en el ámbito de su competencia las atribuciones derivadas de los convenios fiscales que celebre el Gobierno del Estado con la Secretaría de Hacienda y Crédito Público del Gobierno Federal, con los gobiernos de otros estados de la República, con los gobiernos municipales y con organismos auxiliares; </w:t>
      </w:r>
    </w:p>
    <w:p w:rsidR="00000000" w:rsidDel="00000000" w:rsidP="00000000" w:rsidRDefault="00000000" w:rsidRPr="00000000" w14:paraId="0000006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Formular y presentar a la persona titular del Poder Ejecutivo del Estado, los proyectos de Ley de Ingresos, del Presupuesto de Egresos y el programa general del gasto público; </w:t>
      </w:r>
    </w:p>
    <w:p w:rsidR="00000000" w:rsidDel="00000000" w:rsidP="00000000" w:rsidRDefault="00000000" w:rsidRPr="00000000" w14:paraId="0000006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Practicar revisiones y auditorías a los causantes para prevenir la evasión y elusión, y en su caso, determinar créditos fiscales y precisar las bases para su liquidación; </w:t>
      </w:r>
    </w:p>
    <w:p w:rsidR="00000000" w:rsidDel="00000000" w:rsidP="00000000" w:rsidRDefault="00000000" w:rsidRPr="00000000" w14:paraId="0000006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Formular mensualmente los estados financieros de la hacienda pública, presentando anualmente a la persona titular del Poder Ejecutivo del Estado, en la primera quincena del mes de enero, un informe pormenorizado del ejercicio fiscal anterior; </w:t>
      </w:r>
    </w:p>
    <w:p w:rsidR="00000000" w:rsidDel="00000000" w:rsidP="00000000" w:rsidRDefault="00000000" w:rsidRPr="00000000" w14:paraId="0000006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Ejercer la facultad económico-coactiva conforme a las leyes relativas, para hacer efectivos los créditos fiscales a favor del Estado; </w:t>
      </w:r>
    </w:p>
    <w:p w:rsidR="00000000" w:rsidDel="00000000" w:rsidP="00000000" w:rsidRDefault="00000000" w:rsidRPr="00000000" w14:paraId="0000006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Establecer, administrar, integrar, controlar, verificar y mantener actualizados, el padrón fiscal de contribuyentes y demás registros relacionados, conforme a las disposiciones legales aplicables;</w:t>
      </w:r>
    </w:p>
    <w:p w:rsidR="00000000" w:rsidDel="00000000" w:rsidP="00000000" w:rsidRDefault="00000000" w:rsidRPr="00000000" w14:paraId="0000006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Cuidar que las personas empleadas que manejen fondos del Estado otorguen fianza suficiente para garantizar su manejo en los términos que determine la ley; </w:t>
      </w:r>
    </w:p>
    <w:p w:rsidR="00000000" w:rsidDel="00000000" w:rsidP="00000000" w:rsidRDefault="00000000" w:rsidRPr="00000000" w14:paraId="0000006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Dictar las normas relacionadas con el manejo de fondos y valores de las dependencias, organismos auxiliares y fideicomisos del Estado, así como custodiar los documentos que constituyen valores, acciones y demás derechos que formen parte del patrimonio del Estado y los de los particulares reintegrables;</w:t>
      </w:r>
    </w:p>
    <w:p w:rsidR="00000000" w:rsidDel="00000000" w:rsidP="00000000" w:rsidRDefault="00000000" w:rsidRPr="00000000" w14:paraId="0000006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Acordar con la persona titular del Poder Ejecutivo del Estado, la negociación de contratación, refinanciamiento y reestructura de la deuda pública estatal, llevar su registro y control; así como vigilar y registrar la de los municipios, informándole periódicamente sobre su estado y conformación; </w:t>
      </w:r>
    </w:p>
    <w:p w:rsidR="00000000" w:rsidDel="00000000" w:rsidP="00000000" w:rsidRDefault="00000000" w:rsidRPr="00000000" w14:paraId="0000006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Dirigir, regular, controlar, supervisar y evaluar las actividades de las personas servidoras públicas en las oficinas recaudadoras físicas y virtuales, así como de orientación y asistencia a las personas contribuyentes en el Estado; </w:t>
      </w:r>
    </w:p>
    <w:p w:rsidR="00000000" w:rsidDel="00000000" w:rsidP="00000000" w:rsidRDefault="00000000" w:rsidRPr="00000000" w14:paraId="0000006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Efectuar los pagos conforme a los programas y presupuestos aprobados, así como, formular mensualmente el estado de origen y aplicación de los recursos financieros y tributarios del Estado; </w:t>
      </w:r>
    </w:p>
    <w:p w:rsidR="00000000" w:rsidDel="00000000" w:rsidP="00000000" w:rsidRDefault="00000000" w:rsidRPr="00000000" w14:paraId="0000006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Proponer a la persona titular del Poder Ejecutivo del Estado la cancelación de cuentas incobrables, así como el otorgamiento de subsidios fiscales en los casos en que proceda; </w:t>
      </w:r>
    </w:p>
    <w:p w:rsidR="00000000" w:rsidDel="00000000" w:rsidP="00000000" w:rsidRDefault="00000000" w:rsidRPr="00000000" w14:paraId="0000006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Proporcionar asesoría en materia de interpretación y aplicación de las leyes tributarias, presupuestales y administrativas de su competencia que le sea solicitada por las dependencias y entidades de la Administración Pública, por los ayuntamientos y por los particulares, así como realizar una labor permanente de difusión y orientación fiscal; </w:t>
      </w:r>
    </w:p>
    <w:p w:rsidR="00000000" w:rsidDel="00000000" w:rsidP="00000000" w:rsidRDefault="00000000" w:rsidRPr="00000000" w14:paraId="0000006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 Tramitar y resolver los recursos administrativos en la esfera de su competencia e intervenir en los juicios de carácter fiscal que se ventilen ante cualquier tribunal cuando tenga interés la Entidad. En materia de impuestos federales coordinados, en representación de la Entidad y en cumplimiento de los convenios y acuerdos de coordinación fiscal, tendrá las siguientes facultades: </w:t>
      </w:r>
    </w:p>
    <w:p w:rsidR="00000000" w:rsidDel="00000000" w:rsidP="00000000" w:rsidRDefault="00000000" w:rsidRPr="00000000" w14:paraId="0000006E">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Intervenir como parte en los juicios contra resoluciones o actos emitidos por la Entidad en ejercicio de sus facultades por ingresos federales ya sea por sí o a través de las dependencias u organismos auxiliares de la Administración Pública, sin perjuicio de la intervención que corresponda a la Secretaría de Hacienda y Crédito Público y/o al Servicio de Administración Tributaria; </w:t>
      </w:r>
    </w:p>
    <w:p w:rsidR="00000000" w:rsidDel="00000000" w:rsidP="00000000" w:rsidRDefault="00000000" w:rsidRPr="00000000" w14:paraId="0000006F">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Ejercer las acciones, oponer las excepciones y defensas que correspondan a los actos emitidos por la Entidad en los juicios; </w:t>
      </w:r>
    </w:p>
    <w:p w:rsidR="00000000" w:rsidDel="00000000" w:rsidP="00000000" w:rsidRDefault="00000000" w:rsidRPr="00000000" w14:paraId="00000070">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Intervenir en su carácter de autoridad ejecutora, en los juicios interpuestos contra requerimientos de pago a cargo de instituciones de fianzas con base en pólizas que se hayan expedido para asegurar el interés fiscal; </w:t>
      </w:r>
    </w:p>
    <w:p w:rsidR="00000000" w:rsidDel="00000000" w:rsidP="00000000" w:rsidRDefault="00000000" w:rsidRPr="00000000" w14:paraId="00000071">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Interponer recurso de revisión en nombre y representación de la Entidad y de la persona titular del Poder Ejecutivo del Estado, en contra de las sentencias y resoluciones ante el Tribunal Colegiado de Circuito competente, por conducto de las Salas, Secciones o Pleno del Tribunal Federal de Justicia Administrativa y las dictadas en el Juicio en Línea, en relación con los juicios en que el propio Estado haya intervenido como parte. </w:t>
      </w:r>
    </w:p>
    <w:p w:rsidR="00000000" w:rsidDel="00000000" w:rsidP="00000000" w:rsidRDefault="00000000" w:rsidRPr="00000000" w14:paraId="0000007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ejercicio de las atribuciones contenidas en esta fracción, la persona titular de la Secretaría de Finanzas se auxiliará de la persona titular de la Procuraduría Fiscal y sus direcciones de área, jefaturas de departamento y demás funcionarios que establezca el reglamento interior respectivo, quienes tendrán las atribuciones de representación de la Entidad que ejerza la persona titular de la Secretaría de Finanzas; </w:t>
      </w:r>
    </w:p>
    <w:p w:rsidR="00000000" w:rsidDel="00000000" w:rsidP="00000000" w:rsidRDefault="00000000" w:rsidRPr="00000000" w14:paraId="0000007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XVIII. Fijar las políticas, normas y lineamientos generales en materia de catastro, de acuerdo con las leyes respectivas; </w:t>
      </w:r>
    </w:p>
    <w:p w:rsidR="00000000" w:rsidDel="00000000" w:rsidP="00000000" w:rsidRDefault="00000000" w:rsidRPr="00000000" w14:paraId="0000007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XIX. Elaborar con la participación de las dependencias y organismos auxiliares, así como con la participación ciudadana, el Plan de Desarrollo del Estado de México que se pondrá a consideración de la persona titular del Poder Ejecutivo del Estado, incluyendo consideraciones y proyecciones de largo alcance, así como los programas sectoriales, institucionales, regionales, especiales y anuales que requiera la Entidad, con enfoque de derechos humanos y perspectiva de género, de conformidad con las disposiciones legales aplicables; </w:t>
      </w:r>
    </w:p>
    <w:p w:rsidR="00000000" w:rsidDel="00000000" w:rsidP="00000000" w:rsidRDefault="00000000" w:rsidRPr="00000000" w14:paraId="0000007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Establecer la coordinación de los programas de desarrollo socioeconómico del Gobierno del Estado, con los de la Administración Pública Federal y la de los municipios de la Entidad, promoviendo la participación en los mismos de los sectores social y privado; así como recibir, concentrar y administrar los ingresos y recursos financieros provenientes de los mismos, en apego a las disposiciones legales aplicables; </w:t>
      </w:r>
    </w:p>
    <w:p w:rsidR="00000000" w:rsidDel="00000000" w:rsidP="00000000" w:rsidRDefault="00000000" w:rsidRPr="00000000" w14:paraId="0000007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Solicitar a la Oficialía Mayor el diseño, implementación y actualización de todos los sistemas informáticos indispensables para el cumplimiento de sus atribuciones, tales como: de ingresos, del gasto público, de contabilidad gubernamental, disciplina financiera y estadística y demás apegadas a las disposiciones legales aplicables; </w:t>
      </w:r>
    </w:p>
    <w:p w:rsidR="00000000" w:rsidDel="00000000" w:rsidP="00000000" w:rsidRDefault="00000000" w:rsidRPr="00000000" w14:paraId="0000007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 Planear, autorizar, coordinar, vigilar y evaluar los programas de inversión pública de las dependencias del Ejecutivo y de sus organismos auxiliares, para que se realicen conforme a los objetivos de los planes de desarrollo aprobados y la normatividad competente; </w:t>
      </w:r>
    </w:p>
    <w:p w:rsidR="00000000" w:rsidDel="00000000" w:rsidP="00000000" w:rsidRDefault="00000000" w:rsidRPr="00000000" w14:paraId="0000007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XXIII. Proyectar y calcular los egresos del Gobierno del Estado y los ingresos y egresos de sus organismos auxiliares; </w:t>
      </w:r>
    </w:p>
    <w:p w:rsidR="00000000" w:rsidDel="00000000" w:rsidP="00000000" w:rsidRDefault="00000000" w:rsidRPr="00000000" w14:paraId="0000007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XXIV. Garantizar, en el ámbito de su competencia, la aplicación de las reglas y criterios de disciplina financiera, equilibrio presupuestario y responsabilidad hacendaria, en términos de la legislación en la materia; </w:t>
      </w:r>
    </w:p>
    <w:p w:rsidR="00000000" w:rsidDel="00000000" w:rsidP="00000000" w:rsidRDefault="00000000" w:rsidRPr="00000000" w14:paraId="0000007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 Establecer y llevar los sistemas de contabilidad gubernamental, disciplina financiera y de estadística general del Gobierno del Estado; </w:t>
      </w:r>
    </w:p>
    <w:p w:rsidR="00000000" w:rsidDel="00000000" w:rsidP="00000000" w:rsidRDefault="00000000" w:rsidRPr="00000000" w14:paraId="0000007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 Realizar periódicamente la evaluación del cumplimiento de las obligaciones específicas de responsabilidad hacendaria a cargo de los municipios, en términos de lo establecido en los propios convenios, remitiendo los resultados a la dependencia del Gobierno Federal competente; </w:t>
      </w:r>
    </w:p>
    <w:p w:rsidR="00000000" w:rsidDel="00000000" w:rsidP="00000000" w:rsidRDefault="00000000" w:rsidRPr="00000000" w14:paraId="0000007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XXVII. Proporcionar, en el ámbito de su competencia, la información financiera que solicite la autoridad federal competente, para dar cumplimiento a lo dispuesto por la Ley de Disciplina Financiera de las Entidades Federativas y los Municipios, incluyendo la necesaria para la evaluación del Sistema de Alertas a que se refiere el artículo 43 de la mencionada Ley; </w:t>
      </w:r>
    </w:p>
    <w:p w:rsidR="00000000" w:rsidDel="00000000" w:rsidP="00000000" w:rsidRDefault="00000000" w:rsidRPr="00000000" w14:paraId="0000007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XXVIII. Celebrar convenios con los entes públicos estatales que se ubiquen en un nivel de endeudamiento elevado, con el objeto de establecer obligaciones específicas de responsabilidad hacendaria;</w:t>
      </w:r>
    </w:p>
    <w:p w:rsidR="00000000" w:rsidDel="00000000" w:rsidP="00000000" w:rsidRDefault="00000000" w:rsidRPr="00000000" w14:paraId="0000007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XXIX. Hacer la glosa preventiva de los ingresos y egresos del Gobierno del Estado, elaborar la cuenta pública y mantener las relaciones con el Órgano Superior de Fiscalización del Estado de México; </w:t>
      </w:r>
    </w:p>
    <w:p w:rsidR="00000000" w:rsidDel="00000000" w:rsidP="00000000" w:rsidRDefault="00000000" w:rsidRPr="00000000" w14:paraId="0000007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 Registrar y normar los actos y contratos de los que resulten derechos y obligaciones para el Gobierno del Estado; </w:t>
      </w:r>
    </w:p>
    <w:p w:rsidR="00000000" w:rsidDel="00000000" w:rsidP="00000000" w:rsidRDefault="00000000" w:rsidRPr="00000000" w14:paraId="0000008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XXXI. Determinar el destino final tratándose de tráileres, autobuses y cualquier tipo de remolques, una vez declarados abandonados; </w:t>
      </w:r>
    </w:p>
    <w:p w:rsidR="00000000" w:rsidDel="00000000" w:rsidP="00000000" w:rsidRDefault="00000000" w:rsidRPr="00000000" w14:paraId="0000008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XXXII. Instrumentar e intervenir en el otorgamiento de los subsidios, aportaciones, ayudas, transferencias y financiamiento temporal a las dependencias, municipios, instituciones o particulares, con el objeto de comprobar que la inversión se efectúe en los términos establecidos de conformidad con la legislación aplicable y las disposiciones normativas que para estos efectos se emitan; </w:t>
      </w:r>
    </w:p>
    <w:p w:rsidR="00000000" w:rsidDel="00000000" w:rsidP="00000000" w:rsidRDefault="00000000" w:rsidRPr="00000000" w14:paraId="0000008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XXXIII. Prestar a los municipios, cuando así lo soliciten, la asesoría y el apoyo técnico necesario para la elaboración de sus planes y programas de desarrollo económico y social; </w:t>
      </w:r>
    </w:p>
    <w:p w:rsidR="00000000" w:rsidDel="00000000" w:rsidP="00000000" w:rsidRDefault="00000000" w:rsidRPr="00000000" w14:paraId="0000008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XXXIV. Integrar y mantener actualizada la información geográfica y estadística de la Entidad; </w:t>
      </w:r>
    </w:p>
    <w:p w:rsidR="00000000" w:rsidDel="00000000" w:rsidP="00000000" w:rsidRDefault="00000000" w:rsidRPr="00000000" w14:paraId="0000008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XXXV. Asesorar a la persona titular del Poder Ejecutivo del Estado en la elaboración de los convenios que celebre el Gobierno del Estado en materia de planeación, programación, supervisión y evaluación del desarrollo de la Entidad; </w:t>
      </w:r>
    </w:p>
    <w:p w:rsidR="00000000" w:rsidDel="00000000" w:rsidP="00000000" w:rsidRDefault="00000000" w:rsidRPr="00000000" w14:paraId="0000008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XXXVI. Vigilar que el desarrollo económico y social de la Entidad sea armónico, para que beneficie en forma equitativa a las diferentes regiones del Estado, evaluando periódicamente los resultados obtenidos, en términos simples y comprensibles; </w:t>
      </w:r>
    </w:p>
    <w:p w:rsidR="00000000" w:rsidDel="00000000" w:rsidP="00000000" w:rsidRDefault="00000000" w:rsidRPr="00000000" w14:paraId="0000008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XXXVII. Generar, requerir, analizar y consolidar con fines de inteligencia, información patrimonial, económica, financiera, fiscal, civil y cualquier otra que pudieran proporcionar las dependencias y entidades de la Administración Pública Estatal y Municipal y presentarla a las autoridades competentes, a fin de prevenir y detectar los delitos en materia de operaciones con recursos de procedencia ilícita, dentro del territorio del Estado; </w:t>
      </w:r>
    </w:p>
    <w:p w:rsidR="00000000" w:rsidDel="00000000" w:rsidP="00000000" w:rsidRDefault="00000000" w:rsidRPr="00000000" w14:paraId="0000008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XXXVIII. Colaborar en coordinación con la Secretaría de la Contraloría y de la Oficialía Mayor para que, por conducto de esta última, se proponga a la persona titular del Poder Ejecutivo del Estado la emisión de las normas para la recepción y entrega de las unidades administrativas y organismos auxiliares que integran el Poder Ejecutivo; </w:t>
      </w:r>
    </w:p>
    <w:p w:rsidR="00000000" w:rsidDel="00000000" w:rsidP="00000000" w:rsidRDefault="00000000" w:rsidRPr="00000000" w14:paraId="0000008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XXXIX. Expedir las placas de matriculación, calcomanías, tarjetas de circulación y demás elementos de identificación de los vehículos automotores destinados a transporte de carga, de uso particular y comercial, que no sean competencia de otras autoridades; </w:t>
      </w:r>
    </w:p>
    <w:p w:rsidR="00000000" w:rsidDel="00000000" w:rsidP="00000000" w:rsidRDefault="00000000" w:rsidRPr="00000000" w14:paraId="0000008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 Emitir dictamen de viabilidad o la autorización, según sea el caso, respecto de la constitución de los fideicomisos públicos de los entes públicos, a través de sus unidades administrativas, dependencias u organismos auxiliares, verificar el debido cumplimiento de sus fines, así como registrar, supervisar y evaluar su funcionamiento en cualquier momento, solicitando la información que considere necesaria con base en los lineamientos que para tal efecto emita la Secretaría; </w:t>
      </w:r>
    </w:p>
    <w:p w:rsidR="00000000" w:rsidDel="00000000" w:rsidP="00000000" w:rsidRDefault="00000000" w:rsidRPr="00000000" w14:paraId="0000008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Asimismo, participará en la constitución o celebración de fideicomisos públicos. </w:t>
      </w:r>
    </w:p>
    <w:p w:rsidR="00000000" w:rsidDel="00000000" w:rsidP="00000000" w:rsidRDefault="00000000" w:rsidRPr="00000000" w14:paraId="0000008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XLI. Comparecer ante terceros con facultades para formular declaraciones en representación del Estado y celebrar convenios a través de los cuales el Estado pueda asumir obligaciones de hacer y no hacer en relación con operaciones de crédito, préstamo, empréstito, emisión de valores o financiamiento a cargo de fideicomisos en los que participe como fideicomitente un organismo público descentralizado, y obligarse a indemnizar del daño o perjuicio o la privación de cualquier ganancia lícita que se ocasione por el incumplimiento de dichas obligaciones de hacer y no hacer o por la inexactitud de sus declaraciones, sin que ello constituya deuda pública del Estado y siempre y cuando no se garanticen obligaciones a favor de terceros. En los convenios a que se refiere esta fracción, no se podrán pactar penas convencionales o predeterminar responsabilidades por daños y perjuicios en caso de incumplimiento. En los convenios antes mencionados que celebre el Estado se podrán estipular las cláusulas que se requieran incluyendo, entre otras, las aplicables a la jurisdicción; </w:t>
      </w:r>
    </w:p>
    <w:p w:rsidR="00000000" w:rsidDel="00000000" w:rsidP="00000000" w:rsidRDefault="00000000" w:rsidRPr="00000000" w14:paraId="0000008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XLII. Hacer efectivas las garantías otorgadas bajo cualquier modalidad a favor del Gobierno del Estado de México, mediante los procedimientos previstos en las disposiciones legales y reglamentarias aplicables. Para el ejercicio de la atribución contenida en esta fracción, la persona titular de la Secretaría se auxiliará de la persona titular de la Procuraduría Fiscal, en su carácter de autoridad ejecutora, a fin de hacer efectivas las pólizas de fianza otorgadas a favor del Gobierno del Estado; </w:t>
      </w:r>
    </w:p>
    <w:p w:rsidR="00000000" w:rsidDel="00000000" w:rsidP="00000000" w:rsidRDefault="00000000" w:rsidRPr="00000000" w14:paraId="0000008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XLIII. Implementar, desarrollar y fomentar, en coordinación con la Secretaría General de Gobierno, la política de Gobierno Digital y el uso estratégico de tecnologías de la información en el ejercicio de la gestión pública dentro de la Entidad; </w:t>
      </w:r>
    </w:p>
    <w:p w:rsidR="00000000" w:rsidDel="00000000" w:rsidP="00000000" w:rsidRDefault="00000000" w:rsidRPr="00000000" w14:paraId="0000008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XLIV. Emitir, en conjunto con la Secretaría General de Gobierno, los lineamientos técnicos en materia de Gobierno Digital conforme a lo establecido en los ordenamientos jurídicos aplicables; </w:t>
      </w:r>
    </w:p>
    <w:p w:rsidR="00000000" w:rsidDel="00000000" w:rsidP="00000000" w:rsidRDefault="00000000" w:rsidRPr="00000000" w14:paraId="0000008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 Dar asesoría en materia de Gobierno Digital a los sujetos de la Ley de Gobierno Digital, teniendo como base la normatividad aplicable en dicha materia; </w:t>
      </w:r>
    </w:p>
    <w:p w:rsidR="00000000" w:rsidDel="00000000" w:rsidP="00000000" w:rsidRDefault="00000000" w:rsidRPr="00000000" w14:paraId="0000009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XLVI. Implementar y administrar el Registro Único de Personas Acreditadas del Estado de México, y realizar todas las acciones que de ello resulten. Para la realización de las acciones establecidas en esta fracción, la Secretaría deberá coordinarse con el Consejo Estatal de Gobierno Digital y con la Secretaría General de Gobierno, aplicando las disposiciones de la normatividad aplicable; </w:t>
      </w:r>
    </w:p>
    <w:p w:rsidR="00000000" w:rsidDel="00000000" w:rsidP="00000000" w:rsidRDefault="00000000" w:rsidRPr="00000000" w14:paraId="0000009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XLVII. Implementar y administrar el Sistema Estatal de Información, Trámites y Servicios, en coordinación con el Consejo Estatal de Gobierno Digital y la Secretaría General de Gobierno; </w:t>
      </w:r>
    </w:p>
    <w:p w:rsidR="00000000" w:rsidDel="00000000" w:rsidP="00000000" w:rsidRDefault="00000000" w:rsidRPr="00000000" w14:paraId="0000009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XLVIII. Impulsar la igualdad entre mujeres y hombres a través de la incorporación de la perspectiva de género en la planeación, diseño, elaboración, ejecución, seguimiento y evaluación del presupuesto; </w:t>
      </w:r>
    </w:p>
    <w:p w:rsidR="00000000" w:rsidDel="00000000" w:rsidP="00000000" w:rsidRDefault="00000000" w:rsidRPr="00000000" w14:paraId="0000009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XLIX. Aplicar las políticas en materia de protección de datos personales respecto del almacenamiento y custodia de información que derive del ejercicio de sus atribuciones; y</w:t>
      </w:r>
    </w:p>
    <w:p w:rsidR="00000000" w:rsidDel="00000000" w:rsidP="00000000" w:rsidRDefault="00000000" w:rsidRPr="00000000" w14:paraId="0000009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 Realizar las estimaciones del impacto presupuestario de las iniciativas de leyes o de decretos que se presenten a la consideración de la Legislatura, que impliquen afectación al Presupuesto de Egresos del Gobierno del Estado de México, de conformidad a lo dispuesto por el Código Financiero y demás disposiciones legales aplicables; </w:t>
      </w:r>
    </w:p>
    <w:p w:rsidR="00000000" w:rsidDel="00000000" w:rsidP="00000000" w:rsidRDefault="00000000" w:rsidRPr="00000000" w14:paraId="0000009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 Las demás que le señalen otras leyes, reglamentos y disposiciones jurídicas aplicables, así como las que le encomiende la persona titular del Poder Ejecutivo del Estado.” </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el artículo 3 del Reglamento Interior de la Secretaría de Finanzas, dispone que la persona Titular de la Secretaría, se auxiliará de las siguientes unidades administrativas para el estudio, planeación y atención de los asuntos de su competencia:</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 Subsecretaría de Ingresos;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 Subsecretaría de Planeación y Presupuesto; </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III. Subsecretaría de Tesorería;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IV. Procuraduría Fiscal; </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 Dirección General de Recaudación; </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 Dirección General de Fiscalización; </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VII. Dirección General de Política Fiscal; </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VIII. Dirección General de Regulación; </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IX. Dirección General de Planeación y Gasto Público; </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 Contaduría General Gubernamental; </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XI. Dirección General de Inversión; </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XII. Dirección General de Evaluación del Desempeño Institucional;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XIII. Dirección General de Tesorería; </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XIV. Dirección General de Crédito;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XV. Delegaciones de Asuntos Contenciosos; </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XVI. Delegaciones Fiscales; </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XVII. Delegaciones de Fiscalización;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XVIII. Coordinación Administrativa; </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XIX. Coordinación Jurídica, de Igualdad de Género y Erradicación de la Violencia; </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240" w:before="240" w:line="360" w:lineRule="auto"/>
        <w:ind w:left="425"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XX. Coordinación de Gestión Gubernamental, </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Secretaría se auxiliará, además, de las unidades administrativas necesarias para implementar programas prioritarios, cuyas funciones y líneas de autoridad se establecerán en su Manual General de Organización; así como de centros de servicios fiscales, cuyas jurisdicciones se establecen en el presente Reglamento, y de las demás unidades administrativas y personas servidoras públicas necesarias para el cumplimiento de sus atribuciones, conforme a su estructura autorizada y normatividad aplicable.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el objetivo de la Secretaría General de Gobierno se encuentra estrechamente relacionado con la planeación, programación, presupuestación y evaluación de las actividades del Poder Ejecutivo, de la administración financiera y tributaria de la hacienda pública del Estado y de prestar el apoyo administrativo y tecnológico que requieran las dependencias del Poder Ejecutivo del Estado.</w:t>
      </w:r>
    </w:p>
    <w:p w:rsidR="00000000" w:rsidDel="00000000" w:rsidP="00000000" w:rsidRDefault="00000000" w:rsidRPr="00000000" w14:paraId="000000A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se colige que existe una evidente incompetencia por parte de la </w:t>
      </w:r>
      <w:r w:rsidDel="00000000" w:rsidR="00000000" w:rsidRPr="00000000">
        <w:rPr>
          <w:rFonts w:ascii="Palatino Linotype" w:cs="Palatino Linotype" w:eastAsia="Palatino Linotype" w:hAnsi="Palatino Linotype"/>
          <w:b w:val="1"/>
          <w:rtl w:val="0"/>
        </w:rPr>
        <w:t xml:space="preserve">Secretaría de Finanzas, </w:t>
      </w:r>
      <w:r w:rsidDel="00000000" w:rsidR="00000000" w:rsidRPr="00000000">
        <w:rPr>
          <w:rFonts w:ascii="Palatino Linotype" w:cs="Palatino Linotype" w:eastAsia="Palatino Linotype" w:hAnsi="Palatino Linotype"/>
          <w:rtl w:val="0"/>
        </w:rPr>
        <w:t xml:space="preserve">como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satisfacer lo solicitado, lo anterior es así, toda vez que en el caso particular, no se observa que cuente con alguna atribución de la cual pudiera desprenderse la información relacionada con apoyos que brindan los gobiernos municipales a las personas en extrema pobreza, y los procedimientos para obtener sillas de ruedas por parte de las personas que presentan alguna discapacidad.</w:t>
      </w:r>
    </w:p>
    <w:p w:rsidR="00000000" w:rsidDel="00000000" w:rsidP="00000000" w:rsidRDefault="00000000" w:rsidRPr="00000000" w14:paraId="000000A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resulta aplicable el criterio 13/17 emitido por el Pleno del Instituto Nacional de Transparencia, Acceso a la Información y Protección de Datos Personales, el cual, para pronta referencia se reproduce a continuación:</w:t>
      </w:r>
    </w:p>
    <w:p w:rsidR="00000000" w:rsidDel="00000000" w:rsidP="00000000" w:rsidRDefault="00000000" w:rsidRPr="00000000" w14:paraId="000000AF">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“Incompetencia. La incompetencia implica la ausencia de atribuciones del sujeto obligado para poseer la información solicitada</w:t>
      </w:r>
      <w:r w:rsidDel="00000000" w:rsidR="00000000" w:rsidRPr="00000000">
        <w:rPr>
          <w:rFonts w:ascii="Palatino Linotype" w:cs="Palatino Linotype" w:eastAsia="Palatino Linotype" w:hAnsi="Palatino Linotype"/>
          <w:i w:val="1"/>
          <w:sz w:val="22"/>
          <w:szCs w:val="22"/>
          <w:rtl w:val="0"/>
        </w:rPr>
        <w:t xml:space="preserve">; es decir, se trata de una cuestión de derecho, </w:t>
      </w:r>
      <w:r w:rsidDel="00000000" w:rsidR="00000000" w:rsidRPr="00000000">
        <w:rPr>
          <w:rFonts w:ascii="Palatino Linotype" w:cs="Palatino Linotype" w:eastAsia="Palatino Linotype" w:hAnsi="Palatino Linotype"/>
          <w:b w:val="1"/>
          <w:i w:val="1"/>
          <w:sz w:val="22"/>
          <w:szCs w:val="22"/>
          <w:rtl w:val="0"/>
        </w:rPr>
        <w:t xml:space="preserve">en tanto que no existan facultades para contar con lo requerido</w:t>
      </w:r>
      <w:r w:rsidDel="00000000" w:rsidR="00000000" w:rsidRPr="00000000">
        <w:rPr>
          <w:rFonts w:ascii="Palatino Linotype" w:cs="Palatino Linotype" w:eastAsia="Palatino Linotype" w:hAnsi="Palatino Linotype"/>
          <w:i w:val="1"/>
          <w:sz w:val="22"/>
          <w:szCs w:val="22"/>
          <w:rtl w:val="0"/>
        </w:rPr>
        <w:t xml:space="preserve">; por lo que la incompetencia es una cualidad atribuida al sujeto obligado que la declara.”</w:t>
      </w:r>
    </w:p>
    <w:p w:rsidR="00000000" w:rsidDel="00000000" w:rsidP="00000000" w:rsidRDefault="00000000" w:rsidRPr="00000000" w14:paraId="000000B0">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1">
      <w:pPr>
        <w:numPr>
          <w:ilvl w:val="0"/>
          <w:numId w:val="3"/>
        </w:numPr>
        <w:pBdr>
          <w:top w:space="0" w:sz="0" w:val="nil"/>
          <w:left w:space="0" w:sz="0" w:val="nil"/>
          <w:bottom w:space="0" w:sz="0" w:val="nil"/>
          <w:right w:space="0" w:sz="0" w:val="nil"/>
          <w:between w:space="0" w:sz="0" w:val="nil"/>
        </w:pBdr>
        <w:tabs>
          <w:tab w:val="left" w:leader="none" w:pos="567"/>
        </w:tabs>
        <w:spacing w:after="240" w:before="240" w:line="360" w:lineRule="auto"/>
        <w:ind w:left="284"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u w:val="single"/>
          <w:rtl w:val="0"/>
        </w:rPr>
        <w:t xml:space="preserve">Delimitación del ámbito competencial relativo a información solicitada</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es oportuno mencionar que de conformidad con el artículo 14 de la Ley de Asistencia Social del Estado de México y Municipios,  el DIFEM es un organismo público descentralizado, con personalidad jurídica y patrimonio propios.</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artículo 16 del referido ordenamiento legal dispone que la asistencia social e integración de la familia, la asume el Estado por conducto del DIFEM y los municipios a través de los SMDIF, en la esfera de su competencia.</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el artículo 17 del ordenamiento en cita, dispone que la rectoría, normatividad y control de los programas, acciones y servicios de asistencia social que presten los SMDIF, está a cargo del DIFEM.</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en el ámbito de asistencia social, tiene las siguientes atribuciones:</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18.- El DIFEM tendrá respecto de la asistencia social, las siguientes atribuciones: </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Establecer, promover, ejecutar y difundir los programas, acciones y servicios de asistencia social, que contribuyan al desarrollo integral de niñas, niños y adolescentes, de la familia y del grupo familiar.</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Implementar acciones y servicios de prevención, atención, protección y, en su caso, la restitución de los derechos de niñas y niños; adolescentes que trabajan, así como para padres y madres adolescentes que trabajan.</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Promover y fomentar entre los integrantes del Sistema Estatal, el establecimiento y operación de centros de asistencia social en beneficio de niñas, niños y adolescentes en estado de abandono o situación especial, de adultos mayores, de mujeres víctimas de maltrato, de personas con discapacidad y de indigentes.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Ejercer la tutela de niñas, niños y adolescentes que corresponda al Estado, en términos de esta Ley y de la legislación civil, coadyuvando con otras autoridades en acciones de protección de la integridad física, jurídica y psicoemocional.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Establecer y operar instancias especializadas de apoyo técnico y supervisión, encaminadas a la protección y defensa de los derechos de las niñas, niños y adolescentes, que por sus circunstancias se encuentren en estado de vulnerabilidad, a través de servicios de asistencia jurídica y orientación social, además de las que le atribuyan otros ordenamientos legales; </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Realizar, a través de la Procuraduría de Protección de Niñas, Niños y Adolescentes del Estado de México, los estudios en materia de psicología, trabajo social, jurídico y médico que permitan acreditar la idoneidad del adoptante o adoptantes para expedición del certificado de idoneidad, así como dar seguimiento al proceso de integración de las niñas, niños y adolescentes adoptados para verificar su adaptación al núcleo familiar. </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Coadyuvar con el Ministerio Público aportando los elementos a su alcance en la protección de la infancia y de incapaces que carezcan de familiares y en los procedimientos judiciales civiles y familiares que les afecten, de acuerdo con las disposiciones legales correspondientes; </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Establecer, desarrollar, coordinar y ejecutar programas y acciones en materia de alimentación y nutrición familiar, que permita a los beneficiarios de esta Ley superar la vulnerabilidad en la que se encuentran; </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Planear, organizar y coordinar la realización de estudios, diagnósticos e investigaciones para el desarrollo de acciones que mejoren el nivel nutricional de las niñas y niños en edad escolar a nivel preescolar y básica que contribuyan al combate de la desnutrición y obesidad infantil en la Entidad;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Establecer, organizar, coordinar y ejecutar programas, acciones y servicios de prevención de la discapacidad, y tratamiento rehabilitatorio no hospitalario de la discapacidad, así como favorecer la integración social de personas con discapacidad;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Realizar acciones de apoyo y formación educativa para la integración social y de capacitación para el trabajo a los beneficiarios de esta Ley, en coordinación con las dependencias y organismos de la administración pública estatal;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Establecer, organizar, coordinar y ejecutar programas, acciones y servicios que favorezcan el respeto a los derechos del adulto mayor en estado de vulnerabilidad que fomenten su autoestima, procurando su apoyo, evolución y reinserción al núcleo familiar y social; </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Establecer, organizar, coordinar, fomentar y ejecutar programas y acciones de prevención y atención de las adicciones, brindando atención primaria a la salud de los miembros del grupo familiar, que propicien una cultura de salud mental, vinculado en lo conducente con las atribuciones del Sistema Estatal de Salud; XIV. Promover de forma permanente programas y acciones que protejan el desarrollo de la familia, fomenten la paternidad responsable, así como la planificación e integración familiar que propicien la preservación de los derechos de la niñez a la satisfacción de sus necesidades, a la salud física y mental, así como diseñar platicas previas a la celebración del matrimonio, con el fin de erradicar la violencia familiar y conciliar de vida laboral y familiar; </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promover la difusión de los programas, acciones y servicios del DIFEM y de los SMDIF, a través de los medios de comunicación, con el objeto de fomentar la cultura de la asistencia social;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Instrumentar y administrar un Sistema Estatal de Información de Asistencia Social, para la generación de estadísticas en la materia; </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 Promover y fomentar la realización de estudios e investigaciones sobre el desarrollo integral de la familia, sus miembros y en general, sobre los beneficiarios de esta Ley, tendientes a la atención de las problemáticas que limiten el restablecimiento de las condiciones de vulnerabilidad, mediante la creación de las instancias especializadas, de acuerdo a la disponibilidad presupuestal; </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XVIII. Promover y fomentar la capacitación, profesionalización y especialización de los servidores públicos en la prestación de servicios de asistencia social; </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XIX. Coadyuvar en el auxilio de damnificados en casos de desastres naturales, en coordinación con las dependencias y organismos auxiliares de la administración pública estatal, federal y municipal, en los términos de las disposiciones jurídicas aplicables; </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Promover e impulsar el uso adecuado de los recursos destinados a los programas, acciones y servicios de asistencia social, en cumplimiento a los objetivos de esta Ley; </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Supervisar la adecuada operación de los programas de asistencia social por parte de los SMDIF, con la finalidad de que se apeguen a los objetivos del Sistema Estatal; y </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 Las demás que le confieran los ordenamientos legales.”</w:t>
      </w:r>
    </w:p>
    <w:p w:rsidR="00000000" w:rsidDel="00000000" w:rsidP="00000000" w:rsidRDefault="00000000" w:rsidRPr="00000000" w14:paraId="000000C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Conviene subrayar además, que el Sistema para el Desarrollo Integral de la Familia del Estado de México, es considerado como un Sujetos Obligados en materia de transparencia y acceso a la información pública, de conformidad con el Padrón de Sujetos Obligados aprobado por el Pleno de este Organismo Garante, como se ilustra a continuación para mejor referencia:</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455295"/>
            <wp:effectExtent b="0" l="0" r="0" t="0"/>
            <wp:docPr id="30071227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612130" cy="455295"/>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612130" cy="323850"/>
            <wp:effectExtent b="0" l="0" r="0" t="0"/>
            <wp:docPr id="300712282" name="image3.png"/>
            <a:graphic>
              <a:graphicData uri="http://schemas.openxmlformats.org/drawingml/2006/picture">
                <pic:pic>
                  <pic:nvPicPr>
                    <pic:cNvPr id="0" name="image3.png"/>
                    <pic:cNvPicPr preferRelativeResize="0"/>
                  </pic:nvPicPr>
                  <pic:blipFill>
                    <a:blip r:embed="rId8"/>
                    <a:srcRect b="43646" l="0" r="0" t="0"/>
                    <a:stretch>
                      <a:fillRect/>
                    </a:stretch>
                  </pic:blipFill>
                  <pic:spPr>
                    <a:xfrm>
                      <a:off x="0" y="0"/>
                      <a:ext cx="5612130" cy="32385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201420"/>
            <wp:effectExtent b="0" l="0" r="0" t="0"/>
            <wp:docPr id="30071228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612130" cy="120142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no es procedente la entrega de información alguna para atender la solicitud de información,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Del="00000000" w:rsidR="00000000" w:rsidRPr="00000000">
        <w:rPr>
          <w:rFonts w:ascii="Palatino Linotype" w:cs="Palatino Linotype" w:eastAsia="Palatino Linotype" w:hAnsi="Palatino Linotype"/>
          <w:i w:val="1"/>
          <w:rtl w:val="0"/>
        </w:rPr>
        <w:t xml:space="preserve"> contrario sensu</w:t>
      </w:r>
      <w:r w:rsidDel="00000000" w:rsidR="00000000" w:rsidRPr="00000000">
        <w:rPr>
          <w:rFonts w:ascii="Palatino Linotype" w:cs="Palatino Linotype" w:eastAsia="Palatino Linotype" w:hAnsi="Palatino Linotype"/>
          <w:rtl w:val="0"/>
        </w:rPr>
        <w:t xml:space="preserve"> significa que no se está obligado a proporcionar lo que no obre en sus archivos, en consecuencia,  el pronunciamiento vertido por la Unidad de Transparencia, es suficiente para tener por atendidos los requerimientos de información. </w:t>
      </w:r>
    </w:p>
    <w:p w:rsidR="00000000" w:rsidDel="00000000" w:rsidP="00000000" w:rsidRDefault="00000000" w:rsidRPr="00000000" w14:paraId="000000D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es de recordar, respecto a la Declaración de Incompetencia la Ley de Transparencia y Acceso a la Información Pública del Estado de México, establece, en los artículos 49, fracción II y 167, lo siguiente: </w:t>
      </w:r>
    </w:p>
    <w:p w:rsidR="00000000" w:rsidDel="00000000" w:rsidP="00000000" w:rsidRDefault="00000000" w:rsidRPr="00000000" w14:paraId="000000D1">
      <w:pPr>
        <w:tabs>
          <w:tab w:val="left" w:leader="none" w:pos="1134"/>
        </w:tabs>
        <w:spacing w:line="360" w:lineRule="auto"/>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2">
      <w:pPr>
        <w:tabs>
          <w:tab w:val="left" w:leader="none" w:pos="1134"/>
          <w:tab w:val="left" w:leader="none" w:pos="1276"/>
        </w:tabs>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0D3">
      <w:pPr>
        <w:tabs>
          <w:tab w:val="left" w:leader="none" w:pos="1134"/>
        </w:tabs>
        <w:spacing w:line="276"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D4">
      <w:pPr>
        <w:tabs>
          <w:tab w:val="left" w:leader="none" w:pos="1134"/>
        </w:tabs>
        <w:spacing w:line="276" w:lineRule="auto"/>
        <w:ind w:left="1134"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Calibri" w:cs="Calibri" w:eastAsia="Calibri" w:hAnsi="Calibri"/>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Confirmar, modificar o revocar</w:t>
      </w:r>
      <w:r w:rsidDel="00000000" w:rsidR="00000000" w:rsidRPr="00000000">
        <w:rPr>
          <w:rFonts w:ascii="Palatino Linotype" w:cs="Palatino Linotype" w:eastAsia="Palatino Linotype" w:hAnsi="Palatino Linotype"/>
          <w:i w:val="1"/>
          <w:sz w:val="22"/>
          <w:szCs w:val="22"/>
          <w:rtl w:val="0"/>
        </w:rPr>
        <w:t xml:space="preserve"> las determinaciones que en materia de ampliación del plazo de respuesta, clasificación de la información </w:t>
      </w:r>
      <w:r w:rsidDel="00000000" w:rsidR="00000000" w:rsidRPr="00000000">
        <w:rPr>
          <w:rFonts w:ascii="Palatino Linotype" w:cs="Palatino Linotype" w:eastAsia="Palatino Linotype" w:hAnsi="Palatino Linotype"/>
          <w:b w:val="1"/>
          <w:i w:val="1"/>
          <w:sz w:val="22"/>
          <w:szCs w:val="22"/>
          <w:rtl w:val="0"/>
        </w:rPr>
        <w:t xml:space="preserve">y declaración</w:t>
      </w:r>
      <w:r w:rsidDel="00000000" w:rsidR="00000000" w:rsidRPr="00000000">
        <w:rPr>
          <w:rFonts w:ascii="Palatino Linotype" w:cs="Palatino Linotype" w:eastAsia="Palatino Linotype" w:hAnsi="Palatino Linotype"/>
          <w:i w:val="1"/>
          <w:sz w:val="22"/>
          <w:szCs w:val="22"/>
          <w:rtl w:val="0"/>
        </w:rPr>
        <w:t xml:space="preserve"> de inexistencia o </w:t>
      </w:r>
      <w:r w:rsidDel="00000000" w:rsidR="00000000" w:rsidRPr="00000000">
        <w:rPr>
          <w:rFonts w:ascii="Palatino Linotype" w:cs="Palatino Linotype" w:eastAsia="Palatino Linotype" w:hAnsi="Palatino Linotype"/>
          <w:b w:val="1"/>
          <w:i w:val="1"/>
          <w:sz w:val="22"/>
          <w:szCs w:val="22"/>
          <w:rtl w:val="0"/>
        </w:rPr>
        <w:t xml:space="preserve">de incompetencia realicen los titulares de las áreas de los sujetos obligados;</w:t>
      </w:r>
      <w:r w:rsidDel="00000000" w:rsidR="00000000" w:rsidRPr="00000000">
        <w:rPr>
          <w:rtl w:val="0"/>
        </w:rPr>
      </w:r>
    </w:p>
    <w:p w:rsidR="00000000" w:rsidDel="00000000" w:rsidP="00000000" w:rsidRDefault="00000000" w:rsidRPr="00000000" w14:paraId="000000D5">
      <w:pPr>
        <w:tabs>
          <w:tab w:val="left" w:leader="none" w:pos="1134"/>
        </w:tabs>
        <w:spacing w:line="276"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D6">
      <w:pPr>
        <w:tabs>
          <w:tab w:val="left" w:leader="none" w:pos="1134"/>
        </w:tabs>
        <w:spacing w:line="276"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las unidades de transparencia determinen la notoria incompetencia</w:t>
      </w:r>
      <w:r w:rsidDel="00000000" w:rsidR="00000000" w:rsidRPr="00000000">
        <w:rPr>
          <w:rFonts w:ascii="Palatino Linotype" w:cs="Palatino Linotype" w:eastAsia="Palatino Linotype" w:hAnsi="Palatino Linotype"/>
          <w:i w:val="1"/>
          <w:sz w:val="22"/>
          <w:szCs w:val="22"/>
          <w:rtl w:val="0"/>
        </w:rPr>
        <w:t xml:space="preserve"> por parte de los sujetos obligados, dentro del ámbito de aplicación, para atender la solicitud de acceso a la información, </w:t>
      </w:r>
      <w:r w:rsidDel="00000000" w:rsidR="00000000" w:rsidRPr="00000000">
        <w:rPr>
          <w:rFonts w:ascii="Palatino Linotype" w:cs="Palatino Linotype" w:eastAsia="Palatino Linotype" w:hAnsi="Palatino Linotype"/>
          <w:b w:val="1"/>
          <w:i w:val="1"/>
          <w:sz w:val="22"/>
          <w:szCs w:val="22"/>
          <w:rtl w:val="0"/>
        </w:rPr>
        <w:t xml:space="preserve">deberán comunicarlo al solicitante, dentro de los tres días hábiles posteriores a la recepción de la solicitud</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en su caso orientar al solicitante, el o los sujetos obligados competentes.” (Sic)</w:t>
      </w:r>
    </w:p>
    <w:p w:rsidR="00000000" w:rsidDel="00000000" w:rsidP="00000000" w:rsidRDefault="00000000" w:rsidRPr="00000000" w14:paraId="000000D7">
      <w:pPr>
        <w:tabs>
          <w:tab w:val="left" w:leader="none" w:pos="142"/>
          <w:tab w:val="left" w:leader="none" w:pos="284"/>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los preceptos citados se desprende que es atribución del Comité de Transparencia confirmar, modificar o revocar, en su caso, la declaración de incompetencia,</w:t>
      </w:r>
      <w:r w:rsidDel="00000000" w:rsidR="00000000" w:rsidRPr="00000000">
        <w:rPr>
          <w:rFonts w:ascii="Palatino Linotype" w:cs="Palatino Linotype" w:eastAsia="Palatino Linotype" w:hAnsi="Palatino Linotype"/>
          <w:b w:val="1"/>
          <w:rtl w:val="0"/>
        </w:rPr>
        <w:t xml:space="preserve"> en aquellos casos en los que no se trate de una notoria incompetencia. </w:t>
      </w:r>
    </w:p>
    <w:p w:rsidR="00000000" w:rsidDel="00000000" w:rsidP="00000000" w:rsidRDefault="00000000" w:rsidRPr="00000000" w14:paraId="000000D8">
      <w:pPr>
        <w:tabs>
          <w:tab w:val="left" w:leader="none" w:pos="142"/>
          <w:tab w:val="left" w:leader="none" w:pos="284"/>
        </w:tabs>
        <w:spacing w:after="240" w:before="240" w:line="360" w:lineRule="auto"/>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rtl w:val="0"/>
        </w:rPr>
        <w:t xml:space="preserve">Puesto que la Ley también prevé que dicho acuerdo no es necesario cuando la Unidad de Transparencia determine que la incompetencia es notoria dando un plazo de tres días hábiles para hacerlo del conocimiento de la persona solicitante. 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Del="00000000" w:rsidR="00000000" w:rsidRPr="00000000">
        <w:rPr>
          <w:rFonts w:ascii="Palatino Linotype" w:cs="Palatino Linotype" w:eastAsia="Palatino Linotype" w:hAnsi="Palatino Linotype"/>
          <w:u w:val="single"/>
          <w:rtl w:val="0"/>
        </w:rPr>
        <w:t xml:space="preserve">para su aprobación. </w:t>
      </w:r>
    </w:p>
    <w:p w:rsidR="00000000" w:rsidDel="00000000" w:rsidP="00000000" w:rsidRDefault="00000000" w:rsidRPr="00000000" w14:paraId="000000D9">
      <w:pPr>
        <w:tabs>
          <w:tab w:val="left" w:leader="none" w:pos="142"/>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sustento de lo anterior, resulta aplicable el Criterio 20/20, emitido por el Instituto Nacional de Transparencia, Acceso a la Información, y Protección de Datos Personales, INAI, que lleva por rubro y texto los siguientes:  </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“Declaración de incompetencia por parte del Comité, cuando no sea notoria o manifiesta.</w:t>
      </w:r>
      <w:r w:rsidDel="00000000" w:rsidR="00000000" w:rsidRPr="00000000">
        <w:rPr>
          <w:rFonts w:ascii="Palatino Linotype" w:cs="Palatino Linotype" w:eastAsia="Palatino Linotype" w:hAnsi="Palatino Linotype"/>
          <w:i w:val="1"/>
          <w:sz w:val="22"/>
          <w:szCs w:val="22"/>
          <w:rtl w:val="0"/>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rsidR="00000000" w:rsidDel="00000000" w:rsidP="00000000" w:rsidRDefault="00000000" w:rsidRPr="00000000" w14:paraId="000000DB">
      <w:pPr>
        <w:tabs>
          <w:tab w:val="left" w:leader="none" w:pos="142"/>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u w:val="single"/>
          <w:rtl w:val="0"/>
        </w:rPr>
        <w:t xml:space="preserve">duda razonable sobre la administración del documento materia de la solicitud de información</w:t>
      </w:r>
      <w:r w:rsidDel="00000000" w:rsidR="00000000" w:rsidRPr="00000000">
        <w:rPr>
          <w:rFonts w:ascii="Palatino Linotype" w:cs="Palatino Linotype" w:eastAsia="Palatino Linotype" w:hAnsi="Palatino Linotype"/>
          <w:rtl w:val="0"/>
        </w:rPr>
        <w:t xml:space="preserve">, como se lee enseguida:</w:t>
      </w:r>
    </w:p>
    <w:p w:rsidR="00000000" w:rsidDel="00000000" w:rsidP="00000000" w:rsidRDefault="00000000" w:rsidRPr="00000000" w14:paraId="000000DC">
      <w:pPr>
        <w:tabs>
          <w:tab w:val="left" w:leader="none" w:pos="1418"/>
        </w:tabs>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“DECLARATORIA DE INCOMPETENCIA DEL SUJETO OBLIGADO. SUPUESTO PARA CONFIRMARLA POR ACUERDO DEL COMITÉ DE TRANSPARENCIA. </w:t>
      </w:r>
      <w:r w:rsidDel="00000000" w:rsidR="00000000" w:rsidRPr="00000000">
        <w:rPr>
          <w:rFonts w:ascii="Palatino Linotype" w:cs="Palatino Linotype" w:eastAsia="Palatino Linotype" w:hAnsi="Palatino Linotype"/>
          <w:i w:val="1"/>
          <w:sz w:val="22"/>
          <w:szCs w:val="22"/>
          <w:rtl w:val="0"/>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Del="00000000" w:rsidR="00000000" w:rsidRPr="00000000">
        <w:rPr>
          <w:rFonts w:ascii="Palatino Linotype" w:cs="Palatino Linotype" w:eastAsia="Palatino Linotype" w:hAnsi="Palatino Linotype"/>
          <w:b w:val="1"/>
          <w:i w:val="1"/>
          <w:sz w:val="22"/>
          <w:szCs w:val="22"/>
          <w:rtl w:val="0"/>
        </w:rPr>
        <w:t xml:space="preserve">al ejercer el derecho de acceso a la información pública cabe la posibilidad de que existan atribuciones concurrentes entre dos o más Sujetos Obligados que </w:t>
      </w:r>
      <w:r w:rsidDel="00000000" w:rsidR="00000000" w:rsidRPr="00000000">
        <w:rPr>
          <w:rFonts w:ascii="Palatino Linotype" w:cs="Palatino Linotype" w:eastAsia="Palatino Linotype" w:hAnsi="Palatino Linotype"/>
          <w:b w:val="1"/>
          <w:i w:val="1"/>
          <w:sz w:val="22"/>
          <w:szCs w:val="22"/>
          <w:u w:val="single"/>
          <w:rtl w:val="0"/>
        </w:rPr>
        <w:t xml:space="preserve">impiden determinar dentro del término legal de tres días hábiles</w:t>
      </w:r>
      <w:r w:rsidDel="00000000" w:rsidR="00000000" w:rsidRPr="00000000">
        <w:rPr>
          <w:rFonts w:ascii="Palatino Linotype" w:cs="Palatino Linotype" w:eastAsia="Palatino Linotype" w:hAnsi="Palatino Linotype"/>
          <w:b w:val="1"/>
          <w:i w:val="1"/>
          <w:sz w:val="22"/>
          <w:szCs w:val="22"/>
          <w:rtl w:val="0"/>
        </w:rPr>
        <w:t xml:space="preserve">, si se posee o no la información por el Sujeto Obligado requerid</w:t>
      </w:r>
      <w:r w:rsidDel="00000000" w:rsidR="00000000" w:rsidRPr="00000000">
        <w:rPr>
          <w:rFonts w:ascii="Palatino Linotype" w:cs="Palatino Linotype" w:eastAsia="Palatino Linotype" w:hAnsi="Palatino Linotype"/>
          <w:i w:val="1"/>
          <w:sz w:val="22"/>
          <w:szCs w:val="22"/>
          <w:rtl w:val="0"/>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000000" w:rsidDel="00000000" w:rsidP="00000000" w:rsidRDefault="00000000" w:rsidRPr="00000000" w14:paraId="000000DD">
      <w:pPr>
        <w:tabs>
          <w:tab w:val="left" w:leader="none" w:pos="142"/>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particular, de los registros que obran en el Sistema de Acceso a la Información Mexiquense, SAIMEX, se tiene que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realizó su solicitud de información en fecha </w:t>
      </w:r>
      <w:r w:rsidDel="00000000" w:rsidR="00000000" w:rsidRPr="00000000">
        <w:rPr>
          <w:rFonts w:ascii="Palatino Linotype" w:cs="Palatino Linotype" w:eastAsia="Palatino Linotype" w:hAnsi="Palatino Linotype"/>
          <w:b w:val="1"/>
          <w:rtl w:val="0"/>
        </w:rPr>
        <w:t xml:space="preserve">dieciocho de diciembre de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dos mil veintitrés</w:t>
      </w:r>
      <w:r w:rsidDel="00000000" w:rsidR="00000000" w:rsidRPr="00000000">
        <w:rPr>
          <w:rFonts w:ascii="Palatino Linotype" w:cs="Palatino Linotype" w:eastAsia="Palatino Linotype" w:hAnsi="Palatino Linotype"/>
          <w:rtl w:val="0"/>
        </w:rPr>
        <w:t xml:space="preserve">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declinó la competencia en fecha </w:t>
      </w:r>
      <w:r w:rsidDel="00000000" w:rsidR="00000000" w:rsidRPr="00000000">
        <w:rPr>
          <w:rFonts w:ascii="Palatino Linotype" w:cs="Palatino Linotype" w:eastAsia="Palatino Linotype" w:hAnsi="Palatino Linotype"/>
          <w:b w:val="1"/>
          <w:rtl w:val="0"/>
        </w:rPr>
        <w:t xml:space="preserve">diecinueve de diciembre de dos mil veintitrés</w:t>
      </w:r>
      <w:r w:rsidDel="00000000" w:rsidR="00000000" w:rsidRPr="00000000">
        <w:rPr>
          <w:rFonts w:ascii="Palatino Linotype" w:cs="Palatino Linotype" w:eastAsia="Palatino Linotype" w:hAnsi="Palatino Linotype"/>
          <w:rtl w:val="0"/>
        </w:rPr>
        <w:t xml:space="preserve">, esto es </w:t>
      </w:r>
      <w:r w:rsidDel="00000000" w:rsidR="00000000" w:rsidRPr="00000000">
        <w:rPr>
          <w:rFonts w:ascii="Palatino Linotype" w:cs="Palatino Linotype" w:eastAsia="Palatino Linotype" w:hAnsi="Palatino Linotype"/>
          <w:b w:val="1"/>
          <w:rtl w:val="0"/>
        </w:rPr>
        <w:t xml:space="preserve">al siguiente día hábil </w:t>
      </w:r>
      <w:r w:rsidDel="00000000" w:rsidR="00000000" w:rsidRPr="00000000">
        <w:rPr>
          <w:rFonts w:ascii="Palatino Linotype" w:cs="Palatino Linotype" w:eastAsia="Palatino Linotype" w:hAnsi="Palatino Linotype"/>
          <w:rtl w:val="0"/>
        </w:rPr>
        <w:t xml:space="preserve">posterior en que se tuvo por registrada la solicitud de información.  </w:t>
      </w:r>
    </w:p>
    <w:p w:rsidR="00000000" w:rsidDel="00000000" w:rsidP="00000000" w:rsidRDefault="00000000" w:rsidRPr="00000000" w14:paraId="000000D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orientó en su respuesta a la persona solicitante, refiriendo  que esta podía estar en posesión del Sistema para el Desarrollo Integral de la Familia del Estado de México.</w:t>
      </w:r>
    </w:p>
    <w:p w:rsidR="00000000" w:rsidDel="00000000" w:rsidP="00000000" w:rsidRDefault="00000000" w:rsidRPr="00000000" w14:paraId="000000D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anterior, es de vital importancia señalar que la facultad de orientación a las personas solicitantes para que formule su solicitud ante el Sujeto Obligado competente es potestativa. </w:t>
      </w:r>
    </w:p>
    <w:p w:rsidR="00000000" w:rsidDel="00000000" w:rsidP="00000000" w:rsidRDefault="00000000" w:rsidRPr="00000000" w14:paraId="000000E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tales circunstancias, dado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informó la notoria incompetencia para atender favorablemente la solicitud, al día siguiente de haberse presentado, cobra relevancia artículo 167, párrafo primero de la Ley de Transparencia y Acceso a la Información Pública del Estado de México y Municipios, citado con antelación, toda vez que la declaración de incompetencia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encontró </w:t>
      </w:r>
      <w:r w:rsidDel="00000000" w:rsidR="00000000" w:rsidRPr="00000000">
        <w:rPr>
          <w:rFonts w:ascii="Palatino Linotype" w:cs="Palatino Linotype" w:eastAsia="Palatino Linotype" w:hAnsi="Palatino Linotype"/>
          <w:b w:val="1"/>
          <w:u w:val="single"/>
          <w:rtl w:val="0"/>
        </w:rPr>
        <w:t xml:space="preserve">dentro de los tres días siguientes a la presentación de la solicitud</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 conformidad con el párrafo primero del precepto legal en cita, se concluye que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son infundados, por lo que resulta procedente </w:t>
      </w:r>
      <w:r w:rsidDel="00000000" w:rsidR="00000000" w:rsidRPr="00000000">
        <w:rPr>
          <w:rFonts w:ascii="Palatino Linotype" w:cs="Palatino Linotype" w:eastAsia="Palatino Linotype" w:hAnsi="Palatino Linotype"/>
          <w:i w:val="1"/>
          <w:rtl w:val="0"/>
        </w:rPr>
        <w:t xml:space="preserve">confirmar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 de la Ley de Transparencia y Acceso a la Información Pública del Estado de México y Municipios.</w:t>
      </w:r>
    </w:p>
    <w:p w:rsidR="00000000" w:rsidDel="00000000" w:rsidP="00000000" w:rsidRDefault="00000000" w:rsidRPr="00000000" w14:paraId="000000E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se dejan a salvo los derechos de la persona solicitante para que, en caso de así considerarlo conveniente a sus intereses, pueda formular una solicitud ante el Sujeto Obligado competentes, es decir, el Sistema para el Desarrollo Integral de la Familia del Estado de México.</w:t>
      </w:r>
    </w:p>
    <w:p w:rsidR="00000000" w:rsidDel="00000000" w:rsidP="00000000" w:rsidRDefault="00000000" w:rsidRPr="00000000" w14:paraId="000000E2">
      <w:pPr>
        <w:spacing w:after="240" w:before="240" w:line="360" w:lineRule="auto"/>
        <w:ind w:right="51"/>
        <w:jc w:val="both"/>
        <w:rPr>
          <w:rFonts w:ascii="Palatino Linotype" w:cs="Palatino Linotype" w:eastAsia="Palatino Linotype" w:hAnsi="Palatino Linotype"/>
        </w:rPr>
      </w:pPr>
      <w:bookmarkStart w:colFirst="0" w:colLast="0" w:name="_heading=h.lnxbz9" w:id="10"/>
      <w:bookmarkEnd w:id="10"/>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E4">
      <w:pPr>
        <w:spacing w:after="240" w:before="240" w:line="360" w:lineRule="auto"/>
        <w:jc w:val="both"/>
        <w:rPr>
          <w:rFonts w:ascii="Palatino Linotype" w:cs="Palatino Linotype" w:eastAsia="Palatino Linotype" w:hAnsi="Palatino Linotype"/>
        </w:rPr>
      </w:pPr>
      <w:bookmarkStart w:colFirst="0" w:colLast="0" w:name="_heading=h.26in1rg" w:id="11"/>
      <w:bookmarkEnd w:id="11"/>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Son </w:t>
      </w:r>
      <w:r w:rsidDel="00000000" w:rsidR="00000000" w:rsidRPr="00000000">
        <w:rPr>
          <w:rFonts w:ascii="Palatino Linotype" w:cs="Palatino Linotype" w:eastAsia="Palatino Linotype" w:hAnsi="Palatino Linotype"/>
          <w:b w:val="1"/>
          <w:rtl w:val="0"/>
        </w:rPr>
        <w:t xml:space="preserve">infundadas</w:t>
      </w:r>
      <w:r w:rsidDel="00000000" w:rsidR="00000000" w:rsidRPr="00000000">
        <w:rPr>
          <w:rFonts w:ascii="Palatino Linotype" w:cs="Palatino Linotype" w:eastAsia="Palatino Linotype" w:hAnsi="Palatino Linotype"/>
          <w:rtl w:val="0"/>
        </w:rPr>
        <w:t xml:space="preserv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00014/INFOEM/IP/RR/2024</w:t>
      </w:r>
      <w:r w:rsidDel="00000000" w:rsidR="00000000" w:rsidRPr="00000000">
        <w:rPr>
          <w:rFonts w:ascii="Palatino Linotype" w:cs="Palatino Linotype" w:eastAsia="Palatino Linotype" w:hAnsi="Palatino Linotype"/>
          <w:rtl w:val="0"/>
        </w:rPr>
        <w:t xml:space="preserve">, por lo que, en términos de los argumentos de derecho señalados en 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Confirma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7936"/>
        </w:tabs>
        <w:spacing w:after="240" w:before="240" w:line="360" w:lineRule="auto"/>
        <w:jc w:val="both"/>
        <w:rPr>
          <w:rFonts w:ascii="Palatino Linotype" w:cs="Palatino Linotype" w:eastAsia="Palatino Linotype" w:hAnsi="Palatino Linotype"/>
        </w:rPr>
      </w:pPr>
      <w:bookmarkStart w:colFirst="0" w:colLast="0" w:name="_heading=h.4d34og8" w:id="12"/>
      <w:bookmarkEnd w:id="12"/>
      <w:r w:rsidDel="00000000" w:rsidR="00000000" w:rsidRPr="00000000">
        <w:rPr>
          <w:rFonts w:ascii="Palatino Linotype" w:cs="Palatino Linotype" w:eastAsia="Palatino Linotype" w:hAnsi="Palatino Linotype"/>
          <w:b w:val="1"/>
          <w:rtl w:val="0"/>
        </w:rPr>
        <w:t xml:space="preserve">Segundo. 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su conocimiento.</w:t>
      </w:r>
    </w:p>
    <w:p w:rsidR="00000000" w:rsidDel="00000000" w:rsidP="00000000" w:rsidRDefault="00000000" w:rsidRPr="00000000" w14:paraId="000000E6">
      <w:pPr>
        <w:spacing w:after="240" w:before="240" w:line="360" w:lineRule="auto"/>
        <w:jc w:val="both"/>
        <w:rPr>
          <w:rFonts w:ascii="Palatino Linotype" w:cs="Palatino Linotype" w:eastAsia="Palatino Linotype" w:hAnsi="Palatino Linotype"/>
        </w:rPr>
      </w:pPr>
      <w:bookmarkStart w:colFirst="0" w:colLast="0" w:name="_heading=h.1fob9te" w:id="13"/>
      <w:bookmarkEnd w:id="13"/>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000000" w:rsidDel="00000000" w:rsidP="00000000" w:rsidRDefault="00000000" w:rsidRPr="00000000" w14:paraId="000000E7">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SEIS DE MARZO DE DOS MIL VEINTICUATRO, ANTE EL SECRETARIO TÉCNICO DEL PLENO ALEXIS TAPIA RAMÍREZ.</w:t>
      </w:r>
    </w:p>
    <w:p w:rsidR="00000000" w:rsidDel="00000000" w:rsidP="00000000" w:rsidRDefault="00000000" w:rsidRPr="00000000" w14:paraId="000000E9">
      <w:pPr>
        <w:spacing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5540375" cy="4454525"/>
                <wp:effectExtent b="0" l="0" r="0" t="0"/>
                <wp:wrapNone/>
                <wp:docPr id="300712277" name=""/>
                <a:graphic>
                  <a:graphicData uri="http://schemas.microsoft.com/office/word/2010/wordprocessingShape">
                    <wps:wsp>
                      <wps:cNvCnPr/>
                      <wps:spPr>
                        <a:xfrm>
                          <a:off x="2588513" y="1565438"/>
                          <a:ext cx="5514975" cy="4429125"/>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5540375" cy="4454525"/>
                <wp:effectExtent b="0" l="0" r="0" t="0"/>
                <wp:wrapNone/>
                <wp:docPr id="300712277"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540375" cy="4454525"/>
                        </a:xfrm>
                        <a:prstGeom prst="rect"/>
                        <a:ln/>
                      </pic:spPr>
                    </pic:pic>
                  </a:graphicData>
                </a:graphic>
              </wp:anchor>
            </w:drawing>
          </mc:Fallback>
        </mc:AlternateContent>
      </w:r>
    </w:p>
    <w:p w:rsidR="00000000" w:rsidDel="00000000" w:rsidP="00000000" w:rsidRDefault="00000000" w:rsidRPr="00000000" w14:paraId="000000E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2">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3">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5">
      <w:pPr>
        <w:spacing w:line="360" w:lineRule="auto"/>
        <w:jc w:val="both"/>
        <w:rPr>
          <w:rFonts w:ascii="Palatino Linotype" w:cs="Palatino Linotype" w:eastAsia="Palatino Linotype" w:hAnsi="Palatino Linotype"/>
        </w:rPr>
      </w:pPr>
      <w:bookmarkStart w:colFirst="0" w:colLast="0" w:name="_heading=h.3rdcrjn" w:id="14"/>
      <w:bookmarkEnd w:id="14"/>
      <w:r w:rsidDel="00000000" w:rsidR="00000000" w:rsidRPr="00000000">
        <w:rPr>
          <w:rtl w:val="0"/>
        </w:rPr>
      </w:r>
    </w:p>
    <w:p w:rsidR="00000000" w:rsidDel="00000000" w:rsidP="00000000" w:rsidRDefault="00000000" w:rsidRPr="00000000" w14:paraId="000000F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8">
      <w:pPr>
        <w:spacing w:line="360" w:lineRule="auto"/>
        <w:jc w:val="both"/>
        <w:rPr>
          <w:rFonts w:ascii="Palatino Linotype" w:cs="Palatino Linotype" w:eastAsia="Palatino Linotype" w:hAnsi="Palatino Linotype"/>
        </w:rPr>
      </w:pPr>
      <w:bookmarkStart w:colFirst="0" w:colLast="0" w:name="_heading=h.1t3h5sf" w:id="15"/>
      <w:bookmarkEnd w:id="15"/>
      <w:r w:rsidDel="00000000" w:rsidR="00000000" w:rsidRPr="00000000">
        <w:rPr>
          <w:rtl w:val="0"/>
        </w:rPr>
      </w:r>
    </w:p>
    <w:p w:rsidR="00000000" w:rsidDel="00000000" w:rsidP="00000000" w:rsidRDefault="00000000" w:rsidRPr="00000000" w14:paraId="000000F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-1079495</wp:posOffset>
          </wp:positionH>
          <wp:positionV relativeFrom="paragraph">
            <wp:posOffset>-328925</wp:posOffset>
          </wp:positionV>
          <wp:extent cx="7809865" cy="10165715"/>
          <wp:effectExtent b="0" l="0" r="0" t="0"/>
          <wp:wrapNone/>
          <wp:docPr id="30071227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10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06">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00014/INFOEM/IP/RR/2024</w:t>
          </w:r>
        </w:p>
      </w:tc>
    </w:tr>
    <w:tr>
      <w:trPr>
        <w:cantSplit w:val="0"/>
        <w:trHeight w:val="130" w:hRule="atLeast"/>
        <w:tblHeader w:val="0"/>
      </w:trPr>
      <w:tc>
        <w:tcPr>
          <w:shd w:fill="auto" w:val="clear"/>
          <w:vAlign w:val="center"/>
        </w:tcPr>
        <w:p w:rsidR="00000000" w:rsidDel="00000000" w:rsidP="00000000" w:rsidRDefault="00000000" w:rsidRPr="00000000" w14:paraId="0000010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08">
          <w:pPr>
            <w:ind w:left="-45"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10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0A">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Finanzas</w:t>
          </w:r>
        </w:p>
      </w:tc>
    </w:tr>
    <w:tr>
      <w:trPr>
        <w:cantSplit w:val="0"/>
        <w:tblHeader w:val="0"/>
      </w:trPr>
      <w:tc>
        <w:tcPr>
          <w:shd w:fill="auto" w:val="clear"/>
          <w:vAlign w:val="center"/>
        </w:tcPr>
        <w:p w:rsidR="00000000" w:rsidDel="00000000" w:rsidP="00000000" w:rsidRDefault="00000000" w:rsidRPr="00000000" w14:paraId="0000010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0C">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spacing w:after="240" w:before="240" w:line="360" w:lineRule="auto"/>
      <w:jc w:val="both"/>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-1080117</wp:posOffset>
          </wp:positionH>
          <wp:positionV relativeFrom="paragraph">
            <wp:posOffset>-488295</wp:posOffset>
          </wp:positionV>
          <wp:extent cx="7809865" cy="10165715"/>
          <wp:effectExtent b="0" l="0" r="0" t="0"/>
          <wp:wrapNone/>
          <wp:docPr id="30071228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1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11">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00014/INFOEM/IP/RR/2024</w:t>
          </w:r>
        </w:p>
      </w:tc>
    </w:tr>
    <w:tr>
      <w:trPr>
        <w:cantSplit w:val="0"/>
        <w:trHeight w:val="228" w:hRule="atLeast"/>
        <w:tblHeader w:val="0"/>
      </w:trPr>
      <w:tc>
        <w:tcPr>
          <w:shd w:fill="auto" w:val="clear"/>
          <w:vAlign w:val="center"/>
        </w:tcPr>
        <w:p w:rsidR="00000000" w:rsidDel="00000000" w:rsidP="00000000" w:rsidRDefault="00000000" w:rsidRPr="00000000" w14:paraId="0000011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13">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Finanzas</w:t>
          </w:r>
        </w:p>
      </w:tc>
    </w:tr>
    <w:tr>
      <w:trPr>
        <w:cantSplit w:val="0"/>
        <w:tblHeader w:val="0"/>
      </w:trPr>
      <w:tc>
        <w:tcPr>
          <w:shd w:fill="auto" w:val="clear"/>
          <w:vAlign w:val="center"/>
        </w:tcPr>
        <w:p w:rsidR="00000000" w:rsidDel="00000000" w:rsidP="00000000" w:rsidRDefault="00000000" w:rsidRPr="00000000" w14:paraId="00000114">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15">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6">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0" w:customStyle="1">
    <w:name w:val="Table Normal6"/>
    <w:tblPr>
      <w:tblCellMar>
        <w:top w:w="0.0" w:type="dxa"/>
        <w:left w:w="0.0" w:type="dxa"/>
        <w:bottom w:w="0.0" w:type="dxa"/>
        <w:right w:w="0.0" w:type="dxa"/>
      </w:tblCellMar>
    </w:tblPr>
  </w:style>
  <w:style w:type="table" w:styleId="TableNormal50" w:customStyle="1">
    <w:name w:val="Table Normal5"/>
    <w:tblPr>
      <w:tblCellMar>
        <w:top w:w="0.0" w:type="dxa"/>
        <w:left w:w="0.0" w:type="dxa"/>
        <w:bottom w:w="0.0" w:type="dxa"/>
        <w:right w:w="0.0" w:type="dxa"/>
      </w:tblCellMar>
    </w:tblPr>
  </w:style>
  <w:style w:type="table" w:styleId="TableNormal40"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0"/>
    <w:tblPr>
      <w:tblStyleRowBandSize w:val="1"/>
      <w:tblStyleColBandSize w:val="1"/>
      <w:tblCellMar>
        <w:left w:w="115.0" w:type="dxa"/>
        <w:right w:w="115.0" w:type="dxa"/>
      </w:tblCellMar>
    </w:tblPr>
  </w:style>
  <w:style w:type="table" w:styleId="1" w:customStyle="1">
    <w:name w:val="1"/>
    <w:basedOn w:val="TableNormal10"/>
    <w:tblPr>
      <w:tblStyleRowBandSize w:val="1"/>
      <w:tblStyleColBandSize w:val="1"/>
      <w:tblCellMar>
        <w:left w:w="115.0" w:type="dxa"/>
        <w:right w:w="115.0" w:type="dxa"/>
      </w:tblCellMar>
    </w:tblPr>
  </w:style>
  <w:style w:type="table" w:styleId="9" w:customStyle="1">
    <w:name w:val="9"/>
    <w:basedOn w:val="TableNormal20"/>
    <w:tblPr>
      <w:tblStyleRowBandSize w:val="1"/>
      <w:tblStyleColBandSize w:val="1"/>
      <w:tblCellMar>
        <w:left w:w="115.0" w:type="dxa"/>
        <w:right w:w="115.0" w:type="dxa"/>
      </w:tblCellMar>
    </w:tblPr>
  </w:style>
  <w:style w:type="table" w:styleId="8" w:customStyle="1">
    <w:name w:val="8"/>
    <w:basedOn w:val="TableNormal20"/>
    <w:tblPr>
      <w:tblStyleRowBandSize w:val="1"/>
      <w:tblStyleColBandSize w:val="1"/>
      <w:tblCellMar>
        <w:left w:w="115.0" w:type="dxa"/>
        <w:right w:w="115.0" w:type="dxa"/>
      </w:tblCellMar>
    </w:tblPr>
  </w:style>
  <w:style w:type="table" w:styleId="7" w:customStyle="1">
    <w:name w:val="7"/>
    <w:basedOn w:val="TableNormal30"/>
    <w:tblPr>
      <w:tblStyleRowBandSize w:val="1"/>
      <w:tblStyleColBandSize w:val="1"/>
      <w:tblCellMar>
        <w:left w:w="115.0" w:type="dxa"/>
        <w:right w:w="115.0" w:type="dxa"/>
      </w:tblCellMar>
    </w:tblPr>
  </w:style>
  <w:style w:type="table" w:styleId="6" w:customStyle="1">
    <w:name w:val="6"/>
    <w:basedOn w:val="TableNormal30"/>
    <w:tblPr>
      <w:tblStyleRowBandSize w:val="1"/>
      <w:tblStyleColBandSize w:val="1"/>
      <w:tblCellMar>
        <w:left w:w="115.0" w:type="dxa"/>
        <w:right w:w="115.0" w:type="dxa"/>
      </w:tblCellMar>
    </w:tblPr>
  </w:style>
  <w:style w:type="table" w:styleId="20" w:customStyle="1">
    <w:name w:val="20"/>
    <w:basedOn w:val="TableNormal40"/>
    <w:tblPr>
      <w:tblStyleRowBandSize w:val="1"/>
      <w:tblStyleColBandSize w:val="1"/>
      <w:tblCellMar>
        <w:left w:w="115.0" w:type="dxa"/>
        <w:right w:w="115.0" w:type="dxa"/>
      </w:tblCellMar>
    </w:tblPr>
  </w:style>
  <w:style w:type="table" w:styleId="19" w:customStyle="1">
    <w:name w:val="19"/>
    <w:basedOn w:val="TableNormal40"/>
    <w:tblPr>
      <w:tblStyleRowBandSize w:val="1"/>
      <w:tblStyleColBandSize w:val="1"/>
      <w:tblCellMar>
        <w:left w:w="115.0" w:type="dxa"/>
        <w:right w:w="115.0" w:type="dxa"/>
      </w:tblCellMar>
    </w:tblPr>
  </w:style>
  <w:style w:type="table" w:styleId="18" w:customStyle="1">
    <w:name w:val="18"/>
    <w:basedOn w:val="TableNormal50"/>
    <w:tblPr>
      <w:tblStyleRowBandSize w:val="1"/>
      <w:tblStyleColBandSize w:val="1"/>
      <w:tblCellMar>
        <w:left w:w="115.0" w:type="dxa"/>
        <w:right w:w="115.0" w:type="dxa"/>
      </w:tblCellMar>
    </w:tblPr>
  </w:style>
  <w:style w:type="table" w:styleId="17" w:customStyle="1">
    <w:name w:val="17"/>
    <w:basedOn w:val="TableNormal50"/>
    <w:tblPr>
      <w:tblStyleRowBandSize w:val="1"/>
      <w:tblStyleColBandSize w:val="1"/>
      <w:tblCellMar>
        <w:left w:w="115.0" w:type="dxa"/>
        <w:right w:w="115.0" w:type="dxa"/>
      </w:tblCellMar>
    </w:tblPr>
  </w:style>
  <w:style w:type="table" w:styleId="16" w:customStyle="1">
    <w:name w:val="16"/>
    <w:basedOn w:val="TableNormal60"/>
    <w:tblPr>
      <w:tblStyleRowBandSize w:val="1"/>
      <w:tblStyleColBandSize w:val="1"/>
      <w:tblCellMar>
        <w:left w:w="115.0" w:type="dxa"/>
        <w:right w:w="115.0" w:type="dxa"/>
      </w:tblCellMar>
    </w:tblPr>
  </w:style>
  <w:style w:type="table" w:styleId="15" w:customStyle="1">
    <w:name w:val="15"/>
    <w:basedOn w:val="TableNormal60"/>
    <w:tblPr>
      <w:tblStyleRowBandSize w:val="1"/>
      <w:tblStyleColBandSize w:val="1"/>
      <w:tblCellMar>
        <w:left w:w="115.0" w:type="dxa"/>
        <w:right w:w="115.0" w:type="dxa"/>
      </w:tblCellMar>
    </w:tblPr>
  </w:style>
  <w:style w:type="table" w:styleId="14" w:customStyle="1">
    <w:name w:val="14"/>
    <w:basedOn w:val="TableNormal7"/>
    <w:tblPr>
      <w:tblStyleRowBandSize w:val="1"/>
      <w:tblStyleColBandSize w:val="1"/>
      <w:tblCellMar>
        <w:left w:w="115.0" w:type="dxa"/>
        <w:right w:w="115.0" w:type="dxa"/>
      </w:tblCellMar>
    </w:tblPr>
  </w:style>
  <w:style w:type="table" w:styleId="13" w:customStyle="1">
    <w:name w:val="13"/>
    <w:basedOn w:val="TableNormal7"/>
    <w:tblPr>
      <w:tblStyleRowBandSize w:val="1"/>
      <w:tblStyleColBandSize w:val="1"/>
      <w:tblCellMar>
        <w:left w:w="115.0" w:type="dxa"/>
        <w:right w:w="115.0" w:type="dxa"/>
      </w:tblCellMar>
    </w:tblPr>
  </w:style>
  <w:style w:type="character" w:styleId="rse6dlih" w:customStyle="1">
    <w:name w:val="rse6dlih"/>
    <w:basedOn w:val="Fuentedeprrafopredeter"/>
    <w:rsid w:val="00190860"/>
  </w:style>
  <w:style w:type="table" w:styleId="12" w:customStyle="1">
    <w:name w:val="12"/>
    <w:basedOn w:val="TableNormal8"/>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1" w:customStyle="1">
    <w:name w:val="11"/>
    <w:basedOn w:val="TableNormal8"/>
    <w:tblPr>
      <w:tblStyleRowBandSize w:val="1"/>
      <w:tblStyleColBandSize w:val="1"/>
      <w:tblCellMar>
        <w:left w:w="115.0" w:type="dxa"/>
        <w:right w:w="115.0" w:type="dxa"/>
      </w:tblCellMar>
    </w:tblPr>
  </w:style>
  <w:style w:type="table" w:styleId="10" w:customStyle="1">
    <w:name w:val="10"/>
    <w:basedOn w:val="TableNormal8"/>
    <w:tblPr>
      <w:tblStyleRowBandSize w:val="1"/>
      <w:tblStyleColBandSize w:val="1"/>
      <w:tblCellMar>
        <w:left w:w="115.0" w:type="dxa"/>
        <w:right w:w="115.0" w:type="dxa"/>
      </w:tblCellMar>
    </w:tblPr>
  </w:style>
  <w:style w:type="table" w:styleId="24" w:customStyle="1">
    <w:name w:val="24"/>
    <w:basedOn w:val="TableNormal9"/>
    <w:tblPr>
      <w:tblStyleRowBandSize w:val="1"/>
      <w:tblStyleColBandSize w:val="1"/>
      <w:tblCellMar>
        <w:left w:w="115.0" w:type="dxa"/>
        <w:right w:w="115.0" w:type="dxa"/>
      </w:tblCellMar>
    </w:tblPr>
  </w:style>
  <w:style w:type="table" w:styleId="23" w:customStyle="1">
    <w:name w:val="23"/>
    <w:basedOn w:val="TableNormal9"/>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2" w:customStyle="1">
    <w:name w:val="22"/>
    <w:basedOn w:val="TableNormal9"/>
    <w:tblPr>
      <w:tblStyleRowBandSize w:val="1"/>
      <w:tblStyleColBandSize w:val="1"/>
      <w:tblCellMar>
        <w:left w:w="115.0" w:type="dxa"/>
        <w:right w:w="115.0" w:type="dxa"/>
      </w:tblCellMar>
    </w:tblPr>
  </w:style>
  <w:style w:type="table" w:styleId="21" w:customStyle="1">
    <w:name w:val="21"/>
    <w:basedOn w:val="TableNormal9"/>
    <w:tblPr>
      <w:tblStyleRowBandSize w:val="1"/>
      <w:tblStyleColBandSize w:val="1"/>
      <w:tblCellMar>
        <w:left w:w="115.0" w:type="dxa"/>
        <w:right w:w="115.0" w:type="dxa"/>
      </w:tblCellMar>
    </w:tblPr>
  </w:style>
  <w:style w:type="table" w:styleId="a" w:customStyle="1">
    <w:basedOn w:val="TableNormal6"/>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6"/>
    <w:tblPr>
      <w:tblStyleRowBandSize w:val="1"/>
      <w:tblStyleColBandSize w:val="1"/>
      <w:tblCellMar>
        <w:left w:w="115.0" w:type="dxa"/>
        <w:right w:w="115.0" w:type="dxa"/>
      </w:tblCellMar>
    </w:tblPr>
  </w:style>
  <w:style w:type="table" w:styleId="a2" w:customStyle="1">
    <w:basedOn w:val="TableNormal6"/>
    <w:tblPr>
      <w:tblStyleRowBandSize w:val="1"/>
      <w:tblStyleColBandSize w:val="1"/>
      <w:tblCellMar>
        <w:left w:w="115.0" w:type="dxa"/>
        <w:right w:w="115.0" w:type="dxa"/>
      </w:tblCellMar>
    </w:tblPr>
  </w:style>
  <w:style w:type="table" w:styleId="a3" w:customStyle="1">
    <w:basedOn w:val="TableNormal5"/>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4"/>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7" w:customStyle="1">
    <w:basedOn w:val="TableNormal4"/>
    <w:tblPr>
      <w:tblStyleRowBandSize w:val="1"/>
      <w:tblStyleColBandSize w:val="1"/>
      <w:tblCellMar>
        <w:left w:w="115.0" w:type="dxa"/>
        <w:right w:w="115.0" w:type="dxa"/>
      </w:tblCellMar>
    </w:tblPr>
  </w:style>
  <w:style w:type="table" w:styleId="a8" w:customStyle="1">
    <w:basedOn w:val="TableNormal4"/>
    <w:tblPr>
      <w:tblStyleRowBandSize w:val="1"/>
      <w:tblStyleColBandSize w:val="1"/>
      <w:tblCellMar>
        <w:left w:w="115.0" w:type="dxa"/>
        <w:right w:w="115.0" w:type="dxa"/>
      </w:tblCellMar>
    </w:tblPr>
  </w:style>
  <w:style w:type="character" w:styleId="Mencinsinresolver4" w:customStyle="1">
    <w:name w:val="Mención sin resolver4"/>
    <w:basedOn w:val="Fuentedeprrafopredeter"/>
    <w:uiPriority w:val="99"/>
    <w:semiHidden w:val="1"/>
    <w:unhideWhenUsed w:val="1"/>
    <w:rsid w:val="00B70D09"/>
    <w:rPr>
      <w:color w:val="605e5c"/>
      <w:shd w:color="auto" w:fill="e1dfdd" w:val="clear"/>
    </w:r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paragraph" w:styleId="Listaconvietas">
    <w:name w:val="List Bullet"/>
    <w:basedOn w:val="Normal"/>
    <w:uiPriority w:val="99"/>
    <w:unhideWhenUsed w:val="1"/>
    <w:rsid w:val="002F33A5"/>
    <w:pPr>
      <w:numPr>
        <w:numId w:val="3"/>
      </w:numPr>
      <w:contextualSpacing w:val="1"/>
    </w:pPr>
    <w:rPr>
      <w:lang w:eastAsia="es-ES"/>
    </w:rPr>
  </w:style>
  <w:style w:type="table" w:styleId="ad" w:customStyle="1">
    <w:basedOn w:val="TableNormal1"/>
    <w:tblPr>
      <w:tblStyleRowBandSize w:val="1"/>
      <w:tblStyleColBandSize w:val="1"/>
      <w:tblCellMar>
        <w:left w:w="115.0" w:type="dxa"/>
        <w:right w:w="115.0" w:type="dxa"/>
      </w:tblCellMar>
    </w:tblPr>
  </w:style>
  <w:style w:type="table" w:styleId="ae" w:customStyle="1">
    <w:basedOn w:val="TableNormal1"/>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left w:w="115.0" w:type="dxa"/>
        <w:right w:w="115.0" w:type="dxa"/>
      </w:tblCellMar>
    </w:tblPr>
  </w:style>
  <w:style w:type="table" w:styleId="af0" w:customStyle="1">
    <w:basedOn w:val="TableNormal0"/>
    <w:tblPr>
      <w:tblStyleRowBandSize w:val="1"/>
      <w:tblStyleColBandSize w:val="1"/>
      <w:tblCellMar>
        <w:left w:w="115.0" w:type="dxa"/>
        <w:right w:w="115.0" w:type="dxa"/>
      </w:tblCellMar>
    </w:tblPr>
  </w:style>
  <w:style w:type="character" w:styleId="yt-core-attributed-string--link-inherit-color" w:customStyle="1">
    <w:name w:val="yt-core-attributed-string--link-inherit-color"/>
    <w:basedOn w:val="Fuentedeprrafopredeter"/>
    <w:rsid w:val="003F51A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5.png"/><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eOBHH7dUGIq6Ah0nn6L50w571g==">CgMxLjAyCWguMzVua3VuMjIIaC5namRneHMyCWguM2R5NnZrbTIJaC4xN2RwOHZ1MgloLjMwajB6bGwyCWguMnM4ZXlvMTIOaC5nbmRrcjNyMGUyMXgyCGgudHlqY3d0MgloLjN6bnlzaDcyCWguMmV0OTJwMDIIaC5sbnhiejkyCWguMjZpbjFyZzIJaC40ZDM0b2c4MgloLjFmb2I5dGUyCWguM3JkY3JqbjIJaC4xdDNoNXNmOAByITFwdnZoQnZyZEhYaTFuYl9MM3B5elJDOUdhd2pod20y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2024-03-21T16:40:00Z</dcterms:created>
  <dc:creator>iMac</dc:creator>
</cp:coreProperties>
</file>