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569" w:rsidRPr="00684185" w:rsidRDefault="002F3569" w:rsidP="00667AA0">
      <w:pPr>
        <w:spacing w:line="360" w:lineRule="auto"/>
        <w:jc w:val="both"/>
        <w:rPr>
          <w:rFonts w:ascii="Palatino Linotype" w:eastAsiaTheme="minorEastAsia" w:hAnsi="Palatino Linotype"/>
          <w:sz w:val="22"/>
          <w:szCs w:val="22"/>
          <w:lang w:val="es-ES_tradnl" w:eastAsia="es-ES"/>
        </w:rPr>
      </w:pPr>
    </w:p>
    <w:p w:rsidR="00667AA0" w:rsidRPr="00BD5CCC" w:rsidRDefault="00667AA0" w:rsidP="00667AA0">
      <w:pPr>
        <w:spacing w:line="360" w:lineRule="auto"/>
        <w:jc w:val="both"/>
        <w:rPr>
          <w:rFonts w:ascii="Palatino Linotype" w:eastAsiaTheme="minorEastAsia" w:hAnsi="Palatino Linotype"/>
          <w:sz w:val="22"/>
          <w:szCs w:val="22"/>
          <w:lang w:val="es-ES_tradnl" w:eastAsia="es-ES"/>
        </w:rPr>
      </w:pPr>
      <w:r w:rsidRPr="00BD5CCC">
        <w:rPr>
          <w:rFonts w:ascii="Palatino Linotype" w:eastAsiaTheme="minorEastAsia" w:hAnsi="Palatino Linotype"/>
          <w:sz w:val="22"/>
          <w:szCs w:val="22"/>
          <w:lang w:val="es-ES_tradnl" w:eastAsia="es-ES"/>
        </w:rPr>
        <w:t xml:space="preserve">Resolución del Pleno del Instituto de Transparencia, Acceso a la Información Pública y Protección de Datos Personales del Estado de México y Municipios, con domicilio en Metepec, Estado de México; de fecha veintisiete (27) de noviembre de dos mil veinticuatro. </w:t>
      </w:r>
    </w:p>
    <w:p w:rsidR="00667AA0" w:rsidRPr="00BD5CCC" w:rsidRDefault="00667AA0" w:rsidP="00667AA0">
      <w:pPr>
        <w:spacing w:line="360" w:lineRule="auto"/>
        <w:jc w:val="both"/>
        <w:rPr>
          <w:rFonts w:ascii="Palatino Linotype" w:eastAsiaTheme="minorEastAsia" w:hAnsi="Palatino Linotype"/>
          <w:sz w:val="22"/>
          <w:szCs w:val="22"/>
          <w:lang w:val="es-ES_tradnl" w:eastAsia="es-ES"/>
        </w:rPr>
      </w:pPr>
    </w:p>
    <w:p w:rsidR="00667AA0" w:rsidRPr="00BD5CCC" w:rsidRDefault="00667AA0" w:rsidP="00667AA0">
      <w:pPr>
        <w:spacing w:line="360" w:lineRule="auto"/>
        <w:jc w:val="both"/>
        <w:rPr>
          <w:rFonts w:ascii="Palatino Linotype" w:hAnsi="Palatino Linotype"/>
          <w:sz w:val="22"/>
          <w:szCs w:val="22"/>
        </w:rPr>
      </w:pPr>
      <w:r w:rsidRPr="00BD5CCC">
        <w:rPr>
          <w:rFonts w:ascii="Palatino Linotype" w:hAnsi="Palatino Linotype"/>
          <w:b/>
          <w:sz w:val="22"/>
          <w:szCs w:val="22"/>
        </w:rPr>
        <w:t>VISTO</w:t>
      </w:r>
      <w:r w:rsidRPr="00BD5CCC">
        <w:rPr>
          <w:rFonts w:ascii="Palatino Linotype" w:hAnsi="Palatino Linotype"/>
          <w:sz w:val="22"/>
          <w:szCs w:val="22"/>
        </w:rPr>
        <w:t xml:space="preserve"> el expediente electrónico formado con motivo del recurso de revisión </w:t>
      </w:r>
      <w:r w:rsidRPr="00BD5CCC">
        <w:rPr>
          <w:rFonts w:ascii="Palatino Linotype" w:hAnsi="Palatino Linotype"/>
          <w:b/>
          <w:sz w:val="22"/>
          <w:szCs w:val="22"/>
        </w:rPr>
        <w:t>03378/INFOEM/IP/RR/2024,</w:t>
      </w:r>
      <w:r w:rsidRPr="00BD5CCC">
        <w:rPr>
          <w:rFonts w:ascii="Palatino Linotype" w:hAnsi="Palatino Linotype" w:cs="Arial"/>
          <w:b/>
          <w:bCs/>
          <w:sz w:val="22"/>
          <w:szCs w:val="22"/>
        </w:rPr>
        <w:t xml:space="preserve"> </w:t>
      </w:r>
      <w:r w:rsidRPr="00BD5CCC">
        <w:rPr>
          <w:rFonts w:ascii="Palatino Linotype" w:eastAsiaTheme="minorEastAsia" w:hAnsi="Palatino Linotype"/>
          <w:sz w:val="22"/>
          <w:szCs w:val="22"/>
          <w:lang w:val="es-ES_tradnl" w:eastAsia="es-ES"/>
        </w:rPr>
        <w:t>promovido</w:t>
      </w:r>
      <w:r w:rsidR="00823B0D" w:rsidRPr="00BD5CCC">
        <w:rPr>
          <w:rFonts w:ascii="Palatino Linotype" w:eastAsiaTheme="minorEastAsia" w:hAnsi="Palatino Linotype"/>
          <w:sz w:val="22"/>
          <w:szCs w:val="22"/>
          <w:lang w:val="es-ES_tradnl" w:eastAsia="es-ES"/>
        </w:rPr>
        <w:t xml:space="preserve"> por</w:t>
      </w:r>
      <w:r w:rsidRPr="00BD5CCC">
        <w:rPr>
          <w:rFonts w:ascii="Palatino Linotype" w:eastAsiaTheme="minorEastAsia" w:hAnsi="Palatino Linotype"/>
          <w:sz w:val="22"/>
          <w:szCs w:val="22"/>
          <w:lang w:val="es-ES_tradnl" w:eastAsia="es-ES"/>
        </w:rPr>
        <w:t xml:space="preserve"> </w:t>
      </w:r>
      <w:r w:rsidR="00BD5CCC" w:rsidRPr="00BD5CCC">
        <w:rPr>
          <w:rFonts w:ascii="Palatino Linotype" w:eastAsiaTheme="minorEastAsia" w:hAnsi="Palatino Linotype"/>
          <w:b/>
          <w:bCs/>
          <w:sz w:val="22"/>
          <w:szCs w:val="22"/>
          <w:lang w:eastAsia="es-ES"/>
        </w:rPr>
        <w:t>XXXXXXXXXXXXX</w:t>
      </w:r>
      <w:r w:rsidRPr="00BD5CCC">
        <w:rPr>
          <w:rFonts w:ascii="Palatino Linotype" w:eastAsiaTheme="minorEastAsia" w:hAnsi="Palatino Linotype"/>
          <w:b/>
          <w:sz w:val="22"/>
          <w:szCs w:val="22"/>
          <w:lang w:val="es-ES_tradnl" w:eastAsia="es-ES"/>
        </w:rPr>
        <w:t>,</w:t>
      </w:r>
      <w:r w:rsidRPr="00BD5CCC">
        <w:rPr>
          <w:rFonts w:ascii="Palatino Linotype" w:hAnsi="Palatino Linotype"/>
          <w:sz w:val="22"/>
          <w:szCs w:val="22"/>
        </w:rPr>
        <w:t xml:space="preserve"> quien en lo sucesivo se identificará como </w:t>
      </w:r>
      <w:r w:rsidRPr="00BD5CCC">
        <w:rPr>
          <w:rFonts w:ascii="Palatino Linotype" w:hAnsi="Palatino Linotype"/>
          <w:b/>
          <w:sz w:val="22"/>
          <w:szCs w:val="22"/>
        </w:rPr>
        <w:t xml:space="preserve">EL </w:t>
      </w:r>
      <w:r w:rsidRPr="00BD5CCC">
        <w:rPr>
          <w:rFonts w:ascii="Palatino Linotype" w:hAnsi="Palatino Linotype" w:cs="Arial"/>
          <w:b/>
          <w:sz w:val="22"/>
          <w:szCs w:val="22"/>
        </w:rPr>
        <w:t>RECURRENTE</w:t>
      </w:r>
      <w:r w:rsidRPr="00BD5CCC">
        <w:rPr>
          <w:rFonts w:ascii="Palatino Linotype" w:hAnsi="Palatino Linotype" w:cs="Arial"/>
          <w:sz w:val="22"/>
          <w:szCs w:val="22"/>
        </w:rPr>
        <w:t xml:space="preserve">, en contra de la respuesta del </w:t>
      </w:r>
      <w:r w:rsidRPr="00BD5CCC">
        <w:rPr>
          <w:rFonts w:ascii="Palatino Linotype" w:hAnsi="Palatino Linotype" w:cs="Arial"/>
          <w:b/>
          <w:bCs/>
          <w:sz w:val="22"/>
          <w:szCs w:val="22"/>
        </w:rPr>
        <w:t>Ayuntamiento de Atizapán de Zaragoza</w:t>
      </w:r>
      <w:r w:rsidRPr="00BD5CCC">
        <w:rPr>
          <w:rFonts w:ascii="Palatino Linotype" w:hAnsi="Palatino Linotype" w:cs="Arial"/>
          <w:b/>
          <w:sz w:val="22"/>
          <w:szCs w:val="22"/>
        </w:rPr>
        <w:t>,</w:t>
      </w:r>
      <w:r w:rsidRPr="00BD5CCC">
        <w:rPr>
          <w:rFonts w:ascii="Palatino Linotype" w:hAnsi="Palatino Linotype"/>
          <w:b/>
          <w:sz w:val="22"/>
          <w:szCs w:val="22"/>
        </w:rPr>
        <w:t xml:space="preserve"> </w:t>
      </w:r>
      <w:r w:rsidRPr="00BD5CCC">
        <w:rPr>
          <w:rFonts w:ascii="Palatino Linotype" w:hAnsi="Palatino Linotype"/>
          <w:sz w:val="22"/>
          <w:szCs w:val="22"/>
        </w:rPr>
        <w:t>en lo sucesivo el</w:t>
      </w:r>
      <w:r w:rsidRPr="00BD5CCC">
        <w:rPr>
          <w:rFonts w:ascii="Palatino Linotype" w:hAnsi="Palatino Linotype"/>
          <w:b/>
          <w:sz w:val="22"/>
          <w:szCs w:val="22"/>
        </w:rPr>
        <w:t xml:space="preserve"> SUJETO OBLIGADO</w:t>
      </w:r>
      <w:r w:rsidRPr="00BD5CCC">
        <w:rPr>
          <w:rFonts w:ascii="Palatino Linotype" w:hAnsi="Palatino Linotype"/>
          <w:sz w:val="22"/>
          <w:szCs w:val="22"/>
        </w:rPr>
        <w:t>, por lo que se procede a dictar la presente resolución, con base en los siguientes:</w:t>
      </w:r>
    </w:p>
    <w:p w:rsidR="00667AA0" w:rsidRPr="00BD5CCC" w:rsidRDefault="00667AA0" w:rsidP="00667AA0">
      <w:pPr>
        <w:spacing w:line="360" w:lineRule="auto"/>
        <w:jc w:val="both"/>
        <w:rPr>
          <w:rFonts w:ascii="Palatino Linotype" w:hAnsi="Palatino Linotype"/>
          <w:b/>
          <w:sz w:val="22"/>
          <w:szCs w:val="22"/>
        </w:rPr>
      </w:pPr>
    </w:p>
    <w:p w:rsidR="00667AA0" w:rsidRPr="00BD5CCC" w:rsidRDefault="00667AA0" w:rsidP="00667AA0">
      <w:pPr>
        <w:keepNext/>
        <w:keepLines/>
        <w:spacing w:line="360" w:lineRule="auto"/>
        <w:jc w:val="center"/>
        <w:outlineLvl w:val="0"/>
        <w:rPr>
          <w:rFonts w:ascii="Palatino Linotype" w:eastAsiaTheme="majorEastAsia" w:hAnsi="Palatino Linotype" w:cstheme="majorBidi"/>
          <w:b/>
          <w:sz w:val="22"/>
          <w:szCs w:val="22"/>
        </w:rPr>
      </w:pPr>
      <w:bookmarkStart w:id="0" w:name="_Toc66992241"/>
      <w:r w:rsidRPr="00BD5CCC">
        <w:rPr>
          <w:rFonts w:ascii="Palatino Linotype" w:eastAsiaTheme="majorEastAsia" w:hAnsi="Palatino Linotype" w:cstheme="majorBidi"/>
          <w:b/>
          <w:sz w:val="22"/>
          <w:szCs w:val="22"/>
        </w:rPr>
        <w:t>ANTECEDENTES</w:t>
      </w:r>
      <w:bookmarkEnd w:id="0"/>
    </w:p>
    <w:p w:rsidR="00667AA0" w:rsidRPr="00BD5CCC" w:rsidRDefault="00667AA0" w:rsidP="00667AA0">
      <w:pPr>
        <w:spacing w:line="360" w:lineRule="auto"/>
        <w:rPr>
          <w:rFonts w:ascii="Palatino Linotype" w:eastAsiaTheme="minorEastAsia" w:hAnsi="Palatino Linotype"/>
          <w:sz w:val="22"/>
          <w:szCs w:val="22"/>
        </w:rPr>
      </w:pPr>
    </w:p>
    <w:p w:rsidR="00667AA0" w:rsidRPr="00BD5CCC" w:rsidRDefault="00667AA0" w:rsidP="00667AA0">
      <w:pPr>
        <w:pStyle w:val="Prrafodelista"/>
        <w:numPr>
          <w:ilvl w:val="0"/>
          <w:numId w:val="1"/>
        </w:numPr>
        <w:spacing w:line="360" w:lineRule="auto"/>
        <w:ind w:left="0" w:firstLine="0"/>
        <w:jc w:val="both"/>
        <w:rPr>
          <w:rFonts w:ascii="Palatino Linotype" w:hAnsi="Palatino Linotype" w:cs="Arial"/>
          <w:szCs w:val="22"/>
          <w:lang w:val="es-ES" w:eastAsia="es-ES"/>
        </w:rPr>
      </w:pPr>
      <w:r w:rsidRPr="00BD5CCC">
        <w:rPr>
          <w:rFonts w:ascii="Palatino Linotype" w:eastAsia="Calibri" w:hAnsi="Palatino Linotype" w:cs="Arial"/>
          <w:szCs w:val="22"/>
          <w:lang w:val="es-ES" w:eastAsia="es-ES"/>
        </w:rPr>
        <w:t>El veintidós (22) de abril de dos mil veinticuatro,</w:t>
      </w:r>
      <w:r w:rsidRPr="00BD5CCC">
        <w:rPr>
          <w:rFonts w:ascii="Palatino Linotype" w:eastAsia="Calibri" w:hAnsi="Palatino Linotype"/>
          <w:szCs w:val="22"/>
          <w:lang w:val="es-ES" w:eastAsia="es-ES"/>
        </w:rPr>
        <w:t xml:space="preserve"> </w:t>
      </w:r>
      <w:r w:rsidRPr="00BD5CCC">
        <w:rPr>
          <w:rFonts w:ascii="Palatino Linotype" w:eastAsia="Calibri" w:hAnsi="Palatino Linotype"/>
          <w:b/>
          <w:szCs w:val="22"/>
          <w:lang w:val="es-ES" w:eastAsia="es-ES"/>
        </w:rPr>
        <w:t>EL RECURRENTE</w:t>
      </w:r>
      <w:r w:rsidRPr="00BD5CCC">
        <w:rPr>
          <w:rFonts w:ascii="Palatino Linotype" w:eastAsiaTheme="minorEastAsia" w:hAnsi="Palatino Linotype"/>
          <w:b/>
          <w:szCs w:val="22"/>
          <w:lang w:val="es-ES_tradnl" w:eastAsia="es-ES"/>
        </w:rPr>
        <w:t>,</w:t>
      </w:r>
      <w:r w:rsidRPr="00BD5CCC">
        <w:rPr>
          <w:rFonts w:ascii="Palatino Linotype" w:eastAsia="Calibri" w:hAnsi="Palatino Linotype" w:cs="Arial"/>
          <w:szCs w:val="22"/>
          <w:lang w:val="es-ES" w:eastAsia="es-ES"/>
        </w:rPr>
        <w:t xml:space="preserve"> ante el </w:t>
      </w:r>
      <w:r w:rsidRPr="00BD5CCC">
        <w:rPr>
          <w:rFonts w:ascii="Palatino Linotype" w:eastAsia="Calibri" w:hAnsi="Palatino Linotype" w:cs="Arial"/>
          <w:b/>
          <w:szCs w:val="22"/>
          <w:lang w:val="es-ES" w:eastAsia="es-ES"/>
        </w:rPr>
        <w:t>SUJETO OBLIGADO</w:t>
      </w:r>
      <w:r w:rsidRPr="00BD5CCC">
        <w:rPr>
          <w:rFonts w:ascii="Palatino Linotype" w:eastAsia="Calibri" w:hAnsi="Palatino Linotype" w:cs="Arial"/>
          <w:szCs w:val="22"/>
          <w:lang w:val="es-ES_tradnl" w:eastAsia="es-ES"/>
        </w:rPr>
        <w:t xml:space="preserve"> a través del Sistema de Acceso a la Información Mexiquense (SAIMEX)</w:t>
      </w:r>
      <w:r w:rsidRPr="00BD5CCC">
        <w:rPr>
          <w:rFonts w:ascii="Palatino Linotype" w:eastAsia="Calibri" w:hAnsi="Palatino Linotype" w:cs="Arial"/>
          <w:szCs w:val="22"/>
          <w:lang w:val="es-ES" w:eastAsia="es-ES"/>
        </w:rPr>
        <w:t xml:space="preserve">, presentó una solicitud de información registrada con el número </w:t>
      </w:r>
      <w:r w:rsidRPr="00BD5CCC">
        <w:rPr>
          <w:rFonts w:ascii="Palatino Linotype" w:hAnsi="Palatino Linotype"/>
          <w:b/>
          <w:bCs/>
          <w:szCs w:val="22"/>
        </w:rPr>
        <w:t>00217/ATIZARA/IP/2024</w:t>
      </w:r>
      <w:r w:rsidRPr="00BD5CCC">
        <w:rPr>
          <w:rFonts w:ascii="Palatino Linotype" w:eastAsiaTheme="minorEastAsia" w:hAnsi="Palatino Linotype"/>
          <w:b/>
          <w:szCs w:val="22"/>
          <w:lang w:val="es-ES_tradnl" w:eastAsia="es-ES"/>
        </w:rPr>
        <w:t xml:space="preserve">, </w:t>
      </w:r>
      <w:r w:rsidRPr="00BD5CCC">
        <w:rPr>
          <w:rFonts w:ascii="Palatino Linotype" w:eastAsia="Calibri" w:hAnsi="Palatino Linotype" w:cs="Arial"/>
          <w:szCs w:val="22"/>
          <w:lang w:val="es-ES" w:eastAsia="es-ES"/>
        </w:rPr>
        <w:t>mediante la cual solicitó lo siguiente:</w:t>
      </w:r>
    </w:p>
    <w:p w:rsidR="00667AA0" w:rsidRPr="00BD5CCC" w:rsidRDefault="00667AA0" w:rsidP="00667AA0">
      <w:pPr>
        <w:pStyle w:val="Prrafodelista"/>
        <w:spacing w:line="360" w:lineRule="auto"/>
        <w:ind w:left="0"/>
        <w:jc w:val="both"/>
        <w:rPr>
          <w:rFonts w:ascii="Palatino Linotype" w:hAnsi="Palatino Linotype" w:cs="Arial"/>
          <w:szCs w:val="22"/>
          <w:lang w:val="es-ES" w:eastAsia="es-ES"/>
        </w:rPr>
      </w:pPr>
    </w:p>
    <w:p w:rsidR="00667AA0" w:rsidRPr="00BD5CCC" w:rsidRDefault="00667AA0" w:rsidP="00667AA0">
      <w:pPr>
        <w:pStyle w:val="Prrafodelista"/>
        <w:spacing w:line="360" w:lineRule="auto"/>
        <w:ind w:right="567"/>
        <w:jc w:val="both"/>
        <w:rPr>
          <w:rFonts w:ascii="Palatino Linotype" w:hAnsi="Palatino Linotype"/>
          <w:i/>
          <w:color w:val="000000"/>
          <w:szCs w:val="22"/>
        </w:rPr>
      </w:pPr>
      <w:r w:rsidRPr="00BD5CCC">
        <w:rPr>
          <w:rFonts w:ascii="Palatino Linotype" w:hAnsi="Palatino Linotype"/>
          <w:i/>
          <w:color w:val="000000"/>
          <w:szCs w:val="22"/>
        </w:rPr>
        <w:t xml:space="preserve">“DESEO SABER EL FUNDAMENTO LEGAL PARA QUE EL AYUNTAMIENTO MUNICIPAL DE ATIZAPAN DE ZARAGOZA PRESTE LOS SERVICIOS FACULTATIVOS (POLICIA PRIVADA), SI EL AYUNTAMIENTO ESTA OBLIGADO A PRESTAR EL SERVICIO DE SEGURIDAD PUBLICA, NO PRIVADA, ADEMAS SABER CON QUE REGISTRO FEDERAL DE CONTRIBUYENTES ESTA FACTURANDO A QUIENES CONTRATAN DICHOS SERVICIOSY BAJO QUE REGIMEN FISCAL EMITE EL AYUNTAMIENTOS DICHAS FACTURAS. SE REQUIERE SABER COMO DECLARA ANTE EL SERVICIO DE ADMISTRACION TRIBUTARIA EL AYUNTAMIENTO </w:t>
      </w:r>
      <w:r w:rsidRPr="00BD5CCC">
        <w:rPr>
          <w:rFonts w:ascii="Palatino Linotype" w:hAnsi="Palatino Linotype"/>
          <w:i/>
          <w:color w:val="000000"/>
          <w:szCs w:val="22"/>
        </w:rPr>
        <w:lastRenderedPageBreak/>
        <w:t xml:space="preserve">MUNICIPAL LA PRESTACION DE SERVICIOS DE SEGURIDAD PRIVADA. SABER COMO ESTA CONTRATADO EL PERSONAL DE SEGURIDAD PRIVADA QUE PRESTA SERVICIOS FACULTATIVOS, SI ESTAN DADOS DE ALTA COMO POLICIAS MUNICIPÁLES SABER COMO SE OBTUVO LA LICENCIA DE PORTACION DE ARMA DE FUEGO DE DICHOS POLICIAS PRIVADOS, BAJO QUE LICENCIA FUE OBTENIDA Y CUALES SON LAS CARACTERISTICAS DE SUS ARMAS DE FUEGO, SI ESTAS SON DE USO EXCLUSIVO DE LAS FUERZAS ARMADAS” (Sic) </w:t>
      </w:r>
    </w:p>
    <w:p w:rsidR="00667AA0" w:rsidRPr="00BD5CCC" w:rsidRDefault="00667AA0" w:rsidP="00667AA0">
      <w:pPr>
        <w:pStyle w:val="Prrafodelista"/>
        <w:spacing w:line="360" w:lineRule="auto"/>
        <w:ind w:left="0"/>
        <w:jc w:val="both"/>
        <w:rPr>
          <w:rFonts w:ascii="Palatino Linotype" w:hAnsi="Palatino Linotype" w:cs="Arial"/>
          <w:szCs w:val="22"/>
          <w:lang w:val="es-ES" w:eastAsia="es-ES"/>
        </w:rPr>
      </w:pPr>
    </w:p>
    <w:p w:rsidR="00667AA0" w:rsidRPr="00BD5CCC" w:rsidRDefault="00667AA0" w:rsidP="00667AA0">
      <w:pPr>
        <w:pStyle w:val="Prrafodelista"/>
        <w:numPr>
          <w:ilvl w:val="0"/>
          <w:numId w:val="1"/>
        </w:numPr>
        <w:spacing w:line="360" w:lineRule="auto"/>
        <w:ind w:left="0" w:firstLine="0"/>
        <w:jc w:val="both"/>
        <w:rPr>
          <w:rFonts w:ascii="Palatino Linotype" w:hAnsi="Palatino Linotype" w:cs="Arial"/>
          <w:szCs w:val="22"/>
          <w:lang w:val="es-ES" w:eastAsia="es-ES"/>
        </w:rPr>
      </w:pPr>
      <w:r w:rsidRPr="00BD5CCC">
        <w:rPr>
          <w:rFonts w:ascii="Palatino Linotype" w:hAnsi="Palatino Linotype" w:cs="Arial"/>
          <w:szCs w:val="22"/>
          <w:lang w:val="es-ES" w:eastAsia="es-ES"/>
        </w:rPr>
        <w:t>Se señaló como modalidad de entrega a través de SAIMEX.</w:t>
      </w:r>
    </w:p>
    <w:p w:rsidR="00667AA0" w:rsidRPr="00BD5CCC" w:rsidRDefault="00667AA0" w:rsidP="00667AA0">
      <w:pPr>
        <w:pStyle w:val="Prrafodelista"/>
        <w:spacing w:line="360" w:lineRule="auto"/>
        <w:ind w:left="0"/>
        <w:jc w:val="both"/>
        <w:rPr>
          <w:rFonts w:ascii="Palatino Linotype" w:hAnsi="Palatino Linotype" w:cs="Arial"/>
          <w:szCs w:val="22"/>
          <w:lang w:val="es-ES" w:eastAsia="es-ES"/>
        </w:rPr>
      </w:pPr>
    </w:p>
    <w:p w:rsidR="00667AA0" w:rsidRPr="00BD5CCC" w:rsidRDefault="00667AA0" w:rsidP="00667AA0">
      <w:pPr>
        <w:pStyle w:val="Prrafodelista"/>
        <w:numPr>
          <w:ilvl w:val="0"/>
          <w:numId w:val="1"/>
        </w:numPr>
        <w:spacing w:line="360" w:lineRule="auto"/>
        <w:ind w:left="0" w:firstLine="0"/>
        <w:jc w:val="both"/>
        <w:rPr>
          <w:rFonts w:ascii="Palatino Linotype" w:hAnsi="Palatino Linotype" w:cs="Arial"/>
          <w:szCs w:val="22"/>
          <w:lang w:val="es-ES" w:eastAsia="es-ES"/>
        </w:rPr>
      </w:pPr>
      <w:r w:rsidRPr="00BD5CCC">
        <w:rPr>
          <w:rFonts w:ascii="Palatino Linotype" w:hAnsi="Palatino Linotype" w:cs="Arial"/>
          <w:szCs w:val="22"/>
          <w:lang w:val="es-ES" w:eastAsia="es-ES"/>
        </w:rPr>
        <w:t xml:space="preserve">El veintidós (22) de abril de dos mil veinticuatro, se realizó un requerimiento al servidor público habilitado. </w:t>
      </w:r>
    </w:p>
    <w:p w:rsidR="00667AA0" w:rsidRPr="00BD5CCC" w:rsidRDefault="00667AA0" w:rsidP="00667AA0">
      <w:pPr>
        <w:pStyle w:val="Prrafodelista"/>
        <w:rPr>
          <w:rFonts w:ascii="Palatino Linotype" w:hAnsi="Palatino Linotype" w:cs="Arial"/>
          <w:szCs w:val="22"/>
          <w:lang w:val="es-ES" w:eastAsia="es-ES"/>
        </w:rPr>
      </w:pPr>
    </w:p>
    <w:p w:rsidR="00667AA0" w:rsidRPr="00BD5CCC" w:rsidRDefault="00667AA0" w:rsidP="00667AA0">
      <w:pPr>
        <w:pStyle w:val="Prrafodelista"/>
        <w:numPr>
          <w:ilvl w:val="0"/>
          <w:numId w:val="1"/>
        </w:numPr>
        <w:spacing w:line="360" w:lineRule="auto"/>
        <w:ind w:left="0" w:firstLine="0"/>
        <w:jc w:val="both"/>
        <w:rPr>
          <w:rFonts w:ascii="Palatino Linotype" w:hAnsi="Palatino Linotype" w:cs="Arial"/>
          <w:szCs w:val="22"/>
          <w:lang w:val="es-ES" w:eastAsia="es-ES"/>
        </w:rPr>
      </w:pPr>
      <w:r w:rsidRPr="00BD5CCC">
        <w:rPr>
          <w:rFonts w:ascii="Palatino Linotype" w:hAnsi="Palatino Linotype" w:cs="Arial"/>
          <w:szCs w:val="22"/>
          <w:lang w:val="es-ES" w:eastAsia="es-ES"/>
        </w:rPr>
        <w:t>El quince (15) de mayo de dos mil veinticuatro, se notificó una prórroga para emitir respuesta a la solicitud de información, misma que no se realizó conforme a lo establecido en el artículo 163 de la Ley de Transparencia y Acceso a la Información Pública del Estado de México y Municipios:</w:t>
      </w:r>
    </w:p>
    <w:p w:rsidR="00667AA0" w:rsidRPr="00BD5CCC" w:rsidRDefault="00667AA0" w:rsidP="00667AA0">
      <w:pPr>
        <w:pStyle w:val="Prrafodelista"/>
        <w:rPr>
          <w:rFonts w:ascii="Palatino Linotype" w:hAnsi="Palatino Linotype" w:cs="Arial"/>
          <w:szCs w:val="22"/>
          <w:lang w:val="es-ES" w:eastAsia="es-ES"/>
        </w:rPr>
      </w:pPr>
    </w:p>
    <w:tbl>
      <w:tblPr>
        <w:tblW w:w="8693" w:type="dxa"/>
        <w:jc w:val="center"/>
        <w:tblCellSpacing w:w="0" w:type="dxa"/>
        <w:tblCellMar>
          <w:left w:w="0" w:type="dxa"/>
          <w:right w:w="0" w:type="dxa"/>
        </w:tblCellMar>
        <w:tblLook w:val="04A0" w:firstRow="1" w:lastRow="0" w:firstColumn="1" w:lastColumn="0" w:noHBand="0" w:noVBand="1"/>
      </w:tblPr>
      <w:tblGrid>
        <w:gridCol w:w="8693"/>
      </w:tblGrid>
      <w:tr w:rsidR="00667AA0" w:rsidRPr="00BD5CCC" w:rsidTr="00667AA0">
        <w:trPr>
          <w:trHeight w:val="501"/>
          <w:tblCellSpacing w:w="0" w:type="dxa"/>
          <w:jc w:val="center"/>
        </w:trPr>
        <w:tc>
          <w:tcPr>
            <w:tcW w:w="0" w:type="auto"/>
            <w:vAlign w:val="center"/>
            <w:hideMark/>
          </w:tcPr>
          <w:p w:rsidR="00667AA0" w:rsidRPr="00BD5CCC" w:rsidRDefault="00667AA0" w:rsidP="00667AA0">
            <w:pPr>
              <w:pStyle w:val="Prrafodelista"/>
              <w:spacing w:line="360" w:lineRule="auto"/>
              <w:jc w:val="right"/>
              <w:rPr>
                <w:rFonts w:ascii="Palatino Linotype" w:hAnsi="Palatino Linotype" w:cs="Arial"/>
                <w:i/>
                <w:szCs w:val="22"/>
                <w:lang w:eastAsia="es-ES"/>
              </w:rPr>
            </w:pPr>
            <w:r w:rsidRPr="00BD5CCC">
              <w:rPr>
                <w:rFonts w:ascii="Palatino Linotype" w:hAnsi="Palatino Linotype" w:cs="Arial"/>
                <w:i/>
                <w:szCs w:val="22"/>
                <w:lang w:eastAsia="es-ES"/>
              </w:rPr>
              <w:t>Atizapán de Zaragoza, México a 15 de Mayo de 2024</w:t>
            </w:r>
          </w:p>
        </w:tc>
      </w:tr>
      <w:tr w:rsidR="00667AA0" w:rsidRPr="00BD5CCC" w:rsidTr="00667AA0">
        <w:trPr>
          <w:trHeight w:val="501"/>
          <w:tblCellSpacing w:w="0" w:type="dxa"/>
          <w:jc w:val="center"/>
        </w:trPr>
        <w:tc>
          <w:tcPr>
            <w:tcW w:w="0" w:type="auto"/>
            <w:vAlign w:val="center"/>
            <w:hideMark/>
          </w:tcPr>
          <w:p w:rsidR="00667AA0" w:rsidRPr="00BD5CCC" w:rsidRDefault="00667AA0" w:rsidP="00667AA0">
            <w:pPr>
              <w:pStyle w:val="Prrafodelista"/>
              <w:spacing w:line="360" w:lineRule="auto"/>
              <w:jc w:val="right"/>
              <w:rPr>
                <w:rFonts w:ascii="Palatino Linotype" w:hAnsi="Palatino Linotype" w:cs="Arial"/>
                <w:i/>
                <w:szCs w:val="22"/>
                <w:lang w:eastAsia="es-ES"/>
              </w:rPr>
            </w:pPr>
            <w:r w:rsidRPr="00BD5CCC">
              <w:rPr>
                <w:rFonts w:ascii="Palatino Linotype" w:hAnsi="Palatino Linotype" w:cs="Arial"/>
                <w:i/>
                <w:szCs w:val="22"/>
                <w:lang w:eastAsia="es-ES"/>
              </w:rPr>
              <w:t>Nombre del solicitante: C. Solicitante</w:t>
            </w:r>
          </w:p>
        </w:tc>
      </w:tr>
      <w:tr w:rsidR="00667AA0" w:rsidRPr="00BD5CCC" w:rsidTr="00667AA0">
        <w:trPr>
          <w:trHeight w:val="501"/>
          <w:tblCellSpacing w:w="0" w:type="dxa"/>
          <w:jc w:val="center"/>
        </w:trPr>
        <w:tc>
          <w:tcPr>
            <w:tcW w:w="0" w:type="auto"/>
            <w:vAlign w:val="center"/>
            <w:hideMark/>
          </w:tcPr>
          <w:p w:rsidR="00667AA0" w:rsidRPr="00BD5CCC" w:rsidRDefault="00667AA0" w:rsidP="00667AA0">
            <w:pPr>
              <w:pStyle w:val="Prrafodelista"/>
              <w:spacing w:line="360" w:lineRule="auto"/>
              <w:jc w:val="right"/>
              <w:rPr>
                <w:rFonts w:ascii="Palatino Linotype" w:hAnsi="Palatino Linotype" w:cs="Arial"/>
                <w:i/>
                <w:szCs w:val="22"/>
                <w:lang w:eastAsia="es-ES"/>
              </w:rPr>
            </w:pPr>
            <w:r w:rsidRPr="00BD5CCC">
              <w:rPr>
                <w:rFonts w:ascii="Palatino Linotype" w:hAnsi="Palatino Linotype" w:cs="Arial"/>
                <w:i/>
                <w:szCs w:val="22"/>
                <w:lang w:eastAsia="es-ES"/>
              </w:rPr>
              <w:t>Folio de la solicitud: 00217/ATIZARA/IP/2024</w:t>
            </w:r>
          </w:p>
        </w:tc>
      </w:tr>
      <w:tr w:rsidR="00667AA0" w:rsidRPr="00BD5CCC" w:rsidTr="00667AA0">
        <w:trPr>
          <w:trHeight w:val="752"/>
          <w:tblCellSpacing w:w="0" w:type="dxa"/>
          <w:jc w:val="center"/>
        </w:trPr>
        <w:tc>
          <w:tcPr>
            <w:tcW w:w="0" w:type="auto"/>
            <w:vAlign w:val="center"/>
            <w:hideMark/>
          </w:tcPr>
          <w:p w:rsidR="00667AA0" w:rsidRPr="00BD5CCC" w:rsidRDefault="00667AA0" w:rsidP="00667AA0">
            <w:pPr>
              <w:pStyle w:val="Prrafodelista"/>
              <w:spacing w:line="360" w:lineRule="auto"/>
              <w:jc w:val="both"/>
              <w:rPr>
                <w:rFonts w:ascii="Palatino Linotype" w:hAnsi="Palatino Linotype" w:cs="Arial"/>
                <w:i/>
                <w:szCs w:val="22"/>
                <w:lang w:eastAsia="es-ES"/>
              </w:rPr>
            </w:pPr>
          </w:p>
        </w:tc>
      </w:tr>
      <w:tr w:rsidR="00667AA0" w:rsidRPr="00BD5CCC" w:rsidTr="00667AA0">
        <w:trPr>
          <w:trHeight w:val="250"/>
          <w:tblCellSpacing w:w="0" w:type="dxa"/>
          <w:jc w:val="center"/>
        </w:trPr>
        <w:tc>
          <w:tcPr>
            <w:tcW w:w="0" w:type="auto"/>
            <w:vAlign w:val="center"/>
            <w:hideMark/>
          </w:tcPr>
          <w:p w:rsidR="00667AA0" w:rsidRPr="00BD5CCC" w:rsidRDefault="00667AA0" w:rsidP="00667AA0">
            <w:pPr>
              <w:pStyle w:val="Prrafodelista"/>
              <w:spacing w:line="360" w:lineRule="auto"/>
              <w:jc w:val="both"/>
              <w:rPr>
                <w:rFonts w:ascii="Palatino Linotype" w:hAnsi="Palatino Linotype" w:cs="Arial"/>
                <w:i/>
                <w:szCs w:val="22"/>
                <w:lang w:eastAsia="es-ES"/>
              </w:rPr>
            </w:pPr>
            <w:r w:rsidRPr="00BD5CCC">
              <w:rPr>
                <w:rFonts w:ascii="Palatino Linotype" w:hAnsi="Palatino Linotype" w:cs="Arial"/>
                <w:i/>
                <w:szCs w:val="22"/>
                <w:lang w:eastAsia="es-ES"/>
              </w:rPr>
              <w:t xml:space="preserve">Con fundamento en el artículo 163 de la Ley de Transparencia y Acceso a la Información Pública del Estado de México y Municipios, se le hace de su conocimiento que el plazo de </w:t>
            </w:r>
            <w:r w:rsidRPr="00BD5CCC">
              <w:rPr>
                <w:rFonts w:ascii="Palatino Linotype" w:hAnsi="Palatino Linotype" w:cs="Arial"/>
                <w:i/>
                <w:szCs w:val="22"/>
                <w:lang w:eastAsia="es-ES"/>
              </w:rPr>
              <w:lastRenderedPageBreak/>
              <w:t>15 días hábiles para atender su solicitud de información ha sido prorrogado por 7 días en virtud de las siguientes razones:</w:t>
            </w:r>
          </w:p>
        </w:tc>
      </w:tr>
      <w:tr w:rsidR="00667AA0" w:rsidRPr="00BD5CCC" w:rsidTr="00667AA0">
        <w:trPr>
          <w:trHeight w:val="627"/>
          <w:tblCellSpacing w:w="0" w:type="dxa"/>
          <w:jc w:val="center"/>
        </w:trPr>
        <w:tc>
          <w:tcPr>
            <w:tcW w:w="0" w:type="auto"/>
            <w:vAlign w:val="center"/>
            <w:hideMark/>
          </w:tcPr>
          <w:p w:rsidR="00667AA0" w:rsidRPr="00BD5CCC" w:rsidRDefault="00667AA0" w:rsidP="00667AA0">
            <w:pPr>
              <w:pStyle w:val="Prrafodelista"/>
              <w:spacing w:line="360" w:lineRule="auto"/>
              <w:jc w:val="both"/>
              <w:rPr>
                <w:rFonts w:ascii="Palatino Linotype" w:hAnsi="Palatino Linotype" w:cs="Arial"/>
                <w:i/>
                <w:szCs w:val="22"/>
                <w:lang w:eastAsia="es-ES"/>
              </w:rPr>
            </w:pPr>
          </w:p>
        </w:tc>
      </w:tr>
      <w:tr w:rsidR="00667AA0" w:rsidRPr="00BD5CCC" w:rsidTr="00667AA0">
        <w:trPr>
          <w:trHeight w:val="250"/>
          <w:tblCellSpacing w:w="0" w:type="dxa"/>
          <w:jc w:val="center"/>
        </w:trPr>
        <w:tc>
          <w:tcPr>
            <w:tcW w:w="0" w:type="auto"/>
            <w:vAlign w:val="center"/>
            <w:hideMark/>
          </w:tcPr>
          <w:p w:rsidR="00667AA0" w:rsidRPr="00BD5CCC" w:rsidRDefault="00667AA0" w:rsidP="00667AA0">
            <w:pPr>
              <w:pStyle w:val="Prrafodelista"/>
              <w:spacing w:line="360" w:lineRule="auto"/>
              <w:jc w:val="both"/>
              <w:rPr>
                <w:rFonts w:ascii="Palatino Linotype" w:hAnsi="Palatino Linotype" w:cs="Arial"/>
                <w:i/>
                <w:szCs w:val="22"/>
                <w:lang w:eastAsia="es-ES"/>
              </w:rPr>
            </w:pPr>
            <w:r w:rsidRPr="00BD5CCC">
              <w:rPr>
                <w:rFonts w:ascii="Palatino Linotype" w:hAnsi="Palatino Linotype" w:cs="Arial"/>
                <w:i/>
                <w:szCs w:val="22"/>
                <w:lang w:eastAsia="es-ES"/>
              </w:rPr>
              <w:t>Con fundamento en los artículos 4, 23 fracción IV, 24 último párrafo, 53 fracción VI, 59, 160, 163 segundo párrafo y demás relativos de la Ley de Transparencia y Acceso a la Información Pública del Estado de México y Municipios, se solicita la prórroga para la entrega de la información, ya que la entrega de la misma requiere un procesamiento , máxime de señalar que el número de solicitudes recibidas por esta Dependencia retrasa la búsqueda de la información, por lo que resulta necesaria la ampliación de plazo legal para la correcta atención de dicha solicitud.</w:t>
            </w:r>
          </w:p>
        </w:tc>
      </w:tr>
      <w:tr w:rsidR="00667AA0" w:rsidRPr="00BD5CCC" w:rsidTr="00667AA0">
        <w:trPr>
          <w:trHeight w:val="627"/>
          <w:tblCellSpacing w:w="0" w:type="dxa"/>
          <w:jc w:val="center"/>
        </w:trPr>
        <w:tc>
          <w:tcPr>
            <w:tcW w:w="0" w:type="auto"/>
            <w:vAlign w:val="center"/>
            <w:hideMark/>
          </w:tcPr>
          <w:p w:rsidR="00667AA0" w:rsidRPr="00BD5CCC" w:rsidRDefault="00667AA0" w:rsidP="00667AA0">
            <w:pPr>
              <w:pStyle w:val="Prrafodelista"/>
              <w:spacing w:line="360" w:lineRule="auto"/>
              <w:jc w:val="both"/>
              <w:rPr>
                <w:rFonts w:ascii="Palatino Linotype" w:hAnsi="Palatino Linotype" w:cs="Arial"/>
                <w:i/>
                <w:szCs w:val="22"/>
                <w:lang w:eastAsia="es-ES"/>
              </w:rPr>
            </w:pPr>
          </w:p>
        </w:tc>
      </w:tr>
      <w:tr w:rsidR="00667AA0" w:rsidRPr="00BD5CCC" w:rsidTr="00667AA0">
        <w:trPr>
          <w:trHeight w:val="250"/>
          <w:tblCellSpacing w:w="0" w:type="dxa"/>
          <w:jc w:val="center"/>
        </w:trPr>
        <w:tc>
          <w:tcPr>
            <w:tcW w:w="0" w:type="auto"/>
            <w:vAlign w:val="center"/>
            <w:hideMark/>
          </w:tcPr>
          <w:p w:rsidR="00667AA0" w:rsidRPr="00BD5CCC" w:rsidRDefault="00667AA0" w:rsidP="00667AA0">
            <w:pPr>
              <w:pStyle w:val="Prrafodelista"/>
              <w:spacing w:line="360" w:lineRule="auto"/>
              <w:jc w:val="both"/>
              <w:rPr>
                <w:rFonts w:ascii="Palatino Linotype" w:hAnsi="Palatino Linotype" w:cs="Arial"/>
                <w:i/>
                <w:szCs w:val="22"/>
                <w:lang w:eastAsia="es-ES"/>
              </w:rPr>
            </w:pPr>
          </w:p>
        </w:tc>
      </w:tr>
      <w:tr w:rsidR="00667AA0" w:rsidRPr="00BD5CCC" w:rsidTr="00667AA0">
        <w:trPr>
          <w:trHeight w:val="250"/>
          <w:tblCellSpacing w:w="0" w:type="dxa"/>
          <w:jc w:val="center"/>
        </w:trPr>
        <w:tc>
          <w:tcPr>
            <w:tcW w:w="0" w:type="auto"/>
            <w:vAlign w:val="center"/>
            <w:hideMark/>
          </w:tcPr>
          <w:p w:rsidR="00667AA0" w:rsidRPr="00BD5CCC" w:rsidRDefault="00667AA0" w:rsidP="00667AA0">
            <w:pPr>
              <w:pStyle w:val="Prrafodelista"/>
              <w:spacing w:line="360" w:lineRule="auto"/>
              <w:jc w:val="both"/>
              <w:rPr>
                <w:rFonts w:ascii="Palatino Linotype" w:hAnsi="Palatino Linotype" w:cs="Arial"/>
                <w:i/>
                <w:szCs w:val="22"/>
                <w:lang w:eastAsia="es-ES"/>
              </w:rPr>
            </w:pPr>
            <w:r w:rsidRPr="00BD5CCC">
              <w:rPr>
                <w:rFonts w:ascii="Palatino Linotype" w:hAnsi="Palatino Linotype" w:cs="Arial"/>
                <w:i/>
                <w:szCs w:val="22"/>
                <w:lang w:eastAsia="es-ES"/>
              </w:rPr>
              <w:t>LIC. SERGIO PÉREZ SUÁREZ</w:t>
            </w:r>
          </w:p>
        </w:tc>
      </w:tr>
      <w:tr w:rsidR="00667AA0" w:rsidRPr="00BD5CCC" w:rsidTr="00667AA0">
        <w:trPr>
          <w:trHeight w:val="250"/>
          <w:tblCellSpacing w:w="0" w:type="dxa"/>
          <w:jc w:val="center"/>
        </w:trPr>
        <w:tc>
          <w:tcPr>
            <w:tcW w:w="0" w:type="auto"/>
            <w:vAlign w:val="center"/>
            <w:hideMark/>
          </w:tcPr>
          <w:p w:rsidR="00667AA0" w:rsidRPr="00BD5CCC" w:rsidRDefault="00667AA0" w:rsidP="00667AA0">
            <w:pPr>
              <w:pStyle w:val="Prrafodelista"/>
              <w:spacing w:line="360" w:lineRule="auto"/>
              <w:jc w:val="both"/>
              <w:rPr>
                <w:rFonts w:ascii="Palatino Linotype" w:hAnsi="Palatino Linotype" w:cs="Arial"/>
                <w:i/>
                <w:szCs w:val="22"/>
                <w:lang w:eastAsia="es-ES"/>
              </w:rPr>
            </w:pPr>
            <w:r w:rsidRPr="00BD5CCC">
              <w:rPr>
                <w:rFonts w:ascii="Palatino Linotype" w:hAnsi="Palatino Linotype" w:cs="Arial"/>
                <w:b/>
                <w:bCs/>
                <w:i/>
                <w:szCs w:val="22"/>
                <w:lang w:eastAsia="es-ES"/>
              </w:rPr>
              <w:t>Responsable de la Unidad de Transparencia</w:t>
            </w:r>
          </w:p>
        </w:tc>
      </w:tr>
    </w:tbl>
    <w:p w:rsidR="00667AA0" w:rsidRPr="00BD5CCC" w:rsidRDefault="00667AA0" w:rsidP="00667AA0">
      <w:pPr>
        <w:pStyle w:val="Prrafodelista"/>
        <w:spacing w:line="360" w:lineRule="auto"/>
        <w:ind w:left="0"/>
        <w:jc w:val="both"/>
        <w:rPr>
          <w:rFonts w:ascii="Palatino Linotype" w:hAnsi="Palatino Linotype" w:cs="Arial"/>
          <w:szCs w:val="22"/>
          <w:lang w:val="es-ES" w:eastAsia="es-ES"/>
        </w:rPr>
      </w:pPr>
    </w:p>
    <w:p w:rsidR="00667AA0" w:rsidRPr="00BD5CCC" w:rsidRDefault="00667AA0" w:rsidP="00667AA0">
      <w:pPr>
        <w:pStyle w:val="Prrafodelista"/>
        <w:numPr>
          <w:ilvl w:val="0"/>
          <w:numId w:val="1"/>
        </w:numPr>
        <w:spacing w:line="360" w:lineRule="auto"/>
        <w:ind w:left="0" w:firstLine="0"/>
        <w:jc w:val="both"/>
        <w:rPr>
          <w:rFonts w:ascii="Palatino Linotype" w:hAnsi="Palatino Linotype" w:cs="Arial"/>
          <w:szCs w:val="22"/>
          <w:lang w:val="es-ES" w:eastAsia="es-ES"/>
        </w:rPr>
      </w:pPr>
      <w:r w:rsidRPr="00BD5CCC">
        <w:rPr>
          <w:rFonts w:ascii="Palatino Linotype" w:hAnsi="Palatino Linotype" w:cs="Arial"/>
          <w:szCs w:val="22"/>
          <w:lang w:val="es-ES" w:eastAsia="es-ES"/>
        </w:rPr>
        <w:t>El veinticuatro (24) de mayo de dos mil veinticuatro, El Sujeto Obligado dio respuesta a la solicitud de información en los siguientes términos:</w:t>
      </w:r>
    </w:p>
    <w:p w:rsidR="00667AA0" w:rsidRPr="00BD5CCC" w:rsidRDefault="00667AA0" w:rsidP="00667AA0">
      <w:pPr>
        <w:pStyle w:val="Prrafodelista"/>
        <w:spacing w:line="360" w:lineRule="auto"/>
        <w:ind w:left="0"/>
        <w:jc w:val="both"/>
        <w:rPr>
          <w:rFonts w:ascii="Palatino Linotype" w:hAnsi="Palatino Linotype" w:cs="Arial"/>
          <w:szCs w:val="22"/>
          <w:lang w:val="es-ES" w:eastAsia="es-ES"/>
        </w:rPr>
      </w:pPr>
    </w:p>
    <w:tbl>
      <w:tblPr>
        <w:tblW w:w="7380" w:type="dxa"/>
        <w:jc w:val="center"/>
        <w:tblCellSpacing w:w="0" w:type="dxa"/>
        <w:tblCellMar>
          <w:left w:w="0" w:type="dxa"/>
          <w:right w:w="0" w:type="dxa"/>
        </w:tblCellMar>
        <w:tblLook w:val="04A0" w:firstRow="1" w:lastRow="0" w:firstColumn="1" w:lastColumn="0" w:noHBand="0" w:noVBand="1"/>
      </w:tblPr>
      <w:tblGrid>
        <w:gridCol w:w="7380"/>
      </w:tblGrid>
      <w:tr w:rsidR="00667AA0" w:rsidRPr="00BD5CCC" w:rsidTr="00667AA0">
        <w:trPr>
          <w:trHeight w:val="634"/>
          <w:tblCellSpacing w:w="0" w:type="dxa"/>
          <w:jc w:val="center"/>
        </w:trPr>
        <w:tc>
          <w:tcPr>
            <w:tcW w:w="0" w:type="auto"/>
            <w:vAlign w:val="center"/>
            <w:hideMark/>
          </w:tcPr>
          <w:p w:rsidR="00667AA0" w:rsidRPr="00BD5CCC" w:rsidRDefault="00667AA0" w:rsidP="00667AA0">
            <w:pPr>
              <w:jc w:val="right"/>
              <w:rPr>
                <w:rFonts w:ascii="Palatino Linotype" w:hAnsi="Palatino Linotype"/>
                <w:i/>
                <w:sz w:val="22"/>
                <w:szCs w:val="22"/>
              </w:rPr>
            </w:pPr>
            <w:r w:rsidRPr="00BD5CCC">
              <w:rPr>
                <w:rFonts w:ascii="Palatino Linotype" w:hAnsi="Palatino Linotype"/>
                <w:i/>
                <w:sz w:val="22"/>
                <w:szCs w:val="22"/>
              </w:rPr>
              <w:t>“Atizapán de Zaragoza, México a 24 de Mayo de 2024</w:t>
            </w:r>
          </w:p>
        </w:tc>
      </w:tr>
      <w:tr w:rsidR="00667AA0" w:rsidRPr="00BD5CCC" w:rsidTr="00667AA0">
        <w:trPr>
          <w:trHeight w:val="634"/>
          <w:tblCellSpacing w:w="0" w:type="dxa"/>
          <w:jc w:val="center"/>
        </w:trPr>
        <w:tc>
          <w:tcPr>
            <w:tcW w:w="0" w:type="auto"/>
            <w:vAlign w:val="center"/>
            <w:hideMark/>
          </w:tcPr>
          <w:p w:rsidR="00667AA0" w:rsidRPr="00BD5CCC" w:rsidRDefault="00667AA0" w:rsidP="00667AA0">
            <w:pPr>
              <w:jc w:val="right"/>
              <w:rPr>
                <w:rFonts w:ascii="Palatino Linotype" w:hAnsi="Palatino Linotype"/>
                <w:i/>
                <w:sz w:val="22"/>
                <w:szCs w:val="22"/>
              </w:rPr>
            </w:pPr>
            <w:r w:rsidRPr="00BD5CCC">
              <w:rPr>
                <w:rFonts w:ascii="Palatino Linotype" w:hAnsi="Palatino Linotype"/>
                <w:i/>
                <w:sz w:val="22"/>
                <w:szCs w:val="22"/>
              </w:rPr>
              <w:t>Nombre del solicitante: C. Solicitante</w:t>
            </w:r>
          </w:p>
        </w:tc>
      </w:tr>
      <w:tr w:rsidR="00667AA0" w:rsidRPr="00BD5CCC" w:rsidTr="00667AA0">
        <w:trPr>
          <w:trHeight w:val="634"/>
          <w:tblCellSpacing w:w="0" w:type="dxa"/>
          <w:jc w:val="center"/>
        </w:trPr>
        <w:tc>
          <w:tcPr>
            <w:tcW w:w="0" w:type="auto"/>
            <w:vAlign w:val="center"/>
            <w:hideMark/>
          </w:tcPr>
          <w:p w:rsidR="00667AA0" w:rsidRPr="00BD5CCC" w:rsidRDefault="00667AA0" w:rsidP="00667AA0">
            <w:pPr>
              <w:jc w:val="right"/>
              <w:rPr>
                <w:rFonts w:ascii="Palatino Linotype" w:hAnsi="Palatino Linotype"/>
                <w:i/>
                <w:sz w:val="22"/>
                <w:szCs w:val="22"/>
              </w:rPr>
            </w:pPr>
            <w:r w:rsidRPr="00BD5CCC">
              <w:rPr>
                <w:rFonts w:ascii="Palatino Linotype" w:hAnsi="Palatino Linotype"/>
                <w:i/>
                <w:sz w:val="22"/>
                <w:szCs w:val="22"/>
              </w:rPr>
              <w:t>Folio de la solicitud: 00217/ATIZARA/IP/2024</w:t>
            </w:r>
          </w:p>
        </w:tc>
      </w:tr>
      <w:tr w:rsidR="00667AA0" w:rsidRPr="00BD5CCC" w:rsidTr="00667AA0">
        <w:trPr>
          <w:trHeight w:val="951"/>
          <w:tblCellSpacing w:w="0" w:type="dxa"/>
          <w:jc w:val="center"/>
        </w:trPr>
        <w:tc>
          <w:tcPr>
            <w:tcW w:w="0" w:type="auto"/>
            <w:vAlign w:val="center"/>
            <w:hideMark/>
          </w:tcPr>
          <w:p w:rsidR="00667AA0" w:rsidRPr="00BD5CCC" w:rsidRDefault="00667AA0" w:rsidP="00667AA0">
            <w:pPr>
              <w:jc w:val="right"/>
              <w:rPr>
                <w:rFonts w:ascii="Palatino Linotype" w:hAnsi="Palatino Linotype"/>
                <w:i/>
                <w:sz w:val="22"/>
                <w:szCs w:val="22"/>
              </w:rPr>
            </w:pPr>
          </w:p>
        </w:tc>
      </w:tr>
      <w:tr w:rsidR="00667AA0" w:rsidRPr="00BD5CCC" w:rsidTr="00667AA0">
        <w:trPr>
          <w:trHeight w:val="317"/>
          <w:tblCellSpacing w:w="0" w:type="dxa"/>
          <w:jc w:val="center"/>
        </w:trPr>
        <w:tc>
          <w:tcPr>
            <w:tcW w:w="0" w:type="auto"/>
            <w:vAlign w:val="center"/>
            <w:hideMark/>
          </w:tcPr>
          <w:p w:rsidR="00667AA0" w:rsidRPr="00BD5CCC" w:rsidRDefault="00667AA0" w:rsidP="00667AA0">
            <w:pPr>
              <w:rPr>
                <w:rFonts w:ascii="Palatino Linotype" w:hAnsi="Palatino Linotype"/>
                <w:i/>
                <w:sz w:val="22"/>
                <w:szCs w:val="22"/>
              </w:rPr>
            </w:pPr>
            <w:r w:rsidRPr="00BD5CCC">
              <w:rPr>
                <w:rFonts w:ascii="Palatino Linotype" w:hAnsi="Palatino Linotype"/>
                <w:i/>
                <w:sz w:val="22"/>
                <w:szCs w:val="22"/>
              </w:rPr>
              <w:t xml:space="preserve">En respuesta a la solicitud recibida, nos permitimos hacer de su conocimiento que con fundamento en el artículo 53, Fracciones: II, V y VI de la Ley de Transparencia </w:t>
            </w:r>
            <w:r w:rsidRPr="00BD5CCC">
              <w:rPr>
                <w:rFonts w:ascii="Palatino Linotype" w:hAnsi="Palatino Linotype"/>
                <w:i/>
                <w:sz w:val="22"/>
                <w:szCs w:val="22"/>
              </w:rPr>
              <w:lastRenderedPageBreak/>
              <w:t>y Acceso a la Información Pública del Estado de México y Municipios, le contestamos que:</w:t>
            </w:r>
          </w:p>
        </w:tc>
      </w:tr>
      <w:tr w:rsidR="00667AA0" w:rsidRPr="00BD5CCC" w:rsidTr="00667AA0">
        <w:trPr>
          <w:trHeight w:val="317"/>
          <w:tblCellSpacing w:w="0" w:type="dxa"/>
          <w:jc w:val="center"/>
        </w:trPr>
        <w:tc>
          <w:tcPr>
            <w:tcW w:w="0" w:type="auto"/>
            <w:vAlign w:val="center"/>
            <w:hideMark/>
          </w:tcPr>
          <w:p w:rsidR="00667AA0" w:rsidRPr="00BD5CCC" w:rsidRDefault="00667AA0" w:rsidP="00667AA0">
            <w:pPr>
              <w:rPr>
                <w:rFonts w:ascii="Palatino Linotype" w:hAnsi="Palatino Linotype"/>
                <w:i/>
                <w:sz w:val="22"/>
                <w:szCs w:val="22"/>
              </w:rPr>
            </w:pPr>
            <w:r w:rsidRPr="00BD5CCC">
              <w:rPr>
                <w:rFonts w:ascii="Palatino Linotype" w:hAnsi="Palatino Linotype"/>
                <w:i/>
                <w:sz w:val="22"/>
                <w:szCs w:val="22"/>
              </w:rPr>
              <w:lastRenderedPageBreak/>
              <w:t>se anexa oficio de respuesta se anexa oficio de respuesta SE ANEXA RESPUESTA</w:t>
            </w:r>
          </w:p>
        </w:tc>
      </w:tr>
      <w:tr w:rsidR="00667AA0" w:rsidRPr="00BD5CCC" w:rsidTr="00667AA0">
        <w:trPr>
          <w:trHeight w:val="317"/>
          <w:tblCellSpacing w:w="0" w:type="dxa"/>
          <w:jc w:val="center"/>
        </w:trPr>
        <w:tc>
          <w:tcPr>
            <w:tcW w:w="0" w:type="auto"/>
            <w:vAlign w:val="center"/>
            <w:hideMark/>
          </w:tcPr>
          <w:p w:rsidR="00667AA0" w:rsidRPr="00BD5CCC" w:rsidRDefault="00667AA0" w:rsidP="00667AA0">
            <w:pPr>
              <w:rPr>
                <w:rFonts w:ascii="Palatino Linotype" w:hAnsi="Palatino Linotype"/>
                <w:i/>
                <w:sz w:val="22"/>
                <w:szCs w:val="22"/>
              </w:rPr>
            </w:pPr>
          </w:p>
        </w:tc>
      </w:tr>
      <w:tr w:rsidR="00667AA0" w:rsidRPr="00BD5CCC" w:rsidTr="00667AA0">
        <w:trPr>
          <w:trHeight w:val="317"/>
          <w:tblCellSpacing w:w="0" w:type="dxa"/>
          <w:jc w:val="center"/>
        </w:trPr>
        <w:tc>
          <w:tcPr>
            <w:tcW w:w="0" w:type="auto"/>
            <w:vAlign w:val="center"/>
            <w:hideMark/>
          </w:tcPr>
          <w:p w:rsidR="00667AA0" w:rsidRPr="00BD5CCC" w:rsidRDefault="00667AA0" w:rsidP="00667AA0">
            <w:pPr>
              <w:rPr>
                <w:rFonts w:ascii="Palatino Linotype" w:hAnsi="Palatino Linotype"/>
                <w:i/>
                <w:sz w:val="22"/>
                <w:szCs w:val="22"/>
              </w:rPr>
            </w:pPr>
            <w:r w:rsidRPr="00BD5CCC">
              <w:rPr>
                <w:rFonts w:ascii="Palatino Linotype" w:hAnsi="Palatino Linotype"/>
                <w:i/>
                <w:sz w:val="22"/>
                <w:szCs w:val="22"/>
              </w:rPr>
              <w:t>ATENTAMENTE</w:t>
            </w:r>
          </w:p>
        </w:tc>
      </w:tr>
      <w:tr w:rsidR="00667AA0" w:rsidRPr="00BD5CCC" w:rsidTr="00667AA0">
        <w:trPr>
          <w:trHeight w:val="475"/>
          <w:tblCellSpacing w:w="0" w:type="dxa"/>
          <w:jc w:val="center"/>
        </w:trPr>
        <w:tc>
          <w:tcPr>
            <w:tcW w:w="0" w:type="auto"/>
            <w:vAlign w:val="center"/>
            <w:hideMark/>
          </w:tcPr>
          <w:p w:rsidR="00667AA0" w:rsidRPr="00BD5CCC" w:rsidRDefault="00667AA0" w:rsidP="00667AA0">
            <w:pPr>
              <w:rPr>
                <w:rFonts w:ascii="Palatino Linotype" w:hAnsi="Palatino Linotype"/>
                <w:i/>
                <w:sz w:val="22"/>
                <w:szCs w:val="22"/>
              </w:rPr>
            </w:pPr>
          </w:p>
        </w:tc>
      </w:tr>
      <w:tr w:rsidR="00667AA0" w:rsidRPr="00BD5CCC" w:rsidTr="00667AA0">
        <w:trPr>
          <w:trHeight w:val="317"/>
          <w:tblCellSpacing w:w="0" w:type="dxa"/>
          <w:jc w:val="center"/>
        </w:trPr>
        <w:tc>
          <w:tcPr>
            <w:tcW w:w="0" w:type="auto"/>
            <w:vAlign w:val="center"/>
            <w:hideMark/>
          </w:tcPr>
          <w:p w:rsidR="00667AA0" w:rsidRPr="00BD5CCC" w:rsidRDefault="00667AA0" w:rsidP="00667AA0">
            <w:pPr>
              <w:rPr>
                <w:rFonts w:ascii="Palatino Linotype" w:hAnsi="Palatino Linotype"/>
                <w:i/>
                <w:sz w:val="22"/>
                <w:szCs w:val="22"/>
              </w:rPr>
            </w:pPr>
            <w:r w:rsidRPr="00BD5CCC">
              <w:rPr>
                <w:rFonts w:ascii="Palatino Linotype" w:hAnsi="Palatino Linotype"/>
                <w:i/>
                <w:sz w:val="22"/>
                <w:szCs w:val="22"/>
              </w:rPr>
              <w:t>LIC. SERGIO PÉREZ SUÁREZ</w:t>
            </w:r>
          </w:p>
        </w:tc>
      </w:tr>
    </w:tbl>
    <w:p w:rsidR="00667AA0" w:rsidRPr="00BD5CCC" w:rsidRDefault="00667AA0" w:rsidP="00667AA0">
      <w:pPr>
        <w:spacing w:line="360" w:lineRule="auto"/>
        <w:jc w:val="both"/>
        <w:rPr>
          <w:rFonts w:ascii="Palatino Linotype" w:hAnsi="Palatino Linotype" w:cs="Arial"/>
          <w:sz w:val="22"/>
          <w:szCs w:val="22"/>
          <w:lang w:val="es-ES" w:eastAsia="es-ES"/>
        </w:rPr>
      </w:pPr>
    </w:p>
    <w:p w:rsidR="00667AA0" w:rsidRPr="00BD5CCC" w:rsidRDefault="00667AA0" w:rsidP="00667AA0">
      <w:pPr>
        <w:pStyle w:val="Prrafodelista"/>
        <w:numPr>
          <w:ilvl w:val="0"/>
          <w:numId w:val="2"/>
        </w:numPr>
        <w:spacing w:line="360" w:lineRule="auto"/>
        <w:jc w:val="both"/>
        <w:rPr>
          <w:rFonts w:ascii="Palatino Linotype" w:hAnsi="Palatino Linotype" w:cs="Arial"/>
          <w:szCs w:val="22"/>
          <w:lang w:val="es-ES" w:eastAsia="es-ES"/>
        </w:rPr>
      </w:pPr>
      <w:r w:rsidRPr="00BD5CCC">
        <w:rPr>
          <w:rFonts w:ascii="Palatino Linotype" w:hAnsi="Palatino Linotype" w:cs="Arial"/>
          <w:szCs w:val="22"/>
          <w:lang w:val="es-ES" w:eastAsia="es-ES"/>
        </w:rPr>
        <w:t>A la respuesta se adjuntaron los archivos que se describen enseguida:</w:t>
      </w:r>
    </w:p>
    <w:p w:rsidR="00847410" w:rsidRPr="00BD5CCC" w:rsidRDefault="00847410" w:rsidP="00847410">
      <w:pPr>
        <w:pStyle w:val="Prrafodelista"/>
        <w:spacing w:line="360" w:lineRule="auto"/>
        <w:jc w:val="both"/>
        <w:rPr>
          <w:rFonts w:ascii="Palatino Linotype" w:hAnsi="Palatino Linotype" w:cs="Arial"/>
          <w:szCs w:val="22"/>
          <w:lang w:val="es-ES" w:eastAsia="es-ES"/>
        </w:rPr>
      </w:pPr>
    </w:p>
    <w:p w:rsidR="00847410" w:rsidRPr="00BD5CCC" w:rsidRDefault="00A83FCD" w:rsidP="00847410">
      <w:pPr>
        <w:pStyle w:val="Prrafodelista"/>
        <w:numPr>
          <w:ilvl w:val="0"/>
          <w:numId w:val="5"/>
        </w:numPr>
        <w:spacing w:line="360" w:lineRule="auto"/>
        <w:jc w:val="both"/>
        <w:rPr>
          <w:rFonts w:ascii="Palatino Linotype" w:hAnsi="Palatino Linotype" w:cs="Arial"/>
          <w:szCs w:val="22"/>
          <w:lang w:val="es-ES" w:eastAsia="es-ES"/>
        </w:rPr>
      </w:pPr>
      <w:hyperlink r:id="rId7" w:tgtFrame="_blank" w:history="1">
        <w:r w:rsidR="00847410" w:rsidRPr="00BD5CCC">
          <w:rPr>
            <w:rStyle w:val="Hipervnculo"/>
            <w:rFonts w:ascii="Palatino Linotype" w:hAnsi="Palatino Linotype" w:cs="Arial"/>
            <w:b/>
            <w:bCs/>
            <w:color w:val="auto"/>
            <w:szCs w:val="22"/>
          </w:rPr>
          <w:t>00217-1822-2024.pdf</w:t>
        </w:r>
      </w:hyperlink>
      <w:r w:rsidR="00847410" w:rsidRPr="00BD5CCC">
        <w:rPr>
          <w:rFonts w:ascii="Palatino Linotype" w:hAnsi="Palatino Linotype"/>
          <w:szCs w:val="22"/>
        </w:rPr>
        <w:t xml:space="preserve">: oficio número TM/STE/1822/2024 de fecha dos de mayo de dos mil veinticuatro, suscrito por el Tesorero Municipal y dirigido al Titular de la Unidad de Transparencia, en el que le sugirió dirigir su solicitud a la Dirección de Seguridad Pública y a la Dirección de Administración. </w:t>
      </w:r>
    </w:p>
    <w:p w:rsidR="00847410" w:rsidRPr="00BD5CCC" w:rsidRDefault="00847410" w:rsidP="00847410">
      <w:pPr>
        <w:pStyle w:val="Prrafodelista"/>
        <w:spacing w:line="360" w:lineRule="auto"/>
        <w:ind w:left="1440"/>
        <w:jc w:val="both"/>
        <w:rPr>
          <w:rFonts w:ascii="Palatino Linotype" w:hAnsi="Palatino Linotype" w:cs="Arial"/>
          <w:szCs w:val="22"/>
          <w:lang w:val="es-ES" w:eastAsia="es-ES"/>
        </w:rPr>
      </w:pPr>
    </w:p>
    <w:p w:rsidR="00847410" w:rsidRPr="00BD5CCC" w:rsidRDefault="00A83FCD" w:rsidP="00847410">
      <w:pPr>
        <w:pStyle w:val="Prrafodelista"/>
        <w:numPr>
          <w:ilvl w:val="0"/>
          <w:numId w:val="5"/>
        </w:numPr>
        <w:spacing w:line="360" w:lineRule="auto"/>
        <w:jc w:val="both"/>
        <w:rPr>
          <w:rFonts w:ascii="Palatino Linotype" w:hAnsi="Palatino Linotype" w:cs="Arial"/>
          <w:szCs w:val="22"/>
          <w:lang w:val="es-ES" w:eastAsia="es-ES"/>
        </w:rPr>
      </w:pPr>
      <w:hyperlink r:id="rId8" w:tgtFrame="_blank" w:history="1">
        <w:r w:rsidR="00847410" w:rsidRPr="00BD5CCC">
          <w:rPr>
            <w:rStyle w:val="Hipervnculo"/>
            <w:rFonts w:ascii="Palatino Linotype" w:hAnsi="Palatino Linotype" w:cs="Arial"/>
            <w:b/>
            <w:bCs/>
            <w:color w:val="auto"/>
            <w:szCs w:val="22"/>
          </w:rPr>
          <w:t>solicitud 217.pdf</w:t>
        </w:r>
      </w:hyperlink>
      <w:r w:rsidR="00847410" w:rsidRPr="00BD5CCC">
        <w:rPr>
          <w:rFonts w:ascii="Palatino Linotype" w:hAnsi="Palatino Linotype"/>
          <w:szCs w:val="22"/>
        </w:rPr>
        <w:t>: archivo en el que se advierten tres oficios que se describen enseguida:</w:t>
      </w:r>
    </w:p>
    <w:p w:rsidR="00847410" w:rsidRPr="00BD5CCC" w:rsidRDefault="00847410" w:rsidP="00847410">
      <w:pPr>
        <w:pStyle w:val="Prrafodelista"/>
        <w:rPr>
          <w:rFonts w:ascii="Palatino Linotype" w:hAnsi="Palatino Linotype" w:cs="Arial"/>
          <w:szCs w:val="22"/>
          <w:lang w:val="es-ES" w:eastAsia="es-ES"/>
        </w:rPr>
      </w:pPr>
    </w:p>
    <w:p w:rsidR="00847410" w:rsidRPr="00BD5CCC" w:rsidRDefault="00847410" w:rsidP="00847410">
      <w:pPr>
        <w:pStyle w:val="Prrafodelista"/>
        <w:numPr>
          <w:ilvl w:val="0"/>
          <w:numId w:val="6"/>
        </w:numPr>
        <w:spacing w:line="360" w:lineRule="auto"/>
        <w:jc w:val="both"/>
        <w:rPr>
          <w:rFonts w:ascii="Palatino Linotype" w:hAnsi="Palatino Linotype" w:cs="Arial"/>
          <w:szCs w:val="22"/>
          <w:lang w:val="es-ES" w:eastAsia="es-ES"/>
        </w:rPr>
      </w:pPr>
      <w:r w:rsidRPr="00BD5CCC">
        <w:rPr>
          <w:rFonts w:ascii="Palatino Linotype" w:hAnsi="Palatino Linotype" w:cs="Arial"/>
          <w:szCs w:val="22"/>
          <w:lang w:val="es-ES" w:eastAsia="es-ES"/>
        </w:rPr>
        <w:t xml:space="preserve">Oficio número DSPYTM/SJ/843/2024 de fecha nueve de mayo de dos mil veinticuatro, suscrito por el Director de Seguridad Pública y Tránsito Municipal, en el que señaló que la Dirección cuenta con una Unidad de Servicios Facultativos, que está en proceso de ser modificada a Unidad de Servicios de Vigilancia Especial, asimismo señaló que se adjuntan dos oficios de respuesta. </w:t>
      </w:r>
    </w:p>
    <w:p w:rsidR="00847410" w:rsidRPr="00BD5CCC" w:rsidRDefault="00847410" w:rsidP="00847410">
      <w:pPr>
        <w:pStyle w:val="Prrafodelista"/>
        <w:numPr>
          <w:ilvl w:val="0"/>
          <w:numId w:val="6"/>
        </w:numPr>
        <w:spacing w:line="360" w:lineRule="auto"/>
        <w:jc w:val="both"/>
        <w:rPr>
          <w:rFonts w:ascii="Palatino Linotype" w:hAnsi="Palatino Linotype" w:cs="Arial"/>
          <w:szCs w:val="22"/>
          <w:lang w:val="es-ES" w:eastAsia="es-ES"/>
        </w:rPr>
      </w:pPr>
      <w:r w:rsidRPr="00BD5CCC">
        <w:rPr>
          <w:rFonts w:ascii="Palatino Linotype" w:hAnsi="Palatino Linotype" w:cs="Arial"/>
          <w:szCs w:val="22"/>
          <w:lang w:val="es-ES" w:eastAsia="es-ES"/>
        </w:rPr>
        <w:t>Oficio número DSPYTM/S</w:t>
      </w:r>
      <w:r w:rsidR="00D61BCB" w:rsidRPr="00BD5CCC">
        <w:rPr>
          <w:rFonts w:ascii="Palatino Linotype" w:hAnsi="Palatino Linotype" w:cs="Arial"/>
          <w:szCs w:val="22"/>
          <w:lang w:val="es-ES" w:eastAsia="es-ES"/>
        </w:rPr>
        <w:t xml:space="preserve">J/EJ/2588/2024 de fecha siete de mayo de dos mil veinticuatro, suscrito por el Titular de la Unidad de Servicios Facultativos en el que señaló, </w:t>
      </w:r>
      <w:r w:rsidR="00D61BCB" w:rsidRPr="00BD5CCC">
        <w:rPr>
          <w:rFonts w:ascii="Palatino Linotype" w:hAnsi="Palatino Linotype" w:cs="Arial"/>
          <w:i/>
          <w:szCs w:val="22"/>
          <w:lang w:val="es-ES" w:eastAsia="es-ES"/>
        </w:rPr>
        <w:t xml:space="preserve">“Al respecto, hago de su conocimiento que esta unidad a mi cargo no cuenta con elementos de POLICÍA PRIVADA, toda vez que el personal que se encuentra asignado en esta unidad cuenta con plaza operativa (policía </w:t>
      </w:r>
      <w:r w:rsidR="00D61BCB" w:rsidRPr="00BD5CCC">
        <w:rPr>
          <w:rFonts w:ascii="Palatino Linotype" w:hAnsi="Palatino Linotype" w:cs="Arial"/>
          <w:i/>
          <w:szCs w:val="22"/>
          <w:lang w:val="es-ES" w:eastAsia="es-ES"/>
        </w:rPr>
        <w:lastRenderedPageBreak/>
        <w:t xml:space="preserve">municipal de Atizapán de Zaragoza), mismos que se encargan de prestar el servicio de Seguridad Pública, por lo que no es posible proporcionar la información solicitada”. </w:t>
      </w:r>
    </w:p>
    <w:p w:rsidR="00D61BCB" w:rsidRPr="00BD5CCC" w:rsidRDefault="00D61BCB" w:rsidP="00847410">
      <w:pPr>
        <w:pStyle w:val="Prrafodelista"/>
        <w:numPr>
          <w:ilvl w:val="0"/>
          <w:numId w:val="6"/>
        </w:numPr>
        <w:spacing w:line="360" w:lineRule="auto"/>
        <w:jc w:val="both"/>
        <w:rPr>
          <w:rFonts w:ascii="Palatino Linotype" w:hAnsi="Palatino Linotype" w:cs="Arial"/>
          <w:szCs w:val="22"/>
          <w:lang w:val="es-ES" w:eastAsia="es-ES"/>
        </w:rPr>
      </w:pPr>
      <w:r w:rsidRPr="00BD5CCC">
        <w:rPr>
          <w:rFonts w:ascii="Palatino Linotype" w:hAnsi="Palatino Linotype" w:cs="Arial"/>
          <w:szCs w:val="22"/>
          <w:lang w:val="es-ES" w:eastAsia="es-ES"/>
        </w:rPr>
        <w:t>Oficio número DSPYTM/SA/DAE/0416/2024 de fecha tres de mayo de dos mil veinticuatro, suscrito por el Subdirector Administrativo de Seguridad Pública y Tránsito Municipal en el que señaló</w:t>
      </w:r>
      <w:r w:rsidRPr="00BD5CCC">
        <w:rPr>
          <w:rFonts w:ascii="Palatino Linotype" w:hAnsi="Palatino Linotype" w:cs="Arial"/>
          <w:i/>
          <w:szCs w:val="22"/>
          <w:lang w:val="es-ES" w:eastAsia="es-ES"/>
        </w:rPr>
        <w:t xml:space="preserve"> “Todo el personal operativo de la Dirección de Seguridad Pública está dado de alta como Policía Municipal, en ningún caso son elementos de Seguridad Privada, por lo que la obtención de la Licencia se realizó a través de los trámites para su inclusión o en su caso Revalidación en la Licencia Oficial Colectiva No 139, integrado los expedientes respectivos con Cartilla Militar (hombres), Certificado Médico, Certificado de No consumo de Drogas, Certificado Psicológico (Para lo cual se practicaron exámenes médicos para </w:t>
      </w:r>
      <w:r w:rsidR="003D61CB" w:rsidRPr="00BD5CCC">
        <w:rPr>
          <w:rFonts w:ascii="Palatino Linotype" w:hAnsi="Palatino Linotype" w:cs="Arial"/>
          <w:i/>
          <w:szCs w:val="22"/>
          <w:lang w:val="es-ES" w:eastAsia="es-ES"/>
        </w:rPr>
        <w:t>verificar</w:t>
      </w:r>
      <w:r w:rsidRPr="00BD5CCC">
        <w:rPr>
          <w:rFonts w:ascii="Palatino Linotype" w:hAnsi="Palatino Linotype" w:cs="Arial"/>
          <w:i/>
          <w:szCs w:val="22"/>
          <w:lang w:val="es-ES" w:eastAsia="es-ES"/>
        </w:rPr>
        <w:t xml:space="preserve"> que cuenten con estado de salud física, exámenes toxicológicos para comprobar la ausencia</w:t>
      </w:r>
      <w:r w:rsidR="003D61CB" w:rsidRPr="00BD5CCC">
        <w:rPr>
          <w:rFonts w:ascii="Palatino Linotype" w:hAnsi="Palatino Linotype" w:cs="Arial"/>
          <w:i/>
          <w:szCs w:val="22"/>
          <w:lang w:val="es-ES" w:eastAsia="es-ES"/>
        </w:rPr>
        <w:t xml:space="preserve"> o el no uso de sustancias psicotrópicas y/o estupefacientes, exámenes psicológicos para verificar el estado de salud mental), Certificado de Antecedentes no Penales, tener un modo honesto de vivir. Adicionalmente a esta documentación los agentes de policía deben tener acreditadas sus evaluaciones de Control de Confianza. Son armas de uso exclusivo de las fuerzas armadas, no obstante, mediante justificación de la necesidad de seguridad, la Secretaria de la Defensa Nacional ha autorizado a este municipio el uso de las mismas.”</w:t>
      </w:r>
    </w:p>
    <w:p w:rsidR="00847410" w:rsidRPr="00BD5CCC" w:rsidRDefault="00847410" w:rsidP="00847410">
      <w:pPr>
        <w:spacing w:line="360" w:lineRule="auto"/>
        <w:jc w:val="both"/>
        <w:rPr>
          <w:rFonts w:ascii="Palatino Linotype" w:hAnsi="Palatino Linotype" w:cs="Arial"/>
          <w:sz w:val="22"/>
          <w:szCs w:val="22"/>
          <w:lang w:val="es-ES" w:eastAsia="es-ES"/>
        </w:rPr>
      </w:pPr>
    </w:p>
    <w:p w:rsidR="00847410" w:rsidRPr="00BD5CCC" w:rsidRDefault="00A83FCD" w:rsidP="00847410">
      <w:pPr>
        <w:pStyle w:val="Prrafodelista"/>
        <w:numPr>
          <w:ilvl w:val="0"/>
          <w:numId w:val="5"/>
        </w:numPr>
        <w:spacing w:line="360" w:lineRule="auto"/>
        <w:jc w:val="both"/>
        <w:rPr>
          <w:rFonts w:ascii="Palatino Linotype" w:hAnsi="Palatino Linotype" w:cs="Arial"/>
          <w:szCs w:val="22"/>
          <w:lang w:val="es-ES" w:eastAsia="es-ES"/>
        </w:rPr>
      </w:pPr>
      <w:hyperlink r:id="rId9" w:tgtFrame="_blank" w:history="1">
        <w:r w:rsidR="00847410" w:rsidRPr="00BD5CCC">
          <w:rPr>
            <w:rStyle w:val="Hipervnculo"/>
            <w:rFonts w:ascii="Palatino Linotype" w:hAnsi="Palatino Linotype" w:cs="Arial"/>
            <w:b/>
            <w:bCs/>
            <w:color w:val="auto"/>
            <w:szCs w:val="22"/>
          </w:rPr>
          <w:t>solicitud 217.pdf</w:t>
        </w:r>
      </w:hyperlink>
      <w:r w:rsidR="00847410" w:rsidRPr="00BD5CCC">
        <w:rPr>
          <w:rFonts w:ascii="Palatino Linotype" w:hAnsi="Palatino Linotype"/>
          <w:szCs w:val="22"/>
        </w:rPr>
        <w:t xml:space="preserve">: </w:t>
      </w:r>
      <w:r w:rsidR="003D61CB" w:rsidRPr="00BD5CCC">
        <w:rPr>
          <w:rFonts w:ascii="Palatino Linotype" w:hAnsi="Palatino Linotype"/>
          <w:szCs w:val="22"/>
        </w:rPr>
        <w:t xml:space="preserve">archivo que contiene los mismos documentos referidos en el archivo anterior. </w:t>
      </w:r>
    </w:p>
    <w:p w:rsidR="00847410" w:rsidRPr="00BD5CCC" w:rsidRDefault="00847410" w:rsidP="00847410">
      <w:pPr>
        <w:pStyle w:val="Prrafodelista"/>
        <w:spacing w:line="360" w:lineRule="auto"/>
        <w:jc w:val="both"/>
        <w:rPr>
          <w:rFonts w:ascii="Palatino Linotype" w:hAnsi="Palatino Linotype" w:cs="Arial"/>
          <w:szCs w:val="22"/>
          <w:lang w:val="es-ES" w:eastAsia="es-ES"/>
        </w:rPr>
      </w:pPr>
    </w:p>
    <w:p w:rsidR="00667AA0" w:rsidRPr="00BD5CCC" w:rsidRDefault="00667AA0" w:rsidP="00667AA0">
      <w:pPr>
        <w:pStyle w:val="Prrafodelista"/>
        <w:numPr>
          <w:ilvl w:val="0"/>
          <w:numId w:val="1"/>
        </w:numPr>
        <w:spacing w:line="360" w:lineRule="auto"/>
        <w:ind w:left="0" w:firstLine="0"/>
        <w:jc w:val="both"/>
        <w:rPr>
          <w:rFonts w:ascii="Palatino Linotype" w:hAnsi="Palatino Linotype" w:cs="Arial"/>
          <w:szCs w:val="22"/>
          <w:lang w:val="es-ES" w:eastAsia="es-ES"/>
        </w:rPr>
      </w:pPr>
      <w:r w:rsidRPr="00BD5CCC">
        <w:rPr>
          <w:rFonts w:ascii="Palatino Linotype" w:eastAsia="Calibri" w:hAnsi="Palatino Linotype" w:cs="Arial"/>
          <w:szCs w:val="22"/>
          <w:lang w:val="es-AR" w:eastAsia="es-ES"/>
        </w:rPr>
        <w:t xml:space="preserve">El </w:t>
      </w:r>
      <w:r w:rsidR="003D61CB" w:rsidRPr="00BD5CCC">
        <w:rPr>
          <w:rFonts w:ascii="Palatino Linotype" w:eastAsia="Calibri" w:hAnsi="Palatino Linotype" w:cs="Arial"/>
          <w:szCs w:val="22"/>
          <w:lang w:val="es-AR" w:eastAsia="es-ES"/>
        </w:rPr>
        <w:t>veintinueve (29) de mayo</w:t>
      </w:r>
      <w:r w:rsidRPr="00BD5CCC">
        <w:rPr>
          <w:rFonts w:ascii="Palatino Linotype" w:eastAsia="Calibri" w:hAnsi="Palatino Linotype" w:cs="Arial"/>
          <w:szCs w:val="22"/>
          <w:lang w:val="es-AR" w:eastAsia="es-ES"/>
        </w:rPr>
        <w:t xml:space="preserve"> de dos mil veinticuatro</w:t>
      </w:r>
      <w:r w:rsidRPr="00BD5CCC">
        <w:rPr>
          <w:rFonts w:ascii="Palatino Linotype" w:hAnsi="Palatino Linotype" w:cs="Arial"/>
          <w:szCs w:val="22"/>
          <w:lang w:val="es-ES" w:eastAsia="es-ES"/>
        </w:rPr>
        <w:t xml:space="preserve">, </w:t>
      </w:r>
      <w:r w:rsidRPr="00BD5CCC">
        <w:rPr>
          <w:rFonts w:ascii="Palatino Linotype" w:eastAsiaTheme="minorEastAsia" w:hAnsi="Palatino Linotype"/>
          <w:b/>
          <w:szCs w:val="22"/>
          <w:lang w:val="es-ES_tradnl" w:eastAsia="es-ES"/>
        </w:rPr>
        <w:t>EL RECURRENTE</w:t>
      </w:r>
      <w:r w:rsidRPr="00BD5CCC">
        <w:rPr>
          <w:rFonts w:ascii="Palatino Linotype" w:hAnsi="Palatino Linotype" w:cs="Arial"/>
          <w:szCs w:val="22"/>
          <w:lang w:val="es-ES" w:eastAsia="es-ES"/>
        </w:rPr>
        <w:t xml:space="preserve"> interpuso el recurso de revisión, en contra de la respuesta, señalando como:</w:t>
      </w:r>
    </w:p>
    <w:p w:rsidR="00667AA0" w:rsidRPr="00BD5CCC" w:rsidRDefault="00667AA0" w:rsidP="00667AA0">
      <w:pPr>
        <w:pStyle w:val="Prrafodelista"/>
        <w:spacing w:line="360" w:lineRule="auto"/>
        <w:ind w:left="0"/>
        <w:jc w:val="both"/>
        <w:rPr>
          <w:rFonts w:ascii="Palatino Linotype" w:hAnsi="Palatino Linotype" w:cs="Arial"/>
          <w:szCs w:val="22"/>
          <w:lang w:val="es-ES" w:eastAsia="es-ES"/>
        </w:rPr>
      </w:pPr>
    </w:p>
    <w:p w:rsidR="00667AA0" w:rsidRPr="00BD5CCC" w:rsidRDefault="00667AA0" w:rsidP="00667AA0">
      <w:pPr>
        <w:spacing w:line="360" w:lineRule="auto"/>
        <w:ind w:left="567" w:right="567"/>
        <w:contextualSpacing/>
        <w:jc w:val="both"/>
        <w:rPr>
          <w:rFonts w:ascii="Palatino Linotype" w:eastAsia="Calibri" w:hAnsi="Palatino Linotype" w:cs="Arial"/>
          <w:i/>
          <w:sz w:val="22"/>
          <w:szCs w:val="22"/>
          <w:lang w:val="es-ES" w:eastAsia="es-ES"/>
        </w:rPr>
      </w:pPr>
      <w:r w:rsidRPr="00BD5CCC">
        <w:rPr>
          <w:rFonts w:ascii="Palatino Linotype" w:eastAsiaTheme="minorEastAsia" w:hAnsi="Palatino Linotype"/>
          <w:b/>
          <w:sz w:val="22"/>
          <w:szCs w:val="22"/>
          <w:lang w:val="es-ES_tradnl" w:eastAsia="es-ES"/>
        </w:rPr>
        <w:t>Acto impugnado</w:t>
      </w:r>
      <w:r w:rsidRPr="00BD5CCC">
        <w:rPr>
          <w:rFonts w:ascii="Palatino Linotype" w:eastAsiaTheme="minorEastAsia" w:hAnsi="Palatino Linotype"/>
          <w:b/>
          <w:i/>
          <w:sz w:val="22"/>
          <w:szCs w:val="22"/>
          <w:lang w:val="es-ES_tradnl" w:eastAsia="es-ES"/>
        </w:rPr>
        <w:t>:</w:t>
      </w:r>
      <w:r w:rsidRPr="00BD5CCC">
        <w:rPr>
          <w:rFonts w:ascii="Palatino Linotype" w:hAnsi="Palatino Linotype"/>
          <w:i/>
          <w:color w:val="000000"/>
          <w:sz w:val="22"/>
          <w:szCs w:val="22"/>
        </w:rPr>
        <w:t xml:space="preserve"> "</w:t>
      </w:r>
      <w:r w:rsidR="003D61CB" w:rsidRPr="00BD5CCC">
        <w:rPr>
          <w:rFonts w:ascii="Verdana" w:hAnsi="Verdana"/>
          <w:color w:val="000000"/>
          <w:sz w:val="22"/>
          <w:szCs w:val="22"/>
        </w:rPr>
        <w:t xml:space="preserve"> </w:t>
      </w:r>
      <w:r w:rsidR="003D61CB" w:rsidRPr="00BD5CCC">
        <w:rPr>
          <w:rFonts w:ascii="Palatino Linotype" w:hAnsi="Palatino Linotype"/>
          <w:i/>
          <w:color w:val="000000"/>
          <w:sz w:val="22"/>
          <w:szCs w:val="22"/>
        </w:rPr>
        <w:t>LA NEGATIVA A PROPORCIOMNAR LA INFORMACION, EL AYUNTAMIENTO CONTESTA QUE NO PRESTA EL SERVICIO DE POLICIA PRIVADA, CUANDO ESTOS CUENTAN CON UNA UNIDAD DE SERVICIOS FACULTATIVOS, NO CONTESTAN EL MOTIVO POR EL CUAL COBNRAN LOS SERVICIOS DE POLICIA PREVENTIVA, ES DECIR LOS POLICIAS PREVENTIVOS SON OCUPADOS PARA PRESTAR LOS SERVICIOS DE SEGURIDAD PRIVADA EN CASAS, FRACCIONAMIENTOS, EMPRESAS, ES DECIR ESTAN COBRANDO EL SERVICIO DE SEGURIDAD PUBLICA Y NO APORTAN EL FUNDAMENTO LEGAL DE DICHOS SERVICIOS, NO APORTAN A DONDE SE DIRECCIONA EL DINERO RECABADO POR LA PRESTACION DE SERVICIOS DE SEGURIDAD PUBLICA</w:t>
      </w:r>
      <w:r w:rsidRPr="00BD5CCC">
        <w:rPr>
          <w:rFonts w:ascii="Palatino Linotype" w:hAnsi="Palatino Linotype"/>
          <w:i/>
          <w:color w:val="000000"/>
          <w:sz w:val="22"/>
          <w:szCs w:val="22"/>
        </w:rPr>
        <w:t>" (Sic)</w:t>
      </w:r>
    </w:p>
    <w:p w:rsidR="00667AA0" w:rsidRPr="00BD5CCC" w:rsidRDefault="00667AA0" w:rsidP="00667AA0">
      <w:pPr>
        <w:spacing w:line="360" w:lineRule="auto"/>
        <w:ind w:left="567" w:right="567"/>
        <w:contextualSpacing/>
        <w:jc w:val="both"/>
        <w:rPr>
          <w:rFonts w:ascii="Palatino Linotype" w:eastAsia="Calibri" w:hAnsi="Palatino Linotype" w:cs="Arial"/>
          <w:sz w:val="22"/>
          <w:szCs w:val="22"/>
          <w:lang w:val="es-ES" w:eastAsia="es-ES"/>
        </w:rPr>
      </w:pPr>
    </w:p>
    <w:p w:rsidR="00667AA0" w:rsidRPr="00BD5CCC" w:rsidRDefault="00667AA0" w:rsidP="00667AA0">
      <w:pPr>
        <w:spacing w:line="360" w:lineRule="auto"/>
        <w:ind w:left="567" w:right="567"/>
        <w:contextualSpacing/>
        <w:jc w:val="both"/>
        <w:rPr>
          <w:rFonts w:ascii="Palatino Linotype" w:eastAsiaTheme="minorEastAsia" w:hAnsi="Palatino Linotype"/>
          <w:b/>
          <w:sz w:val="22"/>
          <w:szCs w:val="22"/>
          <w:lang w:val="es-ES_tradnl" w:eastAsia="es-ES"/>
        </w:rPr>
      </w:pPr>
      <w:r w:rsidRPr="00BD5CCC">
        <w:rPr>
          <w:rFonts w:ascii="Palatino Linotype" w:eastAsiaTheme="minorEastAsia" w:hAnsi="Palatino Linotype"/>
          <w:b/>
          <w:sz w:val="22"/>
          <w:szCs w:val="22"/>
          <w:lang w:val="es-ES_tradnl" w:eastAsia="es-ES"/>
        </w:rPr>
        <w:t xml:space="preserve">Razones o Motivos de inconformidad: </w:t>
      </w:r>
      <w:r w:rsidRPr="00BD5CCC">
        <w:rPr>
          <w:rFonts w:ascii="Palatino Linotype" w:eastAsiaTheme="minorEastAsia" w:hAnsi="Palatino Linotype"/>
          <w:i/>
          <w:sz w:val="22"/>
          <w:szCs w:val="22"/>
          <w:lang w:eastAsia="es-ES"/>
        </w:rPr>
        <w:t>"</w:t>
      </w:r>
      <w:r w:rsidR="003D61CB" w:rsidRPr="00BD5CCC">
        <w:rPr>
          <w:rFonts w:ascii="Palatino Linotype" w:eastAsiaTheme="minorEastAsia" w:hAnsi="Palatino Linotype"/>
          <w:i/>
          <w:sz w:val="22"/>
          <w:szCs w:val="22"/>
          <w:lang w:eastAsia="es-ES"/>
        </w:rPr>
        <w:t>CUENTAN CON UNIDAD DE SERVICIOS FACULTATIVOS, NO EXPLICAN CUAL ES LA FUNCION DE DICHA UNIDAD, ES DECIR COBRAN EL SERVICIO DE SEGURIDAD PUBLICA, COMO SI FUESEN SEGURIDAD PRIVADA, NIEGAN SER SEGURIDAD PRIVADA, NO SEÑALAN DONDE SE DIRECCIONA EL DINERO RECAUDADO POR DICHA PRESTACION DE POLICIAS PREVENTIVOS</w:t>
      </w:r>
      <w:r w:rsidRPr="00BD5CCC">
        <w:rPr>
          <w:rFonts w:ascii="Palatino Linotype" w:eastAsiaTheme="minorEastAsia" w:hAnsi="Palatino Linotype"/>
          <w:i/>
          <w:sz w:val="22"/>
          <w:szCs w:val="22"/>
          <w:lang w:eastAsia="es-ES"/>
        </w:rPr>
        <w:t>" (Sic)</w:t>
      </w:r>
    </w:p>
    <w:p w:rsidR="00667AA0" w:rsidRPr="00BD5CCC" w:rsidRDefault="00667AA0" w:rsidP="00667AA0">
      <w:pPr>
        <w:spacing w:line="360" w:lineRule="auto"/>
        <w:ind w:right="567"/>
        <w:contextualSpacing/>
        <w:jc w:val="both"/>
        <w:rPr>
          <w:rFonts w:ascii="Palatino Linotype" w:hAnsi="Palatino Linotype" w:cs="Arial"/>
          <w:sz w:val="22"/>
          <w:szCs w:val="22"/>
        </w:rPr>
      </w:pPr>
    </w:p>
    <w:p w:rsidR="00667AA0" w:rsidRPr="00BD5CCC" w:rsidRDefault="00667AA0" w:rsidP="00667AA0">
      <w:pPr>
        <w:pStyle w:val="Prrafodelista"/>
        <w:numPr>
          <w:ilvl w:val="0"/>
          <w:numId w:val="1"/>
        </w:numPr>
        <w:spacing w:line="360" w:lineRule="auto"/>
        <w:ind w:left="0" w:firstLine="0"/>
        <w:jc w:val="both"/>
        <w:rPr>
          <w:rFonts w:ascii="Palatino Linotype" w:hAnsi="Palatino Linotype" w:cs="Arial"/>
          <w:szCs w:val="22"/>
          <w:lang w:val="es-ES" w:eastAsia="es-ES"/>
        </w:rPr>
      </w:pPr>
      <w:r w:rsidRPr="00BD5CCC">
        <w:rPr>
          <w:rFonts w:ascii="Palatino Linotype" w:hAnsi="Palatino Linotype" w:cs="Arial"/>
          <w:szCs w:val="22"/>
          <w:lang w:val="es-ES" w:eastAsia="es-ES"/>
        </w:rPr>
        <w:t xml:space="preserve">Se registró el recurso de revisión bajo el número de expediente </w:t>
      </w:r>
      <w:r w:rsidRPr="00BD5CCC">
        <w:rPr>
          <w:rFonts w:ascii="Palatino Linotype" w:eastAsiaTheme="minorEastAsia" w:hAnsi="Palatino Linotype" w:cs="Arial"/>
          <w:bCs/>
          <w:szCs w:val="22"/>
          <w:lang w:val="es-ES_tradnl" w:eastAsia="es-ES"/>
        </w:rPr>
        <w:t xml:space="preserve">al rubro indicado, asimismo con fundamento en lo dispuesto por el </w:t>
      </w:r>
      <w:r w:rsidRPr="00BD5CCC">
        <w:rPr>
          <w:rFonts w:ascii="Palatino Linotype" w:eastAsia="Calibri" w:hAnsi="Palatino Linotype" w:cs="Arial"/>
          <w:szCs w:val="22"/>
          <w:lang w:val="es-ES" w:eastAsia="es-ES"/>
        </w:rPr>
        <w:t xml:space="preserve">artículo 185 fracción I de la </w:t>
      </w:r>
      <w:r w:rsidRPr="00BD5CCC">
        <w:rPr>
          <w:rFonts w:ascii="Palatino Linotype" w:eastAsia="Calibri" w:hAnsi="Palatino Linotype" w:cs="Arial"/>
          <w:b/>
          <w:szCs w:val="22"/>
          <w:lang w:val="es-ES" w:eastAsia="es-ES"/>
        </w:rPr>
        <w:t xml:space="preserve">Ley de Transparencia y Acceso a la Información Pública del Estado de México y Municipios </w:t>
      </w:r>
      <w:r w:rsidRPr="00BD5CCC">
        <w:rPr>
          <w:rFonts w:ascii="Palatino Linotype" w:hAnsi="Palatino Linotype" w:cs="Arial"/>
          <w:szCs w:val="22"/>
          <w:lang w:val="es-ES" w:eastAsia="es-ES"/>
        </w:rPr>
        <w:t xml:space="preserve">se turnó a la </w:t>
      </w:r>
      <w:r w:rsidRPr="00BD5CCC">
        <w:rPr>
          <w:rFonts w:ascii="Palatino Linotype" w:hAnsi="Palatino Linotype" w:cs="Arial"/>
          <w:b/>
          <w:szCs w:val="22"/>
          <w:lang w:val="es-ES" w:eastAsia="es-ES"/>
        </w:rPr>
        <w:t xml:space="preserve">Comisionada María del Rosario Mejía Ayala, </w:t>
      </w:r>
      <w:r w:rsidRPr="00BD5CCC">
        <w:rPr>
          <w:rFonts w:ascii="Palatino Linotype" w:hAnsi="Palatino Linotype" w:cs="Arial"/>
          <w:szCs w:val="22"/>
          <w:lang w:val="es-ES" w:eastAsia="es-ES"/>
        </w:rPr>
        <w:t xml:space="preserve">con el objeto de </w:t>
      </w:r>
      <w:r w:rsidRPr="00BD5CCC">
        <w:rPr>
          <w:rFonts w:ascii="Palatino Linotype" w:hAnsi="Palatino Linotype" w:cs="Arial"/>
          <w:szCs w:val="22"/>
          <w:lang w:eastAsia="es-ES"/>
        </w:rPr>
        <w:t xml:space="preserve">su análisis. </w:t>
      </w:r>
    </w:p>
    <w:p w:rsidR="00667AA0" w:rsidRPr="00BD5CCC" w:rsidRDefault="00667AA0" w:rsidP="00667AA0">
      <w:pPr>
        <w:pStyle w:val="Prrafodelista"/>
        <w:spacing w:line="360" w:lineRule="auto"/>
        <w:ind w:left="0"/>
        <w:jc w:val="both"/>
        <w:rPr>
          <w:rFonts w:ascii="Palatino Linotype" w:hAnsi="Palatino Linotype" w:cs="Arial"/>
          <w:szCs w:val="22"/>
          <w:lang w:val="es-ES" w:eastAsia="es-ES"/>
        </w:rPr>
      </w:pPr>
    </w:p>
    <w:p w:rsidR="00667AA0" w:rsidRPr="00BD5CCC" w:rsidRDefault="00667AA0" w:rsidP="00667AA0">
      <w:pPr>
        <w:pStyle w:val="Prrafodelista"/>
        <w:numPr>
          <w:ilvl w:val="0"/>
          <w:numId w:val="1"/>
        </w:numPr>
        <w:spacing w:line="360" w:lineRule="auto"/>
        <w:ind w:left="0" w:firstLine="0"/>
        <w:jc w:val="both"/>
        <w:rPr>
          <w:rFonts w:ascii="Palatino Linotype" w:hAnsi="Palatino Linotype" w:cs="Arial"/>
          <w:szCs w:val="22"/>
          <w:lang w:val="es-ES" w:eastAsia="es-ES"/>
        </w:rPr>
      </w:pPr>
      <w:r w:rsidRPr="00BD5CCC">
        <w:rPr>
          <w:rFonts w:ascii="Palatino Linotype" w:eastAsia="Calibri" w:hAnsi="Palatino Linotype" w:cs="Arial"/>
          <w:szCs w:val="22"/>
          <w:lang w:val="es-ES" w:eastAsia="es-ES"/>
        </w:rPr>
        <w:t xml:space="preserve">El Comisionado Ponente con fundamento en lo dispuesto por el artículo 185 fracción II de la ley de la materia, a través del acuerdo de admisión del </w:t>
      </w:r>
      <w:r w:rsidR="00CF2093" w:rsidRPr="00BD5CCC">
        <w:rPr>
          <w:rFonts w:ascii="Palatino Linotype" w:eastAsia="Calibri" w:hAnsi="Palatino Linotype" w:cs="Arial"/>
          <w:szCs w:val="22"/>
          <w:lang w:val="es-ES" w:eastAsia="es-ES"/>
        </w:rPr>
        <w:t>tres (03) de junio</w:t>
      </w:r>
      <w:r w:rsidRPr="00BD5CCC">
        <w:rPr>
          <w:rFonts w:ascii="Palatino Linotype" w:eastAsia="Calibri" w:hAnsi="Palatino Linotype" w:cs="Arial"/>
          <w:szCs w:val="22"/>
          <w:lang w:val="es-ES" w:eastAsia="es-ES"/>
        </w:rPr>
        <w:t xml:space="preserve"> de dos mil </w:t>
      </w:r>
      <w:r w:rsidRPr="00BD5CCC">
        <w:rPr>
          <w:rFonts w:ascii="Palatino Linotype" w:eastAsia="Calibri" w:hAnsi="Palatino Linotype" w:cs="Arial"/>
          <w:szCs w:val="22"/>
          <w:lang w:val="es-ES" w:eastAsia="es-ES"/>
        </w:rPr>
        <w:lastRenderedPageBreak/>
        <w:t xml:space="preserve">veinticuatro, puso a disposición de las partes el expediente electrónico </w:t>
      </w:r>
      <w:r w:rsidRPr="00BD5CCC">
        <w:rPr>
          <w:rFonts w:ascii="Palatino Linotype" w:eastAsia="Calibri" w:hAnsi="Palatino Linotype" w:cs="Arial"/>
          <w:szCs w:val="22"/>
          <w:lang w:val="es-ES_tradnl" w:eastAsia="es-ES"/>
        </w:rPr>
        <w:t xml:space="preserve">vía </w:t>
      </w:r>
      <w:r w:rsidRPr="00BD5CCC">
        <w:rPr>
          <w:rFonts w:ascii="Palatino Linotype" w:eastAsia="Calibri" w:hAnsi="Palatino Linotype" w:cs="Arial"/>
          <w:b/>
          <w:szCs w:val="22"/>
          <w:lang w:val="es-ES" w:eastAsia="es-ES"/>
        </w:rPr>
        <w:t xml:space="preserve">SAIMEX </w:t>
      </w:r>
      <w:r w:rsidRPr="00BD5CCC">
        <w:rPr>
          <w:rFonts w:ascii="Palatino Linotype" w:eastAsia="Calibri" w:hAnsi="Palatino Linotype" w:cs="Arial"/>
          <w:szCs w:val="22"/>
          <w:lang w:val="es-ES" w:eastAsia="es-ES"/>
        </w:rPr>
        <w:t xml:space="preserve">a efecto de que en un plazo máximo de siete días manifestaran lo que a derecho convinieran, ofrecieran pruebas y alegatos según corresponda al caso concreto, de esta forma para que el </w:t>
      </w:r>
      <w:r w:rsidRPr="00BD5CCC">
        <w:rPr>
          <w:rFonts w:ascii="Palatino Linotype" w:eastAsia="Calibri" w:hAnsi="Palatino Linotype" w:cs="Arial"/>
          <w:b/>
          <w:szCs w:val="22"/>
          <w:lang w:val="es-ES" w:eastAsia="es-ES"/>
        </w:rPr>
        <w:t>SUJETO OBLIGADO</w:t>
      </w:r>
      <w:r w:rsidRPr="00BD5CCC">
        <w:rPr>
          <w:rFonts w:ascii="Palatino Linotype" w:eastAsia="Calibri" w:hAnsi="Palatino Linotype" w:cs="Arial"/>
          <w:szCs w:val="22"/>
          <w:lang w:val="es-ES" w:eastAsia="es-ES"/>
        </w:rPr>
        <w:t xml:space="preserve"> presentara el informe justificado procedente. </w:t>
      </w:r>
    </w:p>
    <w:p w:rsidR="00667AA0" w:rsidRPr="00BD5CCC" w:rsidRDefault="00667AA0" w:rsidP="00667AA0">
      <w:pPr>
        <w:pStyle w:val="Prrafodelista"/>
        <w:rPr>
          <w:rFonts w:ascii="Palatino Linotype" w:eastAsia="Calibri" w:hAnsi="Palatino Linotype" w:cs="Arial"/>
          <w:szCs w:val="22"/>
          <w:lang w:val="es-ES" w:eastAsia="es-ES"/>
        </w:rPr>
      </w:pPr>
    </w:p>
    <w:p w:rsidR="00667AA0" w:rsidRPr="00BD5CCC" w:rsidRDefault="00667AA0" w:rsidP="00667AA0">
      <w:pPr>
        <w:pStyle w:val="Prrafodelista"/>
        <w:numPr>
          <w:ilvl w:val="0"/>
          <w:numId w:val="1"/>
        </w:numPr>
        <w:spacing w:line="360" w:lineRule="auto"/>
        <w:ind w:left="0" w:firstLine="0"/>
        <w:jc w:val="both"/>
        <w:rPr>
          <w:rFonts w:ascii="Palatino Linotype" w:hAnsi="Palatino Linotype" w:cs="Arial"/>
          <w:szCs w:val="22"/>
          <w:lang w:val="es-ES" w:eastAsia="es-ES"/>
        </w:rPr>
      </w:pPr>
      <w:r w:rsidRPr="00BD5CCC">
        <w:rPr>
          <w:rFonts w:ascii="Palatino Linotype" w:eastAsia="Calibri" w:hAnsi="Palatino Linotype" w:cs="Arial"/>
          <w:szCs w:val="22"/>
          <w:lang w:val="es-ES" w:eastAsia="es-ES"/>
        </w:rPr>
        <w:t xml:space="preserve">De las constancias del expediente electrónico SAIMEX se advierte que el Recurrente no realizó manifestaciones; </w:t>
      </w:r>
      <w:r w:rsidRPr="00BD5CCC">
        <w:rPr>
          <w:rFonts w:ascii="Palatino Linotype" w:hAnsi="Palatino Linotype" w:cs="Arial"/>
          <w:szCs w:val="22"/>
          <w:lang w:val="es-ES" w:eastAsia="es-ES"/>
        </w:rPr>
        <w:t>p</w:t>
      </w:r>
      <w:r w:rsidRPr="00BD5CCC">
        <w:rPr>
          <w:rFonts w:ascii="Palatino Linotype" w:eastAsia="Calibri" w:hAnsi="Palatino Linotype" w:cs="Arial"/>
          <w:szCs w:val="22"/>
          <w:lang w:val="es-ES" w:eastAsia="es-ES"/>
        </w:rPr>
        <w:t xml:space="preserve">or su parte, el Sujeto Obligado entregó informe justificado el </w:t>
      </w:r>
      <w:r w:rsidR="00CF2093" w:rsidRPr="00BD5CCC">
        <w:rPr>
          <w:rFonts w:ascii="Palatino Linotype" w:eastAsia="Calibri" w:hAnsi="Palatino Linotype" w:cs="Arial"/>
          <w:szCs w:val="22"/>
          <w:lang w:val="es-ES" w:eastAsia="es-ES"/>
        </w:rPr>
        <w:t>diez (10) de junio</w:t>
      </w:r>
      <w:r w:rsidRPr="00BD5CCC">
        <w:rPr>
          <w:rFonts w:ascii="Palatino Linotype" w:eastAsia="Calibri" w:hAnsi="Palatino Linotype" w:cs="Arial"/>
          <w:szCs w:val="22"/>
          <w:lang w:val="es-ES" w:eastAsia="es-ES"/>
        </w:rPr>
        <w:t xml:space="preserve"> de dos mil veinticuatro, el cual se puso a la vista del</w:t>
      </w:r>
      <w:r w:rsidR="00CF2093" w:rsidRPr="00BD5CCC">
        <w:rPr>
          <w:rFonts w:ascii="Palatino Linotype" w:eastAsia="Calibri" w:hAnsi="Palatino Linotype" w:cs="Arial"/>
          <w:szCs w:val="22"/>
          <w:lang w:val="es-ES" w:eastAsia="es-ES"/>
        </w:rPr>
        <w:t xml:space="preserve"> particular el veinte (20) de noviembre</w:t>
      </w:r>
      <w:r w:rsidRPr="00BD5CCC">
        <w:rPr>
          <w:rFonts w:ascii="Palatino Linotype" w:eastAsia="Calibri" w:hAnsi="Palatino Linotype" w:cs="Arial"/>
          <w:szCs w:val="22"/>
          <w:lang w:val="es-ES" w:eastAsia="es-ES"/>
        </w:rPr>
        <w:t xml:space="preserve"> de dos mil veinticuatro, a través del cual se anexaron los archivos que se describen enseguida:</w:t>
      </w:r>
    </w:p>
    <w:p w:rsidR="00667AA0" w:rsidRPr="00BD5CCC" w:rsidRDefault="00667AA0" w:rsidP="00667AA0">
      <w:pPr>
        <w:pStyle w:val="Prrafodelista"/>
        <w:rPr>
          <w:rFonts w:ascii="Palatino Linotype" w:hAnsi="Palatino Linotype" w:cs="Arial"/>
          <w:szCs w:val="22"/>
          <w:lang w:val="es-ES" w:eastAsia="es-ES"/>
        </w:rPr>
      </w:pPr>
    </w:p>
    <w:p w:rsidR="00667AA0" w:rsidRPr="00BD5CCC" w:rsidRDefault="00A83FCD" w:rsidP="00CF2093">
      <w:pPr>
        <w:pStyle w:val="Prrafodelista"/>
        <w:numPr>
          <w:ilvl w:val="0"/>
          <w:numId w:val="7"/>
        </w:numPr>
        <w:spacing w:line="360" w:lineRule="auto"/>
        <w:ind w:left="851" w:right="822" w:firstLine="0"/>
        <w:jc w:val="both"/>
        <w:rPr>
          <w:rFonts w:ascii="Palatino Linotype" w:eastAsiaTheme="majorEastAsia" w:hAnsi="Palatino Linotype" w:cs="Arial"/>
          <w:b/>
          <w:bCs/>
          <w:szCs w:val="22"/>
          <w:u w:val="single"/>
        </w:rPr>
      </w:pPr>
      <w:hyperlink r:id="rId10" w:history="1">
        <w:r w:rsidR="00CF2093" w:rsidRPr="00BD5CCC">
          <w:rPr>
            <w:rStyle w:val="Hipervnculo"/>
            <w:rFonts w:ascii="Palatino Linotype" w:eastAsiaTheme="majorEastAsia" w:hAnsi="Palatino Linotype" w:cs="Arial"/>
            <w:b/>
            <w:bCs/>
            <w:color w:val="auto"/>
            <w:szCs w:val="22"/>
          </w:rPr>
          <w:t>20240610112233615.pdf</w:t>
        </w:r>
      </w:hyperlink>
      <w:r w:rsidR="00CF2093" w:rsidRPr="00BD5CCC">
        <w:rPr>
          <w:rFonts w:ascii="Palatino Linotype" w:eastAsiaTheme="majorEastAsia" w:hAnsi="Palatino Linotype" w:cs="Arial"/>
          <w:b/>
          <w:bCs/>
          <w:szCs w:val="22"/>
          <w:u w:val="single"/>
        </w:rPr>
        <w:t>:</w:t>
      </w:r>
      <w:r w:rsidR="00CF2093" w:rsidRPr="00BD5CCC">
        <w:rPr>
          <w:rFonts w:ascii="Palatino Linotype" w:eastAsiaTheme="majorEastAsia" w:hAnsi="Palatino Linotype" w:cs="Arial"/>
          <w:bCs/>
          <w:szCs w:val="22"/>
        </w:rPr>
        <w:t xml:space="preserve"> documento suscrito por el Titular de la Unidad de Transparencia y dirigido al Director de Seguridad Pública y Tránsito Municipal como requerimiento de información para emitir informe justificado al recurso de revisión. </w:t>
      </w:r>
    </w:p>
    <w:p w:rsidR="00CF2093" w:rsidRPr="00BD5CCC" w:rsidRDefault="00CF2093" w:rsidP="00CF2093">
      <w:pPr>
        <w:pStyle w:val="Prrafodelista"/>
        <w:spacing w:line="360" w:lineRule="auto"/>
        <w:ind w:left="851" w:right="822"/>
        <w:jc w:val="both"/>
        <w:rPr>
          <w:rFonts w:ascii="Palatino Linotype" w:eastAsiaTheme="majorEastAsia" w:hAnsi="Palatino Linotype" w:cs="Arial"/>
          <w:b/>
          <w:bCs/>
          <w:szCs w:val="22"/>
          <w:u w:val="single"/>
        </w:rPr>
      </w:pPr>
    </w:p>
    <w:p w:rsidR="00CF2093" w:rsidRPr="00BD5CCC" w:rsidRDefault="00A83FCD" w:rsidP="00CF2093">
      <w:pPr>
        <w:pStyle w:val="Prrafodelista"/>
        <w:numPr>
          <w:ilvl w:val="0"/>
          <w:numId w:val="7"/>
        </w:numPr>
        <w:spacing w:line="360" w:lineRule="auto"/>
        <w:ind w:left="851" w:right="822" w:firstLine="0"/>
        <w:jc w:val="both"/>
        <w:rPr>
          <w:rFonts w:ascii="Palatino Linotype" w:hAnsi="Palatino Linotype" w:cs="Arial"/>
          <w:szCs w:val="22"/>
          <w:lang w:val="es-ES" w:eastAsia="es-ES"/>
        </w:rPr>
      </w:pPr>
      <w:hyperlink r:id="rId11" w:history="1">
        <w:r w:rsidR="00CF2093" w:rsidRPr="00BD5CCC">
          <w:rPr>
            <w:rStyle w:val="Hipervnculo"/>
            <w:rFonts w:ascii="Palatino Linotype" w:hAnsi="Palatino Linotype" w:cs="Arial"/>
            <w:b/>
            <w:bCs/>
            <w:color w:val="auto"/>
            <w:szCs w:val="22"/>
            <w:lang w:eastAsia="es-ES"/>
          </w:rPr>
          <w:t>20240610112244809</w:t>
        </w:r>
        <w:proofErr w:type="gramStart"/>
        <w:r w:rsidR="00CF2093" w:rsidRPr="00BD5CCC">
          <w:rPr>
            <w:rStyle w:val="Hipervnculo"/>
            <w:rFonts w:ascii="Palatino Linotype" w:hAnsi="Palatino Linotype" w:cs="Arial"/>
            <w:b/>
            <w:bCs/>
            <w:color w:val="auto"/>
            <w:szCs w:val="22"/>
            <w:lang w:eastAsia="es-ES"/>
          </w:rPr>
          <w:t>.pdf</w:t>
        </w:r>
        <w:proofErr w:type="gramEnd"/>
      </w:hyperlink>
      <w:r w:rsidR="00CF2093" w:rsidRPr="00BD5CCC">
        <w:rPr>
          <w:rFonts w:ascii="Palatino Linotype" w:hAnsi="Palatino Linotype" w:cs="Arial"/>
          <w:szCs w:val="22"/>
          <w:lang w:val="es-ES" w:eastAsia="es-ES"/>
        </w:rPr>
        <w:t xml:space="preserve">: oficio número DSPYTM/1021/2024 de fecha cinco de junio de dos mil veinticuatro, suscrito por el Director de Seguridad Pública y Tránsito Municipal, en el que señaló que la Dirección no cuenta con Seguridad Privada de conformidad con la Ley de Seguridad del Estado de México y que no genera, recopila, administra, maneja, procesa, archiva o conserva </w:t>
      </w:r>
      <w:r w:rsidR="006E5C6E" w:rsidRPr="00BD5CCC">
        <w:rPr>
          <w:rFonts w:ascii="Palatino Linotype" w:hAnsi="Palatino Linotype" w:cs="Arial"/>
          <w:szCs w:val="22"/>
          <w:lang w:val="es-ES" w:eastAsia="es-ES"/>
        </w:rPr>
        <w:t>información relacionada con seguridad privada.</w:t>
      </w:r>
    </w:p>
    <w:p w:rsidR="00CF2093" w:rsidRPr="00BD5CCC" w:rsidRDefault="00CF2093" w:rsidP="00667AA0">
      <w:pPr>
        <w:pStyle w:val="Prrafodelista"/>
        <w:spacing w:line="360" w:lineRule="auto"/>
        <w:ind w:left="0"/>
        <w:jc w:val="both"/>
        <w:rPr>
          <w:rFonts w:ascii="Palatino Linotype" w:hAnsi="Palatino Linotype" w:cs="Arial"/>
          <w:szCs w:val="22"/>
          <w:lang w:val="es-ES" w:eastAsia="es-ES"/>
        </w:rPr>
      </w:pPr>
    </w:p>
    <w:p w:rsidR="006E5C6E" w:rsidRPr="00BD5CCC" w:rsidRDefault="006E5C6E" w:rsidP="006E5C6E">
      <w:pPr>
        <w:pStyle w:val="Prrafodelista"/>
        <w:numPr>
          <w:ilvl w:val="0"/>
          <w:numId w:val="1"/>
        </w:numPr>
        <w:spacing w:line="360" w:lineRule="auto"/>
        <w:ind w:left="0" w:firstLine="0"/>
        <w:jc w:val="both"/>
        <w:rPr>
          <w:rFonts w:ascii="Palatino Linotype" w:hAnsi="Palatino Linotype" w:cs="Arial"/>
          <w:szCs w:val="22"/>
          <w:lang w:val="es-ES" w:eastAsia="es-ES"/>
        </w:rPr>
      </w:pPr>
      <w:r w:rsidRPr="00BD5CCC">
        <w:rPr>
          <w:rFonts w:ascii="Palatino Linotype" w:hAnsi="Palatino Linotype" w:cs="Arial"/>
          <w:szCs w:val="22"/>
          <w:lang w:val="es-ES" w:eastAsia="es-ES"/>
        </w:rPr>
        <w:t xml:space="preserve">El catorce (14) de agosto de dos mil veinticuatro, se notificó el acuerdo a través del cual se aprobó el plazo para emitir resolución. </w:t>
      </w:r>
    </w:p>
    <w:p w:rsidR="006E5C6E" w:rsidRPr="00BD5CCC" w:rsidRDefault="006E5C6E" w:rsidP="006E5C6E">
      <w:pPr>
        <w:pStyle w:val="Prrafodelista"/>
        <w:spacing w:line="360" w:lineRule="auto"/>
        <w:ind w:left="0"/>
        <w:jc w:val="both"/>
        <w:rPr>
          <w:rFonts w:ascii="Palatino Linotype" w:hAnsi="Palatino Linotype" w:cs="Arial"/>
          <w:szCs w:val="22"/>
          <w:lang w:val="es-ES" w:eastAsia="es-ES"/>
        </w:rPr>
      </w:pPr>
    </w:p>
    <w:p w:rsidR="006E5C6E" w:rsidRPr="00BD5CCC" w:rsidRDefault="006E5C6E" w:rsidP="006E5C6E">
      <w:pPr>
        <w:pStyle w:val="Prrafodelista"/>
        <w:numPr>
          <w:ilvl w:val="0"/>
          <w:numId w:val="1"/>
        </w:numPr>
        <w:spacing w:line="360" w:lineRule="auto"/>
        <w:ind w:left="0" w:firstLine="0"/>
        <w:jc w:val="both"/>
        <w:rPr>
          <w:rFonts w:ascii="Palatino Linotype" w:hAnsi="Palatino Linotype" w:cs="Arial"/>
          <w:szCs w:val="22"/>
          <w:lang w:val="es-ES" w:eastAsia="es-ES"/>
        </w:rPr>
      </w:pPr>
      <w:r w:rsidRPr="00BD5CCC">
        <w:rPr>
          <w:rFonts w:ascii="Palatino Linotype" w:eastAsia="Palatino Linotype" w:hAnsi="Palatino Linotype" w:cs="Palatino Linotype"/>
          <w:szCs w:val="22"/>
        </w:rPr>
        <w:lastRenderedPageBreak/>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6E5C6E" w:rsidRPr="00BD5CCC" w:rsidRDefault="006E5C6E" w:rsidP="006E5C6E">
      <w:pPr>
        <w:pStyle w:val="Prrafodelista"/>
        <w:rPr>
          <w:rFonts w:ascii="Palatino Linotype" w:eastAsia="Palatino Linotype" w:hAnsi="Palatino Linotype" w:cs="Palatino Linotype"/>
          <w:szCs w:val="22"/>
        </w:rPr>
      </w:pPr>
    </w:p>
    <w:p w:rsidR="006E5C6E" w:rsidRPr="00BD5CCC" w:rsidRDefault="006E5C6E" w:rsidP="006E5C6E">
      <w:pPr>
        <w:pStyle w:val="Prrafodelista"/>
        <w:numPr>
          <w:ilvl w:val="0"/>
          <w:numId w:val="1"/>
        </w:numPr>
        <w:spacing w:line="360" w:lineRule="auto"/>
        <w:ind w:left="0" w:firstLine="0"/>
        <w:jc w:val="both"/>
        <w:rPr>
          <w:rFonts w:ascii="Palatino Linotype" w:hAnsi="Palatino Linotype" w:cs="Arial"/>
          <w:szCs w:val="22"/>
          <w:lang w:val="es-ES" w:eastAsia="es-ES"/>
        </w:rPr>
      </w:pPr>
      <w:r w:rsidRPr="00BD5CCC">
        <w:rPr>
          <w:rFonts w:ascii="Palatino Linotype" w:eastAsia="Palatino Linotype" w:hAnsi="Palatino Linotype" w:cs="Palatino Linotype"/>
          <w:szCs w:val="22"/>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6E5C6E" w:rsidRPr="00BD5CCC" w:rsidRDefault="006E5C6E" w:rsidP="006E5C6E">
      <w:pPr>
        <w:pStyle w:val="Prrafodelista"/>
        <w:rPr>
          <w:rFonts w:ascii="Palatino Linotype" w:eastAsia="Palatino Linotype" w:hAnsi="Palatino Linotype" w:cs="Palatino Linotype"/>
          <w:szCs w:val="22"/>
        </w:rPr>
      </w:pPr>
    </w:p>
    <w:p w:rsidR="006E5C6E" w:rsidRPr="00BD5CCC" w:rsidRDefault="006E5C6E" w:rsidP="006E5C6E">
      <w:pPr>
        <w:pStyle w:val="Prrafodelista"/>
        <w:numPr>
          <w:ilvl w:val="0"/>
          <w:numId w:val="1"/>
        </w:numPr>
        <w:spacing w:line="360" w:lineRule="auto"/>
        <w:ind w:left="0" w:firstLine="0"/>
        <w:jc w:val="both"/>
        <w:rPr>
          <w:rFonts w:ascii="Palatino Linotype" w:hAnsi="Palatino Linotype" w:cs="Arial"/>
          <w:szCs w:val="22"/>
          <w:lang w:val="es-ES" w:eastAsia="es-ES"/>
        </w:rPr>
      </w:pPr>
      <w:r w:rsidRPr="00BD5CCC">
        <w:rPr>
          <w:rFonts w:ascii="Palatino Linotype" w:eastAsia="Palatino Linotype" w:hAnsi="Palatino Linotype" w:cs="Palatino Linotype"/>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E5C6E" w:rsidRPr="00BD5CCC" w:rsidRDefault="006E5C6E" w:rsidP="006E5C6E">
      <w:pPr>
        <w:spacing w:line="360" w:lineRule="auto"/>
        <w:rPr>
          <w:rFonts w:ascii="Palatino Linotype" w:eastAsia="Palatino Linotype" w:hAnsi="Palatino Linotype" w:cs="Palatino Linotype"/>
          <w:sz w:val="22"/>
          <w:szCs w:val="22"/>
        </w:rPr>
      </w:pPr>
    </w:p>
    <w:p w:rsidR="006E5C6E" w:rsidRPr="00BD5CCC" w:rsidRDefault="006E5C6E" w:rsidP="006E5C6E">
      <w:pPr>
        <w:pStyle w:val="Prrafodelista"/>
        <w:numPr>
          <w:ilvl w:val="0"/>
          <w:numId w:val="1"/>
        </w:numPr>
        <w:spacing w:line="360" w:lineRule="auto"/>
        <w:ind w:left="0" w:firstLine="0"/>
        <w:jc w:val="both"/>
        <w:rPr>
          <w:rFonts w:ascii="Palatino Linotype" w:eastAsia="Palatino Linotype" w:hAnsi="Palatino Linotype" w:cs="Palatino Linotype"/>
          <w:b/>
          <w:szCs w:val="22"/>
        </w:rPr>
      </w:pPr>
      <w:r w:rsidRPr="00BD5CCC">
        <w:rPr>
          <w:rFonts w:ascii="Palatino Linotype" w:eastAsia="Palatino Linotype" w:hAnsi="Palatino Linotype" w:cs="Palatino Linotype"/>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6E5C6E" w:rsidRPr="00BD5CCC" w:rsidRDefault="006E5C6E" w:rsidP="006E5C6E">
      <w:pPr>
        <w:spacing w:line="360" w:lineRule="auto"/>
        <w:jc w:val="both"/>
        <w:rPr>
          <w:rFonts w:ascii="Palatino Linotype" w:eastAsia="Palatino Linotype" w:hAnsi="Palatino Linotype" w:cs="Palatino Linotype"/>
          <w:b/>
          <w:sz w:val="22"/>
          <w:szCs w:val="22"/>
        </w:rPr>
      </w:pPr>
    </w:p>
    <w:p w:rsidR="006E5C6E" w:rsidRPr="00BD5CCC" w:rsidRDefault="006E5C6E" w:rsidP="006E5C6E">
      <w:pPr>
        <w:numPr>
          <w:ilvl w:val="0"/>
          <w:numId w:val="1"/>
        </w:numPr>
        <w:spacing w:line="360" w:lineRule="auto"/>
        <w:ind w:left="0" w:firstLine="0"/>
        <w:jc w:val="both"/>
        <w:rPr>
          <w:rFonts w:ascii="Palatino Linotype" w:eastAsia="Palatino Linotype" w:hAnsi="Palatino Linotype" w:cs="Palatino Linotype"/>
          <w:b/>
          <w:sz w:val="22"/>
          <w:szCs w:val="22"/>
        </w:rPr>
      </w:pPr>
      <w:r w:rsidRPr="00BD5CCC">
        <w:rPr>
          <w:rFonts w:ascii="Palatino Linotype" w:eastAsia="Palatino Linotype" w:hAnsi="Palatino Linotype" w:cs="Palatino Linotype"/>
          <w:sz w:val="22"/>
          <w:szCs w:val="22"/>
        </w:rPr>
        <w:lastRenderedPageBreak/>
        <w:t xml:space="preserve">Por ello, excepcionalmente, si un asunto es resuelto con posterioridad a los plazos señalados por la norma debe analizarse la razonabilidad de dicha dilación atendiendo a los siguientes criterios:   </w:t>
      </w:r>
    </w:p>
    <w:p w:rsidR="006E5C6E" w:rsidRPr="00BD5CCC" w:rsidRDefault="006E5C6E" w:rsidP="006E5C6E">
      <w:pPr>
        <w:spacing w:line="360" w:lineRule="auto"/>
        <w:rPr>
          <w:rFonts w:ascii="Palatino Linotype" w:eastAsia="Palatino Linotype" w:hAnsi="Palatino Linotype" w:cs="Palatino Linotype"/>
          <w:sz w:val="22"/>
          <w:szCs w:val="22"/>
        </w:rPr>
      </w:pPr>
    </w:p>
    <w:p w:rsidR="006E5C6E" w:rsidRPr="00BD5CCC" w:rsidRDefault="006E5C6E" w:rsidP="006E5C6E">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BD5CCC">
        <w:rPr>
          <w:rFonts w:ascii="Palatino Linotype" w:eastAsia="Palatino Linotype" w:hAnsi="Palatino Linotype" w:cs="Palatino Linotype"/>
          <w:color w:val="000000"/>
          <w:sz w:val="22"/>
          <w:szCs w:val="22"/>
        </w:rPr>
        <w:t xml:space="preserve">Complejidad del Asunto: La complejidad de la prueba, la pluralidad de sujetos procesales, el tiempo transcurrido, las características y contexto del recurso. </w:t>
      </w:r>
    </w:p>
    <w:p w:rsidR="006E5C6E" w:rsidRPr="00BD5CCC" w:rsidRDefault="006E5C6E" w:rsidP="006E5C6E">
      <w:pPr>
        <w:pBdr>
          <w:top w:val="nil"/>
          <w:left w:val="nil"/>
          <w:bottom w:val="nil"/>
          <w:right w:val="nil"/>
          <w:between w:val="nil"/>
        </w:pBdr>
        <w:spacing w:line="360" w:lineRule="auto"/>
        <w:ind w:left="927"/>
        <w:jc w:val="both"/>
        <w:rPr>
          <w:rFonts w:ascii="Palatino Linotype" w:eastAsia="Palatino Linotype" w:hAnsi="Palatino Linotype" w:cs="Palatino Linotype"/>
          <w:color w:val="000000"/>
          <w:sz w:val="22"/>
          <w:szCs w:val="22"/>
        </w:rPr>
      </w:pPr>
    </w:p>
    <w:p w:rsidR="006E5C6E" w:rsidRPr="00BD5CCC" w:rsidRDefault="006E5C6E" w:rsidP="006E5C6E">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BD5CCC">
        <w:rPr>
          <w:rFonts w:ascii="Palatino Linotype" w:eastAsia="Palatino Linotype" w:hAnsi="Palatino Linotype" w:cs="Palatino Linotype"/>
          <w:color w:val="000000"/>
          <w:sz w:val="22"/>
          <w:szCs w:val="22"/>
        </w:rPr>
        <w:t>Actividad Procesal del interesado. Acciones u omisiones del interesado.</w:t>
      </w:r>
    </w:p>
    <w:p w:rsidR="006E5C6E" w:rsidRPr="00BD5CCC" w:rsidRDefault="006E5C6E" w:rsidP="006E5C6E">
      <w:pPr>
        <w:spacing w:line="360" w:lineRule="auto"/>
        <w:jc w:val="both"/>
        <w:rPr>
          <w:rFonts w:ascii="Palatino Linotype" w:eastAsia="Palatino Linotype" w:hAnsi="Palatino Linotype" w:cs="Palatino Linotype"/>
          <w:sz w:val="22"/>
          <w:szCs w:val="22"/>
        </w:rPr>
      </w:pPr>
    </w:p>
    <w:p w:rsidR="006E5C6E" w:rsidRPr="00BD5CCC" w:rsidRDefault="006E5C6E" w:rsidP="006E5C6E">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BD5CCC">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rsidR="006E5C6E" w:rsidRPr="00BD5CCC" w:rsidRDefault="006E5C6E" w:rsidP="006E5C6E">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6E5C6E" w:rsidRPr="00BD5CCC" w:rsidRDefault="006E5C6E" w:rsidP="006E5C6E">
      <w:pPr>
        <w:spacing w:line="360" w:lineRule="auto"/>
        <w:ind w:left="567"/>
        <w:jc w:val="both"/>
        <w:rPr>
          <w:rFonts w:ascii="Palatino Linotype" w:eastAsia="Palatino Linotype" w:hAnsi="Palatino Linotype" w:cs="Palatino Linotype"/>
          <w:sz w:val="22"/>
          <w:szCs w:val="22"/>
        </w:rPr>
      </w:pPr>
      <w:r w:rsidRPr="00BD5CCC">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rsidR="006E5C6E" w:rsidRPr="00BD5CCC" w:rsidRDefault="006E5C6E" w:rsidP="006E5C6E">
      <w:pPr>
        <w:spacing w:line="360" w:lineRule="auto"/>
        <w:rPr>
          <w:rFonts w:ascii="Palatino Linotype" w:eastAsia="Palatino Linotype" w:hAnsi="Palatino Linotype" w:cs="Palatino Linotype"/>
          <w:sz w:val="22"/>
          <w:szCs w:val="22"/>
        </w:rPr>
      </w:pPr>
    </w:p>
    <w:p w:rsidR="006E5C6E" w:rsidRPr="00BD5CCC" w:rsidRDefault="006E5C6E" w:rsidP="006E5C6E">
      <w:pPr>
        <w:numPr>
          <w:ilvl w:val="0"/>
          <w:numId w:val="1"/>
        </w:numPr>
        <w:spacing w:line="360" w:lineRule="auto"/>
        <w:ind w:left="0" w:firstLine="0"/>
        <w:jc w:val="both"/>
        <w:rPr>
          <w:rFonts w:ascii="Palatino Linotype" w:eastAsia="Palatino Linotype" w:hAnsi="Palatino Linotype" w:cs="Palatino Linotype"/>
          <w:b/>
          <w:sz w:val="22"/>
          <w:szCs w:val="22"/>
        </w:rPr>
      </w:pPr>
      <w:r w:rsidRPr="00BD5CC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E5C6E" w:rsidRPr="00BD5CCC" w:rsidRDefault="006E5C6E" w:rsidP="006E5C6E">
      <w:pPr>
        <w:spacing w:line="360" w:lineRule="auto"/>
        <w:jc w:val="both"/>
        <w:rPr>
          <w:rFonts w:ascii="Palatino Linotype" w:eastAsia="Palatino Linotype" w:hAnsi="Palatino Linotype" w:cs="Palatino Linotype"/>
          <w:b/>
          <w:sz w:val="22"/>
          <w:szCs w:val="22"/>
        </w:rPr>
      </w:pPr>
    </w:p>
    <w:p w:rsidR="006E5C6E" w:rsidRPr="00BD5CCC" w:rsidRDefault="006E5C6E" w:rsidP="006E5C6E">
      <w:pPr>
        <w:numPr>
          <w:ilvl w:val="0"/>
          <w:numId w:val="1"/>
        </w:numPr>
        <w:spacing w:line="360" w:lineRule="auto"/>
        <w:ind w:left="0" w:firstLine="0"/>
        <w:jc w:val="both"/>
        <w:rPr>
          <w:rFonts w:ascii="Palatino Linotype" w:eastAsia="Palatino Linotype" w:hAnsi="Palatino Linotype" w:cs="Palatino Linotype"/>
          <w:b/>
          <w:sz w:val="22"/>
          <w:szCs w:val="22"/>
        </w:rPr>
      </w:pPr>
      <w:r w:rsidRPr="00BD5CCC">
        <w:rPr>
          <w:rFonts w:ascii="Palatino Linotype" w:eastAsia="Palatino Linotype" w:hAnsi="Palatino Linotype" w:cs="Palatino Linotype"/>
          <w:sz w:val="22"/>
          <w:szCs w:val="22"/>
        </w:rPr>
        <w:t>Argumento que encuentra sustento en la jurisprudencia P</w:t>
      </w:r>
      <w:proofErr w:type="gramStart"/>
      <w:r w:rsidRPr="00BD5CCC">
        <w:rPr>
          <w:rFonts w:ascii="Palatino Linotype" w:eastAsia="Palatino Linotype" w:hAnsi="Palatino Linotype" w:cs="Palatino Linotype"/>
          <w:sz w:val="22"/>
          <w:szCs w:val="22"/>
        </w:rPr>
        <w:t>./</w:t>
      </w:r>
      <w:proofErr w:type="gramEnd"/>
      <w:r w:rsidRPr="00BD5CCC">
        <w:rPr>
          <w:rFonts w:ascii="Palatino Linotype" w:eastAsia="Palatino Linotype" w:hAnsi="Palatino Linotype" w:cs="Palatino Linotype"/>
          <w:sz w:val="22"/>
          <w:szCs w:val="22"/>
        </w:rPr>
        <w:t xml:space="preserve">J. 32/92 emitida por el Pleno de la Suprema Corte de Justicia de la Nación de rubro </w:t>
      </w:r>
      <w:r w:rsidRPr="00BD5CCC">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BD5CCC">
        <w:rPr>
          <w:rFonts w:ascii="Palatino Linotype" w:eastAsia="Palatino Linotype" w:hAnsi="Palatino Linotype" w:cs="Palatino Linotype"/>
          <w:sz w:val="22"/>
          <w:szCs w:val="22"/>
        </w:rPr>
        <w:t>, visible en la Gaceta del Seminario Judicial de la Federación con el registro digital 205635.</w:t>
      </w:r>
    </w:p>
    <w:p w:rsidR="006E5C6E" w:rsidRPr="00BD5CCC" w:rsidRDefault="006E5C6E" w:rsidP="006E5C6E">
      <w:pPr>
        <w:spacing w:line="360" w:lineRule="auto"/>
        <w:rPr>
          <w:rFonts w:ascii="Palatino Linotype" w:eastAsia="Palatino Linotype" w:hAnsi="Palatino Linotype" w:cs="Palatino Linotype"/>
          <w:sz w:val="22"/>
          <w:szCs w:val="22"/>
        </w:rPr>
      </w:pPr>
    </w:p>
    <w:p w:rsidR="006E5C6E" w:rsidRPr="00BD5CCC" w:rsidRDefault="006E5C6E" w:rsidP="006E5C6E">
      <w:pPr>
        <w:numPr>
          <w:ilvl w:val="0"/>
          <w:numId w:val="1"/>
        </w:numPr>
        <w:spacing w:line="360" w:lineRule="auto"/>
        <w:ind w:left="0" w:firstLine="0"/>
        <w:jc w:val="both"/>
        <w:rPr>
          <w:rFonts w:ascii="Palatino Linotype" w:eastAsia="Palatino Linotype" w:hAnsi="Palatino Linotype" w:cs="Palatino Linotype"/>
          <w:b/>
          <w:sz w:val="22"/>
          <w:szCs w:val="22"/>
        </w:rPr>
      </w:pPr>
      <w:r w:rsidRPr="00BD5CCC">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E5C6E" w:rsidRPr="00BD5CCC" w:rsidRDefault="006E5C6E" w:rsidP="006E5C6E">
      <w:pPr>
        <w:spacing w:line="360" w:lineRule="auto"/>
        <w:rPr>
          <w:rFonts w:ascii="Palatino Linotype" w:eastAsia="Palatino Linotype" w:hAnsi="Palatino Linotype" w:cs="Palatino Linotype"/>
          <w:sz w:val="22"/>
          <w:szCs w:val="22"/>
        </w:rPr>
      </w:pPr>
    </w:p>
    <w:p w:rsidR="006E5C6E" w:rsidRPr="00BD5CCC" w:rsidRDefault="006E5C6E" w:rsidP="006E5C6E">
      <w:pPr>
        <w:numPr>
          <w:ilvl w:val="0"/>
          <w:numId w:val="1"/>
        </w:numPr>
        <w:spacing w:line="360" w:lineRule="auto"/>
        <w:ind w:left="0" w:firstLine="0"/>
        <w:jc w:val="both"/>
        <w:rPr>
          <w:rFonts w:ascii="Palatino Linotype" w:eastAsia="Palatino Linotype" w:hAnsi="Palatino Linotype" w:cs="Palatino Linotype"/>
          <w:b/>
          <w:sz w:val="22"/>
          <w:szCs w:val="22"/>
        </w:rPr>
      </w:pPr>
      <w:r w:rsidRPr="00BD5CCC">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rsidR="006E5C6E" w:rsidRPr="00BD5CCC" w:rsidRDefault="006E5C6E" w:rsidP="006E5C6E">
      <w:pPr>
        <w:spacing w:line="360" w:lineRule="auto"/>
        <w:rPr>
          <w:rFonts w:ascii="Palatino Linotype" w:eastAsia="Palatino Linotype" w:hAnsi="Palatino Linotype" w:cs="Palatino Linotype"/>
          <w:sz w:val="22"/>
          <w:szCs w:val="22"/>
        </w:rPr>
      </w:pPr>
    </w:p>
    <w:p w:rsidR="006E5C6E" w:rsidRPr="00BD5CCC" w:rsidRDefault="006E5C6E" w:rsidP="006E5C6E">
      <w:pPr>
        <w:numPr>
          <w:ilvl w:val="0"/>
          <w:numId w:val="1"/>
        </w:numPr>
        <w:spacing w:line="360" w:lineRule="auto"/>
        <w:ind w:left="0" w:firstLine="0"/>
        <w:jc w:val="both"/>
        <w:rPr>
          <w:rFonts w:ascii="Palatino Linotype" w:eastAsia="Palatino Linotype" w:hAnsi="Palatino Linotype" w:cs="Palatino Linotype"/>
          <w:b/>
          <w:sz w:val="22"/>
          <w:szCs w:val="22"/>
        </w:rPr>
      </w:pPr>
      <w:r w:rsidRPr="00BD5CC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6E5C6E" w:rsidRPr="00BD5CCC" w:rsidRDefault="006E5C6E" w:rsidP="006E5C6E">
      <w:pPr>
        <w:spacing w:line="360" w:lineRule="auto"/>
        <w:jc w:val="both"/>
        <w:rPr>
          <w:rFonts w:ascii="Palatino Linotype" w:eastAsia="Palatino Linotype" w:hAnsi="Palatino Linotype" w:cs="Palatino Linotype"/>
          <w:sz w:val="22"/>
          <w:szCs w:val="22"/>
        </w:rPr>
      </w:pPr>
    </w:p>
    <w:p w:rsidR="006E5C6E" w:rsidRPr="00BD5CCC" w:rsidRDefault="006E5C6E" w:rsidP="006E5C6E">
      <w:pPr>
        <w:spacing w:line="276" w:lineRule="auto"/>
        <w:ind w:left="851" w:right="822"/>
        <w:jc w:val="both"/>
        <w:rPr>
          <w:rFonts w:ascii="Palatino Linotype" w:eastAsia="Palatino Linotype" w:hAnsi="Palatino Linotype" w:cs="Palatino Linotype"/>
          <w:sz w:val="22"/>
          <w:szCs w:val="22"/>
        </w:rPr>
      </w:pPr>
      <w:r w:rsidRPr="00BD5CCC">
        <w:rPr>
          <w:rFonts w:ascii="Palatino Linotype" w:eastAsia="Palatino Linotype" w:hAnsi="Palatino Linotype" w:cs="Palatino Linotype"/>
          <w:sz w:val="22"/>
          <w:szCs w:val="22"/>
        </w:rPr>
        <w:t xml:space="preserve"> </w:t>
      </w:r>
      <w:r w:rsidRPr="00BD5CCC">
        <w:rPr>
          <w:rFonts w:ascii="Palatino Linotype" w:eastAsia="Palatino Linotype" w:hAnsi="Palatino Linotype" w:cs="Palatino Linotype"/>
          <w:i/>
          <w:sz w:val="22"/>
          <w:szCs w:val="22"/>
        </w:rPr>
        <w:t>“PLAZO RAZONABLE PARA RESOLVER. DIMENSIÓN Y EFECTOS DE ESTE CONCEPTO CUANDO SE ADUCE EXCESIVA CARGA DE TRABAJO.”</w:t>
      </w:r>
      <w:r w:rsidRPr="00BD5CCC">
        <w:rPr>
          <w:rFonts w:ascii="Palatino Linotype" w:eastAsia="Palatino Linotype" w:hAnsi="Palatino Linotype" w:cs="Palatino Linotype"/>
          <w:sz w:val="22"/>
          <w:szCs w:val="22"/>
        </w:rPr>
        <w:t xml:space="preserve"> consultable en el Seminario Judicial de la Federación y su gaceta, con el registro digital 2002351.</w:t>
      </w:r>
    </w:p>
    <w:p w:rsidR="006E5C6E" w:rsidRPr="00BD5CCC" w:rsidRDefault="006E5C6E" w:rsidP="006E5C6E">
      <w:pPr>
        <w:spacing w:line="276" w:lineRule="auto"/>
        <w:ind w:left="851" w:right="822"/>
        <w:jc w:val="both"/>
        <w:rPr>
          <w:rFonts w:ascii="Palatino Linotype" w:eastAsia="Palatino Linotype" w:hAnsi="Palatino Linotype" w:cs="Palatino Linotype"/>
          <w:b/>
          <w:sz w:val="22"/>
          <w:szCs w:val="22"/>
        </w:rPr>
      </w:pPr>
    </w:p>
    <w:p w:rsidR="006E5C6E" w:rsidRPr="00BD5CCC" w:rsidRDefault="006E5C6E" w:rsidP="006E5C6E">
      <w:pPr>
        <w:spacing w:line="276" w:lineRule="auto"/>
        <w:ind w:left="851" w:right="822"/>
        <w:jc w:val="both"/>
        <w:rPr>
          <w:rFonts w:ascii="Palatino Linotype" w:eastAsia="Palatino Linotype" w:hAnsi="Palatino Linotype" w:cs="Palatino Linotype"/>
          <w:sz w:val="22"/>
          <w:szCs w:val="22"/>
        </w:rPr>
      </w:pPr>
      <w:r w:rsidRPr="00BD5CCC">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BD5CCC">
        <w:rPr>
          <w:rFonts w:ascii="Palatino Linotype" w:eastAsia="Palatino Linotype" w:hAnsi="Palatino Linotype" w:cs="Palatino Linotype"/>
          <w:sz w:val="22"/>
          <w:szCs w:val="22"/>
        </w:rPr>
        <w:t>, visible en el Seminario Judicial de la Federación y su gaceta, con el registro digital 2002350.</w:t>
      </w:r>
    </w:p>
    <w:p w:rsidR="006E5C6E" w:rsidRPr="00BD5CCC" w:rsidRDefault="006E5C6E" w:rsidP="006E5C6E">
      <w:pPr>
        <w:spacing w:line="360" w:lineRule="auto"/>
        <w:ind w:right="822"/>
        <w:jc w:val="both"/>
        <w:rPr>
          <w:rFonts w:ascii="Palatino Linotype" w:eastAsia="Palatino Linotype" w:hAnsi="Palatino Linotype" w:cs="Palatino Linotype"/>
          <w:i/>
          <w:sz w:val="22"/>
          <w:szCs w:val="22"/>
        </w:rPr>
      </w:pPr>
    </w:p>
    <w:p w:rsidR="006E5C6E" w:rsidRPr="00BD5CCC" w:rsidRDefault="006E5C6E" w:rsidP="006E5C6E">
      <w:pPr>
        <w:numPr>
          <w:ilvl w:val="0"/>
          <w:numId w:val="1"/>
        </w:numPr>
        <w:pBdr>
          <w:top w:val="nil"/>
          <w:left w:val="nil"/>
          <w:bottom w:val="nil"/>
          <w:right w:val="nil"/>
          <w:between w:val="nil"/>
        </w:pBdr>
        <w:spacing w:line="360" w:lineRule="auto"/>
        <w:ind w:left="0" w:right="113" w:firstLine="0"/>
        <w:jc w:val="both"/>
        <w:rPr>
          <w:rFonts w:ascii="Palatino Linotype" w:eastAsia="Palatino Linotype" w:hAnsi="Palatino Linotype" w:cs="Palatino Linotype"/>
          <w:color w:val="000000"/>
          <w:sz w:val="22"/>
          <w:szCs w:val="22"/>
        </w:rPr>
      </w:pPr>
      <w:r w:rsidRPr="00BD5CCC">
        <w:rPr>
          <w:rFonts w:ascii="Palatino Linotype" w:eastAsia="Palatino Linotype" w:hAnsi="Palatino Linotype" w:cs="Palatino Linotype"/>
          <w:color w:val="000000"/>
          <w:sz w:val="22"/>
          <w:szCs w:val="22"/>
        </w:rPr>
        <w:lastRenderedPageBreak/>
        <w:t xml:space="preserve">Por ello, este Organismo Garante comprometido con la tutela de los derechos humanos confiados, señala que este exceso de plazo legal para resolver el presente asunto, resulta de carácter excepcional. </w:t>
      </w:r>
    </w:p>
    <w:p w:rsidR="006E5C6E" w:rsidRPr="00BD5CCC" w:rsidRDefault="006E5C6E" w:rsidP="006E5C6E">
      <w:pPr>
        <w:pBdr>
          <w:top w:val="nil"/>
          <w:left w:val="nil"/>
          <w:bottom w:val="nil"/>
          <w:right w:val="nil"/>
          <w:between w:val="nil"/>
        </w:pBdr>
        <w:spacing w:line="360" w:lineRule="auto"/>
        <w:ind w:right="113"/>
        <w:jc w:val="both"/>
        <w:rPr>
          <w:rFonts w:ascii="Palatino Linotype" w:eastAsia="Palatino Linotype" w:hAnsi="Palatino Linotype" w:cs="Palatino Linotype"/>
          <w:color w:val="000000"/>
          <w:sz w:val="22"/>
          <w:szCs w:val="22"/>
        </w:rPr>
      </w:pPr>
    </w:p>
    <w:p w:rsidR="00667AA0" w:rsidRPr="00BD5CCC" w:rsidRDefault="00667AA0" w:rsidP="00667AA0">
      <w:pPr>
        <w:pStyle w:val="Prrafodelista"/>
        <w:numPr>
          <w:ilvl w:val="0"/>
          <w:numId w:val="1"/>
        </w:numPr>
        <w:spacing w:line="360" w:lineRule="auto"/>
        <w:ind w:left="0" w:firstLine="0"/>
        <w:jc w:val="both"/>
        <w:rPr>
          <w:rFonts w:ascii="Palatino Linotype" w:hAnsi="Palatino Linotype" w:cs="Arial"/>
          <w:szCs w:val="22"/>
          <w:lang w:val="es-ES" w:eastAsia="es-ES"/>
        </w:rPr>
      </w:pPr>
      <w:r w:rsidRPr="00BD5CCC">
        <w:rPr>
          <w:rFonts w:ascii="Palatino Linotype" w:eastAsiaTheme="minorEastAsia" w:hAnsi="Palatino Linotype"/>
          <w:szCs w:val="22"/>
          <w:lang w:val="es-ES_tradnl" w:eastAsia="es-ES"/>
        </w:rPr>
        <w:t>La Comisionada Ponente decretó el cierre de instrucción</w:t>
      </w:r>
      <w:r w:rsidRPr="00BD5CCC">
        <w:rPr>
          <w:rFonts w:ascii="Palatino Linotype" w:eastAsiaTheme="minorEastAsia" w:hAnsi="Palatino Linotype" w:cs="Arial"/>
          <w:szCs w:val="22"/>
          <w:lang w:val="es-ES_tradnl" w:eastAsia="es-ES"/>
        </w:rPr>
        <w:t xml:space="preserve"> </w:t>
      </w:r>
      <w:r w:rsidRPr="00BD5CCC">
        <w:rPr>
          <w:rFonts w:ascii="Palatino Linotype" w:eastAsiaTheme="minorEastAsia" w:hAnsi="Palatino Linotype"/>
          <w:szCs w:val="22"/>
          <w:lang w:val="es-ES_tradnl" w:eastAsia="es-ES"/>
        </w:rPr>
        <w:t xml:space="preserve">mediante el acuerdo del </w:t>
      </w:r>
      <w:r w:rsidR="006E5C6E" w:rsidRPr="00BD5CCC">
        <w:rPr>
          <w:rFonts w:ascii="Palatino Linotype" w:eastAsiaTheme="minorEastAsia" w:hAnsi="Palatino Linotype"/>
          <w:szCs w:val="22"/>
          <w:lang w:val="es-ES_tradnl" w:eastAsia="es-ES"/>
        </w:rPr>
        <w:t>veintiséis (26) de noviembre</w:t>
      </w:r>
      <w:r w:rsidRPr="00BD5CCC">
        <w:rPr>
          <w:rFonts w:ascii="Palatino Linotype" w:eastAsiaTheme="minorEastAsia" w:hAnsi="Palatino Linotype"/>
          <w:szCs w:val="22"/>
          <w:lang w:val="es-ES_tradnl" w:eastAsia="es-ES"/>
        </w:rPr>
        <w:t xml:space="preserve"> de dos mil veinticuatro.</w:t>
      </w:r>
    </w:p>
    <w:p w:rsidR="006E5C6E" w:rsidRPr="00BD5CCC" w:rsidRDefault="006E5C6E" w:rsidP="006E5C6E">
      <w:pPr>
        <w:pStyle w:val="Prrafodelista"/>
        <w:rPr>
          <w:rFonts w:ascii="Palatino Linotype" w:hAnsi="Palatino Linotype" w:cs="Arial"/>
          <w:szCs w:val="22"/>
          <w:lang w:val="es-ES" w:eastAsia="es-ES"/>
        </w:rPr>
      </w:pPr>
    </w:p>
    <w:p w:rsidR="006E5C6E" w:rsidRPr="00BD5CCC" w:rsidRDefault="006E5C6E" w:rsidP="006E5C6E">
      <w:pPr>
        <w:pStyle w:val="Prrafodelista"/>
        <w:spacing w:line="360" w:lineRule="auto"/>
        <w:ind w:left="0"/>
        <w:jc w:val="both"/>
        <w:rPr>
          <w:rFonts w:ascii="Palatino Linotype" w:hAnsi="Palatino Linotype" w:cs="Arial"/>
          <w:szCs w:val="22"/>
          <w:lang w:val="es-ES" w:eastAsia="es-ES"/>
        </w:rPr>
      </w:pPr>
    </w:p>
    <w:p w:rsidR="00667AA0" w:rsidRPr="00BD5CCC" w:rsidRDefault="00667AA0" w:rsidP="00667AA0">
      <w:pPr>
        <w:spacing w:line="360" w:lineRule="auto"/>
        <w:rPr>
          <w:rFonts w:ascii="Palatino Linotype" w:hAnsi="Palatino Linotype" w:cs="Arial"/>
          <w:sz w:val="22"/>
          <w:szCs w:val="22"/>
          <w:lang w:val="es-ES" w:eastAsia="es-ES"/>
        </w:rPr>
      </w:pPr>
    </w:p>
    <w:p w:rsidR="00667AA0" w:rsidRPr="00BD5CCC" w:rsidRDefault="00667AA0" w:rsidP="00667AA0">
      <w:pPr>
        <w:spacing w:line="360" w:lineRule="auto"/>
        <w:jc w:val="center"/>
        <w:rPr>
          <w:rFonts w:ascii="Palatino Linotype" w:hAnsi="Palatino Linotype" w:cs="Arial"/>
          <w:sz w:val="22"/>
          <w:szCs w:val="22"/>
          <w:lang w:eastAsia="es-ES"/>
        </w:rPr>
      </w:pPr>
      <w:bookmarkStart w:id="1" w:name="_Toc66992242"/>
      <w:r w:rsidRPr="00BD5CCC">
        <w:rPr>
          <w:rFonts w:ascii="Palatino Linotype" w:hAnsi="Palatino Linotype" w:cs="Arial"/>
          <w:b/>
          <w:sz w:val="22"/>
          <w:szCs w:val="22"/>
          <w:lang w:eastAsia="es-ES"/>
        </w:rPr>
        <w:t>CONSIDERANDO</w:t>
      </w:r>
      <w:bookmarkEnd w:id="1"/>
    </w:p>
    <w:p w:rsidR="00667AA0" w:rsidRPr="00BD5CCC" w:rsidRDefault="00667AA0" w:rsidP="00667AA0">
      <w:pPr>
        <w:spacing w:line="360" w:lineRule="auto"/>
        <w:jc w:val="center"/>
        <w:rPr>
          <w:rFonts w:ascii="Palatino Linotype" w:hAnsi="Palatino Linotype" w:cs="Arial"/>
          <w:sz w:val="22"/>
          <w:szCs w:val="22"/>
          <w:lang w:eastAsia="es-ES"/>
        </w:rPr>
      </w:pPr>
    </w:p>
    <w:p w:rsidR="00667AA0" w:rsidRPr="00BD5CCC" w:rsidRDefault="00667AA0" w:rsidP="00667AA0">
      <w:pPr>
        <w:spacing w:line="360" w:lineRule="auto"/>
        <w:jc w:val="both"/>
        <w:rPr>
          <w:rFonts w:ascii="Palatino Linotype" w:hAnsi="Palatino Linotype" w:cs="Arial"/>
          <w:b/>
          <w:sz w:val="22"/>
          <w:szCs w:val="22"/>
          <w:lang w:eastAsia="es-ES"/>
        </w:rPr>
      </w:pPr>
      <w:bookmarkStart w:id="2" w:name="_Toc66992243"/>
      <w:r w:rsidRPr="00BD5CCC">
        <w:rPr>
          <w:rFonts w:ascii="Palatino Linotype" w:hAnsi="Palatino Linotype" w:cs="Arial"/>
          <w:b/>
          <w:sz w:val="22"/>
          <w:szCs w:val="22"/>
          <w:lang w:eastAsia="es-ES"/>
        </w:rPr>
        <w:t>PRIMERO. De la competencia</w:t>
      </w:r>
      <w:bookmarkEnd w:id="2"/>
    </w:p>
    <w:p w:rsidR="00667AA0" w:rsidRPr="00BD5CCC" w:rsidRDefault="00667AA0" w:rsidP="00667AA0">
      <w:pPr>
        <w:pStyle w:val="Prrafodelista"/>
        <w:numPr>
          <w:ilvl w:val="0"/>
          <w:numId w:val="1"/>
        </w:numPr>
        <w:spacing w:before="240" w:after="240" w:line="360" w:lineRule="auto"/>
        <w:ind w:left="0" w:firstLine="0"/>
        <w:jc w:val="both"/>
        <w:rPr>
          <w:rFonts w:ascii="Palatino Linotype" w:hAnsi="Palatino Linotype"/>
          <w:szCs w:val="22"/>
        </w:rPr>
      </w:pPr>
      <w:r w:rsidRPr="00BD5CCC">
        <w:rPr>
          <w:rFonts w:ascii="Palatino Linotype" w:hAnsi="Palatino Linotype"/>
          <w:szCs w:val="22"/>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667AA0" w:rsidRPr="00BD5CCC" w:rsidRDefault="00667AA0" w:rsidP="00667AA0">
      <w:pPr>
        <w:pStyle w:val="Prrafodelista"/>
        <w:spacing w:line="360" w:lineRule="auto"/>
        <w:ind w:left="0"/>
        <w:jc w:val="both"/>
        <w:rPr>
          <w:rFonts w:ascii="Palatino Linotype" w:hAnsi="Palatino Linotype" w:cs="Arial"/>
          <w:szCs w:val="22"/>
          <w:lang w:val="es-ES" w:eastAsia="es-ES"/>
        </w:rPr>
      </w:pPr>
    </w:p>
    <w:p w:rsidR="00667AA0" w:rsidRPr="00BD5CCC" w:rsidRDefault="00667AA0" w:rsidP="00667AA0">
      <w:pPr>
        <w:keepNext/>
        <w:keepLines/>
        <w:spacing w:line="360" w:lineRule="auto"/>
        <w:outlineLvl w:val="1"/>
        <w:rPr>
          <w:rFonts w:ascii="Palatino Linotype" w:eastAsiaTheme="majorEastAsia" w:hAnsi="Palatino Linotype" w:cstheme="majorBidi"/>
          <w:b/>
          <w:sz w:val="22"/>
          <w:szCs w:val="22"/>
        </w:rPr>
      </w:pPr>
      <w:bookmarkStart w:id="3" w:name="_Toc66992244"/>
      <w:r w:rsidRPr="00BD5CCC">
        <w:rPr>
          <w:rFonts w:ascii="Palatino Linotype" w:eastAsiaTheme="majorEastAsia" w:hAnsi="Palatino Linotype" w:cstheme="majorBidi"/>
          <w:b/>
          <w:sz w:val="22"/>
          <w:szCs w:val="22"/>
        </w:rPr>
        <w:t>SEGUNDO. De la oportunidad y procedencia.</w:t>
      </w:r>
      <w:bookmarkEnd w:id="3"/>
    </w:p>
    <w:p w:rsidR="00667AA0" w:rsidRPr="00BD5CCC" w:rsidRDefault="00667AA0" w:rsidP="00667AA0">
      <w:pPr>
        <w:pStyle w:val="Prrafodelista"/>
        <w:spacing w:line="360" w:lineRule="auto"/>
        <w:ind w:left="0"/>
        <w:jc w:val="both"/>
        <w:rPr>
          <w:rFonts w:ascii="Palatino Linotype" w:hAnsi="Palatino Linotype" w:cs="Arial"/>
          <w:szCs w:val="22"/>
          <w:lang w:val="es-ES" w:eastAsia="es-ES"/>
        </w:rPr>
      </w:pPr>
    </w:p>
    <w:p w:rsidR="00667AA0" w:rsidRPr="00BD5CCC" w:rsidRDefault="00667AA0" w:rsidP="00667AA0">
      <w:pPr>
        <w:pStyle w:val="Prrafodelista"/>
        <w:numPr>
          <w:ilvl w:val="0"/>
          <w:numId w:val="1"/>
        </w:numPr>
        <w:spacing w:line="360" w:lineRule="auto"/>
        <w:ind w:left="0" w:firstLine="0"/>
        <w:jc w:val="both"/>
        <w:rPr>
          <w:rFonts w:ascii="Palatino Linotype" w:hAnsi="Palatino Linotype" w:cs="Arial"/>
          <w:szCs w:val="22"/>
          <w:lang w:val="es-ES" w:eastAsia="es-ES"/>
        </w:rPr>
      </w:pPr>
      <w:r w:rsidRPr="00BD5CCC">
        <w:rPr>
          <w:rFonts w:ascii="Palatino Linotype" w:eastAsia="Calibri" w:hAnsi="Palatino Linotype" w:cs="Arial"/>
          <w:szCs w:val="22"/>
          <w:lang w:val="es-ES_tradnl" w:eastAsia="es-ES"/>
        </w:rPr>
        <w:t xml:space="preserve">El medio de impugnación fue presentado a través del </w:t>
      </w:r>
      <w:r w:rsidRPr="00BD5CCC">
        <w:rPr>
          <w:rFonts w:ascii="Palatino Linotype" w:eastAsia="Calibri" w:hAnsi="Palatino Linotype" w:cs="Arial"/>
          <w:b/>
          <w:szCs w:val="22"/>
          <w:lang w:val="es-ES_tradnl" w:eastAsia="es-ES"/>
        </w:rPr>
        <w:t>SAIMEX,</w:t>
      </w:r>
      <w:r w:rsidRPr="00BD5CCC">
        <w:rPr>
          <w:rFonts w:ascii="Palatino Linotype" w:eastAsia="Calibri" w:hAnsi="Palatino Linotype" w:cs="Arial"/>
          <w:szCs w:val="22"/>
          <w:lang w:val="es-ES_tradnl" w:eastAsia="es-ES"/>
        </w:rPr>
        <w:t xml:space="preserve"> en el formato previamente aprobado para tal efecto y dentro del plazo legal de quince días hábiles </w:t>
      </w:r>
      <w:r w:rsidRPr="00BD5CCC">
        <w:rPr>
          <w:rFonts w:ascii="Palatino Linotype" w:eastAsia="Calibri" w:hAnsi="Palatino Linotype" w:cs="Arial"/>
          <w:szCs w:val="22"/>
          <w:lang w:val="es-ES_tradnl" w:eastAsia="es-ES"/>
        </w:rPr>
        <w:lastRenderedPageBreak/>
        <w:t xml:space="preserve">otorgados; siendo así que el </w:t>
      </w:r>
      <w:r w:rsidRPr="00BD5CCC">
        <w:rPr>
          <w:rFonts w:ascii="Palatino Linotype" w:eastAsia="Calibri" w:hAnsi="Palatino Linotype" w:cs="Arial"/>
          <w:b/>
          <w:szCs w:val="22"/>
          <w:lang w:val="es-ES_tradnl" w:eastAsia="es-ES"/>
        </w:rPr>
        <w:t>SUJETO OBLIGADO</w:t>
      </w:r>
      <w:r w:rsidRPr="00BD5CCC">
        <w:rPr>
          <w:rFonts w:ascii="Palatino Linotype" w:eastAsia="Calibri" w:hAnsi="Palatino Linotype" w:cs="Arial"/>
          <w:szCs w:val="22"/>
          <w:lang w:val="es-ES_tradnl" w:eastAsia="es-ES"/>
        </w:rPr>
        <w:t xml:space="preserve"> entregó respuesta a la solicitud el día </w:t>
      </w:r>
      <w:r w:rsidR="006E5C6E" w:rsidRPr="00BD5CCC">
        <w:rPr>
          <w:rFonts w:ascii="Palatino Linotype" w:eastAsia="Calibri" w:hAnsi="Palatino Linotype" w:cs="Arial"/>
          <w:szCs w:val="22"/>
          <w:lang w:val="es-ES_tradnl" w:eastAsia="es-ES"/>
        </w:rPr>
        <w:t>veinticuatro (24) de mayo</w:t>
      </w:r>
      <w:r w:rsidRPr="00BD5CCC">
        <w:rPr>
          <w:rFonts w:ascii="Palatino Linotype" w:eastAsia="Calibri" w:hAnsi="Palatino Linotype" w:cs="Arial"/>
          <w:szCs w:val="22"/>
          <w:lang w:val="es-ES_tradnl" w:eastAsia="es-ES"/>
        </w:rPr>
        <w:t xml:space="preserve"> de dos mil veinticuatro, </w:t>
      </w:r>
      <w:r w:rsidRPr="00BD5CCC">
        <w:rPr>
          <w:rFonts w:ascii="Palatino Linotype" w:eastAsiaTheme="minorEastAsia" w:hAnsi="Palatino Linotype" w:cs="Arial"/>
          <w:szCs w:val="22"/>
          <w:lang w:val="es-ES_tradnl" w:eastAsia="es-ES"/>
        </w:rPr>
        <w:t xml:space="preserve">de tal forma que el plazo para interponer el recurso de revisión transcurrió del </w:t>
      </w:r>
      <w:r w:rsidR="006E5C6E" w:rsidRPr="00BD5CCC">
        <w:rPr>
          <w:rFonts w:ascii="Palatino Linotype" w:eastAsiaTheme="minorEastAsia" w:hAnsi="Palatino Linotype" w:cs="Arial"/>
          <w:szCs w:val="22"/>
          <w:lang w:val="es-ES_tradnl" w:eastAsia="es-ES"/>
        </w:rPr>
        <w:t>veintisiete (27) de mayo al catorce (14) de junio</w:t>
      </w:r>
      <w:r w:rsidRPr="00BD5CCC">
        <w:rPr>
          <w:rFonts w:ascii="Palatino Linotype" w:eastAsiaTheme="minorEastAsia" w:hAnsi="Palatino Linotype" w:cs="Arial"/>
          <w:szCs w:val="22"/>
          <w:lang w:val="es-ES_tradnl" w:eastAsia="es-ES"/>
        </w:rPr>
        <w:t xml:space="preserve"> de dos mil veinticuatro; en consecuencia, presentó su inconformidad </w:t>
      </w:r>
      <w:r w:rsidR="006E5C6E" w:rsidRPr="00BD5CCC">
        <w:rPr>
          <w:rFonts w:ascii="Palatino Linotype" w:eastAsiaTheme="minorEastAsia" w:hAnsi="Palatino Linotype" w:cs="Arial"/>
          <w:szCs w:val="22"/>
          <w:lang w:val="es-ES_tradnl" w:eastAsia="es-ES"/>
        </w:rPr>
        <w:t>el día veintinueve (29) de mayo</w:t>
      </w:r>
      <w:r w:rsidRPr="00BD5CCC">
        <w:rPr>
          <w:rFonts w:ascii="Palatino Linotype" w:eastAsiaTheme="minorEastAsia" w:hAnsi="Palatino Linotype" w:cs="Arial"/>
          <w:szCs w:val="22"/>
          <w:lang w:val="es-ES_tradnl" w:eastAsia="es-ES"/>
        </w:rPr>
        <w:t xml:space="preserve"> de dos mil veinticuatro, por lo que se encuentra dentro de los márgenes temporales previstos en el artículo 178 de la </w:t>
      </w:r>
      <w:r w:rsidRPr="00BD5CCC">
        <w:rPr>
          <w:rFonts w:ascii="Palatino Linotype" w:eastAsiaTheme="minorEastAsia" w:hAnsi="Palatino Linotype" w:cs="Arial"/>
          <w:b/>
          <w:szCs w:val="22"/>
          <w:lang w:val="es-ES_tradnl" w:eastAsia="es-ES"/>
        </w:rPr>
        <w:t xml:space="preserve">Ley de Transparencia y Acceso a la Información Pública del Estado de México y Municipios </w:t>
      </w:r>
      <w:r w:rsidRPr="00BD5CCC">
        <w:rPr>
          <w:rFonts w:ascii="Palatino Linotype" w:eastAsiaTheme="minorEastAsia" w:hAnsi="Palatino Linotype" w:cs="Arial"/>
          <w:szCs w:val="22"/>
          <w:lang w:val="es-ES_tradnl" w:eastAsia="es-ES"/>
        </w:rPr>
        <w:t>vigente.</w:t>
      </w:r>
    </w:p>
    <w:p w:rsidR="00667AA0" w:rsidRPr="00BD5CCC" w:rsidRDefault="00667AA0" w:rsidP="00667AA0">
      <w:pPr>
        <w:spacing w:line="360" w:lineRule="auto"/>
        <w:rPr>
          <w:rFonts w:ascii="Palatino Linotype" w:eastAsia="Calibri" w:hAnsi="Palatino Linotype" w:cs="Arial"/>
          <w:sz w:val="22"/>
          <w:szCs w:val="22"/>
          <w:lang w:val="es-ES_tradnl" w:eastAsia="es-ES"/>
        </w:rPr>
      </w:pPr>
    </w:p>
    <w:p w:rsidR="00667AA0" w:rsidRPr="00BD5CCC" w:rsidRDefault="00667AA0" w:rsidP="00667AA0">
      <w:pPr>
        <w:pStyle w:val="Prrafodelista"/>
        <w:numPr>
          <w:ilvl w:val="0"/>
          <w:numId w:val="1"/>
        </w:numPr>
        <w:spacing w:line="360" w:lineRule="auto"/>
        <w:ind w:left="0" w:firstLine="0"/>
        <w:jc w:val="both"/>
        <w:rPr>
          <w:rFonts w:ascii="Palatino Linotype" w:hAnsi="Palatino Linotype" w:cs="Arial"/>
          <w:szCs w:val="22"/>
          <w:lang w:val="es-ES" w:eastAsia="es-ES"/>
        </w:rPr>
      </w:pPr>
      <w:r w:rsidRPr="00BD5CCC">
        <w:rPr>
          <w:rFonts w:ascii="Palatino Linotype" w:eastAsia="Calibri" w:hAnsi="Palatino Linotype" w:cs="Arial"/>
          <w:szCs w:val="22"/>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67AA0" w:rsidRPr="00BD5CCC" w:rsidRDefault="00667AA0" w:rsidP="00667AA0">
      <w:pPr>
        <w:pStyle w:val="Prrafodelista"/>
        <w:rPr>
          <w:rFonts w:ascii="Palatino Linotype" w:hAnsi="Palatino Linotype" w:cs="Arial"/>
          <w:szCs w:val="22"/>
          <w:lang w:val="es-ES" w:eastAsia="es-ES"/>
        </w:rPr>
      </w:pPr>
    </w:p>
    <w:p w:rsidR="00667AA0" w:rsidRPr="00BD5CCC" w:rsidRDefault="00667AA0" w:rsidP="00667AA0">
      <w:pPr>
        <w:spacing w:line="360" w:lineRule="auto"/>
        <w:ind w:right="49"/>
        <w:contextualSpacing/>
        <w:jc w:val="both"/>
        <w:rPr>
          <w:rFonts w:ascii="Palatino Linotype" w:eastAsia="MS Gothic" w:hAnsi="Palatino Linotype" w:cstheme="majorBidi"/>
          <w:b/>
          <w:sz w:val="22"/>
          <w:szCs w:val="22"/>
          <w:lang w:eastAsia="es-ES"/>
        </w:rPr>
      </w:pPr>
      <w:r w:rsidRPr="00BD5CCC">
        <w:rPr>
          <w:rFonts w:ascii="Palatino Linotype" w:eastAsia="MS Gothic" w:hAnsi="Palatino Linotype" w:cstheme="majorBidi"/>
          <w:b/>
          <w:sz w:val="22"/>
          <w:szCs w:val="22"/>
          <w:lang w:val="es-ES_tradnl" w:eastAsia="es-ES"/>
        </w:rPr>
        <w:t>TERCERO. Planteamiento de la Litis</w:t>
      </w:r>
      <w:r w:rsidRPr="00BD5CCC">
        <w:rPr>
          <w:rFonts w:ascii="Palatino Linotype" w:eastAsia="MS Gothic" w:hAnsi="Palatino Linotype" w:cstheme="majorBidi"/>
          <w:b/>
          <w:sz w:val="22"/>
          <w:szCs w:val="22"/>
          <w:lang w:eastAsia="es-ES"/>
        </w:rPr>
        <w:t>.</w:t>
      </w:r>
    </w:p>
    <w:p w:rsidR="00667AA0" w:rsidRPr="00BD5CCC" w:rsidRDefault="00667AA0" w:rsidP="00667AA0">
      <w:pPr>
        <w:spacing w:line="360" w:lineRule="auto"/>
        <w:ind w:right="49"/>
        <w:contextualSpacing/>
        <w:jc w:val="both"/>
        <w:rPr>
          <w:rFonts w:ascii="Palatino Linotype" w:eastAsia="MS Gothic" w:hAnsi="Palatino Linotype" w:cstheme="majorBidi"/>
          <w:b/>
          <w:sz w:val="22"/>
          <w:szCs w:val="22"/>
          <w:lang w:eastAsia="es-ES"/>
        </w:rPr>
      </w:pPr>
    </w:p>
    <w:p w:rsidR="00667AA0" w:rsidRPr="00BD5CCC" w:rsidRDefault="00667AA0" w:rsidP="00667AA0">
      <w:pPr>
        <w:numPr>
          <w:ilvl w:val="0"/>
          <w:numId w:val="1"/>
        </w:numPr>
        <w:spacing w:line="360" w:lineRule="auto"/>
        <w:ind w:left="0" w:right="49" w:firstLine="0"/>
        <w:contextualSpacing/>
        <w:jc w:val="both"/>
        <w:rPr>
          <w:rFonts w:ascii="Palatino Linotype" w:eastAsia="MS Gothic" w:hAnsi="Palatino Linotype" w:cstheme="majorBidi"/>
          <w:sz w:val="22"/>
          <w:szCs w:val="22"/>
          <w:lang w:eastAsia="es-ES"/>
        </w:rPr>
      </w:pPr>
      <w:r w:rsidRPr="00BD5CCC">
        <w:rPr>
          <w:rFonts w:ascii="Palatino Linotype" w:eastAsia="MS Gothic" w:hAnsi="Palatino Linotype" w:cstheme="majorBidi"/>
          <w:sz w:val="22"/>
          <w:szCs w:val="22"/>
          <w:lang w:eastAsia="es-ES"/>
        </w:rPr>
        <w:t>El particular solicitó</w:t>
      </w:r>
      <w:r w:rsidR="006E5C6E" w:rsidRPr="00BD5CCC">
        <w:rPr>
          <w:rFonts w:ascii="Palatino Linotype" w:eastAsia="MS Gothic" w:hAnsi="Palatino Linotype" w:cstheme="majorBidi"/>
          <w:sz w:val="22"/>
          <w:szCs w:val="22"/>
          <w:lang w:eastAsia="es-ES"/>
        </w:rPr>
        <w:t xml:space="preserve"> el fundamento legal para que el Ayuntamiento preste los servicios facultativos (policía privada), registro federal de contribuyentes </w:t>
      </w:r>
      <w:r w:rsidR="00ED2EBE" w:rsidRPr="00BD5CCC">
        <w:rPr>
          <w:rFonts w:ascii="Palatino Linotype" w:eastAsia="MS Gothic" w:hAnsi="Palatino Linotype" w:cstheme="majorBidi"/>
          <w:sz w:val="22"/>
          <w:szCs w:val="22"/>
          <w:lang w:eastAsia="es-ES"/>
        </w:rPr>
        <w:t xml:space="preserve">con el que el Ayuntamiento está facturando a quienes contratan servicios de seguridad privada, régimen fiscal bajo el que emite facturas el ayuntamiento por dicho servicio, como declara el Ayuntamiento ante el Servicio de Administración Tributaria por los servicios de Seguridad privada, forma en que está contratado el personal de seguridad privada que presta servicios facultativos y si están dados de alta como policías municipales, forma en que los policías privados obtuvieron la licencia de portación de arma de fuego, bajo que licencia se obtuvieron las armas de fuego, características de las armas de fuego y si son de uso exclusivo de las fuerzas armadas. </w:t>
      </w:r>
    </w:p>
    <w:p w:rsidR="00667AA0" w:rsidRPr="00BD5CCC" w:rsidRDefault="00667AA0" w:rsidP="00667AA0">
      <w:pPr>
        <w:spacing w:line="360" w:lineRule="auto"/>
        <w:ind w:right="49"/>
        <w:contextualSpacing/>
        <w:jc w:val="both"/>
        <w:rPr>
          <w:rFonts w:ascii="Palatino Linotype" w:eastAsia="MS Gothic" w:hAnsi="Palatino Linotype" w:cstheme="majorBidi"/>
          <w:sz w:val="22"/>
          <w:szCs w:val="22"/>
          <w:lang w:eastAsia="es-ES"/>
        </w:rPr>
      </w:pPr>
    </w:p>
    <w:p w:rsidR="00667AA0" w:rsidRPr="00BD5CCC" w:rsidRDefault="00667AA0" w:rsidP="00667AA0">
      <w:pPr>
        <w:numPr>
          <w:ilvl w:val="0"/>
          <w:numId w:val="1"/>
        </w:numPr>
        <w:spacing w:line="360" w:lineRule="auto"/>
        <w:ind w:left="0" w:right="49" w:firstLine="0"/>
        <w:contextualSpacing/>
        <w:jc w:val="both"/>
        <w:rPr>
          <w:rFonts w:ascii="Palatino Linotype" w:eastAsia="MS Gothic" w:hAnsi="Palatino Linotype" w:cstheme="majorBidi"/>
          <w:sz w:val="22"/>
          <w:szCs w:val="22"/>
          <w:lang w:eastAsia="es-ES"/>
        </w:rPr>
      </w:pPr>
      <w:r w:rsidRPr="00BD5CCC">
        <w:rPr>
          <w:rFonts w:ascii="Palatino Linotype" w:eastAsia="MS Gothic" w:hAnsi="Palatino Linotype" w:cstheme="majorBidi"/>
          <w:sz w:val="22"/>
          <w:szCs w:val="22"/>
          <w:lang w:eastAsia="es-ES"/>
        </w:rPr>
        <w:lastRenderedPageBreak/>
        <w:t xml:space="preserve">En respuesta, el Sujeto Obligado </w:t>
      </w:r>
      <w:r w:rsidR="00AB38EE" w:rsidRPr="00BD5CCC">
        <w:rPr>
          <w:rFonts w:ascii="Palatino Linotype" w:eastAsia="MS Gothic" w:hAnsi="Palatino Linotype" w:cstheme="majorBidi"/>
          <w:sz w:val="22"/>
          <w:szCs w:val="22"/>
          <w:lang w:eastAsia="es-ES"/>
        </w:rPr>
        <w:t>señaló que no cuenta con elementos de policía privada, que el personal que se encuentra asignado a la Unidad de Servicios facultativos cuenta con plaza operativa (policía municipal) y que se encargan de prestar servicios de Seguridad Pública. Posteriormente, el particular se inconformó por las siguientes razones “CUENTAN CON UNIDAD DE SERVICIOS FACULTATIVOS, NO EXPLICAN CUAL ES LA FUNCION DE DICHA UNIDAD, ES DECIR COBRAN EL SERVICIO DE SEGURIDAD PUBLICA, COMO SI FUESEN SEGURIDAD PRIVADA, NIEGAN SER SEGURIDAD PRIVADA, NO SEÑALAN DONDE SE DIRECCIONA EL DINERO RECAUDADO POR DICHA PRESTACION DE POLICIAS PREVENTIVOS”.</w:t>
      </w:r>
    </w:p>
    <w:p w:rsidR="006E5C6E" w:rsidRPr="00BD5CCC" w:rsidRDefault="006E5C6E" w:rsidP="006E5C6E">
      <w:pPr>
        <w:spacing w:line="360" w:lineRule="auto"/>
        <w:ind w:right="49"/>
        <w:contextualSpacing/>
        <w:jc w:val="both"/>
        <w:rPr>
          <w:rFonts w:ascii="Palatino Linotype" w:eastAsia="MS Gothic" w:hAnsi="Palatino Linotype" w:cstheme="majorBidi"/>
          <w:sz w:val="22"/>
          <w:szCs w:val="22"/>
          <w:lang w:eastAsia="es-ES"/>
        </w:rPr>
      </w:pPr>
    </w:p>
    <w:p w:rsidR="00667AA0" w:rsidRPr="00BD5CCC" w:rsidRDefault="00667AA0" w:rsidP="00667AA0">
      <w:pPr>
        <w:numPr>
          <w:ilvl w:val="0"/>
          <w:numId w:val="1"/>
        </w:numPr>
        <w:spacing w:line="360" w:lineRule="auto"/>
        <w:ind w:left="0" w:right="49" w:firstLine="0"/>
        <w:contextualSpacing/>
        <w:jc w:val="both"/>
        <w:rPr>
          <w:rFonts w:ascii="Palatino Linotype" w:eastAsia="MS Gothic" w:hAnsi="Palatino Linotype" w:cstheme="majorBidi"/>
          <w:b/>
          <w:sz w:val="22"/>
          <w:szCs w:val="22"/>
          <w:lang w:eastAsia="es-ES"/>
        </w:rPr>
      </w:pPr>
      <w:r w:rsidRPr="00BD5CCC">
        <w:rPr>
          <w:rFonts w:ascii="Palatino Linotype" w:eastAsia="MS Gothic" w:hAnsi="Palatino Linotype" w:cstheme="majorBidi"/>
          <w:sz w:val="22"/>
          <w:szCs w:val="22"/>
          <w:lang w:eastAsia="es-ES"/>
        </w:rPr>
        <w:t xml:space="preserve">En consecuencia, la Litis a resolver en este recurso, se circunscribe a determinar si la respuesta colma con lo solicitado o si se actualiza la causal de procedencia prevista en el artículo 179, fracción I y V de la Ley de Transparencia y Acceso a la Información Pública del Estado de México y Municipios; que establece la negativa de la información y la entrega de información incompleta. </w:t>
      </w:r>
    </w:p>
    <w:p w:rsidR="00667AA0" w:rsidRPr="00BD5CCC" w:rsidRDefault="00667AA0" w:rsidP="00667AA0">
      <w:pPr>
        <w:spacing w:line="360" w:lineRule="auto"/>
        <w:ind w:right="49"/>
        <w:contextualSpacing/>
        <w:jc w:val="both"/>
        <w:rPr>
          <w:rFonts w:ascii="Palatino Linotype" w:eastAsia="MS Gothic" w:hAnsi="Palatino Linotype"/>
          <w:sz w:val="22"/>
          <w:szCs w:val="22"/>
        </w:rPr>
      </w:pPr>
    </w:p>
    <w:p w:rsidR="00667AA0" w:rsidRPr="00BD5CCC" w:rsidRDefault="00667AA0" w:rsidP="00667AA0">
      <w:pPr>
        <w:keepNext/>
        <w:keepLines/>
        <w:spacing w:line="360" w:lineRule="auto"/>
        <w:ind w:right="48"/>
        <w:outlineLvl w:val="0"/>
        <w:rPr>
          <w:rFonts w:ascii="Palatino Linotype" w:eastAsia="MS Gothic" w:hAnsi="Palatino Linotype" w:cstheme="majorBidi"/>
          <w:b/>
          <w:sz w:val="22"/>
          <w:szCs w:val="22"/>
          <w:lang w:val="es-ES_tradnl" w:eastAsia="es-ES"/>
        </w:rPr>
      </w:pPr>
      <w:bookmarkStart w:id="4" w:name="_Toc70417466"/>
      <w:bookmarkStart w:id="5" w:name="_Toc80812775"/>
      <w:bookmarkStart w:id="6" w:name="_Toc83301638"/>
      <w:r w:rsidRPr="00BD5CCC">
        <w:rPr>
          <w:rFonts w:ascii="Palatino Linotype" w:eastAsia="MS Gothic" w:hAnsi="Palatino Linotype" w:cstheme="majorBidi"/>
          <w:b/>
          <w:sz w:val="22"/>
          <w:szCs w:val="22"/>
          <w:lang w:val="es-ES_tradnl" w:eastAsia="es-ES"/>
        </w:rPr>
        <w:t>CUARTO. Del estudio y resolución del recurso de revisión.</w:t>
      </w:r>
      <w:bookmarkEnd w:id="4"/>
      <w:bookmarkEnd w:id="5"/>
      <w:bookmarkEnd w:id="6"/>
    </w:p>
    <w:p w:rsidR="00667AA0" w:rsidRPr="00BD5CCC" w:rsidRDefault="00667AA0" w:rsidP="00667AA0">
      <w:pPr>
        <w:spacing w:line="360" w:lineRule="auto"/>
        <w:ind w:right="49"/>
        <w:contextualSpacing/>
        <w:jc w:val="both"/>
        <w:rPr>
          <w:rFonts w:ascii="Palatino Linotype" w:eastAsiaTheme="minorEastAsia" w:hAnsi="Palatino Linotype"/>
          <w:sz w:val="22"/>
          <w:szCs w:val="22"/>
          <w:lang w:val="es-ES_tradnl" w:eastAsia="es-ES"/>
        </w:rPr>
      </w:pPr>
    </w:p>
    <w:p w:rsidR="00667AA0" w:rsidRPr="00BD5CCC" w:rsidRDefault="00667AA0" w:rsidP="00667AA0">
      <w:pPr>
        <w:numPr>
          <w:ilvl w:val="0"/>
          <w:numId w:val="1"/>
        </w:numPr>
        <w:spacing w:line="360" w:lineRule="auto"/>
        <w:ind w:left="0" w:right="49" w:firstLine="0"/>
        <w:contextualSpacing/>
        <w:jc w:val="both"/>
        <w:rPr>
          <w:rFonts w:ascii="Palatino Linotype" w:eastAsiaTheme="minorEastAsia" w:hAnsi="Palatino Linotype"/>
          <w:sz w:val="22"/>
          <w:szCs w:val="22"/>
          <w:lang w:val="es-ES_tradnl" w:eastAsia="es-ES"/>
        </w:rPr>
      </w:pPr>
      <w:r w:rsidRPr="00BD5CCC">
        <w:rPr>
          <w:rFonts w:ascii="Palatino Linotype" w:eastAsia="Cambria" w:hAnsi="Palatino Linotype" w:cs="Arial"/>
          <w:sz w:val="22"/>
          <w:szCs w:val="22"/>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BD5CCC">
        <w:rPr>
          <w:rFonts w:ascii="Palatino Linotype" w:eastAsia="Calibri" w:hAnsi="Palatino Linotype" w:cs="Arial"/>
          <w:sz w:val="22"/>
          <w:szCs w:val="22"/>
          <w:lang w:val="es-ES"/>
        </w:rPr>
        <w:t>Ley de Transparencia y Acceso a la Información Pública del Estado de México y Municipios</w:t>
      </w:r>
      <w:r w:rsidRPr="00BD5CCC">
        <w:rPr>
          <w:rFonts w:ascii="Palatino Linotype" w:hAnsi="Palatino Linotype" w:cs="Arial"/>
          <w:sz w:val="22"/>
          <w:szCs w:val="22"/>
          <w:lang w:val="es-ES"/>
        </w:rPr>
        <w:t>.</w:t>
      </w:r>
    </w:p>
    <w:p w:rsidR="002F3569" w:rsidRPr="00BD5CCC" w:rsidRDefault="002F3569" w:rsidP="002F3569">
      <w:pPr>
        <w:spacing w:line="360" w:lineRule="auto"/>
        <w:ind w:right="49"/>
        <w:contextualSpacing/>
        <w:jc w:val="both"/>
        <w:rPr>
          <w:rFonts w:ascii="Palatino Linotype" w:eastAsiaTheme="minorEastAsia" w:hAnsi="Palatino Linotype"/>
          <w:sz w:val="22"/>
          <w:szCs w:val="22"/>
          <w:lang w:val="es-ES_tradnl" w:eastAsia="es-ES"/>
        </w:rPr>
      </w:pPr>
    </w:p>
    <w:p w:rsidR="00A77B4C" w:rsidRPr="00BD5CCC" w:rsidRDefault="002F3569" w:rsidP="002F3569">
      <w:pPr>
        <w:numPr>
          <w:ilvl w:val="0"/>
          <w:numId w:val="1"/>
        </w:numPr>
        <w:spacing w:line="360" w:lineRule="auto"/>
        <w:ind w:left="0" w:right="49" w:firstLine="0"/>
        <w:contextualSpacing/>
        <w:jc w:val="both"/>
        <w:rPr>
          <w:rFonts w:ascii="Palatino Linotype" w:eastAsia="MS Gothic" w:hAnsi="Palatino Linotype" w:cstheme="majorBidi"/>
          <w:sz w:val="22"/>
          <w:szCs w:val="22"/>
          <w:lang w:eastAsia="es-ES"/>
        </w:rPr>
      </w:pPr>
      <w:r w:rsidRPr="00BD5CCC">
        <w:rPr>
          <w:rFonts w:ascii="Palatino Linotype" w:hAnsi="Palatino Linotype" w:cs="Arial"/>
          <w:sz w:val="22"/>
          <w:szCs w:val="22"/>
          <w:lang w:val="es-ES"/>
        </w:rPr>
        <w:t xml:space="preserve">En este caso, el particular solicitó </w:t>
      </w:r>
      <w:r w:rsidRPr="00BD5CCC">
        <w:rPr>
          <w:rFonts w:ascii="Palatino Linotype" w:hAnsi="Palatino Linotype" w:cs="Arial"/>
          <w:sz w:val="22"/>
          <w:szCs w:val="22"/>
        </w:rPr>
        <w:t xml:space="preserve">el fundamento legal para que el Ayuntamiento preste los servicios facultativos (policía privada), registro federal de contribuyentes con el que el Ayuntamiento está facturando a quienes contratan servicios de seguridad privada, régimen </w:t>
      </w:r>
      <w:r w:rsidRPr="00BD5CCC">
        <w:rPr>
          <w:rFonts w:ascii="Palatino Linotype" w:hAnsi="Palatino Linotype" w:cs="Arial"/>
          <w:sz w:val="22"/>
          <w:szCs w:val="22"/>
        </w:rPr>
        <w:lastRenderedPageBreak/>
        <w:t>fiscal bajo el que emite facturas el ayuntamiento por dicho servicio, como declara el Ayuntamiento ante el Servicio de Administración Tributaria por los servicios de Seguridad privada, forma en que está contratado el personal de seguridad privada que presta servicios facultativos y si están dados de alta como policías municipales, forma en que los policías privados obtuvieron la licencia de portación de arma de fuego, bajo que licencia se obtuvieron las armas de fuego, características de las armas de fuego y si son de uso exclusivo de las fuerzas armadas.</w:t>
      </w:r>
      <w:r w:rsidR="00A77B4C" w:rsidRPr="00BD5CCC">
        <w:rPr>
          <w:rFonts w:ascii="Palatino Linotype" w:hAnsi="Palatino Linotype" w:cs="Arial"/>
          <w:sz w:val="22"/>
          <w:szCs w:val="22"/>
        </w:rPr>
        <w:t xml:space="preserve"> </w:t>
      </w:r>
    </w:p>
    <w:p w:rsidR="00A77B4C" w:rsidRPr="00BD5CCC" w:rsidRDefault="00A77B4C" w:rsidP="00A77B4C">
      <w:pPr>
        <w:pStyle w:val="Prrafodelista"/>
        <w:rPr>
          <w:rFonts w:ascii="Palatino Linotype" w:hAnsi="Palatino Linotype" w:cs="Arial"/>
          <w:szCs w:val="22"/>
        </w:rPr>
      </w:pPr>
    </w:p>
    <w:p w:rsidR="002F3569" w:rsidRPr="00BD5CCC" w:rsidRDefault="00A77B4C" w:rsidP="002F3569">
      <w:pPr>
        <w:numPr>
          <w:ilvl w:val="0"/>
          <w:numId w:val="1"/>
        </w:numPr>
        <w:spacing w:line="360" w:lineRule="auto"/>
        <w:ind w:left="0" w:right="49" w:firstLine="0"/>
        <w:contextualSpacing/>
        <w:jc w:val="both"/>
        <w:rPr>
          <w:rFonts w:ascii="Palatino Linotype" w:eastAsia="MS Gothic" w:hAnsi="Palatino Linotype" w:cstheme="majorBidi"/>
          <w:sz w:val="22"/>
          <w:szCs w:val="22"/>
          <w:lang w:eastAsia="es-ES"/>
        </w:rPr>
      </w:pPr>
      <w:r w:rsidRPr="00BD5CCC">
        <w:rPr>
          <w:rFonts w:ascii="Palatino Linotype" w:hAnsi="Palatino Linotype" w:cs="Arial"/>
          <w:sz w:val="22"/>
          <w:szCs w:val="22"/>
        </w:rPr>
        <w:t>En respuesta, el Sujeto Obligado señaló que no que no cuenta con elementos de policía privada, que el personal que se encuentra asignado a la Unidad de Servicios facultativos cuenta con plaza operativa (policía municipal) y que se encargan de prestar servicios de Seguridad Pública</w:t>
      </w:r>
    </w:p>
    <w:p w:rsidR="002F3569" w:rsidRPr="00BD5CCC" w:rsidRDefault="002F3569" w:rsidP="002F3569">
      <w:pPr>
        <w:pStyle w:val="Prrafodelista"/>
        <w:rPr>
          <w:rFonts w:ascii="Palatino Linotype" w:hAnsi="Palatino Linotype" w:cs="Arial"/>
          <w:szCs w:val="22"/>
          <w:lang w:val="es-ES"/>
        </w:rPr>
      </w:pPr>
    </w:p>
    <w:p w:rsidR="002F3569" w:rsidRPr="00BD5CCC" w:rsidRDefault="002F3569" w:rsidP="00425E5A">
      <w:pPr>
        <w:numPr>
          <w:ilvl w:val="0"/>
          <w:numId w:val="1"/>
        </w:numPr>
        <w:spacing w:line="360" w:lineRule="auto"/>
        <w:ind w:left="0" w:right="49" w:firstLine="0"/>
        <w:contextualSpacing/>
        <w:jc w:val="both"/>
        <w:rPr>
          <w:rFonts w:ascii="Palatino Linotype" w:eastAsia="MS Gothic" w:hAnsi="Palatino Linotype" w:cstheme="majorBidi"/>
          <w:sz w:val="22"/>
          <w:szCs w:val="22"/>
          <w:lang w:eastAsia="es-ES"/>
        </w:rPr>
      </w:pPr>
      <w:r w:rsidRPr="00BD5CCC">
        <w:rPr>
          <w:rFonts w:ascii="Palatino Linotype" w:eastAsia="MS Gothic" w:hAnsi="Palatino Linotype" w:cstheme="majorBidi"/>
          <w:sz w:val="22"/>
          <w:szCs w:val="22"/>
          <w:lang w:eastAsia="es-ES"/>
        </w:rPr>
        <w:t>En ese contexto, derivado de la naturaleza de la información solicitada, procede traer a contexto lo establecido en el artículo 103 de la Ley de Seguridad del Estado de México, que establece:</w:t>
      </w:r>
    </w:p>
    <w:p w:rsidR="002F3569" w:rsidRPr="00BD5CCC" w:rsidRDefault="002F3569" w:rsidP="002F3569">
      <w:pPr>
        <w:pStyle w:val="Prrafodelista"/>
        <w:rPr>
          <w:rFonts w:ascii="Palatino Linotype" w:eastAsia="MS Gothic" w:hAnsi="Palatino Linotype" w:cstheme="majorBidi"/>
          <w:szCs w:val="22"/>
          <w:lang w:eastAsia="es-ES"/>
        </w:rPr>
      </w:pPr>
    </w:p>
    <w:p w:rsidR="009D1DBC" w:rsidRPr="00BD5CCC" w:rsidRDefault="002F3569" w:rsidP="009D1DBC">
      <w:pPr>
        <w:spacing w:line="360" w:lineRule="auto"/>
        <w:ind w:left="851" w:right="822"/>
        <w:contextualSpacing/>
        <w:jc w:val="both"/>
        <w:rPr>
          <w:rFonts w:ascii="Palatino Linotype" w:eastAsia="MS Gothic" w:hAnsi="Palatino Linotype" w:cstheme="majorBidi"/>
          <w:i/>
          <w:sz w:val="22"/>
          <w:szCs w:val="22"/>
          <w:lang w:eastAsia="es-ES"/>
        </w:rPr>
      </w:pPr>
      <w:r w:rsidRPr="00BD5CCC">
        <w:rPr>
          <w:rFonts w:ascii="Palatino Linotype" w:eastAsia="MS Gothic" w:hAnsi="Palatino Linotype" w:cstheme="majorBidi"/>
          <w:i/>
          <w:sz w:val="22"/>
          <w:szCs w:val="22"/>
          <w:lang w:eastAsia="es-ES"/>
        </w:rPr>
        <w:t xml:space="preserve">Artículo 103. Los servidores públicos de las Instituciones de Seguridad Pública deberán contar, para su ingreso y permanencia, con el Certificado y registro correspondientes, los cuales deberán ser inscritos en el Registro Nacional de Personal de las Instituciones de Seguridad Pública del Sistema Nacional, y en la Base de Datos de Personal de Instituciones de Seguridad Pública del Sistema Estatal, de conformidad con lo establecido por la Ley General, esta Ley y demás disposiciones jurídicas aplicables. Las Instituciones de Seguridad Pública que cancelen algún Certificado, deberán hacer la anotación respectiva de inmediato. </w:t>
      </w:r>
    </w:p>
    <w:p w:rsidR="009D1DBC" w:rsidRPr="00BD5CCC" w:rsidRDefault="009D1DBC" w:rsidP="009D1DBC">
      <w:pPr>
        <w:spacing w:line="360" w:lineRule="auto"/>
        <w:ind w:left="851" w:right="822"/>
        <w:contextualSpacing/>
        <w:jc w:val="both"/>
        <w:rPr>
          <w:rFonts w:ascii="Palatino Linotype" w:eastAsia="MS Gothic" w:hAnsi="Palatino Linotype" w:cstheme="majorBidi"/>
          <w:b/>
          <w:i/>
          <w:sz w:val="22"/>
          <w:szCs w:val="22"/>
          <w:lang w:eastAsia="es-ES"/>
        </w:rPr>
      </w:pPr>
    </w:p>
    <w:p w:rsidR="009D1DBC" w:rsidRPr="00BD5CCC" w:rsidRDefault="002F3569" w:rsidP="009D1DBC">
      <w:pPr>
        <w:spacing w:line="360" w:lineRule="auto"/>
        <w:ind w:left="851" w:right="822"/>
        <w:contextualSpacing/>
        <w:jc w:val="both"/>
        <w:rPr>
          <w:rFonts w:ascii="Palatino Linotype" w:eastAsia="MS Gothic" w:hAnsi="Palatino Linotype" w:cstheme="majorBidi"/>
          <w:b/>
          <w:i/>
          <w:sz w:val="22"/>
          <w:szCs w:val="22"/>
          <w:lang w:eastAsia="es-ES"/>
        </w:rPr>
      </w:pPr>
      <w:r w:rsidRPr="00BD5CCC">
        <w:rPr>
          <w:rFonts w:ascii="Palatino Linotype" w:eastAsia="MS Gothic" w:hAnsi="Palatino Linotype" w:cstheme="majorBidi"/>
          <w:b/>
          <w:i/>
          <w:sz w:val="22"/>
          <w:szCs w:val="22"/>
          <w:lang w:eastAsia="es-ES"/>
        </w:rPr>
        <w:t xml:space="preserve">El Estado podrá proporcionar servicios de protección, custodia, vigilancia y seguridad a dependencias y organismos públicos, sociedades mercantiles, </w:t>
      </w:r>
      <w:r w:rsidRPr="00BD5CCC">
        <w:rPr>
          <w:rFonts w:ascii="Palatino Linotype" w:eastAsia="MS Gothic" w:hAnsi="Palatino Linotype" w:cstheme="majorBidi"/>
          <w:b/>
          <w:i/>
          <w:sz w:val="22"/>
          <w:szCs w:val="22"/>
          <w:lang w:eastAsia="es-ES"/>
        </w:rPr>
        <w:lastRenderedPageBreak/>
        <w:t xml:space="preserve">asociaciones, instituciones educativas y particulares, por conducto de los organismos que se creen con base en las normas legales aplicables, en su carácter de auxiliares de la función de seguridad pública. 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 </w:t>
      </w:r>
    </w:p>
    <w:p w:rsidR="002F3569" w:rsidRPr="00BD5CCC" w:rsidRDefault="002F3569" w:rsidP="009D1DBC">
      <w:pPr>
        <w:spacing w:line="360" w:lineRule="auto"/>
        <w:ind w:left="851" w:right="822"/>
        <w:contextualSpacing/>
        <w:jc w:val="both"/>
        <w:rPr>
          <w:rFonts w:ascii="Palatino Linotype" w:eastAsia="MS Gothic" w:hAnsi="Palatino Linotype" w:cstheme="majorBidi"/>
          <w:i/>
          <w:sz w:val="22"/>
          <w:szCs w:val="22"/>
          <w:lang w:eastAsia="es-ES"/>
        </w:rPr>
      </w:pPr>
      <w:r w:rsidRPr="00BD5CCC">
        <w:rPr>
          <w:rFonts w:ascii="Palatino Linotype" w:eastAsia="MS Gothic" w:hAnsi="Palatino Linotype" w:cstheme="majorBidi"/>
          <w:i/>
          <w:sz w:val="22"/>
          <w:szCs w:val="22"/>
          <w:lang w:eastAsia="es-ES"/>
        </w:rPr>
        <w:t>El personal que integre los organismos antes referidos deberá sujetarse a las disposiciones que establece esta Ley en materia de desarrollo policial, así como someterse a las evaluaciones para contar con la certificación respectiva.</w:t>
      </w:r>
    </w:p>
    <w:p w:rsidR="009D1DBC" w:rsidRPr="00BD5CCC" w:rsidRDefault="009D1DBC" w:rsidP="009D1DBC">
      <w:pPr>
        <w:spacing w:line="360" w:lineRule="auto"/>
        <w:ind w:left="851" w:right="822"/>
        <w:contextualSpacing/>
        <w:jc w:val="both"/>
        <w:rPr>
          <w:rFonts w:ascii="Palatino Linotype" w:eastAsia="MS Gothic" w:hAnsi="Palatino Linotype" w:cstheme="majorBidi"/>
          <w:i/>
          <w:sz w:val="22"/>
          <w:szCs w:val="22"/>
          <w:lang w:eastAsia="es-ES"/>
        </w:rPr>
      </w:pPr>
    </w:p>
    <w:p w:rsidR="002F3569" w:rsidRPr="00BD5CCC" w:rsidRDefault="009D1DBC" w:rsidP="00425E5A">
      <w:pPr>
        <w:numPr>
          <w:ilvl w:val="0"/>
          <w:numId w:val="1"/>
        </w:numPr>
        <w:spacing w:line="360" w:lineRule="auto"/>
        <w:ind w:left="0" w:right="49" w:firstLine="0"/>
        <w:contextualSpacing/>
        <w:jc w:val="both"/>
        <w:rPr>
          <w:rFonts w:ascii="Palatino Linotype" w:eastAsia="MS Gothic" w:hAnsi="Palatino Linotype" w:cstheme="majorBidi"/>
          <w:sz w:val="22"/>
          <w:szCs w:val="22"/>
          <w:lang w:eastAsia="es-ES"/>
        </w:rPr>
      </w:pPr>
      <w:r w:rsidRPr="00BD5CCC">
        <w:rPr>
          <w:rFonts w:ascii="Palatino Linotype" w:eastAsia="MS Gothic" w:hAnsi="Palatino Linotype" w:cstheme="majorBidi"/>
          <w:sz w:val="22"/>
          <w:szCs w:val="22"/>
          <w:lang w:eastAsia="es-ES"/>
        </w:rPr>
        <w:t>Por su parte, el Reglamento Inter</w:t>
      </w:r>
      <w:r w:rsidR="00BF0BAC" w:rsidRPr="00BD5CCC">
        <w:rPr>
          <w:rFonts w:ascii="Palatino Linotype" w:eastAsia="MS Gothic" w:hAnsi="Palatino Linotype" w:cstheme="majorBidi"/>
          <w:sz w:val="22"/>
          <w:szCs w:val="22"/>
          <w:lang w:eastAsia="es-ES"/>
        </w:rPr>
        <w:t xml:space="preserve">no de la Dirección </w:t>
      </w:r>
      <w:r w:rsidRPr="00BD5CCC">
        <w:rPr>
          <w:rFonts w:ascii="Palatino Linotype" w:eastAsia="MS Gothic" w:hAnsi="Palatino Linotype" w:cstheme="majorBidi"/>
          <w:sz w:val="22"/>
          <w:szCs w:val="22"/>
          <w:lang w:eastAsia="es-ES"/>
        </w:rPr>
        <w:t>de Seguridad Pública</w:t>
      </w:r>
      <w:r w:rsidR="00BF0BAC" w:rsidRPr="00BD5CCC">
        <w:rPr>
          <w:rFonts w:ascii="Palatino Linotype" w:eastAsia="MS Gothic" w:hAnsi="Palatino Linotype" w:cstheme="majorBidi"/>
          <w:sz w:val="22"/>
          <w:szCs w:val="22"/>
          <w:lang w:eastAsia="es-ES"/>
        </w:rPr>
        <w:t xml:space="preserve"> y Tránsito Municipal de Atizapán de Zaragoza,</w:t>
      </w:r>
      <w:r w:rsidRPr="00BD5CCC">
        <w:rPr>
          <w:rFonts w:ascii="Palatino Linotype" w:eastAsia="MS Gothic" w:hAnsi="Palatino Linotype" w:cstheme="majorBidi"/>
          <w:sz w:val="22"/>
          <w:szCs w:val="22"/>
          <w:lang w:eastAsia="es-ES"/>
        </w:rPr>
        <w:t xml:space="preserve"> establece</w:t>
      </w:r>
      <w:r w:rsidR="00BF0BAC" w:rsidRPr="00BD5CCC">
        <w:rPr>
          <w:rFonts w:ascii="Palatino Linotype" w:eastAsia="MS Gothic" w:hAnsi="Palatino Linotype" w:cstheme="majorBidi"/>
          <w:sz w:val="22"/>
          <w:szCs w:val="22"/>
          <w:lang w:eastAsia="es-ES"/>
        </w:rPr>
        <w:t xml:space="preserve"> en el Capítulo II artículo 15 y 16 lo siguiente:</w:t>
      </w:r>
    </w:p>
    <w:p w:rsidR="00BF0BAC" w:rsidRPr="00BD5CCC" w:rsidRDefault="00BF0BAC" w:rsidP="00BF0BAC">
      <w:pPr>
        <w:spacing w:line="360" w:lineRule="auto"/>
        <w:ind w:right="49"/>
        <w:contextualSpacing/>
        <w:jc w:val="both"/>
        <w:rPr>
          <w:rFonts w:ascii="Palatino Linotype" w:eastAsia="MS Gothic" w:hAnsi="Palatino Linotype" w:cstheme="majorBidi"/>
          <w:sz w:val="22"/>
          <w:szCs w:val="22"/>
          <w:lang w:eastAsia="es-ES"/>
        </w:rPr>
      </w:pP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CAPITULO II </w:t>
      </w: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UNIDAD DE SERVICIOS FACULTATIVOS </w:t>
      </w: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Artículo 15.- La Unidad de Servicios Facultativos, es el área que tiene como objetivo garantizar la plena seguridad de los contratantes, generando así el crecimiento de confianza a la Corporación de Policía del Honorable Ayuntamiento de Atizapán de Zaragoza, así como contribuir a la disminución del índice delictivo en las colonias, fraccionamientos, empresas, casas habitacionales y demás lugares circunscritos en el Municipio en el que tenga presencia la Policía Facultativa, así como apoyar y salvaguardar la integridad física y patrimonial de los contratantes, previniendo conductas antisociales y/o delictivas, incrementando la capacidad de respuesta a la demanda de la ciudadanía en materia de seguridad privada. </w:t>
      </w:r>
    </w:p>
    <w:p w:rsidR="00BF0BAC" w:rsidRPr="00BD5CCC" w:rsidRDefault="00BF0BAC" w:rsidP="00BF0BAC">
      <w:pPr>
        <w:spacing w:line="360" w:lineRule="auto"/>
        <w:ind w:left="851" w:right="822"/>
        <w:contextualSpacing/>
        <w:jc w:val="both"/>
        <w:rPr>
          <w:rFonts w:ascii="Palatino Linotype" w:hAnsi="Palatino Linotype"/>
          <w:i/>
          <w:sz w:val="22"/>
          <w:szCs w:val="22"/>
        </w:rPr>
      </w:pP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lastRenderedPageBreak/>
        <w:t xml:space="preserve">La Unidad de Servicios Facultativos, contará con un titular al que se le denominará Titular de la Unidad de Servicios Facultativos, el cual dependerá directamente del Director y tendrá las siguientes facultades: </w:t>
      </w:r>
    </w:p>
    <w:p w:rsidR="00BF0BAC" w:rsidRPr="00BD5CCC" w:rsidRDefault="00BF0BAC" w:rsidP="00BF0BAC">
      <w:pPr>
        <w:spacing w:line="360" w:lineRule="auto"/>
        <w:ind w:left="851" w:right="822"/>
        <w:contextualSpacing/>
        <w:jc w:val="both"/>
        <w:rPr>
          <w:rFonts w:ascii="Palatino Linotype" w:hAnsi="Palatino Linotype"/>
          <w:i/>
          <w:sz w:val="22"/>
          <w:szCs w:val="22"/>
        </w:rPr>
      </w:pP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I. Prestar servicios de protección y vigilancia a centros de afluencia, públicos o privados que lo solicite, de forma exclusiva y bajo un contrato de prestación de servicios de vigilancia especial; </w:t>
      </w: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II. Realizar estudios de vulnerabilidad de inmuebles y zonas de vigilancia en los fraccionamientos, empresas y de más lugares donde se requiera el servicio; </w:t>
      </w: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III. Organizar, operar, supervisar y controlar al personal integrado al servicio facultativo de seguridad conforme a las necesidades de los servicios; </w:t>
      </w: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IV. Proponer e informar al Director, los programas de mejoramiento, actualización y eficiencia de los servicios facultativos; </w:t>
      </w: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V. Informar de inmediato sobre actos u omisiones cometidos por los elementos facultativos que puedan constituir delito, falta administrativa o causal de remoción; </w:t>
      </w: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VI. Supervisar de manera </w:t>
      </w:r>
      <w:proofErr w:type="gramStart"/>
      <w:r w:rsidRPr="00BD5CCC">
        <w:rPr>
          <w:rFonts w:ascii="Palatino Linotype" w:hAnsi="Palatino Linotype"/>
          <w:i/>
          <w:sz w:val="22"/>
          <w:szCs w:val="22"/>
        </w:rPr>
        <w:t>continua</w:t>
      </w:r>
      <w:proofErr w:type="gramEnd"/>
      <w:r w:rsidRPr="00BD5CCC">
        <w:rPr>
          <w:rFonts w:ascii="Palatino Linotype" w:hAnsi="Palatino Linotype"/>
          <w:i/>
          <w:sz w:val="22"/>
          <w:szCs w:val="22"/>
        </w:rPr>
        <w:t xml:space="preserve"> el cumplimiento de las funciones, atribuciones y obligaciones del personal que preste servicios facultativos, de acuerdo a lo establecido en las condiciones pactadas en el contrato de prestación de servicios; </w:t>
      </w: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VII. Mantener cubiertos los servicios contratados y evitar cualquier tipo de incumplimiento que implique responsabilidad o rescisión de los contratos de prestación de servicio autorizados; </w:t>
      </w: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VIII. Para el cumplimiento de todas y cada una de las atribuciones aludidas, el Titular de la Unidad de Servicios Facultativos contará con Jefes de Servicio que él designará; </w:t>
      </w: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IX. Hacer del conocimiento de la Unidad de Asuntos Internos, así como a la Comisión y/o Contraloría Interna de las irregularidades o anomalías relacionadas con el personal o en los servicios, así como quejas presentadas por particulares y/o </w:t>
      </w:r>
      <w:r w:rsidRPr="00BD5CCC">
        <w:rPr>
          <w:rFonts w:ascii="Palatino Linotype" w:hAnsi="Palatino Linotype"/>
          <w:i/>
          <w:sz w:val="22"/>
          <w:szCs w:val="22"/>
        </w:rPr>
        <w:lastRenderedPageBreak/>
        <w:t xml:space="preserve">elementos de la corporación, en contra de algún integrante de la Unidad de Servicios Facultativos, derivadas del incumplimiento de las obligaciones contenidas en la Constitución Federal, la Ley de Seguridad del Estado de México y el presente Reglamento, para que actúen en consecuencia de acuerdo a sus atribuciones; y </w:t>
      </w: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X. Las demás que le señalen, las leyes, reglamentos, disposiciones jurídicas aplicables, el Presidente Municipal y el Director de Seguridad Pública y Tránsito. </w:t>
      </w:r>
    </w:p>
    <w:p w:rsidR="00BF0BAC" w:rsidRPr="00BD5CCC" w:rsidRDefault="00BF0BAC" w:rsidP="00BF0BAC">
      <w:pPr>
        <w:spacing w:line="360" w:lineRule="auto"/>
        <w:ind w:left="851" w:right="822"/>
        <w:contextualSpacing/>
        <w:jc w:val="both"/>
        <w:rPr>
          <w:rFonts w:ascii="Palatino Linotype" w:hAnsi="Palatino Linotype"/>
          <w:i/>
          <w:sz w:val="22"/>
          <w:szCs w:val="22"/>
        </w:rPr>
      </w:pP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Artículo 16.- La Unidad de Servicios Facultativos, contará con un Departamento Administrativo, teniendo en el ámbito de su competencia las siguientes atribuciones: </w:t>
      </w: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I. Vigilar el cumplimiento y dar seguimiento a los convenios de los servicios facultativos conforme a los derechos y obligaciones establecidos; </w:t>
      </w: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II. Elaborar y proponer al Director el programa general de colocación de servicios; </w:t>
      </w: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III. Controlar las incidencias del personal facultativo; </w:t>
      </w: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 xml:space="preserve">IV. Administrar, evaluar, dirigir, controlar y optimizar los recursos humanos y materiales; y </w:t>
      </w:r>
    </w:p>
    <w:p w:rsidR="00BF0BAC" w:rsidRPr="00BD5CCC" w:rsidRDefault="00BF0BAC" w:rsidP="00BF0BAC">
      <w:pPr>
        <w:spacing w:line="360" w:lineRule="auto"/>
        <w:ind w:left="851" w:right="822"/>
        <w:contextualSpacing/>
        <w:jc w:val="both"/>
        <w:rPr>
          <w:rFonts w:ascii="Palatino Linotype" w:hAnsi="Palatino Linotype"/>
          <w:i/>
          <w:sz w:val="22"/>
          <w:szCs w:val="22"/>
        </w:rPr>
      </w:pPr>
      <w:r w:rsidRPr="00BD5CCC">
        <w:rPr>
          <w:rFonts w:ascii="Palatino Linotype" w:hAnsi="Palatino Linotype"/>
          <w:i/>
          <w:sz w:val="22"/>
          <w:szCs w:val="22"/>
        </w:rPr>
        <w:t>V. Las demás que le señalen las leyes, reglamentos y disposiciones legales aplicables.</w:t>
      </w:r>
    </w:p>
    <w:p w:rsidR="00BF0BAC" w:rsidRPr="00BD5CCC" w:rsidRDefault="00BF0BAC" w:rsidP="00BF0BAC">
      <w:pPr>
        <w:spacing w:line="360" w:lineRule="auto"/>
        <w:ind w:left="851" w:right="822"/>
        <w:contextualSpacing/>
        <w:jc w:val="both"/>
        <w:rPr>
          <w:rFonts w:ascii="Palatino Linotype" w:eastAsia="MS Gothic" w:hAnsi="Palatino Linotype" w:cstheme="majorBidi"/>
          <w:i/>
          <w:sz w:val="22"/>
          <w:szCs w:val="22"/>
          <w:lang w:eastAsia="es-ES"/>
        </w:rPr>
      </w:pPr>
    </w:p>
    <w:p w:rsidR="00B16A05" w:rsidRPr="00BD5CCC" w:rsidRDefault="00BF0BAC" w:rsidP="00425E5A">
      <w:pPr>
        <w:numPr>
          <w:ilvl w:val="0"/>
          <w:numId w:val="1"/>
        </w:numPr>
        <w:spacing w:line="360" w:lineRule="auto"/>
        <w:ind w:left="0" w:right="49" w:firstLine="0"/>
        <w:contextualSpacing/>
        <w:jc w:val="both"/>
        <w:rPr>
          <w:rFonts w:ascii="Palatino Linotype" w:eastAsia="MS Gothic" w:hAnsi="Palatino Linotype" w:cstheme="majorBidi"/>
          <w:sz w:val="22"/>
          <w:szCs w:val="22"/>
          <w:lang w:eastAsia="es-ES"/>
        </w:rPr>
      </w:pPr>
      <w:r w:rsidRPr="00BD5CCC">
        <w:rPr>
          <w:rFonts w:ascii="Palatino Linotype" w:eastAsia="MS Gothic" w:hAnsi="Palatino Linotype" w:cstheme="majorBidi"/>
          <w:sz w:val="22"/>
          <w:szCs w:val="22"/>
          <w:lang w:eastAsia="es-ES"/>
        </w:rPr>
        <w:t>De los preceptos legales se advierte que el Sujeto Obligado si cuenta con un área de Servicios Facultativos, adscrita a la Dirección de Seguridad Pública del Municipio y que tiene entre sus facultades prestar servicios de protección y vigilancia tanto públicos como privados bajo un contr</w:t>
      </w:r>
      <w:r w:rsidR="00CA5EC5" w:rsidRPr="00BD5CCC">
        <w:rPr>
          <w:rFonts w:ascii="Palatino Linotype" w:eastAsia="MS Gothic" w:hAnsi="Palatino Linotype" w:cstheme="majorBidi"/>
          <w:sz w:val="22"/>
          <w:szCs w:val="22"/>
          <w:lang w:eastAsia="es-ES"/>
        </w:rPr>
        <w:t>ato de prestación de servicios</w:t>
      </w:r>
      <w:r w:rsidR="00A77B4C" w:rsidRPr="00BD5CCC">
        <w:rPr>
          <w:rFonts w:ascii="Palatino Linotype" w:eastAsia="MS Gothic" w:hAnsi="Palatino Linotype" w:cstheme="majorBidi"/>
          <w:sz w:val="22"/>
          <w:szCs w:val="22"/>
          <w:lang w:eastAsia="es-ES"/>
        </w:rPr>
        <w:t>.</w:t>
      </w:r>
    </w:p>
    <w:p w:rsidR="00A77B4C" w:rsidRPr="00BD5CCC" w:rsidRDefault="00A77B4C" w:rsidP="00A77B4C">
      <w:pPr>
        <w:spacing w:line="360" w:lineRule="auto"/>
        <w:ind w:right="49"/>
        <w:contextualSpacing/>
        <w:jc w:val="both"/>
        <w:rPr>
          <w:rFonts w:ascii="Palatino Linotype" w:eastAsia="MS Gothic" w:hAnsi="Palatino Linotype" w:cstheme="majorBidi"/>
          <w:sz w:val="22"/>
          <w:szCs w:val="22"/>
          <w:lang w:eastAsia="es-ES"/>
        </w:rPr>
      </w:pPr>
    </w:p>
    <w:p w:rsidR="00A77B4C" w:rsidRPr="00BD5CCC" w:rsidRDefault="00A77B4C" w:rsidP="00A77B4C">
      <w:pPr>
        <w:numPr>
          <w:ilvl w:val="0"/>
          <w:numId w:val="1"/>
        </w:numPr>
        <w:spacing w:line="360" w:lineRule="auto"/>
        <w:ind w:left="0" w:right="49" w:firstLine="0"/>
        <w:contextualSpacing/>
        <w:jc w:val="both"/>
        <w:rPr>
          <w:rFonts w:ascii="Palatino Linotype" w:eastAsia="MS Gothic" w:hAnsi="Palatino Linotype" w:cstheme="majorBidi"/>
          <w:sz w:val="22"/>
          <w:szCs w:val="22"/>
          <w:lang w:eastAsia="es-ES"/>
        </w:rPr>
      </w:pPr>
      <w:r w:rsidRPr="00BD5CCC">
        <w:rPr>
          <w:rFonts w:ascii="Palatino Linotype" w:eastAsia="MS Gothic" w:hAnsi="Palatino Linotype" w:cstheme="majorBidi"/>
          <w:sz w:val="22"/>
          <w:szCs w:val="22"/>
          <w:lang w:eastAsia="es-ES"/>
        </w:rPr>
        <w:t>Aunado a ello, dentro de la página oficial del Ayuntamiento de Atizapán de Zaragoza, hay un trámite consistente en la celebración de un contrato para la prestación de la Unidad de Servicios Facultativos (vigilancia especial remunerada), con personas físicas o jurídico colectivas que desean tener un servicio de seguridad adicional a la pública:</w:t>
      </w:r>
    </w:p>
    <w:p w:rsidR="00A77B4C" w:rsidRPr="00BD5CCC" w:rsidRDefault="00A77B4C" w:rsidP="00A77B4C">
      <w:pPr>
        <w:spacing w:line="360" w:lineRule="auto"/>
        <w:ind w:right="49"/>
        <w:contextualSpacing/>
        <w:jc w:val="both"/>
        <w:rPr>
          <w:rFonts w:ascii="Palatino Linotype" w:eastAsia="MS Gothic" w:hAnsi="Palatino Linotype" w:cstheme="majorBidi"/>
          <w:sz w:val="22"/>
          <w:szCs w:val="22"/>
          <w:lang w:eastAsia="es-ES"/>
        </w:rPr>
      </w:pPr>
    </w:p>
    <w:p w:rsidR="00CA5EC5" w:rsidRPr="00BD5CCC" w:rsidRDefault="00CA5EC5" w:rsidP="00CA5EC5">
      <w:pPr>
        <w:spacing w:line="360" w:lineRule="auto"/>
        <w:ind w:right="49"/>
        <w:contextualSpacing/>
        <w:jc w:val="both"/>
        <w:rPr>
          <w:rFonts w:ascii="Palatino Linotype" w:eastAsia="MS Gothic" w:hAnsi="Palatino Linotype" w:cstheme="majorBidi"/>
          <w:sz w:val="22"/>
          <w:szCs w:val="22"/>
          <w:lang w:eastAsia="es-ES"/>
        </w:rPr>
      </w:pPr>
    </w:p>
    <w:p w:rsidR="00CA5EC5" w:rsidRPr="00BD5CCC" w:rsidRDefault="00CA5EC5" w:rsidP="00CA5EC5">
      <w:pPr>
        <w:spacing w:line="360" w:lineRule="auto"/>
        <w:ind w:right="49"/>
        <w:contextualSpacing/>
        <w:jc w:val="both"/>
        <w:rPr>
          <w:rFonts w:ascii="Palatino Linotype" w:eastAsia="MS Gothic" w:hAnsi="Palatino Linotype" w:cstheme="majorBidi"/>
          <w:sz w:val="22"/>
          <w:szCs w:val="22"/>
          <w:lang w:eastAsia="es-ES"/>
        </w:rPr>
      </w:pPr>
      <w:r w:rsidRPr="00BD5CCC">
        <w:rPr>
          <w:rFonts w:ascii="Palatino Linotype" w:eastAsia="MS Gothic" w:hAnsi="Palatino Linotype" w:cstheme="majorBidi"/>
          <w:noProof/>
          <w:sz w:val="22"/>
          <w:szCs w:val="22"/>
        </w:rPr>
        <w:drawing>
          <wp:inline distT="0" distB="0" distL="0" distR="0" wp14:anchorId="122CCE14" wp14:editId="4BA65C38">
            <wp:extent cx="5742940" cy="71875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7187565"/>
                    </a:xfrm>
                    <a:prstGeom prst="rect">
                      <a:avLst/>
                    </a:prstGeom>
                  </pic:spPr>
                </pic:pic>
              </a:graphicData>
            </a:graphic>
          </wp:inline>
        </w:drawing>
      </w:r>
    </w:p>
    <w:p w:rsidR="00B16A05" w:rsidRPr="00BD5CCC" w:rsidRDefault="00CA5EC5" w:rsidP="007352B2">
      <w:pPr>
        <w:spacing w:line="360" w:lineRule="auto"/>
        <w:ind w:right="49"/>
        <w:contextualSpacing/>
        <w:jc w:val="center"/>
        <w:rPr>
          <w:rFonts w:ascii="Palatino Linotype" w:eastAsia="MS Gothic" w:hAnsi="Palatino Linotype" w:cstheme="majorBidi"/>
          <w:sz w:val="22"/>
          <w:szCs w:val="22"/>
          <w:lang w:eastAsia="es-ES"/>
        </w:rPr>
      </w:pPr>
      <w:r w:rsidRPr="00BD5CCC">
        <w:rPr>
          <w:rFonts w:ascii="Palatino Linotype" w:eastAsia="MS Gothic" w:hAnsi="Palatino Linotype" w:cstheme="majorBidi"/>
          <w:noProof/>
          <w:sz w:val="22"/>
          <w:szCs w:val="22"/>
        </w:rPr>
        <w:lastRenderedPageBreak/>
        <w:drawing>
          <wp:inline distT="0" distB="0" distL="0" distR="0" wp14:anchorId="77366478" wp14:editId="16AFC8E8">
            <wp:extent cx="5379522" cy="7293767"/>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9585" cy="7307411"/>
                    </a:xfrm>
                    <a:prstGeom prst="rect">
                      <a:avLst/>
                    </a:prstGeom>
                  </pic:spPr>
                </pic:pic>
              </a:graphicData>
            </a:graphic>
          </wp:inline>
        </w:drawing>
      </w:r>
    </w:p>
    <w:p w:rsidR="00B16A05" w:rsidRPr="00BD5CCC" w:rsidRDefault="00B16A05" w:rsidP="00A77B4C">
      <w:pPr>
        <w:rPr>
          <w:rFonts w:ascii="Palatino Linotype" w:eastAsia="MS Gothic" w:hAnsi="Palatino Linotype" w:cstheme="majorBidi"/>
          <w:sz w:val="22"/>
          <w:szCs w:val="22"/>
          <w:lang w:eastAsia="es-ES"/>
        </w:rPr>
      </w:pPr>
    </w:p>
    <w:p w:rsidR="009D1DBC" w:rsidRPr="00BD5CCC" w:rsidRDefault="00A77B4C" w:rsidP="00425E5A">
      <w:pPr>
        <w:numPr>
          <w:ilvl w:val="0"/>
          <w:numId w:val="1"/>
        </w:numPr>
        <w:spacing w:line="360" w:lineRule="auto"/>
        <w:ind w:left="0" w:right="49" w:firstLine="0"/>
        <w:contextualSpacing/>
        <w:jc w:val="both"/>
        <w:rPr>
          <w:rFonts w:ascii="Palatino Linotype" w:eastAsia="MS Gothic" w:hAnsi="Palatino Linotype" w:cstheme="majorBidi"/>
          <w:sz w:val="22"/>
          <w:szCs w:val="22"/>
          <w:lang w:eastAsia="es-ES"/>
        </w:rPr>
      </w:pPr>
      <w:r w:rsidRPr="00BD5CCC">
        <w:rPr>
          <w:rFonts w:ascii="Palatino Linotype" w:eastAsia="MS Gothic" w:hAnsi="Palatino Linotype" w:cstheme="majorBidi"/>
          <w:sz w:val="22"/>
          <w:szCs w:val="22"/>
          <w:lang w:eastAsia="es-ES"/>
        </w:rPr>
        <w:lastRenderedPageBreak/>
        <w:t>Asimismo, el artículo 160 del Código Financiero del Estado de México y Municipios establece la tarifa por el pago en materia de seguridad pública derivado de la vigilancia especial que soliciten las personas físicas y jurídicas colectivas como se advierte enseguida:</w:t>
      </w:r>
    </w:p>
    <w:p w:rsidR="00A77B4C" w:rsidRPr="00BD5CCC" w:rsidRDefault="00A77B4C" w:rsidP="00A77B4C">
      <w:pPr>
        <w:spacing w:line="360" w:lineRule="auto"/>
        <w:ind w:right="49"/>
        <w:contextualSpacing/>
        <w:jc w:val="both"/>
        <w:rPr>
          <w:rFonts w:ascii="Palatino Linotype" w:eastAsia="MS Gothic" w:hAnsi="Palatino Linotype" w:cstheme="majorBidi"/>
          <w:sz w:val="22"/>
          <w:szCs w:val="22"/>
          <w:lang w:eastAsia="es-ES"/>
        </w:rPr>
      </w:pPr>
    </w:p>
    <w:p w:rsidR="00A77B4C" w:rsidRPr="00BD5CCC" w:rsidRDefault="00A77B4C" w:rsidP="00A77B4C">
      <w:pPr>
        <w:spacing w:line="360" w:lineRule="auto"/>
        <w:ind w:right="49"/>
        <w:contextualSpacing/>
        <w:jc w:val="center"/>
        <w:rPr>
          <w:rFonts w:ascii="Palatino Linotype" w:eastAsia="MS Gothic" w:hAnsi="Palatino Linotype" w:cstheme="majorBidi"/>
          <w:sz w:val="22"/>
          <w:szCs w:val="22"/>
          <w:lang w:eastAsia="es-ES"/>
        </w:rPr>
      </w:pPr>
      <w:r w:rsidRPr="00BD5CCC">
        <w:rPr>
          <w:rFonts w:ascii="Palatino Linotype" w:eastAsia="MS Gothic" w:hAnsi="Palatino Linotype" w:cstheme="majorBidi"/>
          <w:noProof/>
          <w:sz w:val="22"/>
          <w:szCs w:val="22"/>
        </w:rPr>
        <w:drawing>
          <wp:inline distT="0" distB="0" distL="0" distR="0" wp14:anchorId="67568719" wp14:editId="296FEC36">
            <wp:extent cx="4857502" cy="2542854"/>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6328" cy="2547475"/>
                    </a:xfrm>
                    <a:prstGeom prst="rect">
                      <a:avLst/>
                    </a:prstGeom>
                  </pic:spPr>
                </pic:pic>
              </a:graphicData>
            </a:graphic>
          </wp:inline>
        </w:drawing>
      </w:r>
    </w:p>
    <w:p w:rsidR="00254E59" w:rsidRPr="00BD5CCC" w:rsidRDefault="00254E59" w:rsidP="00B16A05">
      <w:pPr>
        <w:spacing w:line="360" w:lineRule="auto"/>
        <w:ind w:right="49"/>
        <w:contextualSpacing/>
        <w:jc w:val="both"/>
        <w:rPr>
          <w:rFonts w:ascii="Palatino Linotype" w:eastAsia="MS Gothic" w:hAnsi="Palatino Linotype" w:cstheme="majorBidi"/>
          <w:sz w:val="22"/>
          <w:szCs w:val="22"/>
          <w:lang w:eastAsia="es-ES"/>
        </w:rPr>
      </w:pPr>
    </w:p>
    <w:p w:rsidR="002F3569" w:rsidRPr="00BD5CCC" w:rsidRDefault="007352B2" w:rsidP="00425E5A">
      <w:pPr>
        <w:numPr>
          <w:ilvl w:val="0"/>
          <w:numId w:val="1"/>
        </w:numPr>
        <w:spacing w:line="360" w:lineRule="auto"/>
        <w:ind w:left="0" w:right="49" w:firstLine="0"/>
        <w:contextualSpacing/>
        <w:jc w:val="both"/>
        <w:rPr>
          <w:rFonts w:ascii="Palatino Linotype" w:eastAsia="MS Gothic" w:hAnsi="Palatino Linotype" w:cstheme="majorBidi"/>
          <w:sz w:val="22"/>
          <w:szCs w:val="22"/>
          <w:lang w:eastAsia="es-ES"/>
        </w:rPr>
      </w:pPr>
      <w:r w:rsidRPr="00BD5CCC">
        <w:rPr>
          <w:rFonts w:ascii="Palatino Linotype" w:eastAsia="MS Gothic" w:hAnsi="Palatino Linotype" w:cstheme="majorBidi"/>
          <w:sz w:val="22"/>
          <w:szCs w:val="22"/>
          <w:lang w:eastAsia="es-ES"/>
        </w:rPr>
        <w:t xml:space="preserve">Derivado de lo anteriormente señalado, se advierte que el Sujeto Obligado si cuenta con una Unidad de Servicios Facultativos, que tiene facultades para prestar los servicios, a través de un contrato, de protección y vigilancia en centro públicos o privados, por ello, tiene facultades para generar, poseer y administrar la información solicitada. </w:t>
      </w:r>
    </w:p>
    <w:p w:rsidR="007352B2" w:rsidRPr="00BD5CCC" w:rsidRDefault="007352B2" w:rsidP="007352B2">
      <w:pPr>
        <w:spacing w:line="360" w:lineRule="auto"/>
        <w:ind w:right="49"/>
        <w:contextualSpacing/>
        <w:jc w:val="both"/>
        <w:rPr>
          <w:rFonts w:ascii="Palatino Linotype" w:eastAsia="MS Gothic" w:hAnsi="Palatino Linotype" w:cstheme="majorBidi"/>
          <w:sz w:val="22"/>
          <w:szCs w:val="22"/>
          <w:lang w:eastAsia="es-ES"/>
        </w:rPr>
      </w:pPr>
    </w:p>
    <w:p w:rsidR="00CA269D" w:rsidRPr="00BD5CCC" w:rsidRDefault="00CA269D" w:rsidP="00425E5A">
      <w:pPr>
        <w:numPr>
          <w:ilvl w:val="0"/>
          <w:numId w:val="1"/>
        </w:numPr>
        <w:spacing w:line="360" w:lineRule="auto"/>
        <w:ind w:left="0" w:right="49" w:firstLine="0"/>
        <w:contextualSpacing/>
        <w:jc w:val="both"/>
        <w:rPr>
          <w:rFonts w:ascii="Palatino Linotype" w:eastAsia="MS Gothic" w:hAnsi="Palatino Linotype" w:cstheme="majorBidi"/>
          <w:sz w:val="22"/>
          <w:szCs w:val="22"/>
          <w:lang w:eastAsia="es-ES"/>
        </w:rPr>
      </w:pPr>
      <w:r w:rsidRPr="00BD5CCC">
        <w:rPr>
          <w:rFonts w:ascii="Palatino Linotype" w:eastAsia="MS Gothic" w:hAnsi="Palatino Linotype" w:cstheme="majorBidi"/>
          <w:sz w:val="22"/>
          <w:szCs w:val="22"/>
          <w:lang w:eastAsia="es-ES"/>
        </w:rPr>
        <w:t>Ahora bien, por lo que se refiere al fundamento legal que tiene el Sujeto Obligado para prestar sus servicios de vigilancia remune</w:t>
      </w:r>
      <w:r w:rsidR="00145F61" w:rsidRPr="00BD5CCC">
        <w:rPr>
          <w:rFonts w:ascii="Palatino Linotype" w:eastAsia="MS Gothic" w:hAnsi="Palatino Linotype" w:cstheme="majorBidi"/>
          <w:sz w:val="22"/>
          <w:szCs w:val="22"/>
          <w:lang w:eastAsia="es-ES"/>
        </w:rPr>
        <w:t xml:space="preserve">rada, en la presente resolución ya se señaló para efectos de determinar la fuente obligacional del Sujeto Obligado para conocer de la información, por lo que ya no resultaría procedente ordenarlo. </w:t>
      </w:r>
    </w:p>
    <w:p w:rsidR="00CA269D" w:rsidRPr="00BD5CCC" w:rsidRDefault="00CA269D" w:rsidP="00CA269D">
      <w:pPr>
        <w:pStyle w:val="Prrafodelista"/>
        <w:rPr>
          <w:rFonts w:ascii="Palatino Linotype" w:eastAsia="MS Gothic" w:hAnsi="Palatino Linotype" w:cstheme="majorBidi"/>
          <w:szCs w:val="22"/>
          <w:lang w:eastAsia="es-ES"/>
        </w:rPr>
      </w:pPr>
    </w:p>
    <w:p w:rsidR="002F3569" w:rsidRPr="00BD5CCC" w:rsidRDefault="007352B2" w:rsidP="00425E5A">
      <w:pPr>
        <w:numPr>
          <w:ilvl w:val="0"/>
          <w:numId w:val="1"/>
        </w:numPr>
        <w:spacing w:line="360" w:lineRule="auto"/>
        <w:ind w:left="0" w:right="49" w:firstLine="0"/>
        <w:contextualSpacing/>
        <w:jc w:val="both"/>
        <w:rPr>
          <w:rFonts w:ascii="Palatino Linotype" w:eastAsia="MS Gothic" w:hAnsi="Palatino Linotype" w:cstheme="majorBidi"/>
          <w:sz w:val="22"/>
          <w:szCs w:val="22"/>
          <w:lang w:eastAsia="es-ES"/>
        </w:rPr>
      </w:pPr>
      <w:r w:rsidRPr="00BD5CCC">
        <w:rPr>
          <w:rFonts w:ascii="Palatino Linotype" w:eastAsia="MS Gothic" w:hAnsi="Palatino Linotype" w:cstheme="majorBidi"/>
          <w:sz w:val="22"/>
          <w:szCs w:val="22"/>
          <w:lang w:eastAsia="es-ES"/>
        </w:rPr>
        <w:t xml:space="preserve">Por otro lado, </w:t>
      </w:r>
      <w:r w:rsidR="00A45087" w:rsidRPr="00BD5CCC">
        <w:rPr>
          <w:rFonts w:ascii="Palatino Linotype" w:eastAsia="MS Gothic" w:hAnsi="Palatino Linotype" w:cstheme="majorBidi"/>
          <w:sz w:val="22"/>
          <w:szCs w:val="22"/>
          <w:lang w:eastAsia="es-ES"/>
        </w:rPr>
        <w:t xml:space="preserve">recordemos que dentro de la solicitud, el Recurrente quiere saber si los policías que prestan los servicios de seguridad privada son policías municipales,  en Respuesta, el Sujeto Obligado señaló que el personal tiene plaza operativa, es decir, son </w:t>
      </w:r>
      <w:r w:rsidR="00A45087" w:rsidRPr="00BD5CCC">
        <w:rPr>
          <w:rFonts w:ascii="Palatino Linotype" w:eastAsia="MS Gothic" w:hAnsi="Palatino Linotype" w:cstheme="majorBidi"/>
          <w:sz w:val="22"/>
          <w:szCs w:val="22"/>
          <w:lang w:eastAsia="es-ES"/>
        </w:rPr>
        <w:lastRenderedPageBreak/>
        <w:t xml:space="preserve">policías municipales, por lo tanto, con ello se puede tener por atendido el requerimiento del particular.  </w:t>
      </w:r>
    </w:p>
    <w:p w:rsidR="002F3569" w:rsidRPr="00BD5CCC" w:rsidRDefault="002F3569" w:rsidP="00A45087">
      <w:pPr>
        <w:spacing w:line="360" w:lineRule="auto"/>
        <w:ind w:right="49"/>
        <w:contextualSpacing/>
        <w:jc w:val="both"/>
        <w:rPr>
          <w:rFonts w:ascii="Palatino Linotype" w:eastAsia="MS Gothic" w:hAnsi="Palatino Linotype" w:cstheme="majorBidi"/>
          <w:sz w:val="22"/>
          <w:szCs w:val="22"/>
          <w:lang w:eastAsia="es-ES"/>
        </w:rPr>
      </w:pPr>
    </w:p>
    <w:p w:rsidR="002F3569" w:rsidRPr="00BD5CCC" w:rsidRDefault="00A45087" w:rsidP="00425E5A">
      <w:pPr>
        <w:numPr>
          <w:ilvl w:val="0"/>
          <w:numId w:val="1"/>
        </w:numPr>
        <w:spacing w:line="360" w:lineRule="auto"/>
        <w:ind w:left="0" w:right="49" w:firstLine="0"/>
        <w:contextualSpacing/>
        <w:jc w:val="both"/>
        <w:rPr>
          <w:rFonts w:ascii="Palatino Linotype" w:eastAsia="MS Gothic" w:hAnsi="Palatino Linotype" w:cstheme="majorBidi"/>
          <w:sz w:val="22"/>
          <w:szCs w:val="22"/>
          <w:lang w:eastAsia="es-ES"/>
        </w:rPr>
      </w:pPr>
      <w:r w:rsidRPr="00BD5CCC">
        <w:rPr>
          <w:rFonts w:ascii="Palatino Linotype" w:eastAsia="MS Gothic" w:hAnsi="Palatino Linotype" w:cstheme="majorBidi"/>
          <w:sz w:val="22"/>
          <w:szCs w:val="22"/>
          <w:lang w:eastAsia="es-ES"/>
        </w:rPr>
        <w:t>Por lo que se refiere a conocer como obtuvieron las licencias y bajo qué licencia obtuvieron sus armas de fuego los policías privados, el Sujeto Obligado señaló que no cuenta con policías privados, sin embargo, señaló que los policías municipales obtuvieron la licencia a través de los trámites para inclusión o en su caso revalidación en Licencia Oficial Colectiva N° 139, integrando los expedientes respectivos</w:t>
      </w:r>
      <w:r w:rsidR="00E356B2" w:rsidRPr="00BD5CCC">
        <w:rPr>
          <w:rFonts w:ascii="Palatino Linotype" w:eastAsia="MS Gothic" w:hAnsi="Palatino Linotype" w:cstheme="majorBidi"/>
          <w:sz w:val="22"/>
          <w:szCs w:val="22"/>
          <w:lang w:eastAsia="es-ES"/>
        </w:rPr>
        <w:t xml:space="preserve">, es decir, que contesto al requerimiento del Recurrente. </w:t>
      </w:r>
    </w:p>
    <w:p w:rsidR="00E356B2" w:rsidRPr="00BD5CCC" w:rsidRDefault="00E356B2" w:rsidP="00E356B2">
      <w:pPr>
        <w:pStyle w:val="Prrafodelista"/>
        <w:rPr>
          <w:rFonts w:ascii="Palatino Linotype" w:eastAsia="MS Gothic" w:hAnsi="Palatino Linotype" w:cstheme="majorBidi"/>
          <w:szCs w:val="22"/>
          <w:lang w:eastAsia="es-ES"/>
        </w:rPr>
      </w:pPr>
    </w:p>
    <w:p w:rsidR="00684185" w:rsidRPr="00BD5CCC" w:rsidRDefault="00E356B2" w:rsidP="00684185">
      <w:pPr>
        <w:numPr>
          <w:ilvl w:val="0"/>
          <w:numId w:val="1"/>
        </w:numPr>
        <w:spacing w:line="360" w:lineRule="auto"/>
        <w:ind w:left="0" w:right="49" w:firstLine="0"/>
        <w:contextualSpacing/>
        <w:jc w:val="both"/>
        <w:rPr>
          <w:rFonts w:ascii="Palatino Linotype" w:eastAsia="MS Gothic" w:hAnsi="Palatino Linotype" w:cstheme="majorBidi"/>
          <w:sz w:val="22"/>
          <w:szCs w:val="22"/>
          <w:lang w:eastAsia="es-ES"/>
        </w:rPr>
      </w:pPr>
      <w:r w:rsidRPr="00BD5CCC">
        <w:rPr>
          <w:rFonts w:ascii="Palatino Linotype" w:eastAsia="MS Gothic" w:hAnsi="Palatino Linotype" w:cstheme="majorBidi"/>
          <w:sz w:val="22"/>
          <w:szCs w:val="22"/>
          <w:lang w:eastAsia="es-ES"/>
        </w:rPr>
        <w:t xml:space="preserve">Ahora bien, respecto a conocer las características de las armas y si estas son de uso exclusivo del ejército, el Sujeto Obligado señaló que si son armas de uso exclusivo del ejército por autorización de la Secretaría de la Defensa Nacional, sin embargo, no se pronunció respecto a las características, por lo que al respecto, se señala lo siguiente. </w:t>
      </w:r>
    </w:p>
    <w:p w:rsidR="00684185" w:rsidRPr="00BD5CCC" w:rsidRDefault="00684185" w:rsidP="00684185">
      <w:pPr>
        <w:pStyle w:val="Prrafodelista"/>
        <w:rPr>
          <w:rFonts w:ascii="Palatino Linotype" w:eastAsia="Palatino Linotype" w:hAnsi="Palatino Linotype" w:cs="Palatino Linotype"/>
          <w:color w:val="000000"/>
          <w:szCs w:val="22"/>
        </w:rPr>
      </w:pPr>
    </w:p>
    <w:p w:rsidR="00684185" w:rsidRPr="00BD5CCC" w:rsidRDefault="00684185" w:rsidP="00684185">
      <w:pPr>
        <w:numPr>
          <w:ilvl w:val="0"/>
          <w:numId w:val="1"/>
        </w:numPr>
        <w:spacing w:line="360" w:lineRule="auto"/>
        <w:ind w:left="0" w:right="49" w:firstLine="0"/>
        <w:contextualSpacing/>
        <w:jc w:val="both"/>
        <w:rPr>
          <w:rFonts w:ascii="Palatino Linotype" w:eastAsia="MS Gothic" w:hAnsi="Palatino Linotype" w:cstheme="majorBidi"/>
          <w:sz w:val="22"/>
          <w:szCs w:val="22"/>
          <w:lang w:eastAsia="es-ES"/>
        </w:rPr>
      </w:pPr>
      <w:r w:rsidRPr="00BD5CCC">
        <w:rPr>
          <w:rFonts w:ascii="Palatino Linotype" w:eastAsia="MS Gothic" w:hAnsi="Palatino Linotype" w:cstheme="majorBidi"/>
          <w:sz w:val="22"/>
          <w:szCs w:val="22"/>
          <w:lang w:eastAsia="es-ES"/>
        </w:rPr>
        <w:t>Por criterio de este Órgano Garante, la información relativa a las especificaciones de las armas de fuego, es reservada, en términos del artículo</w:t>
      </w:r>
      <w:r w:rsidRPr="00BD5CCC">
        <w:rPr>
          <w:rFonts w:ascii="Palatino Linotype" w:eastAsia="Calibri" w:hAnsi="Palatino Linotype" w:cs="Tahoma"/>
          <w:iCs/>
          <w:sz w:val="22"/>
          <w:szCs w:val="22"/>
          <w:lang w:val="es-ES" w:eastAsia="es-ES_tradnl"/>
        </w:rPr>
        <w:t xml:space="preserve"> 140, fracción I, de la Ley de Transparencia y Acceso a la Información Pública del Estado de México y Municipios, (homólogo del artículo 113, fracción I de la Ley General de Transparencia y Acceso a la Información Pública), que prevé lo siguiente:</w:t>
      </w:r>
    </w:p>
    <w:p w:rsidR="00684185" w:rsidRPr="00BD5CCC" w:rsidRDefault="00684185" w:rsidP="00684185">
      <w:pPr>
        <w:tabs>
          <w:tab w:val="left" w:pos="4962"/>
        </w:tabs>
        <w:spacing w:line="360" w:lineRule="auto"/>
        <w:ind w:left="567" w:right="567"/>
        <w:jc w:val="both"/>
        <w:rPr>
          <w:rFonts w:ascii="Palatino Linotype" w:eastAsia="Calibri" w:hAnsi="Palatino Linotype" w:cs="Tahoma"/>
          <w:i/>
          <w:iCs/>
          <w:sz w:val="22"/>
          <w:szCs w:val="22"/>
          <w:lang w:val="es-ES" w:eastAsia="es-ES_tradnl"/>
        </w:rPr>
      </w:pPr>
    </w:p>
    <w:p w:rsidR="00684185" w:rsidRPr="00BD5CCC" w:rsidRDefault="00684185" w:rsidP="00684185">
      <w:pPr>
        <w:tabs>
          <w:tab w:val="left" w:pos="4962"/>
        </w:tabs>
        <w:spacing w:line="360" w:lineRule="auto"/>
        <w:ind w:left="851" w:right="822"/>
        <w:jc w:val="both"/>
        <w:rPr>
          <w:rFonts w:ascii="Palatino Linotype" w:eastAsia="Calibri" w:hAnsi="Palatino Linotype" w:cs="Tahoma"/>
          <w:i/>
          <w:iCs/>
          <w:sz w:val="22"/>
          <w:szCs w:val="22"/>
          <w:lang w:val="es-ES" w:eastAsia="es-ES_tradnl"/>
        </w:rPr>
      </w:pPr>
      <w:r w:rsidRPr="00BD5CCC">
        <w:rPr>
          <w:rFonts w:ascii="Palatino Linotype" w:eastAsia="Calibri" w:hAnsi="Palatino Linotype" w:cs="Tahoma"/>
          <w:i/>
          <w:iCs/>
          <w:sz w:val="22"/>
          <w:szCs w:val="22"/>
          <w:lang w:val="es-ES" w:eastAsia="es-ES_tradnl"/>
        </w:rPr>
        <w:t>“</w:t>
      </w:r>
      <w:r w:rsidRPr="00BD5CCC">
        <w:rPr>
          <w:rFonts w:ascii="Palatino Linotype" w:eastAsia="Calibri" w:hAnsi="Palatino Linotype" w:cs="Tahoma"/>
          <w:b/>
          <w:i/>
          <w:iCs/>
          <w:sz w:val="22"/>
          <w:szCs w:val="22"/>
          <w:lang w:val="es-ES" w:eastAsia="es-ES_tradnl"/>
        </w:rPr>
        <w:t>Artículo 140.</w:t>
      </w:r>
      <w:r w:rsidRPr="00BD5CCC">
        <w:rPr>
          <w:rFonts w:ascii="Palatino Linotype" w:eastAsia="Calibri" w:hAnsi="Palatino Linotype" w:cs="Tahoma"/>
          <w:i/>
          <w:iCs/>
          <w:sz w:val="22"/>
          <w:szCs w:val="22"/>
          <w:lang w:val="es-ES" w:eastAsia="es-ES_tradnl"/>
        </w:rPr>
        <w:t xml:space="preserve"> El acceso a la información pública será restringido excepcionalmente, cuando por razones de interés público, ésta sea clasificada como reservada, conforme a los criterios siguientes: </w:t>
      </w:r>
    </w:p>
    <w:p w:rsidR="00684185" w:rsidRPr="00BD5CCC" w:rsidRDefault="00684185" w:rsidP="00684185">
      <w:pPr>
        <w:tabs>
          <w:tab w:val="left" w:pos="4962"/>
        </w:tabs>
        <w:spacing w:line="360" w:lineRule="auto"/>
        <w:ind w:left="851" w:right="822"/>
        <w:jc w:val="both"/>
        <w:rPr>
          <w:rFonts w:ascii="Palatino Linotype" w:eastAsia="Calibri" w:hAnsi="Palatino Linotype" w:cs="Tahoma"/>
          <w:i/>
          <w:iCs/>
          <w:sz w:val="22"/>
          <w:szCs w:val="22"/>
          <w:lang w:val="es-ES" w:eastAsia="es-ES_tradnl"/>
        </w:rPr>
      </w:pPr>
    </w:p>
    <w:p w:rsidR="00684185" w:rsidRPr="00BD5CCC" w:rsidRDefault="00684185" w:rsidP="00684185">
      <w:pPr>
        <w:tabs>
          <w:tab w:val="left" w:pos="4962"/>
        </w:tabs>
        <w:spacing w:line="360" w:lineRule="auto"/>
        <w:ind w:left="851" w:right="822"/>
        <w:jc w:val="both"/>
        <w:rPr>
          <w:rFonts w:ascii="Palatino Linotype" w:eastAsia="Calibri" w:hAnsi="Palatino Linotype" w:cs="Tahoma"/>
          <w:i/>
          <w:iCs/>
          <w:sz w:val="22"/>
          <w:szCs w:val="22"/>
          <w:lang w:eastAsia="es-ES_tradnl"/>
        </w:rPr>
      </w:pPr>
      <w:r w:rsidRPr="00BD5CCC">
        <w:rPr>
          <w:rFonts w:ascii="Palatino Linotype" w:eastAsia="Calibri" w:hAnsi="Palatino Linotype" w:cs="Tahoma"/>
          <w:i/>
          <w:iCs/>
          <w:sz w:val="22"/>
          <w:szCs w:val="22"/>
          <w:lang w:eastAsia="es-ES_tradnl"/>
        </w:rPr>
        <w:t>I. Comprometa la seguridad pública y cuente con un propósito genuino y un efecto demostrable;</w:t>
      </w:r>
    </w:p>
    <w:p w:rsidR="00684185" w:rsidRPr="00BD5CCC" w:rsidRDefault="00684185" w:rsidP="00684185">
      <w:pPr>
        <w:tabs>
          <w:tab w:val="left" w:pos="4962"/>
        </w:tabs>
        <w:spacing w:line="360" w:lineRule="auto"/>
        <w:ind w:left="851" w:right="822"/>
        <w:jc w:val="both"/>
        <w:rPr>
          <w:rFonts w:ascii="Palatino Linotype" w:eastAsia="Calibri" w:hAnsi="Palatino Linotype" w:cs="Tahoma"/>
          <w:i/>
          <w:iCs/>
          <w:sz w:val="22"/>
          <w:szCs w:val="22"/>
          <w:lang w:val="es-ES" w:eastAsia="es-ES_tradnl"/>
        </w:rPr>
      </w:pPr>
      <w:r w:rsidRPr="00BD5CCC">
        <w:rPr>
          <w:rFonts w:ascii="Palatino Linotype" w:eastAsia="Calibri" w:hAnsi="Palatino Linotype" w:cs="Tahoma"/>
          <w:i/>
          <w:iCs/>
          <w:sz w:val="22"/>
          <w:szCs w:val="22"/>
          <w:lang w:val="es-ES" w:eastAsia="es-ES_tradnl"/>
        </w:rPr>
        <w:lastRenderedPageBreak/>
        <w:t xml:space="preserve">…” </w:t>
      </w:r>
    </w:p>
    <w:p w:rsidR="00684185" w:rsidRPr="00BD5CCC" w:rsidRDefault="00684185" w:rsidP="00684185">
      <w:pPr>
        <w:tabs>
          <w:tab w:val="left" w:pos="4962"/>
        </w:tabs>
        <w:spacing w:line="360" w:lineRule="auto"/>
        <w:ind w:left="567" w:right="567"/>
        <w:jc w:val="both"/>
        <w:rPr>
          <w:rFonts w:ascii="Palatino Linotype" w:eastAsia="Calibri" w:hAnsi="Palatino Linotype" w:cs="Tahoma"/>
          <w:iCs/>
          <w:sz w:val="22"/>
          <w:szCs w:val="22"/>
          <w:lang w:val="es-ES" w:eastAsia="es-ES_tradnl"/>
        </w:rPr>
      </w:pPr>
    </w:p>
    <w:p w:rsidR="00684185" w:rsidRPr="00BD5CCC" w:rsidRDefault="00684185" w:rsidP="00684185">
      <w:pPr>
        <w:pStyle w:val="Prrafodelista"/>
        <w:numPr>
          <w:ilvl w:val="0"/>
          <w:numId w:val="1"/>
        </w:numPr>
        <w:tabs>
          <w:tab w:val="left" w:pos="0"/>
        </w:tabs>
        <w:spacing w:line="360" w:lineRule="auto"/>
        <w:ind w:left="0" w:firstLine="0"/>
        <w:jc w:val="both"/>
        <w:rPr>
          <w:rFonts w:ascii="Palatino Linotype" w:eastAsia="Calibri" w:hAnsi="Palatino Linotype" w:cs="Tahoma"/>
          <w:b/>
          <w:iCs/>
          <w:szCs w:val="22"/>
          <w:lang w:eastAsia="es-ES_tradnl"/>
        </w:rPr>
      </w:pPr>
      <w:r w:rsidRPr="00BD5CCC">
        <w:rPr>
          <w:rFonts w:ascii="Palatino Linotype" w:eastAsia="Calibri" w:hAnsi="Palatino Linotype" w:cs="Tahoma"/>
          <w:iCs/>
          <w:szCs w:val="22"/>
          <w:lang w:eastAsia="es-ES_tradnl"/>
        </w:rPr>
        <w:t>De dicho precepto normativo se desprende que podrá clasificarse como información reservada aquella cuya publicación comprometa la seguridad pública y cuente con un propósito genuino y un efecto demostrable.</w:t>
      </w:r>
    </w:p>
    <w:p w:rsidR="00684185" w:rsidRPr="00BD5CCC" w:rsidRDefault="00684185" w:rsidP="00684185">
      <w:pPr>
        <w:pStyle w:val="Prrafodelista"/>
        <w:tabs>
          <w:tab w:val="left" w:pos="0"/>
        </w:tabs>
        <w:spacing w:line="360" w:lineRule="auto"/>
        <w:ind w:left="0"/>
        <w:jc w:val="both"/>
        <w:rPr>
          <w:rFonts w:ascii="Palatino Linotype" w:eastAsia="Calibri" w:hAnsi="Palatino Linotype" w:cs="Tahoma"/>
          <w:b/>
          <w:iCs/>
          <w:szCs w:val="22"/>
          <w:lang w:eastAsia="es-ES_tradnl"/>
        </w:rPr>
      </w:pPr>
    </w:p>
    <w:p w:rsidR="00684185" w:rsidRPr="00BD5CCC" w:rsidRDefault="00684185" w:rsidP="00684185">
      <w:pPr>
        <w:pStyle w:val="Prrafodelista"/>
        <w:numPr>
          <w:ilvl w:val="0"/>
          <w:numId w:val="1"/>
        </w:numPr>
        <w:tabs>
          <w:tab w:val="left" w:pos="0"/>
        </w:tabs>
        <w:spacing w:line="360" w:lineRule="auto"/>
        <w:ind w:left="0" w:firstLine="0"/>
        <w:jc w:val="both"/>
        <w:rPr>
          <w:rFonts w:ascii="Palatino Linotype" w:eastAsia="Calibri" w:hAnsi="Palatino Linotype" w:cs="Tahoma"/>
          <w:b/>
          <w:iCs/>
          <w:szCs w:val="22"/>
          <w:lang w:eastAsia="es-ES_tradnl"/>
        </w:rPr>
      </w:pPr>
      <w:r w:rsidRPr="00BD5CCC">
        <w:rPr>
          <w:rFonts w:ascii="Palatino Linotype" w:eastAsia="Calibri" w:hAnsi="Palatino Linotype" w:cs="Tahoma"/>
          <w:iCs/>
          <w:szCs w:val="22"/>
          <w:lang w:eastAsia="es-ES_tradnl"/>
        </w:rPr>
        <w:t xml:space="preserve">Por su parte, los </w:t>
      </w:r>
      <w:r w:rsidRPr="00BD5CCC">
        <w:rPr>
          <w:rFonts w:ascii="Palatino Linotype" w:eastAsia="Calibri" w:hAnsi="Palatino Linotype" w:cs="Tahoma"/>
          <w:bCs/>
          <w:iCs/>
          <w:szCs w:val="22"/>
          <w:lang w:eastAsia="es-ES_tradnl"/>
        </w:rPr>
        <w:t>Lineamientos Generales en Materia de Clasificación y Desclasificación de la información, así como para la Elaboración de Versiones Públicas -en adelante Lineamientos Generales- disponen:</w:t>
      </w:r>
    </w:p>
    <w:p w:rsidR="00684185" w:rsidRPr="00BD5CCC" w:rsidRDefault="00684185" w:rsidP="00684185">
      <w:pPr>
        <w:spacing w:line="360" w:lineRule="auto"/>
        <w:jc w:val="both"/>
        <w:rPr>
          <w:rFonts w:ascii="Palatino Linotype" w:eastAsia="Calibri" w:hAnsi="Palatino Linotype" w:cs="Tahoma"/>
          <w:bCs/>
          <w:sz w:val="22"/>
          <w:szCs w:val="22"/>
          <w:lang w:eastAsia="en-US"/>
        </w:rPr>
      </w:pPr>
    </w:p>
    <w:p w:rsidR="00684185" w:rsidRPr="00BD5CCC" w:rsidRDefault="00684185" w:rsidP="00684185">
      <w:pPr>
        <w:tabs>
          <w:tab w:val="left" w:pos="4962"/>
        </w:tabs>
        <w:spacing w:line="360" w:lineRule="auto"/>
        <w:ind w:left="851" w:right="616"/>
        <w:jc w:val="both"/>
        <w:rPr>
          <w:rFonts w:ascii="Palatino Linotype" w:eastAsia="Calibri" w:hAnsi="Palatino Linotype" w:cs="Tahoma"/>
          <w:i/>
          <w:iCs/>
          <w:sz w:val="22"/>
          <w:szCs w:val="22"/>
          <w:lang w:eastAsia="es-ES_tradnl"/>
        </w:rPr>
      </w:pPr>
      <w:r w:rsidRPr="00BD5CCC">
        <w:rPr>
          <w:rFonts w:ascii="Palatino Linotype" w:eastAsia="Calibri" w:hAnsi="Palatino Linotype" w:cs="Tahoma"/>
          <w:b/>
          <w:i/>
          <w:iCs/>
          <w:sz w:val="22"/>
          <w:szCs w:val="22"/>
          <w:lang w:val="es-ES" w:eastAsia="es-ES_tradnl"/>
        </w:rPr>
        <w:t>“Décimo octavo.</w:t>
      </w:r>
      <w:r w:rsidRPr="00BD5CCC">
        <w:rPr>
          <w:rFonts w:ascii="Palatino Linotype" w:eastAsia="Calibri" w:hAnsi="Palatino Linotype" w:cs="Tahoma"/>
          <w:i/>
          <w:iCs/>
          <w:sz w:val="22"/>
          <w:szCs w:val="22"/>
          <w:lang w:val="es-ES" w:eastAsia="es-ES_tradnl"/>
        </w:rPr>
        <w:t xml:space="preserve"> De conformidad con el artículo 113, fracción I de la Ley General, podrá considerarse como información reservada, aquella que comprometa la seguridad pública, al poner en peligro las funciones a cargo de la Federación, la </w:t>
      </w:r>
      <w:r w:rsidRPr="00BD5CCC">
        <w:rPr>
          <w:rFonts w:ascii="Palatino Linotype" w:eastAsia="Calibri" w:hAnsi="Palatino Linotype" w:cs="Tahoma"/>
          <w:i/>
          <w:iCs/>
          <w:sz w:val="22"/>
          <w:szCs w:val="22"/>
          <w:lang w:eastAsia="es-ES_tradnl"/>
        </w:rPr>
        <w:t xml:space="preserve">Ciudad de México, los Estados y los Municipios, tendientes a preservar y resguardar la vida, la salud, la integridad y el ejercicio de los derechos de las personas, así como para el mantenimiento del orden público. </w:t>
      </w:r>
    </w:p>
    <w:p w:rsidR="00684185" w:rsidRPr="00BD5CCC" w:rsidRDefault="00684185" w:rsidP="00684185">
      <w:pPr>
        <w:tabs>
          <w:tab w:val="left" w:pos="4962"/>
        </w:tabs>
        <w:spacing w:line="360" w:lineRule="auto"/>
        <w:ind w:left="851" w:right="616"/>
        <w:jc w:val="both"/>
        <w:rPr>
          <w:rFonts w:ascii="Palatino Linotype" w:eastAsia="Calibri" w:hAnsi="Palatino Linotype" w:cs="Tahoma"/>
          <w:i/>
          <w:iCs/>
          <w:sz w:val="22"/>
          <w:szCs w:val="22"/>
          <w:lang w:eastAsia="es-ES_tradnl"/>
        </w:rPr>
      </w:pPr>
    </w:p>
    <w:p w:rsidR="00684185" w:rsidRPr="00BD5CCC" w:rsidRDefault="00684185" w:rsidP="00684185">
      <w:pPr>
        <w:tabs>
          <w:tab w:val="left" w:pos="4962"/>
        </w:tabs>
        <w:spacing w:line="360" w:lineRule="auto"/>
        <w:ind w:left="851" w:right="616"/>
        <w:jc w:val="both"/>
        <w:rPr>
          <w:rFonts w:ascii="Palatino Linotype" w:eastAsia="Calibri" w:hAnsi="Palatino Linotype" w:cs="Tahoma"/>
          <w:i/>
          <w:iCs/>
          <w:sz w:val="22"/>
          <w:szCs w:val="22"/>
          <w:lang w:eastAsia="es-ES_tradnl"/>
        </w:rPr>
      </w:pPr>
      <w:r w:rsidRPr="00BD5CCC">
        <w:rPr>
          <w:rFonts w:ascii="Palatino Linotype" w:eastAsia="Calibri" w:hAnsi="Palatino Linotype" w:cs="Tahoma"/>
          <w:i/>
          <w:iCs/>
          <w:sz w:val="22"/>
          <w:szCs w:val="22"/>
          <w:lang w:eastAsia="es-ES_tradnl"/>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rsidR="00684185" w:rsidRPr="00BD5CCC" w:rsidRDefault="00684185" w:rsidP="00684185">
      <w:pPr>
        <w:tabs>
          <w:tab w:val="left" w:pos="4962"/>
        </w:tabs>
        <w:spacing w:line="360" w:lineRule="auto"/>
        <w:ind w:left="851" w:right="616"/>
        <w:jc w:val="both"/>
        <w:rPr>
          <w:rFonts w:ascii="Palatino Linotype" w:eastAsia="Calibri" w:hAnsi="Palatino Linotype" w:cs="Tahoma"/>
          <w:i/>
          <w:iCs/>
          <w:sz w:val="22"/>
          <w:szCs w:val="22"/>
          <w:lang w:eastAsia="es-ES_tradnl"/>
        </w:rPr>
      </w:pPr>
    </w:p>
    <w:p w:rsidR="00684185" w:rsidRPr="00BD5CCC" w:rsidRDefault="00684185" w:rsidP="00684185">
      <w:pPr>
        <w:tabs>
          <w:tab w:val="left" w:pos="4962"/>
        </w:tabs>
        <w:spacing w:line="360" w:lineRule="auto"/>
        <w:ind w:left="851" w:right="616"/>
        <w:jc w:val="both"/>
        <w:rPr>
          <w:rFonts w:ascii="Palatino Linotype" w:eastAsia="Calibri" w:hAnsi="Palatino Linotype" w:cs="Tahoma"/>
          <w:i/>
          <w:iCs/>
          <w:sz w:val="22"/>
          <w:szCs w:val="22"/>
          <w:lang w:val="es-ES" w:eastAsia="es-ES_tradnl"/>
        </w:rPr>
      </w:pPr>
      <w:r w:rsidRPr="00BD5CCC">
        <w:rPr>
          <w:rFonts w:ascii="Palatino Linotype" w:eastAsia="Calibri" w:hAnsi="Palatino Linotype" w:cs="Tahoma"/>
          <w:i/>
          <w:iCs/>
          <w:sz w:val="22"/>
          <w:szCs w:val="22"/>
          <w:lang w:eastAsia="es-ES_tradnl"/>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rsidR="00684185" w:rsidRPr="00BD5CCC" w:rsidRDefault="00684185" w:rsidP="00684185">
      <w:pPr>
        <w:spacing w:line="360" w:lineRule="auto"/>
        <w:jc w:val="both"/>
        <w:rPr>
          <w:rFonts w:ascii="Palatino Linotype" w:eastAsia="Calibri" w:hAnsi="Palatino Linotype" w:cs="Tahoma"/>
          <w:bCs/>
          <w:sz w:val="22"/>
          <w:szCs w:val="22"/>
          <w:lang w:eastAsia="en-US"/>
        </w:rPr>
      </w:pPr>
    </w:p>
    <w:p w:rsidR="00684185" w:rsidRPr="00BD5CCC" w:rsidRDefault="00684185" w:rsidP="00684185">
      <w:pPr>
        <w:pStyle w:val="Prrafodelista"/>
        <w:numPr>
          <w:ilvl w:val="0"/>
          <w:numId w:val="1"/>
        </w:numPr>
        <w:spacing w:line="360" w:lineRule="auto"/>
        <w:ind w:left="0" w:firstLine="0"/>
        <w:jc w:val="both"/>
        <w:rPr>
          <w:rFonts w:ascii="Palatino Linotype" w:eastAsia="Calibri" w:hAnsi="Palatino Linotype" w:cs="Tahoma"/>
          <w:bCs/>
          <w:szCs w:val="22"/>
          <w:lang w:eastAsia="en-US"/>
        </w:rPr>
      </w:pPr>
      <w:r w:rsidRPr="00BD5CCC">
        <w:rPr>
          <w:rFonts w:ascii="Palatino Linotype" w:eastAsia="Calibri" w:hAnsi="Palatino Linotype" w:cs="Tahoma"/>
          <w:bCs/>
          <w:szCs w:val="22"/>
          <w:lang w:eastAsia="en-US"/>
        </w:rPr>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 </w:t>
      </w:r>
    </w:p>
    <w:p w:rsidR="00684185" w:rsidRPr="00BD5CCC" w:rsidRDefault="00684185" w:rsidP="00684185">
      <w:pPr>
        <w:pStyle w:val="Prrafodelista"/>
        <w:spacing w:line="360" w:lineRule="auto"/>
        <w:ind w:left="0"/>
        <w:jc w:val="both"/>
        <w:rPr>
          <w:rFonts w:ascii="Palatino Linotype" w:eastAsia="Calibri" w:hAnsi="Palatino Linotype" w:cs="Tahoma"/>
          <w:bCs/>
          <w:szCs w:val="22"/>
          <w:lang w:eastAsia="en-US"/>
        </w:rPr>
      </w:pPr>
    </w:p>
    <w:p w:rsidR="00684185" w:rsidRPr="00BD5CCC" w:rsidRDefault="00684185" w:rsidP="00684185">
      <w:pPr>
        <w:pStyle w:val="Prrafodelista"/>
        <w:numPr>
          <w:ilvl w:val="0"/>
          <w:numId w:val="1"/>
        </w:numPr>
        <w:spacing w:line="360" w:lineRule="auto"/>
        <w:ind w:left="0" w:firstLine="0"/>
        <w:jc w:val="both"/>
        <w:rPr>
          <w:rFonts w:ascii="Palatino Linotype" w:eastAsia="Calibri" w:hAnsi="Palatino Linotype" w:cs="Tahoma"/>
          <w:bCs/>
          <w:szCs w:val="22"/>
          <w:lang w:eastAsia="en-US"/>
        </w:rPr>
      </w:pPr>
      <w:r w:rsidRPr="00BD5CCC">
        <w:rPr>
          <w:rFonts w:ascii="Palatino Linotype" w:eastAsia="Calibri" w:hAnsi="Palatino Linotype" w:cs="Tahoma"/>
          <w:bCs/>
          <w:szCs w:val="22"/>
          <w:lang w:eastAsia="en-US"/>
        </w:rPr>
        <w:t>De la misma manera, será información reservada aquella que revele datos que pudieran ser aprovechados para conocer la capacidad de reacción de las instituciones encargadas de la seguridad pública, sus planes, estrategias, tecnología, información, sistemas de comunicaciones. En ese orden de ideas, el artículo 81 de la Ley de Seguridad del Estado de México, establece lo siguiente:</w:t>
      </w:r>
    </w:p>
    <w:p w:rsidR="00684185" w:rsidRPr="00BD5CCC" w:rsidRDefault="00684185" w:rsidP="00684185">
      <w:pPr>
        <w:spacing w:line="360" w:lineRule="auto"/>
        <w:jc w:val="both"/>
        <w:rPr>
          <w:rFonts w:ascii="Palatino Linotype" w:eastAsia="Calibri" w:hAnsi="Palatino Linotype" w:cs="Tahoma"/>
          <w:bCs/>
          <w:sz w:val="22"/>
          <w:szCs w:val="22"/>
          <w:lang w:eastAsia="en-US"/>
        </w:rPr>
      </w:pPr>
    </w:p>
    <w:p w:rsidR="00684185" w:rsidRPr="00BD5CCC" w:rsidRDefault="00684185" w:rsidP="00684185">
      <w:pPr>
        <w:spacing w:line="360" w:lineRule="auto"/>
        <w:ind w:left="851" w:right="616"/>
        <w:jc w:val="both"/>
        <w:rPr>
          <w:rFonts w:ascii="Palatino Linotype" w:eastAsia="Calibri" w:hAnsi="Palatino Linotype" w:cs="Tahoma"/>
          <w:bCs/>
          <w:i/>
          <w:sz w:val="22"/>
          <w:szCs w:val="22"/>
          <w:lang w:eastAsia="en-US"/>
        </w:rPr>
      </w:pPr>
      <w:r w:rsidRPr="00BD5CCC">
        <w:rPr>
          <w:rFonts w:ascii="Palatino Linotype" w:eastAsia="Calibri" w:hAnsi="Palatino Linotype" w:cs="Tahoma"/>
          <w:b/>
          <w:bCs/>
          <w:i/>
          <w:sz w:val="22"/>
          <w:szCs w:val="22"/>
          <w:lang w:eastAsia="en-US"/>
        </w:rPr>
        <w:t>“Artículo 81.-</w:t>
      </w:r>
      <w:r w:rsidRPr="00BD5CCC">
        <w:rPr>
          <w:rFonts w:ascii="Palatino Linotype" w:eastAsia="Calibri" w:hAnsi="Palatino Linotype" w:cs="Tahoma"/>
          <w:bCs/>
          <w:i/>
          <w:sz w:val="22"/>
          <w:szCs w:val="22"/>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684185" w:rsidRPr="00BD5CCC" w:rsidRDefault="00684185" w:rsidP="00684185">
      <w:pPr>
        <w:spacing w:line="360" w:lineRule="auto"/>
        <w:ind w:left="851" w:right="616"/>
        <w:jc w:val="both"/>
        <w:rPr>
          <w:rFonts w:ascii="Palatino Linotype" w:eastAsia="Calibri" w:hAnsi="Palatino Linotype" w:cs="Tahoma"/>
          <w:bCs/>
          <w:i/>
          <w:sz w:val="22"/>
          <w:szCs w:val="22"/>
          <w:lang w:eastAsia="en-US"/>
        </w:rPr>
      </w:pPr>
    </w:p>
    <w:p w:rsidR="00684185" w:rsidRPr="00BD5CCC" w:rsidRDefault="00684185" w:rsidP="00684185">
      <w:pPr>
        <w:spacing w:line="360" w:lineRule="auto"/>
        <w:ind w:left="851" w:right="616"/>
        <w:jc w:val="both"/>
        <w:rPr>
          <w:rFonts w:ascii="Palatino Linotype" w:eastAsia="Calibri" w:hAnsi="Palatino Linotype" w:cs="Tahoma"/>
          <w:bCs/>
          <w:i/>
          <w:sz w:val="22"/>
          <w:szCs w:val="22"/>
          <w:lang w:eastAsia="en-US"/>
        </w:rPr>
      </w:pPr>
      <w:r w:rsidRPr="00BD5CCC">
        <w:rPr>
          <w:rFonts w:ascii="Palatino Linotype" w:eastAsia="Calibri" w:hAnsi="Palatino Linotype" w:cs="Tahoma"/>
          <w:b/>
          <w:bCs/>
          <w:i/>
          <w:sz w:val="22"/>
          <w:szCs w:val="22"/>
          <w:lang w:eastAsia="en-US"/>
        </w:rPr>
        <w:t>I.</w:t>
      </w:r>
      <w:r w:rsidRPr="00BD5CCC">
        <w:rPr>
          <w:rFonts w:ascii="Palatino Linotype" w:eastAsia="Calibri" w:hAnsi="Palatino Linotype" w:cs="Tahoma"/>
          <w:bCs/>
          <w:i/>
          <w:sz w:val="22"/>
          <w:szCs w:val="22"/>
          <w:lang w:eastAsia="en-US"/>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rsidR="00684185" w:rsidRPr="00BD5CCC" w:rsidRDefault="00684185" w:rsidP="00684185">
      <w:pPr>
        <w:spacing w:line="360" w:lineRule="auto"/>
        <w:ind w:left="851" w:right="616"/>
        <w:jc w:val="both"/>
        <w:rPr>
          <w:rFonts w:ascii="Palatino Linotype" w:eastAsia="Calibri" w:hAnsi="Palatino Linotype" w:cs="Tahoma"/>
          <w:bCs/>
          <w:i/>
          <w:sz w:val="22"/>
          <w:szCs w:val="22"/>
          <w:lang w:eastAsia="en-US"/>
        </w:rPr>
      </w:pPr>
    </w:p>
    <w:p w:rsidR="00684185" w:rsidRPr="00BD5CCC" w:rsidRDefault="00684185" w:rsidP="00684185">
      <w:pPr>
        <w:spacing w:line="360" w:lineRule="auto"/>
        <w:ind w:left="851" w:right="616"/>
        <w:jc w:val="both"/>
        <w:rPr>
          <w:rFonts w:ascii="Palatino Linotype" w:eastAsia="Calibri" w:hAnsi="Palatino Linotype" w:cs="Tahoma"/>
          <w:bCs/>
          <w:i/>
          <w:sz w:val="22"/>
          <w:szCs w:val="22"/>
          <w:lang w:eastAsia="en-US"/>
        </w:rPr>
      </w:pPr>
      <w:r w:rsidRPr="00BD5CCC">
        <w:rPr>
          <w:rFonts w:ascii="Palatino Linotype" w:eastAsia="Calibri" w:hAnsi="Palatino Linotype" w:cs="Tahoma"/>
          <w:b/>
          <w:bCs/>
          <w:i/>
          <w:sz w:val="22"/>
          <w:szCs w:val="22"/>
          <w:lang w:eastAsia="en-US"/>
        </w:rPr>
        <w:t>II.</w:t>
      </w:r>
      <w:r w:rsidRPr="00BD5CCC">
        <w:rPr>
          <w:rFonts w:ascii="Palatino Linotype" w:eastAsia="Calibri" w:hAnsi="Palatino Linotype" w:cs="Tahoma"/>
          <w:bCs/>
          <w:i/>
          <w:sz w:val="22"/>
          <w:szCs w:val="22"/>
          <w:lang w:eastAsia="en-US"/>
        </w:rPr>
        <w:t xml:space="preserve"> Aquella cuya revelación pueda ser utilizada para actualizar o potenciar una amenaza a la seguridad pública o a las instituciones del Estado de México; </w:t>
      </w:r>
    </w:p>
    <w:p w:rsidR="00684185" w:rsidRPr="00BD5CCC" w:rsidRDefault="00684185" w:rsidP="00684185">
      <w:pPr>
        <w:spacing w:line="360" w:lineRule="auto"/>
        <w:ind w:left="851" w:right="616"/>
        <w:jc w:val="both"/>
        <w:rPr>
          <w:rFonts w:ascii="Palatino Linotype" w:eastAsia="Calibri" w:hAnsi="Palatino Linotype" w:cs="Tahoma"/>
          <w:bCs/>
          <w:i/>
          <w:sz w:val="22"/>
          <w:szCs w:val="22"/>
          <w:lang w:eastAsia="en-US"/>
        </w:rPr>
      </w:pPr>
      <w:r w:rsidRPr="00BD5CCC">
        <w:rPr>
          <w:rFonts w:ascii="Palatino Linotype" w:eastAsia="Calibri" w:hAnsi="Palatino Linotype" w:cs="Tahoma"/>
          <w:bCs/>
          <w:i/>
          <w:sz w:val="22"/>
          <w:szCs w:val="22"/>
          <w:lang w:eastAsia="en-US"/>
        </w:rPr>
        <w:t>…</w:t>
      </w:r>
    </w:p>
    <w:p w:rsidR="00684185" w:rsidRPr="00BD5CCC" w:rsidRDefault="00684185" w:rsidP="00684185">
      <w:pPr>
        <w:spacing w:line="360" w:lineRule="auto"/>
        <w:ind w:left="851" w:right="616"/>
        <w:jc w:val="both"/>
        <w:rPr>
          <w:rFonts w:ascii="Palatino Linotype" w:eastAsia="Calibri" w:hAnsi="Palatino Linotype" w:cs="Tahoma"/>
          <w:bCs/>
          <w:i/>
          <w:sz w:val="22"/>
          <w:szCs w:val="22"/>
          <w:lang w:eastAsia="en-US"/>
        </w:rPr>
      </w:pPr>
      <w:r w:rsidRPr="00BD5CCC">
        <w:rPr>
          <w:rFonts w:ascii="Palatino Linotype" w:eastAsia="Calibri" w:hAnsi="Palatino Linotype" w:cs="Tahoma"/>
          <w:b/>
          <w:bCs/>
          <w:i/>
          <w:sz w:val="22"/>
          <w:szCs w:val="22"/>
          <w:lang w:eastAsia="en-US"/>
        </w:rPr>
        <w:lastRenderedPageBreak/>
        <w:t xml:space="preserve">IV. </w:t>
      </w:r>
      <w:r w:rsidRPr="00BD5CCC">
        <w:rPr>
          <w:rFonts w:ascii="Palatino Linotype" w:eastAsia="Calibri" w:hAnsi="Palatino Linotype" w:cs="Tahoma"/>
          <w:bCs/>
          <w:i/>
          <w:sz w:val="22"/>
          <w:szCs w:val="22"/>
          <w:lang w:eastAsia="en-US"/>
        </w:rPr>
        <w:t xml:space="preserve">La que sea producto de una intervención de comunicaciones privadas autorizadas conforme a la Constitución Federal y las disposiciones legales correspondientes; y </w:t>
      </w:r>
    </w:p>
    <w:p w:rsidR="00684185" w:rsidRPr="00BD5CCC" w:rsidRDefault="00684185" w:rsidP="00684185">
      <w:pPr>
        <w:spacing w:line="360" w:lineRule="auto"/>
        <w:ind w:left="851" w:right="616"/>
        <w:jc w:val="both"/>
        <w:rPr>
          <w:rFonts w:ascii="Palatino Linotype" w:eastAsia="Calibri" w:hAnsi="Palatino Linotype" w:cs="Tahoma"/>
          <w:bCs/>
          <w:i/>
          <w:sz w:val="22"/>
          <w:szCs w:val="22"/>
          <w:lang w:eastAsia="en-US"/>
        </w:rPr>
      </w:pPr>
    </w:p>
    <w:p w:rsidR="00684185" w:rsidRPr="00BD5CCC" w:rsidRDefault="00684185" w:rsidP="00684185">
      <w:pPr>
        <w:spacing w:line="360" w:lineRule="auto"/>
        <w:ind w:left="851" w:right="616"/>
        <w:jc w:val="both"/>
        <w:rPr>
          <w:rFonts w:ascii="Palatino Linotype" w:eastAsia="Calibri" w:hAnsi="Palatino Linotype" w:cs="Tahoma"/>
          <w:bCs/>
          <w:i/>
          <w:sz w:val="22"/>
          <w:szCs w:val="22"/>
          <w:lang w:eastAsia="en-US"/>
        </w:rPr>
      </w:pPr>
      <w:r w:rsidRPr="00BD5CCC">
        <w:rPr>
          <w:rFonts w:ascii="Palatino Linotype" w:eastAsia="Calibri" w:hAnsi="Palatino Linotype" w:cs="Tahoma"/>
          <w:b/>
          <w:bCs/>
          <w:i/>
          <w:sz w:val="22"/>
          <w:szCs w:val="22"/>
          <w:lang w:eastAsia="en-US"/>
        </w:rPr>
        <w:t>V.</w:t>
      </w:r>
      <w:r w:rsidRPr="00BD5CCC">
        <w:rPr>
          <w:rFonts w:ascii="Palatino Linotype" w:eastAsia="Calibri" w:hAnsi="Palatino Linotype" w:cs="Tahoma"/>
          <w:bCs/>
          <w:i/>
          <w:sz w:val="22"/>
          <w:szCs w:val="22"/>
          <w:lang w:eastAsia="en-US"/>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rsidR="00684185" w:rsidRPr="00BD5CCC" w:rsidRDefault="00684185" w:rsidP="00684185">
      <w:pPr>
        <w:spacing w:line="360" w:lineRule="auto"/>
        <w:jc w:val="both"/>
        <w:rPr>
          <w:rFonts w:ascii="Palatino Linotype" w:eastAsia="Calibri" w:hAnsi="Palatino Linotype" w:cs="Tahoma"/>
          <w:bCs/>
          <w:sz w:val="22"/>
          <w:szCs w:val="22"/>
          <w:lang w:eastAsia="en-US"/>
        </w:rPr>
      </w:pPr>
    </w:p>
    <w:p w:rsidR="00684185" w:rsidRPr="00BD5CCC" w:rsidRDefault="00684185" w:rsidP="00684185">
      <w:pPr>
        <w:pStyle w:val="Prrafodelista"/>
        <w:numPr>
          <w:ilvl w:val="0"/>
          <w:numId w:val="1"/>
        </w:numPr>
        <w:spacing w:line="360" w:lineRule="auto"/>
        <w:ind w:left="0" w:firstLine="0"/>
        <w:jc w:val="both"/>
        <w:rPr>
          <w:rFonts w:ascii="Palatino Linotype" w:eastAsia="Calibri" w:hAnsi="Palatino Linotype" w:cs="Tahoma"/>
          <w:bCs/>
          <w:szCs w:val="22"/>
          <w:lang w:eastAsia="en-US"/>
        </w:rPr>
      </w:pPr>
      <w:r w:rsidRPr="00BD5CCC">
        <w:rPr>
          <w:rFonts w:ascii="Palatino Linotype" w:eastAsia="Calibri" w:hAnsi="Palatino Linotype" w:cs="Tahoma"/>
          <w:bCs/>
          <w:szCs w:val="22"/>
          <w:lang w:eastAsia="en-US"/>
        </w:rPr>
        <w:t xml:space="preserve">De lo anterior, se advierte que es información reservada, aquella que pueda revelar las normas, procedimientos, métodos, fuentes, técnicas, </w:t>
      </w:r>
      <w:r w:rsidRPr="00BD5CCC">
        <w:rPr>
          <w:rFonts w:ascii="Palatino Linotype" w:eastAsia="Calibri" w:hAnsi="Palatino Linotype" w:cs="Tahoma"/>
          <w:b/>
          <w:bCs/>
          <w:szCs w:val="22"/>
          <w:lang w:eastAsia="en-US"/>
        </w:rPr>
        <w:t>sistemas, tecnología</w:t>
      </w:r>
      <w:r w:rsidRPr="00BD5CCC">
        <w:rPr>
          <w:rFonts w:ascii="Palatino Linotype" w:eastAsia="Calibri" w:hAnsi="Palatino Linotype" w:cs="Tahoma"/>
          <w:bCs/>
          <w:szCs w:val="22"/>
          <w:lang w:eastAsia="en-US"/>
        </w:rPr>
        <w:t>,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rsidR="00684185" w:rsidRPr="00BD5CCC" w:rsidRDefault="00684185" w:rsidP="00684185">
      <w:pPr>
        <w:pStyle w:val="Prrafodelista"/>
        <w:spacing w:line="360" w:lineRule="auto"/>
        <w:ind w:left="0"/>
        <w:jc w:val="both"/>
        <w:rPr>
          <w:rFonts w:ascii="Palatino Linotype" w:eastAsia="Calibri" w:hAnsi="Palatino Linotype" w:cs="Tahoma"/>
          <w:bCs/>
          <w:szCs w:val="22"/>
          <w:lang w:eastAsia="en-US"/>
        </w:rPr>
      </w:pPr>
    </w:p>
    <w:p w:rsidR="00684185" w:rsidRPr="00BD5CCC" w:rsidRDefault="00684185" w:rsidP="00684185">
      <w:pPr>
        <w:pStyle w:val="Prrafodelista"/>
        <w:numPr>
          <w:ilvl w:val="0"/>
          <w:numId w:val="1"/>
        </w:numPr>
        <w:spacing w:line="360" w:lineRule="auto"/>
        <w:ind w:left="0" w:firstLine="0"/>
        <w:jc w:val="both"/>
        <w:rPr>
          <w:rFonts w:ascii="Palatino Linotype" w:eastAsia="Calibri" w:hAnsi="Palatino Linotype" w:cs="Tahoma"/>
          <w:bCs/>
          <w:szCs w:val="22"/>
          <w:lang w:eastAsia="en-US"/>
        </w:rPr>
      </w:pPr>
      <w:r w:rsidRPr="00BD5CCC">
        <w:rPr>
          <w:rFonts w:ascii="Palatino Linotype" w:hAnsi="Palatino Linotype" w:cs="Tahoma"/>
          <w:szCs w:val="22"/>
          <w:lang w:val="es-ES"/>
        </w:rPr>
        <w:t>Ahora bien, este Instituto advierte que al proporcionar las especificaciones o características de las armas de fuego, con las que cuentan las instituciones para el combate a la delincuencia, se estaría dando cuenta del equipo y armamento, con el que cuentan los policías, y que es utilizado para mantener la seguridad dentro del territorio del Municipio.</w:t>
      </w:r>
    </w:p>
    <w:p w:rsidR="00684185" w:rsidRPr="00BD5CCC" w:rsidRDefault="00684185" w:rsidP="00684185">
      <w:pPr>
        <w:pStyle w:val="Prrafodelista"/>
        <w:rPr>
          <w:rFonts w:ascii="Palatino Linotype" w:hAnsi="Palatino Linotype" w:cs="Tahoma"/>
          <w:szCs w:val="22"/>
          <w:lang w:val="es-ES"/>
        </w:rPr>
      </w:pPr>
    </w:p>
    <w:p w:rsidR="00684185" w:rsidRPr="00BD5CCC" w:rsidRDefault="00684185" w:rsidP="00684185">
      <w:pPr>
        <w:pStyle w:val="Prrafodelista"/>
        <w:numPr>
          <w:ilvl w:val="0"/>
          <w:numId w:val="1"/>
        </w:numPr>
        <w:spacing w:line="360" w:lineRule="auto"/>
        <w:ind w:left="0" w:firstLine="0"/>
        <w:jc w:val="both"/>
        <w:rPr>
          <w:rFonts w:ascii="Palatino Linotype" w:eastAsia="Calibri" w:hAnsi="Palatino Linotype" w:cs="Tahoma"/>
          <w:bCs/>
          <w:szCs w:val="22"/>
          <w:lang w:eastAsia="en-US"/>
        </w:rPr>
      </w:pPr>
      <w:r w:rsidRPr="00BD5CCC">
        <w:rPr>
          <w:rFonts w:ascii="Palatino Linotype" w:hAnsi="Palatino Linotype" w:cs="Tahoma"/>
          <w:szCs w:val="22"/>
          <w:lang w:val="es-ES"/>
        </w:rPr>
        <w:t>Inclusive, dar a conocer las especificaciones de las armas, podría ocasionar que los entes delincuenciales busquen las debilidades de los organismos de seguridad y poderse aprovechar de dichas situaciones para realizar diversos delitos, lo cual va en detrimento de la paz y orden social.</w:t>
      </w:r>
    </w:p>
    <w:p w:rsidR="00684185" w:rsidRPr="00BD5CCC" w:rsidRDefault="00684185" w:rsidP="00684185">
      <w:pPr>
        <w:pStyle w:val="Prrafodelista"/>
        <w:rPr>
          <w:rFonts w:ascii="Palatino Linotype" w:eastAsia="Calibri" w:hAnsi="Palatino Linotype" w:cs="Tahoma"/>
          <w:bCs/>
          <w:szCs w:val="22"/>
          <w:lang w:eastAsia="en-US"/>
        </w:rPr>
      </w:pPr>
    </w:p>
    <w:p w:rsidR="00064F85" w:rsidRPr="00BD5CCC" w:rsidRDefault="00684185" w:rsidP="00064F85">
      <w:pPr>
        <w:pStyle w:val="Prrafodelista"/>
        <w:numPr>
          <w:ilvl w:val="0"/>
          <w:numId w:val="1"/>
        </w:numPr>
        <w:spacing w:line="360" w:lineRule="auto"/>
        <w:ind w:left="0" w:firstLine="0"/>
        <w:jc w:val="both"/>
        <w:rPr>
          <w:rFonts w:ascii="Palatino Linotype" w:eastAsia="Calibri" w:hAnsi="Palatino Linotype" w:cs="Tahoma"/>
          <w:bCs/>
          <w:szCs w:val="22"/>
          <w:lang w:eastAsia="en-US"/>
        </w:rPr>
      </w:pPr>
      <w:r w:rsidRPr="00BD5CCC">
        <w:rPr>
          <w:rFonts w:ascii="Palatino Linotype" w:eastAsia="Calibri" w:hAnsi="Palatino Linotype" w:cs="Tahoma"/>
          <w:bCs/>
          <w:szCs w:val="22"/>
          <w:lang w:eastAsia="en-US"/>
        </w:rPr>
        <w:t xml:space="preserve">Conforme a lo anterior, se puede concluir que proporcionar información de las características de las armas con las que cuentan los policías del Ayuntamiento de Atizapán de Zaragoza, pone en peligro las funciones </w:t>
      </w:r>
      <w:r w:rsidRPr="00BD5CCC">
        <w:rPr>
          <w:szCs w:val="22"/>
        </w:rPr>
        <w:t xml:space="preserve"> </w:t>
      </w:r>
      <w:r w:rsidRPr="00BD5CCC">
        <w:rPr>
          <w:rFonts w:ascii="Palatino Linotype" w:eastAsia="Calibri" w:hAnsi="Palatino Linotype" w:cs="Tahoma"/>
          <w:bCs/>
          <w:szCs w:val="22"/>
          <w:lang w:eastAsia="en-US"/>
        </w:rPr>
        <w:t xml:space="preserve">tendientes a preservar y resguardar la vida, la salud, </w:t>
      </w:r>
      <w:r w:rsidRPr="00BD5CCC">
        <w:rPr>
          <w:rFonts w:ascii="Palatino Linotype" w:eastAsia="Calibri" w:hAnsi="Palatino Linotype" w:cs="Tahoma"/>
          <w:bCs/>
          <w:szCs w:val="22"/>
          <w:lang w:eastAsia="en-US"/>
        </w:rPr>
        <w:lastRenderedPageBreak/>
        <w:t>la integridad y el ejercicio de los derechos de las personas, así como para el mantenimiento del orden público, toda vez que da cuenta de las tecnologías, equipos y sistemas de las instituciones</w:t>
      </w:r>
      <w:r w:rsidRPr="00BD5CCC">
        <w:rPr>
          <w:rFonts w:ascii="Palatino Linotype" w:eastAsia="Calibri" w:hAnsi="Palatino Linotype" w:cs="Tahoma"/>
          <w:b/>
          <w:bCs/>
          <w:szCs w:val="22"/>
          <w:lang w:eastAsia="en-US"/>
        </w:rPr>
        <w:t xml:space="preserve"> </w:t>
      </w:r>
      <w:r w:rsidRPr="00BD5CCC">
        <w:rPr>
          <w:rFonts w:ascii="Palatino Linotype" w:eastAsia="Calibri" w:hAnsi="Palatino Linotype" w:cs="Tahoma"/>
          <w:bCs/>
          <w:szCs w:val="22"/>
          <w:lang w:eastAsia="en-US"/>
        </w:rPr>
        <w:t>y por lo tanto, acredita la causal de clasificación prevista en el artículo 140, fracción I de la Ley de Transparencia y Acceso a la Información Pública del Estado de México</w:t>
      </w:r>
      <w:r w:rsidRPr="00BD5CCC">
        <w:rPr>
          <w:rFonts w:ascii="Palatino Linotype" w:eastAsia="Calibri" w:hAnsi="Palatino Linotype" w:cs="Tahoma"/>
          <w:b/>
          <w:bCs/>
          <w:szCs w:val="22"/>
          <w:lang w:eastAsia="en-US"/>
        </w:rPr>
        <w:t xml:space="preserve">, </w:t>
      </w:r>
      <w:r w:rsidRPr="00BD5CCC">
        <w:rPr>
          <w:rFonts w:ascii="Palatino Linotype" w:eastAsia="Calibri" w:hAnsi="Palatino Linotype" w:cs="Tahoma"/>
          <w:bCs/>
          <w:szCs w:val="22"/>
          <w:lang w:eastAsia="en-US"/>
        </w:rPr>
        <w:t>por</w:t>
      </w:r>
      <w:r w:rsidR="002E5896" w:rsidRPr="00BD5CCC">
        <w:rPr>
          <w:rFonts w:ascii="Palatino Linotype" w:eastAsia="Calibri" w:hAnsi="Palatino Linotype" w:cs="Tahoma"/>
          <w:bCs/>
          <w:szCs w:val="22"/>
          <w:lang w:eastAsia="en-US"/>
        </w:rPr>
        <w:t xml:space="preserve"> lo tanto,</w:t>
      </w:r>
      <w:r w:rsidRPr="00BD5CCC">
        <w:rPr>
          <w:rFonts w:ascii="Palatino Linotype" w:eastAsia="Calibri" w:hAnsi="Palatino Linotype" w:cs="Tahoma"/>
          <w:bCs/>
          <w:szCs w:val="22"/>
          <w:lang w:eastAsia="en-US"/>
        </w:rPr>
        <w:t xml:space="preserve"> procede su reserva.</w:t>
      </w:r>
      <w:r w:rsidRPr="00BD5CCC">
        <w:rPr>
          <w:rFonts w:ascii="Palatino Linotype" w:eastAsia="Calibri" w:hAnsi="Palatino Linotype" w:cs="Tahoma"/>
          <w:b/>
          <w:bCs/>
          <w:szCs w:val="22"/>
          <w:lang w:eastAsia="en-US"/>
        </w:rPr>
        <w:t xml:space="preserve"> </w:t>
      </w:r>
    </w:p>
    <w:p w:rsidR="00064F85" w:rsidRPr="00BD5CCC" w:rsidRDefault="00064F85" w:rsidP="00064F85">
      <w:pPr>
        <w:pStyle w:val="Prrafodelista"/>
        <w:rPr>
          <w:rFonts w:ascii="Palatino Linotype" w:hAnsi="Palatino Linotype"/>
        </w:rPr>
      </w:pPr>
    </w:p>
    <w:p w:rsidR="00064F85" w:rsidRPr="00BD5CCC" w:rsidRDefault="00064F85" w:rsidP="00064F85">
      <w:pPr>
        <w:pStyle w:val="Prrafodelista"/>
        <w:numPr>
          <w:ilvl w:val="0"/>
          <w:numId w:val="1"/>
        </w:numPr>
        <w:spacing w:line="360" w:lineRule="auto"/>
        <w:ind w:left="0" w:firstLine="0"/>
        <w:jc w:val="both"/>
        <w:rPr>
          <w:rFonts w:ascii="Palatino Linotype" w:eastAsia="Calibri" w:hAnsi="Palatino Linotype" w:cs="Tahoma"/>
          <w:bCs/>
          <w:szCs w:val="22"/>
          <w:lang w:eastAsia="en-US"/>
        </w:rPr>
      </w:pPr>
      <w:r w:rsidRPr="00BD5CCC">
        <w:rPr>
          <w:rFonts w:ascii="Palatino Linotype" w:hAnsi="Palatino Linotype"/>
        </w:rPr>
        <w:t xml:space="preserve">Relativo a ello el </w:t>
      </w:r>
      <w:r w:rsidRPr="00BD5CCC">
        <w:rPr>
          <w:rFonts w:ascii="Palatino Linotype" w:hAnsi="Palatino Linotype"/>
          <w:b/>
          <w:bCs/>
        </w:rPr>
        <w:t>SUJETO OBLIGADO</w:t>
      </w:r>
      <w:r w:rsidRPr="00BD5CCC">
        <w:rPr>
          <w:rFonts w:ascii="Palatino Linotype" w:hAnsi="Palatino Linotype"/>
        </w:rPr>
        <w:t xml:space="preserve"> deberá realizar la clasificación de información, en la que dé seguridad jurídica al </w:t>
      </w:r>
      <w:r w:rsidRPr="00BD5CCC">
        <w:rPr>
          <w:rFonts w:ascii="Palatino Linotype" w:hAnsi="Palatino Linotype"/>
          <w:b/>
          <w:bCs/>
        </w:rPr>
        <w:t>RECURRENTE</w:t>
      </w:r>
      <w:r w:rsidRPr="00BD5CCC">
        <w:rPr>
          <w:rFonts w:ascii="Palatino Linotype" w:hAnsi="Palatino Linotype"/>
        </w:rPr>
        <w:t xml:space="preserve"> que, por alguna excepción establecida en Ley no es posible acceder temporalmente a la información referida anteriormente, para así no dejar en estado de indefensión y exista certeza jurídica de lo expuesto por el </w:t>
      </w:r>
      <w:r w:rsidRPr="00BD5CCC">
        <w:rPr>
          <w:rFonts w:ascii="Palatino Linotype" w:hAnsi="Palatino Linotype"/>
          <w:b/>
          <w:bCs/>
        </w:rPr>
        <w:t>SUJETO OBLIGADO</w:t>
      </w:r>
      <w:r w:rsidRPr="00BD5CCC">
        <w:rPr>
          <w:rFonts w:ascii="Palatino Linotype" w:hAnsi="Palatino Linotype"/>
        </w:rPr>
        <w:t>.</w:t>
      </w:r>
    </w:p>
    <w:p w:rsidR="00064F85" w:rsidRPr="00BD5CCC" w:rsidRDefault="00064F85" w:rsidP="00064F85">
      <w:pPr>
        <w:pStyle w:val="Prrafodelista"/>
        <w:tabs>
          <w:tab w:val="left" w:pos="426"/>
        </w:tabs>
        <w:spacing w:line="360" w:lineRule="auto"/>
        <w:ind w:left="0"/>
        <w:jc w:val="both"/>
        <w:rPr>
          <w:rFonts w:ascii="Palatino Linotype" w:hAnsi="Palatino Linotype"/>
        </w:rPr>
      </w:pPr>
    </w:p>
    <w:p w:rsidR="00064F85" w:rsidRPr="00BD5CCC" w:rsidRDefault="00064F85" w:rsidP="00064F85">
      <w:pPr>
        <w:pStyle w:val="Prrafodelista"/>
        <w:tabs>
          <w:tab w:val="left" w:pos="426"/>
        </w:tabs>
        <w:ind w:left="567" w:right="567"/>
        <w:jc w:val="both"/>
        <w:rPr>
          <w:rFonts w:ascii="Palatino Linotype" w:hAnsi="Palatino Linotype"/>
          <w:i/>
          <w:iCs/>
          <w:szCs w:val="22"/>
        </w:rPr>
      </w:pPr>
      <w:r w:rsidRPr="00BD5CCC">
        <w:rPr>
          <w:rFonts w:ascii="Palatino Linotype" w:hAnsi="Palatino Linotype"/>
          <w:i/>
          <w:iCs/>
          <w:szCs w:val="22"/>
        </w:rPr>
        <w:t>“</w:t>
      </w:r>
      <w:r w:rsidRPr="00BD5CCC">
        <w:rPr>
          <w:rFonts w:ascii="Palatino Linotype" w:hAnsi="Palatino Linotype"/>
          <w:b/>
          <w:bCs/>
          <w:i/>
          <w:iCs/>
          <w:szCs w:val="22"/>
        </w:rPr>
        <w:t>Artículo 3.</w:t>
      </w:r>
      <w:r w:rsidRPr="00BD5CCC">
        <w:rPr>
          <w:rFonts w:ascii="Palatino Linotype" w:hAnsi="Palatino Linotype"/>
          <w:i/>
          <w:iCs/>
          <w:szCs w:val="22"/>
        </w:rPr>
        <w:t xml:space="preserve"> Para los efectos de la presente Ley se entenderá por:</w:t>
      </w:r>
    </w:p>
    <w:p w:rsidR="00064F85" w:rsidRPr="00BD5CCC" w:rsidRDefault="00064F85" w:rsidP="00064F85">
      <w:pPr>
        <w:pStyle w:val="Prrafodelista"/>
        <w:tabs>
          <w:tab w:val="left" w:pos="426"/>
        </w:tabs>
        <w:ind w:left="567" w:right="567"/>
        <w:jc w:val="both"/>
        <w:rPr>
          <w:rFonts w:ascii="Palatino Linotype" w:hAnsi="Palatino Linotype"/>
          <w:i/>
          <w:iCs/>
          <w:szCs w:val="22"/>
        </w:rPr>
      </w:pPr>
      <w:r w:rsidRPr="00BD5CCC">
        <w:rPr>
          <w:rFonts w:ascii="Palatino Linotype" w:hAnsi="Palatino Linotype"/>
          <w:i/>
          <w:iCs/>
          <w:szCs w:val="22"/>
        </w:rPr>
        <w:t>(…)</w:t>
      </w:r>
    </w:p>
    <w:p w:rsidR="00064F85" w:rsidRPr="00BD5CCC" w:rsidRDefault="00064F85" w:rsidP="00064F85">
      <w:pPr>
        <w:pStyle w:val="Prrafodelista"/>
        <w:tabs>
          <w:tab w:val="left" w:pos="426"/>
        </w:tabs>
        <w:ind w:left="567" w:right="567"/>
        <w:jc w:val="both"/>
        <w:rPr>
          <w:rFonts w:ascii="Palatino Linotype" w:hAnsi="Palatino Linotype"/>
          <w:i/>
          <w:iCs/>
          <w:szCs w:val="22"/>
        </w:rPr>
      </w:pPr>
      <w:r w:rsidRPr="00BD5CCC">
        <w:rPr>
          <w:rFonts w:ascii="Palatino Linotype" w:hAnsi="Palatino Linotype"/>
          <w:b/>
          <w:bCs/>
          <w:i/>
          <w:iCs/>
          <w:szCs w:val="22"/>
        </w:rPr>
        <w:t>XXIV.</w:t>
      </w:r>
      <w:r w:rsidRPr="00BD5CCC">
        <w:rPr>
          <w:rFonts w:ascii="Palatino Linotype" w:hAnsi="Palatino Linotype"/>
          <w:i/>
          <w:iCs/>
          <w:szCs w:val="22"/>
        </w:rPr>
        <w:t xml:space="preserve"> </w:t>
      </w:r>
      <w:r w:rsidRPr="00BD5CCC">
        <w:rPr>
          <w:rFonts w:ascii="Palatino Linotype" w:hAnsi="Palatino Linotype"/>
          <w:b/>
          <w:bCs/>
          <w:i/>
          <w:iCs/>
          <w:szCs w:val="22"/>
        </w:rPr>
        <w:t>Información reservada:</w:t>
      </w:r>
      <w:r w:rsidRPr="00BD5CCC">
        <w:rPr>
          <w:rFonts w:ascii="Palatino Linotype" w:hAnsi="Palatino Linotype"/>
          <w:i/>
          <w:iCs/>
          <w:szCs w:val="22"/>
        </w:rPr>
        <w:t xml:space="preserve"> La clasificada con este carácter de manera temporal por las disposiciones de esta Ley, cuya divulgación puede causar daño en términos de lo establecido por esta Ley;</w:t>
      </w:r>
    </w:p>
    <w:p w:rsidR="00064F85" w:rsidRPr="00BD5CCC" w:rsidRDefault="00064F85" w:rsidP="00064F85">
      <w:pPr>
        <w:pStyle w:val="Prrafodelista"/>
        <w:tabs>
          <w:tab w:val="left" w:pos="426"/>
        </w:tabs>
        <w:ind w:left="567" w:right="567"/>
        <w:jc w:val="both"/>
        <w:rPr>
          <w:rFonts w:ascii="Palatino Linotype" w:hAnsi="Palatino Linotype"/>
          <w:i/>
          <w:iCs/>
          <w:szCs w:val="22"/>
        </w:rPr>
      </w:pPr>
      <w:r w:rsidRPr="00BD5CCC">
        <w:rPr>
          <w:rFonts w:ascii="Palatino Linotype" w:hAnsi="Palatino Linotype"/>
          <w:i/>
          <w:iCs/>
          <w:szCs w:val="22"/>
        </w:rPr>
        <w:t>(…)</w:t>
      </w:r>
    </w:p>
    <w:p w:rsidR="00064F85" w:rsidRPr="00BD5CCC" w:rsidRDefault="00064F85" w:rsidP="00064F85">
      <w:pPr>
        <w:pStyle w:val="Prrafodelista"/>
        <w:tabs>
          <w:tab w:val="left" w:pos="426"/>
        </w:tabs>
        <w:ind w:left="567" w:right="567"/>
        <w:jc w:val="both"/>
        <w:rPr>
          <w:rFonts w:ascii="Palatino Linotype" w:hAnsi="Palatino Linotype"/>
          <w:i/>
          <w:iCs/>
          <w:szCs w:val="22"/>
        </w:rPr>
      </w:pPr>
    </w:p>
    <w:p w:rsidR="00064F85" w:rsidRPr="00BD5CCC" w:rsidRDefault="00064F85" w:rsidP="00064F85">
      <w:pPr>
        <w:pStyle w:val="Prrafodelista"/>
        <w:tabs>
          <w:tab w:val="left" w:pos="426"/>
        </w:tabs>
        <w:ind w:left="567" w:right="567"/>
        <w:jc w:val="both"/>
        <w:rPr>
          <w:rFonts w:ascii="Palatino Linotype" w:hAnsi="Palatino Linotype"/>
          <w:i/>
          <w:iCs/>
          <w:szCs w:val="22"/>
        </w:rPr>
      </w:pPr>
      <w:r w:rsidRPr="00BD5CCC">
        <w:rPr>
          <w:rFonts w:ascii="Palatino Linotype" w:hAnsi="Palatino Linotype"/>
          <w:b/>
          <w:bCs/>
          <w:i/>
          <w:iCs/>
          <w:szCs w:val="22"/>
        </w:rPr>
        <w:t>Artículo 122.</w:t>
      </w:r>
      <w:r w:rsidRPr="00BD5CCC">
        <w:rPr>
          <w:rFonts w:ascii="Palatino Linotype" w:hAnsi="Palatino Linotype"/>
          <w:i/>
          <w:iCs/>
          <w:szCs w:val="22"/>
        </w:rPr>
        <w:t xml:space="preserve"> La clasificación es el proceso mediante el cual el Sujeto Obligado determina que la información en su poder </w:t>
      </w:r>
      <w:proofErr w:type="spellStart"/>
      <w:r w:rsidRPr="00BD5CCC">
        <w:rPr>
          <w:rFonts w:ascii="Palatino Linotype" w:hAnsi="Palatino Linotype"/>
          <w:i/>
          <w:iCs/>
          <w:szCs w:val="22"/>
        </w:rPr>
        <w:t>actualiza</w:t>
      </w:r>
      <w:proofErr w:type="spellEnd"/>
      <w:r w:rsidRPr="00BD5CCC">
        <w:rPr>
          <w:rFonts w:ascii="Palatino Linotype" w:hAnsi="Palatino Linotype"/>
          <w:i/>
          <w:iCs/>
          <w:szCs w:val="22"/>
        </w:rPr>
        <w:t xml:space="preserve"> alguno de los supuestos de reserva o confidencialidad, de conformidad con lo dispuesto en el presente título.</w:t>
      </w:r>
    </w:p>
    <w:p w:rsidR="00064F85" w:rsidRPr="00BD5CCC" w:rsidRDefault="00064F85" w:rsidP="00064F85">
      <w:pPr>
        <w:pStyle w:val="Prrafodelista"/>
        <w:tabs>
          <w:tab w:val="left" w:pos="426"/>
        </w:tabs>
        <w:ind w:left="567" w:right="567"/>
        <w:jc w:val="both"/>
        <w:rPr>
          <w:rFonts w:ascii="Palatino Linotype" w:hAnsi="Palatino Linotype"/>
          <w:i/>
          <w:iCs/>
          <w:szCs w:val="22"/>
        </w:rPr>
      </w:pPr>
      <w:r w:rsidRPr="00BD5CCC">
        <w:rPr>
          <w:rFonts w:ascii="Palatino Linotype" w:hAnsi="Palatino Linotype"/>
          <w:i/>
          <w:iCs/>
          <w:szCs w:val="22"/>
        </w:rPr>
        <w:t>Los supuestos de reserva o confidencialidad previstos en las leyes deberán ser acordes con las bases, principios y disposiciones establecidos en la Ley General y, en ningún caso, podrán contravenirla.</w:t>
      </w:r>
    </w:p>
    <w:p w:rsidR="00064F85" w:rsidRPr="00BD5CCC" w:rsidRDefault="00064F85" w:rsidP="00064F85">
      <w:pPr>
        <w:pStyle w:val="Prrafodelista"/>
        <w:tabs>
          <w:tab w:val="left" w:pos="426"/>
        </w:tabs>
        <w:ind w:left="567" w:right="567"/>
        <w:jc w:val="both"/>
        <w:rPr>
          <w:rFonts w:ascii="Palatino Linotype" w:hAnsi="Palatino Linotype"/>
          <w:i/>
          <w:iCs/>
          <w:szCs w:val="22"/>
        </w:rPr>
      </w:pPr>
      <w:r w:rsidRPr="00BD5CCC">
        <w:rPr>
          <w:rFonts w:ascii="Palatino Linotype" w:hAnsi="Palatino Linotype"/>
          <w:i/>
          <w:iCs/>
          <w:szCs w:val="22"/>
        </w:rPr>
        <w:t>Los titulares de las áreas de los sujetos obligados serán los responsables de clasificar la información, de conformidad con lo dispuesto en la presente Ley y demás disposiciones jurídicas aplicables.</w:t>
      </w:r>
    </w:p>
    <w:p w:rsidR="00064F85" w:rsidRPr="00BD5CCC" w:rsidRDefault="00064F85" w:rsidP="00064F85">
      <w:pPr>
        <w:pStyle w:val="Prrafodelista"/>
        <w:tabs>
          <w:tab w:val="left" w:pos="426"/>
        </w:tabs>
        <w:ind w:left="567" w:right="567"/>
        <w:jc w:val="both"/>
        <w:rPr>
          <w:rFonts w:ascii="Palatino Linotype" w:hAnsi="Palatino Linotype"/>
          <w:i/>
          <w:iCs/>
          <w:szCs w:val="22"/>
        </w:rPr>
      </w:pPr>
    </w:p>
    <w:p w:rsidR="00064F85" w:rsidRPr="00BD5CCC" w:rsidRDefault="00064F85" w:rsidP="00064F85">
      <w:pPr>
        <w:pStyle w:val="Prrafodelista"/>
        <w:tabs>
          <w:tab w:val="left" w:pos="426"/>
        </w:tabs>
        <w:ind w:left="567" w:right="567"/>
        <w:jc w:val="both"/>
        <w:rPr>
          <w:rFonts w:ascii="Palatino Linotype" w:hAnsi="Palatino Linotype"/>
          <w:i/>
          <w:iCs/>
          <w:szCs w:val="22"/>
        </w:rPr>
      </w:pPr>
      <w:r w:rsidRPr="00BD5CCC">
        <w:rPr>
          <w:rFonts w:ascii="Palatino Linotype" w:hAnsi="Palatino Linotype"/>
          <w:b/>
          <w:bCs/>
          <w:i/>
          <w:iCs/>
          <w:szCs w:val="22"/>
        </w:rPr>
        <w:t>Artículo 125.</w:t>
      </w:r>
      <w:r w:rsidRPr="00BD5CCC">
        <w:rPr>
          <w:rFonts w:ascii="Palatino Linotype" w:hAnsi="Palatino Linotype"/>
          <w:i/>
          <w:iCs/>
          <w:szCs w:val="22"/>
        </w:rPr>
        <w:t xml:space="preserve"> </w:t>
      </w:r>
      <w:r w:rsidRPr="00BD5CCC">
        <w:rPr>
          <w:rFonts w:ascii="Palatino Linotype" w:hAnsi="Palatino Linotype"/>
          <w:b/>
          <w:bCs/>
          <w:i/>
          <w:iCs/>
          <w:szCs w:val="22"/>
        </w:rPr>
        <w:t>La información clasificada como reservada, de acuerdo a lo establecido en esta Ley podrá permanecer con tal carácter hasta por un periodo de cinco años</w:t>
      </w:r>
      <w:r w:rsidRPr="00BD5CCC">
        <w:rPr>
          <w:rFonts w:ascii="Palatino Linotype" w:hAnsi="Palatino Linotype"/>
          <w:i/>
          <w:iCs/>
          <w:szCs w:val="22"/>
        </w:rPr>
        <w:t>, contados a partir de su clasificación, salvo que antes del cumplimiento del periodo de restricción, dejaran de existir los motivos de su reserva.</w:t>
      </w:r>
    </w:p>
    <w:p w:rsidR="00064F85" w:rsidRPr="00BD5CCC" w:rsidRDefault="00064F85" w:rsidP="00064F85">
      <w:pPr>
        <w:pStyle w:val="Prrafodelista"/>
        <w:tabs>
          <w:tab w:val="left" w:pos="426"/>
        </w:tabs>
        <w:ind w:left="567" w:right="567"/>
        <w:jc w:val="both"/>
        <w:rPr>
          <w:rFonts w:ascii="Palatino Linotype" w:hAnsi="Palatino Linotype"/>
          <w:i/>
          <w:iCs/>
          <w:szCs w:val="22"/>
        </w:rPr>
      </w:pPr>
      <w:r w:rsidRPr="00BD5CCC">
        <w:rPr>
          <w:rFonts w:ascii="Palatino Linotype" w:hAnsi="Palatino Linotype"/>
          <w:i/>
          <w:iCs/>
          <w:szCs w:val="22"/>
        </w:rPr>
        <w:lastRenderedPageBreak/>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064F85" w:rsidRPr="00BD5CCC" w:rsidRDefault="00064F85" w:rsidP="00064F85">
      <w:pPr>
        <w:pStyle w:val="Prrafodelista"/>
        <w:tabs>
          <w:tab w:val="left" w:pos="426"/>
        </w:tabs>
        <w:ind w:left="567" w:right="567"/>
        <w:jc w:val="both"/>
        <w:rPr>
          <w:rFonts w:ascii="Palatino Linotype" w:hAnsi="Palatino Linotype"/>
          <w:i/>
          <w:iCs/>
          <w:szCs w:val="22"/>
        </w:rPr>
      </w:pPr>
      <w:r w:rsidRPr="00BD5CCC">
        <w:rPr>
          <w:rFonts w:ascii="Palatino Linotype" w:hAnsi="Palatino Linotype"/>
          <w:i/>
          <w:iCs/>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064F85" w:rsidRPr="00BD5CCC" w:rsidRDefault="00064F85" w:rsidP="00064F85">
      <w:pPr>
        <w:pStyle w:val="Prrafodelista"/>
        <w:tabs>
          <w:tab w:val="left" w:pos="426"/>
        </w:tabs>
        <w:ind w:left="567" w:right="567"/>
        <w:jc w:val="both"/>
        <w:rPr>
          <w:rFonts w:ascii="Palatino Linotype" w:hAnsi="Palatino Linotype"/>
          <w:i/>
          <w:iCs/>
          <w:szCs w:val="22"/>
        </w:rPr>
      </w:pPr>
      <w:r w:rsidRPr="00BD5CCC">
        <w:rPr>
          <w:rFonts w:ascii="Palatino Linotype" w:hAnsi="Palatino Linotype"/>
          <w:i/>
          <w:iCs/>
          <w:szCs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w:t>
      </w:r>
    </w:p>
    <w:p w:rsidR="00064F85" w:rsidRPr="00BD5CCC" w:rsidRDefault="00064F85" w:rsidP="00064F85">
      <w:pPr>
        <w:pStyle w:val="Prrafodelista"/>
        <w:tabs>
          <w:tab w:val="left" w:pos="426"/>
        </w:tabs>
        <w:ind w:left="567" w:right="567"/>
        <w:jc w:val="both"/>
        <w:rPr>
          <w:rFonts w:ascii="Palatino Linotype" w:hAnsi="Palatino Linotype"/>
          <w:i/>
          <w:iCs/>
          <w:szCs w:val="22"/>
        </w:rPr>
      </w:pPr>
    </w:p>
    <w:p w:rsidR="00064F85" w:rsidRPr="00BD5CCC" w:rsidRDefault="00064F85" w:rsidP="00064F85">
      <w:pPr>
        <w:pStyle w:val="Prrafodelista"/>
        <w:tabs>
          <w:tab w:val="left" w:pos="426"/>
        </w:tabs>
        <w:ind w:left="567" w:right="567"/>
        <w:jc w:val="both"/>
        <w:rPr>
          <w:rFonts w:ascii="Palatino Linotype" w:hAnsi="Palatino Linotype"/>
          <w:i/>
          <w:iCs/>
          <w:szCs w:val="22"/>
        </w:rPr>
      </w:pPr>
      <w:r w:rsidRPr="00BD5CCC">
        <w:rPr>
          <w:rFonts w:ascii="Palatino Linotype" w:hAnsi="Palatino Linotype"/>
          <w:b/>
          <w:bCs/>
          <w:i/>
          <w:iCs/>
          <w:szCs w:val="22"/>
        </w:rPr>
        <w:t>Artículo 128.</w:t>
      </w:r>
      <w:r w:rsidRPr="00BD5CCC">
        <w:rPr>
          <w:rFonts w:ascii="Palatino Linotype" w:hAnsi="Palatino Linotype"/>
          <w:i/>
          <w:iCs/>
          <w:szCs w:val="22"/>
        </w:rPr>
        <w:t xml:space="preserve"> </w:t>
      </w:r>
      <w:r w:rsidRPr="00BD5CCC">
        <w:rPr>
          <w:rFonts w:ascii="Palatino Linotype" w:hAnsi="Palatino Linotype"/>
          <w:b/>
          <w:bCs/>
          <w:i/>
          <w:iCs/>
          <w:szCs w:val="22"/>
        </w:rPr>
        <w:t>En los casos en que se niegue el acceso a la información, por actualizarse alguno de los supuestos de clasificación, el Comité de Transparencia deberá confirmar, modificar o revocar la decisión</w:t>
      </w:r>
      <w:r w:rsidRPr="00BD5CCC">
        <w:rPr>
          <w:rFonts w:ascii="Palatino Linotype" w:hAnsi="Palatino Linotype"/>
          <w:i/>
          <w:iCs/>
          <w:szCs w:val="22"/>
        </w:rPr>
        <w:t>.</w:t>
      </w:r>
    </w:p>
    <w:p w:rsidR="00064F85" w:rsidRPr="00BD5CCC" w:rsidRDefault="00064F85" w:rsidP="00064F85">
      <w:pPr>
        <w:pStyle w:val="Prrafodelista"/>
        <w:tabs>
          <w:tab w:val="left" w:pos="426"/>
        </w:tabs>
        <w:ind w:left="567" w:right="567"/>
        <w:jc w:val="both"/>
        <w:rPr>
          <w:rFonts w:ascii="Palatino Linotype" w:hAnsi="Palatino Linotype"/>
          <w:i/>
          <w:iCs/>
          <w:szCs w:val="22"/>
        </w:rPr>
      </w:pPr>
      <w:r w:rsidRPr="00BD5CCC">
        <w:rPr>
          <w:rFonts w:ascii="Palatino Linotype" w:hAnsi="Palatino Linotype"/>
          <w:i/>
          <w:iCs/>
          <w:szCs w:val="22"/>
        </w:rPr>
        <w:t xml:space="preserve">Para motivar la clasificación de la información y la ampliación del plazo de reserva, </w:t>
      </w:r>
      <w:r w:rsidRPr="00BD5CCC">
        <w:rPr>
          <w:rFonts w:ascii="Palatino Linotype" w:hAnsi="Palatino Linotype"/>
          <w:b/>
          <w:bCs/>
          <w:i/>
          <w:iCs/>
          <w:szCs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r w:rsidRPr="00BD5CCC">
        <w:rPr>
          <w:rFonts w:ascii="Palatino Linotype" w:hAnsi="Palatino Linotype"/>
          <w:i/>
          <w:iCs/>
          <w:szCs w:val="22"/>
        </w:rPr>
        <w:t>.</w:t>
      </w:r>
    </w:p>
    <w:p w:rsidR="00064F85" w:rsidRPr="00BD5CCC" w:rsidRDefault="00064F85" w:rsidP="00064F85">
      <w:pPr>
        <w:pStyle w:val="Prrafodelista"/>
        <w:tabs>
          <w:tab w:val="left" w:pos="426"/>
        </w:tabs>
        <w:ind w:left="567" w:right="567"/>
        <w:jc w:val="both"/>
        <w:rPr>
          <w:rFonts w:ascii="Palatino Linotype" w:hAnsi="Palatino Linotype"/>
          <w:i/>
          <w:iCs/>
          <w:szCs w:val="22"/>
        </w:rPr>
      </w:pPr>
      <w:r w:rsidRPr="00BD5CCC">
        <w:rPr>
          <w:rFonts w:ascii="Palatino Linotype" w:hAnsi="Palatino Linotype"/>
          <w:i/>
          <w:iCs/>
          <w:szCs w:val="22"/>
        </w:rPr>
        <w:t>Tratándose de aquella información que actualice los supuestos de clasificación, deberá señalarse el plazo al que estará sujeto la reserva.</w:t>
      </w:r>
    </w:p>
    <w:p w:rsidR="00064F85" w:rsidRPr="00BD5CCC" w:rsidRDefault="00064F85" w:rsidP="00064F85">
      <w:pPr>
        <w:pStyle w:val="Prrafodelista"/>
        <w:tabs>
          <w:tab w:val="left" w:pos="426"/>
        </w:tabs>
        <w:ind w:left="567" w:right="567"/>
        <w:jc w:val="both"/>
        <w:rPr>
          <w:rFonts w:ascii="Palatino Linotype" w:hAnsi="Palatino Linotype"/>
          <w:i/>
          <w:iCs/>
          <w:szCs w:val="22"/>
        </w:rPr>
      </w:pPr>
    </w:p>
    <w:p w:rsidR="00064F85" w:rsidRPr="00BD5CCC" w:rsidRDefault="00064F85" w:rsidP="00064F85">
      <w:pPr>
        <w:pStyle w:val="Prrafodelista"/>
        <w:tabs>
          <w:tab w:val="left" w:pos="426"/>
        </w:tabs>
        <w:ind w:left="567" w:right="567"/>
        <w:jc w:val="both"/>
        <w:rPr>
          <w:rFonts w:ascii="Palatino Linotype" w:hAnsi="Palatino Linotype"/>
          <w:b/>
          <w:bCs/>
          <w:i/>
          <w:iCs/>
          <w:szCs w:val="22"/>
        </w:rPr>
      </w:pPr>
      <w:r w:rsidRPr="00BD5CCC">
        <w:rPr>
          <w:rFonts w:ascii="Palatino Linotype" w:hAnsi="Palatino Linotype"/>
          <w:b/>
          <w:bCs/>
          <w:i/>
          <w:iCs/>
          <w:szCs w:val="22"/>
        </w:rPr>
        <w:t>Artículo 129. En la aplicación de la prueba de daño, el Sujeto Obligado deberá precisar las razones objetivas por las que la apertura de la información generaría una afectación, justificando que:</w:t>
      </w:r>
    </w:p>
    <w:p w:rsidR="00064F85" w:rsidRPr="00BD5CCC" w:rsidRDefault="00064F85" w:rsidP="00064F85">
      <w:pPr>
        <w:pStyle w:val="Prrafodelista"/>
        <w:tabs>
          <w:tab w:val="left" w:pos="426"/>
        </w:tabs>
        <w:ind w:left="567" w:right="567"/>
        <w:jc w:val="both"/>
        <w:rPr>
          <w:rFonts w:ascii="Palatino Linotype" w:hAnsi="Palatino Linotype"/>
          <w:b/>
          <w:bCs/>
          <w:i/>
          <w:iCs/>
          <w:szCs w:val="22"/>
        </w:rPr>
      </w:pPr>
      <w:r w:rsidRPr="00BD5CCC">
        <w:rPr>
          <w:rFonts w:ascii="Palatino Linotype" w:hAnsi="Palatino Linotype"/>
          <w:b/>
          <w:bCs/>
          <w:i/>
          <w:iCs/>
          <w:szCs w:val="22"/>
        </w:rPr>
        <w:t>I. La divulgación de la información representa un riesgo real, demostrable e identificable del perjuicio significativo al interés público o a la seguridad pública;</w:t>
      </w:r>
    </w:p>
    <w:p w:rsidR="00064F85" w:rsidRPr="00BD5CCC" w:rsidRDefault="00064F85" w:rsidP="00064F85">
      <w:pPr>
        <w:pStyle w:val="Prrafodelista"/>
        <w:tabs>
          <w:tab w:val="left" w:pos="426"/>
        </w:tabs>
        <w:ind w:left="567" w:right="567"/>
        <w:jc w:val="both"/>
        <w:rPr>
          <w:rFonts w:ascii="Palatino Linotype" w:hAnsi="Palatino Linotype"/>
          <w:b/>
          <w:bCs/>
          <w:i/>
          <w:iCs/>
          <w:szCs w:val="22"/>
        </w:rPr>
      </w:pPr>
      <w:r w:rsidRPr="00BD5CCC">
        <w:rPr>
          <w:rFonts w:ascii="Palatino Linotype" w:hAnsi="Palatino Linotype"/>
          <w:b/>
          <w:bCs/>
          <w:i/>
          <w:iCs/>
          <w:szCs w:val="22"/>
        </w:rPr>
        <w:t>II. El riesgo de perjuicio que supondría la divulgación supera el interés público general de que se difunda; y</w:t>
      </w:r>
    </w:p>
    <w:p w:rsidR="00064F85" w:rsidRPr="00BD5CCC" w:rsidRDefault="00064F85" w:rsidP="00064F85">
      <w:pPr>
        <w:pStyle w:val="Prrafodelista"/>
        <w:tabs>
          <w:tab w:val="left" w:pos="426"/>
        </w:tabs>
        <w:ind w:left="567" w:right="567"/>
        <w:jc w:val="both"/>
        <w:rPr>
          <w:rFonts w:ascii="Palatino Linotype" w:hAnsi="Palatino Linotype"/>
          <w:b/>
          <w:bCs/>
          <w:i/>
          <w:iCs/>
          <w:szCs w:val="22"/>
        </w:rPr>
      </w:pPr>
      <w:r w:rsidRPr="00BD5CCC">
        <w:rPr>
          <w:rFonts w:ascii="Palatino Linotype" w:hAnsi="Palatino Linotype"/>
          <w:b/>
          <w:bCs/>
          <w:i/>
          <w:iCs/>
          <w:szCs w:val="22"/>
        </w:rPr>
        <w:t>III. La limitación se adecua al principio de proporcionalidad y representa el medio menos restrictivo disponible representa el medio menos restrictivo disponible para evitar el perjuicio.</w:t>
      </w:r>
    </w:p>
    <w:p w:rsidR="00064F85" w:rsidRPr="00BD5CCC" w:rsidRDefault="00064F85" w:rsidP="00064F85">
      <w:pPr>
        <w:pStyle w:val="Prrafodelista"/>
        <w:tabs>
          <w:tab w:val="left" w:pos="426"/>
        </w:tabs>
        <w:ind w:left="567" w:right="567"/>
        <w:jc w:val="both"/>
        <w:rPr>
          <w:rFonts w:ascii="Palatino Linotype" w:hAnsi="Palatino Linotype"/>
          <w:i/>
          <w:iCs/>
          <w:szCs w:val="22"/>
        </w:rPr>
      </w:pPr>
    </w:p>
    <w:p w:rsidR="00064F85" w:rsidRPr="00BD5CCC" w:rsidRDefault="00064F85" w:rsidP="00064F85">
      <w:pPr>
        <w:pStyle w:val="Prrafodelista"/>
        <w:tabs>
          <w:tab w:val="left" w:pos="426"/>
        </w:tabs>
        <w:ind w:left="567" w:right="567"/>
        <w:jc w:val="both"/>
        <w:rPr>
          <w:rFonts w:ascii="Palatino Linotype" w:hAnsi="Palatino Linotype"/>
          <w:i/>
          <w:iCs/>
          <w:szCs w:val="22"/>
        </w:rPr>
      </w:pPr>
      <w:r w:rsidRPr="00BD5CCC">
        <w:rPr>
          <w:rFonts w:ascii="Palatino Linotype" w:hAnsi="Palatino Linotype"/>
          <w:b/>
          <w:bCs/>
          <w:i/>
          <w:iCs/>
          <w:szCs w:val="22"/>
        </w:rPr>
        <w:t>Artículo 130.</w:t>
      </w:r>
      <w:r w:rsidRPr="00BD5CCC">
        <w:rPr>
          <w:rFonts w:ascii="Palatino Linotype" w:hAnsi="Palatino Linotype"/>
          <w:i/>
          <w:iCs/>
          <w:szCs w:val="22"/>
        </w:rPr>
        <w:t xml:space="preserve"> </w:t>
      </w:r>
      <w:r w:rsidRPr="00BD5CCC">
        <w:rPr>
          <w:rFonts w:ascii="Palatino Linotype" w:hAnsi="Palatino Linotype"/>
          <w:b/>
          <w:bCs/>
          <w:i/>
          <w:iCs/>
          <w:szCs w:val="22"/>
          <w:u w:val="single"/>
        </w:rPr>
        <w:t>Los sujetos obligados deberán aplicar, de manera restrictiva y limitada, las excepciones al derecho de acceso a la información y sólo podrán invocarlas cuando acrediten su procedencia</w:t>
      </w:r>
      <w:r w:rsidRPr="00BD5CCC">
        <w:rPr>
          <w:rFonts w:ascii="Palatino Linotype" w:hAnsi="Palatino Linotype"/>
          <w:i/>
          <w:iCs/>
          <w:szCs w:val="22"/>
        </w:rPr>
        <w:t xml:space="preserve">, sin ampliar las excepciones o supuestos </w:t>
      </w:r>
      <w:r w:rsidRPr="00BD5CCC">
        <w:rPr>
          <w:rFonts w:ascii="Palatino Linotype" w:hAnsi="Palatino Linotype"/>
          <w:i/>
          <w:iCs/>
          <w:szCs w:val="22"/>
        </w:rPr>
        <w:lastRenderedPageBreak/>
        <w:t>de reserva o confidencialidad previstos en la Ley General y la presente Ley, aduciendo analogía o mayoría de razón.</w:t>
      </w:r>
    </w:p>
    <w:p w:rsidR="00064F85" w:rsidRPr="00BD5CCC" w:rsidRDefault="00064F85" w:rsidP="00064F85">
      <w:pPr>
        <w:pStyle w:val="Prrafodelista"/>
        <w:tabs>
          <w:tab w:val="left" w:pos="426"/>
        </w:tabs>
        <w:ind w:left="567" w:right="567"/>
        <w:jc w:val="both"/>
        <w:rPr>
          <w:rFonts w:ascii="Palatino Linotype" w:hAnsi="Palatino Linotype"/>
          <w:i/>
          <w:iCs/>
          <w:szCs w:val="22"/>
        </w:rPr>
      </w:pPr>
    </w:p>
    <w:p w:rsidR="00064F85" w:rsidRPr="00BD5CCC" w:rsidRDefault="00064F85" w:rsidP="00064F85">
      <w:pPr>
        <w:pStyle w:val="Prrafodelista"/>
        <w:tabs>
          <w:tab w:val="left" w:pos="426"/>
        </w:tabs>
        <w:spacing w:line="360" w:lineRule="auto"/>
        <w:ind w:left="0"/>
        <w:jc w:val="both"/>
        <w:rPr>
          <w:rFonts w:ascii="Palatino Linotype" w:hAnsi="Palatino Linotype"/>
        </w:rPr>
      </w:pPr>
    </w:p>
    <w:p w:rsidR="00064F85" w:rsidRPr="00BD5CCC" w:rsidRDefault="00064F85" w:rsidP="00064F85">
      <w:pPr>
        <w:pStyle w:val="Prrafodelista"/>
        <w:numPr>
          <w:ilvl w:val="0"/>
          <w:numId w:val="1"/>
        </w:numPr>
        <w:tabs>
          <w:tab w:val="left" w:pos="426"/>
        </w:tabs>
        <w:spacing w:line="360" w:lineRule="auto"/>
        <w:ind w:left="0" w:firstLine="0"/>
        <w:jc w:val="both"/>
        <w:rPr>
          <w:rFonts w:ascii="Palatino Linotype" w:hAnsi="Palatino Linotype"/>
        </w:rPr>
      </w:pPr>
      <w:r w:rsidRPr="00BD5CCC">
        <w:rPr>
          <w:rFonts w:ascii="Palatino Linotype" w:hAnsi="Palatino Linotype"/>
        </w:rPr>
        <w:t xml:space="preserve">De la interpretación sistemática de los artículos citados, se advierte que el </w:t>
      </w:r>
      <w:r w:rsidRPr="00BD5CCC">
        <w:rPr>
          <w:rFonts w:ascii="Palatino Linotype" w:hAnsi="Palatino Linotype"/>
          <w:b/>
          <w:bCs/>
        </w:rPr>
        <w:t>SUJETO OBLIGADO</w:t>
      </w:r>
      <w:r w:rsidRPr="00BD5CCC">
        <w:rPr>
          <w:rFonts w:ascii="Palatino Linotype" w:hAnsi="Palatino Linotype"/>
        </w:rPr>
        <w:t xml:space="preserve"> debe realizar la debida reserva de la información por seguir en trámite el procedimiento aludido, siguiendo los requisitos expuestos:</w:t>
      </w:r>
    </w:p>
    <w:p w:rsidR="00064F85" w:rsidRPr="00BD5CCC" w:rsidRDefault="00064F85" w:rsidP="00064F85">
      <w:pPr>
        <w:pStyle w:val="Prrafodelista"/>
        <w:tabs>
          <w:tab w:val="left" w:pos="426"/>
        </w:tabs>
        <w:spacing w:line="360" w:lineRule="auto"/>
        <w:ind w:left="0"/>
        <w:jc w:val="both"/>
        <w:rPr>
          <w:rFonts w:ascii="Palatino Linotype" w:hAnsi="Palatino Linotype"/>
        </w:rPr>
      </w:pPr>
    </w:p>
    <w:p w:rsidR="00064F85" w:rsidRPr="00BD5CCC" w:rsidRDefault="00064F85" w:rsidP="00064F85">
      <w:pPr>
        <w:pStyle w:val="Prrafodelista"/>
        <w:tabs>
          <w:tab w:val="left" w:pos="426"/>
        </w:tabs>
        <w:spacing w:line="360" w:lineRule="auto"/>
        <w:ind w:left="567" w:right="567"/>
        <w:jc w:val="both"/>
        <w:rPr>
          <w:rFonts w:ascii="Palatino Linotype" w:hAnsi="Palatino Linotype"/>
          <w:szCs w:val="22"/>
        </w:rPr>
      </w:pPr>
      <w:r w:rsidRPr="00BD5CCC">
        <w:rPr>
          <w:rFonts w:ascii="Palatino Linotype" w:hAnsi="Palatino Linotype"/>
          <w:b/>
          <w:bCs/>
          <w:szCs w:val="22"/>
        </w:rPr>
        <w:t>I.</w:t>
      </w:r>
      <w:r w:rsidRPr="00BD5CCC">
        <w:rPr>
          <w:rFonts w:ascii="Palatino Linotype" w:hAnsi="Palatino Linotype"/>
          <w:szCs w:val="22"/>
        </w:rPr>
        <w:t xml:space="preserve"> La divulgación de la información representa un riesgo real, demostrable e identificable del perjuicio significativo al interés público o a la seguridad pública;</w:t>
      </w:r>
    </w:p>
    <w:p w:rsidR="00064F85" w:rsidRPr="00BD5CCC" w:rsidRDefault="00064F85" w:rsidP="00064F85">
      <w:pPr>
        <w:pStyle w:val="Prrafodelista"/>
        <w:tabs>
          <w:tab w:val="left" w:pos="426"/>
        </w:tabs>
        <w:spacing w:line="360" w:lineRule="auto"/>
        <w:ind w:left="567" w:right="567"/>
        <w:jc w:val="both"/>
        <w:rPr>
          <w:rFonts w:ascii="Palatino Linotype" w:hAnsi="Palatino Linotype"/>
          <w:szCs w:val="22"/>
        </w:rPr>
      </w:pPr>
      <w:r w:rsidRPr="00BD5CCC">
        <w:rPr>
          <w:rFonts w:ascii="Palatino Linotype" w:hAnsi="Palatino Linotype"/>
          <w:b/>
          <w:bCs/>
          <w:szCs w:val="22"/>
        </w:rPr>
        <w:t>II.</w:t>
      </w:r>
      <w:r w:rsidRPr="00BD5CCC">
        <w:rPr>
          <w:rFonts w:ascii="Palatino Linotype" w:hAnsi="Palatino Linotype"/>
          <w:szCs w:val="22"/>
        </w:rPr>
        <w:t xml:space="preserve"> El riesgo de perjuicio que supondría la divulgación supera el interés público general de que se difunda; y</w:t>
      </w:r>
    </w:p>
    <w:p w:rsidR="00064F85" w:rsidRPr="00BD5CCC" w:rsidRDefault="00064F85" w:rsidP="00064F85">
      <w:pPr>
        <w:pStyle w:val="Prrafodelista"/>
        <w:tabs>
          <w:tab w:val="left" w:pos="426"/>
        </w:tabs>
        <w:spacing w:line="360" w:lineRule="auto"/>
        <w:ind w:left="567" w:right="567"/>
        <w:jc w:val="both"/>
        <w:rPr>
          <w:rFonts w:ascii="Palatino Linotype" w:hAnsi="Palatino Linotype"/>
          <w:szCs w:val="22"/>
        </w:rPr>
      </w:pPr>
      <w:r w:rsidRPr="00BD5CCC">
        <w:rPr>
          <w:rFonts w:ascii="Palatino Linotype" w:hAnsi="Palatino Linotype"/>
          <w:b/>
          <w:bCs/>
          <w:szCs w:val="22"/>
        </w:rPr>
        <w:t>III.</w:t>
      </w:r>
      <w:r w:rsidRPr="00BD5CCC">
        <w:rPr>
          <w:rFonts w:ascii="Palatino Linotype" w:hAnsi="Palatino Linotype"/>
          <w:szCs w:val="22"/>
        </w:rPr>
        <w:t xml:space="preserve"> La limitación se adecua al principio de proporcionalidad y representa el medio menos restrictivo disponible representa el medio menos restrictivo disponible para evitar el perjuicio.</w:t>
      </w:r>
    </w:p>
    <w:p w:rsidR="00064F85" w:rsidRPr="00BD5CCC" w:rsidRDefault="00064F85" w:rsidP="00064F85">
      <w:pPr>
        <w:pStyle w:val="Prrafodelista"/>
        <w:tabs>
          <w:tab w:val="left" w:pos="426"/>
        </w:tabs>
        <w:spacing w:line="360" w:lineRule="auto"/>
        <w:ind w:left="0"/>
        <w:jc w:val="both"/>
        <w:rPr>
          <w:rFonts w:ascii="Palatino Linotype" w:hAnsi="Palatino Linotype"/>
        </w:rPr>
      </w:pPr>
    </w:p>
    <w:p w:rsidR="00064F85" w:rsidRPr="00BD5CCC" w:rsidRDefault="00064F85" w:rsidP="00064F85">
      <w:pPr>
        <w:pStyle w:val="Prrafodelista"/>
        <w:numPr>
          <w:ilvl w:val="0"/>
          <w:numId w:val="1"/>
        </w:numPr>
        <w:tabs>
          <w:tab w:val="left" w:pos="426"/>
        </w:tabs>
        <w:spacing w:line="360" w:lineRule="auto"/>
        <w:ind w:left="0" w:firstLine="0"/>
        <w:jc w:val="both"/>
        <w:rPr>
          <w:rFonts w:ascii="Palatino Linotype" w:hAnsi="Palatino Linotype"/>
        </w:rPr>
      </w:pPr>
      <w:r w:rsidRPr="00BD5CCC">
        <w:rPr>
          <w:rFonts w:ascii="Palatino Linotype" w:hAnsi="Palatino Linotype"/>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064F85" w:rsidRPr="00BD5CCC" w:rsidRDefault="00064F85" w:rsidP="00064F85">
      <w:pPr>
        <w:pStyle w:val="Prrafodelista"/>
        <w:tabs>
          <w:tab w:val="left" w:pos="426"/>
        </w:tabs>
        <w:spacing w:line="360" w:lineRule="auto"/>
        <w:ind w:left="0"/>
        <w:jc w:val="both"/>
        <w:rPr>
          <w:rFonts w:ascii="Palatino Linotype" w:hAnsi="Palatino Linotype"/>
        </w:rPr>
      </w:pPr>
    </w:p>
    <w:p w:rsidR="00064F85" w:rsidRPr="00BD5CCC" w:rsidRDefault="00064F85" w:rsidP="00064F85">
      <w:pPr>
        <w:pStyle w:val="Prrafodelista"/>
        <w:tabs>
          <w:tab w:val="left" w:pos="851"/>
        </w:tabs>
        <w:ind w:left="851" w:right="822"/>
        <w:jc w:val="both"/>
        <w:rPr>
          <w:rFonts w:ascii="Palatino Linotype" w:hAnsi="Palatino Linotype"/>
          <w:i/>
          <w:iCs/>
          <w:szCs w:val="22"/>
        </w:rPr>
      </w:pPr>
      <w:r w:rsidRPr="00BD5CCC">
        <w:rPr>
          <w:rFonts w:ascii="Palatino Linotype" w:hAnsi="Palatino Linotype"/>
          <w:b/>
          <w:bCs/>
          <w:i/>
          <w:iCs/>
          <w:szCs w:val="22"/>
        </w:rPr>
        <w:t>FUNDAMENTACIÓN Y MOTIVACIÓN. EL ASPECTO FORMAL DE LA GARANTÍA Y SU FINALIDAD SE TRADUCEN EN EXPLICAR, JUSTIFICAR, POSIBILITAR LA DEFENSA Y COMUNICAR LA DECISIÓN</w:t>
      </w:r>
      <w:r w:rsidRPr="00BD5CCC">
        <w:rPr>
          <w:rFonts w:ascii="Palatino Linotype" w:hAnsi="Palatino Linotype"/>
          <w:i/>
          <w:iCs/>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w:t>
      </w:r>
      <w:r w:rsidRPr="00BD5CCC">
        <w:rPr>
          <w:rFonts w:ascii="Palatino Linotype" w:hAnsi="Palatino Linotype"/>
          <w:i/>
          <w:iCs/>
          <w:szCs w:val="22"/>
        </w:rPr>
        <w:lastRenderedPageBreak/>
        <w:t>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064F85" w:rsidRPr="00BD5CCC" w:rsidRDefault="00064F85" w:rsidP="00064F85">
      <w:pPr>
        <w:pStyle w:val="Prrafodelista"/>
        <w:tabs>
          <w:tab w:val="left" w:pos="426"/>
        </w:tabs>
        <w:spacing w:line="360" w:lineRule="auto"/>
        <w:ind w:left="0"/>
        <w:jc w:val="both"/>
        <w:rPr>
          <w:rFonts w:ascii="Palatino Linotype" w:hAnsi="Palatino Linotype"/>
        </w:rPr>
      </w:pPr>
    </w:p>
    <w:p w:rsidR="00064F85" w:rsidRPr="00BD5CCC" w:rsidRDefault="00064F85" w:rsidP="00064F85">
      <w:pPr>
        <w:pStyle w:val="Prrafodelista"/>
        <w:numPr>
          <w:ilvl w:val="0"/>
          <w:numId w:val="1"/>
        </w:numPr>
        <w:tabs>
          <w:tab w:val="left" w:pos="0"/>
        </w:tabs>
        <w:spacing w:line="360" w:lineRule="auto"/>
        <w:ind w:left="0" w:firstLine="0"/>
        <w:jc w:val="both"/>
        <w:rPr>
          <w:rFonts w:ascii="Palatino Linotype" w:hAnsi="Palatino Linotype"/>
        </w:rPr>
      </w:pPr>
      <w:r w:rsidRPr="00BD5CCC">
        <w:rPr>
          <w:rFonts w:ascii="Palatino Linotype" w:hAnsi="Palatino Linotype"/>
        </w:rPr>
        <w:t>Así, los LINEAMIENTOS GENERALES EN MATERIA DE CLASIFICACIÓN Y DESCLASIFICACIÓN DE LA INFORMACIÓN, ASÍ COMO PARA LA ELABORACIÓN DE VERSIONES PÚBLICAS, emitidos por Consejo Nacional del Sistema Nacional de Transparencia, señalan lo siguiente:</w:t>
      </w:r>
    </w:p>
    <w:p w:rsidR="00064F85" w:rsidRPr="00BD5CCC" w:rsidRDefault="00064F85" w:rsidP="00064F85">
      <w:pPr>
        <w:pStyle w:val="Prrafodelista"/>
        <w:tabs>
          <w:tab w:val="left" w:pos="0"/>
        </w:tabs>
        <w:spacing w:line="360" w:lineRule="auto"/>
        <w:ind w:left="0"/>
        <w:jc w:val="both"/>
        <w:rPr>
          <w:rFonts w:ascii="Palatino Linotype" w:hAnsi="Palatino Linotype"/>
        </w:rPr>
      </w:pPr>
    </w:p>
    <w:p w:rsidR="00064F85" w:rsidRPr="00BD5CCC" w:rsidRDefault="00064F85" w:rsidP="00064F85">
      <w:pPr>
        <w:pStyle w:val="Prrafodelista"/>
        <w:spacing w:line="360" w:lineRule="auto"/>
        <w:ind w:left="0"/>
        <w:jc w:val="both"/>
        <w:rPr>
          <w:rFonts w:ascii="Palatino Linotype" w:hAnsi="Palatino Linotype" w:cs="Arial"/>
        </w:rPr>
      </w:pPr>
    </w:p>
    <w:p w:rsidR="00064F85" w:rsidRPr="00BD5CCC" w:rsidRDefault="00064F85" w:rsidP="00064F85">
      <w:pPr>
        <w:spacing w:line="360" w:lineRule="auto"/>
        <w:ind w:left="567" w:right="616"/>
        <w:jc w:val="center"/>
        <w:rPr>
          <w:rFonts w:ascii="Palatino Linotype" w:hAnsi="Palatino Linotype"/>
          <w:b/>
          <w:bCs/>
          <w:i/>
          <w:iCs/>
          <w:sz w:val="22"/>
        </w:rPr>
      </w:pPr>
      <w:r w:rsidRPr="00BD5CCC">
        <w:rPr>
          <w:rFonts w:ascii="Palatino Linotype" w:hAnsi="Palatino Linotype"/>
          <w:b/>
          <w:bCs/>
          <w:i/>
          <w:iCs/>
          <w:sz w:val="22"/>
        </w:rPr>
        <w:t>TÍTULO SEXTO</w:t>
      </w:r>
    </w:p>
    <w:p w:rsidR="00064F85" w:rsidRPr="00BD5CCC" w:rsidRDefault="00064F85" w:rsidP="00064F85">
      <w:pPr>
        <w:spacing w:line="360" w:lineRule="auto"/>
        <w:ind w:left="567" w:right="616"/>
        <w:jc w:val="center"/>
        <w:rPr>
          <w:rFonts w:ascii="Palatino Linotype" w:hAnsi="Palatino Linotype"/>
          <w:b/>
          <w:bCs/>
          <w:i/>
          <w:iCs/>
          <w:sz w:val="22"/>
        </w:rPr>
      </w:pPr>
      <w:r w:rsidRPr="00BD5CCC">
        <w:rPr>
          <w:rFonts w:ascii="Palatino Linotype" w:hAnsi="Palatino Linotype"/>
          <w:b/>
          <w:bCs/>
          <w:i/>
          <w:iCs/>
          <w:sz w:val="22"/>
        </w:rPr>
        <w:t>INFORMACIÓN CLASIFICADA</w:t>
      </w:r>
    </w:p>
    <w:p w:rsidR="00064F85" w:rsidRPr="00BD5CCC" w:rsidRDefault="00064F85" w:rsidP="00064F85">
      <w:pPr>
        <w:spacing w:line="360" w:lineRule="auto"/>
        <w:ind w:left="567" w:right="616"/>
        <w:jc w:val="center"/>
        <w:rPr>
          <w:rFonts w:ascii="Palatino Linotype" w:hAnsi="Palatino Linotype"/>
          <w:b/>
          <w:bCs/>
          <w:i/>
          <w:iCs/>
          <w:sz w:val="22"/>
        </w:rPr>
      </w:pPr>
      <w:r w:rsidRPr="00BD5CCC">
        <w:rPr>
          <w:rFonts w:ascii="Palatino Linotype" w:hAnsi="Palatino Linotype"/>
          <w:b/>
          <w:bCs/>
          <w:i/>
          <w:iCs/>
          <w:sz w:val="22"/>
        </w:rPr>
        <w:t>Capítulo I</w:t>
      </w:r>
    </w:p>
    <w:p w:rsidR="00064F85" w:rsidRPr="00BD5CCC" w:rsidRDefault="00064F85" w:rsidP="00064F85">
      <w:pPr>
        <w:spacing w:line="360" w:lineRule="auto"/>
        <w:ind w:left="567" w:right="616"/>
        <w:jc w:val="center"/>
        <w:rPr>
          <w:rFonts w:ascii="Palatino Linotype" w:hAnsi="Palatino Linotype"/>
          <w:b/>
          <w:bCs/>
          <w:i/>
          <w:iCs/>
          <w:sz w:val="22"/>
        </w:rPr>
      </w:pPr>
      <w:r w:rsidRPr="00BD5CCC">
        <w:rPr>
          <w:rFonts w:ascii="Palatino Linotype" w:hAnsi="Palatino Linotype"/>
          <w:b/>
          <w:bCs/>
          <w:i/>
          <w:iCs/>
          <w:sz w:val="22"/>
        </w:rPr>
        <w:t>De las disposiciones generales de la clasificación y desclasificación de la información</w:t>
      </w:r>
    </w:p>
    <w:p w:rsidR="00064F85" w:rsidRPr="00BD5CCC" w:rsidRDefault="00064F85" w:rsidP="00064F85">
      <w:pPr>
        <w:spacing w:line="360" w:lineRule="auto"/>
        <w:ind w:left="567" w:right="616"/>
        <w:jc w:val="center"/>
        <w:rPr>
          <w:rFonts w:ascii="Palatino Linotype" w:hAnsi="Palatino Linotype"/>
          <w:i/>
          <w:iCs/>
          <w:sz w:val="22"/>
        </w:rPr>
      </w:pPr>
    </w:p>
    <w:p w:rsidR="00064F85" w:rsidRPr="00BD5CCC" w:rsidRDefault="00064F85" w:rsidP="00064F85">
      <w:pPr>
        <w:spacing w:line="360" w:lineRule="auto"/>
        <w:ind w:left="567" w:right="616"/>
        <w:jc w:val="both"/>
        <w:rPr>
          <w:rFonts w:ascii="Palatino Linotype" w:hAnsi="Palatino Linotype"/>
          <w:i/>
          <w:iCs/>
          <w:sz w:val="22"/>
        </w:rPr>
      </w:pPr>
      <w:r w:rsidRPr="00BD5CCC">
        <w:rPr>
          <w:rFonts w:ascii="Palatino Linotype" w:hAnsi="Palatino Linotype"/>
          <w:i/>
          <w:iCs/>
          <w:sz w:val="22"/>
        </w:rPr>
        <w:t>Artículo 104. En la aplicación de la prueba de daño, el sujeto obligado deberá justificar que: I. La divulgación de la información representa un riesgo real, demostrable e identificable de perjuicio significativo al interés público o a la seguridad nacional; II. El riesgo de perjuicio que supondría la divulgación supera el interés público general de que se difunda, y III. La limitación se adecua al principio de proporcionalidad y representa el medio menos restrictivo disponible para evitar el perjuicio.</w:t>
      </w:r>
    </w:p>
    <w:p w:rsidR="00064F85" w:rsidRPr="00BD5CCC" w:rsidRDefault="00064F85" w:rsidP="00064F85">
      <w:pPr>
        <w:spacing w:line="360" w:lineRule="auto"/>
        <w:ind w:left="567" w:right="616"/>
        <w:jc w:val="both"/>
        <w:rPr>
          <w:rFonts w:ascii="Palatino Linotype" w:hAnsi="Palatino Linotype"/>
          <w:i/>
          <w:iCs/>
          <w:sz w:val="22"/>
        </w:rPr>
      </w:pPr>
    </w:p>
    <w:p w:rsidR="00064F85" w:rsidRPr="00BD5CCC" w:rsidRDefault="00064F85" w:rsidP="00064F85">
      <w:pPr>
        <w:shd w:val="clear" w:color="auto" w:fill="FFFFFF"/>
        <w:spacing w:line="360" w:lineRule="auto"/>
        <w:ind w:left="567" w:right="616"/>
        <w:jc w:val="center"/>
        <w:rPr>
          <w:rFonts w:ascii="Palatino Linotype" w:hAnsi="Palatino Linotype" w:cs="Arial"/>
          <w:i/>
          <w:iCs/>
          <w:color w:val="2F2F2F"/>
          <w:sz w:val="22"/>
        </w:rPr>
      </w:pPr>
      <w:r w:rsidRPr="00BD5CCC">
        <w:rPr>
          <w:rFonts w:ascii="Palatino Linotype" w:hAnsi="Palatino Linotype" w:cs="Helvetica"/>
          <w:b/>
          <w:bCs/>
          <w:i/>
          <w:iCs/>
          <w:color w:val="2F2F2F"/>
          <w:sz w:val="22"/>
        </w:rPr>
        <w:t>CAPÍTULO V</w:t>
      </w:r>
    </w:p>
    <w:p w:rsidR="00064F85" w:rsidRPr="00BD5CCC" w:rsidRDefault="00064F85" w:rsidP="00064F85">
      <w:pPr>
        <w:shd w:val="clear" w:color="auto" w:fill="FFFFFF"/>
        <w:spacing w:line="360" w:lineRule="auto"/>
        <w:ind w:left="567" w:right="616"/>
        <w:jc w:val="center"/>
        <w:rPr>
          <w:rFonts w:ascii="Palatino Linotype" w:hAnsi="Palatino Linotype" w:cs="Arial"/>
          <w:i/>
          <w:iCs/>
          <w:color w:val="2F2F2F"/>
          <w:sz w:val="22"/>
        </w:rPr>
      </w:pPr>
      <w:r w:rsidRPr="00BD5CCC">
        <w:rPr>
          <w:rFonts w:ascii="Palatino Linotype" w:hAnsi="Palatino Linotype" w:cs="Helvetica"/>
          <w:b/>
          <w:bCs/>
          <w:i/>
          <w:iCs/>
          <w:color w:val="2F2F2F"/>
          <w:sz w:val="22"/>
        </w:rPr>
        <w:lastRenderedPageBreak/>
        <w:t>DE LA INFORMACIÓN RESERVADA</w:t>
      </w:r>
    </w:p>
    <w:p w:rsidR="00064F85" w:rsidRPr="00BD5CCC" w:rsidRDefault="00064F85" w:rsidP="00064F85">
      <w:pPr>
        <w:spacing w:line="360" w:lineRule="auto"/>
        <w:ind w:left="567" w:right="616"/>
        <w:jc w:val="both"/>
        <w:rPr>
          <w:rFonts w:ascii="Palatino Linotype" w:hAnsi="Palatino Linotype"/>
          <w:i/>
          <w:iCs/>
          <w:sz w:val="22"/>
        </w:rPr>
      </w:pPr>
    </w:p>
    <w:p w:rsidR="00064F85" w:rsidRPr="00BD5CCC" w:rsidRDefault="00064F85" w:rsidP="00064F85">
      <w:pPr>
        <w:shd w:val="clear" w:color="auto" w:fill="FFFFFF"/>
        <w:spacing w:after="82" w:line="360" w:lineRule="auto"/>
        <w:ind w:left="567" w:right="616"/>
        <w:jc w:val="both"/>
        <w:rPr>
          <w:rFonts w:ascii="Palatino Linotype" w:hAnsi="Palatino Linotype" w:cs="Arial"/>
          <w:i/>
          <w:iCs/>
          <w:color w:val="2F2F2F"/>
          <w:sz w:val="22"/>
        </w:rPr>
      </w:pPr>
      <w:r w:rsidRPr="00BD5CCC">
        <w:rPr>
          <w:rFonts w:ascii="Palatino Linotype" w:hAnsi="Palatino Linotype" w:cs="Helvetica"/>
          <w:b/>
          <w:bCs/>
          <w:i/>
          <w:iCs/>
          <w:color w:val="2F2F2F"/>
          <w:sz w:val="22"/>
        </w:rPr>
        <w:t>Trigésimo tercero. </w:t>
      </w:r>
      <w:r w:rsidRPr="00BD5CCC">
        <w:rPr>
          <w:rFonts w:ascii="Palatino Linotype" w:hAnsi="Palatino Linotype" w:cs="Helvetica"/>
          <w:i/>
          <w:iCs/>
          <w:color w:val="2F2F2F"/>
          <w:sz w:val="22"/>
        </w:rPr>
        <w:t>Para la aplicación de la prueba de daño a la que hace referencia el artículo 104 de la Ley General, los sujetos obligados atenderán lo siguiente:</w:t>
      </w:r>
    </w:p>
    <w:p w:rsidR="00064F85" w:rsidRPr="00BD5CCC" w:rsidRDefault="00064F85" w:rsidP="00064F85">
      <w:pPr>
        <w:shd w:val="clear" w:color="auto" w:fill="FFFFFF"/>
        <w:spacing w:after="82" w:line="360" w:lineRule="auto"/>
        <w:ind w:left="567" w:right="616"/>
        <w:jc w:val="both"/>
        <w:rPr>
          <w:rFonts w:ascii="Palatino Linotype" w:hAnsi="Palatino Linotype" w:cs="Arial"/>
          <w:i/>
          <w:iCs/>
          <w:color w:val="2F2F2F"/>
          <w:sz w:val="22"/>
        </w:rPr>
      </w:pPr>
      <w:r w:rsidRPr="00BD5CCC">
        <w:rPr>
          <w:rFonts w:ascii="Palatino Linotype" w:hAnsi="Palatino Linotype" w:cs="Helvetica"/>
          <w:b/>
          <w:bCs/>
          <w:i/>
          <w:iCs/>
          <w:color w:val="2F2F2F"/>
          <w:sz w:val="22"/>
        </w:rPr>
        <w:t>I.</w:t>
      </w:r>
      <w:r w:rsidRPr="00BD5CCC">
        <w:rPr>
          <w:rFonts w:ascii="Palatino Linotype" w:hAnsi="Palatino Linotype" w:cs="Arial"/>
          <w:i/>
          <w:iCs/>
          <w:color w:val="2F2F2F"/>
          <w:sz w:val="22"/>
        </w:rPr>
        <w:t>        </w:t>
      </w:r>
      <w:r w:rsidRPr="00BD5CCC">
        <w:rPr>
          <w:rFonts w:ascii="Palatino Linotype" w:hAnsi="Palatino Linotype" w:cs="Helvetica"/>
          <w:i/>
          <w:iCs/>
          <w:color w:val="2F2F2F"/>
          <w:sz w:val="22"/>
        </w:rPr>
        <w:t>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rsidR="00064F85" w:rsidRPr="00BD5CCC" w:rsidRDefault="00064F85" w:rsidP="00064F85">
      <w:pPr>
        <w:shd w:val="clear" w:color="auto" w:fill="FFFFFF"/>
        <w:spacing w:after="82" w:line="360" w:lineRule="auto"/>
        <w:ind w:left="567" w:right="616"/>
        <w:jc w:val="both"/>
        <w:rPr>
          <w:rFonts w:ascii="Palatino Linotype" w:hAnsi="Palatino Linotype" w:cs="Arial"/>
          <w:i/>
          <w:iCs/>
          <w:color w:val="2F2F2F"/>
          <w:sz w:val="22"/>
        </w:rPr>
      </w:pPr>
      <w:r w:rsidRPr="00BD5CCC">
        <w:rPr>
          <w:rFonts w:ascii="Palatino Linotype" w:hAnsi="Palatino Linotype" w:cs="Helvetica"/>
          <w:b/>
          <w:bCs/>
          <w:i/>
          <w:iCs/>
          <w:color w:val="2F2F2F"/>
          <w:sz w:val="22"/>
        </w:rPr>
        <w:t>II.</w:t>
      </w:r>
      <w:r w:rsidRPr="00BD5CCC">
        <w:rPr>
          <w:rFonts w:ascii="Palatino Linotype" w:hAnsi="Palatino Linotype" w:cs="Arial"/>
          <w:i/>
          <w:iCs/>
          <w:color w:val="2F2F2F"/>
          <w:sz w:val="22"/>
        </w:rPr>
        <w:t>       </w:t>
      </w:r>
      <w:r w:rsidRPr="00BD5CCC">
        <w:rPr>
          <w:rFonts w:ascii="Palatino Linotype" w:hAnsi="Palatino Linotype" w:cs="Helvetica"/>
          <w:i/>
          <w:iCs/>
          <w:color w:val="2F2F2F"/>
          <w:sz w:val="22"/>
        </w:rPr>
        <w:t>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rsidR="00064F85" w:rsidRPr="00BD5CCC" w:rsidRDefault="00064F85" w:rsidP="00064F85">
      <w:pPr>
        <w:shd w:val="clear" w:color="auto" w:fill="FFFFFF"/>
        <w:spacing w:after="82" w:line="360" w:lineRule="auto"/>
        <w:ind w:left="567" w:right="616"/>
        <w:jc w:val="both"/>
        <w:rPr>
          <w:rFonts w:ascii="Palatino Linotype" w:hAnsi="Palatino Linotype" w:cs="Arial"/>
          <w:i/>
          <w:iCs/>
          <w:color w:val="2F2F2F"/>
          <w:sz w:val="22"/>
        </w:rPr>
      </w:pPr>
      <w:r w:rsidRPr="00BD5CCC">
        <w:rPr>
          <w:rFonts w:ascii="Palatino Linotype" w:hAnsi="Palatino Linotype" w:cs="Helvetica"/>
          <w:b/>
          <w:bCs/>
          <w:i/>
          <w:iCs/>
          <w:color w:val="2F2F2F"/>
          <w:sz w:val="22"/>
        </w:rPr>
        <w:t>III.</w:t>
      </w:r>
      <w:r w:rsidRPr="00BD5CCC">
        <w:rPr>
          <w:rFonts w:ascii="Palatino Linotype" w:hAnsi="Palatino Linotype" w:cs="Arial"/>
          <w:i/>
          <w:iCs/>
          <w:color w:val="2F2F2F"/>
          <w:sz w:val="22"/>
        </w:rPr>
        <w:t>      </w:t>
      </w:r>
      <w:r w:rsidRPr="00BD5CCC">
        <w:rPr>
          <w:rFonts w:ascii="Palatino Linotype" w:hAnsi="Palatino Linotype" w:cs="Helvetica"/>
          <w:i/>
          <w:iCs/>
          <w:color w:val="2F2F2F"/>
          <w:sz w:val="22"/>
        </w:rPr>
        <w:t>Se debe de acreditar el vínculo entre la difusión de la información y la afectación del interés jurídico tutelado de que se trate;</w:t>
      </w:r>
    </w:p>
    <w:p w:rsidR="00064F85" w:rsidRPr="00BD5CCC" w:rsidRDefault="00064F85" w:rsidP="00064F85">
      <w:pPr>
        <w:shd w:val="clear" w:color="auto" w:fill="FFFFFF"/>
        <w:spacing w:after="82" w:line="360" w:lineRule="auto"/>
        <w:ind w:left="567" w:right="616"/>
        <w:jc w:val="both"/>
        <w:rPr>
          <w:rFonts w:ascii="Palatino Linotype" w:hAnsi="Palatino Linotype" w:cs="Arial"/>
          <w:i/>
          <w:iCs/>
          <w:color w:val="2F2F2F"/>
          <w:sz w:val="22"/>
        </w:rPr>
      </w:pPr>
      <w:r w:rsidRPr="00BD5CCC">
        <w:rPr>
          <w:rFonts w:ascii="Palatino Linotype" w:hAnsi="Palatino Linotype" w:cs="Helvetica"/>
          <w:b/>
          <w:bCs/>
          <w:i/>
          <w:iCs/>
          <w:color w:val="2F2F2F"/>
          <w:sz w:val="22"/>
        </w:rPr>
        <w:t>IV.</w:t>
      </w:r>
      <w:r w:rsidRPr="00BD5CCC">
        <w:rPr>
          <w:rFonts w:ascii="Palatino Linotype" w:hAnsi="Palatino Linotype" w:cs="Arial"/>
          <w:i/>
          <w:iCs/>
          <w:color w:val="2F2F2F"/>
          <w:sz w:val="22"/>
        </w:rPr>
        <w:t>      </w:t>
      </w:r>
      <w:r w:rsidRPr="00BD5CCC">
        <w:rPr>
          <w:rFonts w:ascii="Palatino Linotype" w:hAnsi="Palatino Linotype" w:cs="Helvetica"/>
          <w:i/>
          <w:iCs/>
          <w:color w:val="2F2F2F"/>
          <w:sz w:val="22"/>
        </w:rPr>
        <w:t>Precisar las razones objetivas por las que la apertura de la información generaría una afectación, a través de los elementos de un riesgo real, demostrable e identificable;</w:t>
      </w:r>
    </w:p>
    <w:p w:rsidR="00064F85" w:rsidRPr="00BD5CCC" w:rsidRDefault="00064F85" w:rsidP="00064F85">
      <w:pPr>
        <w:shd w:val="clear" w:color="auto" w:fill="FFFFFF"/>
        <w:spacing w:after="82" w:line="360" w:lineRule="auto"/>
        <w:ind w:left="567" w:right="616"/>
        <w:jc w:val="both"/>
        <w:rPr>
          <w:rFonts w:ascii="Palatino Linotype" w:hAnsi="Palatino Linotype" w:cs="Arial"/>
          <w:i/>
          <w:iCs/>
          <w:color w:val="2F2F2F"/>
          <w:sz w:val="22"/>
        </w:rPr>
      </w:pPr>
      <w:r w:rsidRPr="00BD5CCC">
        <w:rPr>
          <w:rFonts w:ascii="Palatino Linotype" w:hAnsi="Palatino Linotype" w:cs="Helvetica"/>
          <w:b/>
          <w:bCs/>
          <w:i/>
          <w:iCs/>
          <w:color w:val="2F2F2F"/>
          <w:sz w:val="22"/>
        </w:rPr>
        <w:t>V.</w:t>
      </w:r>
      <w:r w:rsidRPr="00BD5CCC">
        <w:rPr>
          <w:rFonts w:ascii="Palatino Linotype" w:hAnsi="Palatino Linotype" w:cs="Arial"/>
          <w:i/>
          <w:iCs/>
          <w:color w:val="2F2F2F"/>
          <w:sz w:val="22"/>
        </w:rPr>
        <w:t>       </w:t>
      </w:r>
      <w:r w:rsidRPr="00BD5CCC">
        <w:rPr>
          <w:rFonts w:ascii="Palatino Linotype" w:hAnsi="Palatino Linotype" w:cs="Helvetica"/>
          <w:i/>
          <w:iCs/>
          <w:color w:val="2F2F2F"/>
          <w:sz w:val="22"/>
        </w:rPr>
        <w:t>En la motivación de la clasificación, el sujeto obligado deberá acreditar las circunstancias de modo, tiempo y lugar del daño, y</w:t>
      </w:r>
    </w:p>
    <w:p w:rsidR="00064F85" w:rsidRPr="00BD5CCC" w:rsidRDefault="00064F85" w:rsidP="00064F85">
      <w:pPr>
        <w:shd w:val="clear" w:color="auto" w:fill="FFFFFF"/>
        <w:spacing w:after="82" w:line="360" w:lineRule="auto"/>
        <w:ind w:left="567" w:right="616"/>
        <w:jc w:val="both"/>
        <w:rPr>
          <w:rFonts w:ascii="Palatino Linotype" w:hAnsi="Palatino Linotype" w:cs="Helvetica"/>
          <w:i/>
          <w:iCs/>
          <w:color w:val="2F2F2F"/>
          <w:sz w:val="22"/>
        </w:rPr>
      </w:pPr>
      <w:r w:rsidRPr="00BD5CCC">
        <w:rPr>
          <w:rFonts w:ascii="Palatino Linotype" w:hAnsi="Palatino Linotype" w:cs="Helvetica"/>
          <w:b/>
          <w:bCs/>
          <w:i/>
          <w:iCs/>
          <w:color w:val="2F2F2F"/>
          <w:sz w:val="22"/>
        </w:rPr>
        <w:t>VI.</w:t>
      </w:r>
      <w:r w:rsidRPr="00BD5CCC">
        <w:rPr>
          <w:rFonts w:ascii="Palatino Linotype" w:hAnsi="Palatino Linotype" w:cs="Arial"/>
          <w:i/>
          <w:iCs/>
          <w:color w:val="2F2F2F"/>
          <w:sz w:val="22"/>
        </w:rPr>
        <w:t>      </w:t>
      </w:r>
      <w:r w:rsidRPr="00BD5CCC">
        <w:rPr>
          <w:rFonts w:ascii="Palatino Linotype" w:hAnsi="Palatino Linotype" w:cs="Helvetica"/>
          <w:i/>
          <w:iCs/>
          <w:color w:val="2F2F2F"/>
          <w:sz w:val="22"/>
        </w:rPr>
        <w:t>Deberán elegir la opción de excepción al acceso a la información que menos lo restrinja, la cual será adecuada y proporcional para la protección del interés público, y deberá interferir lo menos</w:t>
      </w:r>
      <w:r w:rsidRPr="00BD5CCC">
        <w:rPr>
          <w:rFonts w:ascii="Palatino Linotype" w:hAnsi="Palatino Linotype" w:cs="Arial"/>
          <w:i/>
          <w:iCs/>
          <w:color w:val="2F2F2F"/>
          <w:sz w:val="22"/>
        </w:rPr>
        <w:t xml:space="preserve"> </w:t>
      </w:r>
      <w:r w:rsidRPr="00BD5CCC">
        <w:rPr>
          <w:rFonts w:ascii="Palatino Linotype" w:hAnsi="Palatino Linotype" w:cs="Helvetica"/>
          <w:i/>
          <w:iCs/>
          <w:color w:val="2F2F2F"/>
          <w:sz w:val="22"/>
        </w:rPr>
        <w:t>posible en el ejercicio efectivo del derecho de acceso a la información.</w:t>
      </w:r>
    </w:p>
    <w:p w:rsidR="00064F85" w:rsidRPr="00BD5CCC" w:rsidRDefault="00064F85" w:rsidP="00064F85">
      <w:pPr>
        <w:pStyle w:val="Prrafodelista"/>
        <w:tabs>
          <w:tab w:val="left" w:pos="0"/>
        </w:tabs>
        <w:spacing w:line="360" w:lineRule="auto"/>
        <w:ind w:left="0"/>
        <w:jc w:val="both"/>
        <w:rPr>
          <w:rFonts w:ascii="Palatino Linotype" w:hAnsi="Palatino Linotype"/>
        </w:rPr>
      </w:pPr>
    </w:p>
    <w:p w:rsidR="00476DFF" w:rsidRPr="00BD5CCC" w:rsidRDefault="00064F85" w:rsidP="00476DFF">
      <w:pPr>
        <w:pStyle w:val="Prrafodelista"/>
        <w:numPr>
          <w:ilvl w:val="0"/>
          <w:numId w:val="1"/>
        </w:numPr>
        <w:tabs>
          <w:tab w:val="left" w:pos="0"/>
        </w:tabs>
        <w:spacing w:line="360" w:lineRule="auto"/>
        <w:ind w:left="0" w:firstLine="0"/>
        <w:jc w:val="both"/>
        <w:rPr>
          <w:rFonts w:ascii="Palatino Linotype" w:eastAsia="Calibri" w:hAnsi="Palatino Linotype" w:cs="Tahoma"/>
          <w:bCs/>
          <w:szCs w:val="22"/>
          <w:lang w:eastAsia="en-US"/>
        </w:rPr>
      </w:pPr>
      <w:r w:rsidRPr="00BD5CCC">
        <w:rPr>
          <w:rFonts w:ascii="Palatino Linotype" w:hAnsi="Palatino Linotype"/>
        </w:rPr>
        <w:t xml:space="preserve">Efectivamente, cuando se clasifica información como confidencial o reservada </w:t>
      </w:r>
      <w:r w:rsidRPr="00BD5CCC">
        <w:rPr>
          <w:rFonts w:ascii="Palatino Linotype" w:hAnsi="Palatino Linotype"/>
          <w:bCs/>
        </w:rPr>
        <w:t>es deber someterlo al Comité de Transparencia</w:t>
      </w:r>
      <w:r w:rsidRPr="00BD5CCC">
        <w:rPr>
          <w:rFonts w:ascii="Palatino Linotype" w:hAnsi="Palatino Linotype"/>
        </w:rPr>
        <w:t xml:space="preserve">, quien debe confirmar, modificar o revocar las </w:t>
      </w:r>
      <w:r w:rsidRPr="00BD5CCC">
        <w:rPr>
          <w:rFonts w:ascii="Palatino Linotype" w:hAnsi="Palatino Linotype"/>
        </w:rPr>
        <w:lastRenderedPageBreak/>
        <w:t>determinaciones en materia de clasificación de la información que realicen los titulares de las á</w:t>
      </w:r>
      <w:r w:rsidR="00476DFF" w:rsidRPr="00BD5CCC">
        <w:rPr>
          <w:rFonts w:ascii="Palatino Linotype" w:hAnsi="Palatino Linotype"/>
        </w:rPr>
        <w:t>reas de los sujetos obligados.</w:t>
      </w:r>
    </w:p>
    <w:p w:rsidR="002F3569" w:rsidRPr="00BD5CCC" w:rsidRDefault="00476DFF" w:rsidP="00476DFF">
      <w:pPr>
        <w:pStyle w:val="Prrafodelista"/>
        <w:numPr>
          <w:ilvl w:val="0"/>
          <w:numId w:val="1"/>
        </w:numPr>
        <w:tabs>
          <w:tab w:val="left" w:pos="0"/>
        </w:tabs>
        <w:spacing w:line="360" w:lineRule="auto"/>
        <w:ind w:left="0" w:firstLine="0"/>
        <w:jc w:val="both"/>
        <w:rPr>
          <w:rFonts w:ascii="Palatino Linotype" w:eastAsia="Calibri" w:hAnsi="Palatino Linotype" w:cs="Tahoma"/>
          <w:bCs/>
          <w:szCs w:val="22"/>
          <w:lang w:eastAsia="en-US"/>
        </w:rPr>
      </w:pPr>
      <w:r w:rsidRPr="00BD5CCC">
        <w:rPr>
          <w:rFonts w:ascii="Palatino Linotype" w:eastAsia="Calibri" w:hAnsi="Palatino Linotype" w:cs="Tahoma"/>
          <w:bCs/>
        </w:rPr>
        <w:t xml:space="preserve">En consecuencia, se ordena al Sujeto Obligado emitir el acuerdo del Comité de Transparencia mediante el cual se clasifique como información reservada las características de las armas de fuego de los policías que prestan servicios facultativos en el Ayuntamiento de Atizapán de Zaragoza. </w:t>
      </w:r>
    </w:p>
    <w:p w:rsidR="00667AA0" w:rsidRPr="00BD5CCC" w:rsidRDefault="00667AA0" w:rsidP="00667AA0">
      <w:pPr>
        <w:spacing w:line="360" w:lineRule="auto"/>
        <w:rPr>
          <w:rFonts w:ascii="Palatino Linotype" w:eastAsia="Calibri" w:hAnsi="Palatino Linotype"/>
          <w:sz w:val="22"/>
          <w:szCs w:val="22"/>
        </w:rPr>
      </w:pPr>
    </w:p>
    <w:p w:rsidR="00667AA0" w:rsidRPr="00BD5CCC" w:rsidRDefault="00667AA0" w:rsidP="00667AA0">
      <w:pPr>
        <w:numPr>
          <w:ilvl w:val="0"/>
          <w:numId w:val="1"/>
        </w:numPr>
        <w:spacing w:line="360" w:lineRule="auto"/>
        <w:ind w:left="0" w:right="49" w:firstLine="0"/>
        <w:contextualSpacing/>
        <w:jc w:val="both"/>
        <w:rPr>
          <w:rFonts w:ascii="Palatino Linotype" w:eastAsia="MS Gothic" w:hAnsi="Palatino Linotype" w:cstheme="majorBidi"/>
          <w:sz w:val="22"/>
          <w:szCs w:val="22"/>
          <w:lang w:val="es-ES_tradnl" w:eastAsia="es-ES"/>
        </w:rPr>
      </w:pPr>
      <w:r w:rsidRPr="00BD5CCC">
        <w:rPr>
          <w:rFonts w:ascii="Palatino Linotype" w:eastAsia="Calibri" w:hAnsi="Palatino Linotype"/>
          <w:sz w:val="22"/>
          <w:szCs w:val="22"/>
        </w:rPr>
        <w:t xml:space="preserve">Por lo anteriormente expuesto y fundado, este </w:t>
      </w:r>
      <w:r w:rsidRPr="00BD5CCC">
        <w:rPr>
          <w:rFonts w:ascii="Palatino Linotype" w:eastAsia="Calibri" w:hAnsi="Palatino Linotype"/>
          <w:b/>
          <w:bCs/>
          <w:sz w:val="22"/>
          <w:szCs w:val="22"/>
        </w:rPr>
        <w:t>ÓRGANO GARANTE</w:t>
      </w:r>
      <w:r w:rsidRPr="00BD5CCC">
        <w:rPr>
          <w:rFonts w:ascii="Palatino Linotype" w:eastAsia="Calibri" w:hAnsi="Palatino Linotype"/>
          <w:sz w:val="22"/>
          <w:szCs w:val="22"/>
        </w:rPr>
        <w:t xml:space="preserve"> emite los siguientes:</w:t>
      </w:r>
    </w:p>
    <w:p w:rsidR="00667AA0" w:rsidRPr="00BD5CCC" w:rsidRDefault="00667AA0" w:rsidP="00667AA0">
      <w:pPr>
        <w:spacing w:line="360" w:lineRule="auto"/>
        <w:contextualSpacing/>
        <w:jc w:val="both"/>
        <w:rPr>
          <w:rFonts w:ascii="Palatino Linotype" w:eastAsia="Calibri" w:hAnsi="Palatino Linotype"/>
          <w:sz w:val="22"/>
          <w:szCs w:val="22"/>
        </w:rPr>
      </w:pPr>
    </w:p>
    <w:p w:rsidR="00667AA0" w:rsidRPr="00BD5CCC" w:rsidRDefault="00667AA0" w:rsidP="00667AA0">
      <w:pPr>
        <w:keepNext/>
        <w:keepLines/>
        <w:spacing w:line="360" w:lineRule="auto"/>
        <w:jc w:val="center"/>
        <w:outlineLvl w:val="0"/>
        <w:rPr>
          <w:rFonts w:ascii="Palatino Linotype" w:eastAsiaTheme="majorEastAsia" w:hAnsi="Palatino Linotype" w:cstheme="majorBidi"/>
          <w:b/>
          <w:color w:val="000000" w:themeColor="text1"/>
          <w:sz w:val="22"/>
          <w:szCs w:val="22"/>
          <w:lang w:eastAsia="en-US"/>
        </w:rPr>
      </w:pPr>
      <w:bookmarkStart w:id="7" w:name="_Toc528153792"/>
      <w:bookmarkStart w:id="8" w:name="_Toc71158406"/>
      <w:bookmarkStart w:id="9" w:name="_Toc83301643"/>
      <w:r w:rsidRPr="00BD5CCC">
        <w:rPr>
          <w:rFonts w:ascii="Palatino Linotype" w:eastAsiaTheme="majorEastAsia" w:hAnsi="Palatino Linotype" w:cstheme="majorBidi"/>
          <w:b/>
          <w:color w:val="000000" w:themeColor="text1"/>
          <w:sz w:val="22"/>
          <w:szCs w:val="22"/>
          <w:lang w:eastAsia="en-US"/>
        </w:rPr>
        <w:t>R E S O L U T I V O S</w:t>
      </w:r>
      <w:bookmarkEnd w:id="7"/>
      <w:bookmarkEnd w:id="8"/>
      <w:bookmarkEnd w:id="9"/>
    </w:p>
    <w:p w:rsidR="00667AA0" w:rsidRPr="00BD5CCC" w:rsidRDefault="00667AA0" w:rsidP="00667AA0">
      <w:pPr>
        <w:keepNext/>
        <w:keepLines/>
        <w:spacing w:line="360" w:lineRule="auto"/>
        <w:jc w:val="center"/>
        <w:outlineLvl w:val="0"/>
        <w:rPr>
          <w:rFonts w:ascii="Palatino Linotype" w:eastAsiaTheme="majorEastAsia" w:hAnsi="Palatino Linotype" w:cstheme="majorBidi"/>
          <w:b/>
          <w:color w:val="000000" w:themeColor="text1"/>
          <w:sz w:val="22"/>
          <w:szCs w:val="22"/>
          <w:lang w:eastAsia="en-US"/>
        </w:rPr>
      </w:pPr>
    </w:p>
    <w:p w:rsidR="00476DFF" w:rsidRPr="00BD5CCC" w:rsidRDefault="00476DFF" w:rsidP="00476DFF">
      <w:pPr>
        <w:spacing w:line="360" w:lineRule="auto"/>
        <w:jc w:val="both"/>
        <w:rPr>
          <w:rFonts w:ascii="Palatino Linotype" w:hAnsi="Palatino Linotype"/>
        </w:rPr>
      </w:pPr>
      <w:r w:rsidRPr="00BD5CCC">
        <w:rPr>
          <w:rFonts w:ascii="Palatino Linotype" w:hAnsi="Palatino Linotype"/>
          <w:b/>
          <w:lang w:val="es-ES_tradnl"/>
        </w:rPr>
        <w:t xml:space="preserve">PRIMERO. </w:t>
      </w:r>
      <w:r w:rsidRPr="00BD5CCC">
        <w:rPr>
          <w:rFonts w:ascii="Palatino Linotype" w:hAnsi="Palatino Linotype" w:cs="Arial"/>
        </w:rPr>
        <w:t>Resultan parcialmente fundadas las</w:t>
      </w:r>
      <w:r w:rsidRPr="00BD5CCC">
        <w:rPr>
          <w:rFonts w:ascii="Palatino Linotype" w:hAnsi="Palatino Linotype" w:cs="Arial"/>
          <w:b/>
        </w:rPr>
        <w:t xml:space="preserve"> </w:t>
      </w:r>
      <w:r w:rsidRPr="00BD5CCC">
        <w:rPr>
          <w:rFonts w:ascii="Palatino Linotype" w:hAnsi="Palatino Linotype" w:cs="Arial"/>
          <w:lang w:val="es-ES"/>
        </w:rPr>
        <w:t xml:space="preserve">razones o motivos de inconformidad hechos valer </w:t>
      </w:r>
      <w:r w:rsidRPr="00BD5CCC">
        <w:rPr>
          <w:rFonts w:ascii="Palatino Linotype" w:eastAsia="Calibri" w:hAnsi="Palatino Linotype" w:cs="Arial"/>
          <w:lang w:val="es-ES"/>
        </w:rPr>
        <w:t>en el recurso de revisión</w:t>
      </w:r>
      <w:r w:rsidRPr="00BD5CCC">
        <w:rPr>
          <w:rFonts w:ascii="Palatino Linotype" w:hAnsi="Palatino Linotype"/>
          <w:b/>
          <w:szCs w:val="22"/>
        </w:rPr>
        <w:t xml:space="preserve"> </w:t>
      </w:r>
      <w:r w:rsidRPr="00BD5CCC">
        <w:rPr>
          <w:rFonts w:ascii="Palatino Linotype" w:eastAsia="Calibri" w:hAnsi="Palatino Linotype" w:cs="Arial"/>
          <w:b/>
          <w:szCs w:val="22"/>
          <w:lang w:val="es-ES"/>
        </w:rPr>
        <w:t>03378</w:t>
      </w:r>
      <w:r w:rsidRPr="00BD5CCC">
        <w:rPr>
          <w:rFonts w:ascii="Palatino Linotype" w:hAnsi="Palatino Linotype"/>
          <w:b/>
          <w:szCs w:val="22"/>
        </w:rPr>
        <w:t xml:space="preserve">/INFOEM/IP/RR/2024 </w:t>
      </w:r>
      <w:r w:rsidRPr="00BD5CCC">
        <w:rPr>
          <w:rFonts w:ascii="Palatino Linotype" w:eastAsia="Calibri" w:hAnsi="Palatino Linotype" w:cs="Tahoma"/>
          <w:b/>
          <w:lang w:eastAsia="en-US"/>
        </w:rPr>
        <w:t xml:space="preserve"> </w:t>
      </w:r>
      <w:r w:rsidRPr="00BD5CCC">
        <w:rPr>
          <w:rFonts w:ascii="Palatino Linotype" w:hAnsi="Palatino Linotype"/>
        </w:rPr>
        <w:t>en términos del</w:t>
      </w:r>
      <w:r w:rsidRPr="00BD5CCC">
        <w:rPr>
          <w:rFonts w:ascii="Palatino Linotype" w:hAnsi="Palatino Linotype"/>
          <w:b/>
          <w:bCs/>
        </w:rPr>
        <w:t xml:space="preserve"> Considerando</w:t>
      </w:r>
      <w:r w:rsidRPr="00BD5CCC">
        <w:rPr>
          <w:rFonts w:ascii="Palatino Linotype" w:hAnsi="Palatino Linotype"/>
        </w:rPr>
        <w:t xml:space="preserve"> </w:t>
      </w:r>
      <w:r w:rsidRPr="00BD5CCC">
        <w:rPr>
          <w:rFonts w:ascii="Palatino Linotype" w:hAnsi="Palatino Linotype"/>
          <w:b/>
        </w:rPr>
        <w:t xml:space="preserve">CUARTO </w:t>
      </w:r>
      <w:r w:rsidRPr="00BD5CCC">
        <w:rPr>
          <w:rFonts w:ascii="Palatino Linotype" w:hAnsi="Palatino Linotype"/>
        </w:rPr>
        <w:t xml:space="preserve">de la presente resolución. </w:t>
      </w:r>
    </w:p>
    <w:p w:rsidR="00476DFF" w:rsidRPr="00BD5CCC" w:rsidRDefault="00476DFF" w:rsidP="00476DFF">
      <w:pPr>
        <w:spacing w:line="360" w:lineRule="auto"/>
        <w:jc w:val="both"/>
        <w:rPr>
          <w:rFonts w:ascii="Palatino Linotype" w:hAnsi="Palatino Linotype" w:cs="Arial"/>
          <w:b/>
        </w:rPr>
      </w:pPr>
    </w:p>
    <w:p w:rsidR="00476DFF" w:rsidRPr="00BD5CCC" w:rsidRDefault="00476DFF" w:rsidP="00476DFF">
      <w:pPr>
        <w:spacing w:line="360" w:lineRule="auto"/>
        <w:jc w:val="both"/>
        <w:rPr>
          <w:rFonts w:ascii="Palatino Linotype" w:eastAsia="Calibri" w:hAnsi="Palatino Linotype" w:cs="Arial"/>
          <w:bCs/>
          <w:lang w:val="es-ES"/>
        </w:rPr>
      </w:pPr>
      <w:r w:rsidRPr="00BD5CCC">
        <w:rPr>
          <w:rFonts w:ascii="Palatino Linotype" w:hAnsi="Palatino Linotype" w:cs="Arial"/>
          <w:b/>
        </w:rPr>
        <w:t xml:space="preserve">SEGUNDO. </w:t>
      </w:r>
      <w:r w:rsidRPr="00BD5CCC">
        <w:rPr>
          <w:rFonts w:ascii="Palatino Linotype" w:eastAsia="Calibri" w:hAnsi="Palatino Linotype" w:cs="Arial"/>
          <w:bCs/>
          <w:lang w:val="es-ES"/>
        </w:rPr>
        <w:t xml:space="preserve">Se </w:t>
      </w:r>
      <w:r w:rsidRPr="00BD5CCC">
        <w:rPr>
          <w:rFonts w:ascii="Palatino Linotype" w:eastAsia="Calibri" w:hAnsi="Palatino Linotype" w:cs="Arial"/>
          <w:b/>
          <w:bCs/>
          <w:lang w:val="es-ES"/>
        </w:rPr>
        <w:t xml:space="preserve">MODIFICA </w:t>
      </w:r>
      <w:r w:rsidR="00823B0D" w:rsidRPr="00BD5CCC">
        <w:rPr>
          <w:rFonts w:ascii="Palatino Linotype" w:eastAsia="Calibri" w:hAnsi="Palatino Linotype" w:cs="Arial"/>
          <w:bCs/>
          <w:lang w:val="es-ES"/>
        </w:rPr>
        <w:t>la respuesta a la solicitud</w:t>
      </w:r>
      <w:r w:rsidRPr="00BD5CCC">
        <w:rPr>
          <w:rFonts w:ascii="Palatino Linotype" w:eastAsia="Calibri" w:hAnsi="Palatino Linotype" w:cs="Arial"/>
          <w:bCs/>
          <w:lang w:val="es-ES"/>
        </w:rPr>
        <w:t xml:space="preserve"> </w:t>
      </w:r>
      <w:r w:rsidRPr="00BD5CCC">
        <w:rPr>
          <w:rFonts w:ascii="Palatino Linotype" w:hAnsi="Palatino Linotype" w:cs="Arial"/>
          <w:b/>
          <w:bCs/>
          <w:color w:val="000000" w:themeColor="text1"/>
        </w:rPr>
        <w:t>00217/ATIZARA/IP/2024</w:t>
      </w:r>
      <w:r w:rsidRPr="00BD5CCC">
        <w:rPr>
          <w:rFonts w:ascii="Palatino Linotype" w:hAnsi="Palatino Linotype" w:cs="Arial"/>
          <w:b/>
        </w:rPr>
        <w:t xml:space="preserve"> </w:t>
      </w:r>
      <w:r w:rsidRPr="00BD5CCC">
        <w:rPr>
          <w:rFonts w:ascii="Palatino Linotype" w:eastAsia="Calibri" w:hAnsi="Palatino Linotype" w:cs="Arial"/>
          <w:bCs/>
          <w:lang w:val="es-ES"/>
        </w:rPr>
        <w:t>emitida por el</w:t>
      </w:r>
      <w:r w:rsidRPr="00BD5CCC">
        <w:rPr>
          <w:rFonts w:ascii="Palatino Linotype" w:hAnsi="Palatino Linotype"/>
          <w:b/>
          <w:bCs/>
          <w:sz w:val="22"/>
          <w:szCs w:val="14"/>
        </w:rPr>
        <w:t xml:space="preserve"> </w:t>
      </w:r>
      <w:r w:rsidRPr="00BD5CCC">
        <w:rPr>
          <w:rFonts w:ascii="Palatino Linotype" w:hAnsi="Palatino Linotype"/>
          <w:b/>
          <w:bCs/>
          <w:szCs w:val="14"/>
        </w:rPr>
        <w:t>Ayuntamiento de Atizapán de Zaragoza</w:t>
      </w:r>
      <w:r w:rsidRPr="00BD5CCC">
        <w:rPr>
          <w:rFonts w:ascii="Palatino Linotype" w:eastAsia="Calibri" w:hAnsi="Palatino Linotype" w:cs="Arial"/>
          <w:b/>
          <w:bCs/>
          <w:lang w:val="es-ES"/>
        </w:rPr>
        <w:t xml:space="preserve"> y se ORDENA </w:t>
      </w:r>
      <w:r w:rsidRPr="00BD5CCC">
        <w:rPr>
          <w:rFonts w:ascii="Palatino Linotype" w:eastAsia="Calibri" w:hAnsi="Palatino Linotype" w:cs="Arial"/>
          <w:bCs/>
          <w:lang w:val="es-ES"/>
        </w:rPr>
        <w:t xml:space="preserve">entregar vía Sistema de Acceso a la Información Mexiquense </w:t>
      </w:r>
      <w:r w:rsidRPr="00BD5CCC">
        <w:rPr>
          <w:rFonts w:ascii="Palatino Linotype" w:eastAsia="Calibri" w:hAnsi="Palatino Linotype" w:cs="Arial"/>
          <w:b/>
          <w:bCs/>
          <w:lang w:val="es-ES"/>
        </w:rPr>
        <w:t>(SAIMEX)</w:t>
      </w:r>
      <w:r w:rsidRPr="00BD5CCC">
        <w:rPr>
          <w:rFonts w:ascii="Palatino Linotype" w:eastAsia="Calibri" w:hAnsi="Palatino Linotype" w:cs="Arial"/>
          <w:bCs/>
          <w:lang w:val="es-ES"/>
        </w:rPr>
        <w:t>, la siguiente información:</w:t>
      </w:r>
    </w:p>
    <w:p w:rsidR="00476DFF" w:rsidRPr="00BD5CCC" w:rsidRDefault="00476DFF" w:rsidP="00476DFF">
      <w:pPr>
        <w:spacing w:line="360" w:lineRule="auto"/>
        <w:jc w:val="both"/>
        <w:rPr>
          <w:rFonts w:ascii="Palatino Linotype" w:eastAsia="Calibri" w:hAnsi="Palatino Linotype" w:cs="Arial"/>
          <w:bCs/>
          <w:lang w:val="es-ES"/>
        </w:rPr>
      </w:pPr>
    </w:p>
    <w:p w:rsidR="00476DFF" w:rsidRPr="00BD5CCC" w:rsidRDefault="00145F61" w:rsidP="00145F61">
      <w:pPr>
        <w:pStyle w:val="Prrafodelista"/>
        <w:numPr>
          <w:ilvl w:val="0"/>
          <w:numId w:val="14"/>
        </w:numPr>
        <w:spacing w:line="360" w:lineRule="auto"/>
        <w:ind w:left="567" w:right="49"/>
        <w:jc w:val="both"/>
        <w:rPr>
          <w:rFonts w:ascii="Palatino Linotype" w:hAnsi="Palatino Linotype"/>
          <w:b/>
          <w:bCs/>
          <w:color w:val="000000"/>
          <w:szCs w:val="22"/>
        </w:rPr>
      </w:pPr>
      <w:r w:rsidRPr="00BD5CCC">
        <w:rPr>
          <w:rFonts w:ascii="Palatino Linotype" w:hAnsi="Palatino Linotype"/>
          <w:b/>
          <w:bCs/>
          <w:color w:val="000000"/>
          <w:szCs w:val="22"/>
        </w:rPr>
        <w:t xml:space="preserve">Soporte documental donde conste el Registro Federal Contribuyente del Sujeto Obligado, mediante el que factura la prestación de servicios de vigilancia especial remunerada y el régimen fiscal emite las facturas.  </w:t>
      </w:r>
    </w:p>
    <w:p w:rsidR="00145F61" w:rsidRPr="00BD5CCC" w:rsidRDefault="00476DFF" w:rsidP="00145F61">
      <w:pPr>
        <w:pStyle w:val="Prrafodelista"/>
        <w:numPr>
          <w:ilvl w:val="0"/>
          <w:numId w:val="14"/>
        </w:numPr>
        <w:spacing w:line="360" w:lineRule="auto"/>
        <w:ind w:left="567" w:right="49"/>
        <w:jc w:val="both"/>
        <w:rPr>
          <w:rFonts w:ascii="Palatino Linotype" w:hAnsi="Palatino Linotype"/>
          <w:b/>
          <w:bCs/>
          <w:color w:val="000000"/>
          <w:szCs w:val="22"/>
        </w:rPr>
      </w:pPr>
      <w:r w:rsidRPr="00BD5CCC">
        <w:rPr>
          <w:rFonts w:ascii="Palatino Linotype" w:hAnsi="Palatino Linotype" w:cs="Tahoma"/>
          <w:b/>
          <w:bCs/>
          <w:iCs/>
          <w:lang w:val="es-ES"/>
        </w:rPr>
        <w:t xml:space="preserve">Acuerdo del Comité de Transparencia en el que se clasifiquen como información reservada las características de las armas de fuego de los policías que prestan </w:t>
      </w:r>
      <w:r w:rsidRPr="00BD5CCC">
        <w:rPr>
          <w:rFonts w:ascii="Palatino Linotype" w:hAnsi="Palatino Linotype" w:cs="Tahoma"/>
          <w:b/>
          <w:bCs/>
          <w:iCs/>
          <w:lang w:val="es-ES"/>
        </w:rPr>
        <w:lastRenderedPageBreak/>
        <w:t xml:space="preserve">servicios de vigilancia especial remunerada del Ayuntamiento de Atizapán de Zaragoza, en términos del artículo </w:t>
      </w:r>
      <w:r w:rsidR="00CA269D" w:rsidRPr="00BD5CCC">
        <w:rPr>
          <w:rFonts w:ascii="Palatino Linotype" w:hAnsi="Palatino Linotype" w:cs="Tahoma"/>
          <w:b/>
          <w:bCs/>
          <w:iCs/>
          <w:lang w:val="es-ES"/>
        </w:rPr>
        <w:t xml:space="preserve">140 fracción I. </w:t>
      </w:r>
    </w:p>
    <w:p w:rsidR="00145F61" w:rsidRPr="00BD5CCC" w:rsidRDefault="00145F61" w:rsidP="00145F61">
      <w:pPr>
        <w:spacing w:line="360" w:lineRule="auto"/>
        <w:ind w:right="49"/>
        <w:jc w:val="both"/>
        <w:rPr>
          <w:rFonts w:ascii="Palatino Linotype" w:hAnsi="Palatino Linotype"/>
          <w:b/>
          <w:bCs/>
          <w:color w:val="000000"/>
          <w:szCs w:val="22"/>
        </w:rPr>
      </w:pPr>
    </w:p>
    <w:p w:rsidR="00145F61" w:rsidRPr="00BD5CCC" w:rsidRDefault="00145F61" w:rsidP="00145F61">
      <w:pPr>
        <w:spacing w:line="360" w:lineRule="auto"/>
        <w:jc w:val="both"/>
        <w:rPr>
          <w:rFonts w:ascii="Palatino Linotype" w:hAnsi="Palatino Linotype"/>
        </w:rPr>
      </w:pPr>
      <w:r w:rsidRPr="00BD5CC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BD5CCC">
        <w:rPr>
          <w:rFonts w:ascii="Palatino Linotype" w:hAnsi="Palatino Linotype"/>
        </w:rPr>
        <w:t xml:space="preserve"> </w:t>
      </w:r>
    </w:p>
    <w:p w:rsidR="00145F61" w:rsidRPr="00BD5CCC" w:rsidRDefault="00145F61" w:rsidP="00145F61">
      <w:pPr>
        <w:spacing w:line="360" w:lineRule="auto"/>
        <w:ind w:right="49"/>
        <w:jc w:val="both"/>
        <w:rPr>
          <w:rFonts w:ascii="Palatino Linotype" w:hAnsi="Palatino Linotype"/>
          <w:b/>
          <w:bCs/>
          <w:color w:val="000000"/>
          <w:szCs w:val="22"/>
        </w:rPr>
      </w:pPr>
    </w:p>
    <w:p w:rsidR="00476DFF" w:rsidRPr="00BD5CCC" w:rsidRDefault="00476DFF" w:rsidP="00476DFF">
      <w:pPr>
        <w:pStyle w:val="Sinespaciado"/>
        <w:spacing w:line="360" w:lineRule="auto"/>
        <w:jc w:val="both"/>
        <w:rPr>
          <w:rFonts w:ascii="Palatino Linotype" w:eastAsia="Calibri" w:hAnsi="Palatino Linotype" w:cs="Arial"/>
          <w:bCs/>
          <w:lang w:val="es-ES"/>
        </w:rPr>
      </w:pPr>
      <w:r w:rsidRPr="00BD5CCC">
        <w:rPr>
          <w:rFonts w:ascii="Palatino Linotype" w:eastAsia="Calibri" w:hAnsi="Palatino Linotype" w:cs="Arial"/>
          <w:b/>
          <w:bCs/>
          <w:lang w:val="es-ES"/>
        </w:rPr>
        <w:t xml:space="preserve">TERCERO. </w:t>
      </w:r>
      <w:r w:rsidRPr="00BD5CCC">
        <w:rPr>
          <w:rFonts w:ascii="Palatino Linotype" w:hAnsi="Palatino Linotype" w:cs="Arial"/>
          <w:b/>
          <w:color w:val="222222"/>
          <w:shd w:val="clear" w:color="auto" w:fill="FFFFFF"/>
        </w:rPr>
        <w:t>NOTIFÍQUESE</w:t>
      </w:r>
      <w:r w:rsidRPr="00BD5CCC">
        <w:rPr>
          <w:rFonts w:ascii="Palatino Linotype" w:hAnsi="Palatino Linotype" w:cs="Arial"/>
          <w:color w:val="222222"/>
          <w:shd w:val="clear" w:color="auto" w:fill="FFFFFF"/>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476DFF" w:rsidRPr="00BD5CCC" w:rsidRDefault="00476DFF" w:rsidP="00476DFF">
      <w:pPr>
        <w:spacing w:line="360" w:lineRule="auto"/>
        <w:jc w:val="both"/>
        <w:rPr>
          <w:rFonts w:ascii="Palatino Linotype" w:eastAsia="Calibri" w:hAnsi="Palatino Linotype" w:cs="Arial"/>
        </w:rPr>
      </w:pPr>
    </w:p>
    <w:p w:rsidR="00476DFF" w:rsidRPr="00BD5CCC" w:rsidRDefault="00476DFF" w:rsidP="00476DFF">
      <w:pPr>
        <w:tabs>
          <w:tab w:val="left" w:pos="284"/>
          <w:tab w:val="left" w:pos="8080"/>
        </w:tabs>
        <w:spacing w:line="360" w:lineRule="auto"/>
        <w:ind w:right="49"/>
        <w:contextualSpacing/>
        <w:jc w:val="both"/>
        <w:rPr>
          <w:rFonts w:ascii="Palatino Linotype" w:hAnsi="Palatino Linotype" w:cs="Arial"/>
          <w:color w:val="222222"/>
          <w:shd w:val="clear" w:color="auto" w:fill="FFFFFF"/>
        </w:rPr>
      </w:pPr>
      <w:r w:rsidRPr="00BD5CCC">
        <w:rPr>
          <w:rFonts w:ascii="Palatino Linotype" w:eastAsia="Palatino Linotype" w:hAnsi="Palatino Linotype" w:cs="Palatino Linotype"/>
          <w:b/>
          <w:lang w:val="es-ES_tradnl"/>
        </w:rPr>
        <w:t xml:space="preserve">CUARTO. </w:t>
      </w:r>
      <w:r w:rsidRPr="00BD5CCC">
        <w:rPr>
          <w:rFonts w:ascii="Palatino Linotype" w:hAnsi="Palatino Linotype"/>
          <w:b/>
          <w:bCs/>
          <w:color w:val="222222"/>
          <w:lang w:val="es-ES"/>
        </w:rPr>
        <w:t xml:space="preserve">Notifíquese </w:t>
      </w:r>
      <w:r w:rsidRPr="00BD5CCC">
        <w:rPr>
          <w:rFonts w:ascii="Palatino Linotype" w:hAnsi="Palatino Linotype"/>
          <w:bCs/>
          <w:color w:val="222222"/>
          <w:lang w:val="es-ES"/>
        </w:rPr>
        <w:t xml:space="preserve">al </w:t>
      </w:r>
      <w:r w:rsidRPr="00BD5CCC">
        <w:rPr>
          <w:rFonts w:ascii="Palatino Linotype" w:hAnsi="Palatino Linotype"/>
          <w:b/>
          <w:bCs/>
          <w:color w:val="222222"/>
          <w:lang w:val="es-ES"/>
        </w:rPr>
        <w:t>RECURRENTE</w:t>
      </w:r>
      <w:r w:rsidRPr="00BD5CCC">
        <w:rPr>
          <w:rFonts w:ascii="Palatino Linotype" w:hAnsi="Palatino Linotype"/>
          <w:b/>
          <w:color w:val="222222"/>
          <w:lang w:val="es-ES"/>
        </w:rPr>
        <w:t xml:space="preserve"> </w:t>
      </w:r>
      <w:r w:rsidRPr="00BD5CCC">
        <w:rPr>
          <w:rFonts w:ascii="Palatino Linotype" w:hAnsi="Palatino Linotype"/>
          <w:lang w:val="es-ES_tradnl"/>
        </w:rPr>
        <w:t>la presente resolución</w:t>
      </w:r>
      <w:r w:rsidRPr="00BD5CCC">
        <w:rPr>
          <w:rFonts w:ascii="Palatino Linotype" w:eastAsia="MS Mincho" w:hAnsi="Palatino Linotype"/>
          <w:lang w:val="es-ES_tradnl"/>
        </w:rPr>
        <w:t xml:space="preserve"> a través del Sistema de Acceso a la Información Mexiquense (SAIMEX).</w:t>
      </w:r>
    </w:p>
    <w:p w:rsidR="00476DFF" w:rsidRPr="00BD5CCC" w:rsidRDefault="00476DFF" w:rsidP="00476DFF">
      <w:pPr>
        <w:tabs>
          <w:tab w:val="left" w:pos="284"/>
          <w:tab w:val="left" w:pos="8080"/>
        </w:tabs>
        <w:spacing w:line="360" w:lineRule="auto"/>
        <w:ind w:right="49"/>
        <w:contextualSpacing/>
        <w:jc w:val="both"/>
        <w:rPr>
          <w:rFonts w:ascii="Palatino Linotype" w:hAnsi="Palatino Linotype"/>
          <w:color w:val="222222"/>
          <w:shd w:val="clear" w:color="auto" w:fill="FFFFFF"/>
          <w:lang w:val="es-ES_tradnl"/>
        </w:rPr>
      </w:pPr>
    </w:p>
    <w:p w:rsidR="00476DFF" w:rsidRPr="00BD5CCC" w:rsidRDefault="00476DFF" w:rsidP="00476DFF">
      <w:pPr>
        <w:tabs>
          <w:tab w:val="left" w:pos="284"/>
        </w:tabs>
        <w:spacing w:line="360" w:lineRule="auto"/>
        <w:jc w:val="both"/>
        <w:rPr>
          <w:rFonts w:ascii="Palatino Linotype" w:eastAsia="MS Mincho" w:hAnsi="Palatino Linotype"/>
          <w:lang w:val="es-ES_tradnl"/>
        </w:rPr>
      </w:pPr>
      <w:r w:rsidRPr="00BD5CCC">
        <w:rPr>
          <w:rFonts w:ascii="Palatino Linotype" w:hAnsi="Palatino Linotype" w:cs="Arial"/>
          <w:b/>
          <w:lang w:val="es-ES_tradnl"/>
        </w:rPr>
        <w:lastRenderedPageBreak/>
        <w:t xml:space="preserve">QUINTO. </w:t>
      </w:r>
      <w:r w:rsidRPr="00BD5CCC">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667AA0" w:rsidRPr="00BD5CCC" w:rsidRDefault="00476DFF" w:rsidP="00476DFF">
      <w:pPr>
        <w:shd w:val="clear" w:color="auto" w:fill="FFFFFF"/>
        <w:spacing w:before="240" w:after="360" w:line="360" w:lineRule="auto"/>
        <w:jc w:val="both"/>
        <w:rPr>
          <w:rFonts w:ascii="Palatino Linotype" w:eastAsia="MS Mincho" w:hAnsi="Palatino Linotype"/>
          <w:lang w:val="es-ES"/>
        </w:rPr>
      </w:pPr>
      <w:r w:rsidRPr="00BD5CCC">
        <w:rPr>
          <w:rFonts w:ascii="Palatino Linotype" w:hAnsi="Palatino Linotype"/>
          <w:b/>
        </w:rPr>
        <w:t>SEXTO.</w:t>
      </w:r>
      <w:r w:rsidRPr="00BD5CCC">
        <w:rPr>
          <w:rFonts w:ascii="Palatino Linotype" w:hAnsi="Palatino Linotype"/>
          <w:color w:val="222222"/>
          <w:lang w:val="es-ES"/>
        </w:rPr>
        <w:t xml:space="preserve"> </w:t>
      </w:r>
      <w:r w:rsidRPr="00BD5CCC">
        <w:rPr>
          <w:rFonts w:ascii="Palatino Linotype" w:eastAsia="MS Mincho" w:hAnsi="Palatino Linotype"/>
          <w:lang w:val="es-ES"/>
        </w:rPr>
        <w:t xml:space="preserve">Se hace del conocimiento de </w:t>
      </w:r>
      <w:r w:rsidRPr="00BD5CCC">
        <w:rPr>
          <w:rFonts w:ascii="Palatino Linotype" w:hAnsi="Palatino Linotype"/>
          <w:b/>
        </w:rPr>
        <w:t>RECURRENTE</w:t>
      </w:r>
      <w:r w:rsidRPr="00BD5CCC">
        <w:rPr>
          <w:rFonts w:ascii="Palatino Linotype" w:hAnsi="Palatino Linotype"/>
        </w:rPr>
        <w:t xml:space="preserve"> </w:t>
      </w:r>
      <w:r w:rsidRPr="00BD5CCC">
        <w:rPr>
          <w:rFonts w:ascii="Palatino Linotype" w:eastAsia="MS Mincho" w:hAnsi="Palatino Linotype"/>
          <w:lang w:val="es-ES"/>
        </w:rPr>
        <w:t xml:space="preserve">que, de conformidad con lo establecido en el artículo 196 de la Ley de Transparencia y Acceso a la Información Pública del Estado de México y Municipios, </w:t>
      </w:r>
      <w:r w:rsidRPr="00BD5CCC">
        <w:rPr>
          <w:rFonts w:ascii="Palatino Linotype" w:hAnsi="Palatino Linotype"/>
          <w:color w:val="000000"/>
        </w:rPr>
        <w:t>y en lo dispuesto en los artículos </w:t>
      </w:r>
      <w:r w:rsidRPr="00BD5CCC">
        <w:rPr>
          <w:rStyle w:val="il"/>
          <w:rFonts w:ascii="Palatino Linotype" w:hAnsi="Palatino Linotype"/>
          <w:color w:val="000000"/>
        </w:rPr>
        <w:t>159</w:t>
      </w:r>
      <w:r w:rsidRPr="00BD5CCC">
        <w:rPr>
          <w:rFonts w:ascii="Palatino Linotype" w:hAnsi="Palatino Linotype"/>
          <w:color w:val="000000"/>
        </w:rPr>
        <w:t xml:space="preserve">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w:t>
      </w:r>
      <w:r w:rsidRPr="00BD5CCC">
        <w:rPr>
          <w:rFonts w:ascii="Palatino Linotype" w:eastAsia="MS Mincho" w:hAnsi="Palatino Linotype"/>
          <w:lang w:val="es-ES"/>
        </w:rPr>
        <w:t xml:space="preserve">o bien, </w:t>
      </w:r>
      <w:r w:rsidRPr="00BD5CCC">
        <w:rPr>
          <w:rFonts w:ascii="Palatino Linotype" w:eastAsia="MS Mincho" w:hAnsi="Palatino Linotype"/>
          <w:bCs/>
          <w:lang w:val="es-ES"/>
        </w:rPr>
        <w:t>vía juicio de amparo</w:t>
      </w:r>
      <w:r w:rsidRPr="00BD5CCC">
        <w:rPr>
          <w:rFonts w:ascii="Palatino Linotype" w:eastAsia="MS Mincho" w:hAnsi="Palatino Linotype"/>
          <w:lang w:val="es-ES"/>
        </w:rPr>
        <w:t> en los términos de las leyes aplicables.</w:t>
      </w:r>
    </w:p>
    <w:p w:rsidR="00823B0D" w:rsidRPr="003C7186" w:rsidRDefault="00823B0D" w:rsidP="00823B0D">
      <w:pPr>
        <w:spacing w:line="360" w:lineRule="auto"/>
        <w:ind w:left="-142" w:right="-234" w:firstLine="1"/>
        <w:jc w:val="both"/>
        <w:rPr>
          <w:rFonts w:ascii="Palatino Linotype" w:hAnsi="Palatino Linotype"/>
        </w:rPr>
      </w:pPr>
      <w:r w:rsidRPr="00BD5CC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1442CF" w:rsidRPr="00BD5CCC">
        <w:rPr>
          <w:rFonts w:ascii="Palatino Linotype" w:hAnsi="Palatino Linotype"/>
        </w:rPr>
        <w:t xml:space="preserve"> EMITIENDO VOTO PARTICULAR</w:t>
      </w:r>
      <w:r w:rsidRPr="00BD5CCC">
        <w:rPr>
          <w:rFonts w:ascii="Palatino Linotype" w:hAnsi="Palatino Linotype"/>
        </w:rPr>
        <w:t xml:space="preserve"> Y GUADALUPE RAMÍREZ PEÑA; EN LA CUADRAGÉSIMA PRIMERA SESIÓN ORDINARIA CELEBRADA EL VEINTISIETE (27) DE NOVIEMBRE DE DOS MIL VEINTICUATRO, ANTE EL SECRETARIO TÉCNICO DEL PLENO ALEXIS TAPIA RAMÍREZ.</w:t>
      </w:r>
      <w:bookmarkStart w:id="10" w:name="_GoBack"/>
      <w:bookmarkEnd w:id="10"/>
      <w:r w:rsidRPr="003C7186">
        <w:rPr>
          <w:rFonts w:ascii="Palatino Linotype" w:hAnsi="Palatino Linotype"/>
        </w:rPr>
        <w:t xml:space="preserve"> </w:t>
      </w:r>
    </w:p>
    <w:p w:rsidR="00187B88" w:rsidRPr="00684185" w:rsidRDefault="00187B88">
      <w:pPr>
        <w:rPr>
          <w:sz w:val="22"/>
          <w:szCs w:val="22"/>
        </w:rPr>
      </w:pPr>
    </w:p>
    <w:sectPr w:rsidR="00187B88" w:rsidRPr="00684185" w:rsidSect="00847410">
      <w:headerReference w:type="even" r:id="rId15"/>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FCD" w:rsidRDefault="00A83FCD" w:rsidP="00667AA0">
      <w:r>
        <w:separator/>
      </w:r>
    </w:p>
  </w:endnote>
  <w:endnote w:type="continuationSeparator" w:id="0">
    <w:p w:rsidR="00A83FCD" w:rsidRDefault="00A83FCD" w:rsidP="00667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69D" w:rsidRDefault="00CA269D">
    <w:pPr>
      <w:pStyle w:val="Piedepgina"/>
      <w:jc w:val="right"/>
    </w:pPr>
    <w:r>
      <w:rPr>
        <w:lang w:val="es-ES"/>
      </w:rPr>
      <w:t xml:space="preserve">Página </w:t>
    </w:r>
    <w:r>
      <w:rPr>
        <w:b/>
        <w:bCs/>
      </w:rPr>
      <w:fldChar w:fldCharType="begin"/>
    </w:r>
    <w:r>
      <w:rPr>
        <w:b/>
        <w:bCs/>
      </w:rPr>
      <w:instrText>PAGE</w:instrText>
    </w:r>
    <w:r>
      <w:rPr>
        <w:b/>
        <w:bCs/>
      </w:rPr>
      <w:fldChar w:fldCharType="separate"/>
    </w:r>
    <w:r w:rsidR="00BD5CCC">
      <w:rPr>
        <w:b/>
        <w:bCs/>
        <w:noProof/>
      </w:rPr>
      <w:t>32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D5CCC">
      <w:rPr>
        <w:b/>
        <w:bCs/>
        <w:noProof/>
      </w:rPr>
      <w:t>32</w:t>
    </w:r>
    <w:r>
      <w:rPr>
        <w:b/>
        <w:bCs/>
      </w:rPr>
      <w:fldChar w:fldCharType="end"/>
    </w:r>
  </w:p>
  <w:p w:rsidR="00CA269D" w:rsidRDefault="00CA269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69D" w:rsidRDefault="00CA269D">
    <w:pPr>
      <w:pStyle w:val="Piedepgina"/>
      <w:jc w:val="right"/>
    </w:pPr>
    <w:r>
      <w:rPr>
        <w:lang w:val="es-ES"/>
      </w:rPr>
      <w:t xml:space="preserve">Página </w:t>
    </w:r>
    <w:r>
      <w:rPr>
        <w:b/>
        <w:bCs/>
      </w:rPr>
      <w:fldChar w:fldCharType="begin"/>
    </w:r>
    <w:r>
      <w:rPr>
        <w:b/>
        <w:bCs/>
      </w:rPr>
      <w:instrText>PAGE</w:instrText>
    </w:r>
    <w:r>
      <w:rPr>
        <w:b/>
        <w:bCs/>
      </w:rPr>
      <w:fldChar w:fldCharType="separate"/>
    </w:r>
    <w:r w:rsidR="00BD5CCC">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D5CCC">
      <w:rPr>
        <w:b/>
        <w:bCs/>
        <w:noProof/>
      </w:rPr>
      <w:t>32</w:t>
    </w:r>
    <w:r>
      <w:rPr>
        <w:b/>
        <w:bCs/>
      </w:rPr>
      <w:fldChar w:fldCharType="end"/>
    </w:r>
  </w:p>
  <w:p w:rsidR="00CA269D" w:rsidRDefault="00CA26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FCD" w:rsidRDefault="00A83FCD" w:rsidP="00667AA0">
      <w:r>
        <w:separator/>
      </w:r>
    </w:p>
  </w:footnote>
  <w:footnote w:type="continuationSeparator" w:id="0">
    <w:p w:rsidR="00A83FCD" w:rsidRDefault="00A83FCD" w:rsidP="00667A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69D" w:rsidRDefault="00A83FC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CA269D" w:rsidRPr="005C106F" w:rsidTr="00847410">
      <w:trPr>
        <w:trHeight w:val="1435"/>
      </w:trPr>
      <w:tc>
        <w:tcPr>
          <w:tcW w:w="2268" w:type="dxa"/>
          <w:shd w:val="clear" w:color="auto" w:fill="auto"/>
        </w:tcPr>
        <w:p w:rsidR="00CA269D" w:rsidRPr="005C106F" w:rsidRDefault="00CA269D" w:rsidP="00847410">
          <w:pPr>
            <w:tabs>
              <w:tab w:val="right" w:pos="4273"/>
            </w:tabs>
            <w:rPr>
              <w:rFonts w:ascii="Garamond" w:eastAsia="Calibri" w:hAnsi="Garamond"/>
              <w:sz w:val="16"/>
              <w:szCs w:val="16"/>
              <w:lang w:eastAsia="en-US"/>
            </w:rPr>
          </w:pPr>
        </w:p>
      </w:tc>
      <w:tc>
        <w:tcPr>
          <w:tcW w:w="6946" w:type="dxa"/>
          <w:shd w:val="clear" w:color="auto" w:fill="auto"/>
        </w:tcPr>
        <w:p w:rsidR="00CA269D" w:rsidRDefault="00CA269D" w:rsidP="00847410"/>
        <w:tbl>
          <w:tblPr>
            <w:tblW w:w="6662" w:type="dxa"/>
            <w:tblInd w:w="40" w:type="dxa"/>
            <w:tblLayout w:type="fixed"/>
            <w:tblLook w:val="0420" w:firstRow="1" w:lastRow="0" w:firstColumn="0" w:lastColumn="0" w:noHBand="0" w:noVBand="1"/>
          </w:tblPr>
          <w:tblGrid>
            <w:gridCol w:w="2551"/>
            <w:gridCol w:w="4111"/>
          </w:tblGrid>
          <w:tr w:rsidR="00CA269D" w:rsidTr="00847410">
            <w:trPr>
              <w:trHeight w:val="150"/>
            </w:trPr>
            <w:tc>
              <w:tcPr>
                <w:tcW w:w="2551" w:type="dxa"/>
                <w:shd w:val="clear" w:color="auto" w:fill="auto"/>
              </w:tcPr>
              <w:p w:rsidR="00CA269D" w:rsidRPr="00020E73" w:rsidRDefault="00CA269D" w:rsidP="0084741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CA269D" w:rsidRPr="00020E73" w:rsidRDefault="00CA269D" w:rsidP="00847410">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03378/INFOEM/IP/RR/</w:t>
                </w:r>
                <w:r w:rsidRPr="00667AA0">
                  <w:rPr>
                    <w:rFonts w:ascii="Palatino Linotype" w:eastAsia="Calibri" w:hAnsi="Palatino Linotype" w:cs="Tahoma"/>
                    <w:bCs/>
                    <w:sz w:val="22"/>
                    <w:szCs w:val="22"/>
                    <w:lang w:eastAsia="en-US"/>
                  </w:rPr>
                  <w:t>2024</w:t>
                </w:r>
                <w:r w:rsidRPr="009E7B0A">
                  <w:rPr>
                    <w:rFonts w:ascii="Palatino Linotype" w:eastAsia="Calibri" w:hAnsi="Palatino Linotype" w:cs="Tahoma"/>
                    <w:b/>
                    <w:bCs/>
                    <w:sz w:val="22"/>
                    <w:szCs w:val="22"/>
                    <w:lang w:eastAsia="en-US"/>
                  </w:rPr>
                  <w:t xml:space="preserve"> </w:t>
                </w:r>
              </w:p>
            </w:tc>
          </w:tr>
          <w:tr w:rsidR="00CA269D" w:rsidTr="00847410">
            <w:trPr>
              <w:trHeight w:val="295"/>
            </w:trPr>
            <w:tc>
              <w:tcPr>
                <w:tcW w:w="2551" w:type="dxa"/>
                <w:shd w:val="clear" w:color="auto" w:fill="auto"/>
              </w:tcPr>
              <w:p w:rsidR="00CA269D" w:rsidRPr="00020E73" w:rsidRDefault="00CA269D" w:rsidP="0084741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CA269D" w:rsidRPr="001131A8" w:rsidRDefault="00CA269D" w:rsidP="00847410">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Ayuntamiento de Atizapán de Zaragoza</w:t>
                </w:r>
              </w:p>
            </w:tc>
          </w:tr>
          <w:tr w:rsidR="00CA269D" w:rsidTr="00847410">
            <w:trPr>
              <w:trHeight w:val="295"/>
            </w:trPr>
            <w:tc>
              <w:tcPr>
                <w:tcW w:w="2551" w:type="dxa"/>
                <w:shd w:val="clear" w:color="auto" w:fill="auto"/>
              </w:tcPr>
              <w:p w:rsidR="00CA269D" w:rsidRPr="00020E73" w:rsidRDefault="00CA269D" w:rsidP="00847410">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CA269D" w:rsidRPr="00020E73" w:rsidRDefault="00CA269D" w:rsidP="00847410">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CA269D" w:rsidRPr="00020E73" w:rsidRDefault="00CA269D" w:rsidP="00847410">
                <w:pPr>
                  <w:tabs>
                    <w:tab w:val="right" w:pos="8838"/>
                  </w:tabs>
                  <w:ind w:left="-108" w:right="171"/>
                  <w:jc w:val="both"/>
                  <w:rPr>
                    <w:rFonts w:ascii="Palatino Linotype" w:eastAsia="Calibri" w:hAnsi="Palatino Linotype" w:cs="Tahoma"/>
                    <w:b/>
                    <w:sz w:val="22"/>
                    <w:szCs w:val="22"/>
                    <w:lang w:val="es-ES" w:eastAsia="en-US"/>
                  </w:rPr>
                </w:pPr>
              </w:p>
            </w:tc>
          </w:tr>
        </w:tbl>
        <w:p w:rsidR="00CA269D" w:rsidRPr="005C106F" w:rsidRDefault="00CA269D" w:rsidP="00847410">
          <w:pPr>
            <w:tabs>
              <w:tab w:val="right" w:pos="8838"/>
            </w:tabs>
            <w:ind w:left="-28"/>
            <w:jc w:val="both"/>
            <w:rPr>
              <w:rFonts w:ascii="Arial" w:eastAsia="Calibri" w:hAnsi="Arial" w:cs="Arial"/>
              <w:b/>
              <w:sz w:val="22"/>
              <w:szCs w:val="22"/>
              <w:lang w:eastAsia="en-US"/>
            </w:rPr>
          </w:pPr>
        </w:p>
      </w:tc>
    </w:tr>
  </w:tbl>
  <w:p w:rsidR="00CA269D" w:rsidRPr="00443C6B" w:rsidRDefault="00A83FCD" w:rsidP="00847410">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CA269D" w:rsidRPr="00330DA7" w:rsidTr="00847410">
      <w:trPr>
        <w:trHeight w:val="1435"/>
      </w:trPr>
      <w:tc>
        <w:tcPr>
          <w:tcW w:w="2268" w:type="dxa"/>
          <w:shd w:val="clear" w:color="auto" w:fill="auto"/>
        </w:tcPr>
        <w:p w:rsidR="00CA269D" w:rsidRPr="00330DA7" w:rsidRDefault="00CA269D" w:rsidP="00847410">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CA269D" w:rsidRPr="00330DA7" w:rsidTr="00847410">
            <w:trPr>
              <w:trHeight w:val="144"/>
            </w:trPr>
            <w:tc>
              <w:tcPr>
                <w:tcW w:w="2444" w:type="dxa"/>
                <w:shd w:val="clear" w:color="auto" w:fill="auto"/>
              </w:tcPr>
              <w:p w:rsidR="00CA269D" w:rsidRPr="00020E73" w:rsidRDefault="00CA269D" w:rsidP="00847410">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CA269D" w:rsidRPr="00020E73" w:rsidRDefault="00CA269D" w:rsidP="00847410">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03378/INFOEM/IP/RR/</w:t>
                </w:r>
                <w:r w:rsidRPr="00667AA0">
                  <w:rPr>
                    <w:rFonts w:ascii="Palatino Linotype" w:eastAsia="Calibri" w:hAnsi="Palatino Linotype" w:cs="Tahoma"/>
                    <w:sz w:val="22"/>
                    <w:szCs w:val="22"/>
                    <w:lang w:eastAsia="en-US"/>
                  </w:rPr>
                  <w:t>2024</w:t>
                </w:r>
              </w:p>
            </w:tc>
          </w:tr>
          <w:tr w:rsidR="00CA269D" w:rsidRPr="00330DA7" w:rsidTr="00847410">
            <w:trPr>
              <w:trHeight w:val="144"/>
            </w:trPr>
            <w:tc>
              <w:tcPr>
                <w:tcW w:w="2444" w:type="dxa"/>
                <w:shd w:val="clear" w:color="auto" w:fill="auto"/>
              </w:tcPr>
              <w:p w:rsidR="00CA269D" w:rsidRPr="00020E73" w:rsidRDefault="00CA269D" w:rsidP="00847410">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CA269D" w:rsidRPr="00667AA0" w:rsidRDefault="00BD5CCC" w:rsidP="00847410">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XXXXXXXXXXXXXX</w:t>
                </w:r>
              </w:p>
            </w:tc>
          </w:tr>
          <w:tr w:rsidR="00CA269D" w:rsidRPr="00330DA7" w:rsidTr="00847410">
            <w:trPr>
              <w:trHeight w:val="283"/>
            </w:trPr>
            <w:tc>
              <w:tcPr>
                <w:tcW w:w="2444" w:type="dxa"/>
                <w:shd w:val="clear" w:color="auto" w:fill="auto"/>
              </w:tcPr>
              <w:p w:rsidR="00CA269D" w:rsidRPr="00020E73" w:rsidRDefault="00CA269D" w:rsidP="00847410">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CA269D" w:rsidRPr="007914B7" w:rsidRDefault="00CA269D" w:rsidP="00847410">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Ayuntamiento de Atizapán de Zaragoza</w:t>
                </w:r>
              </w:p>
            </w:tc>
          </w:tr>
          <w:tr w:rsidR="00CA269D" w:rsidRPr="00330DA7" w:rsidTr="00847410">
            <w:trPr>
              <w:trHeight w:val="283"/>
            </w:trPr>
            <w:tc>
              <w:tcPr>
                <w:tcW w:w="2444" w:type="dxa"/>
                <w:shd w:val="clear" w:color="auto" w:fill="auto"/>
              </w:tcPr>
              <w:p w:rsidR="00CA269D" w:rsidRPr="00020E73" w:rsidRDefault="00CA269D" w:rsidP="00847410">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CA269D" w:rsidRPr="00020E73" w:rsidRDefault="00CA269D" w:rsidP="00847410">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CA269D" w:rsidRPr="00020E73" w:rsidRDefault="00CA269D" w:rsidP="00847410">
                <w:pPr>
                  <w:tabs>
                    <w:tab w:val="right" w:pos="8838"/>
                  </w:tabs>
                  <w:ind w:left="-74" w:right="-105"/>
                  <w:jc w:val="both"/>
                  <w:rPr>
                    <w:rFonts w:ascii="Palatino Linotype" w:eastAsia="Calibri" w:hAnsi="Palatino Linotype" w:cs="Tahoma"/>
                    <w:b/>
                    <w:sz w:val="22"/>
                    <w:szCs w:val="22"/>
                    <w:lang w:val="es-ES" w:eastAsia="en-US"/>
                  </w:rPr>
                </w:pPr>
              </w:p>
            </w:tc>
          </w:tr>
        </w:tbl>
        <w:p w:rsidR="00CA269D" w:rsidRPr="00330DA7" w:rsidRDefault="00CA269D" w:rsidP="00847410">
          <w:pPr>
            <w:tabs>
              <w:tab w:val="right" w:pos="8838"/>
            </w:tabs>
            <w:ind w:left="-28"/>
            <w:jc w:val="both"/>
            <w:rPr>
              <w:rFonts w:ascii="Arial" w:eastAsia="Calibri" w:hAnsi="Arial" w:cs="Arial"/>
              <w:b/>
              <w:sz w:val="22"/>
              <w:szCs w:val="22"/>
              <w:lang w:eastAsia="en-US"/>
            </w:rPr>
          </w:pPr>
        </w:p>
      </w:tc>
    </w:tr>
  </w:tbl>
  <w:p w:rsidR="00CA269D" w:rsidRPr="00827FA0" w:rsidRDefault="00A83FCD" w:rsidP="00847410">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61270"/>
    <w:multiLevelType w:val="hybridMultilevel"/>
    <w:tmpl w:val="F8C4158E"/>
    <w:lvl w:ilvl="0" w:tplc="F0F2F2C8">
      <w:start w:val="1"/>
      <w:numFmt w:val="decimal"/>
      <w:lvlText w:val="%1."/>
      <w:lvlJc w:val="left"/>
      <w:pPr>
        <w:ind w:left="360" w:hanging="360"/>
      </w:pPr>
      <w:rPr>
        <w:rFonts w:eastAsia="Calibri" w:hint="default"/>
        <w:b/>
        <w:i w:val="0"/>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26E3E65"/>
    <w:multiLevelType w:val="hybridMultilevel"/>
    <w:tmpl w:val="A59A9E8E"/>
    <w:lvl w:ilvl="0" w:tplc="352E8DDA">
      <w:start w:val="1"/>
      <w:numFmt w:val="decimal"/>
      <w:lvlText w:val="%1."/>
      <w:lvlJc w:val="left"/>
      <w:pPr>
        <w:ind w:left="720" w:hanging="360"/>
      </w:pPr>
      <w:rPr>
        <w:b/>
        <w:i w:val="0"/>
        <w:sz w:val="24"/>
      </w:rPr>
    </w:lvl>
    <w:lvl w:ilvl="1" w:tplc="5C580E56">
      <w:start w:val="5"/>
      <w:numFmt w:val="bullet"/>
      <w:lvlText w:val="•"/>
      <w:lvlJc w:val="left"/>
      <w:pPr>
        <w:ind w:left="1785" w:hanging="705"/>
      </w:pPr>
      <w:rPr>
        <w:rFonts w:ascii="Palatino Linotype" w:eastAsiaTheme="minorEastAsia" w:hAnsi="Palatino Linotype" w:cs="Arial" w:hint="default"/>
      </w:rPr>
    </w:lvl>
    <w:lvl w:ilvl="2" w:tplc="8D2E970C">
      <w:start w:val="1"/>
      <w:numFmt w:val="lowerLetter"/>
      <w:lvlText w:val="%3)"/>
      <w:lvlJc w:val="left"/>
      <w:pPr>
        <w:ind w:left="2820" w:hanging="840"/>
      </w:pPr>
      <w:rPr>
        <w:rFonts w:hint="default"/>
      </w:rPr>
    </w:lvl>
    <w:lvl w:ilvl="3" w:tplc="354C2A32">
      <w:start w:val="1"/>
      <w:numFmt w:val="upperRoman"/>
      <w:lvlText w:val="%4."/>
      <w:lvlJc w:val="left"/>
      <w:pPr>
        <w:ind w:left="3240" w:hanging="720"/>
      </w:pPr>
      <w:rPr>
        <w:rFonts w:hint="default"/>
      </w:rPr>
    </w:lvl>
    <w:lvl w:ilvl="4" w:tplc="5F60518E">
      <w:start w:val="1"/>
      <w:numFmt w:val="upperLetter"/>
      <w:lvlText w:val="%5."/>
      <w:lvlJc w:val="left"/>
      <w:pPr>
        <w:ind w:left="786" w:hanging="360"/>
      </w:pPr>
      <w:rPr>
        <w:rFonts w:hint="default"/>
      </w:rPr>
    </w:lvl>
    <w:lvl w:ilvl="5" w:tplc="DAF0C25E">
      <w:start w:val="70"/>
      <w:numFmt w:val="bullet"/>
      <w:lvlText w:val="·"/>
      <w:lvlJc w:val="left"/>
      <w:pPr>
        <w:ind w:left="4500" w:hanging="360"/>
      </w:pPr>
      <w:rPr>
        <w:rFonts w:ascii="Palatino Linotype" w:eastAsiaTheme="minorEastAsia"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A84A4B"/>
    <w:multiLevelType w:val="hybridMultilevel"/>
    <w:tmpl w:val="B9B61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867810"/>
    <w:multiLevelType w:val="hybridMultilevel"/>
    <w:tmpl w:val="947CD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BF5CB9"/>
    <w:multiLevelType w:val="hybridMultilevel"/>
    <w:tmpl w:val="D4345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786964"/>
    <w:multiLevelType w:val="multilevel"/>
    <w:tmpl w:val="E2AA3336"/>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E5203E"/>
    <w:multiLevelType w:val="multilevel"/>
    <w:tmpl w:val="6136B0C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CAC6D99"/>
    <w:multiLevelType w:val="hybridMultilevel"/>
    <w:tmpl w:val="C8E6ACE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65E96A68"/>
    <w:multiLevelType w:val="hybridMultilevel"/>
    <w:tmpl w:val="DBCE156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6CA135C9"/>
    <w:multiLevelType w:val="hybridMultilevel"/>
    <w:tmpl w:val="4D3456F8"/>
    <w:lvl w:ilvl="0" w:tplc="327C2ED0">
      <w:start w:val="12"/>
      <w:numFmt w:val="bullet"/>
      <w:lvlText w:val="-"/>
      <w:lvlJc w:val="left"/>
      <w:pPr>
        <w:ind w:left="1800" w:hanging="360"/>
      </w:pPr>
      <w:rPr>
        <w:rFonts w:ascii="Palatino Linotype" w:eastAsia="Times New Roman" w:hAnsi="Palatino Linotype"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1" w15:restartNumberingAfterBreak="0">
    <w:nsid w:val="74EB3D0B"/>
    <w:multiLevelType w:val="multilevel"/>
    <w:tmpl w:val="395E496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770136A0"/>
    <w:multiLevelType w:val="hybridMultilevel"/>
    <w:tmpl w:val="225C8A14"/>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6F3A2B"/>
    <w:multiLevelType w:val="hybridMultilevel"/>
    <w:tmpl w:val="1390F13C"/>
    <w:lvl w:ilvl="0" w:tplc="102EF82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8"/>
  </w:num>
  <w:num w:numId="4">
    <w:abstractNumId w:val="3"/>
  </w:num>
  <w:num w:numId="5">
    <w:abstractNumId w:val="9"/>
  </w:num>
  <w:num w:numId="6">
    <w:abstractNumId w:val="10"/>
  </w:num>
  <w:num w:numId="7">
    <w:abstractNumId w:val="4"/>
  </w:num>
  <w:num w:numId="8">
    <w:abstractNumId w:val="5"/>
  </w:num>
  <w:num w:numId="9">
    <w:abstractNumId w:val="11"/>
  </w:num>
  <w:num w:numId="10">
    <w:abstractNumId w:val="6"/>
  </w:num>
  <w:num w:numId="11">
    <w:abstractNumId w:val="7"/>
  </w:num>
  <w:num w:numId="12">
    <w:abstractNumId w:val="12"/>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AA0"/>
    <w:rsid w:val="00000443"/>
    <w:rsid w:val="00064F85"/>
    <w:rsid w:val="00124139"/>
    <w:rsid w:val="001442CF"/>
    <w:rsid w:val="00145F61"/>
    <w:rsid w:val="00187B88"/>
    <w:rsid w:val="00254E59"/>
    <w:rsid w:val="002E5896"/>
    <w:rsid w:val="002F3569"/>
    <w:rsid w:val="003D61CB"/>
    <w:rsid w:val="00425E5A"/>
    <w:rsid w:val="00476DFF"/>
    <w:rsid w:val="005607C4"/>
    <w:rsid w:val="00667AA0"/>
    <w:rsid w:val="00684185"/>
    <w:rsid w:val="006E5C6E"/>
    <w:rsid w:val="007352B2"/>
    <w:rsid w:val="00823B0D"/>
    <w:rsid w:val="00847410"/>
    <w:rsid w:val="00952748"/>
    <w:rsid w:val="009D1DBC"/>
    <w:rsid w:val="00A12206"/>
    <w:rsid w:val="00A45087"/>
    <w:rsid w:val="00A77B4C"/>
    <w:rsid w:val="00A83FCD"/>
    <w:rsid w:val="00AB38EE"/>
    <w:rsid w:val="00B16A05"/>
    <w:rsid w:val="00BD5CCC"/>
    <w:rsid w:val="00BD5FDA"/>
    <w:rsid w:val="00BF0BAC"/>
    <w:rsid w:val="00CA269D"/>
    <w:rsid w:val="00CA5EC5"/>
    <w:rsid w:val="00CF2093"/>
    <w:rsid w:val="00D61BCB"/>
    <w:rsid w:val="00E356B2"/>
    <w:rsid w:val="00ED2E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8CE0CFF-92DF-4CF1-A0EF-DBA4515F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AA0"/>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7AA0"/>
    <w:pPr>
      <w:tabs>
        <w:tab w:val="center" w:pos="4419"/>
        <w:tab w:val="right" w:pos="8838"/>
      </w:tabs>
    </w:pPr>
  </w:style>
  <w:style w:type="character" w:customStyle="1" w:styleId="EncabezadoCar">
    <w:name w:val="Encabezado Car"/>
    <w:basedOn w:val="Fuentedeprrafopredeter"/>
    <w:link w:val="Encabezado"/>
    <w:uiPriority w:val="99"/>
    <w:rsid w:val="00667AA0"/>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667AA0"/>
    <w:pPr>
      <w:tabs>
        <w:tab w:val="center" w:pos="4419"/>
        <w:tab w:val="right" w:pos="8838"/>
      </w:tabs>
    </w:pPr>
  </w:style>
  <w:style w:type="character" w:customStyle="1" w:styleId="PiedepginaCar">
    <w:name w:val="Pie de página Car"/>
    <w:basedOn w:val="Fuentedeprrafopredeter"/>
    <w:link w:val="Piedepgina"/>
    <w:uiPriority w:val="99"/>
    <w:rsid w:val="00667AA0"/>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7AA0"/>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667AA0"/>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667AA0"/>
    <w:rPr>
      <w:color w:val="0563C1"/>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67AA0"/>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67AA0"/>
    <w:rPr>
      <w:rFonts w:ascii="Calibri" w:eastAsia="Calibri" w:hAnsi="Calibri" w:cs="Times New Roman"/>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667AA0"/>
    <w:rPr>
      <w:vertAlign w:val="superscript"/>
    </w:rPr>
  </w:style>
  <w:style w:type="paragraph" w:styleId="Sinespaciado">
    <w:name w:val="No Spacing"/>
    <w:aliases w:val="Francesa,INAI"/>
    <w:link w:val="SinespaciadoCar"/>
    <w:uiPriority w:val="1"/>
    <w:qFormat/>
    <w:rsid w:val="00476DFF"/>
    <w:pPr>
      <w:spacing w:after="0" w:line="240" w:lineRule="auto"/>
    </w:pPr>
    <w:rPr>
      <w:rFonts w:eastAsiaTheme="minorEastAsia"/>
      <w:sz w:val="24"/>
      <w:szCs w:val="24"/>
      <w:lang w:val="es-ES_tradnl" w:eastAsia="es-ES"/>
    </w:rPr>
  </w:style>
  <w:style w:type="character" w:customStyle="1" w:styleId="SinespaciadoCar">
    <w:name w:val="Sin espaciado Car"/>
    <w:aliases w:val="Francesa Car,INAI Car"/>
    <w:link w:val="Sinespaciado"/>
    <w:uiPriority w:val="1"/>
    <w:qFormat/>
    <w:locked/>
    <w:rsid w:val="00476DFF"/>
    <w:rPr>
      <w:rFonts w:eastAsiaTheme="minorEastAsia"/>
      <w:sz w:val="24"/>
      <w:szCs w:val="24"/>
      <w:lang w:val="es-ES_tradnl" w:eastAsia="es-ES"/>
    </w:rPr>
  </w:style>
  <w:style w:type="character" w:customStyle="1" w:styleId="il">
    <w:name w:val="il"/>
    <w:basedOn w:val="Fuentedeprrafopredeter"/>
    <w:rsid w:val="00476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9206">
      <w:bodyDiv w:val="1"/>
      <w:marLeft w:val="0"/>
      <w:marRight w:val="0"/>
      <w:marTop w:val="0"/>
      <w:marBottom w:val="0"/>
      <w:divBdr>
        <w:top w:val="none" w:sz="0" w:space="0" w:color="auto"/>
        <w:left w:val="none" w:sz="0" w:space="0" w:color="auto"/>
        <w:bottom w:val="none" w:sz="0" w:space="0" w:color="auto"/>
        <w:right w:val="none" w:sz="0" w:space="0" w:color="auto"/>
      </w:divBdr>
    </w:div>
    <w:div w:id="202901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098628.page"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saimex.org.mx/saimex/solicitud/downloadAttach/2090947.page"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2134386.pag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saimex.org.mx/saimex/solicitud/downloadAttach/2134385.pag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aimex.org.mx/saimex/solicitud/downloadAttach/2098629.pag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381</TotalTime>
  <Pages>32</Pages>
  <Words>7605</Words>
  <Characters>41829</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49336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INFOEM549</dc:creator>
  <cp:keywords/>
  <dc:description/>
  <cp:lastModifiedBy>INFOEM403</cp:lastModifiedBy>
  <cp:revision>5</cp:revision>
  <dcterms:created xsi:type="dcterms:W3CDTF">2024-11-20T22:41:00Z</dcterms:created>
  <dcterms:modified xsi:type="dcterms:W3CDTF">2025-01-21T16:15:00Z</dcterms:modified>
</cp:coreProperties>
</file>