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2B0D" w14:textId="77777777" w:rsidR="009302CD" w:rsidRDefault="009302CD">
      <w:pPr>
        <w:widowControl w:val="0"/>
        <w:pBdr>
          <w:top w:val="nil"/>
          <w:left w:val="nil"/>
          <w:bottom w:val="nil"/>
          <w:right w:val="nil"/>
          <w:between w:val="nil"/>
        </w:pBdr>
        <w:spacing w:after="0" w:line="276" w:lineRule="auto"/>
        <w:jc w:val="left"/>
      </w:pPr>
    </w:p>
    <w:sdt>
      <w:sdtPr>
        <w:rPr>
          <w:rFonts w:eastAsia="Palatino Linotype" w:cs="Palatino Linotype"/>
          <w:b w:val="0"/>
          <w:color w:val="000000" w:themeColor="text1"/>
          <w:szCs w:val="22"/>
          <w:lang w:val="es-ES"/>
        </w:rPr>
        <w:id w:val="-734163581"/>
        <w:docPartObj>
          <w:docPartGallery w:val="Table of Contents"/>
          <w:docPartUnique/>
        </w:docPartObj>
      </w:sdtPr>
      <w:sdtEndPr>
        <w:rPr>
          <w:bCs/>
        </w:rPr>
      </w:sdtEndPr>
      <w:sdtContent>
        <w:p w14:paraId="1601CCA4" w14:textId="0E9E4DE6" w:rsidR="00A67F67" w:rsidRDefault="00A67F67">
          <w:pPr>
            <w:pStyle w:val="TtulodeTDC"/>
            <w:rPr>
              <w:lang w:val="es-ES"/>
            </w:rPr>
          </w:pPr>
          <w:r>
            <w:rPr>
              <w:lang w:val="es-ES"/>
            </w:rPr>
            <w:t>Contenido</w:t>
          </w:r>
        </w:p>
        <w:p w14:paraId="46E168FA" w14:textId="77777777" w:rsidR="009F25B3" w:rsidRPr="009F25B3" w:rsidRDefault="009F25B3" w:rsidP="009F25B3">
          <w:pPr>
            <w:rPr>
              <w:lang w:val="es-ES"/>
            </w:rPr>
          </w:pPr>
        </w:p>
        <w:p w14:paraId="167EFA5C" w14:textId="63F36865" w:rsidR="00CC0355" w:rsidRDefault="00A67F67">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4777984" w:history="1">
            <w:r w:rsidR="00CC0355" w:rsidRPr="001965E2">
              <w:rPr>
                <w:rStyle w:val="Hipervnculo"/>
                <w:noProof/>
              </w:rPr>
              <w:t>A N T E C E D E N T E S</w:t>
            </w:r>
            <w:r w:rsidR="00CC0355">
              <w:rPr>
                <w:noProof/>
                <w:webHidden/>
              </w:rPr>
              <w:tab/>
            </w:r>
            <w:r w:rsidR="00CC0355">
              <w:rPr>
                <w:noProof/>
                <w:webHidden/>
              </w:rPr>
              <w:fldChar w:fldCharType="begin"/>
            </w:r>
            <w:r w:rsidR="00CC0355">
              <w:rPr>
                <w:noProof/>
                <w:webHidden/>
              </w:rPr>
              <w:instrText xml:space="preserve"> PAGEREF _Toc184777984 \h </w:instrText>
            </w:r>
            <w:r w:rsidR="00CC0355">
              <w:rPr>
                <w:noProof/>
                <w:webHidden/>
              </w:rPr>
            </w:r>
            <w:r w:rsidR="00CC0355">
              <w:rPr>
                <w:noProof/>
                <w:webHidden/>
              </w:rPr>
              <w:fldChar w:fldCharType="separate"/>
            </w:r>
            <w:r w:rsidR="00DD27DE">
              <w:rPr>
                <w:noProof/>
                <w:webHidden/>
              </w:rPr>
              <w:t>2</w:t>
            </w:r>
            <w:r w:rsidR="00CC0355">
              <w:rPr>
                <w:noProof/>
                <w:webHidden/>
              </w:rPr>
              <w:fldChar w:fldCharType="end"/>
            </w:r>
          </w:hyperlink>
        </w:p>
        <w:p w14:paraId="2057647B" w14:textId="41BC2C4B"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85" w:history="1">
            <w:r w:rsidR="00CC0355" w:rsidRPr="001965E2">
              <w:rPr>
                <w:rStyle w:val="Hipervnculo"/>
                <w:noProof/>
              </w:rPr>
              <w:t>I. Presentación de la solicitud de información</w:t>
            </w:r>
            <w:r w:rsidR="00CC0355">
              <w:rPr>
                <w:noProof/>
                <w:webHidden/>
              </w:rPr>
              <w:tab/>
            </w:r>
            <w:r w:rsidR="00CC0355">
              <w:rPr>
                <w:noProof/>
                <w:webHidden/>
              </w:rPr>
              <w:fldChar w:fldCharType="begin"/>
            </w:r>
            <w:r w:rsidR="00CC0355">
              <w:rPr>
                <w:noProof/>
                <w:webHidden/>
              </w:rPr>
              <w:instrText xml:space="preserve"> PAGEREF _Toc184777985 \h </w:instrText>
            </w:r>
            <w:r w:rsidR="00CC0355">
              <w:rPr>
                <w:noProof/>
                <w:webHidden/>
              </w:rPr>
            </w:r>
            <w:r w:rsidR="00CC0355">
              <w:rPr>
                <w:noProof/>
                <w:webHidden/>
              </w:rPr>
              <w:fldChar w:fldCharType="separate"/>
            </w:r>
            <w:r w:rsidR="00DD27DE">
              <w:rPr>
                <w:noProof/>
                <w:webHidden/>
              </w:rPr>
              <w:t>2</w:t>
            </w:r>
            <w:r w:rsidR="00CC0355">
              <w:rPr>
                <w:noProof/>
                <w:webHidden/>
              </w:rPr>
              <w:fldChar w:fldCharType="end"/>
            </w:r>
          </w:hyperlink>
        </w:p>
        <w:p w14:paraId="53B679FB" w14:textId="0F3BDD4F"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86" w:history="1">
            <w:r w:rsidR="00CC0355" w:rsidRPr="001965E2">
              <w:rPr>
                <w:rStyle w:val="Hipervnculo"/>
                <w:noProof/>
              </w:rPr>
              <w:t>II. Respuesta del Sujeto Obligado</w:t>
            </w:r>
            <w:r w:rsidR="00CC0355">
              <w:rPr>
                <w:noProof/>
                <w:webHidden/>
              </w:rPr>
              <w:tab/>
            </w:r>
            <w:r w:rsidR="00CC0355">
              <w:rPr>
                <w:noProof/>
                <w:webHidden/>
              </w:rPr>
              <w:fldChar w:fldCharType="begin"/>
            </w:r>
            <w:r w:rsidR="00CC0355">
              <w:rPr>
                <w:noProof/>
                <w:webHidden/>
              </w:rPr>
              <w:instrText xml:space="preserve"> PAGEREF _Toc184777986 \h </w:instrText>
            </w:r>
            <w:r w:rsidR="00CC0355">
              <w:rPr>
                <w:noProof/>
                <w:webHidden/>
              </w:rPr>
            </w:r>
            <w:r w:rsidR="00CC0355">
              <w:rPr>
                <w:noProof/>
                <w:webHidden/>
              </w:rPr>
              <w:fldChar w:fldCharType="separate"/>
            </w:r>
            <w:r w:rsidR="00DD27DE">
              <w:rPr>
                <w:noProof/>
                <w:webHidden/>
              </w:rPr>
              <w:t>2</w:t>
            </w:r>
            <w:r w:rsidR="00CC0355">
              <w:rPr>
                <w:noProof/>
                <w:webHidden/>
              </w:rPr>
              <w:fldChar w:fldCharType="end"/>
            </w:r>
          </w:hyperlink>
        </w:p>
        <w:p w14:paraId="1A726DF9" w14:textId="6C889560"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87" w:history="1">
            <w:r w:rsidR="00CC0355" w:rsidRPr="001965E2">
              <w:rPr>
                <w:rStyle w:val="Hipervnculo"/>
                <w:noProof/>
              </w:rPr>
              <w:t>III. Interposición del Recurso de Revisión</w:t>
            </w:r>
            <w:r w:rsidR="00CC0355">
              <w:rPr>
                <w:noProof/>
                <w:webHidden/>
              </w:rPr>
              <w:tab/>
            </w:r>
            <w:r w:rsidR="00CC0355">
              <w:rPr>
                <w:noProof/>
                <w:webHidden/>
              </w:rPr>
              <w:fldChar w:fldCharType="begin"/>
            </w:r>
            <w:r w:rsidR="00CC0355">
              <w:rPr>
                <w:noProof/>
                <w:webHidden/>
              </w:rPr>
              <w:instrText xml:space="preserve"> PAGEREF _Toc184777987 \h </w:instrText>
            </w:r>
            <w:r w:rsidR="00CC0355">
              <w:rPr>
                <w:noProof/>
                <w:webHidden/>
              </w:rPr>
            </w:r>
            <w:r w:rsidR="00CC0355">
              <w:rPr>
                <w:noProof/>
                <w:webHidden/>
              </w:rPr>
              <w:fldChar w:fldCharType="separate"/>
            </w:r>
            <w:r w:rsidR="00DD27DE">
              <w:rPr>
                <w:noProof/>
                <w:webHidden/>
              </w:rPr>
              <w:t>3</w:t>
            </w:r>
            <w:r w:rsidR="00CC0355">
              <w:rPr>
                <w:noProof/>
                <w:webHidden/>
              </w:rPr>
              <w:fldChar w:fldCharType="end"/>
            </w:r>
          </w:hyperlink>
        </w:p>
        <w:p w14:paraId="32F1B07D" w14:textId="0DF8CD41"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88" w:history="1">
            <w:r w:rsidR="00CC0355" w:rsidRPr="001965E2">
              <w:rPr>
                <w:rStyle w:val="Hipervnculo"/>
                <w:noProof/>
              </w:rPr>
              <w:t>IV. Trámite del Recurso de Revisión ante este Instituto</w:t>
            </w:r>
            <w:r w:rsidR="00CC0355">
              <w:rPr>
                <w:noProof/>
                <w:webHidden/>
              </w:rPr>
              <w:tab/>
            </w:r>
            <w:r w:rsidR="00CC0355">
              <w:rPr>
                <w:noProof/>
                <w:webHidden/>
              </w:rPr>
              <w:fldChar w:fldCharType="begin"/>
            </w:r>
            <w:r w:rsidR="00CC0355">
              <w:rPr>
                <w:noProof/>
                <w:webHidden/>
              </w:rPr>
              <w:instrText xml:space="preserve"> PAGEREF _Toc184777988 \h </w:instrText>
            </w:r>
            <w:r w:rsidR="00CC0355">
              <w:rPr>
                <w:noProof/>
                <w:webHidden/>
              </w:rPr>
            </w:r>
            <w:r w:rsidR="00CC0355">
              <w:rPr>
                <w:noProof/>
                <w:webHidden/>
              </w:rPr>
              <w:fldChar w:fldCharType="separate"/>
            </w:r>
            <w:r w:rsidR="00DD27DE">
              <w:rPr>
                <w:noProof/>
                <w:webHidden/>
              </w:rPr>
              <w:t>4</w:t>
            </w:r>
            <w:r w:rsidR="00CC0355">
              <w:rPr>
                <w:noProof/>
                <w:webHidden/>
              </w:rPr>
              <w:fldChar w:fldCharType="end"/>
            </w:r>
          </w:hyperlink>
        </w:p>
        <w:p w14:paraId="7D0C8CBD" w14:textId="28425AF5"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89" w:history="1">
            <w:r w:rsidR="00CC0355" w:rsidRPr="001965E2">
              <w:rPr>
                <w:rStyle w:val="Hipervnculo"/>
                <w:noProof/>
              </w:rPr>
              <w:t>a) Turno del Medio de Impugnación</w:t>
            </w:r>
            <w:r w:rsidR="00CC0355">
              <w:rPr>
                <w:noProof/>
                <w:webHidden/>
              </w:rPr>
              <w:tab/>
            </w:r>
            <w:r w:rsidR="00CC0355">
              <w:rPr>
                <w:noProof/>
                <w:webHidden/>
              </w:rPr>
              <w:fldChar w:fldCharType="begin"/>
            </w:r>
            <w:r w:rsidR="00CC0355">
              <w:rPr>
                <w:noProof/>
                <w:webHidden/>
              </w:rPr>
              <w:instrText xml:space="preserve"> PAGEREF _Toc184777989 \h </w:instrText>
            </w:r>
            <w:r w:rsidR="00CC0355">
              <w:rPr>
                <w:noProof/>
                <w:webHidden/>
              </w:rPr>
            </w:r>
            <w:r w:rsidR="00CC0355">
              <w:rPr>
                <w:noProof/>
                <w:webHidden/>
              </w:rPr>
              <w:fldChar w:fldCharType="separate"/>
            </w:r>
            <w:r w:rsidR="00DD27DE">
              <w:rPr>
                <w:noProof/>
                <w:webHidden/>
              </w:rPr>
              <w:t>4</w:t>
            </w:r>
            <w:r w:rsidR="00CC0355">
              <w:rPr>
                <w:noProof/>
                <w:webHidden/>
              </w:rPr>
              <w:fldChar w:fldCharType="end"/>
            </w:r>
          </w:hyperlink>
        </w:p>
        <w:p w14:paraId="65802CFD" w14:textId="702C1693"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0" w:history="1">
            <w:r w:rsidR="00CC0355" w:rsidRPr="001965E2">
              <w:rPr>
                <w:rStyle w:val="Hipervnculo"/>
                <w:noProof/>
              </w:rPr>
              <w:t>b) Admisión del Recurso de Revisión</w:t>
            </w:r>
            <w:r w:rsidR="00CC0355">
              <w:rPr>
                <w:noProof/>
                <w:webHidden/>
              </w:rPr>
              <w:tab/>
            </w:r>
            <w:r w:rsidR="00CC0355">
              <w:rPr>
                <w:noProof/>
                <w:webHidden/>
              </w:rPr>
              <w:fldChar w:fldCharType="begin"/>
            </w:r>
            <w:r w:rsidR="00CC0355">
              <w:rPr>
                <w:noProof/>
                <w:webHidden/>
              </w:rPr>
              <w:instrText xml:space="preserve"> PAGEREF _Toc184777990 \h </w:instrText>
            </w:r>
            <w:r w:rsidR="00CC0355">
              <w:rPr>
                <w:noProof/>
                <w:webHidden/>
              </w:rPr>
            </w:r>
            <w:r w:rsidR="00CC0355">
              <w:rPr>
                <w:noProof/>
                <w:webHidden/>
              </w:rPr>
              <w:fldChar w:fldCharType="separate"/>
            </w:r>
            <w:r w:rsidR="00DD27DE">
              <w:rPr>
                <w:noProof/>
                <w:webHidden/>
              </w:rPr>
              <w:t>4</w:t>
            </w:r>
            <w:r w:rsidR="00CC0355">
              <w:rPr>
                <w:noProof/>
                <w:webHidden/>
              </w:rPr>
              <w:fldChar w:fldCharType="end"/>
            </w:r>
          </w:hyperlink>
        </w:p>
        <w:p w14:paraId="014AC958" w14:textId="0CA513F1"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1" w:history="1">
            <w:r w:rsidR="00CC0355" w:rsidRPr="001965E2">
              <w:rPr>
                <w:rStyle w:val="Hipervnculo"/>
                <w:noProof/>
              </w:rPr>
              <w:t>c) Informe Justificado</w:t>
            </w:r>
            <w:r w:rsidR="00CC0355">
              <w:rPr>
                <w:noProof/>
                <w:webHidden/>
              </w:rPr>
              <w:tab/>
            </w:r>
            <w:r w:rsidR="00CC0355">
              <w:rPr>
                <w:noProof/>
                <w:webHidden/>
              </w:rPr>
              <w:fldChar w:fldCharType="begin"/>
            </w:r>
            <w:r w:rsidR="00CC0355">
              <w:rPr>
                <w:noProof/>
                <w:webHidden/>
              </w:rPr>
              <w:instrText xml:space="preserve"> PAGEREF _Toc184777991 \h </w:instrText>
            </w:r>
            <w:r w:rsidR="00CC0355">
              <w:rPr>
                <w:noProof/>
                <w:webHidden/>
              </w:rPr>
            </w:r>
            <w:r w:rsidR="00CC0355">
              <w:rPr>
                <w:noProof/>
                <w:webHidden/>
              </w:rPr>
              <w:fldChar w:fldCharType="separate"/>
            </w:r>
            <w:r w:rsidR="00DD27DE">
              <w:rPr>
                <w:noProof/>
                <w:webHidden/>
              </w:rPr>
              <w:t>4</w:t>
            </w:r>
            <w:r w:rsidR="00CC0355">
              <w:rPr>
                <w:noProof/>
                <w:webHidden/>
              </w:rPr>
              <w:fldChar w:fldCharType="end"/>
            </w:r>
          </w:hyperlink>
        </w:p>
        <w:p w14:paraId="2D1AE9DF" w14:textId="379EFFD7"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2" w:history="1">
            <w:r w:rsidR="00CC0355" w:rsidRPr="001965E2">
              <w:rPr>
                <w:rStyle w:val="Hipervnculo"/>
                <w:noProof/>
              </w:rPr>
              <w:t>d) Manifestaciones</w:t>
            </w:r>
            <w:r w:rsidR="00CC0355">
              <w:rPr>
                <w:noProof/>
                <w:webHidden/>
              </w:rPr>
              <w:tab/>
            </w:r>
            <w:r w:rsidR="00CC0355">
              <w:rPr>
                <w:noProof/>
                <w:webHidden/>
              </w:rPr>
              <w:fldChar w:fldCharType="begin"/>
            </w:r>
            <w:r w:rsidR="00CC0355">
              <w:rPr>
                <w:noProof/>
                <w:webHidden/>
              </w:rPr>
              <w:instrText xml:space="preserve"> PAGEREF _Toc184777992 \h </w:instrText>
            </w:r>
            <w:r w:rsidR="00CC0355">
              <w:rPr>
                <w:noProof/>
                <w:webHidden/>
              </w:rPr>
            </w:r>
            <w:r w:rsidR="00CC0355">
              <w:rPr>
                <w:noProof/>
                <w:webHidden/>
              </w:rPr>
              <w:fldChar w:fldCharType="separate"/>
            </w:r>
            <w:r w:rsidR="00DD27DE">
              <w:rPr>
                <w:noProof/>
                <w:webHidden/>
              </w:rPr>
              <w:t>5</w:t>
            </w:r>
            <w:r w:rsidR="00CC0355">
              <w:rPr>
                <w:noProof/>
                <w:webHidden/>
              </w:rPr>
              <w:fldChar w:fldCharType="end"/>
            </w:r>
          </w:hyperlink>
        </w:p>
        <w:p w14:paraId="7C8ACCA0" w14:textId="6CF7202C"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3" w:history="1">
            <w:r w:rsidR="00CC0355" w:rsidRPr="001965E2">
              <w:rPr>
                <w:rStyle w:val="Hipervnculo"/>
                <w:noProof/>
              </w:rPr>
              <w:t>e) Cierre de instrucción</w:t>
            </w:r>
            <w:r w:rsidR="00CC0355">
              <w:rPr>
                <w:noProof/>
                <w:webHidden/>
              </w:rPr>
              <w:tab/>
            </w:r>
            <w:r w:rsidR="00CC0355">
              <w:rPr>
                <w:noProof/>
                <w:webHidden/>
              </w:rPr>
              <w:fldChar w:fldCharType="begin"/>
            </w:r>
            <w:r w:rsidR="00CC0355">
              <w:rPr>
                <w:noProof/>
                <w:webHidden/>
              </w:rPr>
              <w:instrText xml:space="preserve"> PAGEREF _Toc184777993 \h </w:instrText>
            </w:r>
            <w:r w:rsidR="00CC0355">
              <w:rPr>
                <w:noProof/>
                <w:webHidden/>
              </w:rPr>
            </w:r>
            <w:r w:rsidR="00CC0355">
              <w:rPr>
                <w:noProof/>
                <w:webHidden/>
              </w:rPr>
              <w:fldChar w:fldCharType="separate"/>
            </w:r>
            <w:r w:rsidR="00DD27DE">
              <w:rPr>
                <w:noProof/>
                <w:webHidden/>
              </w:rPr>
              <w:t>5</w:t>
            </w:r>
            <w:r w:rsidR="00CC0355">
              <w:rPr>
                <w:noProof/>
                <w:webHidden/>
              </w:rPr>
              <w:fldChar w:fldCharType="end"/>
            </w:r>
          </w:hyperlink>
        </w:p>
        <w:p w14:paraId="73D91FCE" w14:textId="5284D9DE" w:rsidR="00CC0355" w:rsidRDefault="00B65954">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4" w:history="1">
            <w:r w:rsidR="00CC0355" w:rsidRPr="001965E2">
              <w:rPr>
                <w:rStyle w:val="Hipervnculo"/>
                <w:noProof/>
              </w:rPr>
              <w:t>CONSIDERANDOS</w:t>
            </w:r>
            <w:r w:rsidR="00CC0355">
              <w:rPr>
                <w:noProof/>
                <w:webHidden/>
              </w:rPr>
              <w:tab/>
            </w:r>
            <w:r w:rsidR="00CC0355">
              <w:rPr>
                <w:noProof/>
                <w:webHidden/>
              </w:rPr>
              <w:fldChar w:fldCharType="begin"/>
            </w:r>
            <w:r w:rsidR="00CC0355">
              <w:rPr>
                <w:noProof/>
                <w:webHidden/>
              </w:rPr>
              <w:instrText xml:space="preserve"> PAGEREF _Toc184777994 \h </w:instrText>
            </w:r>
            <w:r w:rsidR="00CC0355">
              <w:rPr>
                <w:noProof/>
                <w:webHidden/>
              </w:rPr>
            </w:r>
            <w:r w:rsidR="00CC0355">
              <w:rPr>
                <w:noProof/>
                <w:webHidden/>
              </w:rPr>
              <w:fldChar w:fldCharType="separate"/>
            </w:r>
            <w:r w:rsidR="00DD27DE">
              <w:rPr>
                <w:noProof/>
                <w:webHidden/>
              </w:rPr>
              <w:t>6</w:t>
            </w:r>
            <w:r w:rsidR="00CC0355">
              <w:rPr>
                <w:noProof/>
                <w:webHidden/>
              </w:rPr>
              <w:fldChar w:fldCharType="end"/>
            </w:r>
          </w:hyperlink>
        </w:p>
        <w:p w14:paraId="6BA605DD" w14:textId="4C7C4B2C"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5" w:history="1">
            <w:r w:rsidR="00CC0355" w:rsidRPr="001965E2">
              <w:rPr>
                <w:rStyle w:val="Hipervnculo"/>
                <w:rFonts w:eastAsia="Calibri"/>
                <w:noProof/>
                <w:lang w:val="es-ES"/>
              </w:rPr>
              <w:t xml:space="preserve">PRIMERO. </w:t>
            </w:r>
            <w:r w:rsidR="00CC0355" w:rsidRPr="001965E2">
              <w:rPr>
                <w:rStyle w:val="Hipervnculo"/>
                <w:noProof/>
                <w:lang w:val="es-ES"/>
              </w:rPr>
              <w:t>Competencia</w:t>
            </w:r>
            <w:r w:rsidR="00CC0355">
              <w:rPr>
                <w:noProof/>
                <w:webHidden/>
              </w:rPr>
              <w:tab/>
            </w:r>
            <w:r w:rsidR="00CC0355">
              <w:rPr>
                <w:noProof/>
                <w:webHidden/>
              </w:rPr>
              <w:fldChar w:fldCharType="begin"/>
            </w:r>
            <w:r w:rsidR="00CC0355">
              <w:rPr>
                <w:noProof/>
                <w:webHidden/>
              </w:rPr>
              <w:instrText xml:space="preserve"> PAGEREF _Toc184777995 \h </w:instrText>
            </w:r>
            <w:r w:rsidR="00CC0355">
              <w:rPr>
                <w:noProof/>
                <w:webHidden/>
              </w:rPr>
            </w:r>
            <w:r w:rsidR="00CC0355">
              <w:rPr>
                <w:noProof/>
                <w:webHidden/>
              </w:rPr>
              <w:fldChar w:fldCharType="separate"/>
            </w:r>
            <w:r w:rsidR="00DD27DE">
              <w:rPr>
                <w:noProof/>
                <w:webHidden/>
              </w:rPr>
              <w:t>6</w:t>
            </w:r>
            <w:r w:rsidR="00CC0355">
              <w:rPr>
                <w:noProof/>
                <w:webHidden/>
              </w:rPr>
              <w:fldChar w:fldCharType="end"/>
            </w:r>
          </w:hyperlink>
        </w:p>
        <w:p w14:paraId="5B3BDC01" w14:textId="58833D48"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6" w:history="1">
            <w:r w:rsidR="00CC0355" w:rsidRPr="001965E2">
              <w:rPr>
                <w:rStyle w:val="Hipervnculo"/>
                <w:rFonts w:eastAsia="Calibri"/>
                <w:noProof/>
                <w:lang w:val="es-ES"/>
              </w:rPr>
              <w:t xml:space="preserve">SEGUNDO. </w:t>
            </w:r>
            <w:r w:rsidR="00CC0355" w:rsidRPr="001965E2">
              <w:rPr>
                <w:rStyle w:val="Hipervnculo"/>
                <w:noProof/>
                <w:lang w:val="es-ES"/>
              </w:rPr>
              <w:t>Causales de improcedencia y sobreseimiento</w:t>
            </w:r>
            <w:r w:rsidR="00CC0355">
              <w:rPr>
                <w:noProof/>
                <w:webHidden/>
              </w:rPr>
              <w:tab/>
            </w:r>
            <w:r w:rsidR="00CC0355">
              <w:rPr>
                <w:noProof/>
                <w:webHidden/>
              </w:rPr>
              <w:fldChar w:fldCharType="begin"/>
            </w:r>
            <w:r w:rsidR="00CC0355">
              <w:rPr>
                <w:noProof/>
                <w:webHidden/>
              </w:rPr>
              <w:instrText xml:space="preserve"> PAGEREF _Toc184777996 \h </w:instrText>
            </w:r>
            <w:r w:rsidR="00CC0355">
              <w:rPr>
                <w:noProof/>
                <w:webHidden/>
              </w:rPr>
            </w:r>
            <w:r w:rsidR="00CC0355">
              <w:rPr>
                <w:noProof/>
                <w:webHidden/>
              </w:rPr>
              <w:fldChar w:fldCharType="separate"/>
            </w:r>
            <w:r w:rsidR="00DD27DE">
              <w:rPr>
                <w:noProof/>
                <w:webHidden/>
              </w:rPr>
              <w:t>7</w:t>
            </w:r>
            <w:r w:rsidR="00CC0355">
              <w:rPr>
                <w:noProof/>
                <w:webHidden/>
              </w:rPr>
              <w:fldChar w:fldCharType="end"/>
            </w:r>
          </w:hyperlink>
        </w:p>
        <w:p w14:paraId="227401C9" w14:textId="4D2641B8"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7" w:history="1">
            <w:r w:rsidR="00CC0355" w:rsidRPr="001965E2">
              <w:rPr>
                <w:rStyle w:val="Hipervnculo"/>
                <w:noProof/>
              </w:rPr>
              <w:t>TERCERO. Causales de sobreseimiento</w:t>
            </w:r>
            <w:r w:rsidR="00CC0355">
              <w:rPr>
                <w:noProof/>
                <w:webHidden/>
              </w:rPr>
              <w:tab/>
            </w:r>
            <w:r w:rsidR="00CC0355">
              <w:rPr>
                <w:noProof/>
                <w:webHidden/>
              </w:rPr>
              <w:fldChar w:fldCharType="begin"/>
            </w:r>
            <w:r w:rsidR="00CC0355">
              <w:rPr>
                <w:noProof/>
                <w:webHidden/>
              </w:rPr>
              <w:instrText xml:space="preserve"> PAGEREF _Toc184777997 \h </w:instrText>
            </w:r>
            <w:r w:rsidR="00CC0355">
              <w:rPr>
                <w:noProof/>
                <w:webHidden/>
              </w:rPr>
            </w:r>
            <w:r w:rsidR="00CC0355">
              <w:rPr>
                <w:noProof/>
                <w:webHidden/>
              </w:rPr>
              <w:fldChar w:fldCharType="separate"/>
            </w:r>
            <w:r w:rsidR="00DD27DE">
              <w:rPr>
                <w:noProof/>
                <w:webHidden/>
              </w:rPr>
              <w:t>7</w:t>
            </w:r>
            <w:r w:rsidR="00CC0355">
              <w:rPr>
                <w:noProof/>
                <w:webHidden/>
              </w:rPr>
              <w:fldChar w:fldCharType="end"/>
            </w:r>
          </w:hyperlink>
        </w:p>
        <w:p w14:paraId="57753351" w14:textId="7F7CE95B" w:rsidR="00CC0355" w:rsidRDefault="00B65954">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8" w:history="1">
            <w:r w:rsidR="00CC0355" w:rsidRPr="001965E2">
              <w:rPr>
                <w:rStyle w:val="Hipervnculo"/>
                <w:noProof/>
              </w:rPr>
              <w:t>CUARTO.  Decisión</w:t>
            </w:r>
            <w:r w:rsidR="00CC0355">
              <w:rPr>
                <w:noProof/>
                <w:webHidden/>
              </w:rPr>
              <w:tab/>
            </w:r>
            <w:r w:rsidR="00CC0355">
              <w:rPr>
                <w:noProof/>
                <w:webHidden/>
              </w:rPr>
              <w:fldChar w:fldCharType="begin"/>
            </w:r>
            <w:r w:rsidR="00CC0355">
              <w:rPr>
                <w:noProof/>
                <w:webHidden/>
              </w:rPr>
              <w:instrText xml:space="preserve"> PAGEREF _Toc184777998 \h </w:instrText>
            </w:r>
            <w:r w:rsidR="00CC0355">
              <w:rPr>
                <w:noProof/>
                <w:webHidden/>
              </w:rPr>
            </w:r>
            <w:r w:rsidR="00CC0355">
              <w:rPr>
                <w:noProof/>
                <w:webHidden/>
              </w:rPr>
              <w:fldChar w:fldCharType="separate"/>
            </w:r>
            <w:r w:rsidR="00DD27DE">
              <w:rPr>
                <w:noProof/>
                <w:webHidden/>
              </w:rPr>
              <w:t>11</w:t>
            </w:r>
            <w:r w:rsidR="00CC0355">
              <w:rPr>
                <w:noProof/>
                <w:webHidden/>
              </w:rPr>
              <w:fldChar w:fldCharType="end"/>
            </w:r>
          </w:hyperlink>
        </w:p>
        <w:p w14:paraId="463E8636" w14:textId="4F3586C7" w:rsidR="00CC0355" w:rsidRDefault="00B65954">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777999" w:history="1">
            <w:r w:rsidR="00CC0355" w:rsidRPr="001965E2">
              <w:rPr>
                <w:rStyle w:val="Hipervnculo"/>
                <w:noProof/>
              </w:rPr>
              <w:t>RESUELVE</w:t>
            </w:r>
            <w:r w:rsidR="00CC0355">
              <w:rPr>
                <w:noProof/>
                <w:webHidden/>
              </w:rPr>
              <w:tab/>
            </w:r>
            <w:r w:rsidR="00CC0355">
              <w:rPr>
                <w:noProof/>
                <w:webHidden/>
              </w:rPr>
              <w:fldChar w:fldCharType="begin"/>
            </w:r>
            <w:r w:rsidR="00CC0355">
              <w:rPr>
                <w:noProof/>
                <w:webHidden/>
              </w:rPr>
              <w:instrText xml:space="preserve"> PAGEREF _Toc184777999 \h </w:instrText>
            </w:r>
            <w:r w:rsidR="00CC0355">
              <w:rPr>
                <w:noProof/>
                <w:webHidden/>
              </w:rPr>
            </w:r>
            <w:r w:rsidR="00CC0355">
              <w:rPr>
                <w:noProof/>
                <w:webHidden/>
              </w:rPr>
              <w:fldChar w:fldCharType="separate"/>
            </w:r>
            <w:r w:rsidR="00DD27DE">
              <w:rPr>
                <w:noProof/>
                <w:webHidden/>
              </w:rPr>
              <w:t>12</w:t>
            </w:r>
            <w:r w:rsidR="00CC0355">
              <w:rPr>
                <w:noProof/>
                <w:webHidden/>
              </w:rPr>
              <w:fldChar w:fldCharType="end"/>
            </w:r>
          </w:hyperlink>
        </w:p>
        <w:p w14:paraId="5E147722" w14:textId="67AFB303" w:rsidR="00A67F67" w:rsidRDefault="00A67F67">
          <w:r>
            <w:rPr>
              <w:b/>
              <w:bCs/>
              <w:lang w:val="es-ES"/>
            </w:rPr>
            <w:fldChar w:fldCharType="end"/>
          </w:r>
        </w:p>
      </w:sdtContent>
    </w:sdt>
    <w:p w14:paraId="4E2B2B1E" w14:textId="77777777" w:rsidR="009302CD" w:rsidRDefault="009302CD">
      <w:pPr>
        <w:tabs>
          <w:tab w:val="left" w:pos="8931"/>
        </w:tabs>
        <w:spacing w:after="0" w:line="360" w:lineRule="auto"/>
      </w:pPr>
    </w:p>
    <w:p w14:paraId="2C8A5DC3" w14:textId="77777777" w:rsidR="00CC0355" w:rsidRDefault="00CC0355">
      <w:pPr>
        <w:tabs>
          <w:tab w:val="left" w:pos="8931"/>
        </w:tabs>
        <w:spacing w:after="0" w:line="360" w:lineRule="auto"/>
      </w:pPr>
    </w:p>
    <w:p w14:paraId="196B09BD" w14:textId="77777777" w:rsidR="00CC0355" w:rsidRDefault="00CC0355">
      <w:pPr>
        <w:tabs>
          <w:tab w:val="left" w:pos="8931"/>
        </w:tabs>
        <w:spacing w:after="0" w:line="360" w:lineRule="auto"/>
      </w:pPr>
    </w:p>
    <w:p w14:paraId="45B3DF89" w14:textId="77777777" w:rsidR="00CC0355" w:rsidRDefault="00CC0355">
      <w:pPr>
        <w:tabs>
          <w:tab w:val="left" w:pos="8931"/>
        </w:tabs>
        <w:spacing w:after="0" w:line="360" w:lineRule="auto"/>
      </w:pPr>
    </w:p>
    <w:p w14:paraId="4E2B2B1F" w14:textId="77777777" w:rsidR="009302CD" w:rsidRDefault="009302CD">
      <w:pPr>
        <w:tabs>
          <w:tab w:val="left" w:pos="8931"/>
        </w:tabs>
        <w:spacing w:after="0" w:line="360" w:lineRule="auto"/>
      </w:pPr>
    </w:p>
    <w:p w14:paraId="4E2B2B20" w14:textId="77777777" w:rsidR="009302CD" w:rsidRDefault="009302CD">
      <w:pPr>
        <w:tabs>
          <w:tab w:val="left" w:pos="8931"/>
        </w:tabs>
        <w:spacing w:after="0" w:line="360" w:lineRule="auto"/>
      </w:pPr>
    </w:p>
    <w:p w14:paraId="4E2B2B27" w14:textId="25C6A282" w:rsidR="009302CD" w:rsidRDefault="006E571C">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w:t>
      </w:r>
      <w:r w:rsidR="00CE6CD5">
        <w:t>dieciocho</w:t>
      </w:r>
      <w:r>
        <w:t xml:space="preserve"> de </w:t>
      </w:r>
      <w:r w:rsidR="0029103D">
        <w:t>diciembre</w:t>
      </w:r>
      <w:r>
        <w:t xml:space="preserve"> de dos mil veinticuatro. </w:t>
      </w:r>
    </w:p>
    <w:p w14:paraId="4E2B2B28" w14:textId="77777777" w:rsidR="009302CD" w:rsidRDefault="009302CD">
      <w:pPr>
        <w:spacing w:after="0" w:line="360" w:lineRule="auto"/>
        <w:rPr>
          <w:b/>
        </w:rPr>
      </w:pPr>
    </w:p>
    <w:p w14:paraId="4E2B2B29" w14:textId="1C142CF4" w:rsidR="009302CD" w:rsidRDefault="006E571C">
      <w:pPr>
        <w:spacing w:after="0" w:line="360" w:lineRule="auto"/>
        <w:rPr>
          <w:color w:val="0D0D0D"/>
        </w:rPr>
      </w:pPr>
      <w:r>
        <w:rPr>
          <w:b/>
        </w:rPr>
        <w:t xml:space="preserve">VISTO </w:t>
      </w:r>
      <w:r>
        <w:t>el expediente electrónico conformado con motivo de</w:t>
      </w:r>
      <w:r w:rsidR="00C57AC7">
        <w:t xml:space="preserve"> </w:t>
      </w:r>
      <w:r>
        <w:t>l</w:t>
      </w:r>
      <w:r w:rsidR="00C57AC7">
        <w:t>os</w:t>
      </w:r>
      <w:r>
        <w:t xml:space="preserve"> Recurso</w:t>
      </w:r>
      <w:r w:rsidR="00C57AC7">
        <w:t>s</w:t>
      </w:r>
      <w:r>
        <w:t xml:space="preserve"> de Revisión </w:t>
      </w:r>
      <w:r w:rsidR="00CE6CD5" w:rsidRPr="00CE6CD5">
        <w:rPr>
          <w:b/>
        </w:rPr>
        <w:t>07341/INFOEM/IP/RR/2024</w:t>
      </w:r>
      <w:r>
        <w:t>, interpuesto por la persona Recurrente o Particular,</w:t>
      </w:r>
      <w:r>
        <w:rPr>
          <w:color w:val="0D0D0D"/>
        </w:rPr>
        <w:t xml:space="preserve"> en contra de la respuesta del Sujeto Obligado, </w:t>
      </w:r>
      <w:r w:rsidR="00CE6CD5" w:rsidRPr="00CE6CD5">
        <w:rPr>
          <w:b/>
          <w:color w:val="000000"/>
        </w:rPr>
        <w:t>Sistema Municipal para el Desarrollo Integral de la Familia de Nezahualcóyotl</w:t>
      </w:r>
      <w:r>
        <w:rPr>
          <w:color w:val="0D0D0D"/>
        </w:rPr>
        <w:t>, a la solicitud de acceso a la información pública</w:t>
      </w:r>
      <w:r>
        <w:rPr>
          <w:b/>
          <w:color w:val="0D0D0D"/>
        </w:rPr>
        <w:t> </w:t>
      </w:r>
      <w:r w:rsidR="00E725C6" w:rsidRPr="00E725C6">
        <w:rPr>
          <w:b/>
          <w:color w:val="0D0D0D"/>
        </w:rPr>
        <w:t>00050/DIFNEZA/IP/2024</w:t>
      </w:r>
      <w:r>
        <w:rPr>
          <w:color w:val="000000"/>
        </w:rPr>
        <w:t xml:space="preserve">, </w:t>
      </w:r>
      <w:r>
        <w:rPr>
          <w:color w:val="0D0D0D"/>
        </w:rPr>
        <w:t>se emite la presente Resolución, con base en los Antecedentes y Considerandos que se exponen a continuación:</w:t>
      </w:r>
    </w:p>
    <w:p w14:paraId="4E2B2B2A" w14:textId="77777777" w:rsidR="009302CD" w:rsidRDefault="009302CD">
      <w:pPr>
        <w:spacing w:after="0" w:line="360" w:lineRule="auto"/>
        <w:jc w:val="center"/>
        <w:rPr>
          <w:b/>
        </w:rPr>
      </w:pPr>
    </w:p>
    <w:p w14:paraId="4E2B2B2B" w14:textId="77777777" w:rsidR="009302CD" w:rsidRDefault="006E571C" w:rsidP="0069033A">
      <w:pPr>
        <w:pStyle w:val="Ttulo1"/>
        <w:rPr>
          <w:b w:val="0"/>
        </w:rPr>
      </w:pPr>
      <w:bookmarkStart w:id="0" w:name="_Toc184777984"/>
      <w:r>
        <w:t>A N T E C E D E N T E S</w:t>
      </w:r>
      <w:bookmarkEnd w:id="0"/>
    </w:p>
    <w:p w14:paraId="4E2B2B2C" w14:textId="77777777" w:rsidR="009302CD" w:rsidRDefault="009302CD">
      <w:pPr>
        <w:spacing w:after="0" w:line="360" w:lineRule="auto"/>
        <w:jc w:val="center"/>
        <w:rPr>
          <w:b/>
        </w:rPr>
      </w:pPr>
    </w:p>
    <w:p w14:paraId="4E2B2B2D" w14:textId="0A8330A4" w:rsidR="009302CD" w:rsidRDefault="006E571C">
      <w:pPr>
        <w:pStyle w:val="Ttulo2"/>
        <w:rPr>
          <w:b w:val="0"/>
        </w:rPr>
      </w:pPr>
      <w:bookmarkStart w:id="1" w:name="_Toc184777985"/>
      <w:r>
        <w:t>I. Presentación de la solicitud de información</w:t>
      </w:r>
      <w:bookmarkEnd w:id="1"/>
    </w:p>
    <w:p w14:paraId="4E2B2B2E" w14:textId="77777777" w:rsidR="009302CD" w:rsidRDefault="009302CD">
      <w:pPr>
        <w:tabs>
          <w:tab w:val="left" w:pos="567"/>
        </w:tabs>
        <w:spacing w:after="0" w:line="360" w:lineRule="auto"/>
      </w:pPr>
    </w:p>
    <w:p w14:paraId="4E2B2B2F" w14:textId="5B6E3518" w:rsidR="009302CD" w:rsidRDefault="006E571C">
      <w:pPr>
        <w:spacing w:after="0" w:line="360" w:lineRule="auto"/>
      </w:pPr>
      <w:r>
        <w:t xml:space="preserve">El </w:t>
      </w:r>
      <w:r w:rsidR="00E725C6">
        <w:t>veinticinco</w:t>
      </w:r>
      <w:r>
        <w:t xml:space="preserve"> de </w:t>
      </w:r>
      <w:r w:rsidR="00E725C6">
        <w:t>octubre</w:t>
      </w:r>
      <w:r>
        <w:t xml:space="preserve"> de dos mil veinticuatro, el Particular presentó </w:t>
      </w:r>
      <w:r w:rsidR="00D80AB7">
        <w:t xml:space="preserve">una </w:t>
      </w:r>
      <w:r>
        <w:t xml:space="preserve">solicitud de acceso a la información pública con número de folio </w:t>
      </w:r>
      <w:r w:rsidR="00B65098" w:rsidRPr="00B65098">
        <w:rPr>
          <w:b/>
          <w:color w:val="0D0D0D"/>
        </w:rPr>
        <w:t>00050/DIFNEZA/IP/2024</w:t>
      </w:r>
      <w:r>
        <w:t xml:space="preserve">, a través del Sistema de Acceso a la Información Mexiquense, en lo sucesivo, el SAIMEX, ante </w:t>
      </w:r>
      <w:r w:rsidR="00C539AD">
        <w:t xml:space="preserve">el </w:t>
      </w:r>
      <w:r w:rsidR="00B65098" w:rsidRPr="00B65098">
        <w:rPr>
          <w:b/>
          <w:bCs/>
        </w:rPr>
        <w:t xml:space="preserve">Sistema Municipal </w:t>
      </w:r>
      <w:r w:rsidR="00B65098">
        <w:rPr>
          <w:b/>
          <w:bCs/>
        </w:rPr>
        <w:t>p</w:t>
      </w:r>
      <w:r w:rsidR="00B65098" w:rsidRPr="00B65098">
        <w:rPr>
          <w:b/>
          <w:bCs/>
        </w:rPr>
        <w:t>ara el Desarrollo Integral de la Familia de Nezahualcóyotl</w:t>
      </w:r>
      <w:r>
        <w:t xml:space="preserve">, en los siguientes términos: </w:t>
      </w:r>
    </w:p>
    <w:p w14:paraId="4E2B2B30" w14:textId="77777777" w:rsidR="009302CD" w:rsidRDefault="009302CD">
      <w:pPr>
        <w:spacing w:after="0" w:line="360" w:lineRule="auto"/>
      </w:pPr>
    </w:p>
    <w:p w14:paraId="4E2B2B31" w14:textId="742A015D" w:rsidR="009302CD" w:rsidRDefault="006E571C">
      <w:pPr>
        <w:tabs>
          <w:tab w:val="left" w:pos="4667"/>
        </w:tabs>
        <w:spacing w:after="0" w:line="360" w:lineRule="auto"/>
        <w:ind w:left="567" w:right="567"/>
        <w:rPr>
          <w:b/>
          <w:i/>
          <w:sz w:val="20"/>
          <w:szCs w:val="20"/>
        </w:rPr>
      </w:pPr>
      <w:r>
        <w:rPr>
          <w:b/>
          <w:i/>
          <w:sz w:val="20"/>
          <w:szCs w:val="20"/>
        </w:rPr>
        <w:t>DESCRIPCIÓN CLARA Y PRECISA DE LA INFORMACIÓN SOLICITADA.</w:t>
      </w:r>
    </w:p>
    <w:p w14:paraId="639C52B6" w14:textId="23BCC8A4" w:rsidR="009D0CD7" w:rsidRDefault="008B6B42">
      <w:pPr>
        <w:tabs>
          <w:tab w:val="left" w:pos="4667"/>
        </w:tabs>
        <w:spacing w:after="0" w:line="360" w:lineRule="auto"/>
        <w:ind w:left="567" w:right="567"/>
        <w:rPr>
          <w:sz w:val="20"/>
          <w:szCs w:val="20"/>
        </w:rPr>
      </w:pPr>
      <w:r w:rsidRPr="008B6B42">
        <w:rPr>
          <w:i/>
          <w:color w:val="000000"/>
          <w:sz w:val="20"/>
          <w:szCs w:val="20"/>
        </w:rPr>
        <w:t xml:space="preserve">Solicito saber cuánto recurso tiene para terminar el año el </w:t>
      </w:r>
      <w:proofErr w:type="spellStart"/>
      <w:r w:rsidRPr="008B6B42">
        <w:rPr>
          <w:i/>
          <w:color w:val="000000"/>
          <w:sz w:val="20"/>
          <w:szCs w:val="20"/>
        </w:rPr>
        <w:t>dif</w:t>
      </w:r>
      <w:proofErr w:type="spellEnd"/>
      <w:r w:rsidRPr="008B6B42">
        <w:rPr>
          <w:i/>
          <w:color w:val="000000"/>
          <w:sz w:val="20"/>
          <w:szCs w:val="20"/>
        </w:rPr>
        <w:t xml:space="preserve"> </w:t>
      </w:r>
      <w:proofErr w:type="spellStart"/>
      <w:r w:rsidRPr="008B6B42">
        <w:rPr>
          <w:i/>
          <w:color w:val="000000"/>
          <w:sz w:val="20"/>
          <w:szCs w:val="20"/>
        </w:rPr>
        <w:t>Neza</w:t>
      </w:r>
      <w:proofErr w:type="spellEnd"/>
      <w:r w:rsidRPr="008B6B42">
        <w:rPr>
          <w:i/>
          <w:color w:val="000000"/>
          <w:sz w:val="20"/>
          <w:szCs w:val="20"/>
        </w:rPr>
        <w:t xml:space="preserve"> y en que lo ejercerá la tesorería</w:t>
      </w:r>
      <w:r w:rsidR="00A40F7E" w:rsidRPr="00A40F7E">
        <w:rPr>
          <w:i/>
          <w:color w:val="000000"/>
          <w:sz w:val="20"/>
          <w:szCs w:val="20"/>
        </w:rPr>
        <w:t>.</w:t>
      </w:r>
    </w:p>
    <w:p w14:paraId="670C4C6D" w14:textId="77777777" w:rsidR="00A40F7E" w:rsidRDefault="00A40F7E">
      <w:pPr>
        <w:tabs>
          <w:tab w:val="left" w:pos="4667"/>
        </w:tabs>
        <w:spacing w:after="0" w:line="360" w:lineRule="auto"/>
        <w:ind w:left="567" w:right="567"/>
        <w:rPr>
          <w:b/>
          <w:i/>
          <w:sz w:val="20"/>
          <w:szCs w:val="20"/>
        </w:rPr>
      </w:pPr>
    </w:p>
    <w:p w14:paraId="4E2B2B34" w14:textId="74B948C3" w:rsidR="009302CD" w:rsidRDefault="006E571C">
      <w:pPr>
        <w:tabs>
          <w:tab w:val="left" w:pos="4667"/>
        </w:tabs>
        <w:spacing w:after="0" w:line="360" w:lineRule="auto"/>
        <w:ind w:left="567" w:right="567"/>
        <w:rPr>
          <w:i/>
          <w:color w:val="000000"/>
          <w:sz w:val="20"/>
          <w:szCs w:val="20"/>
        </w:rPr>
      </w:pPr>
      <w:r>
        <w:rPr>
          <w:b/>
          <w:i/>
          <w:sz w:val="20"/>
          <w:szCs w:val="20"/>
        </w:rPr>
        <w:t xml:space="preserve">MODALIDAD DE ENTREGA </w:t>
      </w:r>
      <w:r w:rsidR="00A81745">
        <w:rPr>
          <w:b/>
          <w:i/>
          <w:sz w:val="20"/>
          <w:szCs w:val="20"/>
        </w:rPr>
        <w:t xml:space="preserve"> </w:t>
      </w:r>
      <w:r>
        <w:rPr>
          <w:i/>
          <w:color w:val="000000"/>
          <w:sz w:val="20"/>
          <w:szCs w:val="20"/>
        </w:rPr>
        <w:t>A través del SAIMEX”</w:t>
      </w:r>
    </w:p>
    <w:p w14:paraId="4E2B2B36" w14:textId="77777777" w:rsidR="009302CD" w:rsidRDefault="006E571C">
      <w:pPr>
        <w:pStyle w:val="Ttulo2"/>
      </w:pPr>
      <w:bookmarkStart w:id="2" w:name="_Toc184777986"/>
      <w:r>
        <w:t>II. Respuesta del Sujeto Obligado</w:t>
      </w:r>
      <w:bookmarkEnd w:id="2"/>
    </w:p>
    <w:p w14:paraId="4E2B2B37" w14:textId="77777777" w:rsidR="009302CD" w:rsidRDefault="009302CD">
      <w:pPr>
        <w:spacing w:after="0" w:line="360" w:lineRule="auto"/>
      </w:pPr>
    </w:p>
    <w:p w14:paraId="4E2B2B38" w14:textId="5D35FA50" w:rsidR="009302CD" w:rsidRDefault="00F82E40">
      <w:pPr>
        <w:spacing w:after="0" w:line="360" w:lineRule="auto"/>
      </w:pPr>
      <w:r>
        <w:lastRenderedPageBreak/>
        <w:t xml:space="preserve">El </w:t>
      </w:r>
      <w:r w:rsidR="0094644F">
        <w:t>trece</w:t>
      </w:r>
      <w:r w:rsidR="00952E0A">
        <w:t xml:space="preserve"> </w:t>
      </w:r>
      <w:r w:rsidR="006E571C">
        <w:t xml:space="preserve">de </w:t>
      </w:r>
      <w:r w:rsidR="0094644F">
        <w:t>noviembre</w:t>
      </w:r>
      <w:r w:rsidR="006E571C">
        <w:t xml:space="preserve"> de dos mil veinticuatro, el</w:t>
      </w:r>
      <w:r w:rsidR="006E571C">
        <w:rPr>
          <w:b/>
        </w:rPr>
        <w:t xml:space="preserve"> </w:t>
      </w:r>
      <w:r w:rsidR="006E571C">
        <w:t xml:space="preserve">Sujeto Obligado, a través del SAIMEX </w:t>
      </w:r>
      <w:r w:rsidR="00252B51">
        <w:t xml:space="preserve">respondió a </w:t>
      </w:r>
      <w:r w:rsidR="00E24AEC">
        <w:t>la solicitud en los siguientes términos</w:t>
      </w:r>
      <w:r w:rsidR="00252B51">
        <w:t>:</w:t>
      </w:r>
    </w:p>
    <w:p w14:paraId="46990A17" w14:textId="77777777" w:rsidR="00F82E40" w:rsidRDefault="00F82E40">
      <w:pPr>
        <w:spacing w:after="0" w:line="360" w:lineRule="auto"/>
      </w:pPr>
    </w:p>
    <w:p w14:paraId="7554D6CB" w14:textId="28B03DCA" w:rsidR="00F82E40" w:rsidRPr="002932D9" w:rsidRDefault="002932D9" w:rsidP="002932D9">
      <w:pPr>
        <w:spacing w:after="0" w:line="360" w:lineRule="auto"/>
        <w:ind w:left="567" w:right="567"/>
        <w:rPr>
          <w:i/>
          <w:iCs/>
          <w:sz w:val="20"/>
          <w:szCs w:val="20"/>
        </w:rPr>
      </w:pPr>
      <w:r w:rsidRPr="002932D9">
        <w:rPr>
          <w:i/>
          <w:iCs/>
          <w:sz w:val="20"/>
          <w:szCs w:val="20"/>
        </w:rPr>
        <w:t>SE ENVIA RESPUESTA DE LA SOLICITUD A TRAVEZ DE SAIMEX MEDIANTE ARCHIVOS ADJUNTOS BAJO SU MAS ESTRICTA RESPONSABILIDAD.</w:t>
      </w:r>
    </w:p>
    <w:p w14:paraId="53C44B71" w14:textId="77777777" w:rsidR="00F82E40" w:rsidRDefault="00F82E40">
      <w:pPr>
        <w:spacing w:after="0" w:line="360" w:lineRule="auto"/>
      </w:pPr>
    </w:p>
    <w:p w14:paraId="72F0824F" w14:textId="264945CD" w:rsidR="002932D9" w:rsidRDefault="002932D9">
      <w:pPr>
        <w:spacing w:after="0" w:line="360" w:lineRule="auto"/>
      </w:pPr>
      <w:r>
        <w:t xml:space="preserve">A esto, adjuntó dos documentos, que </w:t>
      </w:r>
      <w:r w:rsidR="00827348">
        <w:t>contienen la siguiente información:</w:t>
      </w:r>
    </w:p>
    <w:p w14:paraId="440655C6" w14:textId="77777777" w:rsidR="002932D9" w:rsidRDefault="002932D9">
      <w:pPr>
        <w:spacing w:after="0" w:line="360" w:lineRule="auto"/>
      </w:pPr>
    </w:p>
    <w:p w14:paraId="4A7F8885" w14:textId="4F3538AF" w:rsidR="00827348" w:rsidRPr="00827348" w:rsidRDefault="00827348" w:rsidP="00827348">
      <w:pPr>
        <w:spacing w:after="0" w:line="360" w:lineRule="auto"/>
        <w:rPr>
          <w:b/>
          <w:bCs/>
        </w:rPr>
      </w:pPr>
      <w:r w:rsidRPr="00827348">
        <w:rPr>
          <w:b/>
          <w:bCs/>
        </w:rPr>
        <w:t xml:space="preserve">Respuesta solicitud #50 </w:t>
      </w:r>
      <w:proofErr w:type="spellStart"/>
      <w:r w:rsidRPr="00827348">
        <w:rPr>
          <w:b/>
          <w:bCs/>
        </w:rPr>
        <w:t>Saimex</w:t>
      </w:r>
      <w:proofErr w:type="spellEnd"/>
      <w:r w:rsidRPr="00827348">
        <w:rPr>
          <w:b/>
          <w:bCs/>
        </w:rPr>
        <w:t xml:space="preserve"> </w:t>
      </w:r>
      <w:proofErr w:type="gramStart"/>
      <w:r w:rsidRPr="00827348">
        <w:rPr>
          <w:b/>
          <w:bCs/>
        </w:rPr>
        <w:t>..</w:t>
      </w:r>
      <w:proofErr w:type="spellStart"/>
      <w:r w:rsidRPr="00827348">
        <w:rPr>
          <w:b/>
          <w:bCs/>
        </w:rPr>
        <w:t>pdf</w:t>
      </w:r>
      <w:proofErr w:type="spellEnd"/>
      <w:proofErr w:type="gramEnd"/>
      <w:r>
        <w:rPr>
          <w:b/>
          <w:bCs/>
        </w:rPr>
        <w:t xml:space="preserve">. </w:t>
      </w:r>
      <w:r w:rsidRPr="00CA2E6D">
        <w:t>Documento de doce fojas</w:t>
      </w:r>
      <w:r w:rsidR="005912C0">
        <w:t xml:space="preserve"> que contiene la respuesta de la Tesorera Municipal y </w:t>
      </w:r>
      <w:r w:rsidR="00CA2E6D" w:rsidRPr="00CA2E6D">
        <w:t xml:space="preserve">el Acuerdo de Clasificación de Información emitido por el Comité de Transparencia del Sujeto Obligado, que se abordó en el punto </w:t>
      </w:r>
      <w:r w:rsidR="00703A88">
        <w:t>3</w:t>
      </w:r>
      <w:r w:rsidR="00CA2E6D" w:rsidRPr="00CA2E6D">
        <w:t xml:space="preserve"> de la orden del día.</w:t>
      </w:r>
    </w:p>
    <w:p w14:paraId="5F41C0C1" w14:textId="77777777" w:rsidR="00643810" w:rsidRDefault="00643810" w:rsidP="00827348">
      <w:pPr>
        <w:spacing w:after="0" w:line="360" w:lineRule="auto"/>
        <w:rPr>
          <w:b/>
          <w:bCs/>
        </w:rPr>
      </w:pPr>
    </w:p>
    <w:p w14:paraId="33415C5C" w14:textId="1D37B7B2" w:rsidR="002932D9" w:rsidRPr="00CA2E6D" w:rsidRDefault="00E753D3" w:rsidP="00827348">
      <w:pPr>
        <w:spacing w:after="0" w:line="360" w:lineRule="auto"/>
        <w:rPr>
          <w:b/>
          <w:bCs/>
        </w:rPr>
      </w:pPr>
      <w:r w:rsidRPr="00CA2E6D">
        <w:rPr>
          <w:b/>
          <w:bCs/>
        </w:rPr>
        <w:t>Decima</w:t>
      </w:r>
      <w:r w:rsidR="00827348" w:rsidRPr="00CA2E6D">
        <w:rPr>
          <w:b/>
          <w:bCs/>
        </w:rPr>
        <w:t xml:space="preserve"> Octava Extraordinaria</w:t>
      </w:r>
      <w:proofErr w:type="gramStart"/>
      <w:r w:rsidR="00827348" w:rsidRPr="00CA2E6D">
        <w:rPr>
          <w:b/>
          <w:bCs/>
        </w:rPr>
        <w:t>..</w:t>
      </w:r>
      <w:proofErr w:type="spellStart"/>
      <w:r w:rsidR="00827348" w:rsidRPr="00CA2E6D">
        <w:rPr>
          <w:b/>
          <w:bCs/>
        </w:rPr>
        <w:t>pdf</w:t>
      </w:r>
      <w:proofErr w:type="spellEnd"/>
      <w:proofErr w:type="gramEnd"/>
      <w:r w:rsidR="00643810">
        <w:rPr>
          <w:b/>
          <w:bCs/>
        </w:rPr>
        <w:t xml:space="preserve">. </w:t>
      </w:r>
      <w:r w:rsidR="00643810" w:rsidRPr="001412CF">
        <w:t xml:space="preserve">Documento de nueve fojas, que contiene </w:t>
      </w:r>
      <w:r w:rsidR="00703A88">
        <w:t>el acuerdo de clasificación de información emitido por el Comité de Transparencia, que clasificó la información solicitada como reservada.</w:t>
      </w:r>
    </w:p>
    <w:p w14:paraId="6B963008" w14:textId="77777777" w:rsidR="002932D9" w:rsidRDefault="002932D9">
      <w:pPr>
        <w:spacing w:after="0" w:line="360" w:lineRule="auto"/>
      </w:pPr>
    </w:p>
    <w:p w14:paraId="4E2B2B4B" w14:textId="25442F8B" w:rsidR="009302CD" w:rsidRDefault="006E571C">
      <w:pPr>
        <w:pStyle w:val="Ttulo2"/>
      </w:pPr>
      <w:bookmarkStart w:id="3" w:name="_Toc184777987"/>
      <w:r>
        <w:t>III. Interposición del Recurso de Revisión</w:t>
      </w:r>
      <w:bookmarkEnd w:id="3"/>
    </w:p>
    <w:p w14:paraId="4E2B2B4C" w14:textId="77777777" w:rsidR="009302CD" w:rsidRDefault="009302CD">
      <w:pPr>
        <w:spacing w:after="0" w:line="360" w:lineRule="auto"/>
        <w:rPr>
          <w:b/>
        </w:rPr>
      </w:pPr>
    </w:p>
    <w:p w14:paraId="4E2B2B4D" w14:textId="5BC0ABE1" w:rsidR="009302CD" w:rsidRDefault="006E571C">
      <w:pPr>
        <w:spacing w:after="0" w:line="360" w:lineRule="auto"/>
      </w:pPr>
      <w:r>
        <w:t xml:space="preserve">El </w:t>
      </w:r>
      <w:r w:rsidR="00092AA8">
        <w:t>veintitrés</w:t>
      </w:r>
      <w:r>
        <w:t xml:space="preserve"> de </w:t>
      </w:r>
      <w:r w:rsidR="00092AA8">
        <w:t>noviembre</w:t>
      </w:r>
      <w:r w:rsidR="00F82E40">
        <w:t xml:space="preserve"> </w:t>
      </w:r>
      <w:r>
        <w:t>de dos mil veinticuatro, se recibió en este Instituto, a través del SAIMEX, Recurso de Revisión interpuesto por la persona Recurrente, en contra de la respuesta por el Sujeto Obligado, en los siguientes términos:</w:t>
      </w:r>
    </w:p>
    <w:p w14:paraId="4E2B2B4E" w14:textId="77777777" w:rsidR="009302CD" w:rsidRDefault="009302CD">
      <w:pPr>
        <w:spacing w:after="0" w:line="360" w:lineRule="auto"/>
      </w:pPr>
    </w:p>
    <w:p w14:paraId="1F21EC98" w14:textId="77777777" w:rsidR="00187572" w:rsidRDefault="00187572" w:rsidP="00187572">
      <w:pPr>
        <w:spacing w:after="0" w:line="360" w:lineRule="auto"/>
        <w:ind w:left="567" w:right="567"/>
        <w:rPr>
          <w:i/>
          <w:sz w:val="20"/>
          <w:szCs w:val="20"/>
        </w:rPr>
      </w:pPr>
      <w:r>
        <w:rPr>
          <w:b/>
          <w:i/>
          <w:sz w:val="20"/>
          <w:szCs w:val="20"/>
        </w:rPr>
        <w:t>ACTO IMPUGNADO</w:t>
      </w:r>
    </w:p>
    <w:p w14:paraId="7DDCF527" w14:textId="7CB55B7E" w:rsidR="007924DC" w:rsidRDefault="00E74E04" w:rsidP="00187572">
      <w:pPr>
        <w:spacing w:after="0" w:line="360" w:lineRule="auto"/>
        <w:ind w:left="567" w:right="567"/>
        <w:rPr>
          <w:b/>
          <w:i/>
          <w:sz w:val="20"/>
          <w:szCs w:val="20"/>
        </w:rPr>
      </w:pPr>
      <w:r w:rsidRPr="00E74E04">
        <w:rPr>
          <w:i/>
          <w:color w:val="000000"/>
          <w:sz w:val="20"/>
          <w:szCs w:val="20"/>
        </w:rPr>
        <w:t>Se me negó la información por qué el recurso es público no de confidencialidad</w:t>
      </w:r>
    </w:p>
    <w:p w14:paraId="6F371BF8" w14:textId="44153D49" w:rsidR="00187572" w:rsidRDefault="00187572" w:rsidP="00187572">
      <w:pPr>
        <w:spacing w:after="0" w:line="360" w:lineRule="auto"/>
        <w:ind w:left="567" w:right="567"/>
        <w:rPr>
          <w:b/>
          <w:i/>
          <w:sz w:val="20"/>
          <w:szCs w:val="20"/>
        </w:rPr>
      </w:pPr>
      <w:r>
        <w:rPr>
          <w:b/>
          <w:i/>
          <w:sz w:val="20"/>
          <w:szCs w:val="20"/>
        </w:rPr>
        <w:t>RAZONES O MOTIVOS DE LA INCONFORMIDAD</w:t>
      </w:r>
    </w:p>
    <w:p w14:paraId="172C54C7" w14:textId="6D109E8E" w:rsidR="00F82E40" w:rsidRPr="00E74E04" w:rsidRDefault="00E74E04" w:rsidP="00E74E04">
      <w:pPr>
        <w:spacing w:after="0" w:line="360" w:lineRule="auto"/>
        <w:ind w:left="567" w:right="567"/>
        <w:rPr>
          <w:i/>
          <w:color w:val="000000"/>
          <w:sz w:val="20"/>
          <w:szCs w:val="20"/>
        </w:rPr>
      </w:pPr>
      <w:r w:rsidRPr="00E74E04">
        <w:rPr>
          <w:i/>
          <w:color w:val="000000"/>
          <w:sz w:val="20"/>
          <w:szCs w:val="20"/>
        </w:rPr>
        <w:t xml:space="preserve">La tesorera me está negando la información requerida por qué el recurso es público no de confidencialidad y ella como titular de la área me debe proporcionar la información ya que solicité </w:t>
      </w:r>
      <w:r w:rsidRPr="00E74E04">
        <w:rPr>
          <w:i/>
          <w:color w:val="000000"/>
          <w:sz w:val="20"/>
          <w:szCs w:val="20"/>
        </w:rPr>
        <w:lastRenderedPageBreak/>
        <w:t xml:space="preserve">me diga cuánto recurso queda para terminar el año en el sistema municipal </w:t>
      </w:r>
      <w:proofErr w:type="spellStart"/>
      <w:r w:rsidRPr="00E74E04">
        <w:rPr>
          <w:i/>
          <w:color w:val="000000"/>
          <w:sz w:val="20"/>
          <w:szCs w:val="20"/>
        </w:rPr>
        <w:t>dif</w:t>
      </w:r>
      <w:proofErr w:type="spellEnd"/>
      <w:r w:rsidRPr="00E74E04">
        <w:rPr>
          <w:i/>
          <w:color w:val="000000"/>
          <w:sz w:val="20"/>
          <w:szCs w:val="20"/>
        </w:rPr>
        <w:t xml:space="preserve"> Nezahualcóyotl y es un órgano público y ella me está negando la información al decirme que es de confidencialidad</w:t>
      </w:r>
    </w:p>
    <w:p w14:paraId="03612B7F" w14:textId="77777777" w:rsidR="00E74E04" w:rsidRPr="00E74E04" w:rsidRDefault="00E74E04" w:rsidP="00E74E04"/>
    <w:p w14:paraId="4E2B2B55" w14:textId="721E8049" w:rsidR="009302CD" w:rsidRPr="00A67F67" w:rsidRDefault="006E571C" w:rsidP="00A67F67">
      <w:pPr>
        <w:pStyle w:val="Ttulo2"/>
      </w:pPr>
      <w:bookmarkStart w:id="4" w:name="_Toc184777988"/>
      <w:r w:rsidRPr="00A67F67">
        <w:t>IV. Trámite del Recurso de Revisión ante este Instituto</w:t>
      </w:r>
      <w:bookmarkEnd w:id="4"/>
    </w:p>
    <w:p w14:paraId="4E2B2B56" w14:textId="77777777" w:rsidR="009302CD" w:rsidRDefault="009302CD">
      <w:pPr>
        <w:spacing w:after="0" w:line="360" w:lineRule="auto"/>
        <w:rPr>
          <w:b/>
        </w:rPr>
      </w:pPr>
    </w:p>
    <w:p w14:paraId="761C6BFE" w14:textId="21567493" w:rsidR="008619FE" w:rsidRDefault="006E571C">
      <w:pPr>
        <w:spacing w:after="0" w:line="360" w:lineRule="auto"/>
      </w:pPr>
      <w:bookmarkStart w:id="5" w:name="_Toc184777989"/>
      <w:r w:rsidRPr="008619FE">
        <w:rPr>
          <w:rStyle w:val="Ttulo2Car"/>
        </w:rPr>
        <w:t xml:space="preserve">a) Turno del </w:t>
      </w:r>
      <w:bookmarkEnd w:id="5"/>
      <w:r w:rsidR="009F25B3">
        <w:rPr>
          <w:rStyle w:val="Ttulo2Car"/>
        </w:rPr>
        <w:t>Recurso de Revisión</w:t>
      </w:r>
    </w:p>
    <w:p w14:paraId="19BA76C4" w14:textId="77777777" w:rsidR="008619FE" w:rsidRDefault="008619FE">
      <w:pPr>
        <w:spacing w:after="0" w:line="360" w:lineRule="auto"/>
      </w:pPr>
    </w:p>
    <w:p w14:paraId="4E2B2B58" w14:textId="72D9A434" w:rsidR="009302CD" w:rsidRDefault="003E63A0">
      <w:pPr>
        <w:spacing w:after="0" w:line="360" w:lineRule="auto"/>
        <w:rPr>
          <w:rFonts w:eastAsia="Batang" w:cs="Tahoma"/>
          <w:bCs/>
        </w:rPr>
      </w:pPr>
      <w:r w:rsidRPr="00C66180">
        <w:rPr>
          <w:rFonts w:eastAsia="Batang" w:cs="Tahoma"/>
          <w:bCs/>
        </w:rPr>
        <w:t xml:space="preserve">El </w:t>
      </w:r>
      <w:r w:rsidR="00DC7CF5">
        <w:rPr>
          <w:rFonts w:cs="Tahoma"/>
        </w:rPr>
        <w:t>veintitrés</w:t>
      </w:r>
      <w:r>
        <w:rPr>
          <w:rFonts w:cs="Tahoma"/>
        </w:rPr>
        <w:t xml:space="preserve"> de </w:t>
      </w:r>
      <w:r w:rsidR="00F36687">
        <w:rPr>
          <w:rFonts w:cs="Tahoma"/>
        </w:rPr>
        <w:t>noviembre</w:t>
      </w:r>
      <w:r>
        <w:rPr>
          <w:rFonts w:cs="Tahoma"/>
        </w:rPr>
        <w:t xml:space="preserve"> </w:t>
      </w:r>
      <w:r w:rsidRPr="00C66180">
        <w:rPr>
          <w:rFonts w:cs="Tahoma"/>
        </w:rPr>
        <w:t>de dos mil veinti</w:t>
      </w:r>
      <w:r>
        <w:rPr>
          <w:rFonts w:cs="Tahoma"/>
        </w:rPr>
        <w:t>cuatro</w:t>
      </w:r>
      <w:r w:rsidRPr="00C66180">
        <w:rPr>
          <w:rFonts w:eastAsia="Batang" w:cs="Tahoma"/>
          <w:bCs/>
        </w:rPr>
        <w:t xml:space="preserve">, el </w:t>
      </w:r>
      <w:r>
        <w:rPr>
          <w:rFonts w:eastAsia="Batang" w:cs="Tahoma"/>
          <w:bCs/>
        </w:rPr>
        <w:t>SAIMEX</w:t>
      </w:r>
      <w:r w:rsidRPr="00C66180">
        <w:rPr>
          <w:rFonts w:eastAsia="Batang" w:cs="Tahoma"/>
          <w:bCs/>
        </w:rPr>
        <w:t>, asignó el número de expediente</w:t>
      </w:r>
      <w:r w:rsidR="00F903A0">
        <w:rPr>
          <w:rFonts w:eastAsia="Batang" w:cs="Tahoma"/>
          <w:bCs/>
        </w:rPr>
        <w:t xml:space="preserve"> </w:t>
      </w:r>
      <w:r w:rsidR="00F36687" w:rsidRPr="00F36687">
        <w:rPr>
          <w:rFonts w:eastAsia="Batang" w:cs="Tahoma"/>
          <w:b/>
          <w:bCs/>
        </w:rPr>
        <w:t>07341/INFOEM/IP/RR/2024</w:t>
      </w:r>
      <w:r w:rsidRPr="00C66180">
        <w:rPr>
          <w:rFonts w:eastAsia="Batang" w:cs="Tahoma"/>
          <w:bCs/>
        </w:rPr>
        <w:t xml:space="preserve">, al medio de impugnación que nos ocupa, con base en el sistema aprobado por el Pleno de este </w:t>
      </w:r>
      <w:r w:rsidR="00F903A0">
        <w:rPr>
          <w:rFonts w:eastAsia="Batang" w:cs="Tahoma"/>
          <w:bCs/>
        </w:rPr>
        <w:t>Organismo</w:t>
      </w:r>
      <w:r w:rsidRPr="00C66180">
        <w:rPr>
          <w:rFonts w:eastAsia="Batang" w:cs="Tahoma"/>
          <w:bCs/>
        </w:rPr>
        <w:t xml:space="preserve"> Garante y lo turnó al </w:t>
      </w:r>
      <w:r w:rsidRPr="00C66180">
        <w:rPr>
          <w:rFonts w:eastAsia="Batang" w:cs="Tahoma"/>
          <w:b/>
          <w:bCs/>
        </w:rPr>
        <w:t>Comisionado Ponente Luis Gustavo Parra Noriega</w:t>
      </w:r>
      <w:r w:rsidRPr="00C66180">
        <w:rPr>
          <w:rFonts w:eastAsia="Batang" w:cs="Tahoma"/>
          <w:bCs/>
        </w:rPr>
        <w:t>, para los efectos del artículo 185, fracción I</w:t>
      </w:r>
      <w:r>
        <w:rPr>
          <w:rFonts w:eastAsia="Batang" w:cs="Tahoma"/>
          <w:bCs/>
        </w:rPr>
        <w:t>,</w:t>
      </w:r>
      <w:r w:rsidRPr="00C66180">
        <w:rPr>
          <w:rFonts w:eastAsia="Batang" w:cs="Tahoma"/>
          <w:bCs/>
        </w:rPr>
        <w:t xml:space="preserve"> de la Ley de Transparencia y Acceso a la Información Pública del Estado de México y Municipios.</w:t>
      </w:r>
    </w:p>
    <w:p w14:paraId="09854974" w14:textId="77777777" w:rsidR="009615B6" w:rsidRDefault="009615B6">
      <w:pPr>
        <w:spacing w:after="0" w:line="360" w:lineRule="auto"/>
      </w:pPr>
    </w:p>
    <w:p w14:paraId="2291077E" w14:textId="004BB5CC" w:rsidR="008619FE" w:rsidRDefault="006E571C">
      <w:pPr>
        <w:spacing w:after="0" w:line="360" w:lineRule="auto"/>
        <w:rPr>
          <w:b/>
        </w:rPr>
      </w:pPr>
      <w:bookmarkStart w:id="6" w:name="_Toc184777990"/>
      <w:r w:rsidRPr="008619FE">
        <w:rPr>
          <w:rStyle w:val="Ttulo2Car"/>
        </w:rPr>
        <w:t>b) Admisión del Recurso de Revisión</w:t>
      </w:r>
      <w:bookmarkEnd w:id="6"/>
    </w:p>
    <w:p w14:paraId="1657D62C" w14:textId="77777777" w:rsidR="008619FE" w:rsidRDefault="008619FE">
      <w:pPr>
        <w:spacing w:after="0" w:line="360" w:lineRule="auto"/>
        <w:rPr>
          <w:b/>
        </w:rPr>
      </w:pPr>
    </w:p>
    <w:p w14:paraId="4E2B2B59" w14:textId="7901F4D4" w:rsidR="009302CD" w:rsidRDefault="003F21E0">
      <w:pPr>
        <w:spacing w:after="0" w:line="360" w:lineRule="auto"/>
      </w:pPr>
      <w:r w:rsidRPr="003F21E0">
        <w:rPr>
          <w:bCs/>
        </w:rPr>
        <w:t xml:space="preserve">Por acuerdo </w:t>
      </w:r>
      <w:r w:rsidR="009615B6">
        <w:rPr>
          <w:bCs/>
        </w:rPr>
        <w:t>de</w:t>
      </w:r>
      <w:r w:rsidR="00F903A0">
        <w:rPr>
          <w:bCs/>
        </w:rPr>
        <w:t xml:space="preserve">l </w:t>
      </w:r>
      <w:r w:rsidR="00F36687">
        <w:rPr>
          <w:bCs/>
        </w:rPr>
        <w:t>veintiocho</w:t>
      </w:r>
      <w:r w:rsidR="00F903A0">
        <w:rPr>
          <w:bCs/>
        </w:rPr>
        <w:t xml:space="preserve"> </w:t>
      </w:r>
      <w:r w:rsidR="008261C7">
        <w:rPr>
          <w:bCs/>
        </w:rPr>
        <w:t xml:space="preserve">de </w:t>
      </w:r>
      <w:r w:rsidR="00F36687">
        <w:rPr>
          <w:bCs/>
        </w:rPr>
        <w:t>noviembre</w:t>
      </w:r>
      <w:r w:rsidR="008261C7">
        <w:rPr>
          <w:bCs/>
        </w:rPr>
        <w:t xml:space="preserve"> de dos mil veinticuatro, se acordó la</w:t>
      </w:r>
      <w:r w:rsidR="006E571C">
        <w:t xml:space="preserve"> admisión del Recurso de Revisión interpuesto por la persona Recurrente en contra del Sujeto Obligado, en términos del artículo 185, fracciones I y II de la Ley de Transparencia y Acceso a la Información Pública del Estado de México y Municipios,</w:t>
      </w:r>
      <w:r w:rsidR="008261C7">
        <w:t xml:space="preserve"> acto notificado en la misma fecha,</w:t>
      </w:r>
      <w:r w:rsidR="006E571C">
        <w:t xml:space="preserve"> en el que se les otorgó un plazo de siete días hábiles posteriores a la misma, para que manifestaran lo que a su derecho conviniera y formularan alegatos.</w:t>
      </w:r>
    </w:p>
    <w:p w14:paraId="4E2B2B5A" w14:textId="77777777" w:rsidR="009302CD" w:rsidRDefault="009302CD">
      <w:pPr>
        <w:spacing w:after="0" w:line="360" w:lineRule="auto"/>
      </w:pPr>
    </w:p>
    <w:p w14:paraId="5E964A40" w14:textId="40948482" w:rsidR="008619FE" w:rsidRDefault="006E571C">
      <w:pPr>
        <w:widowControl w:val="0"/>
        <w:spacing w:after="0" w:line="360" w:lineRule="auto"/>
        <w:rPr>
          <w:b/>
        </w:rPr>
      </w:pPr>
      <w:bookmarkStart w:id="7" w:name="_Toc184777991"/>
      <w:r w:rsidRPr="008619FE">
        <w:rPr>
          <w:rStyle w:val="Ttulo2Car"/>
        </w:rPr>
        <w:t>c) Informe Justificado</w:t>
      </w:r>
      <w:bookmarkEnd w:id="7"/>
    </w:p>
    <w:p w14:paraId="3779B5B0" w14:textId="77777777" w:rsidR="008619FE" w:rsidRDefault="008619FE">
      <w:pPr>
        <w:widowControl w:val="0"/>
        <w:spacing w:after="0" w:line="360" w:lineRule="auto"/>
        <w:rPr>
          <w:b/>
        </w:rPr>
      </w:pPr>
    </w:p>
    <w:p w14:paraId="47D1F00D" w14:textId="4FC59B37" w:rsidR="0035508A" w:rsidRDefault="006E571C" w:rsidP="004942EB">
      <w:pPr>
        <w:widowControl w:val="0"/>
        <w:spacing w:after="0" w:line="360" w:lineRule="auto"/>
      </w:pPr>
      <w:r>
        <w:t xml:space="preserve">El Sujeto Obligado, </w:t>
      </w:r>
      <w:r w:rsidR="004942EB">
        <w:t xml:space="preserve">el </w:t>
      </w:r>
      <w:r w:rsidR="00F903A0">
        <w:t>dos</w:t>
      </w:r>
      <w:r w:rsidR="004942EB">
        <w:t xml:space="preserve"> </w:t>
      </w:r>
      <w:r w:rsidR="007911A4">
        <w:t xml:space="preserve">seis de diciembre de dos mil veinticuatro, remitió a través del SAIMEX el archivo que lleva por nombre </w:t>
      </w:r>
      <w:r w:rsidR="007911A4" w:rsidRPr="007911A4">
        <w:rPr>
          <w:b/>
          <w:bCs/>
        </w:rPr>
        <w:t>Respuesta Recurso #07341. (1).</w:t>
      </w:r>
      <w:proofErr w:type="spellStart"/>
      <w:r w:rsidR="007911A4" w:rsidRPr="007911A4">
        <w:rPr>
          <w:b/>
          <w:bCs/>
        </w:rPr>
        <w:t>pdf</w:t>
      </w:r>
      <w:proofErr w:type="spellEnd"/>
      <w:r w:rsidR="007911A4">
        <w:rPr>
          <w:b/>
          <w:bCs/>
        </w:rPr>
        <w:t xml:space="preserve">, </w:t>
      </w:r>
      <w:r w:rsidR="00CB22A5">
        <w:t xml:space="preserve">cuyo contenido </w:t>
      </w:r>
      <w:r w:rsidR="00CB22A5">
        <w:lastRenderedPageBreak/>
        <w:t xml:space="preserve">fue analizado por este Organismo Garante y se </w:t>
      </w:r>
      <w:r w:rsidR="00532496">
        <w:t>determinó</w:t>
      </w:r>
      <w:r w:rsidR="00CB22A5">
        <w:t xml:space="preserve"> procedente dar vista mediante acuerdo </w:t>
      </w:r>
      <w:r w:rsidR="001923E7">
        <w:t>de nueve</w:t>
      </w:r>
      <w:r w:rsidR="00CB22A5">
        <w:t xml:space="preserve"> de diciembre de la misma anualidad</w:t>
      </w:r>
      <w:r w:rsidR="00532496">
        <w:t xml:space="preserve"> y cuyo contenido es el siguiente:</w:t>
      </w:r>
    </w:p>
    <w:p w14:paraId="71CFACD3" w14:textId="77777777" w:rsidR="00A30628" w:rsidRDefault="00A30628" w:rsidP="004942EB">
      <w:pPr>
        <w:widowControl w:val="0"/>
        <w:spacing w:after="0" w:line="360" w:lineRule="auto"/>
      </w:pPr>
    </w:p>
    <w:p w14:paraId="184C1E7D" w14:textId="0B530CB3" w:rsidR="00A30628" w:rsidRDefault="00A30628" w:rsidP="004942EB">
      <w:pPr>
        <w:widowControl w:val="0"/>
        <w:spacing w:after="0" w:line="360" w:lineRule="auto"/>
      </w:pPr>
      <w:r w:rsidRPr="007F22A3">
        <w:rPr>
          <w:b/>
          <w:bCs/>
        </w:rPr>
        <w:t>Foja 1</w:t>
      </w:r>
      <w:r>
        <w:t>. Oficio firmado por la Tesorera del Sistema Municipal, en donde respondió lo siguiente:</w:t>
      </w:r>
      <w:r>
        <w:tab/>
      </w:r>
    </w:p>
    <w:p w14:paraId="2F76321A" w14:textId="675AC006" w:rsidR="0035508A" w:rsidRPr="00412D4F" w:rsidRDefault="007F22A3" w:rsidP="00412D4F">
      <w:pPr>
        <w:widowControl w:val="0"/>
        <w:spacing w:after="0" w:line="360" w:lineRule="auto"/>
        <w:ind w:left="567" w:right="567"/>
        <w:rPr>
          <w:i/>
          <w:iCs/>
          <w:sz w:val="20"/>
          <w:szCs w:val="20"/>
        </w:rPr>
      </w:pPr>
      <w:r w:rsidRPr="00412D4F">
        <w:rPr>
          <w:i/>
          <w:iCs/>
          <w:sz w:val="20"/>
          <w:szCs w:val="20"/>
        </w:rPr>
        <w:t>“…</w:t>
      </w:r>
    </w:p>
    <w:p w14:paraId="61D1B75D" w14:textId="0536A8BF" w:rsidR="007F22A3" w:rsidRPr="00412D4F" w:rsidRDefault="007F22A3" w:rsidP="00412D4F">
      <w:pPr>
        <w:widowControl w:val="0"/>
        <w:spacing w:after="0" w:line="360" w:lineRule="auto"/>
        <w:ind w:left="567" w:right="567"/>
        <w:rPr>
          <w:i/>
          <w:iCs/>
          <w:sz w:val="20"/>
          <w:szCs w:val="20"/>
        </w:rPr>
      </w:pPr>
      <w:r w:rsidRPr="00412D4F">
        <w:rPr>
          <w:i/>
          <w:iCs/>
          <w:sz w:val="20"/>
          <w:szCs w:val="20"/>
        </w:rPr>
        <w:t xml:space="preserve">Respecto de </w:t>
      </w:r>
      <w:r w:rsidR="00412D4F" w:rsidRPr="00412D4F">
        <w:rPr>
          <w:i/>
          <w:iCs/>
          <w:sz w:val="20"/>
          <w:szCs w:val="20"/>
        </w:rPr>
        <w:t>la solicitud</w:t>
      </w:r>
      <w:r w:rsidRPr="00412D4F">
        <w:rPr>
          <w:i/>
          <w:iCs/>
          <w:sz w:val="20"/>
          <w:szCs w:val="20"/>
        </w:rPr>
        <w:t xml:space="preserve"> de mérito, es dable señalar que esta Tesorería, menciona lo siguiente:</w:t>
      </w:r>
    </w:p>
    <w:p w14:paraId="2A985DDF" w14:textId="77777777" w:rsidR="007F22A3" w:rsidRPr="00412D4F" w:rsidRDefault="007F22A3" w:rsidP="00412D4F">
      <w:pPr>
        <w:widowControl w:val="0"/>
        <w:spacing w:after="0" w:line="360" w:lineRule="auto"/>
        <w:ind w:left="567" w:right="567"/>
        <w:rPr>
          <w:i/>
          <w:iCs/>
          <w:sz w:val="20"/>
          <w:szCs w:val="20"/>
        </w:rPr>
      </w:pPr>
    </w:p>
    <w:p w14:paraId="32C2AE7F" w14:textId="358EE5BD" w:rsidR="008C5E4E" w:rsidRDefault="00BA4509" w:rsidP="008C5E4E">
      <w:pPr>
        <w:pStyle w:val="Prrafodelista"/>
        <w:widowControl w:val="0"/>
        <w:numPr>
          <w:ilvl w:val="0"/>
          <w:numId w:val="24"/>
        </w:numPr>
        <w:spacing w:after="0" w:line="360" w:lineRule="auto"/>
        <w:ind w:right="567"/>
        <w:rPr>
          <w:i/>
          <w:iCs/>
          <w:sz w:val="20"/>
          <w:szCs w:val="20"/>
        </w:rPr>
      </w:pPr>
      <w:r>
        <w:rPr>
          <w:i/>
          <w:iCs/>
          <w:sz w:val="20"/>
          <w:szCs w:val="20"/>
        </w:rPr>
        <w:t>PRESUPUESTO POR EJERCER AL MES DE OCTUBRE DEL PRESENTE AÑO ES POR UN MONTO DE $65</w:t>
      </w:r>
      <w:r w:rsidR="00E753D3">
        <w:rPr>
          <w:i/>
          <w:iCs/>
          <w:sz w:val="20"/>
          <w:szCs w:val="20"/>
        </w:rPr>
        <w:t>, 138,205.58</w:t>
      </w:r>
      <w:r>
        <w:rPr>
          <w:i/>
          <w:iCs/>
          <w:sz w:val="20"/>
          <w:szCs w:val="20"/>
        </w:rPr>
        <w:t xml:space="preserve"> (SESENTA Y CINCO MILLONES CIENTO TREINTA Y OCHO MIL DOSCIENTOS CINCO PESOS 58/100 M.N.)</w:t>
      </w:r>
    </w:p>
    <w:p w14:paraId="0EB9B90F" w14:textId="77777777" w:rsidR="008C5E4E" w:rsidRDefault="008C5E4E" w:rsidP="008C5E4E">
      <w:pPr>
        <w:widowControl w:val="0"/>
        <w:spacing w:after="0" w:line="360" w:lineRule="auto"/>
        <w:ind w:right="567"/>
        <w:rPr>
          <w:i/>
          <w:iCs/>
          <w:sz w:val="20"/>
          <w:szCs w:val="20"/>
        </w:rPr>
      </w:pPr>
    </w:p>
    <w:p w14:paraId="2F0EDEDB" w14:textId="05B6FEB9" w:rsidR="008C5E4E" w:rsidRPr="008C5E4E" w:rsidRDefault="008C5E4E" w:rsidP="008C5E4E">
      <w:pPr>
        <w:widowControl w:val="0"/>
        <w:spacing w:after="0" w:line="360" w:lineRule="auto"/>
        <w:ind w:left="567" w:right="567"/>
        <w:rPr>
          <w:i/>
          <w:iCs/>
          <w:sz w:val="20"/>
          <w:szCs w:val="20"/>
        </w:rPr>
      </w:pPr>
      <w:r>
        <w:rPr>
          <w:i/>
          <w:iCs/>
          <w:sz w:val="20"/>
          <w:szCs w:val="20"/>
        </w:rPr>
        <w:t>Anexo avance presupuestal de egresos al mes de octubre del presente año.</w:t>
      </w:r>
    </w:p>
    <w:p w14:paraId="52FF7FCE" w14:textId="09E19DF9" w:rsidR="00412D4F" w:rsidRDefault="00412D4F" w:rsidP="00412D4F">
      <w:pPr>
        <w:widowControl w:val="0"/>
        <w:spacing w:after="0" w:line="360" w:lineRule="auto"/>
        <w:rPr>
          <w:noProof/>
        </w:rPr>
      </w:pPr>
    </w:p>
    <w:p w14:paraId="6221CD46" w14:textId="048726C9" w:rsidR="008048D7" w:rsidRDefault="0001597B" w:rsidP="00412D4F">
      <w:pPr>
        <w:widowControl w:val="0"/>
        <w:spacing w:after="0" w:line="360" w:lineRule="auto"/>
        <w:rPr>
          <w:b/>
          <w:bCs/>
          <w:noProof/>
        </w:rPr>
      </w:pPr>
      <w:r w:rsidRPr="0001597B">
        <w:rPr>
          <w:b/>
          <w:bCs/>
          <w:noProof/>
        </w:rPr>
        <w:t xml:space="preserve">Fojas 2 y 3. </w:t>
      </w:r>
      <w:r w:rsidR="002650B0" w:rsidRPr="00A76810">
        <w:rPr>
          <w:noProof/>
        </w:rPr>
        <w:t xml:space="preserve">Da cuenta del Avance Presupuestal de Egresos y contiene </w:t>
      </w:r>
      <w:r w:rsidR="001522EE" w:rsidRPr="00A76810">
        <w:rPr>
          <w:noProof/>
        </w:rPr>
        <w:t xml:space="preserve">la partida presupuestal, el concepto, el presupuesto de egresos aprobado, el presupuesto ampliado, reducido o modificado, </w:t>
      </w:r>
      <w:r w:rsidR="00EA0701" w:rsidRPr="00A76810">
        <w:rPr>
          <w:noProof/>
        </w:rPr>
        <w:t>el presupuesto comprometido, pagado devengado, ejercido y por ejercer</w:t>
      </w:r>
      <w:r w:rsidR="00A76810" w:rsidRPr="00A76810">
        <w:rPr>
          <w:noProof/>
        </w:rPr>
        <w:t>.</w:t>
      </w:r>
      <w:r w:rsidR="001522EE">
        <w:rPr>
          <w:b/>
          <w:bCs/>
          <w:noProof/>
        </w:rPr>
        <w:t xml:space="preserve"> </w:t>
      </w:r>
    </w:p>
    <w:p w14:paraId="6FDA7C32" w14:textId="77777777" w:rsidR="002650B0" w:rsidRPr="0001597B" w:rsidRDefault="002650B0" w:rsidP="00412D4F">
      <w:pPr>
        <w:widowControl w:val="0"/>
        <w:spacing w:after="0" w:line="360" w:lineRule="auto"/>
        <w:rPr>
          <w:b/>
          <w:bCs/>
          <w:noProof/>
        </w:rPr>
      </w:pPr>
    </w:p>
    <w:p w14:paraId="0803595A" w14:textId="77777777" w:rsidR="008619FE" w:rsidRDefault="006E571C">
      <w:pPr>
        <w:widowControl w:val="0"/>
        <w:spacing w:after="0" w:line="360" w:lineRule="auto"/>
        <w:rPr>
          <w:rStyle w:val="Ttulo2Car"/>
        </w:rPr>
      </w:pPr>
      <w:bookmarkStart w:id="8" w:name="_Toc184777992"/>
      <w:r w:rsidRPr="008619FE">
        <w:rPr>
          <w:rStyle w:val="Ttulo2Car"/>
        </w:rPr>
        <w:t>d) Manifestaciones</w:t>
      </w:r>
      <w:bookmarkEnd w:id="8"/>
    </w:p>
    <w:p w14:paraId="0303C407" w14:textId="77777777" w:rsidR="008619FE" w:rsidRDefault="008619FE">
      <w:pPr>
        <w:widowControl w:val="0"/>
        <w:spacing w:after="0" w:line="360" w:lineRule="auto"/>
        <w:rPr>
          <w:rStyle w:val="Ttulo2Car"/>
        </w:rPr>
      </w:pPr>
    </w:p>
    <w:p w14:paraId="53D98C33" w14:textId="6F646313" w:rsidR="00F36687" w:rsidRDefault="006E571C" w:rsidP="00A76810">
      <w:pPr>
        <w:widowControl w:val="0"/>
        <w:spacing w:after="0" w:line="360" w:lineRule="auto"/>
      </w:pPr>
      <w:r>
        <w:t>El Particular, durante el plazo de ley para emitir expresión alguna que a su derecho convenga, fue omiso en realizar pronunciamiento alguno</w:t>
      </w:r>
    </w:p>
    <w:p w14:paraId="371A2E5A" w14:textId="77777777" w:rsidR="00A76810" w:rsidRPr="00A76810" w:rsidRDefault="00A76810" w:rsidP="00A76810">
      <w:pPr>
        <w:widowControl w:val="0"/>
        <w:spacing w:after="0" w:line="360" w:lineRule="auto"/>
      </w:pPr>
    </w:p>
    <w:p w14:paraId="3DEEFA05" w14:textId="65B5D3ED" w:rsidR="0004148C" w:rsidRDefault="00F36687" w:rsidP="0004148C">
      <w:pPr>
        <w:pStyle w:val="Ttulo2"/>
      </w:pPr>
      <w:bookmarkStart w:id="9" w:name="_Toc184777993"/>
      <w:r>
        <w:rPr>
          <w:color w:val="000000"/>
        </w:rPr>
        <w:t>e</w:t>
      </w:r>
      <w:r w:rsidR="006E571C">
        <w:rPr>
          <w:color w:val="000000"/>
        </w:rPr>
        <w:t xml:space="preserve">) </w:t>
      </w:r>
      <w:r w:rsidR="006E571C">
        <w:t>Cierre de instrucción</w:t>
      </w:r>
      <w:bookmarkEnd w:id="9"/>
    </w:p>
    <w:p w14:paraId="083A86A1" w14:textId="77777777" w:rsidR="0004148C" w:rsidRDefault="0004148C">
      <w:pPr>
        <w:spacing w:after="0" w:line="360" w:lineRule="auto"/>
      </w:pPr>
    </w:p>
    <w:p w14:paraId="4E2B2BA4" w14:textId="17A1DAD0" w:rsidR="009302CD" w:rsidRDefault="006E571C">
      <w:pPr>
        <w:spacing w:after="0" w:line="360" w:lineRule="auto"/>
      </w:pPr>
      <w:r>
        <w:t xml:space="preserve">El </w:t>
      </w:r>
      <w:r w:rsidR="004F562C">
        <w:t>dieciséis</w:t>
      </w:r>
      <w:r>
        <w:t xml:space="preserve"> de </w:t>
      </w:r>
      <w:r w:rsidR="006B2189">
        <w:t>diciembre</w:t>
      </w:r>
      <w:r>
        <w:t xml:space="preserve"> de dos mil veinticuatro, al no existir diligencias pendientes por desahogar, se emitió el acuerdo por medio del cual se declaró cerrada la instrucción y se </w:t>
      </w:r>
      <w:r>
        <w:lastRenderedPageBreak/>
        <w:t xml:space="preserve">determinó pasar los expedientes a resolución, en términos de lo dispuesto en los artículos 185, fracciones VI y VIII, de la Ley de Transparencia y Acceso a la Información Pública del Estado de México y Municipios, acto que fue notificado a las partes, mediante el SAIMEX, </w:t>
      </w:r>
      <w:r w:rsidR="004F562C">
        <w:t>el dieciocho de diciembre de la misma anualidad</w:t>
      </w:r>
      <w:r>
        <w:t>.</w:t>
      </w:r>
    </w:p>
    <w:p w14:paraId="4E2B2BA5" w14:textId="77777777" w:rsidR="009302CD" w:rsidRDefault="009302CD">
      <w:pPr>
        <w:spacing w:after="0" w:line="360" w:lineRule="auto"/>
        <w:ind w:right="-28"/>
      </w:pPr>
    </w:p>
    <w:p w14:paraId="77C6A388" w14:textId="77777777" w:rsidR="004107F0" w:rsidRDefault="006E571C" w:rsidP="004107F0">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39E8DF8E" w14:textId="77777777" w:rsidR="004107F0" w:rsidRDefault="004107F0" w:rsidP="004107F0">
      <w:pPr>
        <w:spacing w:after="0" w:line="360" w:lineRule="auto"/>
        <w:rPr>
          <w:color w:val="000000"/>
        </w:rPr>
      </w:pPr>
    </w:p>
    <w:p w14:paraId="7A71382D" w14:textId="1A7C9EE8" w:rsidR="00B171A6" w:rsidRPr="004107F0" w:rsidRDefault="00B171A6" w:rsidP="004107F0">
      <w:pPr>
        <w:pStyle w:val="Ttulo1"/>
      </w:pPr>
      <w:bookmarkStart w:id="10" w:name="_Toc184777994"/>
      <w:r w:rsidRPr="004107F0">
        <w:t>CONSIDERANDOS</w:t>
      </w:r>
      <w:bookmarkEnd w:id="10"/>
    </w:p>
    <w:p w14:paraId="64851FB0" w14:textId="77777777" w:rsidR="00B171A6" w:rsidRPr="00815A33" w:rsidRDefault="00B171A6" w:rsidP="00B171A6">
      <w:pPr>
        <w:spacing w:after="0" w:line="360" w:lineRule="auto"/>
        <w:jc w:val="center"/>
        <w:rPr>
          <w:rFonts w:cs="Tahoma"/>
          <w:b/>
          <w:lang w:val="es-ES"/>
        </w:rPr>
      </w:pPr>
    </w:p>
    <w:p w14:paraId="621DA131" w14:textId="77777777" w:rsidR="00B171A6" w:rsidRPr="008D02B3" w:rsidRDefault="00B171A6" w:rsidP="004107F0">
      <w:pPr>
        <w:pStyle w:val="Ttulo2"/>
        <w:rPr>
          <w:lang w:val="es-ES"/>
        </w:rPr>
      </w:pPr>
      <w:bookmarkStart w:id="11" w:name="_Toc184777995"/>
      <w:r w:rsidRPr="008D02B3">
        <w:rPr>
          <w:rFonts w:eastAsia="Calibri"/>
          <w:lang w:val="es-ES"/>
        </w:rPr>
        <w:t xml:space="preserve">PRIMERO. </w:t>
      </w:r>
      <w:r w:rsidRPr="008D02B3">
        <w:rPr>
          <w:lang w:val="es-ES"/>
        </w:rPr>
        <w:t>Competencia</w:t>
      </w:r>
      <w:bookmarkEnd w:id="11"/>
    </w:p>
    <w:p w14:paraId="25BDB11D" w14:textId="77777777" w:rsidR="00B171A6" w:rsidRPr="008D02B3" w:rsidRDefault="00B171A6" w:rsidP="00B171A6">
      <w:pPr>
        <w:autoSpaceDE w:val="0"/>
        <w:autoSpaceDN w:val="0"/>
        <w:adjustRightInd w:val="0"/>
        <w:spacing w:after="0" w:line="360" w:lineRule="auto"/>
        <w:rPr>
          <w:rFonts w:cs="Tahoma"/>
          <w:b/>
          <w:szCs w:val="24"/>
          <w:lang w:val="es-ES"/>
        </w:rPr>
      </w:pPr>
    </w:p>
    <w:p w14:paraId="794076FB" w14:textId="77777777" w:rsidR="00B171A6" w:rsidRPr="008D02B3" w:rsidRDefault="00B171A6" w:rsidP="00B171A6">
      <w:pPr>
        <w:spacing w:after="0" w:line="360" w:lineRule="auto"/>
        <w:rPr>
          <w:rFonts w:cs="Tahoma"/>
          <w:bCs/>
        </w:rPr>
      </w:pPr>
      <w:r w:rsidRPr="008D02B3">
        <w:rPr>
          <w:rFonts w:cs="Tahoma"/>
          <w:bC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D02B3">
        <w:rPr>
          <w:bCs/>
        </w:rPr>
        <w:t xml:space="preserve"> 7°, </w:t>
      </w:r>
      <w:r w:rsidRPr="008D02B3">
        <w:rPr>
          <w:rFonts w:cs="Tahoma"/>
          <w:bCs/>
        </w:rPr>
        <w:t>9°, fracciones I y XXIII y 11 del Reglamento Interior del Instituto de Transparencia, Acceso a la Información Pública y Protección de Datos Personales del Estado de México y Municipios.</w:t>
      </w:r>
    </w:p>
    <w:p w14:paraId="39216608" w14:textId="77777777" w:rsidR="00B171A6" w:rsidRPr="008D02B3" w:rsidRDefault="00B171A6" w:rsidP="00B171A6">
      <w:pPr>
        <w:spacing w:after="0" w:line="360" w:lineRule="auto"/>
        <w:rPr>
          <w:rFonts w:cs="Tahoma"/>
          <w:bCs/>
        </w:rPr>
      </w:pPr>
    </w:p>
    <w:p w14:paraId="51541BA5" w14:textId="77777777" w:rsidR="00B171A6" w:rsidRPr="008D02B3" w:rsidRDefault="00B171A6" w:rsidP="008B7BC6">
      <w:pPr>
        <w:pStyle w:val="Ttulo2"/>
        <w:rPr>
          <w:lang w:val="es-ES"/>
        </w:rPr>
      </w:pPr>
      <w:bookmarkStart w:id="12" w:name="_Toc184777996"/>
      <w:r w:rsidRPr="008D02B3">
        <w:rPr>
          <w:rFonts w:eastAsia="Calibri"/>
          <w:lang w:val="es-ES"/>
        </w:rPr>
        <w:lastRenderedPageBreak/>
        <w:t xml:space="preserve">SEGUNDO. </w:t>
      </w:r>
      <w:r w:rsidRPr="008D02B3">
        <w:rPr>
          <w:lang w:val="es-ES"/>
        </w:rPr>
        <w:t>Causales de improcedencia y sobreseimiento</w:t>
      </w:r>
      <w:bookmarkEnd w:id="12"/>
    </w:p>
    <w:p w14:paraId="22B56182" w14:textId="77777777" w:rsidR="00B171A6" w:rsidRPr="008D02B3" w:rsidRDefault="00B171A6" w:rsidP="00B171A6">
      <w:pPr>
        <w:autoSpaceDE w:val="0"/>
        <w:autoSpaceDN w:val="0"/>
        <w:adjustRightInd w:val="0"/>
        <w:spacing w:after="0" w:line="360" w:lineRule="auto"/>
        <w:rPr>
          <w:rFonts w:cs="Tahoma"/>
          <w:szCs w:val="24"/>
          <w:lang w:val="es-ES"/>
        </w:rPr>
      </w:pPr>
    </w:p>
    <w:p w14:paraId="236A8687" w14:textId="77777777" w:rsidR="00B171A6" w:rsidRPr="008D02B3" w:rsidRDefault="00B171A6" w:rsidP="00B171A6">
      <w:pPr>
        <w:autoSpaceDE w:val="0"/>
        <w:autoSpaceDN w:val="0"/>
        <w:adjustRightInd w:val="0"/>
        <w:spacing w:after="0" w:line="360" w:lineRule="auto"/>
        <w:rPr>
          <w:rFonts w:cs="Tahoma"/>
          <w:szCs w:val="24"/>
          <w:lang w:val="es-ES"/>
        </w:rPr>
      </w:pPr>
      <w:r w:rsidRPr="008D02B3">
        <w:rPr>
          <w:rFonts w:cs="Tahoma"/>
          <w:szCs w:val="24"/>
          <w:lang w:val="es-ES"/>
        </w:rPr>
        <w:t xml:space="preserve">De las constancias que forma parte del Recurso de Revisión que se analiza, se advierte que previo al estudio del fondo de la </w:t>
      </w:r>
      <w:proofErr w:type="spellStart"/>
      <w:r w:rsidRPr="008D02B3">
        <w:rPr>
          <w:rFonts w:cs="Tahoma"/>
          <w:i/>
          <w:szCs w:val="24"/>
          <w:lang w:val="es-ES"/>
        </w:rPr>
        <w:t>litis</w:t>
      </w:r>
      <w:proofErr w:type="spellEnd"/>
      <w:r w:rsidRPr="008D02B3">
        <w:rPr>
          <w:rFonts w:cs="Tahoma"/>
          <w:szCs w:val="24"/>
          <w:lang w:val="es-ES"/>
        </w:rPr>
        <w:t>, es necesario estudiar las causales de improcedencia y sobreseimiento que se adviertan, para determinar lo que en Derecho proceda.</w:t>
      </w:r>
    </w:p>
    <w:p w14:paraId="48B7BBC3" w14:textId="77777777" w:rsidR="00B171A6" w:rsidRPr="008D02B3" w:rsidRDefault="00B171A6" w:rsidP="00B171A6">
      <w:pPr>
        <w:autoSpaceDE w:val="0"/>
        <w:autoSpaceDN w:val="0"/>
        <w:adjustRightInd w:val="0"/>
        <w:spacing w:after="0" w:line="360" w:lineRule="auto"/>
        <w:rPr>
          <w:rFonts w:cs="Tahoma"/>
          <w:szCs w:val="24"/>
          <w:lang w:val="es-ES"/>
        </w:rPr>
      </w:pPr>
    </w:p>
    <w:p w14:paraId="4BAB160F" w14:textId="77777777" w:rsidR="00B171A6" w:rsidRPr="008D02B3" w:rsidRDefault="00B171A6" w:rsidP="00B171A6">
      <w:pPr>
        <w:autoSpaceDE w:val="0"/>
        <w:autoSpaceDN w:val="0"/>
        <w:adjustRightInd w:val="0"/>
        <w:spacing w:after="0" w:line="360" w:lineRule="auto"/>
        <w:rPr>
          <w:rFonts w:eastAsia="Calibri" w:cs="Tahoma"/>
          <w:szCs w:val="24"/>
          <w:lang w:val="es-ES"/>
        </w:rPr>
      </w:pPr>
      <w:r w:rsidRPr="008D02B3">
        <w:rPr>
          <w:rFonts w:eastAsia="Calibri" w:cs="Tahoma"/>
          <w:b/>
          <w:szCs w:val="24"/>
          <w:lang w:val="es-ES"/>
        </w:rPr>
        <w:t>Causales de improcedencia</w:t>
      </w:r>
    </w:p>
    <w:p w14:paraId="7D7A1EB4" w14:textId="77777777" w:rsidR="00B171A6" w:rsidRPr="008D02B3" w:rsidRDefault="00B171A6" w:rsidP="00B171A6">
      <w:pPr>
        <w:autoSpaceDE w:val="0"/>
        <w:autoSpaceDN w:val="0"/>
        <w:adjustRightInd w:val="0"/>
        <w:spacing w:after="0" w:line="360" w:lineRule="auto"/>
        <w:rPr>
          <w:rFonts w:eastAsia="Calibri" w:cs="Tahoma"/>
          <w:szCs w:val="24"/>
          <w:lang w:val="es-ES"/>
        </w:rPr>
      </w:pPr>
    </w:p>
    <w:p w14:paraId="50F8D6C0" w14:textId="77777777" w:rsidR="00B171A6" w:rsidRPr="008D02B3" w:rsidRDefault="00B171A6" w:rsidP="00B171A6">
      <w:pPr>
        <w:autoSpaceDE w:val="0"/>
        <w:autoSpaceDN w:val="0"/>
        <w:adjustRightInd w:val="0"/>
        <w:spacing w:after="0" w:line="360" w:lineRule="auto"/>
        <w:rPr>
          <w:rFonts w:eastAsia="Calibri" w:cs="Tahoma"/>
          <w:lang w:val="es-ES"/>
        </w:rPr>
      </w:pPr>
      <w:r w:rsidRPr="008D02B3">
        <w:rPr>
          <w:rFonts w:eastAsia="Calibri" w:cs="Tahoma"/>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8D02B3">
        <w:rPr>
          <w:rFonts w:eastAsia="Calibri" w:cs="Tahoma"/>
        </w:rPr>
        <w:t>./</w:t>
      </w:r>
      <w:proofErr w:type="gramEnd"/>
      <w:r w:rsidRPr="008D02B3">
        <w:rPr>
          <w:rFonts w:eastAsia="Calibri" w:cs="Tahoma"/>
        </w:rPr>
        <w:t>J. 163/2005</w:t>
      </w:r>
      <w:r w:rsidRPr="008D02B3">
        <w:rPr>
          <w:rFonts w:eastAsia="Calibri" w:cs="Tahoma"/>
          <w:b/>
          <w:bCs/>
        </w:rPr>
        <w:t xml:space="preserve"> </w:t>
      </w:r>
      <w:r w:rsidRPr="008D02B3">
        <w:rPr>
          <w:rFonts w:eastAsia="Calibri" w:cs="Tahoma"/>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75536B39" w14:textId="77777777" w:rsidR="00B171A6" w:rsidRPr="008D02B3" w:rsidRDefault="00B171A6" w:rsidP="00B171A6">
      <w:pPr>
        <w:autoSpaceDE w:val="0"/>
        <w:autoSpaceDN w:val="0"/>
        <w:adjustRightInd w:val="0"/>
        <w:spacing w:after="0" w:line="360" w:lineRule="auto"/>
        <w:rPr>
          <w:rFonts w:eastAsia="Calibri" w:cs="Tahoma"/>
        </w:rPr>
      </w:pPr>
    </w:p>
    <w:p w14:paraId="1C4563FE" w14:textId="77777777" w:rsidR="00B171A6" w:rsidRPr="008D02B3" w:rsidRDefault="00B171A6" w:rsidP="00B171A6">
      <w:pPr>
        <w:autoSpaceDE w:val="0"/>
        <w:autoSpaceDN w:val="0"/>
        <w:adjustRightInd w:val="0"/>
        <w:spacing w:after="0" w:line="360" w:lineRule="auto"/>
        <w:rPr>
          <w:rFonts w:eastAsia="Calibri" w:cs="Tahoma"/>
        </w:rPr>
      </w:pPr>
      <w:r w:rsidRPr="008D02B3">
        <w:rPr>
          <w:rFonts w:eastAsia="Calibri" w:cs="Tahoma"/>
        </w:rPr>
        <w:t xml:space="preserve">En el presente caso, </w:t>
      </w:r>
      <w:r w:rsidRPr="008D02B3">
        <w:rPr>
          <w:rFonts w:eastAsia="Calibri" w:cs="Tahoma"/>
          <w:b/>
        </w:rPr>
        <w:t>no se actualiza ninguna de las causales de improcedencia</w:t>
      </w:r>
      <w:r w:rsidRPr="008D02B3">
        <w:rPr>
          <w:rFonts w:eastAsia="Calibri" w:cs="Tahoma"/>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2D19CB89" w14:textId="77777777" w:rsidR="00B171A6" w:rsidRPr="008D02B3" w:rsidRDefault="00B171A6" w:rsidP="00B171A6">
      <w:pPr>
        <w:spacing w:after="0" w:line="360" w:lineRule="auto"/>
        <w:rPr>
          <w:rFonts w:cs="Tahoma"/>
          <w:b/>
          <w:bCs/>
        </w:rPr>
      </w:pPr>
    </w:p>
    <w:p w14:paraId="209A0EC6" w14:textId="77777777" w:rsidR="00B171A6" w:rsidRPr="008D02B3" w:rsidRDefault="00B171A6" w:rsidP="0004148C">
      <w:pPr>
        <w:pStyle w:val="Ttulo2"/>
      </w:pPr>
      <w:bookmarkStart w:id="13" w:name="_Toc184777997"/>
      <w:r w:rsidRPr="008D02B3">
        <w:t>TERCERO. Causales de sobreseimiento</w:t>
      </w:r>
      <w:bookmarkEnd w:id="13"/>
    </w:p>
    <w:p w14:paraId="5135781A" w14:textId="77777777" w:rsidR="00B171A6" w:rsidRPr="008D02B3" w:rsidRDefault="00B171A6" w:rsidP="00B171A6">
      <w:pPr>
        <w:spacing w:after="0" w:line="360" w:lineRule="auto"/>
        <w:rPr>
          <w:rFonts w:cs="Tahoma"/>
          <w:b/>
          <w:bCs/>
        </w:rPr>
      </w:pPr>
    </w:p>
    <w:p w14:paraId="0B4D63CD" w14:textId="77777777" w:rsidR="00B171A6" w:rsidRPr="008D02B3" w:rsidRDefault="00B171A6" w:rsidP="00B171A6">
      <w:pPr>
        <w:spacing w:after="0" w:line="360" w:lineRule="auto"/>
        <w:rPr>
          <w:rFonts w:cs="Tahoma"/>
        </w:rPr>
      </w:pPr>
      <w:r w:rsidRPr="008D02B3">
        <w:rPr>
          <w:rFonts w:cs="Tahoma"/>
        </w:rPr>
        <w:lastRenderedPageBreak/>
        <w:t>Por ser de previo y especial pronunciamiento, este Instituto analiza si se actualiza alguna causal de sobreseimiento.</w:t>
      </w:r>
    </w:p>
    <w:p w14:paraId="32FA6798" w14:textId="77777777" w:rsidR="00B171A6" w:rsidRPr="008D02B3" w:rsidRDefault="00B171A6" w:rsidP="00B171A6">
      <w:pPr>
        <w:spacing w:after="0" w:line="360" w:lineRule="auto"/>
        <w:rPr>
          <w:rFonts w:cs="Tahoma"/>
        </w:rPr>
      </w:pPr>
    </w:p>
    <w:p w14:paraId="4B650DEE" w14:textId="77777777" w:rsidR="00B171A6" w:rsidRDefault="00B171A6" w:rsidP="00B171A6">
      <w:pPr>
        <w:spacing w:after="0" w:line="360" w:lineRule="auto"/>
        <w:rPr>
          <w:rFonts w:cs="Tahoma"/>
        </w:rPr>
      </w:pPr>
      <w:r w:rsidRPr="008D02B3">
        <w:rPr>
          <w:rFonts w:cs="Tahoma"/>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8D02B3">
        <w:rPr>
          <w:rFonts w:cs="Tahoma"/>
          <w:b/>
          <w:bCs/>
        </w:rPr>
        <w:t>que no se actualizan los supuestos de sobreseimiento previstos en las fracciones I, II</w:t>
      </w:r>
      <w:r>
        <w:rPr>
          <w:rFonts w:cs="Tahoma"/>
          <w:b/>
          <w:bCs/>
        </w:rPr>
        <w:t xml:space="preserve">, </w:t>
      </w:r>
      <w:r w:rsidRPr="008D02B3">
        <w:rPr>
          <w:rFonts w:cs="Tahoma"/>
          <w:b/>
          <w:bCs/>
        </w:rPr>
        <w:t>I</w:t>
      </w:r>
      <w:r w:rsidRPr="00A85439">
        <w:rPr>
          <w:rFonts w:cs="Tahoma"/>
          <w:b/>
          <w:bCs/>
        </w:rPr>
        <w:t>V y V</w:t>
      </w:r>
      <w:r w:rsidRPr="008D02B3">
        <w:rPr>
          <w:rFonts w:cs="Tahoma"/>
        </w:rPr>
        <w:t xml:space="preserve"> del artículo en comento, lo anterior, en virtud de que no hay constancias en el expediente en que se actúa, de que el Recurrente se haya desistido del recurso, haya fallecido</w:t>
      </w:r>
      <w:r>
        <w:rPr>
          <w:rFonts w:cs="Tahoma"/>
        </w:rPr>
        <w:t xml:space="preserve">, </w:t>
      </w:r>
      <w:r w:rsidRPr="008D02B3">
        <w:rPr>
          <w:rFonts w:cs="Tahoma"/>
        </w:rPr>
        <w:t>se haya actualizado alguna causal de improcedencia</w:t>
      </w:r>
      <w:r>
        <w:rPr>
          <w:rFonts w:cs="Tahoma"/>
        </w:rPr>
        <w:t xml:space="preserve"> o bien haya quedado sin materia por cualquier otro motivo.</w:t>
      </w:r>
    </w:p>
    <w:p w14:paraId="03B51906" w14:textId="77777777" w:rsidR="00DA48A3" w:rsidRDefault="00DA48A3" w:rsidP="00B171A6">
      <w:pPr>
        <w:spacing w:after="0" w:line="360" w:lineRule="auto"/>
        <w:rPr>
          <w:rFonts w:cs="Tahoma"/>
        </w:rPr>
      </w:pPr>
    </w:p>
    <w:p w14:paraId="375E159C" w14:textId="2E1C6822" w:rsidR="00DA48A3" w:rsidRPr="008D02B3" w:rsidRDefault="00DA48A3" w:rsidP="00B171A6">
      <w:pPr>
        <w:spacing w:after="0" w:line="360" w:lineRule="auto"/>
        <w:rPr>
          <w:rFonts w:cs="Tahoma"/>
        </w:rPr>
      </w:pPr>
      <w:r>
        <w:rPr>
          <w:rFonts w:cs="Tahoma"/>
        </w:rPr>
        <w:t xml:space="preserve">El Sujeto Obligado, a través de informe justificado remitió información, </w:t>
      </w:r>
      <w:r w:rsidR="00FF05CC">
        <w:rPr>
          <w:rFonts w:cs="Tahoma"/>
        </w:rPr>
        <w:t>a través del cual, satisface lo requerido por el Particular, por lo que se actualizó el presupuesto de la fracción III del artículo 192 invocado.</w:t>
      </w:r>
    </w:p>
    <w:p w14:paraId="7ED449E2" w14:textId="77777777" w:rsidR="00B171A6" w:rsidRDefault="00B171A6" w:rsidP="00B171A6">
      <w:pPr>
        <w:spacing w:after="0" w:line="360" w:lineRule="auto"/>
        <w:rPr>
          <w:rFonts w:cs="Tahoma"/>
        </w:rPr>
      </w:pPr>
    </w:p>
    <w:p w14:paraId="31236EEB" w14:textId="77777777" w:rsidR="00B171A6" w:rsidRDefault="00B171A6" w:rsidP="00B171A6">
      <w:pPr>
        <w:tabs>
          <w:tab w:val="left" w:pos="4962"/>
        </w:tabs>
        <w:spacing w:after="0" w:line="360" w:lineRule="auto"/>
        <w:contextualSpacing/>
        <w:rPr>
          <w:rFonts w:eastAsia="Calibri" w:cs="Tahoma"/>
          <w:iCs/>
          <w:lang w:eastAsia="es-ES_tradnl"/>
        </w:rPr>
      </w:pPr>
      <w:r w:rsidRPr="000858AD">
        <w:rPr>
          <w:rFonts w:eastAsia="Calibri" w:cs="Tahoma"/>
          <w:iCs/>
          <w:lang w:eastAsia="es-ES_tradnl"/>
        </w:rPr>
        <w:t>Con el objeto de ilustrar la controversia planteada, resulta conveniente precisar que, una vez realizado el estudio de las constancias que integran el expediente en que se actúa, se desprende que el Particular solicitó</w:t>
      </w:r>
      <w:r>
        <w:rPr>
          <w:rFonts w:eastAsia="Calibri" w:cs="Tahoma"/>
          <w:iCs/>
          <w:lang w:eastAsia="es-ES_tradnl"/>
        </w:rPr>
        <w:t xml:space="preserve"> la siguiente información:</w:t>
      </w:r>
    </w:p>
    <w:p w14:paraId="3763051D" w14:textId="77777777" w:rsidR="00B171A6" w:rsidRDefault="00B171A6" w:rsidP="00B171A6">
      <w:pPr>
        <w:tabs>
          <w:tab w:val="left" w:pos="4962"/>
        </w:tabs>
        <w:spacing w:after="0" w:line="360" w:lineRule="auto"/>
        <w:contextualSpacing/>
        <w:rPr>
          <w:rFonts w:eastAsia="Calibri" w:cs="Tahoma"/>
          <w:iCs/>
          <w:lang w:eastAsia="es-ES_tradnl"/>
        </w:rPr>
      </w:pPr>
    </w:p>
    <w:p w14:paraId="3D90634B" w14:textId="111C2689" w:rsidR="00FF05CC" w:rsidRPr="00FF05CC" w:rsidRDefault="00FF05CC" w:rsidP="00FF05CC">
      <w:pPr>
        <w:tabs>
          <w:tab w:val="left" w:pos="4667"/>
        </w:tabs>
        <w:spacing w:after="0" w:line="360" w:lineRule="auto"/>
        <w:ind w:left="567" w:right="567"/>
        <w:rPr>
          <w:iCs/>
        </w:rPr>
      </w:pPr>
      <w:r>
        <w:rPr>
          <w:iCs/>
          <w:color w:val="000000"/>
        </w:rPr>
        <w:t>R</w:t>
      </w:r>
      <w:r w:rsidRPr="00FF05CC">
        <w:rPr>
          <w:iCs/>
          <w:color w:val="000000"/>
        </w:rPr>
        <w:t xml:space="preserve">ecurso </w:t>
      </w:r>
      <w:r>
        <w:rPr>
          <w:iCs/>
          <w:color w:val="000000"/>
        </w:rPr>
        <w:t>disponible</w:t>
      </w:r>
      <w:r w:rsidRPr="00FF05CC">
        <w:rPr>
          <w:iCs/>
          <w:color w:val="000000"/>
        </w:rPr>
        <w:t xml:space="preserve"> para terminar el año </w:t>
      </w:r>
      <w:r>
        <w:rPr>
          <w:iCs/>
          <w:color w:val="000000"/>
        </w:rPr>
        <w:t xml:space="preserve">Sujeto Obligado </w:t>
      </w:r>
      <w:r w:rsidRPr="00FF05CC">
        <w:rPr>
          <w:iCs/>
          <w:color w:val="000000"/>
        </w:rPr>
        <w:t xml:space="preserve">y en que lo ejercerá la </w:t>
      </w:r>
      <w:r>
        <w:rPr>
          <w:iCs/>
          <w:color w:val="000000"/>
        </w:rPr>
        <w:t>T</w:t>
      </w:r>
      <w:r w:rsidRPr="00FF05CC">
        <w:rPr>
          <w:iCs/>
          <w:color w:val="000000"/>
        </w:rPr>
        <w:t>esorería.</w:t>
      </w:r>
    </w:p>
    <w:p w14:paraId="02A88BE7" w14:textId="77777777" w:rsidR="00FF05CC" w:rsidRDefault="00FF05CC" w:rsidP="00B171A6">
      <w:pPr>
        <w:tabs>
          <w:tab w:val="left" w:pos="4962"/>
        </w:tabs>
        <w:spacing w:after="0" w:line="360" w:lineRule="auto"/>
        <w:rPr>
          <w:rFonts w:cs="Tahoma"/>
          <w:bCs/>
          <w:i/>
        </w:rPr>
      </w:pPr>
    </w:p>
    <w:p w14:paraId="1DE9202B" w14:textId="7D1722BB" w:rsidR="00B171A6" w:rsidRDefault="00B171A6" w:rsidP="00F507B9">
      <w:pPr>
        <w:tabs>
          <w:tab w:val="left" w:pos="4962"/>
        </w:tabs>
        <w:spacing w:after="0" w:line="360" w:lineRule="auto"/>
        <w:contextualSpacing/>
        <w:rPr>
          <w:rFonts w:cs="Tahoma"/>
        </w:rPr>
      </w:pPr>
      <w:r w:rsidRPr="00A35EC4">
        <w:rPr>
          <w:rFonts w:cs="Tahoma"/>
        </w:rPr>
        <w:t xml:space="preserve">El Sujeto Obligado, </w:t>
      </w:r>
      <w:r w:rsidR="00F507B9">
        <w:rPr>
          <w:rFonts w:cs="Tahoma"/>
        </w:rPr>
        <w:t>en respuesta</w:t>
      </w:r>
      <w:r w:rsidR="00FF05CC">
        <w:rPr>
          <w:rFonts w:cs="Tahoma"/>
        </w:rPr>
        <w:t>, entregó un acuerdo de clasificación de la totalidad de la información como reservada, lo que generó inconformidad en el Particular, quien expresó que se le negó la información con el argumento de encontrarse clasificada.</w:t>
      </w:r>
    </w:p>
    <w:p w14:paraId="1FEB03C3" w14:textId="6901B975" w:rsidR="00FF05CC" w:rsidRDefault="00FF05CC" w:rsidP="00F507B9">
      <w:pPr>
        <w:tabs>
          <w:tab w:val="left" w:pos="4962"/>
        </w:tabs>
        <w:spacing w:after="0" w:line="360" w:lineRule="auto"/>
        <w:contextualSpacing/>
        <w:rPr>
          <w:rFonts w:cs="Tahoma"/>
        </w:rPr>
      </w:pPr>
    </w:p>
    <w:p w14:paraId="56A3D812" w14:textId="77777777" w:rsidR="00B5660F" w:rsidRDefault="005A1365" w:rsidP="00F507B9">
      <w:pPr>
        <w:tabs>
          <w:tab w:val="left" w:pos="4962"/>
        </w:tabs>
        <w:spacing w:after="0" w:line="360" w:lineRule="auto"/>
        <w:contextualSpacing/>
      </w:pPr>
      <w:r>
        <w:rPr>
          <w:rFonts w:cs="Tahoma"/>
        </w:rPr>
        <w:lastRenderedPageBreak/>
        <w:t xml:space="preserve">Así, en Informe Justificado el </w:t>
      </w:r>
      <w:r w:rsidRPr="00CE6CD5">
        <w:t xml:space="preserve">Sistema Municipal </w:t>
      </w:r>
      <w:r>
        <w:t>p</w:t>
      </w:r>
      <w:r w:rsidRPr="00CE6CD5">
        <w:t>ara el Desarrollo Integral de la Familia de Nezahualcóyotl</w:t>
      </w:r>
      <w:r>
        <w:t xml:space="preserve">, por conducto de su Tesorería, modificó </w:t>
      </w:r>
      <w:r w:rsidR="00B5660F">
        <w:t>su respuesta</w:t>
      </w:r>
      <w:r>
        <w:t xml:space="preserve"> </w:t>
      </w:r>
      <w:r w:rsidR="00B5660F">
        <w:t xml:space="preserve">a través de un documento, </w:t>
      </w:r>
      <w:r>
        <w:t xml:space="preserve">que puede ser </w:t>
      </w:r>
      <w:r w:rsidR="00B5660F">
        <w:t>dividido</w:t>
      </w:r>
      <w:r w:rsidR="004A6159">
        <w:t xml:space="preserve"> en dos</w:t>
      </w:r>
      <w:r w:rsidR="00B5660F">
        <w:t>.</w:t>
      </w:r>
    </w:p>
    <w:p w14:paraId="6374F11B" w14:textId="77777777" w:rsidR="00B5660F" w:rsidRDefault="00B5660F" w:rsidP="00F507B9">
      <w:pPr>
        <w:tabs>
          <w:tab w:val="left" w:pos="4962"/>
        </w:tabs>
        <w:spacing w:after="0" w:line="360" w:lineRule="auto"/>
        <w:contextualSpacing/>
      </w:pPr>
    </w:p>
    <w:p w14:paraId="30865C6E" w14:textId="6D1CE610" w:rsidR="005A1365" w:rsidRDefault="00B5660F" w:rsidP="00F507B9">
      <w:pPr>
        <w:tabs>
          <w:tab w:val="left" w:pos="4962"/>
        </w:tabs>
        <w:spacing w:after="0" w:line="360" w:lineRule="auto"/>
        <w:contextualSpacing/>
      </w:pPr>
      <w:r>
        <w:t>En respuesta</w:t>
      </w:r>
      <w:r w:rsidR="009F25B3">
        <w:t>,</w:t>
      </w:r>
      <w:r>
        <w:t xml:space="preserve"> atendió </w:t>
      </w:r>
      <w:r w:rsidR="009F25B3">
        <w:t xml:space="preserve">el </w:t>
      </w:r>
      <w:r>
        <w:t>primer punto de la respuesta, en donde la Tesorería</w:t>
      </w:r>
      <w:r w:rsidR="004A6159">
        <w:t xml:space="preserve"> respondió que el presupuesto por ejerce</w:t>
      </w:r>
      <w:r w:rsidR="00A332BA">
        <w:t xml:space="preserve">r al mes de octubre es de </w:t>
      </w:r>
      <w:r w:rsidR="00A332BA" w:rsidRPr="00A332BA">
        <w:t>$65</w:t>
      </w:r>
      <w:r w:rsidR="00E753D3" w:rsidRPr="00A332BA">
        <w:t>, 138,205.58</w:t>
      </w:r>
      <w:r w:rsidR="00A332BA" w:rsidRPr="00A332BA">
        <w:t xml:space="preserve"> (sesenta y cinco millones ciento treinta y ocho mil doscientos cinco pesos 58/100 m.n.)</w:t>
      </w:r>
      <w:r>
        <w:t>.</w:t>
      </w:r>
    </w:p>
    <w:p w14:paraId="7321AAFD" w14:textId="77777777" w:rsidR="00B5660F" w:rsidRDefault="00B5660F" w:rsidP="00F507B9">
      <w:pPr>
        <w:tabs>
          <w:tab w:val="left" w:pos="4962"/>
        </w:tabs>
        <w:spacing w:after="0" w:line="360" w:lineRule="auto"/>
        <w:contextualSpacing/>
      </w:pPr>
    </w:p>
    <w:p w14:paraId="1D8DD0B4" w14:textId="454C59A1" w:rsidR="00B5660F" w:rsidRDefault="00B5660F" w:rsidP="00F507B9">
      <w:pPr>
        <w:tabs>
          <w:tab w:val="left" w:pos="4962"/>
        </w:tabs>
        <w:spacing w:after="0" w:line="360" w:lineRule="auto"/>
        <w:contextualSpacing/>
      </w:pPr>
      <w:r>
        <w:t xml:space="preserve">El segundo de los puntos, referente </w:t>
      </w:r>
      <w:r w:rsidR="009F25B3">
        <w:t>a conocer en qué será destinado el presupuesto</w:t>
      </w:r>
      <w:r>
        <w:t xml:space="preserve">, se contempla en el </w:t>
      </w:r>
      <w:r w:rsidR="00005FEF">
        <w:t>Avance presupuestal de egresos, que contempla en once columnas, el desglose</w:t>
      </w:r>
      <w:r w:rsidR="000448D9">
        <w:t xml:space="preserve"> presupuestal y de ellas, nos interesan tres, que son </w:t>
      </w:r>
      <w:r w:rsidR="00D555AB">
        <w:t>la cuenta, el concepto y el presupuesto por ejercer:</w:t>
      </w:r>
    </w:p>
    <w:p w14:paraId="53A57F3B" w14:textId="77777777" w:rsidR="004A3A3E" w:rsidRDefault="004A3A3E" w:rsidP="00F507B9">
      <w:pPr>
        <w:tabs>
          <w:tab w:val="left" w:pos="4962"/>
        </w:tabs>
        <w:spacing w:after="0" w:line="360" w:lineRule="auto"/>
        <w:contextualSpacing/>
      </w:pPr>
    </w:p>
    <w:p w14:paraId="478D8C1E" w14:textId="19D1611C" w:rsidR="004A3A3E" w:rsidRDefault="009F25B3" w:rsidP="00F507B9">
      <w:pPr>
        <w:tabs>
          <w:tab w:val="left" w:pos="4962"/>
        </w:tabs>
        <w:spacing w:after="0" w:line="360" w:lineRule="auto"/>
        <w:contextualSpacing/>
      </w:pPr>
      <w:r w:rsidRPr="004A3A3E">
        <w:rPr>
          <w:noProof/>
        </w:rPr>
        <w:drawing>
          <wp:anchor distT="0" distB="0" distL="114300" distR="114300" simplePos="0" relativeHeight="251659264" behindDoc="0" locked="0" layoutInCell="1" allowOverlap="1" wp14:anchorId="2F4C249B" wp14:editId="630E71DC">
            <wp:simplePos x="0" y="0"/>
            <wp:positionH relativeFrom="column">
              <wp:posOffset>3509608</wp:posOffset>
            </wp:positionH>
            <wp:positionV relativeFrom="paragraph">
              <wp:posOffset>127787</wp:posOffset>
            </wp:positionV>
            <wp:extent cx="990600" cy="3143250"/>
            <wp:effectExtent l="0" t="0" r="0" b="0"/>
            <wp:wrapNone/>
            <wp:docPr id="930468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8959" name=""/>
                    <pic:cNvPicPr/>
                  </pic:nvPicPr>
                  <pic:blipFill rotWithShape="1">
                    <a:blip r:embed="rId9">
                      <a:extLst>
                        <a:ext uri="{28A0092B-C50C-407E-A947-70E740481C1C}">
                          <a14:useLocalDpi xmlns:a14="http://schemas.microsoft.com/office/drawing/2010/main" val="0"/>
                        </a:ext>
                      </a:extLst>
                    </a:blip>
                    <a:srcRect b="18519"/>
                    <a:stretch/>
                  </pic:blipFill>
                  <pic:spPr bwMode="auto">
                    <a:xfrm>
                      <a:off x="0" y="0"/>
                      <a:ext cx="990600" cy="314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3A3E">
        <w:rPr>
          <w:noProof/>
        </w:rPr>
        <w:drawing>
          <wp:anchor distT="0" distB="0" distL="114300" distR="114300" simplePos="0" relativeHeight="251658240" behindDoc="0" locked="0" layoutInCell="1" allowOverlap="1" wp14:anchorId="7FC3DF55" wp14:editId="3F91E87A">
            <wp:simplePos x="0" y="0"/>
            <wp:positionH relativeFrom="column">
              <wp:posOffset>612661</wp:posOffset>
            </wp:positionH>
            <wp:positionV relativeFrom="paragraph">
              <wp:posOffset>101448</wp:posOffset>
            </wp:positionV>
            <wp:extent cx="2648320" cy="3143689"/>
            <wp:effectExtent l="0" t="0" r="0" b="0"/>
            <wp:wrapNone/>
            <wp:docPr id="1116693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93867" name=""/>
                    <pic:cNvPicPr/>
                  </pic:nvPicPr>
                  <pic:blipFill>
                    <a:blip r:embed="rId10">
                      <a:extLst>
                        <a:ext uri="{28A0092B-C50C-407E-A947-70E740481C1C}">
                          <a14:useLocalDpi xmlns:a14="http://schemas.microsoft.com/office/drawing/2010/main" val="0"/>
                        </a:ext>
                      </a:extLst>
                    </a:blip>
                    <a:stretch>
                      <a:fillRect/>
                    </a:stretch>
                  </pic:blipFill>
                  <pic:spPr>
                    <a:xfrm>
                      <a:off x="0" y="0"/>
                      <a:ext cx="2648320" cy="3143689"/>
                    </a:xfrm>
                    <a:prstGeom prst="rect">
                      <a:avLst/>
                    </a:prstGeom>
                  </pic:spPr>
                </pic:pic>
              </a:graphicData>
            </a:graphic>
            <wp14:sizeRelH relativeFrom="page">
              <wp14:pctWidth>0</wp14:pctWidth>
            </wp14:sizeRelH>
            <wp14:sizeRelV relativeFrom="page">
              <wp14:pctHeight>0</wp14:pctHeight>
            </wp14:sizeRelV>
          </wp:anchor>
        </w:drawing>
      </w:r>
    </w:p>
    <w:p w14:paraId="2718FBEB" w14:textId="54E41834" w:rsidR="004A3A3E" w:rsidRDefault="004A3A3E" w:rsidP="00F507B9">
      <w:pPr>
        <w:tabs>
          <w:tab w:val="left" w:pos="4962"/>
        </w:tabs>
        <w:spacing w:after="0" w:line="360" w:lineRule="auto"/>
        <w:contextualSpacing/>
      </w:pPr>
    </w:p>
    <w:p w14:paraId="051FFEC3" w14:textId="006C8E49" w:rsidR="004A3A3E" w:rsidRDefault="004A3A3E" w:rsidP="00F507B9">
      <w:pPr>
        <w:tabs>
          <w:tab w:val="left" w:pos="4962"/>
        </w:tabs>
        <w:spacing w:after="0" w:line="360" w:lineRule="auto"/>
        <w:contextualSpacing/>
      </w:pPr>
    </w:p>
    <w:p w14:paraId="57F7AAFF" w14:textId="11EB0024" w:rsidR="004A3A3E" w:rsidRDefault="004A3A3E" w:rsidP="00F507B9">
      <w:pPr>
        <w:tabs>
          <w:tab w:val="left" w:pos="4962"/>
        </w:tabs>
        <w:spacing w:after="0" w:line="360" w:lineRule="auto"/>
        <w:contextualSpacing/>
      </w:pPr>
    </w:p>
    <w:p w14:paraId="5044AC87" w14:textId="20855539" w:rsidR="004A3A3E" w:rsidRDefault="004A3A3E" w:rsidP="00F507B9">
      <w:pPr>
        <w:tabs>
          <w:tab w:val="left" w:pos="4962"/>
        </w:tabs>
        <w:spacing w:after="0" w:line="360" w:lineRule="auto"/>
        <w:contextualSpacing/>
      </w:pPr>
    </w:p>
    <w:p w14:paraId="6C84FA99" w14:textId="62619184" w:rsidR="004A3A3E" w:rsidRDefault="004A3A3E" w:rsidP="00F507B9">
      <w:pPr>
        <w:tabs>
          <w:tab w:val="left" w:pos="4962"/>
        </w:tabs>
        <w:spacing w:after="0" w:line="360" w:lineRule="auto"/>
        <w:contextualSpacing/>
      </w:pPr>
    </w:p>
    <w:p w14:paraId="2910B699" w14:textId="77777777" w:rsidR="004A3A3E" w:rsidRDefault="004A3A3E" w:rsidP="00F507B9">
      <w:pPr>
        <w:tabs>
          <w:tab w:val="left" w:pos="4962"/>
        </w:tabs>
        <w:spacing w:after="0" w:line="360" w:lineRule="auto"/>
        <w:contextualSpacing/>
      </w:pPr>
    </w:p>
    <w:p w14:paraId="2206F5BB" w14:textId="7921471A" w:rsidR="004A3A3E" w:rsidRDefault="004A3A3E" w:rsidP="00F507B9">
      <w:pPr>
        <w:tabs>
          <w:tab w:val="left" w:pos="4962"/>
        </w:tabs>
        <w:spacing w:after="0" w:line="360" w:lineRule="auto"/>
        <w:contextualSpacing/>
      </w:pPr>
    </w:p>
    <w:p w14:paraId="78A87CC3" w14:textId="77777777" w:rsidR="004A6159" w:rsidRDefault="004A6159" w:rsidP="00F507B9">
      <w:pPr>
        <w:tabs>
          <w:tab w:val="left" w:pos="4962"/>
        </w:tabs>
        <w:spacing w:after="0" w:line="360" w:lineRule="auto"/>
        <w:contextualSpacing/>
      </w:pPr>
    </w:p>
    <w:p w14:paraId="5F7AF5F8" w14:textId="77777777" w:rsidR="004A3A3E" w:rsidRDefault="004A3A3E" w:rsidP="00F507B9">
      <w:pPr>
        <w:tabs>
          <w:tab w:val="left" w:pos="4962"/>
        </w:tabs>
        <w:spacing w:after="0" w:line="360" w:lineRule="auto"/>
        <w:contextualSpacing/>
      </w:pPr>
    </w:p>
    <w:p w14:paraId="6FD62827" w14:textId="77777777" w:rsidR="004A3A3E" w:rsidRDefault="004A3A3E" w:rsidP="00F507B9">
      <w:pPr>
        <w:tabs>
          <w:tab w:val="left" w:pos="4962"/>
        </w:tabs>
        <w:spacing w:after="0" w:line="360" w:lineRule="auto"/>
        <w:contextualSpacing/>
      </w:pPr>
    </w:p>
    <w:p w14:paraId="7FDC0C64" w14:textId="77777777" w:rsidR="004A3A3E" w:rsidRDefault="004A3A3E" w:rsidP="00F507B9">
      <w:pPr>
        <w:tabs>
          <w:tab w:val="left" w:pos="4962"/>
        </w:tabs>
        <w:spacing w:after="0" w:line="360" w:lineRule="auto"/>
        <w:contextualSpacing/>
      </w:pPr>
    </w:p>
    <w:p w14:paraId="66D6DC6D" w14:textId="77777777" w:rsidR="004A3A3E" w:rsidRDefault="004A3A3E" w:rsidP="00F507B9">
      <w:pPr>
        <w:tabs>
          <w:tab w:val="left" w:pos="4962"/>
        </w:tabs>
        <w:spacing w:after="0" w:line="360" w:lineRule="auto"/>
        <w:contextualSpacing/>
      </w:pPr>
    </w:p>
    <w:p w14:paraId="74DB3782" w14:textId="4897614D" w:rsidR="00D546D7" w:rsidRDefault="00B764C9" w:rsidP="00F507B9">
      <w:pPr>
        <w:tabs>
          <w:tab w:val="left" w:pos="4962"/>
        </w:tabs>
        <w:spacing w:after="0" w:line="360" w:lineRule="auto"/>
        <w:contextualSpacing/>
      </w:pPr>
      <w:r>
        <w:lastRenderedPageBreak/>
        <w:t xml:space="preserve">Así el Sujeto Obligado, remitió a través de informe justificado, respuesta a la solicitud, respecto a ambos puntos del requerimiento inicial, por lo que únicamente queda analizar si quien se pronunció cuenta con atribuciones para poseer la información </w:t>
      </w:r>
      <w:r w:rsidR="004E3434">
        <w:t>y,</w:t>
      </w:r>
      <w:r>
        <w:t xml:space="preserve"> por otra parte, </w:t>
      </w:r>
      <w:r w:rsidR="0032136B">
        <w:t xml:space="preserve">si la información remitida, cuenta con la naturaleza para atender a lo requerido. </w:t>
      </w:r>
    </w:p>
    <w:p w14:paraId="751FE742" w14:textId="77777777" w:rsidR="0032136B" w:rsidRDefault="0032136B" w:rsidP="00F507B9">
      <w:pPr>
        <w:tabs>
          <w:tab w:val="left" w:pos="4962"/>
        </w:tabs>
        <w:spacing w:after="0" w:line="360" w:lineRule="auto"/>
        <w:contextualSpacing/>
      </w:pPr>
    </w:p>
    <w:p w14:paraId="323EC734" w14:textId="083AD912" w:rsidR="0032136B" w:rsidRDefault="009F25B3" w:rsidP="00F507B9">
      <w:pPr>
        <w:tabs>
          <w:tab w:val="left" w:pos="4962"/>
        </w:tabs>
        <w:spacing w:after="0" w:line="360" w:lineRule="auto"/>
        <w:contextualSpacing/>
      </w:pPr>
      <w:r>
        <w:t>D</w:t>
      </w:r>
      <w:r w:rsidR="006F13F2">
        <w:t>ebemos señalar que fue la Tesorería</w:t>
      </w:r>
      <w:r>
        <w:t xml:space="preserve"> quien dio atención a la respuesta,</w:t>
      </w:r>
      <w:r w:rsidR="006F13F2">
        <w:t xml:space="preserve"> área que fue señalada por el Particular desde la solicitud, </w:t>
      </w:r>
      <w:r w:rsidR="00D67BF2">
        <w:t>no obstante, a efecto de ratificar esto, debemos analizar normativamente la competencia por lo cual, en</w:t>
      </w:r>
      <w:r w:rsidR="00F97A64">
        <w:t xml:space="preserve"> los artículos </w:t>
      </w:r>
      <w:r w:rsidR="00FF31BD">
        <w:t>71, 72, 73 y 74</w:t>
      </w:r>
      <w:r w:rsidR="00991ECE">
        <w:t xml:space="preserve"> </w:t>
      </w:r>
      <w:r w:rsidR="00F97A64">
        <w:t xml:space="preserve"> Reglamento Interno </w:t>
      </w:r>
      <w:r w:rsidR="00FF31BD">
        <w:t>del</w:t>
      </w:r>
      <w:r w:rsidR="00F97A64">
        <w:t xml:space="preserve"> Sistema Municipal </w:t>
      </w:r>
      <w:r w:rsidR="00FF31BD">
        <w:t xml:space="preserve">para el </w:t>
      </w:r>
      <w:r w:rsidR="00F97A64">
        <w:t xml:space="preserve">Desarrollo Integral </w:t>
      </w:r>
      <w:r w:rsidR="00FF31BD">
        <w:t>de la</w:t>
      </w:r>
      <w:r w:rsidR="00F97A64">
        <w:t xml:space="preserve"> Familia </w:t>
      </w:r>
      <w:r w:rsidR="00FF31BD">
        <w:t>de</w:t>
      </w:r>
      <w:r w:rsidR="00F97A64">
        <w:t xml:space="preserve"> Nezahualcóyotl</w:t>
      </w:r>
      <w:r w:rsidR="00BA1D43">
        <w:t xml:space="preserve"> de la administración 2022-2024</w:t>
      </w:r>
      <w:r w:rsidR="00FF31BD">
        <w:t xml:space="preserve">, se contempla que </w:t>
      </w:r>
      <w:r w:rsidR="00AC4783">
        <w:t>la Titular de la Tesorería es la responsable del manejo del presupuesto del SMDIF, y de la administración de los recursos que conforman el patrimonio del organismo, así como de dar cuentas de los mismos.</w:t>
      </w:r>
    </w:p>
    <w:p w14:paraId="7CDF1653" w14:textId="77777777" w:rsidR="00AC4783" w:rsidRDefault="00AC4783" w:rsidP="00F507B9">
      <w:pPr>
        <w:tabs>
          <w:tab w:val="left" w:pos="4962"/>
        </w:tabs>
        <w:spacing w:after="0" w:line="360" w:lineRule="auto"/>
        <w:contextualSpacing/>
      </w:pPr>
    </w:p>
    <w:p w14:paraId="640AB776" w14:textId="227EAA77" w:rsidR="00AC4783" w:rsidRDefault="00AC4783" w:rsidP="00F507B9">
      <w:pPr>
        <w:tabs>
          <w:tab w:val="left" w:pos="4962"/>
        </w:tabs>
        <w:spacing w:after="0" w:line="360" w:lineRule="auto"/>
        <w:contextualSpacing/>
      </w:pPr>
      <w:r>
        <w:t>Por lo cual, es el área competente para pronunciarse al respecto.</w:t>
      </w:r>
    </w:p>
    <w:p w14:paraId="6F3EF293" w14:textId="77777777" w:rsidR="00AC4783" w:rsidRDefault="00AC4783" w:rsidP="00F507B9">
      <w:pPr>
        <w:tabs>
          <w:tab w:val="left" w:pos="4962"/>
        </w:tabs>
        <w:spacing w:after="0" w:line="360" w:lineRule="auto"/>
        <w:contextualSpacing/>
      </w:pPr>
    </w:p>
    <w:p w14:paraId="0748ACB7" w14:textId="27CF7647" w:rsidR="00AC4783" w:rsidRDefault="009F25B3" w:rsidP="00F507B9">
      <w:pPr>
        <w:tabs>
          <w:tab w:val="left" w:pos="4962"/>
        </w:tabs>
        <w:spacing w:after="0" w:line="360" w:lineRule="auto"/>
        <w:contextualSpacing/>
      </w:pPr>
      <w:r>
        <w:t>En este sentido, e</w:t>
      </w:r>
      <w:r w:rsidR="004E3434">
        <w:t xml:space="preserve">l Sujeto Obligado, </w:t>
      </w:r>
      <w:r>
        <w:t>entregó</w:t>
      </w:r>
      <w:r w:rsidR="004E3434">
        <w:t xml:space="preserve"> el presupuesto por ejercer, que fue lo solicitado </w:t>
      </w:r>
      <w:r w:rsidR="001923E7">
        <w:t>y,</w:t>
      </w:r>
      <w:r w:rsidR="004E3434">
        <w:t xml:space="preserve"> además, hizo entrega del documento soporte, que contiene la información</w:t>
      </w:r>
      <w:r>
        <w:t xml:space="preserve">, incluso lo proporcionó </w:t>
      </w:r>
      <w:r w:rsidR="004E3434">
        <w:t xml:space="preserve">a un detalle </w:t>
      </w:r>
      <w:r>
        <w:t>más</w:t>
      </w:r>
      <w:r w:rsidR="004E3434">
        <w:t xml:space="preserve"> amplio</w:t>
      </w:r>
      <w:r>
        <w:t>,</w:t>
      </w:r>
      <w:r w:rsidR="004E3434">
        <w:t xml:space="preserve"> que permite al Particular, conocer las modificaciones que se realizaron al Presupuesto de Egresos.</w:t>
      </w:r>
    </w:p>
    <w:p w14:paraId="5528FE99" w14:textId="77777777" w:rsidR="004E3434" w:rsidRDefault="004E3434" w:rsidP="00F507B9">
      <w:pPr>
        <w:tabs>
          <w:tab w:val="left" w:pos="4962"/>
        </w:tabs>
        <w:spacing w:after="0" w:line="360" w:lineRule="auto"/>
        <w:contextualSpacing/>
      </w:pPr>
    </w:p>
    <w:p w14:paraId="6C07DB20" w14:textId="3D23C5D9" w:rsidR="004E3434" w:rsidRDefault="004E3434" w:rsidP="00F507B9">
      <w:pPr>
        <w:tabs>
          <w:tab w:val="left" w:pos="4962"/>
        </w:tabs>
        <w:spacing w:after="0" w:line="360" w:lineRule="auto"/>
        <w:contextualSpacing/>
      </w:pPr>
      <w:r>
        <w:t xml:space="preserve">Así, toda vez </w:t>
      </w:r>
      <w:r w:rsidR="004C1D0B">
        <w:t>que,</w:t>
      </w:r>
      <w:r>
        <w:t xml:space="preserve"> a través del informe justificado, se modific</w:t>
      </w:r>
      <w:r w:rsidR="009F25B3">
        <w:t>ó</w:t>
      </w:r>
      <w:r>
        <w:t xml:space="preserve"> la respuesta de tal manera que dejó sin efectos el medio de impugnación, es dable sobreseer el Recurso de Revisión, en </w:t>
      </w:r>
      <w:r w:rsidR="00BA1D43">
        <w:t>términos</w:t>
      </w:r>
      <w:r>
        <w:t xml:space="preserve"> </w:t>
      </w:r>
      <w:r w:rsidR="004C1D0B">
        <w:t>de los artículos</w:t>
      </w:r>
      <w:r>
        <w:t xml:space="preserve"> 192</w:t>
      </w:r>
      <w:r w:rsidR="00BA1D43">
        <w:t xml:space="preserve"> fracción III de la Ley de Transparencia, que señala:</w:t>
      </w:r>
    </w:p>
    <w:p w14:paraId="2A8B6A0D" w14:textId="77777777" w:rsidR="00034665" w:rsidRDefault="00034665" w:rsidP="00F507B9">
      <w:pPr>
        <w:tabs>
          <w:tab w:val="left" w:pos="4962"/>
        </w:tabs>
        <w:spacing w:after="0" w:line="360" w:lineRule="auto"/>
        <w:contextualSpacing/>
      </w:pPr>
    </w:p>
    <w:p w14:paraId="0A43D5DA" w14:textId="27A64A5C" w:rsidR="00034665" w:rsidRDefault="00034665" w:rsidP="00034665">
      <w:pPr>
        <w:tabs>
          <w:tab w:val="left" w:pos="4962"/>
        </w:tabs>
        <w:spacing w:after="0" w:line="360" w:lineRule="auto"/>
        <w:ind w:left="567" w:right="567"/>
        <w:contextualSpacing/>
        <w:rPr>
          <w:i/>
          <w:iCs/>
          <w:sz w:val="20"/>
          <w:szCs w:val="20"/>
        </w:rPr>
      </w:pPr>
      <w:r w:rsidRPr="00034665">
        <w:rPr>
          <w:i/>
          <w:iCs/>
          <w:sz w:val="20"/>
          <w:szCs w:val="20"/>
        </w:rPr>
        <w:t>Artículo 192. El recurso será sobreseído, en todo o en parte, cuando una vez admitido, se actualicen alguno de los siguientes supuestos:</w:t>
      </w:r>
    </w:p>
    <w:p w14:paraId="11AA7F20" w14:textId="2635565C" w:rsidR="00034665" w:rsidRDefault="00034665" w:rsidP="00034665">
      <w:pPr>
        <w:tabs>
          <w:tab w:val="left" w:pos="4962"/>
        </w:tabs>
        <w:spacing w:after="0" w:line="360" w:lineRule="auto"/>
        <w:ind w:left="567" w:right="567"/>
        <w:contextualSpacing/>
        <w:rPr>
          <w:i/>
          <w:iCs/>
          <w:sz w:val="20"/>
          <w:szCs w:val="20"/>
        </w:rPr>
      </w:pPr>
      <w:r>
        <w:rPr>
          <w:i/>
          <w:iCs/>
          <w:sz w:val="20"/>
          <w:szCs w:val="20"/>
        </w:rPr>
        <w:lastRenderedPageBreak/>
        <w:t>…</w:t>
      </w:r>
    </w:p>
    <w:p w14:paraId="6D90677F" w14:textId="77777777" w:rsidR="004C1D0B" w:rsidRPr="004C1D0B" w:rsidRDefault="004C1D0B" w:rsidP="004C1D0B">
      <w:pPr>
        <w:tabs>
          <w:tab w:val="left" w:pos="4962"/>
        </w:tabs>
        <w:spacing w:after="0" w:line="360" w:lineRule="auto"/>
        <w:ind w:left="567" w:right="567"/>
        <w:contextualSpacing/>
        <w:rPr>
          <w:i/>
          <w:iCs/>
          <w:sz w:val="20"/>
          <w:szCs w:val="20"/>
        </w:rPr>
      </w:pPr>
      <w:r w:rsidRPr="004C1D0B">
        <w:rPr>
          <w:i/>
          <w:iCs/>
          <w:sz w:val="20"/>
          <w:szCs w:val="20"/>
        </w:rPr>
        <w:t>III. El sujeto obligado responsable del acto lo modifique o revoque de tal manera que el recurso de</w:t>
      </w:r>
    </w:p>
    <w:p w14:paraId="6CCE58A3" w14:textId="57DF7177" w:rsidR="00034665" w:rsidRDefault="004C1D0B" w:rsidP="004C1D0B">
      <w:pPr>
        <w:tabs>
          <w:tab w:val="left" w:pos="4962"/>
        </w:tabs>
        <w:spacing w:after="0" w:line="360" w:lineRule="auto"/>
        <w:ind w:left="567" w:right="567"/>
        <w:contextualSpacing/>
        <w:rPr>
          <w:i/>
          <w:iCs/>
          <w:sz w:val="20"/>
          <w:szCs w:val="20"/>
        </w:rPr>
      </w:pPr>
      <w:proofErr w:type="gramStart"/>
      <w:r w:rsidRPr="004C1D0B">
        <w:rPr>
          <w:i/>
          <w:iCs/>
          <w:sz w:val="20"/>
          <w:szCs w:val="20"/>
        </w:rPr>
        <w:t>rev</w:t>
      </w:r>
      <w:bookmarkStart w:id="14" w:name="_GoBack"/>
      <w:bookmarkEnd w:id="14"/>
      <w:r w:rsidRPr="004C1D0B">
        <w:rPr>
          <w:i/>
          <w:iCs/>
          <w:sz w:val="20"/>
          <w:szCs w:val="20"/>
        </w:rPr>
        <w:t>isión</w:t>
      </w:r>
      <w:proofErr w:type="gramEnd"/>
      <w:r w:rsidRPr="004C1D0B">
        <w:rPr>
          <w:i/>
          <w:iCs/>
          <w:sz w:val="20"/>
          <w:szCs w:val="20"/>
        </w:rPr>
        <w:t xml:space="preserve"> quede sin materia;</w:t>
      </w:r>
    </w:p>
    <w:p w14:paraId="646D11E7" w14:textId="6A620501" w:rsidR="004C1D0B" w:rsidRPr="00034665" w:rsidRDefault="004C1D0B" w:rsidP="004C1D0B">
      <w:pPr>
        <w:tabs>
          <w:tab w:val="left" w:pos="4962"/>
        </w:tabs>
        <w:spacing w:after="0" w:line="360" w:lineRule="auto"/>
        <w:ind w:left="567" w:right="567"/>
        <w:contextualSpacing/>
        <w:rPr>
          <w:i/>
          <w:iCs/>
          <w:sz w:val="20"/>
          <w:szCs w:val="20"/>
        </w:rPr>
      </w:pPr>
      <w:r>
        <w:rPr>
          <w:i/>
          <w:iCs/>
          <w:sz w:val="20"/>
          <w:szCs w:val="20"/>
        </w:rPr>
        <w:t>…</w:t>
      </w:r>
    </w:p>
    <w:p w14:paraId="500B7993" w14:textId="77777777" w:rsidR="00B171A6" w:rsidRDefault="00B171A6" w:rsidP="00B171A6">
      <w:pPr>
        <w:spacing w:after="0" w:line="360" w:lineRule="auto"/>
        <w:contextualSpacing/>
        <w:rPr>
          <w:rFonts w:cs="Tahoma"/>
          <w:b/>
        </w:rPr>
      </w:pPr>
    </w:p>
    <w:p w14:paraId="7EC1CF0C" w14:textId="5B781C27" w:rsidR="004C1D0B" w:rsidRPr="004C1D0B" w:rsidRDefault="004C1D0B" w:rsidP="00B171A6">
      <w:pPr>
        <w:spacing w:after="0" w:line="360" w:lineRule="auto"/>
        <w:contextualSpacing/>
        <w:rPr>
          <w:rFonts w:cs="Tahoma"/>
          <w:bCs/>
        </w:rPr>
      </w:pPr>
      <w:r w:rsidRPr="004C1D0B">
        <w:rPr>
          <w:rFonts w:cs="Tahoma"/>
          <w:bCs/>
        </w:rPr>
        <w:t>Esto en virtud de con el informe justificado, se entregó la totalidad de lo requerido.</w:t>
      </w:r>
    </w:p>
    <w:p w14:paraId="2E982B56" w14:textId="77777777" w:rsidR="004C1D0B" w:rsidRDefault="004C1D0B" w:rsidP="00B171A6">
      <w:pPr>
        <w:spacing w:after="0" w:line="360" w:lineRule="auto"/>
        <w:contextualSpacing/>
        <w:rPr>
          <w:rFonts w:cs="Tahoma"/>
          <w:b/>
        </w:rPr>
      </w:pPr>
    </w:p>
    <w:p w14:paraId="6343DFAE" w14:textId="047CAE9F" w:rsidR="00B171A6" w:rsidRPr="00815A33" w:rsidRDefault="00B171A6" w:rsidP="0004148C">
      <w:pPr>
        <w:pStyle w:val="Ttulo2"/>
      </w:pPr>
      <w:bookmarkStart w:id="15" w:name="_Toc184777998"/>
      <w:r w:rsidRPr="00815A33">
        <w:t>CUARTO.  Decisión</w:t>
      </w:r>
      <w:bookmarkEnd w:id="15"/>
    </w:p>
    <w:p w14:paraId="3DE909E7" w14:textId="77777777" w:rsidR="00B171A6" w:rsidRPr="00815A33" w:rsidRDefault="00B171A6" w:rsidP="00B171A6">
      <w:pPr>
        <w:spacing w:after="0" w:line="360" w:lineRule="auto"/>
        <w:contextualSpacing/>
        <w:rPr>
          <w:rFonts w:cs="Tahoma"/>
          <w:b/>
        </w:rPr>
      </w:pPr>
    </w:p>
    <w:p w14:paraId="302DA7C7" w14:textId="28801AEC" w:rsidR="00B171A6" w:rsidRPr="00815A33" w:rsidRDefault="00B171A6" w:rsidP="00B171A6">
      <w:pPr>
        <w:spacing w:after="0" w:line="360" w:lineRule="auto"/>
        <w:ind w:right="-93"/>
      </w:pPr>
      <w:r w:rsidRPr="00815A33">
        <w:t xml:space="preserve">Con fundamento en el artículo 186, fracción I, de la Ley de Transparencia y Acceso a la Información Pública del Estado de México y Municipios, este Instituto considera procedente </w:t>
      </w:r>
      <w:r w:rsidRPr="00815A33">
        <w:rPr>
          <w:b/>
        </w:rPr>
        <w:t xml:space="preserve">SOBRESEER </w:t>
      </w:r>
      <w:r w:rsidRPr="00815A33">
        <w:t xml:space="preserve">el medio de impugnación que nos ocupa, en virtud </w:t>
      </w:r>
      <w:r w:rsidR="0004148C" w:rsidRPr="00815A33">
        <w:t>del</w:t>
      </w:r>
      <w:r>
        <w:t xml:space="preserve"> Sujeto Obligado, modificó su respuesta, de tal manera, que quedó sin materia el presente asunto. </w:t>
      </w:r>
    </w:p>
    <w:p w14:paraId="628A545C" w14:textId="77777777" w:rsidR="00B171A6" w:rsidRPr="00815A33" w:rsidRDefault="00B171A6" w:rsidP="00B171A6">
      <w:pPr>
        <w:autoSpaceDE w:val="0"/>
        <w:autoSpaceDN w:val="0"/>
        <w:adjustRightInd w:val="0"/>
        <w:spacing w:after="0" w:line="360" w:lineRule="auto"/>
        <w:contextualSpacing/>
        <w:rPr>
          <w:rFonts w:cs="Arial"/>
        </w:rPr>
      </w:pPr>
    </w:p>
    <w:p w14:paraId="6FD329CE" w14:textId="77777777" w:rsidR="00B171A6" w:rsidRPr="00815A33" w:rsidRDefault="00B171A6" w:rsidP="00B171A6">
      <w:pPr>
        <w:autoSpaceDE w:val="0"/>
        <w:autoSpaceDN w:val="0"/>
        <w:adjustRightInd w:val="0"/>
        <w:spacing w:after="0" w:line="360" w:lineRule="auto"/>
        <w:contextualSpacing/>
        <w:rPr>
          <w:rFonts w:eastAsia="Calibri" w:cs="Tahoma"/>
          <w:b/>
          <w:bCs/>
          <w:iCs/>
          <w:u w:val="single"/>
          <w:lang w:val="es-ES" w:eastAsia="es-ES_tradnl"/>
        </w:rPr>
      </w:pPr>
      <w:r w:rsidRPr="00815A33">
        <w:rPr>
          <w:rFonts w:eastAsia="Calibri" w:cs="Tahoma"/>
          <w:b/>
          <w:bCs/>
          <w:iCs/>
          <w:u w:val="single"/>
          <w:lang w:val="es-ES" w:eastAsia="es-ES_tradnl"/>
        </w:rPr>
        <w:t>Términos de la Resolución para conocimiento del Particular.</w:t>
      </w:r>
    </w:p>
    <w:p w14:paraId="12F7C29E" w14:textId="77777777" w:rsidR="00B171A6" w:rsidRPr="00815A33" w:rsidRDefault="00B171A6" w:rsidP="00B171A6">
      <w:pPr>
        <w:spacing w:after="0" w:line="360" w:lineRule="auto"/>
        <w:contextualSpacing/>
        <w:rPr>
          <w:rFonts w:eastAsia="Calibri" w:cs="Tahoma"/>
          <w:b/>
          <w:bCs/>
          <w:iCs/>
          <w:u w:val="single"/>
          <w:lang w:val="es-ES" w:eastAsia="es-ES_tradnl"/>
        </w:rPr>
      </w:pPr>
    </w:p>
    <w:p w14:paraId="45F1E7C3" w14:textId="219FC9A4" w:rsidR="00B171A6" w:rsidRDefault="00B171A6" w:rsidP="00B171A6">
      <w:pPr>
        <w:spacing w:after="0" w:line="360" w:lineRule="auto"/>
        <w:contextualSpacing/>
        <w:rPr>
          <w:rFonts w:eastAsia="Calibri" w:cs="Tahoma"/>
          <w:b/>
          <w:iCs/>
          <w:lang w:val="es-ES" w:eastAsia="es-ES_tradnl"/>
        </w:rPr>
      </w:pPr>
      <w:r w:rsidRPr="00815A33">
        <w:rPr>
          <w:rFonts w:eastAsia="Calibri" w:cs="Tahoma"/>
          <w:iCs/>
          <w:lang w:val="es-ES" w:eastAsia="es-ES_tradnl"/>
        </w:rPr>
        <w:t xml:space="preserve">Este Instituto Garante determinó </w:t>
      </w:r>
      <w:r w:rsidRPr="00815A33">
        <w:rPr>
          <w:rFonts w:eastAsia="Calibri" w:cs="Tahoma"/>
          <w:b/>
          <w:iCs/>
          <w:lang w:val="es-ES" w:eastAsia="es-ES_tradnl"/>
        </w:rPr>
        <w:t xml:space="preserve">sobreseer </w:t>
      </w:r>
      <w:r w:rsidRPr="00815A33">
        <w:rPr>
          <w:rFonts w:eastAsia="Calibri" w:cs="Tahoma"/>
          <w:bCs/>
          <w:iCs/>
          <w:lang w:val="es-ES" w:eastAsia="es-ES_tradnl"/>
        </w:rPr>
        <w:t>el Recurso de Revisión que interpuso</w:t>
      </w:r>
      <w:r>
        <w:rPr>
          <w:rFonts w:eastAsia="Calibri" w:cs="Tahoma"/>
          <w:bCs/>
          <w:iCs/>
          <w:lang w:val="es-ES" w:eastAsia="es-ES_tradnl"/>
        </w:rPr>
        <w:t xml:space="preserve">, </w:t>
      </w:r>
      <w:r w:rsidRPr="00815A33">
        <w:rPr>
          <w:rFonts w:eastAsia="Calibri" w:cs="Tahoma"/>
          <w:bCs/>
          <w:iCs/>
          <w:lang w:val="es-ES" w:eastAsia="es-ES_tradnl"/>
        </w:rPr>
        <w:t xml:space="preserve">en virtud que </w:t>
      </w:r>
      <w:r>
        <w:rPr>
          <w:rFonts w:eastAsia="Calibri" w:cs="Tahoma"/>
          <w:bCs/>
          <w:iCs/>
          <w:lang w:val="es-ES" w:eastAsia="es-ES_tradnl"/>
        </w:rPr>
        <w:t xml:space="preserve">el Sujeto Obligado, modificó su respuesta, al </w:t>
      </w:r>
      <w:r w:rsidR="0004148C">
        <w:rPr>
          <w:rFonts w:eastAsia="Calibri" w:cs="Tahoma"/>
          <w:bCs/>
          <w:iCs/>
          <w:lang w:val="es-ES" w:eastAsia="es-ES_tradnl"/>
        </w:rPr>
        <w:t xml:space="preserve">entregar </w:t>
      </w:r>
      <w:r w:rsidR="004D7518">
        <w:rPr>
          <w:rFonts w:eastAsia="Calibri" w:cs="Tahoma"/>
          <w:bCs/>
          <w:iCs/>
          <w:lang w:val="es-ES" w:eastAsia="es-ES_tradnl"/>
        </w:rPr>
        <w:t>el monto por ejercer y el avance presupuestal de egresos, que contempla no solo el presupuesto faltante por ejercer, sino el desglose por partida presupuestal.</w:t>
      </w:r>
    </w:p>
    <w:p w14:paraId="6C54FECD" w14:textId="77777777" w:rsidR="00B171A6" w:rsidRDefault="00B171A6" w:rsidP="00B171A6">
      <w:pPr>
        <w:spacing w:after="0" w:line="360" w:lineRule="auto"/>
        <w:contextualSpacing/>
        <w:rPr>
          <w:rFonts w:eastAsia="Calibri" w:cs="Tahoma"/>
          <w:b/>
          <w:iCs/>
          <w:lang w:val="es-ES" w:eastAsia="es-ES_tradnl"/>
        </w:rPr>
      </w:pPr>
    </w:p>
    <w:p w14:paraId="13BFEBF2" w14:textId="77777777" w:rsidR="00B171A6" w:rsidRPr="00815A33" w:rsidRDefault="00B171A6" w:rsidP="00B171A6">
      <w:pPr>
        <w:spacing w:after="0" w:line="360" w:lineRule="auto"/>
        <w:contextualSpacing/>
        <w:rPr>
          <w:rFonts w:eastAsia="Calibri" w:cs="Tahoma"/>
          <w:b/>
          <w:bCs/>
          <w:iCs/>
          <w:u w:val="single"/>
          <w:lang w:val="es-ES" w:eastAsia="es-ES_tradnl"/>
        </w:rPr>
      </w:pPr>
      <w:r w:rsidRPr="00815A33">
        <w:rPr>
          <w:rFonts w:eastAsia="Calibri" w:cs="Tahoma"/>
          <w:iCs/>
          <w:lang w:val="es-ES" w:eastAsia="es-ES_tradnl"/>
        </w:rPr>
        <w:t xml:space="preserve">La labor del Instituto de Transparencia Acceso a la Información Pública y Protección de Datos Personales del Estado de México y Municipios es apoyar a la población </w:t>
      </w:r>
      <w:r w:rsidRPr="00815A33">
        <w:rPr>
          <w:rFonts w:eastAsia="Calibri" w:cs="Tahoma"/>
          <w:iCs/>
          <w:u w:val="single"/>
          <w:lang w:val="es-ES" w:eastAsia="es-ES_tradnl"/>
        </w:rPr>
        <w:t>para acceder a la información pública y garantizar la protección de sus datos personales.</w:t>
      </w:r>
    </w:p>
    <w:p w14:paraId="44CB64ED" w14:textId="77777777" w:rsidR="00B171A6" w:rsidRPr="00815A33" w:rsidRDefault="00B171A6" w:rsidP="00B171A6">
      <w:pPr>
        <w:autoSpaceDE w:val="0"/>
        <w:autoSpaceDN w:val="0"/>
        <w:adjustRightInd w:val="0"/>
        <w:spacing w:after="0" w:line="360" w:lineRule="auto"/>
        <w:contextualSpacing/>
        <w:rPr>
          <w:rFonts w:eastAsia="Calibri" w:cs="Tahoma"/>
          <w:b/>
          <w:bCs/>
          <w:iCs/>
          <w:lang w:eastAsia="en-US"/>
        </w:rPr>
      </w:pPr>
    </w:p>
    <w:p w14:paraId="49EBB2E9" w14:textId="77777777" w:rsidR="00B171A6" w:rsidRPr="00815A33" w:rsidRDefault="00B171A6" w:rsidP="00B171A6">
      <w:pPr>
        <w:autoSpaceDE w:val="0"/>
        <w:autoSpaceDN w:val="0"/>
        <w:adjustRightInd w:val="0"/>
        <w:spacing w:after="0" w:line="360" w:lineRule="auto"/>
        <w:contextualSpacing/>
        <w:rPr>
          <w:rFonts w:eastAsia="Calibri" w:cs="Tahoma"/>
          <w:bCs/>
          <w:iCs/>
          <w:lang w:eastAsia="en-US"/>
        </w:rPr>
      </w:pPr>
      <w:r w:rsidRPr="00815A33">
        <w:rPr>
          <w:rFonts w:eastAsia="Calibri" w:cs="Tahoma"/>
          <w:bCs/>
          <w:iCs/>
          <w:lang w:eastAsia="en-US"/>
        </w:rPr>
        <w:t>Por lo expuesto y fundado, este Pleno:</w:t>
      </w:r>
    </w:p>
    <w:p w14:paraId="6DE4D2E3" w14:textId="3E43ACAE" w:rsidR="00B171A6" w:rsidRPr="00815A33" w:rsidRDefault="00B171A6" w:rsidP="0004148C">
      <w:pPr>
        <w:pStyle w:val="Ttulo1"/>
        <w:rPr>
          <w:rFonts w:eastAsia="Palatino Linotype"/>
        </w:rPr>
      </w:pPr>
      <w:bookmarkStart w:id="16" w:name="_Toc184777999"/>
      <w:r w:rsidRPr="00815A33">
        <w:rPr>
          <w:rFonts w:eastAsia="Palatino Linotype"/>
        </w:rPr>
        <w:lastRenderedPageBreak/>
        <w:t>RESUELVE</w:t>
      </w:r>
      <w:bookmarkEnd w:id="16"/>
    </w:p>
    <w:p w14:paraId="7E7B4812" w14:textId="77777777" w:rsidR="00B171A6" w:rsidRPr="00815A33" w:rsidRDefault="00B171A6" w:rsidP="00B171A6">
      <w:pPr>
        <w:spacing w:after="0" w:line="360" w:lineRule="auto"/>
        <w:ind w:right="-91"/>
        <w:jc w:val="center"/>
        <w:rPr>
          <w:rFonts w:eastAsia="Calibri" w:cs="Tahoma"/>
          <w:bCs/>
          <w:iCs/>
          <w:lang w:eastAsia="en-US"/>
        </w:rPr>
      </w:pPr>
    </w:p>
    <w:p w14:paraId="5A88D33F" w14:textId="78E9051E" w:rsidR="00B171A6" w:rsidRPr="00815A33" w:rsidRDefault="00B171A6" w:rsidP="00B171A6">
      <w:pPr>
        <w:spacing w:after="0" w:line="360" w:lineRule="auto"/>
        <w:rPr>
          <w:rFonts w:cs="Tahoma"/>
          <w:szCs w:val="24"/>
        </w:rPr>
      </w:pPr>
      <w:r w:rsidRPr="00815A33">
        <w:rPr>
          <w:rFonts w:eastAsia="Calibri" w:cs="Tahoma"/>
          <w:b/>
          <w:bCs/>
          <w:lang w:eastAsia="en-US"/>
        </w:rPr>
        <w:t xml:space="preserve">PRIMERO. </w:t>
      </w:r>
      <w:r w:rsidRPr="00815A33">
        <w:rPr>
          <w:rFonts w:eastAsia="Calibri" w:cs="Tahoma"/>
          <w:bCs/>
          <w:lang w:eastAsia="en-US"/>
        </w:rPr>
        <w:t xml:space="preserve">Se </w:t>
      </w:r>
      <w:r w:rsidRPr="00815A33">
        <w:rPr>
          <w:rFonts w:eastAsia="Calibri" w:cs="Tahoma"/>
          <w:b/>
          <w:bCs/>
          <w:lang w:eastAsia="en-US"/>
        </w:rPr>
        <w:t xml:space="preserve">SOBRESEE </w:t>
      </w:r>
      <w:r w:rsidRPr="00815A33">
        <w:rPr>
          <w:rFonts w:eastAsia="Calibri" w:cs="Tahoma"/>
          <w:bCs/>
          <w:lang w:eastAsia="en-US"/>
        </w:rPr>
        <w:t xml:space="preserve">el Recurso de Revisión </w:t>
      </w:r>
      <w:r w:rsidR="004D7518">
        <w:rPr>
          <w:rFonts w:cs="Tahoma"/>
          <w:b/>
          <w:bCs/>
          <w:color w:val="0D0D0D" w:themeColor="text1" w:themeTint="F2"/>
        </w:rPr>
        <w:t>07341</w:t>
      </w:r>
      <w:r>
        <w:rPr>
          <w:rFonts w:cs="Tahoma"/>
          <w:b/>
          <w:bCs/>
          <w:color w:val="0D0D0D" w:themeColor="text1" w:themeTint="F2"/>
        </w:rPr>
        <w:t>/INFOEM/IP/RR/</w:t>
      </w:r>
      <w:r w:rsidR="0004148C">
        <w:rPr>
          <w:rFonts w:cs="Tahoma"/>
          <w:b/>
          <w:bCs/>
          <w:color w:val="0D0D0D" w:themeColor="text1" w:themeTint="F2"/>
        </w:rPr>
        <w:t>2024</w:t>
      </w:r>
      <w:r w:rsidRPr="00815A33">
        <w:t>,</w:t>
      </w:r>
      <w:r>
        <w:t xml:space="preserve"> </w:t>
      </w:r>
      <w:r w:rsidRPr="00815A33">
        <w:rPr>
          <w:rFonts w:cs="Arial"/>
        </w:rPr>
        <w:t xml:space="preserve">en términos </w:t>
      </w:r>
      <w:r>
        <w:rPr>
          <w:rFonts w:cs="Arial"/>
        </w:rPr>
        <w:t>del artículo</w:t>
      </w:r>
      <w:r w:rsidRPr="00815A33">
        <w:rPr>
          <w:rFonts w:cs="Arial"/>
        </w:rPr>
        <w:t xml:space="preserve"> 192, fracción </w:t>
      </w:r>
      <w:r>
        <w:rPr>
          <w:rFonts w:cs="Arial"/>
        </w:rPr>
        <w:t>III</w:t>
      </w:r>
      <w:r w:rsidRPr="00815A33">
        <w:rPr>
          <w:rFonts w:cs="Arial"/>
        </w:rPr>
        <w:t xml:space="preserve">, de la Ley de Transparencia y Acceso a la Información Pública del Estado de México y Municipios, </w:t>
      </w:r>
      <w:r w:rsidR="006944A7">
        <w:rPr>
          <w:rFonts w:cs="Arial"/>
        </w:rPr>
        <w:t xml:space="preserve">porque al modificar la respuesta el medio de impugnación quedó sin materia, </w:t>
      </w:r>
      <w:r w:rsidRPr="00815A33">
        <w:rPr>
          <w:rFonts w:cs="Tahoma"/>
          <w:szCs w:val="24"/>
        </w:rPr>
        <w:t>de conformidad con los Considerandos TERCERO y CUARTO de la presente Resolución</w:t>
      </w:r>
      <w:r w:rsidR="006944A7">
        <w:rPr>
          <w:rFonts w:cs="Tahoma"/>
          <w:szCs w:val="24"/>
        </w:rPr>
        <w:t>.</w:t>
      </w:r>
    </w:p>
    <w:p w14:paraId="4E1D09B4" w14:textId="77777777" w:rsidR="00B171A6" w:rsidRPr="00815A33" w:rsidRDefault="00B171A6" w:rsidP="00B171A6">
      <w:pPr>
        <w:spacing w:after="0" w:line="360" w:lineRule="auto"/>
        <w:rPr>
          <w:rFonts w:cs="Arial"/>
        </w:rPr>
      </w:pPr>
    </w:p>
    <w:p w14:paraId="4B0A14DC" w14:textId="3CB9638A" w:rsidR="00B171A6" w:rsidRPr="00815A33" w:rsidRDefault="00B171A6" w:rsidP="00B171A6">
      <w:pPr>
        <w:spacing w:after="0" w:line="360" w:lineRule="auto"/>
        <w:contextualSpacing/>
        <w:rPr>
          <w:rFonts w:cs="Arial"/>
        </w:rPr>
      </w:pPr>
      <w:r w:rsidRPr="00815A33">
        <w:rPr>
          <w:b/>
        </w:rPr>
        <w:t>SEGUNDO.</w:t>
      </w:r>
      <w:r w:rsidRPr="00815A33">
        <w:rPr>
          <w:rFonts w:cs="Arial"/>
        </w:rPr>
        <w:t xml:space="preserve"> </w:t>
      </w:r>
      <w:r w:rsidR="0004148C">
        <w:rPr>
          <w:rFonts w:cs="Arial"/>
          <w:b/>
        </w:rPr>
        <w:t>NOTIFIQUESE POR SAIMEX</w:t>
      </w:r>
      <w:r w:rsidRPr="00815A33">
        <w:rPr>
          <w:rFonts w:cs="Arial"/>
          <w:b/>
        </w:rPr>
        <w:t xml:space="preserve"> </w:t>
      </w:r>
      <w:r w:rsidRPr="00815A33">
        <w:rPr>
          <w:rFonts w:cs="Arial"/>
        </w:rPr>
        <w:t>la presente resolución</w:t>
      </w:r>
      <w:r w:rsidRPr="00815A33">
        <w:rPr>
          <w:rFonts w:cs="Arial"/>
          <w:b/>
        </w:rPr>
        <w:t xml:space="preserve"> </w:t>
      </w:r>
      <w:r w:rsidRPr="00815A33">
        <w:rPr>
          <w:rFonts w:cs="Arial"/>
        </w:rPr>
        <w:t xml:space="preserve">al Titular de la Unidad de Transparencia del </w:t>
      </w:r>
      <w:r w:rsidRPr="00815A33">
        <w:rPr>
          <w:rFonts w:cs="Arial"/>
          <w:bCs/>
        </w:rPr>
        <w:t>Sujeto Obligado</w:t>
      </w:r>
      <w:r w:rsidR="0004148C">
        <w:rPr>
          <w:rFonts w:cs="Arial"/>
        </w:rPr>
        <w:t>.</w:t>
      </w:r>
    </w:p>
    <w:p w14:paraId="5CCF06EC" w14:textId="77777777" w:rsidR="00B171A6" w:rsidRPr="00815A33" w:rsidRDefault="00B171A6" w:rsidP="00B171A6">
      <w:pPr>
        <w:spacing w:after="0" w:line="360" w:lineRule="auto"/>
        <w:contextualSpacing/>
        <w:rPr>
          <w:rFonts w:cs="Arial"/>
        </w:rPr>
      </w:pPr>
    </w:p>
    <w:p w14:paraId="0D49851F" w14:textId="1BB0CCA0" w:rsidR="00B171A6" w:rsidRPr="00815A33" w:rsidRDefault="00B171A6" w:rsidP="00B171A6">
      <w:pPr>
        <w:spacing w:after="0" w:line="360" w:lineRule="auto"/>
        <w:contextualSpacing/>
        <w:rPr>
          <w:rFonts w:cs="Tahoma"/>
        </w:rPr>
      </w:pPr>
      <w:r w:rsidRPr="00815A33">
        <w:rPr>
          <w:rFonts w:cs="Arial"/>
          <w:b/>
        </w:rPr>
        <w:t>TERCERO.</w:t>
      </w:r>
      <w:r w:rsidRPr="00815A33">
        <w:rPr>
          <w:rFonts w:cs="Arial"/>
        </w:rPr>
        <w:t xml:space="preserve"> </w:t>
      </w:r>
      <w:r w:rsidR="0004148C">
        <w:rPr>
          <w:rFonts w:cs="Arial"/>
          <w:b/>
        </w:rPr>
        <w:t>NOTIFIQUESE POR SAIMEX</w:t>
      </w:r>
      <w:r w:rsidRPr="00815A33">
        <w:rPr>
          <w:rFonts w:cs="Arial"/>
          <w:b/>
        </w:rPr>
        <w:t xml:space="preserve"> </w:t>
      </w:r>
      <w:r w:rsidRPr="00815A33">
        <w:rPr>
          <w:rFonts w:cs="Arial"/>
        </w:rPr>
        <w:t>la presente resolución</w:t>
      </w:r>
      <w:r w:rsidRPr="00815A33">
        <w:rPr>
          <w:rFonts w:cs="Arial"/>
          <w:b/>
        </w:rPr>
        <w:t xml:space="preserve"> </w:t>
      </w:r>
      <w:r w:rsidRPr="00815A33">
        <w:rPr>
          <w:rFonts w:cs="Arial"/>
        </w:rPr>
        <w:t xml:space="preserve">al Recurrente, </w:t>
      </w:r>
      <w:r w:rsidRPr="00815A33">
        <w:rPr>
          <w:rFonts w:cs="Tahoma"/>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884B3A0" w14:textId="77777777" w:rsidR="00B171A6" w:rsidRPr="00815A33" w:rsidRDefault="00B171A6" w:rsidP="00B171A6">
      <w:pPr>
        <w:spacing w:after="0" w:line="360" w:lineRule="auto"/>
        <w:ind w:right="-93"/>
        <w:rPr>
          <w:rFonts w:cs="Tahoma"/>
          <w:b/>
          <w:bCs/>
        </w:rPr>
      </w:pPr>
    </w:p>
    <w:p w14:paraId="75EBF842" w14:textId="77777777" w:rsidR="00B171A6" w:rsidRPr="00815A33" w:rsidRDefault="00B171A6" w:rsidP="00B171A6">
      <w:pPr>
        <w:spacing w:after="0" w:line="360" w:lineRule="auto"/>
        <w:ind w:right="-93"/>
        <w:rPr>
          <w:rFonts w:eastAsia="Calibri" w:cs="Tahoma"/>
          <w:bCs/>
          <w:lang w:val="es-ES_tradnl" w:eastAsia="en-US"/>
        </w:rPr>
      </w:pPr>
      <w:r w:rsidRPr="00815A33">
        <w:rPr>
          <w:rFonts w:eastAsia="Calibri" w:cs="Tahoma"/>
          <w:bCs/>
          <w:lang w:val="es-ES_tradnl" w:eastAsia="en-US"/>
        </w:rPr>
        <w:t xml:space="preserve">ASÍ LO RESUELVE, POR </w:t>
      </w:r>
      <w:r w:rsidRPr="008E763D">
        <w:rPr>
          <w:rFonts w:eastAsia="Calibri" w:cs="Tahoma"/>
          <w:b/>
          <w:bCs/>
          <w:lang w:val="es-ES_tradnl" w:eastAsia="en-US"/>
        </w:rPr>
        <w:t xml:space="preserve">UNANIMIDAD </w:t>
      </w:r>
      <w:r w:rsidRPr="00815A33">
        <w:rPr>
          <w:rFonts w:eastAsia="Calibri" w:cs="Tahoma"/>
          <w:bCs/>
          <w:lang w:val="es-ES_tradnl" w:eastAsia="en-US"/>
        </w:rPr>
        <w:t>DE VOTOS EL PLENO DEL INSTITUTO DE TRANSPARENCIA, ACCESO A LA INFORMACIÓN PÚBLICA Y PROTECCIÓN DE DATOS</w:t>
      </w:r>
    </w:p>
    <w:p w14:paraId="789FF4D5" w14:textId="3260401B" w:rsidR="00B171A6" w:rsidRPr="00815A33" w:rsidRDefault="00B171A6" w:rsidP="00B171A6">
      <w:pPr>
        <w:spacing w:after="0" w:line="360" w:lineRule="auto"/>
        <w:ind w:right="-93"/>
        <w:rPr>
          <w:rFonts w:eastAsia="Calibri" w:cs="Tahoma"/>
          <w:bCs/>
          <w:lang w:val="es-ES_tradnl" w:eastAsia="en-US"/>
        </w:rPr>
      </w:pPr>
      <w:r w:rsidRPr="00815A33">
        <w:rPr>
          <w:rFonts w:eastAsia="Calibri" w:cs="Tahoma"/>
          <w:bCs/>
          <w:lang w:val="es-ES_tradnl" w:eastAsia="en-US"/>
        </w:rPr>
        <w:t xml:space="preserve">PERSONALES DEL ESTADO DE MÉXICO Y MUNICIPIOS, CONFORMADO POR LOS COMISIONADOS JOSÉ MARTÍNEZ VILCHIS, MARÍA DEL ROSARIO MEJÍA AYALA, SHARON CRISTINA MORALES MARTÍNEZ, LUIS GUSTAVO PARRA NORIEGA Y GUADALUPE RAMÍREZ PEÑA, EN LA </w:t>
      </w:r>
      <w:r w:rsidR="0004148C">
        <w:rPr>
          <w:rFonts w:eastAsia="Calibri" w:cs="Tahoma"/>
          <w:bCs/>
          <w:lang w:val="es-ES_tradnl" w:eastAsia="en-US"/>
        </w:rPr>
        <w:t xml:space="preserve">CUADRAGÉSIMA </w:t>
      </w:r>
      <w:r w:rsidR="004D7518">
        <w:rPr>
          <w:rFonts w:eastAsia="Calibri" w:cs="Tahoma"/>
          <w:bCs/>
          <w:lang w:val="es-ES_tradnl" w:eastAsia="en-US"/>
        </w:rPr>
        <w:t>CUARTA</w:t>
      </w:r>
      <w:r>
        <w:rPr>
          <w:rFonts w:eastAsia="Calibri" w:cs="Tahoma"/>
          <w:bCs/>
          <w:lang w:val="es-ES_tradnl" w:eastAsia="en-US"/>
        </w:rPr>
        <w:t xml:space="preserve"> SESIÓN</w:t>
      </w:r>
      <w:r w:rsidRPr="00815A33">
        <w:rPr>
          <w:rFonts w:eastAsia="Calibri" w:cs="Tahoma"/>
          <w:bCs/>
          <w:lang w:val="es-ES_tradnl" w:eastAsia="en-US"/>
        </w:rPr>
        <w:t xml:space="preserve"> ORDINARIA, CELEBRADA EL </w:t>
      </w:r>
      <w:r w:rsidR="001923E7">
        <w:rPr>
          <w:rFonts w:eastAsia="Calibri" w:cs="Tahoma"/>
          <w:bCs/>
          <w:lang w:val="es-ES_tradnl" w:eastAsia="en-US"/>
        </w:rPr>
        <w:t>DIECIOCHO</w:t>
      </w:r>
      <w:r>
        <w:rPr>
          <w:rFonts w:eastAsia="Calibri" w:cs="Tahoma"/>
          <w:bCs/>
          <w:lang w:val="es-ES_tradnl" w:eastAsia="en-US"/>
        </w:rPr>
        <w:t xml:space="preserve"> DE </w:t>
      </w:r>
      <w:r w:rsidR="0004148C">
        <w:rPr>
          <w:rFonts w:eastAsia="Calibri" w:cs="Tahoma"/>
          <w:bCs/>
          <w:lang w:val="es-ES_tradnl" w:eastAsia="en-US"/>
        </w:rPr>
        <w:t>DICIEMBRE</w:t>
      </w:r>
      <w:r>
        <w:rPr>
          <w:rFonts w:eastAsia="Calibri" w:cs="Tahoma"/>
          <w:bCs/>
          <w:lang w:val="es-ES_tradnl" w:eastAsia="en-US"/>
        </w:rPr>
        <w:t xml:space="preserve"> </w:t>
      </w:r>
      <w:r w:rsidRPr="00815A33">
        <w:rPr>
          <w:rFonts w:eastAsia="Calibri" w:cs="Tahoma"/>
          <w:bCs/>
          <w:lang w:val="es-ES_tradnl" w:eastAsia="en-US"/>
        </w:rPr>
        <w:t xml:space="preserve">DE DOS MIL </w:t>
      </w:r>
      <w:r w:rsidR="0004148C">
        <w:rPr>
          <w:rFonts w:eastAsia="Calibri" w:cs="Tahoma"/>
          <w:bCs/>
          <w:lang w:val="es-ES_tradnl" w:eastAsia="en-US"/>
        </w:rPr>
        <w:t>VEINTICUATRO</w:t>
      </w:r>
      <w:r w:rsidRPr="00815A33">
        <w:rPr>
          <w:rFonts w:eastAsia="Calibri" w:cs="Tahoma"/>
          <w:bCs/>
          <w:lang w:val="es-ES_tradnl" w:eastAsia="en-US"/>
        </w:rPr>
        <w:t>, ANTE EL SECRETARIO TÉCNICO DEL PLENO, ALEXIS TAPIA RAMÍREZ.</w:t>
      </w:r>
    </w:p>
    <w:p w14:paraId="4E2B2D59" w14:textId="77777777" w:rsidR="009302CD" w:rsidRDefault="009302CD">
      <w:pPr>
        <w:spacing w:line="360" w:lineRule="auto"/>
        <w:ind w:right="-93"/>
        <w:rPr>
          <w:color w:val="000000"/>
        </w:rPr>
      </w:pPr>
    </w:p>
    <w:p w14:paraId="4E2B2D5A" w14:textId="77777777" w:rsidR="009302CD" w:rsidRDefault="006E571C">
      <w:pPr>
        <w:jc w:val="left"/>
      </w:pPr>
      <w:r>
        <w:br w:type="page"/>
      </w:r>
    </w:p>
    <w:p w14:paraId="4E2B2D5B" w14:textId="77777777" w:rsidR="009302CD" w:rsidRDefault="009302CD">
      <w:pPr>
        <w:spacing w:after="0" w:line="360" w:lineRule="auto"/>
      </w:pPr>
    </w:p>
    <w:sectPr w:rsidR="009302CD" w:rsidSect="009F25B3">
      <w:headerReference w:type="even" r:id="rId11"/>
      <w:headerReference w:type="default" r:id="rId12"/>
      <w:footerReference w:type="even" r:id="rId13"/>
      <w:footerReference w:type="default" r:id="rId14"/>
      <w:headerReference w:type="first" r:id="rId15"/>
      <w:footerReference w:type="first" r:id="rId16"/>
      <w:pgSz w:w="12240" w:h="15840"/>
      <w:pgMar w:top="1183" w:right="1467"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78932" w14:textId="77777777" w:rsidR="00B65954" w:rsidRDefault="00B65954">
      <w:pPr>
        <w:spacing w:after="0" w:line="240" w:lineRule="auto"/>
      </w:pPr>
      <w:r>
        <w:separator/>
      </w:r>
    </w:p>
  </w:endnote>
  <w:endnote w:type="continuationSeparator" w:id="0">
    <w:p w14:paraId="1B24749F" w14:textId="77777777" w:rsidR="00B65954" w:rsidRDefault="00B6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D"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D27DE">
      <w:rPr>
        <w:b/>
        <w:noProof/>
        <w:color w:val="000000"/>
        <w:sz w:val="24"/>
        <w:szCs w:val="24"/>
      </w:rPr>
      <w:t>13</w:t>
    </w:r>
    <w:r>
      <w:rPr>
        <w:b/>
        <w:color w:val="000000"/>
        <w:sz w:val="24"/>
        <w:szCs w:val="24"/>
      </w:rPr>
      <w:fldChar w:fldCharType="end"/>
    </w:r>
  </w:p>
  <w:p w14:paraId="4E2B2D7E"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F"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753D3">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753D3">
      <w:rPr>
        <w:b/>
        <w:noProof/>
        <w:color w:val="000000"/>
        <w:sz w:val="24"/>
        <w:szCs w:val="24"/>
      </w:rPr>
      <w:t>13</w:t>
    </w:r>
    <w:r>
      <w:rPr>
        <w:b/>
        <w:color w:val="000000"/>
        <w:sz w:val="24"/>
        <w:szCs w:val="24"/>
      </w:rPr>
      <w:fldChar w:fldCharType="end"/>
    </w:r>
  </w:p>
  <w:p w14:paraId="4E2B2D80"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8F"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753D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753D3">
      <w:rPr>
        <w:b/>
        <w:noProof/>
        <w:color w:val="000000"/>
        <w:sz w:val="24"/>
        <w:szCs w:val="24"/>
      </w:rPr>
      <w:t>13</w:t>
    </w:r>
    <w:r>
      <w:rPr>
        <w:b/>
        <w:color w:val="000000"/>
        <w:sz w:val="24"/>
        <w:szCs w:val="24"/>
      </w:rPr>
      <w:fldChar w:fldCharType="end"/>
    </w:r>
  </w:p>
  <w:p w14:paraId="4E2B2D90"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B35F" w14:textId="77777777" w:rsidR="00B65954" w:rsidRDefault="00B65954">
      <w:pPr>
        <w:spacing w:after="0" w:line="240" w:lineRule="auto"/>
      </w:pPr>
      <w:r>
        <w:separator/>
      </w:r>
    </w:p>
  </w:footnote>
  <w:footnote w:type="continuationSeparator" w:id="0">
    <w:p w14:paraId="49248DAF" w14:textId="77777777" w:rsidR="00B65954" w:rsidRDefault="00B65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66" w14:textId="77777777" w:rsidR="0089059B" w:rsidRDefault="0089059B">
    <w:pPr>
      <w:widowControl w:val="0"/>
      <w:pBdr>
        <w:top w:val="nil"/>
        <w:left w:val="nil"/>
        <w:bottom w:val="nil"/>
        <w:right w:val="nil"/>
        <w:between w:val="nil"/>
      </w:pBdr>
      <w:spacing w:after="0" w:line="276" w:lineRule="auto"/>
      <w:jc w:val="left"/>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9059B" w14:paraId="4E2B2D69" w14:textId="77777777">
      <w:trPr>
        <w:trHeight w:val="132"/>
      </w:trPr>
      <w:tc>
        <w:tcPr>
          <w:tcW w:w="2691" w:type="dxa"/>
        </w:tcPr>
        <w:p w14:paraId="4E2B2D67" w14:textId="77777777" w:rsidR="0089059B" w:rsidRDefault="0089059B">
          <w:pPr>
            <w:tabs>
              <w:tab w:val="right" w:pos="8838"/>
            </w:tabs>
            <w:ind w:right="-105"/>
            <w:rPr>
              <w:b/>
            </w:rPr>
          </w:pPr>
          <w:r>
            <w:rPr>
              <w:b/>
            </w:rPr>
            <w:t>Recurso de Revisión:</w:t>
          </w:r>
        </w:p>
      </w:tc>
      <w:tc>
        <w:tcPr>
          <w:tcW w:w="3405" w:type="dxa"/>
        </w:tcPr>
        <w:p w14:paraId="4E2B2D68" w14:textId="77777777" w:rsidR="0089059B" w:rsidRDefault="0089059B">
          <w:pPr>
            <w:tabs>
              <w:tab w:val="right" w:pos="8838"/>
            </w:tabs>
            <w:ind w:left="-28" w:right="-32"/>
          </w:pPr>
          <w:r>
            <w:t>03846/INFOEM/IP/RR/2020</w:t>
          </w:r>
        </w:p>
      </w:tc>
    </w:tr>
    <w:tr w:rsidR="0089059B" w14:paraId="4E2B2D6C" w14:textId="77777777">
      <w:trPr>
        <w:trHeight w:val="261"/>
      </w:trPr>
      <w:tc>
        <w:tcPr>
          <w:tcW w:w="2691" w:type="dxa"/>
        </w:tcPr>
        <w:p w14:paraId="4E2B2D6A" w14:textId="77777777" w:rsidR="0089059B" w:rsidRDefault="0089059B">
          <w:pPr>
            <w:tabs>
              <w:tab w:val="right" w:pos="8838"/>
            </w:tabs>
            <w:ind w:right="-105"/>
            <w:rPr>
              <w:b/>
            </w:rPr>
          </w:pPr>
          <w:r>
            <w:rPr>
              <w:b/>
            </w:rPr>
            <w:t>Sujeto Obligado:</w:t>
          </w:r>
        </w:p>
      </w:tc>
      <w:tc>
        <w:tcPr>
          <w:tcW w:w="3405" w:type="dxa"/>
        </w:tcPr>
        <w:p w14:paraId="4E2B2D6B" w14:textId="77777777" w:rsidR="0089059B" w:rsidRDefault="0089059B">
          <w:pPr>
            <w:tabs>
              <w:tab w:val="right" w:pos="8838"/>
            </w:tabs>
            <w:ind w:right="-32"/>
          </w:pPr>
          <w:r>
            <w:t xml:space="preserve">Ayuntamiento de </w:t>
          </w:r>
          <w:proofErr w:type="spellStart"/>
          <w:r>
            <w:t>Temascalcingo</w:t>
          </w:r>
          <w:proofErr w:type="spellEnd"/>
        </w:p>
      </w:tc>
    </w:tr>
    <w:tr w:rsidR="0089059B" w14:paraId="4E2B2D6F" w14:textId="77777777">
      <w:trPr>
        <w:trHeight w:val="261"/>
      </w:trPr>
      <w:tc>
        <w:tcPr>
          <w:tcW w:w="2691" w:type="dxa"/>
        </w:tcPr>
        <w:p w14:paraId="4E2B2D6D" w14:textId="77777777" w:rsidR="0089059B" w:rsidRDefault="0089059B">
          <w:pPr>
            <w:tabs>
              <w:tab w:val="right" w:pos="8838"/>
            </w:tabs>
            <w:ind w:right="-105"/>
            <w:rPr>
              <w:b/>
            </w:rPr>
          </w:pPr>
          <w:r>
            <w:rPr>
              <w:b/>
            </w:rPr>
            <w:t>Comisionado Ponente:</w:t>
          </w:r>
        </w:p>
      </w:tc>
      <w:tc>
        <w:tcPr>
          <w:tcW w:w="3405" w:type="dxa"/>
        </w:tcPr>
        <w:p w14:paraId="4E2B2D6E" w14:textId="77777777" w:rsidR="0089059B" w:rsidRDefault="0089059B">
          <w:pPr>
            <w:tabs>
              <w:tab w:val="right" w:pos="8838"/>
            </w:tabs>
            <w:ind w:right="-32"/>
            <w:rPr>
              <w:b/>
            </w:rPr>
          </w:pPr>
          <w:r>
            <w:t>Luis Gustavo Parra Noriega</w:t>
          </w:r>
        </w:p>
      </w:tc>
    </w:tr>
  </w:tbl>
  <w:p w14:paraId="4E2B2D70" w14:textId="77777777" w:rsidR="0089059B" w:rsidRDefault="00B65954">
    <w:pPr>
      <w:pBdr>
        <w:top w:val="nil"/>
        <w:left w:val="nil"/>
        <w:bottom w:val="nil"/>
        <w:right w:val="nil"/>
        <w:between w:val="nil"/>
      </w:pBdr>
      <w:tabs>
        <w:tab w:val="center" w:pos="4419"/>
        <w:tab w:val="right" w:pos="8838"/>
      </w:tabs>
      <w:spacing w:after="0" w:line="240" w:lineRule="auto"/>
      <w:rPr>
        <w:color w:val="000000"/>
      </w:rPr>
    </w:pPr>
    <w:r>
      <w:rPr>
        <w:color w:val="000000"/>
      </w:rPr>
      <w:pict w14:anchorId="4E2B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1" w14:textId="55F78CFA" w:rsidR="0089059B" w:rsidRDefault="00B65954">
    <w:pPr>
      <w:widowControl w:val="0"/>
      <w:pBdr>
        <w:top w:val="nil"/>
        <w:left w:val="nil"/>
        <w:bottom w:val="nil"/>
        <w:right w:val="nil"/>
        <w:between w:val="nil"/>
      </w:pBdr>
      <w:spacing w:after="0" w:line="276" w:lineRule="auto"/>
      <w:jc w:val="left"/>
      <w:rPr>
        <w:color w:val="000000"/>
      </w:rPr>
    </w:pPr>
    <w:r>
      <w:rPr>
        <w:color w:val="000000"/>
      </w:rPr>
      <w:pict w14:anchorId="4E2B2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1pt;margin-top:-154.25pt;width:663.5pt;height:12in;z-index:-251659776;mso-position-horizontal-relative:margin;mso-position-vertical-relative:margin">
          <v:imagedata r:id="rId1" o:title="image2"/>
          <w10:wrap anchorx="margin" anchory="margin"/>
        </v:shape>
      </w:pict>
    </w:r>
  </w:p>
  <w:tbl>
    <w:tblPr>
      <w:tblStyle w:val="a1"/>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9059B" w14:paraId="4E2B2D74" w14:textId="77777777">
      <w:trPr>
        <w:trHeight w:val="132"/>
      </w:trPr>
      <w:tc>
        <w:tcPr>
          <w:tcW w:w="2691" w:type="dxa"/>
        </w:tcPr>
        <w:p w14:paraId="4E2B2D72" w14:textId="77777777" w:rsidR="0089059B" w:rsidRDefault="0089059B">
          <w:pPr>
            <w:tabs>
              <w:tab w:val="right" w:pos="8838"/>
            </w:tabs>
            <w:ind w:right="-105"/>
            <w:rPr>
              <w:b/>
            </w:rPr>
          </w:pPr>
          <w:r>
            <w:rPr>
              <w:b/>
            </w:rPr>
            <w:t>Recurso de Revisión:</w:t>
          </w:r>
        </w:p>
      </w:tc>
      <w:tc>
        <w:tcPr>
          <w:tcW w:w="3612" w:type="dxa"/>
        </w:tcPr>
        <w:p w14:paraId="4E2B2D73" w14:textId="5537DC58" w:rsidR="0089059B" w:rsidRDefault="00CE6CD5">
          <w:pPr>
            <w:tabs>
              <w:tab w:val="right" w:pos="8838"/>
            </w:tabs>
            <w:ind w:left="-28" w:right="-32"/>
          </w:pPr>
          <w:r>
            <w:t>07341</w:t>
          </w:r>
          <w:r w:rsidR="0089059B" w:rsidRPr="008839E3">
            <w:t>/INFOEM/IP/RR/2024</w:t>
          </w:r>
        </w:p>
      </w:tc>
    </w:tr>
    <w:tr w:rsidR="0089059B" w14:paraId="4E2B2D77" w14:textId="77777777">
      <w:trPr>
        <w:trHeight w:val="261"/>
      </w:trPr>
      <w:tc>
        <w:tcPr>
          <w:tcW w:w="2691" w:type="dxa"/>
        </w:tcPr>
        <w:p w14:paraId="4E2B2D75" w14:textId="77777777" w:rsidR="0089059B" w:rsidRDefault="0089059B">
          <w:pPr>
            <w:tabs>
              <w:tab w:val="right" w:pos="8838"/>
            </w:tabs>
            <w:ind w:right="-105"/>
            <w:rPr>
              <w:b/>
            </w:rPr>
          </w:pPr>
          <w:r>
            <w:rPr>
              <w:b/>
            </w:rPr>
            <w:t>Sujeto Obligado:</w:t>
          </w:r>
        </w:p>
      </w:tc>
      <w:tc>
        <w:tcPr>
          <w:tcW w:w="3612" w:type="dxa"/>
        </w:tcPr>
        <w:p w14:paraId="4E2B2D76" w14:textId="48530C04" w:rsidR="0089059B" w:rsidRDefault="00CE6CD5">
          <w:pPr>
            <w:tabs>
              <w:tab w:val="right" w:pos="8838"/>
            </w:tabs>
            <w:ind w:right="-32"/>
          </w:pPr>
          <w:r w:rsidRPr="00CE6CD5">
            <w:t xml:space="preserve">Sistema Municipal </w:t>
          </w:r>
          <w:r>
            <w:t>p</w:t>
          </w:r>
          <w:r w:rsidRPr="00CE6CD5">
            <w:t>ara el Desarrollo Integral de la Familia de Nezahualcóyotl</w:t>
          </w:r>
        </w:p>
      </w:tc>
    </w:tr>
    <w:tr w:rsidR="0089059B" w14:paraId="4E2B2D7B" w14:textId="77777777">
      <w:trPr>
        <w:trHeight w:val="261"/>
      </w:trPr>
      <w:tc>
        <w:tcPr>
          <w:tcW w:w="2691" w:type="dxa"/>
        </w:tcPr>
        <w:p w14:paraId="4E2B2D78" w14:textId="77777777" w:rsidR="0089059B" w:rsidRDefault="0089059B">
          <w:pPr>
            <w:tabs>
              <w:tab w:val="right" w:pos="8838"/>
            </w:tabs>
            <w:ind w:right="-105"/>
            <w:rPr>
              <w:b/>
            </w:rPr>
          </w:pPr>
          <w:r>
            <w:rPr>
              <w:b/>
            </w:rPr>
            <w:t>Comisionado Ponente:</w:t>
          </w:r>
        </w:p>
      </w:tc>
      <w:tc>
        <w:tcPr>
          <w:tcW w:w="3612" w:type="dxa"/>
        </w:tcPr>
        <w:p w14:paraId="4E2B2D79" w14:textId="77777777" w:rsidR="0089059B" w:rsidRDefault="0089059B">
          <w:pPr>
            <w:tabs>
              <w:tab w:val="right" w:pos="8838"/>
            </w:tabs>
            <w:ind w:right="-32"/>
          </w:pPr>
          <w:r>
            <w:t>Luis Gustavo Parra Noriega</w:t>
          </w:r>
        </w:p>
        <w:p w14:paraId="4E2B2D7A" w14:textId="77777777" w:rsidR="0089059B" w:rsidRDefault="0089059B">
          <w:pPr>
            <w:tabs>
              <w:tab w:val="right" w:pos="8838"/>
            </w:tabs>
            <w:ind w:right="-32"/>
            <w:rPr>
              <w:b/>
            </w:rPr>
          </w:pPr>
        </w:p>
      </w:tc>
    </w:tr>
  </w:tbl>
  <w:p w14:paraId="4E2B2D7C" w14:textId="3D17D29C" w:rsidR="0089059B" w:rsidRDefault="0089059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81" w14:textId="0CC4165E" w:rsidR="0089059B" w:rsidRDefault="0089059B">
    <w:pPr>
      <w:widowControl w:val="0"/>
      <w:pBdr>
        <w:top w:val="nil"/>
        <w:left w:val="nil"/>
        <w:bottom w:val="nil"/>
        <w:right w:val="nil"/>
        <w:between w:val="nil"/>
      </w:pBdr>
      <w:spacing w:after="0" w:line="276" w:lineRule="auto"/>
      <w:jc w:val="left"/>
      <w:rPr>
        <w:color w:val="000000"/>
      </w:rPr>
    </w:pPr>
  </w:p>
  <w:tbl>
    <w:tblPr>
      <w:tblStyle w:val="a2"/>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9059B" w14:paraId="4E2B2D84" w14:textId="77777777">
      <w:trPr>
        <w:trHeight w:val="132"/>
        <w:jc w:val="right"/>
      </w:trPr>
      <w:tc>
        <w:tcPr>
          <w:tcW w:w="2691" w:type="dxa"/>
        </w:tcPr>
        <w:p w14:paraId="4E2B2D82" w14:textId="77777777" w:rsidR="0089059B" w:rsidRDefault="0089059B">
          <w:pPr>
            <w:tabs>
              <w:tab w:val="right" w:pos="8838"/>
            </w:tabs>
            <w:ind w:right="-105"/>
            <w:rPr>
              <w:b/>
            </w:rPr>
          </w:pPr>
          <w:r>
            <w:rPr>
              <w:b/>
            </w:rPr>
            <w:t>Recurso de Revisión:</w:t>
          </w:r>
        </w:p>
      </w:tc>
      <w:tc>
        <w:tcPr>
          <w:tcW w:w="3612" w:type="dxa"/>
        </w:tcPr>
        <w:p w14:paraId="4E2B2D83" w14:textId="03110B81" w:rsidR="0089059B" w:rsidRDefault="00A35A12">
          <w:pPr>
            <w:tabs>
              <w:tab w:val="right" w:pos="8838"/>
            </w:tabs>
            <w:ind w:left="-28" w:right="-32"/>
          </w:pPr>
          <w:r w:rsidRPr="00A35A12">
            <w:t>07341/INFOEM/IP/RR/2024</w:t>
          </w:r>
        </w:p>
      </w:tc>
    </w:tr>
    <w:tr w:rsidR="0089059B" w14:paraId="4E2B2D87" w14:textId="77777777">
      <w:trPr>
        <w:trHeight w:val="132"/>
        <w:jc w:val="right"/>
      </w:trPr>
      <w:tc>
        <w:tcPr>
          <w:tcW w:w="2691" w:type="dxa"/>
        </w:tcPr>
        <w:p w14:paraId="4E2B2D85" w14:textId="77777777" w:rsidR="0089059B" w:rsidRDefault="0089059B">
          <w:pPr>
            <w:tabs>
              <w:tab w:val="right" w:pos="8838"/>
            </w:tabs>
            <w:ind w:right="-105"/>
            <w:rPr>
              <w:b/>
            </w:rPr>
          </w:pPr>
          <w:r>
            <w:rPr>
              <w:b/>
            </w:rPr>
            <w:t>Recurrente:</w:t>
          </w:r>
        </w:p>
      </w:tc>
      <w:tc>
        <w:tcPr>
          <w:tcW w:w="3612" w:type="dxa"/>
        </w:tcPr>
        <w:p w14:paraId="4E2B2D86" w14:textId="2F452710" w:rsidR="0089059B" w:rsidRDefault="00B96D63">
          <w:r w:rsidRPr="00FD4D44">
            <w:rPr>
              <w:highlight w:val="black"/>
            </w:rPr>
            <w:t>XXXXX XXXXXX XXXXXXXXXXX</w:t>
          </w:r>
        </w:p>
      </w:tc>
    </w:tr>
    <w:tr w:rsidR="0089059B" w14:paraId="4E2B2D8A" w14:textId="77777777">
      <w:trPr>
        <w:trHeight w:val="261"/>
        <w:jc w:val="right"/>
      </w:trPr>
      <w:tc>
        <w:tcPr>
          <w:tcW w:w="2691" w:type="dxa"/>
        </w:tcPr>
        <w:p w14:paraId="4E2B2D88" w14:textId="77777777" w:rsidR="0089059B" w:rsidRDefault="0089059B">
          <w:pPr>
            <w:tabs>
              <w:tab w:val="right" w:pos="8838"/>
            </w:tabs>
            <w:ind w:right="-105"/>
            <w:rPr>
              <w:b/>
            </w:rPr>
          </w:pPr>
          <w:r>
            <w:rPr>
              <w:b/>
            </w:rPr>
            <w:t>Sujeto Obligado:</w:t>
          </w:r>
        </w:p>
      </w:tc>
      <w:tc>
        <w:tcPr>
          <w:tcW w:w="3612" w:type="dxa"/>
        </w:tcPr>
        <w:p w14:paraId="4E2B2D89" w14:textId="2932E2A9" w:rsidR="0089059B" w:rsidRDefault="00CE6CD5">
          <w:r w:rsidRPr="00CE6CD5">
            <w:t xml:space="preserve">Sistema Municipal </w:t>
          </w:r>
          <w:r>
            <w:t>p</w:t>
          </w:r>
          <w:r w:rsidRPr="00CE6CD5">
            <w:t>ara el Desarrollo Integral de la Familia de Nezahualcóyotl</w:t>
          </w:r>
        </w:p>
      </w:tc>
    </w:tr>
    <w:tr w:rsidR="0089059B" w14:paraId="4E2B2D8D" w14:textId="77777777">
      <w:trPr>
        <w:trHeight w:val="261"/>
        <w:jc w:val="right"/>
      </w:trPr>
      <w:tc>
        <w:tcPr>
          <w:tcW w:w="2691" w:type="dxa"/>
        </w:tcPr>
        <w:p w14:paraId="4E2B2D8B" w14:textId="77777777" w:rsidR="0089059B" w:rsidRDefault="0089059B">
          <w:pPr>
            <w:tabs>
              <w:tab w:val="right" w:pos="8838"/>
            </w:tabs>
            <w:ind w:right="-105"/>
            <w:rPr>
              <w:b/>
            </w:rPr>
          </w:pPr>
          <w:r>
            <w:rPr>
              <w:b/>
            </w:rPr>
            <w:t>Comisionado Ponente:</w:t>
          </w:r>
        </w:p>
      </w:tc>
      <w:tc>
        <w:tcPr>
          <w:tcW w:w="3612" w:type="dxa"/>
        </w:tcPr>
        <w:p w14:paraId="4E2B2D8C" w14:textId="77777777" w:rsidR="0089059B" w:rsidRDefault="0089059B">
          <w:pPr>
            <w:tabs>
              <w:tab w:val="right" w:pos="8838"/>
            </w:tabs>
            <w:ind w:right="-32"/>
            <w:rPr>
              <w:b/>
            </w:rPr>
          </w:pPr>
          <w:r>
            <w:t>Luis Gustavo Parra Noriega</w:t>
          </w:r>
        </w:p>
      </w:tc>
    </w:tr>
  </w:tbl>
  <w:p w14:paraId="4E2B2D8E" w14:textId="77777777" w:rsidR="0089059B" w:rsidRDefault="00B65954">
    <w:pPr>
      <w:pBdr>
        <w:top w:val="nil"/>
        <w:left w:val="nil"/>
        <w:bottom w:val="nil"/>
        <w:right w:val="nil"/>
        <w:between w:val="nil"/>
      </w:pBdr>
      <w:tabs>
        <w:tab w:val="center" w:pos="4419"/>
        <w:tab w:val="right" w:pos="8838"/>
      </w:tabs>
      <w:spacing w:after="0" w:line="240" w:lineRule="auto"/>
      <w:rPr>
        <w:color w:val="000000"/>
      </w:rPr>
    </w:pPr>
    <w:r>
      <w:rPr>
        <w:color w:val="000000"/>
      </w:rPr>
      <w:pict w14:anchorId="4E2B2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181"/>
    <w:multiLevelType w:val="multilevel"/>
    <w:tmpl w:val="DB0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4D2E6E"/>
    <w:multiLevelType w:val="hybridMultilevel"/>
    <w:tmpl w:val="04FA3700"/>
    <w:lvl w:ilvl="0" w:tplc="841E15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051B2D"/>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7E5046"/>
    <w:multiLevelType w:val="multilevel"/>
    <w:tmpl w:val="B67A19DC"/>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E4185"/>
    <w:multiLevelType w:val="hybridMultilevel"/>
    <w:tmpl w:val="AC70D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028F0"/>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C46E5"/>
    <w:multiLevelType w:val="multilevel"/>
    <w:tmpl w:val="1D466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2C1D00"/>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7517D"/>
    <w:multiLevelType w:val="hybridMultilevel"/>
    <w:tmpl w:val="4A60B45C"/>
    <w:lvl w:ilvl="0" w:tplc="349254D0">
      <w:start w:val="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3D2618E8"/>
    <w:multiLevelType w:val="hybridMultilevel"/>
    <w:tmpl w:val="F92A4DC6"/>
    <w:lvl w:ilvl="0" w:tplc="30AEDDC2">
      <w:start w:val="12"/>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DD59E6"/>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4425CB"/>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28679F"/>
    <w:multiLevelType w:val="hybridMultilevel"/>
    <w:tmpl w:val="31E0E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51156F"/>
    <w:multiLevelType w:val="hybridMultilevel"/>
    <w:tmpl w:val="E87A10A0"/>
    <w:lvl w:ilvl="0" w:tplc="0AE6556A">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A919D2"/>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EF4F02"/>
    <w:multiLevelType w:val="hybridMultilevel"/>
    <w:tmpl w:val="688A0E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5EA66341"/>
    <w:multiLevelType w:val="hybridMultilevel"/>
    <w:tmpl w:val="569E81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C269AC"/>
    <w:multiLevelType w:val="multilevel"/>
    <w:tmpl w:val="97563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DD6261"/>
    <w:multiLevelType w:val="hybridMultilevel"/>
    <w:tmpl w:val="6CC8ACD8"/>
    <w:lvl w:ilvl="0" w:tplc="8B28193C">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3505AD"/>
    <w:multiLevelType w:val="multilevel"/>
    <w:tmpl w:val="FE4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DD2F68"/>
    <w:multiLevelType w:val="multilevel"/>
    <w:tmpl w:val="B734F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A81A3C"/>
    <w:multiLevelType w:val="hybridMultilevel"/>
    <w:tmpl w:val="51F0F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8B0CB8"/>
    <w:multiLevelType w:val="hybridMultilevel"/>
    <w:tmpl w:val="4F2C9E32"/>
    <w:lvl w:ilvl="0" w:tplc="0AE6556A">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8"/>
  </w:num>
  <w:num w:numId="4">
    <w:abstractNumId w:val="0"/>
  </w:num>
  <w:num w:numId="5">
    <w:abstractNumId w:val="20"/>
  </w:num>
  <w:num w:numId="6">
    <w:abstractNumId w:val="21"/>
  </w:num>
  <w:num w:numId="7">
    <w:abstractNumId w:val="5"/>
  </w:num>
  <w:num w:numId="8">
    <w:abstractNumId w:val="12"/>
  </w:num>
  <w:num w:numId="9">
    <w:abstractNumId w:val="2"/>
  </w:num>
  <w:num w:numId="10">
    <w:abstractNumId w:val="15"/>
  </w:num>
  <w:num w:numId="11">
    <w:abstractNumId w:val="6"/>
  </w:num>
  <w:num w:numId="12">
    <w:abstractNumId w:val="11"/>
  </w:num>
  <w:num w:numId="13">
    <w:abstractNumId w:val="4"/>
  </w:num>
  <w:num w:numId="14">
    <w:abstractNumId w:val="8"/>
  </w:num>
  <w:num w:numId="15">
    <w:abstractNumId w:val="23"/>
  </w:num>
  <w:num w:numId="16">
    <w:abstractNumId w:val="14"/>
  </w:num>
  <w:num w:numId="17">
    <w:abstractNumId w:val="13"/>
  </w:num>
  <w:num w:numId="18">
    <w:abstractNumId w:val="17"/>
  </w:num>
  <w:num w:numId="19">
    <w:abstractNumId w:val="1"/>
  </w:num>
  <w:num w:numId="20">
    <w:abstractNumId w:val="22"/>
  </w:num>
  <w:num w:numId="21">
    <w:abstractNumId w:val="16"/>
  </w:num>
  <w:num w:numId="22">
    <w:abstractNumId w:val="10"/>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CD"/>
    <w:rsid w:val="000030E6"/>
    <w:rsid w:val="00003D20"/>
    <w:rsid w:val="00005FEF"/>
    <w:rsid w:val="000120EC"/>
    <w:rsid w:val="00012518"/>
    <w:rsid w:val="0001597B"/>
    <w:rsid w:val="0002015A"/>
    <w:rsid w:val="00030C01"/>
    <w:rsid w:val="00030C99"/>
    <w:rsid w:val="00034665"/>
    <w:rsid w:val="0004148C"/>
    <w:rsid w:val="000448D9"/>
    <w:rsid w:val="00052578"/>
    <w:rsid w:val="00052AD3"/>
    <w:rsid w:val="00056009"/>
    <w:rsid w:val="00056F2C"/>
    <w:rsid w:val="00061380"/>
    <w:rsid w:val="0006297B"/>
    <w:rsid w:val="00066A8C"/>
    <w:rsid w:val="0007083B"/>
    <w:rsid w:val="00081431"/>
    <w:rsid w:val="00082DB7"/>
    <w:rsid w:val="00082E5D"/>
    <w:rsid w:val="0008658C"/>
    <w:rsid w:val="00086AF2"/>
    <w:rsid w:val="00092AA8"/>
    <w:rsid w:val="00092E25"/>
    <w:rsid w:val="000A322E"/>
    <w:rsid w:val="000B4B40"/>
    <w:rsid w:val="000C2E58"/>
    <w:rsid w:val="000C4623"/>
    <w:rsid w:val="000D39BB"/>
    <w:rsid w:val="000D751C"/>
    <w:rsid w:val="000E0A9B"/>
    <w:rsid w:val="000E199E"/>
    <w:rsid w:val="000F1267"/>
    <w:rsid w:val="000F2472"/>
    <w:rsid w:val="000F51D8"/>
    <w:rsid w:val="001006EE"/>
    <w:rsid w:val="00105757"/>
    <w:rsid w:val="00114BBB"/>
    <w:rsid w:val="0011639D"/>
    <w:rsid w:val="0012370C"/>
    <w:rsid w:val="001412CF"/>
    <w:rsid w:val="001465EC"/>
    <w:rsid w:val="00150876"/>
    <w:rsid w:val="001522EE"/>
    <w:rsid w:val="001529C4"/>
    <w:rsid w:val="00155A63"/>
    <w:rsid w:val="00156EE2"/>
    <w:rsid w:val="0016054C"/>
    <w:rsid w:val="001772DA"/>
    <w:rsid w:val="00184633"/>
    <w:rsid w:val="001854AC"/>
    <w:rsid w:val="00187572"/>
    <w:rsid w:val="001923E7"/>
    <w:rsid w:val="001950A3"/>
    <w:rsid w:val="001976EB"/>
    <w:rsid w:val="001A17D4"/>
    <w:rsid w:val="001A77CD"/>
    <w:rsid w:val="001B413C"/>
    <w:rsid w:val="001B6EF4"/>
    <w:rsid w:val="001C72FE"/>
    <w:rsid w:val="001D1FEC"/>
    <w:rsid w:val="001D3E7B"/>
    <w:rsid w:val="001D5372"/>
    <w:rsid w:val="00201B7E"/>
    <w:rsid w:val="00205646"/>
    <w:rsid w:val="002061A3"/>
    <w:rsid w:val="00221469"/>
    <w:rsid w:val="002325CA"/>
    <w:rsid w:val="00240754"/>
    <w:rsid w:val="00243793"/>
    <w:rsid w:val="002458F7"/>
    <w:rsid w:val="002469AC"/>
    <w:rsid w:val="00252B51"/>
    <w:rsid w:val="002608D1"/>
    <w:rsid w:val="00262719"/>
    <w:rsid w:val="002650B0"/>
    <w:rsid w:val="00273F1D"/>
    <w:rsid w:val="0029103D"/>
    <w:rsid w:val="002932D9"/>
    <w:rsid w:val="00295217"/>
    <w:rsid w:val="00295442"/>
    <w:rsid w:val="002B6101"/>
    <w:rsid w:val="002D0B77"/>
    <w:rsid w:val="002D3FD2"/>
    <w:rsid w:val="002F22BA"/>
    <w:rsid w:val="002F2780"/>
    <w:rsid w:val="002F2848"/>
    <w:rsid w:val="003068DD"/>
    <w:rsid w:val="00314FEA"/>
    <w:rsid w:val="003168A8"/>
    <w:rsid w:val="00316B7F"/>
    <w:rsid w:val="0032136B"/>
    <w:rsid w:val="003261A0"/>
    <w:rsid w:val="003351AF"/>
    <w:rsid w:val="0033552E"/>
    <w:rsid w:val="0035508A"/>
    <w:rsid w:val="0036227C"/>
    <w:rsid w:val="00375382"/>
    <w:rsid w:val="00380F9A"/>
    <w:rsid w:val="00380FC6"/>
    <w:rsid w:val="00390A10"/>
    <w:rsid w:val="003B0601"/>
    <w:rsid w:val="003D5A84"/>
    <w:rsid w:val="003E39C9"/>
    <w:rsid w:val="003E63A0"/>
    <w:rsid w:val="003E750B"/>
    <w:rsid w:val="003F21E0"/>
    <w:rsid w:val="003F48F9"/>
    <w:rsid w:val="003F5D8C"/>
    <w:rsid w:val="004107F0"/>
    <w:rsid w:val="00412D4F"/>
    <w:rsid w:val="00414D4F"/>
    <w:rsid w:val="004167CD"/>
    <w:rsid w:val="00420B9E"/>
    <w:rsid w:val="0042303B"/>
    <w:rsid w:val="00425779"/>
    <w:rsid w:val="0042749C"/>
    <w:rsid w:val="00431978"/>
    <w:rsid w:val="0043346E"/>
    <w:rsid w:val="004410EB"/>
    <w:rsid w:val="00456EBD"/>
    <w:rsid w:val="004570F4"/>
    <w:rsid w:val="004611D7"/>
    <w:rsid w:val="004708D7"/>
    <w:rsid w:val="00490F6E"/>
    <w:rsid w:val="004942EB"/>
    <w:rsid w:val="00496C0A"/>
    <w:rsid w:val="004A3A3E"/>
    <w:rsid w:val="004A483D"/>
    <w:rsid w:val="004A6159"/>
    <w:rsid w:val="004B2C3D"/>
    <w:rsid w:val="004B688B"/>
    <w:rsid w:val="004C1D0B"/>
    <w:rsid w:val="004C2C51"/>
    <w:rsid w:val="004C456A"/>
    <w:rsid w:val="004D7518"/>
    <w:rsid w:val="004E0D0B"/>
    <w:rsid w:val="004E29B3"/>
    <w:rsid w:val="004E3434"/>
    <w:rsid w:val="004E3FA2"/>
    <w:rsid w:val="004E7005"/>
    <w:rsid w:val="004E7602"/>
    <w:rsid w:val="004F1C14"/>
    <w:rsid w:val="004F2BD6"/>
    <w:rsid w:val="004F562C"/>
    <w:rsid w:val="005017B1"/>
    <w:rsid w:val="0051691B"/>
    <w:rsid w:val="00525A8F"/>
    <w:rsid w:val="00527116"/>
    <w:rsid w:val="005321B0"/>
    <w:rsid w:val="00532496"/>
    <w:rsid w:val="00545F97"/>
    <w:rsid w:val="00553A20"/>
    <w:rsid w:val="00562F18"/>
    <w:rsid w:val="00582DEF"/>
    <w:rsid w:val="00585324"/>
    <w:rsid w:val="005912C0"/>
    <w:rsid w:val="00593278"/>
    <w:rsid w:val="00596D4C"/>
    <w:rsid w:val="005A1365"/>
    <w:rsid w:val="005A1567"/>
    <w:rsid w:val="005A45DD"/>
    <w:rsid w:val="005B03BF"/>
    <w:rsid w:val="005B04A8"/>
    <w:rsid w:val="005C12CD"/>
    <w:rsid w:val="005C24B2"/>
    <w:rsid w:val="005D323C"/>
    <w:rsid w:val="005E445B"/>
    <w:rsid w:val="005E6546"/>
    <w:rsid w:val="00610F0F"/>
    <w:rsid w:val="00611A35"/>
    <w:rsid w:val="00630AA2"/>
    <w:rsid w:val="00635496"/>
    <w:rsid w:val="00643810"/>
    <w:rsid w:val="0065752C"/>
    <w:rsid w:val="006655A7"/>
    <w:rsid w:val="00680DE4"/>
    <w:rsid w:val="00686849"/>
    <w:rsid w:val="0069033A"/>
    <w:rsid w:val="00692343"/>
    <w:rsid w:val="006944A7"/>
    <w:rsid w:val="0069784D"/>
    <w:rsid w:val="006A6AAC"/>
    <w:rsid w:val="006B2189"/>
    <w:rsid w:val="006B470E"/>
    <w:rsid w:val="006C60AB"/>
    <w:rsid w:val="006C6FB2"/>
    <w:rsid w:val="006D0AB0"/>
    <w:rsid w:val="006D201C"/>
    <w:rsid w:val="006D3BC5"/>
    <w:rsid w:val="006E0EF5"/>
    <w:rsid w:val="006E1D38"/>
    <w:rsid w:val="006E571C"/>
    <w:rsid w:val="006F13F2"/>
    <w:rsid w:val="006F196A"/>
    <w:rsid w:val="006F6F48"/>
    <w:rsid w:val="007000BE"/>
    <w:rsid w:val="00700DF3"/>
    <w:rsid w:val="00703A88"/>
    <w:rsid w:val="007127CC"/>
    <w:rsid w:val="007236CC"/>
    <w:rsid w:val="0073085F"/>
    <w:rsid w:val="0074357E"/>
    <w:rsid w:val="00751569"/>
    <w:rsid w:val="00754C62"/>
    <w:rsid w:val="0076477B"/>
    <w:rsid w:val="007659BD"/>
    <w:rsid w:val="00771D21"/>
    <w:rsid w:val="00773E59"/>
    <w:rsid w:val="00774242"/>
    <w:rsid w:val="007751A3"/>
    <w:rsid w:val="00790CF1"/>
    <w:rsid w:val="00790F4B"/>
    <w:rsid w:val="007911A4"/>
    <w:rsid w:val="007924DC"/>
    <w:rsid w:val="007926F2"/>
    <w:rsid w:val="007B3BF0"/>
    <w:rsid w:val="007F22A3"/>
    <w:rsid w:val="007F2EFA"/>
    <w:rsid w:val="008048D7"/>
    <w:rsid w:val="00811A4F"/>
    <w:rsid w:val="00814150"/>
    <w:rsid w:val="008177A3"/>
    <w:rsid w:val="0082542D"/>
    <w:rsid w:val="008261C7"/>
    <w:rsid w:val="00827348"/>
    <w:rsid w:val="00837442"/>
    <w:rsid w:val="00857C63"/>
    <w:rsid w:val="00861164"/>
    <w:rsid w:val="008619FE"/>
    <w:rsid w:val="00865C4B"/>
    <w:rsid w:val="00872736"/>
    <w:rsid w:val="00876FDD"/>
    <w:rsid w:val="0088358A"/>
    <w:rsid w:val="008839E3"/>
    <w:rsid w:val="00883FE9"/>
    <w:rsid w:val="0088729C"/>
    <w:rsid w:val="0089059B"/>
    <w:rsid w:val="008A29B9"/>
    <w:rsid w:val="008A33F9"/>
    <w:rsid w:val="008A65DA"/>
    <w:rsid w:val="008B6B42"/>
    <w:rsid w:val="008B7BC6"/>
    <w:rsid w:val="008C30BF"/>
    <w:rsid w:val="008C5E4E"/>
    <w:rsid w:val="008D3C22"/>
    <w:rsid w:val="008D7B3B"/>
    <w:rsid w:val="008E3448"/>
    <w:rsid w:val="008E6F77"/>
    <w:rsid w:val="008E763D"/>
    <w:rsid w:val="00900E71"/>
    <w:rsid w:val="00902358"/>
    <w:rsid w:val="00921459"/>
    <w:rsid w:val="00923EC9"/>
    <w:rsid w:val="009302CD"/>
    <w:rsid w:val="00937E20"/>
    <w:rsid w:val="00940C97"/>
    <w:rsid w:val="00943C8F"/>
    <w:rsid w:val="00945290"/>
    <w:rsid w:val="0094644F"/>
    <w:rsid w:val="0094670D"/>
    <w:rsid w:val="00952E0A"/>
    <w:rsid w:val="009615B6"/>
    <w:rsid w:val="00990F09"/>
    <w:rsid w:val="00991ECE"/>
    <w:rsid w:val="009928BA"/>
    <w:rsid w:val="00993DD0"/>
    <w:rsid w:val="009A47A7"/>
    <w:rsid w:val="009D0CD7"/>
    <w:rsid w:val="009D7C4A"/>
    <w:rsid w:val="009E4FCF"/>
    <w:rsid w:val="009E7440"/>
    <w:rsid w:val="009F25B3"/>
    <w:rsid w:val="00A00569"/>
    <w:rsid w:val="00A05301"/>
    <w:rsid w:val="00A13325"/>
    <w:rsid w:val="00A25F84"/>
    <w:rsid w:val="00A30628"/>
    <w:rsid w:val="00A332BA"/>
    <w:rsid w:val="00A35A12"/>
    <w:rsid w:val="00A40F7E"/>
    <w:rsid w:val="00A465E3"/>
    <w:rsid w:val="00A534EB"/>
    <w:rsid w:val="00A67F67"/>
    <w:rsid w:val="00A76810"/>
    <w:rsid w:val="00A80004"/>
    <w:rsid w:val="00A81745"/>
    <w:rsid w:val="00A81939"/>
    <w:rsid w:val="00A81D63"/>
    <w:rsid w:val="00A97B86"/>
    <w:rsid w:val="00AC4783"/>
    <w:rsid w:val="00AD2A47"/>
    <w:rsid w:val="00AD7C9D"/>
    <w:rsid w:val="00AF206D"/>
    <w:rsid w:val="00AF3EBD"/>
    <w:rsid w:val="00B141B0"/>
    <w:rsid w:val="00B171A6"/>
    <w:rsid w:val="00B229EB"/>
    <w:rsid w:val="00B2762D"/>
    <w:rsid w:val="00B320F8"/>
    <w:rsid w:val="00B43133"/>
    <w:rsid w:val="00B52822"/>
    <w:rsid w:val="00B5660F"/>
    <w:rsid w:val="00B65098"/>
    <w:rsid w:val="00B65954"/>
    <w:rsid w:val="00B667E4"/>
    <w:rsid w:val="00B74F84"/>
    <w:rsid w:val="00B764C9"/>
    <w:rsid w:val="00B93518"/>
    <w:rsid w:val="00B96324"/>
    <w:rsid w:val="00B96D63"/>
    <w:rsid w:val="00B972B1"/>
    <w:rsid w:val="00BA1228"/>
    <w:rsid w:val="00BA157F"/>
    <w:rsid w:val="00BA1D43"/>
    <w:rsid w:val="00BA4509"/>
    <w:rsid w:val="00BA5E37"/>
    <w:rsid w:val="00BB0CAF"/>
    <w:rsid w:val="00BB1EE2"/>
    <w:rsid w:val="00BB2198"/>
    <w:rsid w:val="00BD64DB"/>
    <w:rsid w:val="00BE0A58"/>
    <w:rsid w:val="00BE2C71"/>
    <w:rsid w:val="00C01774"/>
    <w:rsid w:val="00C1686E"/>
    <w:rsid w:val="00C258FD"/>
    <w:rsid w:val="00C27C93"/>
    <w:rsid w:val="00C319F9"/>
    <w:rsid w:val="00C3649B"/>
    <w:rsid w:val="00C374DA"/>
    <w:rsid w:val="00C5058F"/>
    <w:rsid w:val="00C534C9"/>
    <w:rsid w:val="00C539AD"/>
    <w:rsid w:val="00C54E5A"/>
    <w:rsid w:val="00C57AC7"/>
    <w:rsid w:val="00C672B8"/>
    <w:rsid w:val="00C72426"/>
    <w:rsid w:val="00C76A18"/>
    <w:rsid w:val="00C77DFD"/>
    <w:rsid w:val="00C87378"/>
    <w:rsid w:val="00CA279B"/>
    <w:rsid w:val="00CA2E6D"/>
    <w:rsid w:val="00CA46D8"/>
    <w:rsid w:val="00CB22A5"/>
    <w:rsid w:val="00CB26B9"/>
    <w:rsid w:val="00CC0355"/>
    <w:rsid w:val="00CC5C1D"/>
    <w:rsid w:val="00CE6CD5"/>
    <w:rsid w:val="00CF035A"/>
    <w:rsid w:val="00D13031"/>
    <w:rsid w:val="00D13AE8"/>
    <w:rsid w:val="00D14AF1"/>
    <w:rsid w:val="00D164EA"/>
    <w:rsid w:val="00D21140"/>
    <w:rsid w:val="00D35A09"/>
    <w:rsid w:val="00D45CA3"/>
    <w:rsid w:val="00D546D7"/>
    <w:rsid w:val="00D555AB"/>
    <w:rsid w:val="00D67BF2"/>
    <w:rsid w:val="00D76D71"/>
    <w:rsid w:val="00D80AB7"/>
    <w:rsid w:val="00D81185"/>
    <w:rsid w:val="00D843CA"/>
    <w:rsid w:val="00D86832"/>
    <w:rsid w:val="00D91638"/>
    <w:rsid w:val="00DA48A3"/>
    <w:rsid w:val="00DA6987"/>
    <w:rsid w:val="00DB353B"/>
    <w:rsid w:val="00DC7CF5"/>
    <w:rsid w:val="00DD27DE"/>
    <w:rsid w:val="00DD6D36"/>
    <w:rsid w:val="00DF62E8"/>
    <w:rsid w:val="00E07D49"/>
    <w:rsid w:val="00E11D1A"/>
    <w:rsid w:val="00E24AEC"/>
    <w:rsid w:val="00E25C67"/>
    <w:rsid w:val="00E311C2"/>
    <w:rsid w:val="00E31745"/>
    <w:rsid w:val="00E40A27"/>
    <w:rsid w:val="00E423BE"/>
    <w:rsid w:val="00E50C83"/>
    <w:rsid w:val="00E51687"/>
    <w:rsid w:val="00E5215F"/>
    <w:rsid w:val="00E53550"/>
    <w:rsid w:val="00E6167B"/>
    <w:rsid w:val="00E725C6"/>
    <w:rsid w:val="00E72B8A"/>
    <w:rsid w:val="00E74E04"/>
    <w:rsid w:val="00E753D3"/>
    <w:rsid w:val="00E814DE"/>
    <w:rsid w:val="00E84C68"/>
    <w:rsid w:val="00E84D43"/>
    <w:rsid w:val="00E92D88"/>
    <w:rsid w:val="00E962C7"/>
    <w:rsid w:val="00EA0701"/>
    <w:rsid w:val="00EB66BE"/>
    <w:rsid w:val="00EC2B6B"/>
    <w:rsid w:val="00EC2E20"/>
    <w:rsid w:val="00EC5C49"/>
    <w:rsid w:val="00ED1FBE"/>
    <w:rsid w:val="00ED55F8"/>
    <w:rsid w:val="00EE5D5C"/>
    <w:rsid w:val="00F03F3A"/>
    <w:rsid w:val="00F11F2F"/>
    <w:rsid w:val="00F20DA8"/>
    <w:rsid w:val="00F36687"/>
    <w:rsid w:val="00F45566"/>
    <w:rsid w:val="00F507B9"/>
    <w:rsid w:val="00F57896"/>
    <w:rsid w:val="00F70B3E"/>
    <w:rsid w:val="00F756F1"/>
    <w:rsid w:val="00F762C3"/>
    <w:rsid w:val="00F76C0E"/>
    <w:rsid w:val="00F82E40"/>
    <w:rsid w:val="00F85CE8"/>
    <w:rsid w:val="00F903A0"/>
    <w:rsid w:val="00F95701"/>
    <w:rsid w:val="00F97A64"/>
    <w:rsid w:val="00FA08EA"/>
    <w:rsid w:val="00FA2149"/>
    <w:rsid w:val="00FC1C03"/>
    <w:rsid w:val="00FC27C6"/>
    <w:rsid w:val="00FC7C65"/>
    <w:rsid w:val="00FD1D04"/>
    <w:rsid w:val="00FD4D44"/>
    <w:rsid w:val="00FF05CC"/>
    <w:rsid w:val="00FF3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2B2B0D"/>
  <w15:docId w15:val="{6583DFA2-A44B-4675-8858-9CB1BE2C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CC"/>
    <w:rPr>
      <w:color w:val="000000" w:themeColor="text1"/>
    </w:rPr>
  </w:style>
  <w:style w:type="paragraph" w:styleId="Ttulo1">
    <w:name w:val="heading 1"/>
    <w:basedOn w:val="Normal"/>
    <w:next w:val="Normal"/>
    <w:link w:val="Ttulo1Car"/>
    <w:uiPriority w:val="9"/>
    <w:qFormat/>
    <w:rsid w:val="004107F0"/>
    <w:pPr>
      <w:keepNext/>
      <w:keepLines/>
      <w:spacing w:before="240" w:after="0" w:line="24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076BF9"/>
    <w:pPr>
      <w:keepNext/>
      <w:keepLines/>
      <w:spacing w:before="40" w:after="0"/>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5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4107F0"/>
    <w:rPr>
      <w:rFonts w:eastAsiaTheme="majorEastAsia" w:cstheme="majorBidi"/>
      <w:b/>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076BF9"/>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C93D2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69033A"/>
    <w:pPr>
      <w:spacing w:after="0" w:line="240" w:lineRule="auto"/>
      <w:jc w:val="center"/>
    </w:pPr>
    <w:rPr>
      <w:b/>
      <w:color w:val="000000" w:themeColor="text1"/>
    </w:rPr>
  </w:style>
  <w:style w:type="character" w:customStyle="1" w:styleId="Mencinsinresolver3">
    <w:name w:val="Mención sin resolver3"/>
    <w:basedOn w:val="Fuentedeprrafopredeter"/>
    <w:uiPriority w:val="99"/>
    <w:semiHidden/>
    <w:unhideWhenUsed/>
    <w:rsid w:val="00790F4B"/>
    <w:rPr>
      <w:color w:val="605E5C"/>
      <w:shd w:val="clear" w:color="auto" w:fill="E1DFDD"/>
    </w:rPr>
  </w:style>
  <w:style w:type="character" w:customStyle="1" w:styleId="Mencinsinresolver4">
    <w:name w:val="Mención sin resolver4"/>
    <w:basedOn w:val="Fuentedeprrafopredeter"/>
    <w:uiPriority w:val="99"/>
    <w:semiHidden/>
    <w:unhideWhenUsed/>
    <w:rsid w:val="00E8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5065">
      <w:bodyDiv w:val="1"/>
      <w:marLeft w:val="0"/>
      <w:marRight w:val="0"/>
      <w:marTop w:val="0"/>
      <w:marBottom w:val="0"/>
      <w:divBdr>
        <w:top w:val="none" w:sz="0" w:space="0" w:color="auto"/>
        <w:left w:val="none" w:sz="0" w:space="0" w:color="auto"/>
        <w:bottom w:val="none" w:sz="0" w:space="0" w:color="auto"/>
        <w:right w:val="none" w:sz="0" w:space="0" w:color="auto"/>
      </w:divBdr>
      <w:divsChild>
        <w:div w:id="1170175489">
          <w:marLeft w:val="0"/>
          <w:marRight w:val="0"/>
          <w:marTop w:val="0"/>
          <w:marBottom w:val="0"/>
          <w:divBdr>
            <w:top w:val="none" w:sz="0" w:space="0" w:color="auto"/>
            <w:left w:val="none" w:sz="0" w:space="0" w:color="auto"/>
            <w:bottom w:val="none" w:sz="0" w:space="0" w:color="auto"/>
            <w:right w:val="none" w:sz="0" w:space="0" w:color="auto"/>
          </w:divBdr>
        </w:div>
      </w:divsChild>
    </w:div>
    <w:div w:id="558059227">
      <w:bodyDiv w:val="1"/>
      <w:marLeft w:val="0"/>
      <w:marRight w:val="0"/>
      <w:marTop w:val="0"/>
      <w:marBottom w:val="0"/>
      <w:divBdr>
        <w:top w:val="none" w:sz="0" w:space="0" w:color="auto"/>
        <w:left w:val="none" w:sz="0" w:space="0" w:color="auto"/>
        <w:bottom w:val="none" w:sz="0" w:space="0" w:color="auto"/>
        <w:right w:val="none" w:sz="0" w:space="0" w:color="auto"/>
      </w:divBdr>
    </w:div>
    <w:div w:id="760301235">
      <w:bodyDiv w:val="1"/>
      <w:marLeft w:val="0"/>
      <w:marRight w:val="0"/>
      <w:marTop w:val="0"/>
      <w:marBottom w:val="0"/>
      <w:divBdr>
        <w:top w:val="none" w:sz="0" w:space="0" w:color="auto"/>
        <w:left w:val="none" w:sz="0" w:space="0" w:color="auto"/>
        <w:bottom w:val="none" w:sz="0" w:space="0" w:color="auto"/>
        <w:right w:val="none" w:sz="0" w:space="0" w:color="auto"/>
      </w:divBdr>
    </w:div>
    <w:div w:id="943806692">
      <w:bodyDiv w:val="1"/>
      <w:marLeft w:val="0"/>
      <w:marRight w:val="0"/>
      <w:marTop w:val="0"/>
      <w:marBottom w:val="0"/>
      <w:divBdr>
        <w:top w:val="none" w:sz="0" w:space="0" w:color="auto"/>
        <w:left w:val="none" w:sz="0" w:space="0" w:color="auto"/>
        <w:bottom w:val="none" w:sz="0" w:space="0" w:color="auto"/>
        <w:right w:val="none" w:sz="0" w:space="0" w:color="auto"/>
      </w:divBdr>
    </w:div>
    <w:div w:id="1587761993">
      <w:bodyDiv w:val="1"/>
      <w:marLeft w:val="0"/>
      <w:marRight w:val="0"/>
      <w:marTop w:val="0"/>
      <w:marBottom w:val="0"/>
      <w:divBdr>
        <w:top w:val="none" w:sz="0" w:space="0" w:color="auto"/>
        <w:left w:val="none" w:sz="0" w:space="0" w:color="auto"/>
        <w:bottom w:val="none" w:sz="0" w:space="0" w:color="auto"/>
        <w:right w:val="none" w:sz="0" w:space="0" w:color="auto"/>
      </w:divBdr>
    </w:div>
    <w:div w:id="1873418490">
      <w:bodyDiv w:val="1"/>
      <w:marLeft w:val="0"/>
      <w:marRight w:val="0"/>
      <w:marTop w:val="0"/>
      <w:marBottom w:val="0"/>
      <w:divBdr>
        <w:top w:val="none" w:sz="0" w:space="0" w:color="auto"/>
        <w:left w:val="none" w:sz="0" w:space="0" w:color="auto"/>
        <w:bottom w:val="none" w:sz="0" w:space="0" w:color="auto"/>
        <w:right w:val="none" w:sz="0" w:space="0" w:color="auto"/>
      </w:divBdr>
    </w:div>
    <w:div w:id="1882354527">
      <w:bodyDiv w:val="1"/>
      <w:marLeft w:val="0"/>
      <w:marRight w:val="0"/>
      <w:marTop w:val="0"/>
      <w:marBottom w:val="0"/>
      <w:divBdr>
        <w:top w:val="none" w:sz="0" w:space="0" w:color="auto"/>
        <w:left w:val="none" w:sz="0" w:space="0" w:color="auto"/>
        <w:bottom w:val="none" w:sz="0" w:space="0" w:color="auto"/>
        <w:right w:val="none" w:sz="0" w:space="0" w:color="auto"/>
      </w:divBdr>
      <w:divsChild>
        <w:div w:id="801653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JCtmVn2ZF+OrRnYAPeD2nYGsg==">CgMxLjAyCGguZ2pkZ3hzMgloLjMwajB6bGwyCWguMWZvYjl0ZTIJaC4zem55c2g3MgloLjJldDkycDAyCGgudHlqY3d0MgloLjNkeTZ2a20yCWguMXQzaDVzZjIJaC40ZDM0b2c4MgloLjJzOGV5bzEyCWguMTdkcDh2dTIJaC4zcmRjcmpuMgloLjI2aW4xcmcyCGgubG54Yno5MgloLjM1bmt1bjIyCWguMWtzdjR1djgAciExRkJnUXl6ZDZ0QU9JRVFxRlVxTzR1bFZjVFlqR1laT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3F3EEE-5485-4E98-A87C-E862887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2627</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 medina hernandez</dc:creator>
  <cp:lastModifiedBy>INFOEM</cp:lastModifiedBy>
  <cp:revision>6</cp:revision>
  <cp:lastPrinted>2024-12-19T19:39:00Z</cp:lastPrinted>
  <dcterms:created xsi:type="dcterms:W3CDTF">2024-12-19T19:39:00Z</dcterms:created>
  <dcterms:modified xsi:type="dcterms:W3CDTF">2025-02-04T17:18:00Z</dcterms:modified>
</cp:coreProperties>
</file>