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EE523" w14:textId="77777777" w:rsidR="00261355" w:rsidRPr="00381632" w:rsidRDefault="00DD29B0">
      <w:pPr>
        <w:spacing w:before="240" w:after="240" w:line="360" w:lineRule="auto"/>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381632">
        <w:rPr>
          <w:rFonts w:ascii="Palatino Linotype" w:eastAsia="Palatino Linotype" w:hAnsi="Palatino Linotype" w:cs="Palatino Linotype"/>
          <w:b/>
          <w:sz w:val="22"/>
          <w:szCs w:val="22"/>
        </w:rPr>
        <w:t>cuatro de septiembre de dos mil veinticuatro</w:t>
      </w:r>
      <w:r w:rsidRPr="00381632">
        <w:rPr>
          <w:rFonts w:ascii="Palatino Linotype" w:eastAsia="Palatino Linotype" w:hAnsi="Palatino Linotype" w:cs="Palatino Linotype"/>
          <w:sz w:val="22"/>
          <w:szCs w:val="22"/>
        </w:rPr>
        <w:t xml:space="preserve">. </w:t>
      </w:r>
    </w:p>
    <w:p w14:paraId="23B935B3" w14:textId="77777777" w:rsidR="00261355" w:rsidRPr="00381632" w:rsidRDefault="00DD29B0">
      <w:pPr>
        <w:spacing w:before="240" w:after="240" w:line="360" w:lineRule="auto"/>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Vistos</w:t>
      </w:r>
      <w:r w:rsidRPr="00381632">
        <w:rPr>
          <w:rFonts w:ascii="Palatino Linotype" w:eastAsia="Palatino Linotype" w:hAnsi="Palatino Linotype" w:cs="Palatino Linotype"/>
          <w:sz w:val="22"/>
          <w:szCs w:val="22"/>
        </w:rPr>
        <w:t xml:space="preserve"> los expedientes formados con motivo de los recursos de revisión </w:t>
      </w:r>
      <w:r w:rsidRPr="00381632">
        <w:rPr>
          <w:rFonts w:ascii="Palatino Linotype" w:eastAsia="Palatino Linotype" w:hAnsi="Palatino Linotype" w:cs="Palatino Linotype"/>
          <w:b/>
          <w:sz w:val="22"/>
          <w:szCs w:val="22"/>
        </w:rPr>
        <w:t xml:space="preserve">01909/INFOEM/IP/RR/2024 y 01910/INFOEM/IP/RR/2024 acumulados, </w:t>
      </w:r>
      <w:r w:rsidRPr="00381632">
        <w:rPr>
          <w:rFonts w:ascii="Palatino Linotype" w:eastAsia="Palatino Linotype" w:hAnsi="Palatino Linotype" w:cs="Palatino Linotype"/>
          <w:sz w:val="22"/>
          <w:szCs w:val="22"/>
        </w:rPr>
        <w:t>interpuestos por</w:t>
      </w:r>
      <w:r w:rsidRPr="00381632">
        <w:rPr>
          <w:rFonts w:ascii="Palatino Linotype" w:eastAsia="Palatino Linotype" w:hAnsi="Palatino Linotype" w:cs="Palatino Linotype"/>
          <w:b/>
          <w:sz w:val="22"/>
          <w:szCs w:val="22"/>
        </w:rPr>
        <w:t xml:space="preserve"> un particular de manera anónima, </w:t>
      </w:r>
      <w:r w:rsidRPr="00381632">
        <w:rPr>
          <w:rFonts w:ascii="Palatino Linotype" w:eastAsia="Palatino Linotype" w:hAnsi="Palatino Linotype" w:cs="Palatino Linotype"/>
          <w:sz w:val="22"/>
          <w:szCs w:val="22"/>
        </w:rPr>
        <w:t>quien en lo sucesivo</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 xml:space="preserve">será identificado como </w:t>
      </w:r>
      <w:r w:rsidRPr="00381632">
        <w:rPr>
          <w:rFonts w:ascii="Palatino Linotype" w:eastAsia="Palatino Linotype" w:hAnsi="Palatino Linotype" w:cs="Palatino Linotype"/>
          <w:b/>
          <w:sz w:val="22"/>
          <w:szCs w:val="22"/>
        </w:rPr>
        <w:t>la parte Recurrente,</w:t>
      </w:r>
      <w:r w:rsidRPr="00381632">
        <w:rPr>
          <w:rFonts w:ascii="Palatino Linotype" w:eastAsia="Palatino Linotype" w:hAnsi="Palatino Linotype" w:cs="Palatino Linotype"/>
          <w:sz w:val="22"/>
          <w:szCs w:val="22"/>
        </w:rPr>
        <w:t xml:space="preserve"> en contra de las respuestas en las solicitudes de información con número de folio </w:t>
      </w:r>
      <w:r w:rsidRPr="00381632">
        <w:rPr>
          <w:rFonts w:ascii="Palatino Linotype" w:eastAsia="Palatino Linotype" w:hAnsi="Palatino Linotype" w:cs="Palatino Linotype"/>
          <w:b/>
          <w:sz w:val="22"/>
          <w:szCs w:val="22"/>
        </w:rPr>
        <w:t xml:space="preserve">00116/METEPEC/IP/2024 y 00115/METEPEC/IP/2024, </w:t>
      </w:r>
      <w:r w:rsidRPr="00381632">
        <w:rPr>
          <w:rFonts w:ascii="Palatino Linotype" w:eastAsia="Palatino Linotype" w:hAnsi="Palatino Linotype" w:cs="Palatino Linotype"/>
          <w:sz w:val="22"/>
          <w:szCs w:val="22"/>
        </w:rPr>
        <w:t>por parte</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 xml:space="preserve">del </w:t>
      </w:r>
      <w:r w:rsidRPr="00381632">
        <w:rPr>
          <w:rFonts w:ascii="Palatino Linotype" w:eastAsia="Palatino Linotype" w:hAnsi="Palatino Linotype" w:cs="Palatino Linotype"/>
          <w:b/>
          <w:sz w:val="22"/>
          <w:szCs w:val="22"/>
        </w:rPr>
        <w:t xml:space="preserve">Ayuntamiento de Metepec, </w:t>
      </w:r>
      <w:r w:rsidRPr="00381632">
        <w:rPr>
          <w:rFonts w:ascii="Palatino Linotype" w:eastAsia="Palatino Linotype" w:hAnsi="Palatino Linotype" w:cs="Palatino Linotype"/>
          <w:sz w:val="22"/>
          <w:szCs w:val="22"/>
        </w:rPr>
        <w:t xml:space="preserve">en lo sucesivo el </w:t>
      </w:r>
      <w:r w:rsidRPr="00381632">
        <w:rPr>
          <w:rFonts w:ascii="Palatino Linotype" w:eastAsia="Palatino Linotype" w:hAnsi="Palatino Linotype" w:cs="Palatino Linotype"/>
          <w:b/>
          <w:sz w:val="22"/>
          <w:szCs w:val="22"/>
        </w:rPr>
        <w:t xml:space="preserve">Sujeto Obligado, </w:t>
      </w:r>
      <w:r w:rsidRPr="00381632">
        <w:rPr>
          <w:rFonts w:ascii="Palatino Linotype" w:eastAsia="Palatino Linotype" w:hAnsi="Palatino Linotype" w:cs="Palatino Linotype"/>
          <w:sz w:val="22"/>
          <w:szCs w:val="22"/>
        </w:rPr>
        <w:t xml:space="preserve">se procede a dictar la presente resolución con base en los siguientes: </w:t>
      </w:r>
    </w:p>
    <w:p w14:paraId="134DE088" w14:textId="77777777" w:rsidR="00261355" w:rsidRPr="00381632" w:rsidRDefault="00DD29B0">
      <w:pPr>
        <w:spacing w:before="240" w:after="240" w:line="360" w:lineRule="auto"/>
        <w:jc w:val="center"/>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I. A N T E C E D E N T E S</w:t>
      </w:r>
    </w:p>
    <w:p w14:paraId="2DAB8657"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bookmarkStart w:id="0" w:name="_heading=h.gjdgxs" w:colFirst="0" w:colLast="0"/>
      <w:bookmarkEnd w:id="0"/>
      <w:r w:rsidRPr="00381632">
        <w:rPr>
          <w:rFonts w:ascii="Palatino Linotype" w:eastAsia="Palatino Linotype" w:hAnsi="Palatino Linotype" w:cs="Palatino Linotype"/>
          <w:b/>
          <w:sz w:val="22"/>
          <w:szCs w:val="22"/>
        </w:rPr>
        <w:t>1. Solicitudes de acceso a la información.</w:t>
      </w:r>
      <w:r w:rsidRPr="00381632">
        <w:rPr>
          <w:rFonts w:ascii="Palatino Linotype" w:eastAsia="Palatino Linotype" w:hAnsi="Palatino Linotype" w:cs="Palatino Linotype"/>
          <w:sz w:val="22"/>
          <w:szCs w:val="22"/>
        </w:rPr>
        <w:t xml:space="preserve"> El </w:t>
      </w:r>
      <w:r w:rsidRPr="00381632">
        <w:rPr>
          <w:rFonts w:ascii="Palatino Linotype" w:eastAsia="Palatino Linotype" w:hAnsi="Palatino Linotype" w:cs="Palatino Linotype"/>
          <w:b/>
          <w:sz w:val="22"/>
          <w:szCs w:val="22"/>
        </w:rPr>
        <w:t>cinco</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de marzo de dos mil veinticuatro,</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 xml:space="preserve">la parte Recurrente </w:t>
      </w:r>
      <w:r w:rsidRPr="00381632">
        <w:rPr>
          <w:rFonts w:ascii="Palatino Linotype" w:eastAsia="Palatino Linotype" w:hAnsi="Palatino Linotype" w:cs="Palatino Linotype"/>
          <w:sz w:val="22"/>
          <w:szCs w:val="22"/>
        </w:rPr>
        <w:t>formuló solicitudes de acceso a información pública a través del Sistema de Acceso a la Información Mexiquense (SAIMEX)</w:t>
      </w:r>
      <w:r w:rsidRPr="00381632">
        <w:rPr>
          <w:rFonts w:ascii="Palatino Linotype" w:eastAsia="Palatino Linotype" w:hAnsi="Palatino Linotype" w:cs="Palatino Linotype"/>
          <w:b/>
          <w:sz w:val="22"/>
          <w:szCs w:val="22"/>
        </w:rPr>
        <w:t>,</w:t>
      </w:r>
      <w:r w:rsidRPr="00381632">
        <w:rPr>
          <w:rFonts w:ascii="Palatino Linotype" w:eastAsia="Palatino Linotype" w:hAnsi="Palatino Linotype" w:cs="Palatino Linotype"/>
          <w:sz w:val="22"/>
          <w:szCs w:val="22"/>
        </w:rPr>
        <w:t xml:space="preserve"> en las que requirió lo siguiente:</w:t>
      </w:r>
    </w:p>
    <w:tbl>
      <w:tblPr>
        <w:tblStyle w:val="afff"/>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381632" w:rsidRPr="00381632" w14:paraId="1C921343" w14:textId="77777777">
        <w:tc>
          <w:tcPr>
            <w:tcW w:w="3823" w:type="dxa"/>
            <w:shd w:val="clear" w:color="auto" w:fill="DDD9C4"/>
          </w:tcPr>
          <w:p w14:paraId="284D95A4" w14:textId="77777777" w:rsidR="00261355" w:rsidRPr="00381632" w:rsidRDefault="00DD29B0">
            <w:pPr>
              <w:spacing w:before="240" w:after="240"/>
              <w:jc w:val="center"/>
              <w:rPr>
                <w:rFonts w:ascii="Palatino Linotype" w:eastAsia="Palatino Linotype" w:hAnsi="Palatino Linotype" w:cs="Palatino Linotype"/>
                <w:b/>
              </w:rPr>
            </w:pPr>
            <w:r w:rsidRPr="00381632">
              <w:rPr>
                <w:rFonts w:ascii="Palatino Linotype" w:eastAsia="Palatino Linotype" w:hAnsi="Palatino Linotype" w:cs="Palatino Linotype"/>
                <w:b/>
                <w:sz w:val="20"/>
                <w:szCs w:val="20"/>
              </w:rPr>
              <w:t>Número de solicitud y recurso de revisión</w:t>
            </w:r>
          </w:p>
        </w:tc>
        <w:tc>
          <w:tcPr>
            <w:tcW w:w="5098" w:type="dxa"/>
            <w:shd w:val="clear" w:color="auto" w:fill="DDD9C4"/>
          </w:tcPr>
          <w:p w14:paraId="43728CD8" w14:textId="77777777" w:rsidR="00261355" w:rsidRPr="00381632" w:rsidRDefault="00DD29B0">
            <w:pPr>
              <w:spacing w:before="240" w:after="240" w:line="360" w:lineRule="auto"/>
              <w:jc w:val="center"/>
              <w:rPr>
                <w:rFonts w:ascii="Palatino Linotype" w:eastAsia="Palatino Linotype" w:hAnsi="Palatino Linotype" w:cs="Palatino Linotype"/>
                <w:b/>
              </w:rPr>
            </w:pPr>
            <w:r w:rsidRPr="00381632">
              <w:rPr>
                <w:rFonts w:ascii="Palatino Linotype" w:eastAsia="Palatino Linotype" w:hAnsi="Palatino Linotype" w:cs="Palatino Linotype"/>
                <w:b/>
                <w:sz w:val="20"/>
                <w:szCs w:val="20"/>
              </w:rPr>
              <w:t>Información requerida</w:t>
            </w:r>
          </w:p>
        </w:tc>
      </w:tr>
      <w:tr w:rsidR="00381632" w:rsidRPr="00381632" w14:paraId="47D5F64E" w14:textId="77777777">
        <w:tc>
          <w:tcPr>
            <w:tcW w:w="3823" w:type="dxa"/>
          </w:tcPr>
          <w:p w14:paraId="2AF9AE2F" w14:textId="77777777" w:rsidR="00261355" w:rsidRPr="00381632" w:rsidRDefault="00DD29B0">
            <w:pPr>
              <w:spacing w:before="240" w:after="240"/>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 xml:space="preserve">00116/METEPEC/IP/2024, </w:t>
            </w:r>
            <w:r w:rsidRPr="00381632">
              <w:rPr>
                <w:rFonts w:ascii="Palatino Linotype" w:eastAsia="Palatino Linotype" w:hAnsi="Palatino Linotype" w:cs="Palatino Linotype"/>
                <w:sz w:val="20"/>
                <w:szCs w:val="20"/>
              </w:rPr>
              <w:t>correspondiente al Recurso de Revisión</w:t>
            </w:r>
            <w:r w:rsidRPr="00381632">
              <w:rPr>
                <w:rFonts w:ascii="Palatino Linotype" w:eastAsia="Palatino Linotype" w:hAnsi="Palatino Linotype" w:cs="Palatino Linotype"/>
                <w:b/>
                <w:sz w:val="20"/>
                <w:szCs w:val="20"/>
              </w:rPr>
              <w:t xml:space="preserve"> 01909/INFOEM/IP/RR/2024</w:t>
            </w:r>
          </w:p>
        </w:tc>
        <w:tc>
          <w:tcPr>
            <w:tcW w:w="5098" w:type="dxa"/>
          </w:tcPr>
          <w:p w14:paraId="479C076F" w14:textId="77777777" w:rsidR="00261355" w:rsidRPr="00381632" w:rsidRDefault="00DD29B0">
            <w:pPr>
              <w:spacing w:before="240" w:after="240"/>
              <w:jc w:val="both"/>
              <w:rPr>
                <w:rFonts w:ascii="Palatino Linotype" w:eastAsia="Palatino Linotype" w:hAnsi="Palatino Linotype" w:cs="Palatino Linotype"/>
                <w:i/>
                <w:sz w:val="20"/>
                <w:szCs w:val="20"/>
              </w:rPr>
            </w:pPr>
            <w:r w:rsidRPr="00381632">
              <w:rPr>
                <w:rFonts w:ascii="Palatino Linotype" w:eastAsia="Palatino Linotype" w:hAnsi="Palatino Linotype" w:cs="Palatino Linotype"/>
                <w:i/>
                <w:sz w:val="20"/>
                <w:szCs w:val="20"/>
              </w:rPr>
              <w:t xml:space="preserve">“Solicito las </w:t>
            </w:r>
            <w:r w:rsidRPr="00381632">
              <w:rPr>
                <w:rFonts w:ascii="Palatino Linotype" w:eastAsia="Palatino Linotype" w:hAnsi="Palatino Linotype" w:cs="Palatino Linotype"/>
                <w:b/>
                <w:i/>
                <w:sz w:val="20"/>
                <w:szCs w:val="20"/>
                <w:u w:val="single"/>
              </w:rPr>
              <w:t>resoluciones a sanciones administrativas   no graves, impuestas por el Órgano Interno de Control de Metepec en versión pública del año 2022</w:t>
            </w:r>
            <w:r w:rsidRPr="00381632">
              <w:rPr>
                <w:rFonts w:ascii="Palatino Linotype" w:eastAsia="Palatino Linotype" w:hAnsi="Palatino Linotype" w:cs="Palatino Linotype"/>
                <w:i/>
                <w:sz w:val="20"/>
                <w:szCs w:val="20"/>
              </w:rPr>
              <w:t xml:space="preserve">.” (Sic) </w:t>
            </w:r>
          </w:p>
        </w:tc>
      </w:tr>
      <w:tr w:rsidR="00381632" w:rsidRPr="00381632" w14:paraId="6C7FB1CC" w14:textId="77777777">
        <w:tc>
          <w:tcPr>
            <w:tcW w:w="3823" w:type="dxa"/>
          </w:tcPr>
          <w:p w14:paraId="7656E506" w14:textId="77777777" w:rsidR="00261355" w:rsidRPr="00381632" w:rsidRDefault="00DD29B0">
            <w:pPr>
              <w:spacing w:before="240" w:after="240"/>
              <w:jc w:val="center"/>
              <w:rPr>
                <w:rFonts w:ascii="Palatino Linotype" w:eastAsia="Palatino Linotype" w:hAnsi="Palatino Linotype" w:cs="Palatino Linotype"/>
                <w:b/>
              </w:rPr>
            </w:pPr>
            <w:r w:rsidRPr="00381632">
              <w:rPr>
                <w:rFonts w:ascii="Palatino Linotype" w:eastAsia="Palatino Linotype" w:hAnsi="Palatino Linotype" w:cs="Palatino Linotype"/>
                <w:b/>
                <w:sz w:val="20"/>
                <w:szCs w:val="20"/>
              </w:rPr>
              <w:t xml:space="preserve">00115/METEPEC/IP/2024, </w:t>
            </w:r>
            <w:r w:rsidRPr="00381632">
              <w:rPr>
                <w:rFonts w:ascii="Palatino Linotype" w:eastAsia="Palatino Linotype" w:hAnsi="Palatino Linotype" w:cs="Palatino Linotype"/>
                <w:sz w:val="20"/>
                <w:szCs w:val="20"/>
              </w:rPr>
              <w:t>correspondiente al Recurso de Revisión</w:t>
            </w:r>
            <w:r w:rsidRPr="00381632">
              <w:rPr>
                <w:rFonts w:ascii="Palatino Linotype" w:eastAsia="Palatino Linotype" w:hAnsi="Palatino Linotype" w:cs="Palatino Linotype"/>
                <w:b/>
                <w:sz w:val="20"/>
                <w:szCs w:val="20"/>
              </w:rPr>
              <w:t xml:space="preserve">    01910/INFOEM/IP/RR/2024</w:t>
            </w:r>
          </w:p>
        </w:tc>
        <w:tc>
          <w:tcPr>
            <w:tcW w:w="5098" w:type="dxa"/>
          </w:tcPr>
          <w:p w14:paraId="7E9D1D73" w14:textId="77777777" w:rsidR="00261355" w:rsidRPr="00381632" w:rsidRDefault="00DD29B0">
            <w:pPr>
              <w:spacing w:before="240" w:after="240"/>
              <w:jc w:val="both"/>
              <w:rPr>
                <w:rFonts w:ascii="Palatino Linotype" w:eastAsia="Palatino Linotype" w:hAnsi="Palatino Linotype" w:cs="Palatino Linotype"/>
                <w:i/>
                <w:sz w:val="20"/>
                <w:szCs w:val="20"/>
              </w:rPr>
            </w:pPr>
            <w:r w:rsidRPr="00381632">
              <w:rPr>
                <w:rFonts w:ascii="Palatino Linotype" w:eastAsia="Palatino Linotype" w:hAnsi="Palatino Linotype" w:cs="Palatino Linotype"/>
                <w:i/>
                <w:sz w:val="20"/>
                <w:szCs w:val="20"/>
              </w:rPr>
              <w:t xml:space="preserve">“Solicito </w:t>
            </w:r>
            <w:r w:rsidRPr="00381632">
              <w:rPr>
                <w:rFonts w:ascii="Palatino Linotype" w:eastAsia="Palatino Linotype" w:hAnsi="Palatino Linotype" w:cs="Palatino Linotype"/>
                <w:b/>
                <w:i/>
                <w:sz w:val="20"/>
                <w:szCs w:val="20"/>
                <w:u w:val="single"/>
              </w:rPr>
              <w:t xml:space="preserve">las resoluciones a sanciones administrativas no graves, impuestas por el Órgano Interno de Control de Metepec en versión pública del año 2023 y lo que va </w:t>
            </w:r>
            <w:r w:rsidRPr="00381632">
              <w:rPr>
                <w:rFonts w:ascii="Palatino Linotype" w:eastAsia="Palatino Linotype" w:hAnsi="Palatino Linotype" w:cs="Palatino Linotype"/>
                <w:b/>
                <w:i/>
                <w:sz w:val="20"/>
                <w:szCs w:val="20"/>
                <w:u w:val="single"/>
              </w:rPr>
              <w:lastRenderedPageBreak/>
              <w:t>de 2024</w:t>
            </w:r>
            <w:r w:rsidRPr="00381632">
              <w:rPr>
                <w:rFonts w:ascii="Palatino Linotype" w:eastAsia="Palatino Linotype" w:hAnsi="Palatino Linotype" w:cs="Palatino Linotype"/>
                <w:i/>
                <w:sz w:val="20"/>
                <w:szCs w:val="20"/>
              </w:rPr>
              <w:t xml:space="preserve">; en el supuesto de sobrepasar la capacidad de Saimex favor de proporcionar liga electrónica para su consulta.” (Sic) </w:t>
            </w:r>
          </w:p>
        </w:tc>
      </w:tr>
    </w:tbl>
    <w:p w14:paraId="79D4C409" w14:textId="77777777" w:rsidR="00261355" w:rsidRPr="00381632" w:rsidRDefault="00DD29B0">
      <w:pPr>
        <w:spacing w:before="240" w:after="240" w:line="360" w:lineRule="auto"/>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lastRenderedPageBreak/>
        <w:t xml:space="preserve">Modalidad elegida para la entrega de la información: </w:t>
      </w:r>
      <w:r w:rsidRPr="00381632">
        <w:rPr>
          <w:rFonts w:ascii="Palatino Linotype" w:eastAsia="Palatino Linotype" w:hAnsi="Palatino Linotype" w:cs="Palatino Linotype"/>
          <w:sz w:val="22"/>
          <w:szCs w:val="22"/>
        </w:rPr>
        <w:t xml:space="preserve">A través del </w:t>
      </w:r>
      <w:r w:rsidRPr="00381632">
        <w:rPr>
          <w:rFonts w:ascii="Palatino Linotype" w:eastAsia="Palatino Linotype" w:hAnsi="Palatino Linotype" w:cs="Palatino Linotype"/>
          <w:b/>
          <w:sz w:val="22"/>
          <w:szCs w:val="22"/>
        </w:rPr>
        <w:t xml:space="preserve">SAIMEX </w:t>
      </w:r>
    </w:p>
    <w:p w14:paraId="727180E2"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 xml:space="preserve">2. Prórrogas. </w:t>
      </w:r>
      <w:r w:rsidRPr="00381632">
        <w:rPr>
          <w:rFonts w:ascii="Palatino Linotype" w:eastAsia="Palatino Linotype" w:hAnsi="Palatino Linotype" w:cs="Palatino Linotype"/>
          <w:sz w:val="22"/>
          <w:szCs w:val="22"/>
        </w:rPr>
        <w:t>El</w:t>
      </w:r>
      <w:r w:rsidRPr="00381632">
        <w:rPr>
          <w:rFonts w:ascii="Palatino Linotype" w:eastAsia="Palatino Linotype" w:hAnsi="Palatino Linotype" w:cs="Palatino Linotype"/>
          <w:b/>
          <w:sz w:val="22"/>
          <w:szCs w:val="22"/>
        </w:rPr>
        <w:t xml:space="preserve"> tres de abril de dos mil veinticuatro, </w:t>
      </w:r>
      <w:r w:rsidRPr="00381632">
        <w:rPr>
          <w:rFonts w:ascii="Palatino Linotype" w:eastAsia="Palatino Linotype" w:hAnsi="Palatino Linotype" w:cs="Palatino Linotype"/>
          <w:sz w:val="22"/>
          <w:szCs w:val="22"/>
        </w:rPr>
        <w:t xml:space="preserve">el </w:t>
      </w:r>
      <w:r w:rsidRPr="00381632">
        <w:rPr>
          <w:rFonts w:ascii="Palatino Linotype" w:eastAsia="Palatino Linotype" w:hAnsi="Palatino Linotype" w:cs="Palatino Linotype"/>
          <w:b/>
          <w:sz w:val="22"/>
          <w:szCs w:val="22"/>
        </w:rPr>
        <w:t xml:space="preserve">Sujeto Obligado </w:t>
      </w:r>
      <w:r w:rsidRPr="00381632">
        <w:rPr>
          <w:rFonts w:ascii="Palatino Linotype" w:eastAsia="Palatino Linotype" w:hAnsi="Palatino Linotype" w:cs="Palatino Linotype"/>
          <w:sz w:val="22"/>
          <w:szCs w:val="22"/>
        </w:rPr>
        <w:t>notificó las prórrogas para atender las solicitudes de información, medularmente en los siguientes términos:</w:t>
      </w:r>
    </w:p>
    <w:p w14:paraId="076A426F"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2835832"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METEPEC, ESTADO DE MEXICO, ABRIL DEL 2024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Centésima Vigésima Primera Sesión Extraordinaria. Sin más por el momento quedo a sus órdenes. ATENTAMENTE GERARDO ARTURO OZUNA MARTÍNEZ DIRECTOR DE TRANSPARENCIA Y GOBIERNO ABIERTO</w:t>
      </w:r>
    </w:p>
    <w:p w14:paraId="53DB2EA9"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Lic. Gerardo Arturo Ozuna Martínez</w:t>
      </w:r>
    </w:p>
    <w:p w14:paraId="1A99E196"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Responsable de la Unidad de Transparencia”</w:t>
      </w:r>
    </w:p>
    <w:p w14:paraId="1C700951"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Es de precisar que, del análisis a esta ampliación de plazo, se tiene que </w:t>
      </w:r>
      <w:r w:rsidRPr="00381632">
        <w:rPr>
          <w:rFonts w:ascii="Palatino Linotype" w:eastAsia="Palatino Linotype" w:hAnsi="Palatino Linotype" w:cs="Palatino Linotype"/>
          <w:b/>
          <w:sz w:val="22"/>
          <w:szCs w:val="22"/>
        </w:rPr>
        <w:t>no</w:t>
      </w:r>
      <w:r w:rsidRPr="00381632">
        <w:rPr>
          <w:rFonts w:ascii="Palatino Linotype" w:eastAsia="Palatino Linotype" w:hAnsi="Palatino Linotype" w:cs="Palatino Linotype"/>
          <w:sz w:val="22"/>
          <w:szCs w:val="22"/>
        </w:rPr>
        <w:t xml:space="preserve"> se efectuó dentro de los parámetros establecidos por el segundo párrafo del artículo 163 de la Ley de Transparencia Local, por lo que se insta al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para que en subsecuentes </w:t>
      </w:r>
      <w:r w:rsidRPr="00381632">
        <w:rPr>
          <w:rFonts w:ascii="Palatino Linotype" w:eastAsia="Palatino Linotype" w:hAnsi="Palatino Linotype" w:cs="Palatino Linotype"/>
          <w:sz w:val="22"/>
          <w:szCs w:val="22"/>
        </w:rPr>
        <w:lastRenderedPageBreak/>
        <w:t>ocasiones que requiera ampliar el plazo para atención de las solicitudes de información, lo realice conforme a las formalidades establecidas por la norma.</w:t>
      </w:r>
    </w:p>
    <w:p w14:paraId="11222964" w14:textId="77777777" w:rsidR="00261355" w:rsidRPr="00381632" w:rsidRDefault="00DD29B0">
      <w:pPr>
        <w:spacing w:before="240" w:after="240" w:line="360" w:lineRule="auto"/>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 xml:space="preserve">3. Respuestas. </w:t>
      </w:r>
      <w:r w:rsidRPr="00381632">
        <w:rPr>
          <w:rFonts w:ascii="Palatino Linotype" w:eastAsia="Palatino Linotype" w:hAnsi="Palatino Linotype" w:cs="Palatino Linotype"/>
          <w:sz w:val="22"/>
          <w:szCs w:val="22"/>
        </w:rPr>
        <w:t xml:space="preserve"> El </w:t>
      </w:r>
      <w:r w:rsidRPr="00381632">
        <w:rPr>
          <w:rFonts w:ascii="Palatino Linotype" w:eastAsia="Palatino Linotype" w:hAnsi="Palatino Linotype" w:cs="Palatino Linotype"/>
          <w:b/>
          <w:sz w:val="22"/>
          <w:szCs w:val="22"/>
        </w:rPr>
        <w:t>doce de abril</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de dos mil veinticuatro</w:t>
      </w:r>
      <w:r w:rsidRPr="00381632">
        <w:rPr>
          <w:rFonts w:ascii="Palatino Linotype" w:eastAsia="Palatino Linotype" w:hAnsi="Palatino Linotype" w:cs="Palatino Linotype"/>
          <w:sz w:val="22"/>
          <w:szCs w:val="22"/>
        </w:rPr>
        <w:t xml:space="preserv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notificó a </w:t>
      </w:r>
      <w:r w:rsidRPr="00381632">
        <w:rPr>
          <w:rFonts w:ascii="Palatino Linotype" w:eastAsia="Palatino Linotype" w:hAnsi="Palatino Linotype" w:cs="Palatino Linotype"/>
          <w:b/>
          <w:sz w:val="22"/>
          <w:szCs w:val="22"/>
        </w:rPr>
        <w:t>la parte</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Recurrente</w:t>
      </w:r>
      <w:r w:rsidRPr="00381632">
        <w:rPr>
          <w:rFonts w:ascii="Palatino Linotype" w:eastAsia="Palatino Linotype" w:hAnsi="Palatino Linotype" w:cs="Palatino Linotype"/>
          <w:sz w:val="22"/>
          <w:szCs w:val="22"/>
        </w:rPr>
        <w:t xml:space="preserve">, en la totalidad de los expedientes, las respuestas a sus solicitudes de información, en los términos siguientes: </w:t>
      </w:r>
    </w:p>
    <w:tbl>
      <w:tblPr>
        <w:tblStyle w:val="afff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381632" w:rsidRPr="00381632" w14:paraId="76B1A39B" w14:textId="77777777">
        <w:tc>
          <w:tcPr>
            <w:tcW w:w="3823" w:type="dxa"/>
            <w:shd w:val="clear" w:color="auto" w:fill="DDD9C4"/>
          </w:tcPr>
          <w:p w14:paraId="669AA74F" w14:textId="77777777" w:rsidR="00261355" w:rsidRPr="00381632" w:rsidRDefault="00DD29B0">
            <w:pPr>
              <w:spacing w:before="240" w:after="240"/>
              <w:jc w:val="center"/>
              <w:rPr>
                <w:rFonts w:ascii="Palatino Linotype" w:eastAsia="Palatino Linotype" w:hAnsi="Palatino Linotype" w:cs="Palatino Linotype"/>
                <w:b/>
              </w:rPr>
            </w:pPr>
            <w:r w:rsidRPr="00381632">
              <w:rPr>
                <w:rFonts w:ascii="Palatino Linotype" w:eastAsia="Palatino Linotype" w:hAnsi="Palatino Linotype" w:cs="Palatino Linotype"/>
                <w:b/>
                <w:sz w:val="20"/>
                <w:szCs w:val="20"/>
              </w:rPr>
              <w:t>Número de recurso de revisión</w:t>
            </w:r>
          </w:p>
        </w:tc>
        <w:tc>
          <w:tcPr>
            <w:tcW w:w="5098" w:type="dxa"/>
            <w:shd w:val="clear" w:color="auto" w:fill="DDD9C4"/>
          </w:tcPr>
          <w:p w14:paraId="56117490" w14:textId="77777777" w:rsidR="00261355" w:rsidRPr="00381632" w:rsidRDefault="00DD29B0">
            <w:pPr>
              <w:spacing w:before="240" w:after="240" w:line="360" w:lineRule="auto"/>
              <w:jc w:val="center"/>
              <w:rPr>
                <w:rFonts w:ascii="Palatino Linotype" w:eastAsia="Palatino Linotype" w:hAnsi="Palatino Linotype" w:cs="Palatino Linotype"/>
                <w:b/>
              </w:rPr>
            </w:pPr>
            <w:r w:rsidRPr="00381632">
              <w:rPr>
                <w:rFonts w:ascii="Palatino Linotype" w:eastAsia="Palatino Linotype" w:hAnsi="Palatino Linotype" w:cs="Palatino Linotype"/>
                <w:b/>
                <w:sz w:val="20"/>
                <w:szCs w:val="20"/>
              </w:rPr>
              <w:t>Descripción de las respuestas</w:t>
            </w:r>
          </w:p>
        </w:tc>
      </w:tr>
      <w:tr w:rsidR="00381632" w:rsidRPr="00381632" w14:paraId="7024C067" w14:textId="77777777">
        <w:tc>
          <w:tcPr>
            <w:tcW w:w="3823" w:type="dxa"/>
          </w:tcPr>
          <w:p w14:paraId="17DE75B6" w14:textId="77777777" w:rsidR="00261355" w:rsidRPr="00381632" w:rsidRDefault="00DD29B0">
            <w:pPr>
              <w:spacing w:before="240" w:after="240"/>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 xml:space="preserve">00116/METEPEC/IP/2024, </w:t>
            </w:r>
            <w:r w:rsidRPr="00381632">
              <w:rPr>
                <w:rFonts w:ascii="Palatino Linotype" w:eastAsia="Palatino Linotype" w:hAnsi="Palatino Linotype" w:cs="Palatino Linotype"/>
                <w:sz w:val="20"/>
                <w:szCs w:val="20"/>
              </w:rPr>
              <w:t>correspondiente al Recurso de Revisión</w:t>
            </w:r>
            <w:r w:rsidRPr="00381632">
              <w:rPr>
                <w:rFonts w:ascii="Palatino Linotype" w:eastAsia="Palatino Linotype" w:hAnsi="Palatino Linotype" w:cs="Palatino Linotype"/>
                <w:b/>
                <w:sz w:val="20"/>
                <w:szCs w:val="20"/>
              </w:rPr>
              <w:t xml:space="preserve"> 01909/INFOEM/IP/RR/2024</w:t>
            </w:r>
          </w:p>
        </w:tc>
        <w:tc>
          <w:tcPr>
            <w:tcW w:w="5098" w:type="dxa"/>
          </w:tcPr>
          <w:p w14:paraId="4C567918" w14:textId="77777777" w:rsidR="00261355" w:rsidRPr="00381632" w:rsidRDefault="00DD29B0">
            <w:pPr>
              <w:spacing w:before="240" w:after="240"/>
              <w:jc w:val="both"/>
              <w:rPr>
                <w:rFonts w:ascii="Palatino Linotype" w:eastAsia="Palatino Linotype" w:hAnsi="Palatino Linotype" w:cs="Palatino Linotype"/>
                <w:i/>
                <w:sz w:val="20"/>
                <w:szCs w:val="20"/>
              </w:rPr>
            </w:pPr>
            <w:r w:rsidRPr="00381632">
              <w:rPr>
                <w:rFonts w:ascii="Palatino Linotype" w:eastAsia="Palatino Linotype" w:hAnsi="Palatino Linotype" w:cs="Palatino Linotype"/>
                <w:i/>
                <w:sz w:val="20"/>
                <w:szCs w:val="20"/>
              </w:rPr>
              <w:t>“…se anexa la respuesta del servidor público habilitado…”</w:t>
            </w:r>
          </w:p>
          <w:p w14:paraId="2C706D7B" w14:textId="77777777" w:rsidR="00261355" w:rsidRPr="00381632" w:rsidRDefault="00DD29B0">
            <w:pPr>
              <w:spacing w:before="240" w:after="240"/>
              <w:jc w:val="both"/>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 xml:space="preserve">Archivos adjuntos: </w:t>
            </w:r>
            <w:r w:rsidRPr="00381632">
              <w:rPr>
                <w:rFonts w:ascii="Palatino Linotype" w:eastAsia="Palatino Linotype" w:hAnsi="Palatino Linotype" w:cs="Palatino Linotype"/>
                <w:b/>
                <w:i/>
                <w:sz w:val="20"/>
                <w:szCs w:val="20"/>
              </w:rPr>
              <w:t xml:space="preserve">“CIM CI 828 2024.pdf”: </w:t>
            </w:r>
            <w:r w:rsidRPr="00381632">
              <w:rPr>
                <w:rFonts w:ascii="Palatino Linotype" w:eastAsia="Palatino Linotype" w:hAnsi="Palatino Linotype" w:cs="Palatino Linotype"/>
                <w:sz w:val="20"/>
                <w:szCs w:val="20"/>
              </w:rPr>
              <w:t xml:space="preserve">Oficio CIM/CI/828/2024, suscrito por el Contralor Interno Municipal, quien señala que </w:t>
            </w:r>
            <w:r w:rsidRPr="00381632">
              <w:rPr>
                <w:rFonts w:ascii="Palatino Linotype" w:eastAsia="Palatino Linotype" w:hAnsi="Palatino Linotype" w:cs="Palatino Linotype"/>
                <w:b/>
                <w:sz w:val="20"/>
                <w:szCs w:val="20"/>
                <w:u w:val="single"/>
              </w:rPr>
              <w:t>la información solicitada no es de carácter público, por lo que se le informa al solicitante que si es parte de un procedimiento administrativo dentro de la Contraloría Municipal, el mismo se encuentra a su disposición como lo estipula el artículo 20 del Código de Procedimientos Administrativos del Estado de México, previa identificación, en un horario de las 09:00 a las 15:00 horas y de las 16:00 a las 18:00 horas de lunes a viernes en las oficinas del Órgano de Control Interno.</w:t>
            </w:r>
          </w:p>
        </w:tc>
      </w:tr>
      <w:tr w:rsidR="00381632" w:rsidRPr="00381632" w14:paraId="17397E01" w14:textId="77777777">
        <w:tc>
          <w:tcPr>
            <w:tcW w:w="3823" w:type="dxa"/>
          </w:tcPr>
          <w:p w14:paraId="4CF61C83" w14:textId="77777777" w:rsidR="00261355" w:rsidRPr="00381632" w:rsidRDefault="00DD29B0">
            <w:pPr>
              <w:spacing w:before="240" w:after="240"/>
              <w:jc w:val="center"/>
              <w:rPr>
                <w:rFonts w:ascii="Palatino Linotype" w:eastAsia="Palatino Linotype" w:hAnsi="Palatino Linotype" w:cs="Palatino Linotype"/>
                <w:b/>
              </w:rPr>
            </w:pPr>
            <w:r w:rsidRPr="00381632">
              <w:rPr>
                <w:rFonts w:ascii="Palatino Linotype" w:eastAsia="Palatino Linotype" w:hAnsi="Palatino Linotype" w:cs="Palatino Linotype"/>
                <w:b/>
                <w:sz w:val="20"/>
                <w:szCs w:val="20"/>
              </w:rPr>
              <w:t xml:space="preserve">00115/METEPEC/IP/2024, </w:t>
            </w:r>
            <w:r w:rsidRPr="00381632">
              <w:rPr>
                <w:rFonts w:ascii="Palatino Linotype" w:eastAsia="Palatino Linotype" w:hAnsi="Palatino Linotype" w:cs="Palatino Linotype"/>
                <w:sz w:val="20"/>
                <w:szCs w:val="20"/>
              </w:rPr>
              <w:t>correspondiente al Recurso de Revisión</w:t>
            </w:r>
            <w:r w:rsidRPr="00381632">
              <w:rPr>
                <w:rFonts w:ascii="Palatino Linotype" w:eastAsia="Palatino Linotype" w:hAnsi="Palatino Linotype" w:cs="Palatino Linotype"/>
                <w:b/>
                <w:sz w:val="20"/>
                <w:szCs w:val="20"/>
              </w:rPr>
              <w:t xml:space="preserve">    01910/INFOEM/IP/RR/2024</w:t>
            </w:r>
          </w:p>
        </w:tc>
        <w:tc>
          <w:tcPr>
            <w:tcW w:w="5098" w:type="dxa"/>
          </w:tcPr>
          <w:p w14:paraId="18B0B96A" w14:textId="77777777" w:rsidR="00261355" w:rsidRPr="00381632" w:rsidRDefault="00DD29B0">
            <w:pPr>
              <w:spacing w:before="240" w:after="240"/>
              <w:jc w:val="both"/>
              <w:rPr>
                <w:rFonts w:ascii="Palatino Linotype" w:eastAsia="Palatino Linotype" w:hAnsi="Palatino Linotype" w:cs="Palatino Linotype"/>
                <w:i/>
                <w:sz w:val="20"/>
                <w:szCs w:val="20"/>
              </w:rPr>
            </w:pPr>
            <w:r w:rsidRPr="00381632">
              <w:rPr>
                <w:rFonts w:ascii="Palatino Linotype" w:eastAsia="Palatino Linotype" w:hAnsi="Palatino Linotype" w:cs="Palatino Linotype"/>
                <w:i/>
                <w:sz w:val="20"/>
                <w:szCs w:val="20"/>
              </w:rPr>
              <w:t>“…se anexa la respuesta del servidor público habilitado…”</w:t>
            </w:r>
          </w:p>
          <w:p w14:paraId="4EC5D998" w14:textId="77777777" w:rsidR="00261355" w:rsidRPr="00381632" w:rsidRDefault="00DD29B0">
            <w:pPr>
              <w:spacing w:before="240" w:after="240"/>
              <w:jc w:val="both"/>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 xml:space="preserve">Archivos adjuntos: </w:t>
            </w:r>
            <w:r w:rsidRPr="00381632">
              <w:rPr>
                <w:rFonts w:ascii="Palatino Linotype" w:eastAsia="Palatino Linotype" w:hAnsi="Palatino Linotype" w:cs="Palatino Linotype"/>
                <w:b/>
                <w:i/>
                <w:sz w:val="20"/>
                <w:szCs w:val="20"/>
              </w:rPr>
              <w:t xml:space="preserve">“CIM CI 827 2024.pdf”: </w:t>
            </w:r>
            <w:r w:rsidRPr="00381632">
              <w:rPr>
                <w:rFonts w:ascii="Palatino Linotype" w:eastAsia="Palatino Linotype" w:hAnsi="Palatino Linotype" w:cs="Palatino Linotype"/>
                <w:sz w:val="20"/>
                <w:szCs w:val="20"/>
              </w:rPr>
              <w:t xml:space="preserve">Oficio CIM/CI/827/2024, suscrito por el Contralor Interno Municipal, quien señala que </w:t>
            </w:r>
            <w:r w:rsidRPr="00381632">
              <w:rPr>
                <w:rFonts w:ascii="Palatino Linotype" w:eastAsia="Palatino Linotype" w:hAnsi="Palatino Linotype" w:cs="Palatino Linotype"/>
                <w:b/>
                <w:sz w:val="20"/>
                <w:szCs w:val="20"/>
                <w:u w:val="single"/>
              </w:rPr>
              <w:t xml:space="preserve">la información solicitada no es de carácter público, por lo que se le informa al solicitante que si es parte de un procedimiento administrativo dentro de la Contraloría Municipal, el mismo se encuentra a su disposición como lo estipula el artículo 20 del Código de Procedimientos Administrativos del Estado de México, previa </w:t>
            </w:r>
            <w:r w:rsidRPr="00381632">
              <w:rPr>
                <w:rFonts w:ascii="Palatino Linotype" w:eastAsia="Palatino Linotype" w:hAnsi="Palatino Linotype" w:cs="Palatino Linotype"/>
                <w:b/>
                <w:sz w:val="20"/>
                <w:szCs w:val="20"/>
                <w:u w:val="single"/>
              </w:rPr>
              <w:lastRenderedPageBreak/>
              <w:t>identificación, en un horario de las 09:00 a las 15:00 horas y de las 16:00 a las 18:00 horas de lunes a viernes en las oficinas del Órgano de Control Interno.</w:t>
            </w:r>
          </w:p>
        </w:tc>
      </w:tr>
    </w:tbl>
    <w:p w14:paraId="13A3A16A"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lastRenderedPageBreak/>
        <w:t xml:space="preserve">4. Interposición de los recursos de revisión.  </w:t>
      </w:r>
      <w:r w:rsidRPr="00381632">
        <w:rPr>
          <w:rFonts w:ascii="Palatino Linotype" w:eastAsia="Palatino Linotype" w:hAnsi="Palatino Linotype" w:cs="Palatino Linotype"/>
          <w:sz w:val="22"/>
          <w:szCs w:val="22"/>
        </w:rPr>
        <w:t xml:space="preserve">El </w:t>
      </w:r>
      <w:r w:rsidRPr="00381632">
        <w:rPr>
          <w:rFonts w:ascii="Palatino Linotype" w:eastAsia="Palatino Linotype" w:hAnsi="Palatino Linotype" w:cs="Palatino Linotype"/>
          <w:b/>
          <w:sz w:val="22"/>
          <w:szCs w:val="22"/>
        </w:rPr>
        <w:t xml:space="preserve">quince de abril de dos mil veinticuatro, la parte Recurrente, </w:t>
      </w:r>
      <w:r w:rsidRPr="00381632">
        <w:rPr>
          <w:rFonts w:ascii="Palatino Linotype" w:eastAsia="Palatino Linotype" w:hAnsi="Palatino Linotype" w:cs="Palatino Linotype"/>
          <w:sz w:val="22"/>
          <w:szCs w:val="22"/>
        </w:rPr>
        <w:t>inconforme con las respuestas, interpuso los recursos de revisión que nos ocupan, expresando en la totalidad de los expedientes, lo siguiente:</w:t>
      </w:r>
    </w:p>
    <w:tbl>
      <w:tblPr>
        <w:tblStyle w:val="afff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943"/>
        <w:gridCol w:w="3180"/>
      </w:tblGrid>
      <w:tr w:rsidR="00381632" w:rsidRPr="00381632" w14:paraId="17CAF8FA" w14:textId="77777777">
        <w:tc>
          <w:tcPr>
            <w:tcW w:w="2944" w:type="dxa"/>
            <w:shd w:val="clear" w:color="auto" w:fill="DDD9C4"/>
          </w:tcPr>
          <w:p w14:paraId="07742A11" w14:textId="77777777" w:rsidR="00261355" w:rsidRPr="00381632" w:rsidRDefault="00DD29B0">
            <w:pPr>
              <w:spacing w:before="240" w:after="240" w:line="360" w:lineRule="auto"/>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Recurso de Revisión</w:t>
            </w:r>
          </w:p>
        </w:tc>
        <w:tc>
          <w:tcPr>
            <w:tcW w:w="2943" w:type="dxa"/>
            <w:shd w:val="clear" w:color="auto" w:fill="DDD9C4"/>
          </w:tcPr>
          <w:p w14:paraId="0E7E7764" w14:textId="77777777" w:rsidR="00261355" w:rsidRPr="00381632" w:rsidRDefault="00DD29B0">
            <w:pPr>
              <w:spacing w:before="240" w:after="240" w:line="360" w:lineRule="auto"/>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Acto impugnado</w:t>
            </w:r>
          </w:p>
        </w:tc>
        <w:tc>
          <w:tcPr>
            <w:tcW w:w="3180" w:type="dxa"/>
            <w:shd w:val="clear" w:color="auto" w:fill="DDD9C4"/>
          </w:tcPr>
          <w:p w14:paraId="24B6E70F" w14:textId="77777777" w:rsidR="00261355" w:rsidRPr="00381632" w:rsidRDefault="00DD29B0">
            <w:pPr>
              <w:spacing w:before="240" w:after="240" w:line="276" w:lineRule="auto"/>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Razones o Motivos de Inconformidad</w:t>
            </w:r>
          </w:p>
        </w:tc>
      </w:tr>
      <w:tr w:rsidR="00381632" w:rsidRPr="00381632" w14:paraId="712D8C64" w14:textId="77777777">
        <w:tc>
          <w:tcPr>
            <w:tcW w:w="2944" w:type="dxa"/>
          </w:tcPr>
          <w:p w14:paraId="60BE5015" w14:textId="77777777" w:rsidR="00261355" w:rsidRPr="00381632" w:rsidRDefault="00DD29B0">
            <w:pPr>
              <w:jc w:val="center"/>
              <w:rPr>
                <w:sz w:val="20"/>
                <w:szCs w:val="20"/>
              </w:rPr>
            </w:pPr>
            <w:r w:rsidRPr="00381632">
              <w:rPr>
                <w:rFonts w:ascii="Palatino Linotype" w:eastAsia="Palatino Linotype" w:hAnsi="Palatino Linotype" w:cs="Palatino Linotype"/>
                <w:b/>
                <w:sz w:val="20"/>
                <w:szCs w:val="20"/>
              </w:rPr>
              <w:t>01909/INFOEM/IP/RR/2024</w:t>
            </w:r>
          </w:p>
        </w:tc>
        <w:tc>
          <w:tcPr>
            <w:tcW w:w="2943" w:type="dxa"/>
          </w:tcPr>
          <w:p w14:paraId="0013177D" w14:textId="77777777" w:rsidR="00261355" w:rsidRPr="00381632" w:rsidRDefault="00DD29B0">
            <w:pPr>
              <w:spacing w:before="240" w:after="240"/>
              <w:jc w:val="both"/>
              <w:rPr>
                <w:rFonts w:ascii="Palatino Linotype" w:eastAsia="Palatino Linotype" w:hAnsi="Palatino Linotype" w:cs="Palatino Linotype"/>
                <w:i/>
                <w:sz w:val="20"/>
                <w:szCs w:val="20"/>
              </w:rPr>
            </w:pPr>
            <w:r w:rsidRPr="00381632">
              <w:rPr>
                <w:rFonts w:ascii="Palatino Linotype" w:eastAsia="Palatino Linotype" w:hAnsi="Palatino Linotype" w:cs="Palatino Linotype"/>
                <w:i/>
                <w:sz w:val="20"/>
                <w:szCs w:val="20"/>
              </w:rPr>
              <w:t>Se impugna la respuesta otorgada, aunado a que solicitaron prorroga sin señalar las razones fundadas y motivadas, motivos que hacen suponer la negligencia o descuido del sujeto obligado en la atención a la solicitud de la solicitud.</w:t>
            </w:r>
          </w:p>
        </w:tc>
        <w:tc>
          <w:tcPr>
            <w:tcW w:w="3180" w:type="dxa"/>
            <w:vMerge w:val="restart"/>
          </w:tcPr>
          <w:p w14:paraId="7778D26D" w14:textId="77777777" w:rsidR="00261355" w:rsidRPr="00381632" w:rsidRDefault="00DD29B0">
            <w:pPr>
              <w:spacing w:before="240" w:after="240"/>
              <w:jc w:val="both"/>
              <w:rPr>
                <w:rFonts w:ascii="Palatino Linotype" w:eastAsia="Palatino Linotype" w:hAnsi="Palatino Linotype" w:cs="Palatino Linotype"/>
                <w:i/>
                <w:sz w:val="20"/>
                <w:szCs w:val="20"/>
              </w:rPr>
            </w:pPr>
            <w:r w:rsidRPr="00381632">
              <w:rPr>
                <w:rFonts w:ascii="Palatino Linotype" w:eastAsia="Palatino Linotype" w:hAnsi="Palatino Linotype" w:cs="Palatino Linotype"/>
                <w:i/>
                <w:sz w:val="20"/>
                <w:szCs w:val="20"/>
              </w:rPr>
              <w:t>Señalan el artículo en el que fundamentan que la información no es de carácter público, sin embargo se solicitó en versión pública, por lo cual no es contrario en ningún sentido, de igual forma la documentación que se pretende conocer contribuye a la transparencia y es obligación del sujeto obligado por corresponder a actos de autoridad, permitiendo el acceso a la información generada derivado de sus atribuciones. (Por ejemplo las sentencias de los Tribunales y órganos colegiados que se permite su acceso a través de la versión pública). En este sentido, se le invita al sujeto obligado a proporcionar lo solicitado y ponerse a estudiar.</w:t>
            </w:r>
          </w:p>
        </w:tc>
      </w:tr>
      <w:tr w:rsidR="00381632" w:rsidRPr="00381632" w14:paraId="12684A91" w14:textId="77777777">
        <w:tc>
          <w:tcPr>
            <w:tcW w:w="2944" w:type="dxa"/>
          </w:tcPr>
          <w:p w14:paraId="7B6FDC6C" w14:textId="77777777" w:rsidR="00261355" w:rsidRPr="00381632" w:rsidRDefault="00DD29B0">
            <w:pPr>
              <w:jc w:val="center"/>
              <w:rPr>
                <w:sz w:val="20"/>
                <w:szCs w:val="20"/>
              </w:rPr>
            </w:pPr>
            <w:r w:rsidRPr="00381632">
              <w:rPr>
                <w:rFonts w:ascii="Palatino Linotype" w:eastAsia="Palatino Linotype" w:hAnsi="Palatino Linotype" w:cs="Palatino Linotype"/>
                <w:b/>
                <w:sz w:val="20"/>
                <w:szCs w:val="20"/>
              </w:rPr>
              <w:t>01910/INFOEM/IP/RR/2024</w:t>
            </w:r>
          </w:p>
        </w:tc>
        <w:tc>
          <w:tcPr>
            <w:tcW w:w="2943" w:type="dxa"/>
          </w:tcPr>
          <w:p w14:paraId="0D68246E" w14:textId="77777777" w:rsidR="00261355" w:rsidRPr="00381632" w:rsidRDefault="00DD29B0">
            <w:pPr>
              <w:spacing w:before="240" w:after="240"/>
              <w:jc w:val="both"/>
              <w:rPr>
                <w:rFonts w:ascii="Palatino Linotype" w:eastAsia="Palatino Linotype" w:hAnsi="Palatino Linotype" w:cs="Palatino Linotype"/>
                <w:i/>
                <w:sz w:val="20"/>
                <w:szCs w:val="20"/>
              </w:rPr>
            </w:pPr>
            <w:r w:rsidRPr="00381632">
              <w:rPr>
                <w:rFonts w:ascii="Palatino Linotype" w:eastAsia="Palatino Linotype" w:hAnsi="Palatino Linotype" w:cs="Palatino Linotype"/>
                <w:i/>
                <w:sz w:val="20"/>
                <w:szCs w:val="20"/>
              </w:rPr>
              <w:t>Se impugna la respuesta otorgada, niegan el acceso, además solicitaron prorroga sin señalar las razones fundadas y motivadas, motivos que hacen suponer la negligencia o descuido del sujeto obligado en la atención a la solicitud de la solicitud.</w:t>
            </w:r>
          </w:p>
        </w:tc>
        <w:tc>
          <w:tcPr>
            <w:tcW w:w="3180" w:type="dxa"/>
            <w:vMerge/>
          </w:tcPr>
          <w:p w14:paraId="6F4A59EA" w14:textId="77777777" w:rsidR="00261355" w:rsidRPr="00381632" w:rsidRDefault="00261355">
            <w:pPr>
              <w:widowControl w:val="0"/>
              <w:pBdr>
                <w:top w:val="nil"/>
                <w:left w:val="nil"/>
                <w:bottom w:val="nil"/>
                <w:right w:val="nil"/>
                <w:between w:val="nil"/>
              </w:pBdr>
              <w:spacing w:line="276" w:lineRule="auto"/>
              <w:rPr>
                <w:rFonts w:ascii="Palatino Linotype" w:eastAsia="Palatino Linotype" w:hAnsi="Palatino Linotype" w:cs="Palatino Linotype"/>
                <w:i/>
                <w:sz w:val="20"/>
                <w:szCs w:val="20"/>
              </w:rPr>
            </w:pPr>
          </w:p>
        </w:tc>
      </w:tr>
    </w:tbl>
    <w:p w14:paraId="46014729"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lastRenderedPageBreak/>
        <w:t xml:space="preserve">5. Turnos. </w:t>
      </w:r>
      <w:r w:rsidRPr="00381632">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 xml:space="preserve">turnados de la siguiente manera a efecto de presentar al Pleno los proyectos de resolución correspondientes: </w:t>
      </w:r>
    </w:p>
    <w:tbl>
      <w:tblPr>
        <w:tblStyle w:val="afff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381632" w:rsidRPr="00381632" w14:paraId="1331AC08" w14:textId="77777777">
        <w:tc>
          <w:tcPr>
            <w:tcW w:w="4460" w:type="dxa"/>
            <w:shd w:val="clear" w:color="auto" w:fill="DDD9C4"/>
          </w:tcPr>
          <w:p w14:paraId="3A13C95C" w14:textId="77777777" w:rsidR="00261355" w:rsidRPr="00381632" w:rsidRDefault="00DD29B0">
            <w:pPr>
              <w:spacing w:before="240" w:after="240" w:line="360" w:lineRule="auto"/>
              <w:jc w:val="center"/>
              <w:rPr>
                <w:rFonts w:ascii="Palatino Linotype" w:eastAsia="Palatino Linotype" w:hAnsi="Palatino Linotype" w:cs="Palatino Linotype"/>
                <w:b/>
              </w:rPr>
            </w:pPr>
            <w:r w:rsidRPr="00381632">
              <w:rPr>
                <w:rFonts w:ascii="Palatino Linotype" w:eastAsia="Palatino Linotype" w:hAnsi="Palatino Linotype" w:cs="Palatino Linotype"/>
                <w:b/>
              </w:rPr>
              <w:t>Recurso de Revisión</w:t>
            </w:r>
          </w:p>
        </w:tc>
        <w:tc>
          <w:tcPr>
            <w:tcW w:w="4461" w:type="dxa"/>
            <w:shd w:val="clear" w:color="auto" w:fill="DDD9C4"/>
          </w:tcPr>
          <w:p w14:paraId="2420A39E" w14:textId="77777777" w:rsidR="00261355" w:rsidRPr="00381632" w:rsidRDefault="00DD29B0">
            <w:pPr>
              <w:spacing w:before="240" w:after="240" w:line="360" w:lineRule="auto"/>
              <w:jc w:val="center"/>
              <w:rPr>
                <w:rFonts w:ascii="Palatino Linotype" w:eastAsia="Palatino Linotype" w:hAnsi="Palatino Linotype" w:cs="Palatino Linotype"/>
                <w:b/>
              </w:rPr>
            </w:pPr>
            <w:r w:rsidRPr="00381632">
              <w:rPr>
                <w:rFonts w:ascii="Palatino Linotype" w:eastAsia="Palatino Linotype" w:hAnsi="Palatino Linotype" w:cs="Palatino Linotype"/>
                <w:b/>
              </w:rPr>
              <w:t>Comisionada/o</w:t>
            </w:r>
          </w:p>
        </w:tc>
      </w:tr>
      <w:tr w:rsidR="00381632" w:rsidRPr="00381632" w14:paraId="199C79AC" w14:textId="77777777">
        <w:tc>
          <w:tcPr>
            <w:tcW w:w="4460" w:type="dxa"/>
          </w:tcPr>
          <w:p w14:paraId="73A17B41" w14:textId="77777777" w:rsidR="00261355" w:rsidRPr="00381632" w:rsidRDefault="00DD29B0">
            <w:pPr>
              <w:jc w:val="center"/>
              <w:rPr>
                <w:sz w:val="20"/>
                <w:szCs w:val="20"/>
              </w:rPr>
            </w:pPr>
            <w:r w:rsidRPr="00381632">
              <w:rPr>
                <w:rFonts w:ascii="Palatino Linotype" w:eastAsia="Palatino Linotype" w:hAnsi="Palatino Linotype" w:cs="Palatino Linotype"/>
                <w:b/>
                <w:sz w:val="20"/>
                <w:szCs w:val="20"/>
              </w:rPr>
              <w:t>01909/INFOEM/IP/RR/2024</w:t>
            </w:r>
          </w:p>
        </w:tc>
        <w:tc>
          <w:tcPr>
            <w:tcW w:w="4461" w:type="dxa"/>
          </w:tcPr>
          <w:p w14:paraId="15027057" w14:textId="77777777" w:rsidR="00261355" w:rsidRPr="00381632" w:rsidRDefault="00DD29B0">
            <w:pPr>
              <w:spacing w:before="240" w:after="240"/>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Comisionada Guadalupe Ramírez Peña</w:t>
            </w:r>
          </w:p>
        </w:tc>
      </w:tr>
      <w:tr w:rsidR="00381632" w:rsidRPr="00381632" w14:paraId="19D76714" w14:textId="77777777">
        <w:tc>
          <w:tcPr>
            <w:tcW w:w="4460" w:type="dxa"/>
          </w:tcPr>
          <w:p w14:paraId="22F47A93" w14:textId="77777777" w:rsidR="00261355" w:rsidRPr="00381632" w:rsidRDefault="00DD29B0">
            <w:pPr>
              <w:jc w:val="center"/>
              <w:rPr>
                <w:sz w:val="20"/>
                <w:szCs w:val="20"/>
              </w:rPr>
            </w:pPr>
            <w:r w:rsidRPr="00381632">
              <w:rPr>
                <w:rFonts w:ascii="Palatino Linotype" w:eastAsia="Palatino Linotype" w:hAnsi="Palatino Linotype" w:cs="Palatino Linotype"/>
                <w:b/>
                <w:sz w:val="20"/>
                <w:szCs w:val="20"/>
              </w:rPr>
              <w:t>01910/INFOEM/IP/RR/2024</w:t>
            </w:r>
          </w:p>
        </w:tc>
        <w:tc>
          <w:tcPr>
            <w:tcW w:w="4461" w:type="dxa"/>
          </w:tcPr>
          <w:p w14:paraId="180F30FF" w14:textId="77777777" w:rsidR="00261355" w:rsidRPr="00381632" w:rsidRDefault="00DD29B0">
            <w:pPr>
              <w:spacing w:before="240" w:after="240"/>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Comisionado Presidente José Martínez Vilchis</w:t>
            </w:r>
          </w:p>
        </w:tc>
      </w:tr>
    </w:tbl>
    <w:p w14:paraId="779A25D5"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 xml:space="preserve">6. Admisiones. </w:t>
      </w:r>
      <w:r w:rsidRPr="00381632">
        <w:rPr>
          <w:rFonts w:ascii="Palatino Linotype" w:eastAsia="Palatino Linotype" w:hAnsi="Palatino Linotype" w:cs="Palatino Linotype"/>
          <w:sz w:val="22"/>
          <w:szCs w:val="22"/>
        </w:rPr>
        <w:t xml:space="preserve">Los días </w:t>
      </w:r>
      <w:r w:rsidRPr="00381632">
        <w:rPr>
          <w:rFonts w:ascii="Palatino Linotype" w:eastAsia="Palatino Linotype" w:hAnsi="Palatino Linotype" w:cs="Palatino Linotype"/>
          <w:b/>
          <w:sz w:val="22"/>
          <w:szCs w:val="22"/>
        </w:rPr>
        <w:t>dieciocho y diecinueve de abril de dos mil veinticuatro,</w:t>
      </w:r>
      <w:r w:rsidRPr="00381632">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6FAA45BA"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 xml:space="preserve">7. Acumulación. </w:t>
      </w:r>
      <w:r w:rsidRPr="00381632">
        <w:rPr>
          <w:rFonts w:ascii="Palatino Linotype" w:eastAsia="Palatino Linotype" w:hAnsi="Palatino Linotype" w:cs="Palatino Linotype"/>
          <w:sz w:val="22"/>
          <w:szCs w:val="22"/>
        </w:rPr>
        <w:t xml:space="preserve">En la </w:t>
      </w:r>
      <w:r w:rsidRPr="00381632">
        <w:rPr>
          <w:rFonts w:ascii="Palatino Linotype" w:eastAsia="Palatino Linotype" w:hAnsi="Palatino Linotype" w:cs="Palatino Linotype"/>
          <w:b/>
          <w:sz w:val="22"/>
          <w:szCs w:val="22"/>
        </w:rPr>
        <w:t>Décima Quinta Sesión Ordinaria</w:t>
      </w:r>
      <w:r w:rsidRPr="00381632">
        <w:rPr>
          <w:rFonts w:ascii="Palatino Linotype" w:eastAsia="Palatino Linotype" w:hAnsi="Palatino Linotype" w:cs="Palatino Linotype"/>
          <w:sz w:val="22"/>
          <w:szCs w:val="22"/>
        </w:rPr>
        <w:t xml:space="preserve"> celebrada el </w:t>
      </w:r>
      <w:r w:rsidRPr="00381632">
        <w:rPr>
          <w:rFonts w:ascii="Palatino Linotype" w:eastAsia="Palatino Linotype" w:hAnsi="Palatino Linotype" w:cs="Palatino Linotype"/>
          <w:b/>
          <w:sz w:val="22"/>
          <w:szCs w:val="22"/>
        </w:rPr>
        <w:t>dos de mayo de dos mil veinticuatro</w:t>
      </w:r>
      <w:r w:rsidRPr="00381632">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381632">
        <w:rPr>
          <w:rFonts w:ascii="Palatino Linotype" w:eastAsia="Palatino Linotype" w:hAnsi="Palatino Linotype" w:cs="Palatino Linotype"/>
          <w:b/>
          <w:sz w:val="22"/>
          <w:szCs w:val="22"/>
        </w:rPr>
        <w:t>Comisionada</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Guadalupe Ramírez Peña</w:t>
      </w:r>
      <w:r w:rsidRPr="00381632">
        <w:rPr>
          <w:rFonts w:ascii="Palatino Linotype" w:eastAsia="Palatino Linotype" w:hAnsi="Palatino Linotype" w:cs="Palatino Linotype"/>
          <w:sz w:val="22"/>
          <w:szCs w:val="22"/>
        </w:rPr>
        <w:t xml:space="preserve">; es de precisar que dicha situación se notificó a las partes mediante acuerdo vía SAIMEX. </w:t>
      </w:r>
    </w:p>
    <w:p w14:paraId="7241D964" w14:textId="77777777" w:rsidR="00261355" w:rsidRPr="00381632" w:rsidRDefault="00DD29B0">
      <w:pPr>
        <w:spacing w:before="240" w:after="240" w:line="360" w:lineRule="auto"/>
        <w:jc w:val="both"/>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b/>
          <w:sz w:val="22"/>
          <w:szCs w:val="22"/>
        </w:rPr>
        <w:t xml:space="preserve">8. Manifestaciones. </w:t>
      </w:r>
      <w:r w:rsidRPr="00381632">
        <w:rPr>
          <w:rFonts w:ascii="Palatino Linotype" w:eastAsia="Palatino Linotype" w:hAnsi="Palatino Linotype" w:cs="Palatino Linotype"/>
          <w:sz w:val="22"/>
          <w:szCs w:val="22"/>
        </w:rPr>
        <w:t>De las constancias que obran en los expedientes electrónicos del SAIMEX se desprende que</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el</w:t>
      </w:r>
      <w:r w:rsidRPr="00381632">
        <w:rPr>
          <w:rFonts w:ascii="Palatino Linotype" w:eastAsia="Palatino Linotype" w:hAnsi="Palatino Linotype" w:cs="Palatino Linotype"/>
          <w:b/>
          <w:sz w:val="22"/>
          <w:szCs w:val="22"/>
        </w:rPr>
        <w:t xml:space="preserve"> Sujeto Obligado </w:t>
      </w:r>
      <w:r w:rsidRPr="00381632">
        <w:rPr>
          <w:rFonts w:ascii="Palatino Linotype" w:eastAsia="Palatino Linotype" w:hAnsi="Palatino Linotype" w:cs="Palatino Linotype"/>
          <w:sz w:val="22"/>
          <w:szCs w:val="22"/>
        </w:rPr>
        <w:t xml:space="preserve">adjuntó los siguientes archivos electrónicos </w:t>
      </w:r>
      <w:r w:rsidRPr="00381632">
        <w:rPr>
          <w:rFonts w:ascii="Palatino Linotype" w:eastAsia="Palatino Linotype" w:hAnsi="Palatino Linotype" w:cs="Palatino Linotype"/>
          <w:sz w:val="22"/>
          <w:szCs w:val="22"/>
        </w:rPr>
        <w:lastRenderedPageBreak/>
        <w:t xml:space="preserve">en el recurso de revisión  </w:t>
      </w:r>
      <w:r w:rsidRPr="00381632">
        <w:rPr>
          <w:rFonts w:ascii="Palatino Linotype" w:eastAsia="Palatino Linotype" w:hAnsi="Palatino Linotype" w:cs="Palatino Linotype"/>
          <w:b/>
          <w:sz w:val="22"/>
          <w:szCs w:val="22"/>
        </w:rPr>
        <w:t>01909/INFOEM/IP/RR/2024:</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i/>
          <w:sz w:val="22"/>
          <w:szCs w:val="22"/>
        </w:rPr>
        <w:t xml:space="preserve">00116-CONTRALORIA.pdf”, “RR 1909 sol 116 CM manifestaciones.pdf”, “116 CM- COMPLETA CON ALCANCE.pdf” e “INCIDENCIA-116.pdf”, </w:t>
      </w:r>
      <w:r w:rsidRPr="00381632">
        <w:rPr>
          <w:rFonts w:ascii="Palatino Linotype" w:eastAsia="Palatino Linotype" w:hAnsi="Palatino Linotype" w:cs="Palatino Linotype"/>
          <w:sz w:val="22"/>
          <w:szCs w:val="22"/>
        </w:rPr>
        <w:t xml:space="preserve">mientras que en el recurso de revisión </w:t>
      </w:r>
      <w:r w:rsidRPr="00381632">
        <w:rPr>
          <w:rFonts w:ascii="Palatino Linotype" w:eastAsia="Palatino Linotype" w:hAnsi="Palatino Linotype" w:cs="Palatino Linotype"/>
          <w:b/>
          <w:sz w:val="22"/>
          <w:szCs w:val="22"/>
        </w:rPr>
        <w:t xml:space="preserve">01910/INFOEM/IP/RR/2024, </w:t>
      </w:r>
      <w:r w:rsidRPr="00381632">
        <w:rPr>
          <w:rFonts w:ascii="Palatino Linotype" w:eastAsia="Palatino Linotype" w:hAnsi="Palatino Linotype" w:cs="Palatino Linotype"/>
          <w:sz w:val="22"/>
          <w:szCs w:val="22"/>
        </w:rPr>
        <w:t>adjuntó los archivos denominados: “</w:t>
      </w:r>
      <w:r w:rsidRPr="00381632">
        <w:rPr>
          <w:rFonts w:ascii="Palatino Linotype" w:eastAsia="Palatino Linotype" w:hAnsi="Palatino Linotype" w:cs="Palatino Linotype"/>
          <w:b/>
          <w:i/>
          <w:sz w:val="22"/>
          <w:szCs w:val="22"/>
        </w:rPr>
        <w:t xml:space="preserve">00115-CONTRALORIA.pdf”, “RR 1910 sol 115 CM manifestaciones.pdf”, “115 CM. COMPLETA CON ALCANCE.pdf” e “INCIDENCIA-115.pdf”, </w:t>
      </w:r>
      <w:r w:rsidRPr="00381632">
        <w:rPr>
          <w:rFonts w:ascii="Palatino Linotype" w:eastAsia="Palatino Linotype" w:hAnsi="Palatino Linotype" w:cs="Palatino Linotype"/>
          <w:sz w:val="22"/>
          <w:szCs w:val="22"/>
        </w:rPr>
        <w:t>los cuales se describen de manera pormenorizada a continuación:</w:t>
      </w:r>
    </w:p>
    <w:p w14:paraId="633DD606" w14:textId="77777777" w:rsidR="00261355" w:rsidRPr="00381632" w:rsidRDefault="00DD29B0">
      <w:pPr>
        <w:spacing w:before="240" w:after="240" w:line="360" w:lineRule="auto"/>
        <w:ind w:left="567"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Recurso de revisión  </w:t>
      </w:r>
      <w:r w:rsidRPr="00381632">
        <w:rPr>
          <w:rFonts w:ascii="Palatino Linotype" w:eastAsia="Palatino Linotype" w:hAnsi="Palatino Linotype" w:cs="Palatino Linotype"/>
          <w:b/>
          <w:sz w:val="22"/>
          <w:szCs w:val="22"/>
        </w:rPr>
        <w:t>01909/INFOEM/IP/RR/2024:</w:t>
      </w:r>
    </w:p>
    <w:p w14:paraId="56489864" w14:textId="77777777" w:rsidR="00261355" w:rsidRPr="00381632" w:rsidRDefault="00DD29B0">
      <w:pPr>
        <w:spacing w:before="240" w:after="240" w:line="360" w:lineRule="auto"/>
        <w:ind w:left="567"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w:t>
      </w:r>
      <w:r w:rsidRPr="00381632">
        <w:rPr>
          <w:rFonts w:ascii="Palatino Linotype" w:eastAsia="Palatino Linotype" w:hAnsi="Palatino Linotype" w:cs="Palatino Linotype"/>
          <w:b/>
          <w:i/>
          <w:sz w:val="22"/>
          <w:szCs w:val="22"/>
        </w:rPr>
        <w:t xml:space="preserve">00116-CONTRALORIA.pdf”: </w:t>
      </w:r>
      <w:r w:rsidRPr="00381632">
        <w:rPr>
          <w:rFonts w:ascii="Palatino Linotype" w:eastAsia="Palatino Linotype" w:hAnsi="Palatino Linotype" w:cs="Palatino Linotype"/>
          <w:sz w:val="22"/>
          <w:szCs w:val="22"/>
        </w:rPr>
        <w:t>Oficio DTyGA/MET/0423/2024, suscrito por la Encargada de Despacho de la Dirección de Transparencia y Gobierno Abierto, quien solicita al Contralor Interno Municipal remita su informe justificado en un término de tres días hábiles.</w:t>
      </w:r>
    </w:p>
    <w:p w14:paraId="3A0B29F7" w14:textId="77777777" w:rsidR="00261355" w:rsidRPr="00381632" w:rsidRDefault="00DD29B0">
      <w:pPr>
        <w:spacing w:before="240" w:after="240" w:line="360" w:lineRule="auto"/>
        <w:ind w:left="567"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i/>
          <w:sz w:val="22"/>
          <w:szCs w:val="22"/>
        </w:rPr>
        <w:t xml:space="preserve"> “RR 1909 sol 116 CM manifestaciones.pdf”: </w:t>
      </w:r>
      <w:r w:rsidRPr="00381632">
        <w:rPr>
          <w:rFonts w:ascii="Palatino Linotype" w:eastAsia="Palatino Linotype" w:hAnsi="Palatino Linotype" w:cs="Palatino Linotype"/>
          <w:sz w:val="22"/>
          <w:szCs w:val="22"/>
        </w:rPr>
        <w:t xml:space="preserve">Oficio CIM/CI/900/2024, suscrito por el Contralor Interno Municipal, dirigido a la Encargada de Despacho de la Dirección de Transparencia y Gobierno Abierto, por el cual señala que derivado de que </w:t>
      </w:r>
      <w:r w:rsidRPr="00381632">
        <w:rPr>
          <w:rFonts w:ascii="Palatino Linotype" w:eastAsia="Palatino Linotype" w:hAnsi="Palatino Linotype" w:cs="Palatino Linotype"/>
          <w:b/>
          <w:sz w:val="22"/>
          <w:szCs w:val="22"/>
        </w:rPr>
        <w:t>las resoluciones por faltas administrativas no graves impuestas por la Contraloría Interna Municipal en el año 2022 suman un total de 60 resoluciones y una vez generado el archivo para la entrega de la información el peso de este es de 3,660 Megabytes</w:t>
      </w:r>
      <w:r w:rsidRPr="00381632">
        <w:rPr>
          <w:rFonts w:ascii="Palatino Linotype" w:eastAsia="Palatino Linotype" w:hAnsi="Palatino Linotype" w:cs="Palatino Linotype"/>
          <w:sz w:val="22"/>
          <w:szCs w:val="22"/>
        </w:rPr>
        <w:t xml:space="preserve">, razón por la que a su consideración se encuentra imposibilitado para entregar la información vía SAIMEX, por lo que solicita se haga la incidencia correspondiente ante la Dirección General de Informática de este Instituto y ofrece la información en otras modalidades: copias simples o certificadas, </w:t>
      </w:r>
      <w:r w:rsidRPr="00381632">
        <w:rPr>
          <w:rFonts w:ascii="Palatino Linotype" w:eastAsia="Palatino Linotype" w:hAnsi="Palatino Linotype" w:cs="Palatino Linotype"/>
          <w:sz w:val="22"/>
          <w:szCs w:val="22"/>
        </w:rPr>
        <w:lastRenderedPageBreak/>
        <w:t>modalidad de entrega digital, modalidad de consulta directa y a través de correo certificado.</w:t>
      </w:r>
    </w:p>
    <w:p w14:paraId="5955C950" w14:textId="77777777" w:rsidR="00261355" w:rsidRPr="00381632" w:rsidRDefault="00DD29B0">
      <w:pPr>
        <w:spacing w:before="240" w:after="240" w:line="360" w:lineRule="auto"/>
        <w:ind w:left="567"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i/>
          <w:sz w:val="22"/>
          <w:szCs w:val="22"/>
        </w:rPr>
        <w:t xml:space="preserve"> “116 CM- COMPLETA CON ALCANCE.pdf”:</w:t>
      </w:r>
      <w:r w:rsidRPr="00381632">
        <w:rPr>
          <w:rFonts w:ascii="Palatino Linotype" w:eastAsia="Palatino Linotype" w:hAnsi="Palatino Linotype" w:cs="Palatino Linotype"/>
          <w:sz w:val="22"/>
          <w:szCs w:val="22"/>
        </w:rPr>
        <w:t xml:space="preserve"> Documento de seis fojas que contiene el Oficio CIM/CI/900/2024 y el Oficio CIM/CI/936/2024, emitido en alcance, en el cual adjunta la siguiente captura de pantalla:</w:t>
      </w:r>
    </w:p>
    <w:p w14:paraId="4B18E112" w14:textId="77777777" w:rsidR="00261355" w:rsidRPr="00381632" w:rsidRDefault="00DD29B0">
      <w:pPr>
        <w:spacing w:before="240" w:after="240" w:line="360" w:lineRule="auto"/>
        <w:ind w:left="567" w:right="900"/>
        <w:jc w:val="center"/>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drawing>
          <wp:inline distT="0" distB="0" distL="0" distR="0" wp14:anchorId="73B323DB" wp14:editId="3A737881">
            <wp:extent cx="2704066" cy="3024741"/>
            <wp:effectExtent l="0" t="0" r="0" b="0"/>
            <wp:docPr id="4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704066" cy="3024741"/>
                    </a:xfrm>
                    <a:prstGeom prst="rect">
                      <a:avLst/>
                    </a:prstGeom>
                    <a:ln/>
                  </pic:spPr>
                </pic:pic>
              </a:graphicData>
            </a:graphic>
          </wp:inline>
        </w:drawing>
      </w:r>
    </w:p>
    <w:p w14:paraId="147F55AB" w14:textId="77777777" w:rsidR="00261355" w:rsidRPr="00381632" w:rsidRDefault="00DD29B0">
      <w:pPr>
        <w:spacing w:before="240" w:after="240" w:line="360" w:lineRule="auto"/>
        <w:ind w:left="567"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i/>
          <w:sz w:val="22"/>
          <w:szCs w:val="22"/>
        </w:rPr>
        <w:t xml:space="preserve"> “INCIDENCIA-116.pdf”: </w:t>
      </w:r>
      <w:r w:rsidRPr="00381632">
        <w:rPr>
          <w:rFonts w:ascii="Palatino Linotype" w:eastAsia="Palatino Linotype" w:hAnsi="Palatino Linotype" w:cs="Palatino Linotype"/>
          <w:sz w:val="22"/>
          <w:szCs w:val="22"/>
        </w:rPr>
        <w:t xml:space="preserve">Oficio No. INFOEM/DGI/351/2024, suscrito por el Director General de Informática de este Instituto, por el cual se señala que dicha incidencia técnica ha quedado registrada en la bitácora de incidencias, toda vez que trata de subir un peso de </w:t>
      </w:r>
      <w:r w:rsidRPr="00381632">
        <w:rPr>
          <w:rFonts w:ascii="Palatino Linotype" w:eastAsia="Palatino Linotype" w:hAnsi="Palatino Linotype" w:cs="Palatino Linotype"/>
          <w:b/>
          <w:sz w:val="22"/>
          <w:szCs w:val="22"/>
        </w:rPr>
        <w:t>3,660MB</w:t>
      </w:r>
      <w:r w:rsidRPr="00381632">
        <w:rPr>
          <w:rFonts w:ascii="Palatino Linotype" w:eastAsia="Palatino Linotype" w:hAnsi="Palatino Linotype" w:cs="Palatino Linotype"/>
          <w:sz w:val="22"/>
          <w:szCs w:val="22"/>
        </w:rPr>
        <w:t xml:space="preserve"> lo cual sobrepasa las capacidades técnicas del sistema SAIMEX.</w:t>
      </w:r>
    </w:p>
    <w:p w14:paraId="74064AB3" w14:textId="77777777" w:rsidR="00261355" w:rsidRPr="00381632" w:rsidRDefault="00DD29B0">
      <w:pPr>
        <w:spacing w:before="240" w:after="240" w:line="360" w:lineRule="auto"/>
        <w:ind w:left="567"/>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Recurso de revisión </w:t>
      </w:r>
      <w:r w:rsidRPr="00381632">
        <w:rPr>
          <w:rFonts w:ascii="Palatino Linotype" w:eastAsia="Palatino Linotype" w:hAnsi="Palatino Linotype" w:cs="Palatino Linotype"/>
          <w:b/>
          <w:sz w:val="22"/>
          <w:szCs w:val="22"/>
        </w:rPr>
        <w:t>01910/INFOEM/IP/RR/2024:</w:t>
      </w:r>
    </w:p>
    <w:p w14:paraId="306C9D1B" w14:textId="77777777" w:rsidR="00261355" w:rsidRPr="00381632" w:rsidRDefault="00DD29B0">
      <w:pPr>
        <w:spacing w:before="240" w:after="240" w:line="360" w:lineRule="auto"/>
        <w:ind w:left="567"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i/>
          <w:sz w:val="22"/>
          <w:szCs w:val="22"/>
        </w:rPr>
        <w:lastRenderedPageBreak/>
        <w:t xml:space="preserve"> </w:t>
      </w:r>
      <w:r w:rsidRPr="00381632">
        <w:rPr>
          <w:rFonts w:ascii="Palatino Linotype" w:eastAsia="Palatino Linotype" w:hAnsi="Palatino Linotype" w:cs="Palatino Linotype"/>
          <w:sz w:val="22"/>
          <w:szCs w:val="22"/>
        </w:rPr>
        <w:t>“</w:t>
      </w:r>
      <w:r w:rsidRPr="00381632">
        <w:rPr>
          <w:rFonts w:ascii="Palatino Linotype" w:eastAsia="Palatino Linotype" w:hAnsi="Palatino Linotype" w:cs="Palatino Linotype"/>
          <w:b/>
          <w:i/>
          <w:sz w:val="22"/>
          <w:szCs w:val="22"/>
        </w:rPr>
        <w:t xml:space="preserve">00115-CONTRALORIA.pdf”: </w:t>
      </w:r>
      <w:r w:rsidRPr="00381632">
        <w:rPr>
          <w:rFonts w:ascii="Palatino Linotype" w:eastAsia="Palatino Linotype" w:hAnsi="Palatino Linotype" w:cs="Palatino Linotype"/>
          <w:sz w:val="22"/>
          <w:szCs w:val="22"/>
        </w:rPr>
        <w:t>Oficio DTyGA/MET/0424/2024, suscrito por la Encargada de Despacho de la Dirección de Transparencia y Gobierno Abierto, quien solicita al Contralor Interno Municipal remita su informe justificado en un término de tres días hábiles.</w:t>
      </w:r>
    </w:p>
    <w:p w14:paraId="51D3D3D3" w14:textId="77777777" w:rsidR="00261355" w:rsidRPr="00381632" w:rsidRDefault="00DD29B0">
      <w:pPr>
        <w:spacing w:before="240" w:after="240" w:line="360" w:lineRule="auto"/>
        <w:ind w:left="567"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i/>
          <w:sz w:val="22"/>
          <w:szCs w:val="22"/>
        </w:rPr>
        <w:t xml:space="preserve"> “RR 1910 sol 115 CM manifestaciones.pdf”: </w:t>
      </w:r>
      <w:r w:rsidRPr="00381632">
        <w:rPr>
          <w:rFonts w:ascii="Palatino Linotype" w:eastAsia="Palatino Linotype" w:hAnsi="Palatino Linotype" w:cs="Palatino Linotype"/>
          <w:sz w:val="22"/>
          <w:szCs w:val="22"/>
        </w:rPr>
        <w:t xml:space="preserve">Oficio CIM/CI/899/2024, suscrito por el Contralor Interno Municipal, dirigido a la Encargada de Despacho de la Dirección de Transparencia y Gobierno Abierto, por el cual señala que derivado de que </w:t>
      </w:r>
      <w:r w:rsidRPr="00381632">
        <w:rPr>
          <w:rFonts w:ascii="Palatino Linotype" w:eastAsia="Palatino Linotype" w:hAnsi="Palatino Linotype" w:cs="Palatino Linotype"/>
          <w:b/>
          <w:sz w:val="22"/>
          <w:szCs w:val="22"/>
        </w:rPr>
        <w:t>las resoluciones por faltas administrativas no graves impuestas por la Contraloría Interna Municipal en los años 2023 y 2024 suman un total de 167 resoluciones y una vez generado el archivo para la entrega de la información el peso de este es de 21,717 Megabytes</w:t>
      </w:r>
      <w:r w:rsidRPr="00381632">
        <w:rPr>
          <w:rFonts w:ascii="Palatino Linotype" w:eastAsia="Palatino Linotype" w:hAnsi="Palatino Linotype" w:cs="Palatino Linotype"/>
          <w:sz w:val="22"/>
          <w:szCs w:val="22"/>
        </w:rPr>
        <w:t>, razón por la que a su consideración se encuentra imposibilitado para entregar la información vía SAIMEX, por lo que solicita se haga la incidencia correspondiente ante la Dirección General de Informática de este Instituto y ofrece la información en otras modalidades: copias simples o certificadas, modalidad de entrega digital, modalidad de consulta directa y a través de correo certificado.</w:t>
      </w:r>
    </w:p>
    <w:p w14:paraId="46721646" w14:textId="77777777" w:rsidR="00261355" w:rsidRPr="00381632" w:rsidRDefault="00DD29B0">
      <w:pPr>
        <w:spacing w:before="240" w:after="240" w:line="360" w:lineRule="auto"/>
        <w:ind w:left="567"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i/>
          <w:sz w:val="22"/>
          <w:szCs w:val="22"/>
        </w:rPr>
        <w:t xml:space="preserve"> “115 CM. COMPLETA CON ALCANCE.pdf”:</w:t>
      </w:r>
      <w:r w:rsidRPr="00381632">
        <w:rPr>
          <w:rFonts w:ascii="Palatino Linotype" w:eastAsia="Palatino Linotype" w:hAnsi="Palatino Linotype" w:cs="Palatino Linotype"/>
          <w:sz w:val="22"/>
          <w:szCs w:val="22"/>
        </w:rPr>
        <w:t xml:space="preserve"> Documento de seis fojas que contiene el Oficio CIM/CI/899/2024 y el Oficio CIM/CI/936/2024, emitido en alcance, en el cual adjunta la siguiente captura de pantalla:</w:t>
      </w:r>
    </w:p>
    <w:p w14:paraId="21CD665B" w14:textId="77777777" w:rsidR="00261355" w:rsidRPr="00381632" w:rsidRDefault="00DD29B0">
      <w:pPr>
        <w:spacing w:before="240" w:after="240" w:line="360" w:lineRule="auto"/>
        <w:ind w:left="567"/>
        <w:jc w:val="center"/>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b/>
          <w:i/>
          <w:noProof/>
          <w:sz w:val="22"/>
          <w:szCs w:val="22"/>
        </w:rPr>
        <w:lastRenderedPageBreak/>
        <w:drawing>
          <wp:inline distT="0" distB="0" distL="0" distR="0" wp14:anchorId="7AE2AEB9" wp14:editId="6555E272">
            <wp:extent cx="2789589" cy="2913755"/>
            <wp:effectExtent l="0" t="0" r="0" b="0"/>
            <wp:docPr id="4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89589" cy="2913755"/>
                    </a:xfrm>
                    <a:prstGeom prst="rect">
                      <a:avLst/>
                    </a:prstGeom>
                    <a:ln/>
                  </pic:spPr>
                </pic:pic>
              </a:graphicData>
            </a:graphic>
          </wp:inline>
        </w:drawing>
      </w:r>
    </w:p>
    <w:p w14:paraId="5FDC6C40" w14:textId="77777777" w:rsidR="00261355" w:rsidRPr="00381632" w:rsidRDefault="00DD29B0">
      <w:pPr>
        <w:spacing w:before="240" w:after="240" w:line="360" w:lineRule="auto"/>
        <w:ind w:left="567"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i/>
          <w:sz w:val="22"/>
          <w:szCs w:val="22"/>
        </w:rPr>
        <w:t xml:space="preserve"> “INCIDENCIA-115.pdf”: </w:t>
      </w:r>
      <w:r w:rsidRPr="00381632">
        <w:rPr>
          <w:rFonts w:ascii="Palatino Linotype" w:eastAsia="Palatino Linotype" w:hAnsi="Palatino Linotype" w:cs="Palatino Linotype"/>
          <w:sz w:val="22"/>
          <w:szCs w:val="22"/>
        </w:rPr>
        <w:t xml:space="preserve">Oficio No. INFOEM/DGI/350/2024, suscrito por el Director General de Informática de este Instituto, por el cual se señala que dicha incidencia técnica ha quedado registrada en la bitácora de incidencias, toda vez que trata de subir un peso de </w:t>
      </w:r>
      <w:r w:rsidRPr="00381632">
        <w:rPr>
          <w:rFonts w:ascii="Palatino Linotype" w:eastAsia="Palatino Linotype" w:hAnsi="Palatino Linotype" w:cs="Palatino Linotype"/>
          <w:b/>
          <w:sz w:val="22"/>
          <w:szCs w:val="22"/>
        </w:rPr>
        <w:t xml:space="preserve">peso de 21,727MB </w:t>
      </w:r>
      <w:r w:rsidRPr="00381632">
        <w:rPr>
          <w:rFonts w:ascii="Palatino Linotype" w:eastAsia="Palatino Linotype" w:hAnsi="Palatino Linotype" w:cs="Palatino Linotype"/>
          <w:sz w:val="22"/>
          <w:szCs w:val="22"/>
        </w:rPr>
        <w:t>lo cual sobrepasa las capacidades técnicas del sistema SAIMEX.</w:t>
      </w:r>
    </w:p>
    <w:p w14:paraId="2631C01F"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Es de precisar que, una vez analizada esta documentación, se determinó ponerla a disposición de </w:t>
      </w:r>
      <w:r w:rsidRPr="00381632">
        <w:rPr>
          <w:rFonts w:ascii="Palatino Linotype" w:eastAsia="Palatino Linotype" w:hAnsi="Palatino Linotype" w:cs="Palatino Linotype"/>
          <w:b/>
          <w:sz w:val="22"/>
          <w:szCs w:val="22"/>
        </w:rPr>
        <w:t>la parte Recurrente</w:t>
      </w:r>
      <w:r w:rsidRPr="00381632">
        <w:rPr>
          <w:rFonts w:ascii="Palatino Linotype" w:eastAsia="Palatino Linotype" w:hAnsi="Palatino Linotype" w:cs="Palatino Linotype"/>
          <w:sz w:val="22"/>
          <w:szCs w:val="22"/>
        </w:rPr>
        <w:t xml:space="preserve"> mediante acuerdo signado por la Comisionada Ponente, el </w:t>
      </w:r>
      <w:r w:rsidRPr="00381632">
        <w:rPr>
          <w:rFonts w:ascii="Palatino Linotype" w:eastAsia="Palatino Linotype" w:hAnsi="Palatino Linotype" w:cs="Palatino Linotype"/>
          <w:b/>
          <w:sz w:val="22"/>
          <w:szCs w:val="22"/>
        </w:rPr>
        <w:t>veintiocho de agosto de dos mil veinticuatro</w:t>
      </w:r>
      <w:r w:rsidRPr="00381632">
        <w:rPr>
          <w:rFonts w:ascii="Palatino Linotype" w:eastAsia="Palatino Linotype" w:hAnsi="Palatino Linotype" w:cs="Palatino Linotype"/>
          <w:sz w:val="22"/>
          <w:szCs w:val="22"/>
        </w:rPr>
        <w:t xml:space="preserve">, teniendo así que la persona Recurrente fue omisa en pronunciarse al respecto, por lo que se tuvo por precluido su derecho para tal efecto y se procede a emitir la resolución que conforme a derecho corresponda. </w:t>
      </w:r>
    </w:p>
    <w:p w14:paraId="5DA43C2D" w14:textId="77777777" w:rsidR="00261355" w:rsidRPr="00381632" w:rsidRDefault="00DD29B0">
      <w:pP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 xml:space="preserve">9. Requerimiento de información adicional. </w:t>
      </w:r>
      <w:r w:rsidRPr="00381632">
        <w:rPr>
          <w:rFonts w:ascii="Palatino Linotype" w:eastAsia="Palatino Linotype" w:hAnsi="Palatino Linotype" w:cs="Palatino Linotype"/>
          <w:sz w:val="22"/>
          <w:szCs w:val="22"/>
        </w:rPr>
        <w:t xml:space="preserve">El </w:t>
      </w:r>
      <w:r w:rsidRPr="00381632">
        <w:rPr>
          <w:rFonts w:ascii="Palatino Linotype" w:eastAsia="Palatino Linotype" w:hAnsi="Palatino Linotype" w:cs="Palatino Linotype"/>
          <w:b/>
          <w:sz w:val="22"/>
          <w:szCs w:val="22"/>
        </w:rPr>
        <w:t>veintiocho de agosto de dos mil veinticuatro</w:t>
      </w:r>
      <w:r w:rsidRPr="00381632">
        <w:rPr>
          <w:rFonts w:ascii="Palatino Linotype" w:eastAsia="Palatino Linotype" w:hAnsi="Palatino Linotype" w:cs="Palatino Linotype"/>
          <w:sz w:val="22"/>
          <w:szCs w:val="22"/>
        </w:rPr>
        <w:t xml:space="preserve">, se envió por correo electrónico un requerimiento de información adicional al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el cual consistió en lo siguiente:</w:t>
      </w:r>
    </w:p>
    <w:p w14:paraId="00A57F2A" w14:textId="77777777" w:rsidR="00261355" w:rsidRPr="00381632" w:rsidRDefault="00DD29B0">
      <w:pPr>
        <w:spacing w:line="360" w:lineRule="auto"/>
        <w:jc w:val="center"/>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lastRenderedPageBreak/>
        <w:drawing>
          <wp:inline distT="0" distB="0" distL="0" distR="0" wp14:anchorId="2ADD1757" wp14:editId="7ED53BF8">
            <wp:extent cx="4830022" cy="3408449"/>
            <wp:effectExtent l="0" t="0" r="0" b="0"/>
            <wp:docPr id="4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830022" cy="3408449"/>
                    </a:xfrm>
                    <a:prstGeom prst="rect">
                      <a:avLst/>
                    </a:prstGeom>
                    <a:ln/>
                  </pic:spPr>
                </pic:pic>
              </a:graphicData>
            </a:graphic>
          </wp:inline>
        </w:drawing>
      </w:r>
    </w:p>
    <w:p w14:paraId="680C288D"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“…se requiere informe lo siguiente:</w:t>
      </w:r>
    </w:p>
    <w:p w14:paraId="357C8F34" w14:textId="77777777" w:rsidR="00261355" w:rsidRPr="00381632" w:rsidRDefault="00DD29B0">
      <w:pPr>
        <w:spacing w:before="240" w:after="240" w:line="276" w:lineRule="auto"/>
        <w:ind w:left="567" w:right="900"/>
        <w:jc w:val="both"/>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b/>
          <w:i/>
          <w:sz w:val="22"/>
          <w:szCs w:val="22"/>
        </w:rPr>
        <w:t>Respecto a la solicitud de información 00116/METEPEC/IP/2024 a la que recayó el recurso de revisión 01909/INFOEM/IP/RR/2024:</w:t>
      </w:r>
    </w:p>
    <w:p w14:paraId="068E8500"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 xml:space="preserve">1.- Precise de manera detallada, el número de fojas por cada resolución, de las 60 resoluciones a sanciones administrativas no graves, impuestas por el Órgano Interno de Control de Metepec del año 2022, que refiere en informe justificado, son las que obran en sus archivos. </w:t>
      </w:r>
    </w:p>
    <w:p w14:paraId="249112F0"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2.- Señale, si emplea los parámetros de escaneo recomendados por este Instituto, los cuales consisten en una resolución alta de 150 Dpi's, en escala de grises y formato "PDF"; extraído directamente del escáner.</w:t>
      </w:r>
    </w:p>
    <w:p w14:paraId="6C905508"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 xml:space="preserve">3.- Proporcione una foja escaneada, correspondiente a una de las 60 resoluciones que refiere en su informe justificado. </w:t>
      </w:r>
    </w:p>
    <w:p w14:paraId="781AF78F" w14:textId="77777777" w:rsidR="00261355" w:rsidRPr="00381632" w:rsidRDefault="00DD29B0">
      <w:pPr>
        <w:spacing w:before="240" w:after="240" w:line="276" w:lineRule="auto"/>
        <w:ind w:left="567" w:right="900"/>
        <w:jc w:val="both"/>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b/>
          <w:i/>
          <w:sz w:val="22"/>
          <w:szCs w:val="22"/>
        </w:rPr>
        <w:lastRenderedPageBreak/>
        <w:t>Respecto a la solicitud de información 00115/METEPEC/IP/2024 a la que recayó el recurso de revisión 01910/INFOEM/IP/RR/2024:</w:t>
      </w:r>
    </w:p>
    <w:p w14:paraId="3D981944"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 xml:space="preserve"> 1.- Precise de manera detallada, el número de fojas por cada resolución, de las 167 resoluciones a sanciones administrativas no graves, impuestas por el Órgano Interno de Control de Metepec del año 2023 y del 1 de enero al 05 de marzo de 2024, que refiere en informe justificado, son las que obran en sus archivos. </w:t>
      </w:r>
    </w:p>
    <w:p w14:paraId="0F0E2A56"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2.- Señale, si emplea los parámetros de escaneo recomendados por este Instituto, los cuales consisten en una resolución alta de 150 Dpi's, en escala de grises y formato "PDF"; extraído directamente del escáner.</w:t>
      </w:r>
    </w:p>
    <w:p w14:paraId="2D7AD68C"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3.- Proporcione una foja escaneada, correspondiente a una de las resoluciones que refiere en su informe justificado.”</w:t>
      </w:r>
    </w:p>
    <w:p w14:paraId="5C858044" w14:textId="77777777" w:rsidR="00261355" w:rsidRPr="00381632" w:rsidRDefault="00DD29B0">
      <w:pPr>
        <w:spacing w:before="240" w:after="240"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Es de precisar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otorgó respuesta al requerimiento de información adicional el </w:t>
      </w:r>
      <w:r w:rsidRPr="00381632">
        <w:rPr>
          <w:rFonts w:ascii="Palatino Linotype" w:eastAsia="Palatino Linotype" w:hAnsi="Palatino Linotype" w:cs="Palatino Linotype"/>
          <w:b/>
          <w:sz w:val="22"/>
          <w:szCs w:val="22"/>
        </w:rPr>
        <w:t>dos de septiembre de dos mil veinticuatro</w:t>
      </w:r>
      <w:r w:rsidRPr="00381632">
        <w:rPr>
          <w:rFonts w:ascii="Palatino Linotype" w:eastAsia="Palatino Linotype" w:hAnsi="Palatino Linotype" w:cs="Palatino Linotype"/>
          <w:sz w:val="22"/>
          <w:szCs w:val="22"/>
        </w:rPr>
        <w:t>, mediante el archivo</w:t>
      </w:r>
      <w:r w:rsidRPr="00381632">
        <w:t xml:space="preserve"> </w:t>
      </w:r>
      <w:r w:rsidRPr="00381632">
        <w:rPr>
          <w:rFonts w:ascii="Palatino Linotype" w:eastAsia="Palatino Linotype" w:hAnsi="Palatino Linotype" w:cs="Palatino Linotype"/>
        </w:rPr>
        <w:t>“</w:t>
      </w:r>
      <w:r w:rsidRPr="00381632">
        <w:rPr>
          <w:rFonts w:ascii="Palatino Linotype" w:eastAsia="Palatino Linotype" w:hAnsi="Palatino Linotype" w:cs="Palatino Linotype"/>
          <w:b/>
          <w:i/>
          <w:sz w:val="22"/>
          <w:szCs w:val="22"/>
        </w:rPr>
        <w:t xml:space="preserve">Requerimiento sol 115 y 116 RR 1909.pdf”, </w:t>
      </w:r>
      <w:r w:rsidRPr="00381632">
        <w:rPr>
          <w:rFonts w:ascii="Palatino Linotype" w:eastAsia="Palatino Linotype" w:hAnsi="Palatino Linotype" w:cs="Palatino Linotype"/>
          <w:sz w:val="22"/>
          <w:szCs w:val="22"/>
        </w:rPr>
        <w:t xml:space="preserve">del cual se desprenden las siguientes consideraciones: </w:t>
      </w:r>
      <w:r w:rsidRPr="00381632">
        <w:rPr>
          <w:rFonts w:ascii="Palatino Linotype" w:eastAsia="Palatino Linotype" w:hAnsi="Palatino Linotype" w:cs="Palatino Linotype"/>
          <w:noProof/>
          <w:sz w:val="22"/>
          <w:szCs w:val="22"/>
        </w:rPr>
        <w:drawing>
          <wp:inline distT="0" distB="0" distL="0" distR="0" wp14:anchorId="556A915A" wp14:editId="74571810">
            <wp:extent cx="5114549" cy="2513783"/>
            <wp:effectExtent l="0" t="0" r="0" b="0"/>
            <wp:docPr id="4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114549" cy="2513783"/>
                    </a:xfrm>
                    <a:prstGeom prst="rect">
                      <a:avLst/>
                    </a:prstGeom>
                    <a:ln/>
                  </pic:spPr>
                </pic:pic>
              </a:graphicData>
            </a:graphic>
          </wp:inline>
        </w:drawing>
      </w:r>
    </w:p>
    <w:p w14:paraId="08968E84" w14:textId="77777777" w:rsidR="00261355" w:rsidRPr="00381632" w:rsidRDefault="00261355">
      <w:pPr>
        <w:spacing w:before="240" w:after="240" w:line="360" w:lineRule="auto"/>
        <w:ind w:right="49"/>
        <w:jc w:val="both"/>
        <w:rPr>
          <w:rFonts w:ascii="Palatino Linotype" w:eastAsia="Palatino Linotype" w:hAnsi="Palatino Linotype" w:cs="Palatino Linotype"/>
          <w:sz w:val="22"/>
          <w:szCs w:val="22"/>
        </w:rPr>
      </w:pPr>
    </w:p>
    <w:p w14:paraId="12E62151" w14:textId="77777777" w:rsidR="00261355" w:rsidRPr="00381632" w:rsidRDefault="00261355">
      <w:pPr>
        <w:spacing w:before="240" w:after="240" w:line="360" w:lineRule="auto"/>
        <w:ind w:right="49"/>
        <w:jc w:val="both"/>
        <w:rPr>
          <w:rFonts w:ascii="Palatino Linotype" w:eastAsia="Palatino Linotype" w:hAnsi="Palatino Linotype" w:cs="Palatino Linotype"/>
          <w:sz w:val="22"/>
          <w:szCs w:val="22"/>
        </w:rPr>
      </w:pPr>
    </w:p>
    <w:p w14:paraId="2198DF38" w14:textId="77777777" w:rsidR="00261355" w:rsidRPr="00381632" w:rsidRDefault="00DD29B0">
      <w:pPr>
        <w:numPr>
          <w:ilvl w:val="0"/>
          <w:numId w:val="5"/>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Que dicho requerimiento no forma parte de las formalidades que tiene el Instituto para resolver el Recurso de Revisión conforme al artículo 185 de la Ley de Transparencia.</w:t>
      </w:r>
    </w:p>
    <w:p w14:paraId="00B82311" w14:textId="77777777" w:rsidR="00261355" w:rsidRPr="00381632" w:rsidRDefault="00DD29B0">
      <w:pPr>
        <w:numPr>
          <w:ilvl w:val="0"/>
          <w:numId w:val="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en ningún momento coarta el derecho a la información al solicitante toda vez que debido al volumen de la información y el peso de la misma sobrepasa las capacidades del SAIMEX, razón por la cual se puso a disposición del solicitante en todas las modalidades en estricto apego al artículo 164 de la Ley de Transparencia Local, sin que ello haya sido una decisión unilateral pues se solicitó la incidencia a la Dirección General de Informática de este Instituto.</w:t>
      </w:r>
    </w:p>
    <w:p w14:paraId="3325EDBC" w14:textId="77777777" w:rsidR="00261355" w:rsidRPr="00381632" w:rsidRDefault="00DD29B0">
      <w:pPr>
        <w:numPr>
          <w:ilvl w:val="0"/>
          <w:numId w:val="5"/>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Que el requerimiento de información adicional implica la realización de investigaciones para corroborar unilateralmente, el sentido de la respuesta formulada por el Sujeto Obligado, poniendo en duda por demás evidente y caprichosa la manera en que se proporciona al solicitante la información. </w:t>
      </w:r>
    </w:p>
    <w:p w14:paraId="511E25BB" w14:textId="77777777" w:rsidR="00261355" w:rsidRPr="00381632" w:rsidRDefault="00DD29B0">
      <w:pPr>
        <w:spacing w:before="240" w:after="240" w:line="360" w:lineRule="auto"/>
        <w:ind w:left="284"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drawing>
          <wp:inline distT="0" distB="0" distL="0" distR="0" wp14:anchorId="4C430D01" wp14:editId="4356CE7B">
            <wp:extent cx="4929021" cy="792503"/>
            <wp:effectExtent l="0" t="0" r="0" b="0"/>
            <wp:docPr id="4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929021" cy="792503"/>
                    </a:xfrm>
                    <a:prstGeom prst="rect">
                      <a:avLst/>
                    </a:prstGeom>
                    <a:ln/>
                  </pic:spPr>
                </pic:pic>
              </a:graphicData>
            </a:graphic>
          </wp:inline>
        </w:drawing>
      </w:r>
    </w:p>
    <w:p w14:paraId="0C9A5383" w14:textId="77777777" w:rsidR="00261355" w:rsidRPr="00381632" w:rsidRDefault="00DD29B0">
      <w:pPr>
        <w:spacing w:before="240" w:after="240" w:line="360" w:lineRule="auto"/>
        <w:ind w:left="284"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lastRenderedPageBreak/>
        <w:drawing>
          <wp:inline distT="0" distB="0" distL="0" distR="0" wp14:anchorId="743C2CD5" wp14:editId="4390D3A7">
            <wp:extent cx="5612130" cy="6960870"/>
            <wp:effectExtent l="0" t="0" r="0" b="0"/>
            <wp:docPr id="4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612130" cy="6960870"/>
                    </a:xfrm>
                    <a:prstGeom prst="rect">
                      <a:avLst/>
                    </a:prstGeom>
                    <a:ln/>
                  </pic:spPr>
                </pic:pic>
              </a:graphicData>
            </a:graphic>
          </wp:inline>
        </w:drawing>
      </w:r>
    </w:p>
    <w:p w14:paraId="178278D9" w14:textId="77777777" w:rsidR="00261355" w:rsidRPr="00381632" w:rsidRDefault="00261355">
      <w:pPr>
        <w:spacing w:before="240" w:after="240" w:line="360" w:lineRule="auto"/>
        <w:ind w:left="284" w:right="900"/>
        <w:jc w:val="both"/>
        <w:rPr>
          <w:rFonts w:ascii="Palatino Linotype" w:eastAsia="Palatino Linotype" w:hAnsi="Palatino Linotype" w:cs="Palatino Linotype"/>
          <w:sz w:val="22"/>
          <w:szCs w:val="22"/>
        </w:rPr>
      </w:pPr>
    </w:p>
    <w:p w14:paraId="0362CF6A" w14:textId="77777777" w:rsidR="00261355" w:rsidRPr="00381632" w:rsidRDefault="00DD29B0">
      <w:pPr>
        <w:spacing w:before="240" w:after="240" w:line="360" w:lineRule="auto"/>
        <w:ind w:left="284"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drawing>
          <wp:inline distT="0" distB="0" distL="0" distR="0" wp14:anchorId="26147347" wp14:editId="79973AD0">
            <wp:extent cx="5515745" cy="6706536"/>
            <wp:effectExtent l="0" t="0" r="0" b="0"/>
            <wp:docPr id="4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515745" cy="6706536"/>
                    </a:xfrm>
                    <a:prstGeom prst="rect">
                      <a:avLst/>
                    </a:prstGeom>
                    <a:ln/>
                  </pic:spPr>
                </pic:pic>
              </a:graphicData>
            </a:graphic>
          </wp:inline>
        </w:drawing>
      </w:r>
    </w:p>
    <w:p w14:paraId="00BBB9ED" w14:textId="77777777" w:rsidR="00261355" w:rsidRPr="00381632" w:rsidRDefault="00DD29B0">
      <w:pPr>
        <w:spacing w:before="240" w:after="240" w:line="360" w:lineRule="auto"/>
        <w:ind w:left="284"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lastRenderedPageBreak/>
        <w:drawing>
          <wp:inline distT="0" distB="0" distL="0" distR="0" wp14:anchorId="39B83D77" wp14:editId="6C1ADA77">
            <wp:extent cx="5612130" cy="5359400"/>
            <wp:effectExtent l="0" t="0" r="0" b="0"/>
            <wp:docPr id="4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612130" cy="5359400"/>
                    </a:xfrm>
                    <a:prstGeom prst="rect">
                      <a:avLst/>
                    </a:prstGeom>
                    <a:ln/>
                  </pic:spPr>
                </pic:pic>
              </a:graphicData>
            </a:graphic>
          </wp:inline>
        </w:drawing>
      </w:r>
    </w:p>
    <w:p w14:paraId="3CD87737" w14:textId="77777777" w:rsidR="00261355" w:rsidRPr="00381632" w:rsidRDefault="00DD29B0">
      <w:pPr>
        <w:spacing w:before="240" w:after="240" w:line="360" w:lineRule="auto"/>
        <w:ind w:left="284"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lastRenderedPageBreak/>
        <w:drawing>
          <wp:inline distT="0" distB="0" distL="0" distR="0" wp14:anchorId="5D3BF812" wp14:editId="60A8B9A8">
            <wp:extent cx="5612130" cy="4798695"/>
            <wp:effectExtent l="0" t="0" r="0" b="0"/>
            <wp:docPr id="40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612130" cy="4798695"/>
                    </a:xfrm>
                    <a:prstGeom prst="rect">
                      <a:avLst/>
                    </a:prstGeom>
                    <a:ln/>
                  </pic:spPr>
                </pic:pic>
              </a:graphicData>
            </a:graphic>
          </wp:inline>
        </w:drawing>
      </w:r>
    </w:p>
    <w:p w14:paraId="576242B6" w14:textId="77777777" w:rsidR="00261355" w:rsidRPr="00381632" w:rsidRDefault="00DD29B0">
      <w:pPr>
        <w:spacing w:before="240" w:after="240" w:line="360" w:lineRule="auto"/>
        <w:ind w:left="284" w:right="900"/>
        <w:jc w:val="center"/>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lastRenderedPageBreak/>
        <w:drawing>
          <wp:inline distT="0" distB="0" distL="0" distR="0" wp14:anchorId="43E74A2F" wp14:editId="1B15B2FC">
            <wp:extent cx="4690559" cy="5571564"/>
            <wp:effectExtent l="0" t="0" r="0" b="0"/>
            <wp:docPr id="4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690559" cy="5571564"/>
                    </a:xfrm>
                    <a:prstGeom prst="rect">
                      <a:avLst/>
                    </a:prstGeom>
                    <a:ln/>
                  </pic:spPr>
                </pic:pic>
              </a:graphicData>
            </a:graphic>
          </wp:inline>
        </w:drawing>
      </w:r>
    </w:p>
    <w:p w14:paraId="6FA61B3A" w14:textId="77777777" w:rsidR="00261355" w:rsidRPr="00381632" w:rsidRDefault="00DD29B0">
      <w:pPr>
        <w:spacing w:before="240" w:after="240" w:line="360" w:lineRule="auto"/>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10. Ampliaciones del plazo para emitir resolución.</w:t>
      </w:r>
      <w:r w:rsidRPr="00381632">
        <w:rPr>
          <w:rFonts w:ascii="Palatino Linotype" w:eastAsia="Palatino Linotype" w:hAnsi="Palatino Linotype" w:cs="Palatino Linotype"/>
          <w:sz w:val="22"/>
          <w:szCs w:val="22"/>
        </w:rPr>
        <w:t xml:space="preserve"> El </w:t>
      </w:r>
      <w:r w:rsidRPr="00381632">
        <w:rPr>
          <w:rFonts w:ascii="Palatino Linotype" w:eastAsia="Palatino Linotype" w:hAnsi="Palatino Linotype" w:cs="Palatino Linotype"/>
          <w:b/>
          <w:sz w:val="22"/>
          <w:szCs w:val="22"/>
        </w:rPr>
        <w:t>veintiocho de agosto de dos mil veinticuatro</w:t>
      </w:r>
      <w:r w:rsidRPr="00381632">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26F7B7A" w14:textId="77777777" w:rsidR="00261355" w:rsidRPr="00381632" w:rsidRDefault="00DD29B0">
      <w:pP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9E0D775"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1B658B4"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75C9E2"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0CEAA6E"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Por ello, excepcionalmente, si un asunto es resuelto con posterioridad a los plazos señalados por la norma debe analizarse la razonabilidad del tiempo necesario para su resolución, atentos a los siguientes criterios: </w:t>
      </w:r>
    </w:p>
    <w:p w14:paraId="736D3B2A" w14:textId="77777777" w:rsidR="00261355" w:rsidRPr="00381632" w:rsidRDefault="00DD29B0">
      <w:pPr>
        <w:numPr>
          <w:ilvl w:val="0"/>
          <w:numId w:val="6"/>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Complejidad del Asunto:</w:t>
      </w:r>
      <w:r w:rsidRPr="0038163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083A81A" w14:textId="77777777" w:rsidR="00261355" w:rsidRPr="00381632" w:rsidRDefault="00DD29B0">
      <w:pPr>
        <w:numPr>
          <w:ilvl w:val="0"/>
          <w:numId w:val="6"/>
        </w:numPr>
        <w:spacing w:before="240" w:after="240" w:line="360" w:lineRule="auto"/>
        <w:ind w:left="567" w:right="1183"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lastRenderedPageBreak/>
        <w:t>Actividad Procesal del interesado.</w:t>
      </w:r>
      <w:r w:rsidRPr="00381632">
        <w:rPr>
          <w:rFonts w:ascii="Palatino Linotype" w:eastAsia="Palatino Linotype" w:hAnsi="Palatino Linotype" w:cs="Palatino Linotype"/>
          <w:sz w:val="22"/>
          <w:szCs w:val="22"/>
        </w:rPr>
        <w:t xml:space="preserve"> Acciones u omisiones del interesado.</w:t>
      </w:r>
    </w:p>
    <w:p w14:paraId="15D4D260" w14:textId="77777777" w:rsidR="00261355" w:rsidRPr="00381632" w:rsidRDefault="00DD29B0">
      <w:pPr>
        <w:numPr>
          <w:ilvl w:val="0"/>
          <w:numId w:val="6"/>
        </w:numPr>
        <w:spacing w:before="240" w:after="240" w:line="360" w:lineRule="auto"/>
        <w:ind w:left="567" w:right="1183"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Conducta de la Autoridad:</w:t>
      </w:r>
      <w:r w:rsidRPr="0038163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0977A0E" w14:textId="77777777" w:rsidR="00261355" w:rsidRPr="00381632" w:rsidRDefault="00DD29B0">
      <w:pPr>
        <w:numPr>
          <w:ilvl w:val="0"/>
          <w:numId w:val="6"/>
        </w:numPr>
        <w:spacing w:before="240" w:after="240" w:line="360" w:lineRule="auto"/>
        <w:ind w:left="567" w:right="1183"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La afectación generada en la situación jurídica de la persona involucrada en el proceso:</w:t>
      </w:r>
      <w:r w:rsidRPr="00381632">
        <w:rPr>
          <w:rFonts w:ascii="Palatino Linotype" w:eastAsia="Palatino Linotype" w:hAnsi="Palatino Linotype" w:cs="Palatino Linotype"/>
          <w:sz w:val="22"/>
          <w:szCs w:val="22"/>
        </w:rPr>
        <w:t xml:space="preserve"> Violación a sus derechos humanos.</w:t>
      </w:r>
    </w:p>
    <w:p w14:paraId="6E322202"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4F860A"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8163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381632">
        <w:rPr>
          <w:rFonts w:ascii="Palatino Linotype" w:eastAsia="Palatino Linotype" w:hAnsi="Palatino Linotype" w:cs="Palatino Linotype"/>
          <w:sz w:val="22"/>
          <w:szCs w:val="22"/>
        </w:rPr>
        <w:t>, visible en la Gaceta del Seminario Judicial de la Federación con el registro digital 205635.</w:t>
      </w:r>
    </w:p>
    <w:p w14:paraId="49D5E2E8"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w:t>
      </w:r>
      <w:r w:rsidRPr="00381632">
        <w:rPr>
          <w:rFonts w:ascii="Palatino Linotype" w:eastAsia="Palatino Linotype" w:hAnsi="Palatino Linotype" w:cs="Palatino Linotype"/>
          <w:sz w:val="22"/>
          <w:szCs w:val="22"/>
        </w:rPr>
        <w:lastRenderedPageBreak/>
        <w:t>recursos dentro de los términos legales previamente establecidos por la Ley, por tratarse de causas de fuerza mayor.</w:t>
      </w:r>
    </w:p>
    <w:p w14:paraId="2D6EBDBE"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C71E53D"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w:t>
      </w:r>
      <w:r w:rsidRPr="00381632">
        <w:rPr>
          <w:rFonts w:ascii="Palatino Linotype" w:eastAsia="Palatino Linotype" w:hAnsi="Palatino Linotype" w:cs="Palatino Linotype"/>
          <w:i/>
          <w:sz w:val="22"/>
          <w:szCs w:val="22"/>
        </w:rPr>
        <w:t>“PLAZO RAZONABLE PARA RESOLVER. DIMENSIÓN Y EFECTOS DE ESTE CONCEPTO CUANDO SE ADUCE EXCESIVA CARGA DE TRABAJO.”</w:t>
      </w:r>
      <w:r w:rsidRPr="00381632">
        <w:rPr>
          <w:rFonts w:ascii="Palatino Linotype" w:eastAsia="Palatino Linotype" w:hAnsi="Palatino Linotype" w:cs="Palatino Linotype"/>
          <w:sz w:val="22"/>
          <w:szCs w:val="22"/>
        </w:rPr>
        <w:t xml:space="preserve"> consultable en el Seminario Judicial de la Federación y su gaceta, con el registro digital 2002351.</w:t>
      </w:r>
    </w:p>
    <w:p w14:paraId="08740604"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381632">
        <w:rPr>
          <w:rFonts w:ascii="Palatino Linotype" w:eastAsia="Palatino Linotype" w:hAnsi="Palatino Linotype" w:cs="Palatino Linotype"/>
          <w:sz w:val="22"/>
          <w:szCs w:val="22"/>
        </w:rPr>
        <w:t>, visible en el Seminario Judicial de la Federación y su gaceta, con el registro digital 2002350.</w:t>
      </w:r>
    </w:p>
    <w:p w14:paraId="66178B69"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04C31AF"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 xml:space="preserve">11. Cierres de instrucción. </w:t>
      </w:r>
      <w:r w:rsidRPr="00381632">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el </w:t>
      </w:r>
      <w:r w:rsidRPr="00381632">
        <w:rPr>
          <w:rFonts w:ascii="Palatino Linotype" w:eastAsia="Palatino Linotype" w:hAnsi="Palatino Linotype" w:cs="Palatino Linotype"/>
          <w:b/>
          <w:sz w:val="22"/>
          <w:szCs w:val="22"/>
        </w:rPr>
        <w:t>cuatro de septiembre de</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dos mil veinticuatro</w:t>
      </w:r>
      <w:r w:rsidRPr="00381632">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761AC7AF"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lastRenderedPageBreak/>
        <w:t xml:space="preserve">En razón de que fueron debidamente sustanciados los expedientes electrónicos y no existen diligencias pendientes de desahogo, se emite la Resolución que conforme a Derecho proceda, de acuerdo con los siguientes: </w:t>
      </w:r>
    </w:p>
    <w:p w14:paraId="7C6B7EDB" w14:textId="77777777" w:rsidR="00261355" w:rsidRPr="00381632" w:rsidRDefault="00DD29B0">
      <w:pPr>
        <w:widowControl w:val="0"/>
        <w:spacing w:before="240" w:after="240" w:line="360" w:lineRule="auto"/>
        <w:jc w:val="center"/>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II. C O N S I D E R A N D O</w:t>
      </w:r>
    </w:p>
    <w:p w14:paraId="42EE822F"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Primero. Competencia.</w:t>
      </w:r>
      <w:r w:rsidRPr="0038163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w:t>
      </w:r>
      <w:r w:rsidRPr="00381632">
        <w:rPr>
          <w:rFonts w:ascii="Palatino Linotype" w:eastAsia="Palatino Linotype" w:hAnsi="Palatino Linotype" w:cs="Palatino Linotype"/>
          <w:b/>
          <w:sz w:val="22"/>
          <w:szCs w:val="22"/>
        </w:rPr>
        <w:t>la parte Recurrente</w:t>
      </w:r>
      <w:r w:rsidRPr="00381632">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53050AD5"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bookmarkStart w:id="1" w:name="_heading=h.30j0zll" w:colFirst="0" w:colLast="0"/>
      <w:bookmarkEnd w:id="1"/>
      <w:r w:rsidRPr="00381632">
        <w:rPr>
          <w:rFonts w:ascii="Palatino Linotype" w:eastAsia="Palatino Linotype" w:hAnsi="Palatino Linotype" w:cs="Palatino Linotype"/>
          <w:b/>
          <w:sz w:val="22"/>
          <w:szCs w:val="22"/>
        </w:rPr>
        <w:t>Segundo. Oportunidad y Procedibilidad de los Recursos de Revisión</w:t>
      </w:r>
      <w:r w:rsidRPr="00381632">
        <w:rPr>
          <w:rFonts w:ascii="Palatino Linotype" w:eastAsia="Palatino Linotype" w:hAnsi="Palatino Linotype" w:cs="Palatino Linotype"/>
          <w:sz w:val="22"/>
          <w:szCs w:val="22"/>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37D6B58"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respondió a las solicitudes </w:t>
      </w:r>
      <w:r w:rsidRPr="00381632">
        <w:rPr>
          <w:rFonts w:ascii="Palatino Linotype" w:eastAsia="Palatino Linotype" w:hAnsi="Palatino Linotype" w:cs="Palatino Linotype"/>
          <w:sz w:val="22"/>
          <w:szCs w:val="22"/>
        </w:rPr>
        <w:lastRenderedPageBreak/>
        <w:t xml:space="preserve">de información que aperturaron los recursos de revisión el día </w:t>
      </w:r>
      <w:r w:rsidRPr="00381632">
        <w:rPr>
          <w:rFonts w:ascii="Palatino Linotype" w:eastAsia="Palatino Linotype" w:hAnsi="Palatino Linotype" w:cs="Palatino Linotype"/>
          <w:b/>
          <w:sz w:val="22"/>
          <w:szCs w:val="22"/>
        </w:rPr>
        <w:t>doce de abril de dos mil veinticuatro</w:t>
      </w:r>
      <w:r w:rsidRPr="00381632">
        <w:rPr>
          <w:rFonts w:ascii="Palatino Linotype" w:eastAsia="Palatino Linotype" w:hAnsi="Palatino Linotype" w:cs="Palatino Linotype"/>
          <w:sz w:val="22"/>
          <w:szCs w:val="22"/>
        </w:rPr>
        <w:t xml:space="preserve">, por su parte, los recursos de revisión se interpusieron el </w:t>
      </w:r>
      <w:r w:rsidRPr="00381632">
        <w:rPr>
          <w:rFonts w:ascii="Palatino Linotype" w:eastAsia="Palatino Linotype" w:hAnsi="Palatino Linotype" w:cs="Palatino Linotype"/>
          <w:b/>
          <w:sz w:val="22"/>
          <w:szCs w:val="22"/>
        </w:rPr>
        <w:t>quince de abril de dos mil veinticuatro</w:t>
      </w:r>
      <w:r w:rsidRPr="00381632">
        <w:rPr>
          <w:rFonts w:ascii="Palatino Linotype" w:eastAsia="Palatino Linotype" w:hAnsi="Palatino Linotype" w:cs="Palatino Linotype"/>
          <w:sz w:val="22"/>
          <w:szCs w:val="22"/>
        </w:rPr>
        <w:t xml:space="preserve">, siendo este el </w:t>
      </w:r>
      <w:r w:rsidRPr="00381632">
        <w:rPr>
          <w:rFonts w:ascii="Palatino Linotype" w:eastAsia="Palatino Linotype" w:hAnsi="Palatino Linotype" w:cs="Palatino Linotype"/>
          <w:b/>
          <w:sz w:val="22"/>
          <w:szCs w:val="22"/>
        </w:rPr>
        <w:t>primer día hábil</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después de conocerse las respuestas.</w:t>
      </w:r>
    </w:p>
    <w:p w14:paraId="7D8BB9E6"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14:paraId="7467AFD4" w14:textId="77777777" w:rsidR="00261355" w:rsidRPr="00381632" w:rsidRDefault="00DD29B0">
      <w:pPr>
        <w:spacing w:before="240" w:after="240"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Al mismo tiempo, por cuanto hace a la procedibilidad de los recursos de revisión, es de suma importancia señalar que l</w:t>
      </w:r>
      <w:r w:rsidRPr="00381632">
        <w:rPr>
          <w:rFonts w:ascii="Palatino Linotype" w:eastAsia="Palatino Linotype" w:hAnsi="Palatino Linotype" w:cs="Palatino Linotype"/>
          <w:b/>
          <w:sz w:val="22"/>
          <w:szCs w:val="22"/>
        </w:rPr>
        <w:t>a parte</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Recurrente</w:t>
      </w:r>
      <w:r w:rsidRPr="00381632">
        <w:rPr>
          <w:rFonts w:ascii="Palatino Linotype" w:eastAsia="Palatino Linotype" w:hAnsi="Palatino Linotype" w:cs="Palatino Linotype"/>
          <w:sz w:val="22"/>
          <w:szCs w:val="22"/>
        </w:rPr>
        <w:t xml:space="preserve"> fue omisa en identificarse con un seudónimo o nombre,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8D13AD9" w14:textId="77777777" w:rsidR="00261355" w:rsidRPr="00381632" w:rsidRDefault="00DD29B0">
      <w:pPr>
        <w:spacing w:after="200" w:line="276" w:lineRule="auto"/>
        <w:ind w:left="567" w:right="474"/>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Las solicitudes anónimas</w:t>
      </w:r>
      <w:r w:rsidRPr="00381632">
        <w:rPr>
          <w:rFonts w:ascii="Palatino Linotype" w:eastAsia="Palatino Linotype" w:hAnsi="Palatino Linotype" w:cs="Palatino Linotype"/>
          <w:i/>
          <w:sz w:val="22"/>
          <w:szCs w:val="22"/>
        </w:rPr>
        <w:t xml:space="preserve">, con nombre incompleto o seudónimo </w:t>
      </w:r>
      <w:r w:rsidRPr="00381632">
        <w:rPr>
          <w:rFonts w:ascii="Palatino Linotype" w:eastAsia="Palatino Linotype" w:hAnsi="Palatino Linotype" w:cs="Palatino Linotype"/>
          <w:b/>
          <w:i/>
          <w:sz w:val="22"/>
          <w:szCs w:val="22"/>
        </w:rPr>
        <w:t>serán procedentes para su trámite por parte del sujeto obligado ante quien se presente</w:t>
      </w:r>
      <w:r w:rsidRPr="00381632">
        <w:rPr>
          <w:rFonts w:ascii="Palatino Linotype" w:eastAsia="Palatino Linotype" w:hAnsi="Palatino Linotype" w:cs="Palatino Linotype"/>
          <w:i/>
          <w:sz w:val="22"/>
          <w:szCs w:val="22"/>
        </w:rPr>
        <w:t>. No podrá requerirse información adicional con motivo del nombre proporcionado por el solicitante."</w:t>
      </w:r>
    </w:p>
    <w:p w14:paraId="1DCB60CA"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E4CE393"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lastRenderedPageBreak/>
        <w:t>Finalmente, se advierte que resulta procedente la interposición de los recursos, según lo manifestado por la parte recurrente en sus motivos de inconformidad, de acuerdo al artículo 179, fracción I del ordenamiento legal citado, que a la letra dice: </w:t>
      </w:r>
    </w:p>
    <w:p w14:paraId="06C34F1B" w14:textId="77777777" w:rsidR="00261355" w:rsidRPr="00381632" w:rsidRDefault="00DD29B0">
      <w:pPr>
        <w:tabs>
          <w:tab w:val="left" w:pos="7088"/>
        </w:tabs>
        <w:spacing w:before="240" w:after="240"/>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Artículo 179.</w:t>
      </w:r>
      <w:r w:rsidRPr="0038163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DBE63FA" w14:textId="77777777" w:rsidR="00261355" w:rsidRPr="00381632" w:rsidRDefault="00DD29B0">
      <w:pPr>
        <w:tabs>
          <w:tab w:val="left" w:pos="7088"/>
        </w:tabs>
        <w:spacing w:before="240" w:after="240"/>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u w:val="single"/>
        </w:rPr>
        <w:t>I. La negativa a la información solicitada</w:t>
      </w:r>
      <w:r w:rsidRPr="00381632">
        <w:rPr>
          <w:rFonts w:ascii="Palatino Linotype" w:eastAsia="Palatino Linotype" w:hAnsi="Palatino Linotype" w:cs="Palatino Linotype"/>
          <w:b/>
          <w:i/>
          <w:sz w:val="22"/>
          <w:szCs w:val="22"/>
        </w:rPr>
        <w:t xml:space="preserve">;” </w:t>
      </w:r>
      <w:r w:rsidRPr="00381632">
        <w:rPr>
          <w:rFonts w:ascii="Palatino Linotype" w:eastAsia="Palatino Linotype" w:hAnsi="Palatino Linotype" w:cs="Palatino Linotype"/>
          <w:i/>
          <w:sz w:val="22"/>
          <w:szCs w:val="22"/>
        </w:rPr>
        <w:t>(Énfasis añadido)</w:t>
      </w:r>
    </w:p>
    <w:p w14:paraId="5C0E24E4"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 xml:space="preserve">Tercero. Materia de la revisión. </w:t>
      </w:r>
      <w:r w:rsidRPr="00381632">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381632">
        <w:rPr>
          <w:rFonts w:ascii="Palatino Linotype" w:eastAsia="Palatino Linotype" w:hAnsi="Palatino Linotype" w:cs="Palatino Linotype"/>
          <w:b/>
          <w:sz w:val="22"/>
          <w:szCs w:val="22"/>
        </w:rPr>
        <w:t xml:space="preserve">verificar si las respuestas e informes justificados otorgados por el Sujeto Obligado son adecuados y suficientes para satisfacer el derecho de acceso a la información pública </w:t>
      </w:r>
      <w:r w:rsidRPr="00381632">
        <w:rPr>
          <w:rFonts w:ascii="Palatino Linotype" w:eastAsia="Palatino Linotype" w:hAnsi="Palatino Linotype" w:cs="Palatino Linotype"/>
          <w:sz w:val="22"/>
          <w:szCs w:val="22"/>
        </w:rPr>
        <w:t xml:space="preserve">de </w:t>
      </w:r>
      <w:r w:rsidRPr="00381632">
        <w:rPr>
          <w:rFonts w:ascii="Palatino Linotype" w:eastAsia="Palatino Linotype" w:hAnsi="Palatino Linotype" w:cs="Palatino Linotype"/>
          <w:b/>
          <w:sz w:val="22"/>
          <w:szCs w:val="22"/>
        </w:rPr>
        <w:t>la parte</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Recurrente</w:t>
      </w:r>
      <w:r w:rsidRPr="00381632">
        <w:rPr>
          <w:rFonts w:ascii="Palatino Linotype" w:eastAsia="Palatino Linotype" w:hAnsi="Palatino Linotype" w:cs="Palatino Linotype"/>
          <w:sz w:val="22"/>
          <w:szCs w:val="22"/>
        </w:rPr>
        <w:t xml:space="preserve">, o en su defecto, en caso de ser procedente, ordenar la entrega de información.  </w:t>
      </w:r>
    </w:p>
    <w:p w14:paraId="25AA2C13"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 xml:space="preserve">Cuarto. Estudio del asunto. </w:t>
      </w:r>
      <w:r w:rsidRPr="00381632">
        <w:rPr>
          <w:rFonts w:ascii="Palatino Linotype" w:eastAsia="Palatino Linotype" w:hAnsi="Palatino Linotype" w:cs="Palatino Linotype"/>
          <w:sz w:val="22"/>
          <w:szCs w:val="22"/>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C69A84D" w14:textId="77777777" w:rsidR="00261355" w:rsidRPr="00381632" w:rsidRDefault="00DD29B0">
      <w:pPr>
        <w:tabs>
          <w:tab w:val="left" w:pos="709"/>
        </w:tabs>
        <w:spacing w:before="240" w:after="240"/>
        <w:ind w:left="851" w:right="85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8163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C6A4BD1" w14:textId="77777777" w:rsidR="00261355" w:rsidRPr="00381632" w:rsidRDefault="00DD29B0">
      <w:pPr>
        <w:tabs>
          <w:tab w:val="left" w:pos="709"/>
        </w:tabs>
        <w:spacing w:before="240" w:after="240"/>
        <w:ind w:left="851" w:right="850"/>
        <w:jc w:val="both"/>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24EB7375" w14:textId="77777777" w:rsidR="00261355" w:rsidRPr="00381632" w:rsidRDefault="00DD29B0">
      <w:pPr>
        <w:tabs>
          <w:tab w:val="left" w:pos="709"/>
        </w:tabs>
        <w:spacing w:before="240" w:after="240"/>
        <w:ind w:left="851" w:right="85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8163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7B923DF" w14:textId="77777777" w:rsidR="00261355" w:rsidRPr="00381632" w:rsidRDefault="00DD29B0">
      <w:pPr>
        <w:tabs>
          <w:tab w:val="left" w:pos="709"/>
        </w:tabs>
        <w:spacing w:before="240" w:after="240"/>
        <w:ind w:left="851" w:right="85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w:t>
      </w:r>
    </w:p>
    <w:p w14:paraId="14A21016" w14:textId="77777777" w:rsidR="00261355" w:rsidRPr="00381632" w:rsidRDefault="00DD29B0">
      <w:pPr>
        <w:spacing w:before="240" w:after="240"/>
        <w:ind w:left="851" w:right="90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“Artículo 6o.</w:t>
      </w:r>
    </w:p>
    <w:p w14:paraId="284FC907" w14:textId="77777777" w:rsidR="00261355" w:rsidRPr="00381632" w:rsidRDefault="00DD29B0">
      <w:pPr>
        <w:spacing w:before="240" w:after="240"/>
        <w:ind w:left="851" w:right="90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w:t>
      </w:r>
    </w:p>
    <w:p w14:paraId="17DFCB64"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 xml:space="preserve">A. Para el ejercicio del derecho de acceso a la información, la Federación y </w:t>
      </w:r>
      <w:r w:rsidRPr="00381632">
        <w:rPr>
          <w:rFonts w:ascii="Palatino Linotype" w:eastAsia="Palatino Linotype" w:hAnsi="Palatino Linotype" w:cs="Palatino Linotype"/>
          <w:b/>
          <w:i/>
          <w:sz w:val="22"/>
          <w:szCs w:val="22"/>
          <w:u w:val="single"/>
        </w:rPr>
        <w:t>las entidades federativas</w:t>
      </w:r>
      <w:r w:rsidRPr="00381632">
        <w:rPr>
          <w:rFonts w:ascii="Palatino Linotype" w:eastAsia="Palatino Linotype" w:hAnsi="Palatino Linotype" w:cs="Palatino Linotype"/>
          <w:b/>
          <w:i/>
          <w:sz w:val="22"/>
          <w:szCs w:val="22"/>
        </w:rPr>
        <w:t>,</w:t>
      </w:r>
      <w:r w:rsidRPr="00381632">
        <w:rPr>
          <w:rFonts w:ascii="Palatino Linotype" w:eastAsia="Palatino Linotype" w:hAnsi="Palatino Linotype" w:cs="Palatino Linotype"/>
          <w:i/>
          <w:sz w:val="22"/>
          <w:szCs w:val="22"/>
        </w:rPr>
        <w:t xml:space="preserve"> en el ámbito de sus respectivas competencias, se regirán por los siguientes principios y bases:</w:t>
      </w:r>
    </w:p>
    <w:p w14:paraId="7F8A777E"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 xml:space="preserve">I. </w:t>
      </w:r>
      <w:r w:rsidRPr="0038163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81632">
        <w:rPr>
          <w:rFonts w:ascii="Palatino Linotype" w:eastAsia="Palatino Linotype" w:hAnsi="Palatino Linotype" w:cs="Palatino Linotype"/>
          <w:i/>
          <w:sz w:val="22"/>
          <w:szCs w:val="22"/>
        </w:rPr>
        <w:t xml:space="preserve"> Ejecutivo, Legislativo </w:t>
      </w:r>
      <w:r w:rsidRPr="00381632">
        <w:rPr>
          <w:rFonts w:ascii="Palatino Linotype" w:eastAsia="Palatino Linotype" w:hAnsi="Palatino Linotype" w:cs="Palatino Linotype"/>
          <w:b/>
          <w:i/>
          <w:sz w:val="22"/>
          <w:szCs w:val="22"/>
          <w:u w:val="single"/>
        </w:rPr>
        <w:t>y Judicial</w:t>
      </w:r>
      <w:r w:rsidRPr="0038163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81632">
        <w:rPr>
          <w:rFonts w:ascii="Palatino Linotype" w:eastAsia="Palatino Linotype" w:hAnsi="Palatino Linotype" w:cs="Palatino Linotype"/>
          <w:b/>
          <w:i/>
          <w:sz w:val="22"/>
          <w:szCs w:val="22"/>
        </w:rPr>
        <w:t>es pública y sólo podrá ser reservada temporalmente por razones de interés público y seguridad nacional,</w:t>
      </w:r>
      <w:r w:rsidRPr="0038163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171781" w14:textId="77777777" w:rsidR="00261355" w:rsidRPr="00381632" w:rsidRDefault="00DD29B0">
      <w:pPr>
        <w:spacing w:before="240" w:after="240"/>
        <w:ind w:left="851" w:right="851"/>
        <w:jc w:val="both"/>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i/>
          <w:sz w:val="22"/>
          <w:szCs w:val="22"/>
        </w:rPr>
        <w:t> </w:t>
      </w:r>
      <w:r w:rsidRPr="0038163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6ED9E15"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lastRenderedPageBreak/>
        <w:t> </w:t>
      </w:r>
      <w:r w:rsidRPr="00381632">
        <w:rPr>
          <w:rFonts w:ascii="Palatino Linotype" w:eastAsia="Palatino Linotype" w:hAnsi="Palatino Linotype" w:cs="Palatino Linotype"/>
          <w:b/>
          <w:i/>
          <w:sz w:val="22"/>
          <w:szCs w:val="22"/>
        </w:rPr>
        <w:t xml:space="preserve">III. </w:t>
      </w:r>
      <w:r w:rsidRPr="0038163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81632">
        <w:rPr>
          <w:rFonts w:ascii="Palatino Linotype" w:eastAsia="Palatino Linotype" w:hAnsi="Palatino Linotype" w:cs="Palatino Linotype"/>
          <w:i/>
          <w:sz w:val="22"/>
          <w:szCs w:val="22"/>
        </w:rPr>
        <w:t xml:space="preserve"> a sus datos personales o a la rectificación de éstos.</w:t>
      </w:r>
    </w:p>
    <w:p w14:paraId="74D66CF5"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 </w:t>
      </w:r>
      <w:r w:rsidRPr="00381632">
        <w:rPr>
          <w:rFonts w:ascii="Palatino Linotype" w:eastAsia="Palatino Linotype" w:hAnsi="Palatino Linotype" w:cs="Palatino Linotype"/>
          <w:b/>
          <w:i/>
          <w:sz w:val="22"/>
          <w:szCs w:val="22"/>
        </w:rPr>
        <w:t xml:space="preserve">IV. </w:t>
      </w:r>
      <w:r w:rsidRPr="0038163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11EF155"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 xml:space="preserve">V. </w:t>
      </w:r>
      <w:r w:rsidRPr="0038163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B1D2D4E"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 xml:space="preserve">VI. </w:t>
      </w:r>
      <w:r w:rsidRPr="0038163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9600AF7"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 </w:t>
      </w:r>
      <w:r w:rsidRPr="00381632">
        <w:rPr>
          <w:rFonts w:ascii="Palatino Linotype" w:eastAsia="Palatino Linotype" w:hAnsi="Palatino Linotype" w:cs="Palatino Linotype"/>
          <w:b/>
          <w:i/>
          <w:sz w:val="22"/>
          <w:szCs w:val="22"/>
        </w:rPr>
        <w:t xml:space="preserve">VII. </w:t>
      </w:r>
      <w:r w:rsidRPr="0038163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491627F" w14:textId="77777777" w:rsidR="00261355" w:rsidRPr="00381632" w:rsidRDefault="00DD29B0">
      <w:pPr>
        <w:tabs>
          <w:tab w:val="left" w:pos="709"/>
        </w:tabs>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debe cumplir con dichos dispositivos legales.</w:t>
      </w:r>
    </w:p>
    <w:p w14:paraId="387C87E4"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w:t>
      </w:r>
      <w:r w:rsidRPr="00381632">
        <w:rPr>
          <w:rFonts w:ascii="Palatino Linotype" w:eastAsia="Palatino Linotype" w:hAnsi="Palatino Linotype" w:cs="Palatino Linotype"/>
          <w:sz w:val="22"/>
          <w:szCs w:val="22"/>
        </w:rPr>
        <w:lastRenderedPageBreak/>
        <w:t>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C7602EF" w14:textId="77777777" w:rsidR="00261355" w:rsidRPr="00381632" w:rsidRDefault="00DD29B0">
      <w:pPr>
        <w:spacing w:before="240" w:after="240"/>
        <w:ind w:left="709" w:right="76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Artículo 4</w:t>
      </w:r>
      <w:r w:rsidRPr="0038163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65B3AC6" w14:textId="77777777" w:rsidR="00261355" w:rsidRPr="00381632" w:rsidRDefault="00DD29B0">
      <w:pPr>
        <w:spacing w:before="240" w:after="240"/>
        <w:ind w:left="709" w:right="760"/>
        <w:jc w:val="both"/>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4EAC7BA" w14:textId="77777777" w:rsidR="00261355" w:rsidRPr="00381632" w:rsidRDefault="00DD29B0">
      <w:pPr>
        <w:spacing w:before="240" w:after="240"/>
        <w:ind w:left="709" w:right="76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DFCDF8B"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381632">
        <w:rPr>
          <w:rFonts w:ascii="Palatino Linotype" w:eastAsia="Palatino Linotype" w:hAnsi="Palatino Linotype" w:cs="Palatino Linotype"/>
          <w:b/>
          <w:sz w:val="22"/>
          <w:szCs w:val="22"/>
        </w:rPr>
        <w:t>artículo 12</w:t>
      </w:r>
      <w:r w:rsidRPr="00381632">
        <w:rPr>
          <w:rFonts w:ascii="Palatino Linotype" w:eastAsia="Palatino Linotype" w:hAnsi="Palatino Linotype" w:cs="Palatino Linotype"/>
          <w:sz w:val="22"/>
          <w:szCs w:val="22"/>
        </w:rPr>
        <w:t xml:space="preserve"> de la Ley de Transparencia y Acceso a la Información Pública del Estado de México y Municipios, el cual a la letra dice:</w:t>
      </w:r>
    </w:p>
    <w:p w14:paraId="4918C172"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lastRenderedPageBreak/>
        <w:t>“</w:t>
      </w:r>
      <w:r w:rsidRPr="00381632">
        <w:rPr>
          <w:rFonts w:ascii="Palatino Linotype" w:eastAsia="Palatino Linotype" w:hAnsi="Palatino Linotype" w:cs="Palatino Linotype"/>
          <w:b/>
          <w:i/>
          <w:sz w:val="22"/>
          <w:szCs w:val="22"/>
        </w:rPr>
        <w:t>Artículo 12</w:t>
      </w:r>
      <w:r w:rsidRPr="0038163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5C2061C"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F7135E5"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381632">
        <w:rPr>
          <w:rFonts w:ascii="Palatino Linotype" w:eastAsia="Palatino Linotype" w:hAnsi="Palatino Linotype" w:cs="Palatino Linotype"/>
          <w:i/>
          <w:sz w:val="22"/>
          <w:szCs w:val="22"/>
        </w:rPr>
        <w:t>ad hoc</w:t>
      </w:r>
      <w:r w:rsidRPr="00381632">
        <w:rPr>
          <w:rFonts w:ascii="Palatino Linotype" w:eastAsia="Palatino Linotype" w:hAnsi="Palatino Linotype" w:cs="Palatino Linotype"/>
          <w:sz w:val="22"/>
          <w:szCs w:val="22"/>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052D3DE1" w14:textId="77777777" w:rsidR="00261355" w:rsidRPr="00381632" w:rsidRDefault="00DD29B0">
      <w:pPr>
        <w:spacing w:before="240" w:after="240"/>
        <w:ind w:left="851" w:right="851"/>
        <w:jc w:val="both"/>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b/>
          <w:i/>
          <w:sz w:val="22"/>
          <w:szCs w:val="22"/>
        </w:rPr>
        <w:t>03/17</w:t>
      </w:r>
    </w:p>
    <w:p w14:paraId="33AB903E" w14:textId="77777777" w:rsidR="00261355" w:rsidRPr="00381632" w:rsidRDefault="00DD29B0">
      <w:pPr>
        <w:spacing w:before="240" w:after="240"/>
        <w:ind w:left="851" w:right="851"/>
        <w:jc w:val="both"/>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b/>
          <w:i/>
          <w:sz w:val="22"/>
          <w:szCs w:val="22"/>
        </w:rPr>
        <w:t>“NO EXISTE OBLIGACIÓN DE ELABORAR DOCUMENTOS AD HOC PARA ATENDER LAS SOLICITUDES DE ACCESO A LA INFORMACIÓN.</w:t>
      </w:r>
    </w:p>
    <w:p w14:paraId="57C97A81"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76D9ADA"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lastRenderedPageBreak/>
        <w:t xml:space="preserve">Por otra parte, conviene mencionar que la Ley de Transparencia vigente en el Estado de México refiere: </w:t>
      </w:r>
    </w:p>
    <w:p w14:paraId="72DA7DED"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“Artículo 18.</w:t>
      </w:r>
      <w:r w:rsidRPr="00381632">
        <w:rPr>
          <w:rFonts w:ascii="Palatino Linotype" w:eastAsia="Palatino Linotype" w:hAnsi="Palatino Linotype" w:cs="Palatino Linotype"/>
          <w:i/>
          <w:sz w:val="22"/>
          <w:szCs w:val="22"/>
        </w:rPr>
        <w:t xml:space="preserve"> </w:t>
      </w:r>
      <w:r w:rsidRPr="00381632">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381632">
        <w:rPr>
          <w:rFonts w:ascii="Palatino Linotype" w:eastAsia="Palatino Linotype" w:hAnsi="Palatino Linotype" w:cs="Palatino Linotype"/>
          <w:i/>
          <w:sz w:val="22"/>
          <w:szCs w:val="22"/>
        </w:rPr>
        <w:t xml:space="preserve"> y reutilización de la información que generen.</w:t>
      </w:r>
    </w:p>
    <w:p w14:paraId="431DDA0B"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 xml:space="preserve">Artículo 19. </w:t>
      </w:r>
      <w:r w:rsidRPr="00381632">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381632">
        <w:rPr>
          <w:rFonts w:ascii="Palatino Linotype" w:eastAsia="Palatino Linotype" w:hAnsi="Palatino Linotype" w:cs="Palatino Linotype"/>
          <w:i/>
          <w:sz w:val="22"/>
          <w:szCs w:val="22"/>
        </w:rPr>
        <w:t>.</w:t>
      </w:r>
    </w:p>
    <w:p w14:paraId="6B42B607"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94E292B" w14:textId="77777777" w:rsidR="00261355" w:rsidRPr="00381632" w:rsidRDefault="00DD29B0">
      <w:pPr>
        <w:spacing w:before="240" w:after="24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(Énfasis añadido)</w:t>
      </w:r>
    </w:p>
    <w:p w14:paraId="468E55ED"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D832FF3"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w:t>
      </w:r>
      <w:r w:rsidRPr="00381632">
        <w:rPr>
          <w:rFonts w:ascii="Palatino Linotype" w:eastAsia="Palatino Linotype" w:hAnsi="Palatino Linotype" w:cs="Palatino Linotype"/>
          <w:sz w:val="22"/>
          <w:szCs w:val="22"/>
        </w:rPr>
        <w:lastRenderedPageBreak/>
        <w:t xml:space="preserve">directrices, circulares, contratos, convenios, instructivos, notas, memorandos, estadísticas o bien, </w:t>
      </w:r>
      <w:r w:rsidRPr="00381632">
        <w:rPr>
          <w:rFonts w:ascii="Palatino Linotype" w:eastAsia="Palatino Linotype" w:hAnsi="Palatino Linotype" w:cs="Palatino Linotype"/>
          <w:b/>
          <w:sz w:val="22"/>
          <w:szCs w:val="22"/>
        </w:rPr>
        <w:t>cualquier otro registro que documente el ejercicio de las facultades, funciones, obligaciones y competencias de los Sujetos Obligados</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los que, podrán estar en cualquier medio</w:t>
      </w:r>
      <w:r w:rsidRPr="00381632">
        <w:rPr>
          <w:rFonts w:ascii="Palatino Linotype" w:eastAsia="Palatino Linotype" w:hAnsi="Palatino Linotype" w:cs="Palatino Linotype"/>
          <w:sz w:val="22"/>
          <w:szCs w:val="22"/>
        </w:rPr>
        <w:t xml:space="preserve">, sea escrito, impreso, sonoro, visual, </w:t>
      </w:r>
      <w:r w:rsidRPr="00381632">
        <w:rPr>
          <w:rFonts w:ascii="Palatino Linotype" w:eastAsia="Palatino Linotype" w:hAnsi="Palatino Linotype" w:cs="Palatino Linotype"/>
          <w:b/>
          <w:sz w:val="22"/>
          <w:szCs w:val="22"/>
        </w:rPr>
        <w:t>electrónico</w:t>
      </w:r>
      <w:r w:rsidRPr="00381632">
        <w:rPr>
          <w:rFonts w:ascii="Palatino Linotype" w:eastAsia="Palatino Linotype" w:hAnsi="Palatino Linotype" w:cs="Palatino Linotype"/>
          <w:sz w:val="22"/>
          <w:szCs w:val="22"/>
        </w:rPr>
        <w:t xml:space="preserve">, informático u holográfico, esto es, </w:t>
      </w:r>
      <w:r w:rsidRPr="00381632">
        <w:rPr>
          <w:rFonts w:ascii="Palatino Linotype" w:eastAsia="Palatino Linotype" w:hAnsi="Palatino Linotype" w:cs="Palatino Linotype"/>
          <w:b/>
          <w:sz w:val="22"/>
          <w:szCs w:val="22"/>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D368BA"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De ahí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81632">
        <w:rPr>
          <w:rFonts w:ascii="Palatino Linotype" w:eastAsia="Palatino Linotype" w:hAnsi="Palatino Linotype" w:cs="Palatino Linotype"/>
          <w:sz w:val="22"/>
          <w:szCs w:val="22"/>
          <w:vertAlign w:val="superscript"/>
        </w:rPr>
        <w:footnoteReference w:id="1"/>
      </w:r>
      <w:r w:rsidRPr="00381632">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81632">
        <w:rPr>
          <w:rFonts w:ascii="Palatino Linotype" w:eastAsia="Palatino Linotype" w:hAnsi="Palatino Linotype" w:cs="Palatino Linotype"/>
          <w:sz w:val="22"/>
          <w:szCs w:val="22"/>
          <w:vertAlign w:val="superscript"/>
        </w:rPr>
        <w:footnoteReference w:id="2"/>
      </w:r>
      <w:r w:rsidRPr="00381632">
        <w:rPr>
          <w:rFonts w:ascii="Palatino Linotype" w:eastAsia="Palatino Linotype" w:hAnsi="Palatino Linotype" w:cs="Palatino Linotype"/>
          <w:sz w:val="22"/>
          <w:szCs w:val="22"/>
        </w:rPr>
        <w:t>, como pudiera tratarse de aquella relacionada con las obligaciones de transparencia señaladas en los artículos 92 y 97, fracción I de la Ley de la Materia.</w:t>
      </w:r>
    </w:p>
    <w:p w14:paraId="25656D2E" w14:textId="77777777" w:rsidR="00261355" w:rsidRPr="00381632" w:rsidRDefault="00DD29B0">
      <w:pPr>
        <w:tabs>
          <w:tab w:val="left" w:pos="709"/>
        </w:tabs>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lastRenderedPageBreak/>
        <w:t xml:space="preserve">En este sentido, cabe reiterar que la persona solicitante requirió al </w:t>
      </w:r>
      <w:r w:rsidRPr="00381632">
        <w:rPr>
          <w:rFonts w:ascii="Palatino Linotype" w:eastAsia="Palatino Linotype" w:hAnsi="Palatino Linotype" w:cs="Palatino Linotype"/>
          <w:b/>
          <w:sz w:val="22"/>
          <w:szCs w:val="22"/>
        </w:rPr>
        <w:t xml:space="preserve">Sujeto Obligado, </w:t>
      </w:r>
      <w:r w:rsidRPr="00381632">
        <w:rPr>
          <w:rFonts w:ascii="Palatino Linotype" w:eastAsia="Palatino Linotype" w:hAnsi="Palatino Linotype" w:cs="Palatino Linotype"/>
          <w:sz w:val="22"/>
          <w:szCs w:val="22"/>
        </w:rPr>
        <w:t xml:space="preserve">lo siguiente: </w:t>
      </w:r>
    </w:p>
    <w:p w14:paraId="3F1A4DBC" w14:textId="77777777" w:rsidR="00261355" w:rsidRPr="00381632" w:rsidRDefault="00DD29B0">
      <w:pPr>
        <w:numPr>
          <w:ilvl w:val="0"/>
          <w:numId w:val="2"/>
        </w:numPr>
        <w:pBdr>
          <w:top w:val="nil"/>
          <w:left w:val="nil"/>
          <w:bottom w:val="nil"/>
          <w:right w:val="nil"/>
          <w:between w:val="nil"/>
        </w:pBdr>
        <w:tabs>
          <w:tab w:val="left" w:pos="426"/>
        </w:tabs>
        <w:spacing w:before="240" w:after="240" w:line="360" w:lineRule="auto"/>
        <w:ind w:left="567" w:right="900" w:hanging="141"/>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Las resoluciones a sanciones administrativas no graves, impuestas por el Órgano Interno de Control de Metepec en versión pública del 01 de enero del 2022 al 05 de marzo de 2024.</w:t>
      </w:r>
    </w:p>
    <w:p w14:paraId="6F24FED5"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En sus respuestas, el </w:t>
      </w:r>
      <w:r w:rsidRPr="00381632">
        <w:rPr>
          <w:rFonts w:ascii="Palatino Linotype" w:eastAsia="Palatino Linotype" w:hAnsi="Palatino Linotype" w:cs="Palatino Linotype"/>
          <w:b/>
          <w:sz w:val="22"/>
          <w:szCs w:val="22"/>
        </w:rPr>
        <w:t xml:space="preserve">Sujeto Obligado </w:t>
      </w:r>
      <w:r w:rsidRPr="00381632">
        <w:rPr>
          <w:rFonts w:ascii="Palatino Linotype" w:eastAsia="Palatino Linotype" w:hAnsi="Palatino Linotype" w:cs="Palatino Linotype"/>
          <w:sz w:val="22"/>
          <w:szCs w:val="22"/>
        </w:rPr>
        <w:t>por conducto del Contralor Interno Municipal, quien señala que la información solicitada no es de carácter público, por lo que se le informa al solicitante que si es parte de un procedimiento administrativo dentro de la Contraloría Municipal, el mismo se encuentra a su disposición como lo estipula el artículo 20 del Código de Procedimientos Administrativos del Estado de México, previa identificación, en un horario de las 09:00 a las 15:00 horas y de las 16:00 a las 18:00 horas de lunes a viernes en las oficinas del Órgano de Control Interno.</w:t>
      </w:r>
    </w:p>
    <w:p w14:paraId="795133E7"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Una vez conocidas las respuestas, </w:t>
      </w:r>
      <w:r w:rsidRPr="00381632">
        <w:rPr>
          <w:rFonts w:ascii="Palatino Linotype" w:eastAsia="Palatino Linotype" w:hAnsi="Palatino Linotype" w:cs="Palatino Linotype"/>
          <w:b/>
          <w:sz w:val="22"/>
          <w:szCs w:val="22"/>
        </w:rPr>
        <w:t>la parte Recurrente</w:t>
      </w:r>
      <w:r w:rsidRPr="00381632">
        <w:rPr>
          <w:rFonts w:ascii="Palatino Linotype" w:eastAsia="Palatino Linotype" w:hAnsi="Palatino Linotype" w:cs="Palatino Linotype"/>
          <w:sz w:val="22"/>
          <w:szCs w:val="22"/>
        </w:rPr>
        <w:t xml:space="preserve"> interpuso los recursos de revisión que nos ocupan, inconformándose medularmente porque a su consideración, el </w:t>
      </w:r>
      <w:r w:rsidRPr="00381632">
        <w:rPr>
          <w:rFonts w:ascii="Palatino Linotype" w:eastAsia="Palatino Linotype" w:hAnsi="Palatino Linotype" w:cs="Palatino Linotype"/>
          <w:b/>
          <w:sz w:val="22"/>
          <w:szCs w:val="22"/>
        </w:rPr>
        <w:t xml:space="preserve">Sujeto Obligado </w:t>
      </w:r>
      <w:r w:rsidRPr="00381632">
        <w:rPr>
          <w:rFonts w:ascii="Palatino Linotype" w:eastAsia="Palatino Linotype" w:hAnsi="Palatino Linotype" w:cs="Palatino Linotype"/>
          <w:sz w:val="22"/>
          <w:szCs w:val="22"/>
        </w:rPr>
        <w:t>le niega la información, a la cual le reviste el carácter de público</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por corresponder a actos de autoridad.</w:t>
      </w:r>
    </w:p>
    <w:p w14:paraId="3B410EF1"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Admitidos los presentes recursos de revisión, en términos del artículo 185 fracción II</w:t>
      </w:r>
      <w:r w:rsidRPr="00381632">
        <w:rPr>
          <w:rFonts w:ascii="Palatino Linotype" w:eastAsia="Palatino Linotype" w:hAnsi="Palatino Linotype" w:cs="Palatino Linotype"/>
          <w:sz w:val="22"/>
          <w:szCs w:val="22"/>
          <w:vertAlign w:val="superscript"/>
        </w:rPr>
        <w:footnoteReference w:id="3"/>
      </w:r>
      <w:r w:rsidRPr="00381632">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por conducto del Contralor Interno modifica los términos de su </w:t>
      </w:r>
      <w:r w:rsidRPr="00381632">
        <w:rPr>
          <w:rFonts w:ascii="Palatino Linotype" w:eastAsia="Palatino Linotype" w:hAnsi="Palatino Linotype" w:cs="Palatino Linotype"/>
          <w:sz w:val="22"/>
          <w:szCs w:val="22"/>
        </w:rPr>
        <w:lastRenderedPageBreak/>
        <w:t xml:space="preserve">respuesta y pretende realizar el cambio de modalidad de entrega de la información en virtud de que </w:t>
      </w:r>
      <w:r w:rsidRPr="00381632">
        <w:rPr>
          <w:rFonts w:ascii="Palatino Linotype" w:eastAsia="Palatino Linotype" w:hAnsi="Palatino Linotype" w:cs="Palatino Linotype"/>
          <w:b/>
          <w:sz w:val="22"/>
          <w:szCs w:val="22"/>
        </w:rPr>
        <w:t>las resoluciones por faltas administrativas no graves impuestas por la Contraloría Interna Municipal en el año 2022 suman un total de 60 resoluciones y una vez generado el archivo para la entrega de la información el peso de este es de 3,660 Megabytes</w:t>
      </w:r>
      <w:r w:rsidRPr="00381632">
        <w:rPr>
          <w:rFonts w:ascii="Palatino Linotype" w:eastAsia="Palatino Linotype" w:hAnsi="Palatino Linotype" w:cs="Palatino Linotype"/>
          <w:sz w:val="22"/>
          <w:szCs w:val="22"/>
        </w:rPr>
        <w:t xml:space="preserve">, mientras que </w:t>
      </w:r>
      <w:r w:rsidRPr="00381632">
        <w:rPr>
          <w:rFonts w:ascii="Palatino Linotype" w:eastAsia="Palatino Linotype" w:hAnsi="Palatino Linotype" w:cs="Palatino Linotype"/>
          <w:b/>
          <w:sz w:val="22"/>
          <w:szCs w:val="22"/>
        </w:rPr>
        <w:t>las resoluciones por faltas administrativas no graves impuestas por la Contraloría Interna Municipal en los años 2023 y 2024 suman un total de 167 resoluciones y una vez generado el archivo para la entrega de la información el peso de este es de 21,717 Megabytes</w:t>
      </w:r>
      <w:r w:rsidRPr="00381632">
        <w:rPr>
          <w:rFonts w:ascii="Palatino Linotype" w:eastAsia="Palatino Linotype" w:hAnsi="Palatino Linotype" w:cs="Palatino Linotype"/>
          <w:sz w:val="22"/>
          <w:szCs w:val="22"/>
        </w:rPr>
        <w:t>, cabe señalar que ofrece la información en otras modalidades: copias simples o certificadas, modalidad de entrega digital, modalidad de consulta directa y a través de correo certificado.</w:t>
      </w:r>
    </w:p>
    <w:p w14:paraId="49E70E4A"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Una vez expuestas las posturas de las partes, resulta importante señalar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procedió a turnar las solicitudes a la</w:t>
      </w:r>
      <w:r w:rsidRPr="00381632">
        <w:rPr>
          <w:rFonts w:ascii="Palatino Linotype" w:eastAsia="Palatino Linotype" w:hAnsi="Palatino Linotype" w:cs="Palatino Linotype"/>
          <w:b/>
          <w:sz w:val="22"/>
          <w:szCs w:val="22"/>
        </w:rPr>
        <w:t xml:space="preserve"> Contraloría Interna Municipal</w:t>
      </w:r>
      <w:r w:rsidRPr="00381632">
        <w:rPr>
          <w:rFonts w:ascii="Palatino Linotype" w:eastAsia="Palatino Linotype" w:hAnsi="Palatino Linotype" w:cs="Palatino Linotype"/>
          <w:sz w:val="22"/>
          <w:szCs w:val="22"/>
        </w:rPr>
        <w:t xml:space="preserve">, la cual de conformidad con el Código Reglamentario del Ayuntamiento de Metepec, cuenta con las siguientes atribuciones: </w:t>
      </w:r>
    </w:p>
    <w:p w14:paraId="401C0573"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“Artículo 3.70. Al titular de la Contraloría Interna Municipal le corresponderá el ejercicio de las siguientes atribuciones y facultades siguientes:</w:t>
      </w:r>
    </w:p>
    <w:p w14:paraId="0E09DB15"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w:t>
      </w:r>
    </w:p>
    <w:p w14:paraId="2B2660FD" w14:textId="77777777" w:rsidR="00261355" w:rsidRPr="00381632" w:rsidRDefault="00DD29B0">
      <w:pPr>
        <w:spacing w:before="240" w:after="240" w:line="276" w:lineRule="auto"/>
        <w:ind w:left="567" w:right="900"/>
        <w:jc w:val="both"/>
        <w:rPr>
          <w:rFonts w:ascii="Palatino Linotype" w:eastAsia="Palatino Linotype" w:hAnsi="Palatino Linotype" w:cs="Palatino Linotype"/>
          <w:b/>
          <w:i/>
          <w:sz w:val="22"/>
          <w:szCs w:val="22"/>
          <w:u w:val="single"/>
        </w:rPr>
      </w:pPr>
      <w:r w:rsidRPr="00381632">
        <w:rPr>
          <w:rFonts w:ascii="Palatino Linotype" w:eastAsia="Palatino Linotype" w:hAnsi="Palatino Linotype" w:cs="Palatino Linotype"/>
          <w:b/>
          <w:i/>
          <w:sz w:val="22"/>
          <w:szCs w:val="22"/>
          <w:u w:val="single"/>
        </w:rPr>
        <w:t xml:space="preserve">VII. Resolver en términos de la Ley de Responsabilidades, los procedimientos administrativos radicados que le competan, en contra de servidores públicos con motivo de las faltas administrativas que se le turnen una vez concluida la etapa de substanciación;” </w:t>
      </w:r>
      <w:r w:rsidRPr="00381632">
        <w:rPr>
          <w:rFonts w:ascii="Palatino Linotype" w:eastAsia="Palatino Linotype" w:hAnsi="Palatino Linotype" w:cs="Palatino Linotype"/>
          <w:i/>
          <w:sz w:val="22"/>
          <w:szCs w:val="22"/>
        </w:rPr>
        <w:t>(Énfasis añadido)</w:t>
      </w:r>
    </w:p>
    <w:p w14:paraId="7A6391C3" w14:textId="77777777" w:rsidR="00261355" w:rsidRPr="00381632" w:rsidRDefault="00DD29B0">
      <w:pPr>
        <w:spacing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De tal suerte que como se desprende de lo anteriormente citado, la Contraloría Interna Municipal cuenta con una serie de atribuciones, de la cual destaca resolver en términos de la Ley de Responsabilidades, los procedimientos administrativos radicados que le </w:t>
      </w:r>
      <w:r w:rsidRPr="00381632">
        <w:rPr>
          <w:rFonts w:ascii="Palatino Linotype" w:eastAsia="Palatino Linotype" w:hAnsi="Palatino Linotype" w:cs="Palatino Linotype"/>
          <w:sz w:val="22"/>
          <w:szCs w:val="22"/>
        </w:rPr>
        <w:lastRenderedPageBreak/>
        <w:t>competan, en contra de servidores públicos con motivo de las faltas administrativas que se le turnen una vez concluida la etapa de substanciación, 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58DBED75" w14:textId="77777777" w:rsidR="00261355" w:rsidRPr="00381632" w:rsidRDefault="00261355"/>
    <w:p w14:paraId="08319905" w14:textId="77777777" w:rsidR="00261355" w:rsidRPr="00381632" w:rsidRDefault="00DD29B0">
      <w:pPr>
        <w:pBdr>
          <w:top w:val="nil"/>
          <w:left w:val="nil"/>
          <w:bottom w:val="nil"/>
          <w:right w:val="nil"/>
          <w:between w:val="nil"/>
        </w:pBdr>
        <w:ind w:left="864" w:right="864"/>
        <w:jc w:val="both"/>
      </w:pPr>
      <w:r w:rsidRPr="00381632">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1C7FD6D" w14:textId="77777777" w:rsidR="00261355" w:rsidRPr="00381632" w:rsidRDefault="00261355"/>
    <w:p w14:paraId="205229AC" w14:textId="77777777" w:rsidR="00261355" w:rsidRPr="00381632" w:rsidRDefault="00DD29B0">
      <w:pPr>
        <w:pBdr>
          <w:top w:val="nil"/>
          <w:left w:val="nil"/>
          <w:bottom w:val="nil"/>
          <w:right w:val="nil"/>
          <w:between w:val="nil"/>
        </w:pBdr>
        <w:shd w:val="clear" w:color="auto" w:fill="FFFFFF"/>
        <w:spacing w:line="360" w:lineRule="auto"/>
        <w:jc w:val="both"/>
        <w:rPr>
          <w:sz w:val="22"/>
          <w:szCs w:val="22"/>
        </w:rPr>
      </w:pPr>
      <w:r w:rsidRPr="00381632">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0B1574B1" w14:textId="77777777" w:rsidR="00261355" w:rsidRPr="00381632" w:rsidRDefault="00261355"/>
    <w:p w14:paraId="512A6F89" w14:textId="77777777" w:rsidR="00261355" w:rsidRPr="00381632" w:rsidRDefault="00DD29B0">
      <w:pPr>
        <w:pBdr>
          <w:top w:val="nil"/>
          <w:left w:val="nil"/>
          <w:bottom w:val="nil"/>
          <w:right w:val="nil"/>
          <w:between w:val="nil"/>
        </w:pBdr>
        <w:ind w:left="864" w:right="864"/>
        <w:jc w:val="both"/>
      </w:pPr>
      <w:r w:rsidRPr="00381632">
        <w:rPr>
          <w:rFonts w:ascii="Palatino Linotype" w:eastAsia="Palatino Linotype" w:hAnsi="Palatino Linotype" w:cs="Palatino Linotype"/>
          <w:i/>
          <w:sz w:val="22"/>
          <w:szCs w:val="22"/>
        </w:rPr>
        <w:t xml:space="preserve">“Artículo 162. Las unidades de transparencia deberán garantizar que las solicitudes </w:t>
      </w:r>
      <w:r w:rsidRPr="00381632">
        <w:rPr>
          <w:rFonts w:ascii="Palatino Linotype" w:eastAsia="Palatino Linotype" w:hAnsi="Palatino Linotype" w:cs="Palatino Linotype"/>
          <w:b/>
          <w:i/>
          <w:sz w:val="22"/>
          <w:szCs w:val="22"/>
        </w:rPr>
        <w:t xml:space="preserve">se turnen a todas las Áreas competentes </w:t>
      </w:r>
      <w:r w:rsidRPr="00381632">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6405AE50"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Por consiguiente, se tiene que el procedimiento de búsqueda de la información se ejecutó conforme a derecho.</w:t>
      </w:r>
    </w:p>
    <w:p w14:paraId="48FD2135"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Precisado lo anterior, debemos tener en cuenta que en respuesta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invocó el contenido del artículo 53 de la Ley del Sistema Anticorrupción del Estado de México y Municipios, el cual establece lo siguiente:</w:t>
      </w:r>
    </w:p>
    <w:p w14:paraId="31EFC88B"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lastRenderedPageBreak/>
        <w:t xml:space="preserve">“Artículo 53.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 </w:t>
      </w:r>
    </w:p>
    <w:p w14:paraId="56ED519D" w14:textId="77777777" w:rsidR="00261355" w:rsidRPr="00381632" w:rsidRDefault="00DD29B0">
      <w:pPr>
        <w:spacing w:before="240" w:after="240" w:line="276" w:lineRule="auto"/>
        <w:ind w:left="567" w:right="900"/>
        <w:jc w:val="both"/>
        <w:rPr>
          <w:rFonts w:ascii="Palatino Linotype" w:eastAsia="Palatino Linotype" w:hAnsi="Palatino Linotype" w:cs="Palatino Linotype"/>
          <w:i/>
          <w:sz w:val="20"/>
          <w:szCs w:val="20"/>
        </w:rPr>
      </w:pPr>
      <w:r w:rsidRPr="00381632">
        <w:rPr>
          <w:rFonts w:ascii="Palatino Linotype" w:eastAsia="Palatino Linotype" w:hAnsi="Palatino Linotype" w:cs="Palatino Linotype"/>
          <w:b/>
          <w:i/>
          <w:sz w:val="22"/>
          <w:szCs w:val="22"/>
          <w:u w:val="single"/>
        </w:rPr>
        <w:t>Los registros de las sanciones relativas a responsabilidades administrativas no graves, quedarán registradas para efectos de eventual reincidencia, pero no serán públicas</w:t>
      </w:r>
      <w:r w:rsidRPr="00381632">
        <w:rPr>
          <w:rFonts w:ascii="Palatino Linotype" w:eastAsia="Palatino Linotype" w:hAnsi="Palatino Linotype" w:cs="Palatino Linotype"/>
          <w:i/>
          <w:sz w:val="22"/>
          <w:szCs w:val="22"/>
        </w:rPr>
        <w:t>.”</w:t>
      </w:r>
    </w:p>
    <w:p w14:paraId="6960DB0F" w14:textId="77777777" w:rsidR="00261355" w:rsidRPr="00381632" w:rsidRDefault="00DD29B0">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De manera que conforme a lo anteriormente citado, los registros de las sanciones de responsabilidades administrativas no graves no serán públicas, sin embargo, lo solicitado no son los registros de las sanciones sino las determinaciones emitidas por sanciones administrativas no graves, las cuales de conformidad con el numeral Trigésimo, párrafo tercero de los Lineamientos Generales en Materia de Clasificación y Desclasificación de la Información, así como para la Elaboración de Versiones Públicas, señala que no serán objeto de </w:t>
      </w:r>
      <w:r w:rsidRPr="00381632">
        <w:rPr>
          <w:rFonts w:ascii="Palatino Linotype" w:eastAsia="Palatino Linotype" w:hAnsi="Palatino Linotype" w:cs="Palatino Linotype"/>
          <w:b/>
          <w:sz w:val="22"/>
          <w:szCs w:val="22"/>
          <w:u w:val="single"/>
        </w:rPr>
        <w:t>reserva las resoluciones interlocutorias o definitivas que se dicten dentro de los procedimientos o con las que se concluya el mismo. En estos casos deberá otorgarse acceso a la resolución en versión pública, testando la información clasificada</w:t>
      </w:r>
      <w:r w:rsidRPr="00381632">
        <w:rPr>
          <w:rFonts w:ascii="Palatino Linotype" w:eastAsia="Palatino Linotype" w:hAnsi="Palatino Linotype" w:cs="Palatino Linotype"/>
          <w:sz w:val="22"/>
          <w:szCs w:val="22"/>
        </w:rPr>
        <w:t>.</w:t>
      </w:r>
    </w:p>
    <w:p w14:paraId="43C0C549" w14:textId="77777777" w:rsidR="00261355" w:rsidRPr="00381632" w:rsidRDefault="00DD29B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381632">
        <w:rPr>
          <w:rFonts w:ascii="Palatino Linotype" w:eastAsia="Palatino Linotype" w:hAnsi="Palatino Linotype" w:cs="Palatino Linotype"/>
          <w:sz w:val="22"/>
          <w:szCs w:val="22"/>
        </w:rPr>
        <w:t xml:space="preserve">Asimismo, la Ley de Transparencia Local contempla en su artículo 92, fracción XL de la Ley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relativa a </w:t>
      </w:r>
      <w:r w:rsidRPr="00381632">
        <w:rPr>
          <w:rFonts w:ascii="Palatino Linotype" w:eastAsia="Palatino Linotype" w:hAnsi="Palatino Linotype" w:cs="Palatino Linotype"/>
          <w:b/>
          <w:sz w:val="22"/>
          <w:szCs w:val="22"/>
          <w:u w:val="single"/>
        </w:rPr>
        <w:t xml:space="preserve">las resoluciones y laudos que se emitan en procesos o procedimientos seguidos en forma de juicio. </w:t>
      </w:r>
    </w:p>
    <w:p w14:paraId="555D5E81" w14:textId="77777777" w:rsidR="00261355" w:rsidRPr="00381632" w:rsidRDefault="00261355">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p>
    <w:p w14:paraId="79FF64A9" w14:textId="77777777" w:rsidR="00261355" w:rsidRPr="00381632" w:rsidRDefault="00DD29B0">
      <w:pPr>
        <w:pBdr>
          <w:top w:val="nil"/>
          <w:left w:val="nil"/>
          <w:bottom w:val="nil"/>
          <w:right w:val="nil"/>
          <w:between w:val="nil"/>
        </w:pBdr>
        <w:spacing w:line="360" w:lineRule="auto"/>
        <w:ind w:right="49"/>
        <w:jc w:val="both"/>
        <w:rPr>
          <w:rFonts w:ascii="Palatino Linotype" w:eastAsia="Palatino Linotype" w:hAnsi="Palatino Linotype" w:cs="Palatino Linotype"/>
          <w:sz w:val="20"/>
          <w:szCs w:val="20"/>
        </w:rPr>
      </w:pPr>
      <w:r w:rsidRPr="00381632">
        <w:rPr>
          <w:rFonts w:ascii="Palatino Linotype" w:eastAsia="Palatino Linotype" w:hAnsi="Palatino Linotype" w:cs="Palatino Linotype"/>
          <w:sz w:val="22"/>
          <w:szCs w:val="22"/>
        </w:rPr>
        <w:lastRenderedPageBreak/>
        <w:t xml:space="preserve">Por consiguiente, se hace del conocimiento del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que no resulta procedente restringir el acceso a la información relativa a determinaciones de procedimientos administrativos, pues se consideran una obligación de transparencia común y lo único que deberá tener en cuenta al momento de realizar la entrega de la información es lo siguiente:</w:t>
      </w:r>
    </w:p>
    <w:p w14:paraId="55C59384" w14:textId="77777777" w:rsidR="00261355" w:rsidRPr="00381632" w:rsidRDefault="0026135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7B90CFE"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b/>
          <w:sz w:val="22"/>
          <w:szCs w:val="22"/>
        </w:rPr>
        <w:t xml:space="preserve">Ahora bien, entrando en materia respecto del requerimiento de información, debemos tener en cuenta que lo solicitado consiste en las versiones públicas de las resoluciones derivadas de procedimientos concluidos por faltas administrativas no graves condenatorios que se encuentren firmes, </w:t>
      </w:r>
      <w:r w:rsidRPr="00381632">
        <w:rPr>
          <w:rFonts w:ascii="Palatino Linotype" w:eastAsia="Palatino Linotype" w:hAnsi="Palatino Linotype" w:cs="Palatino Linotype"/>
          <w:sz w:val="22"/>
          <w:szCs w:val="22"/>
        </w:rPr>
        <w:t>por lo que conviene señalar que en efecto,</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proporcionar el nombre, cargo o cualquier información que haga identificable al servidor público, podría afectar su honor</w:t>
      </w:r>
      <w:r w:rsidRPr="00381632">
        <w:rPr>
          <w:rFonts w:ascii="Palatino Linotype" w:eastAsia="Palatino Linotype" w:hAnsi="Palatino Linotype" w:cs="Palatino Linotype"/>
          <w:b/>
          <w:sz w:val="22"/>
          <w:szCs w:val="22"/>
        </w:rPr>
        <w:t>, buen nombre y su imagen del servidor público.</w:t>
      </w:r>
    </w:p>
    <w:p w14:paraId="31341E2D" w14:textId="77777777" w:rsidR="00261355" w:rsidRPr="00381632" w:rsidRDefault="00261355">
      <w:pPr>
        <w:spacing w:line="360" w:lineRule="auto"/>
        <w:rPr>
          <w:sz w:val="22"/>
          <w:szCs w:val="22"/>
        </w:rPr>
      </w:pPr>
    </w:p>
    <w:p w14:paraId="37767D23"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Al respecto, la Suprema Corte de Justicia de la Nación ha reconocido como derechos fundamentales de las personas, el derecho a la intimidad y a la propia imagen, en el siguiente criterio:</w:t>
      </w:r>
    </w:p>
    <w:p w14:paraId="57AB8AEB" w14:textId="77777777" w:rsidR="00261355" w:rsidRPr="00381632" w:rsidRDefault="00261355">
      <w:pPr>
        <w:spacing w:line="360" w:lineRule="auto"/>
        <w:rPr>
          <w:sz w:val="22"/>
          <w:szCs w:val="22"/>
        </w:rPr>
      </w:pPr>
    </w:p>
    <w:p w14:paraId="6AFD4617" w14:textId="77777777" w:rsidR="00261355" w:rsidRPr="00381632" w:rsidRDefault="00DD29B0">
      <w:pPr>
        <w:pBdr>
          <w:top w:val="nil"/>
          <w:left w:val="nil"/>
          <w:bottom w:val="nil"/>
          <w:right w:val="nil"/>
          <w:between w:val="nil"/>
        </w:pBdr>
        <w:spacing w:line="276" w:lineRule="auto"/>
        <w:ind w:left="567" w:right="539"/>
        <w:jc w:val="both"/>
        <w:rPr>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 xml:space="preserve">DERECHOS A LA INTIMIDAD, PROPIA IMAGEN, IDENTIDAD PERSONAL Y SEXUAL. CONSTITUYEN DERECHOS DE DEFENSA Y GARANTÍA ESENCIAL PARA LA CONDICIÓN HUMANA.  </w:t>
      </w:r>
      <w:r w:rsidRPr="00381632">
        <w:rPr>
          <w:rFonts w:ascii="Palatino Linotype" w:eastAsia="Palatino Linotype" w:hAnsi="Palatino Linotype" w:cs="Palatino Linotype"/>
          <w:i/>
          <w:sz w:val="22"/>
          <w:szCs w:val="22"/>
        </w:rPr>
        <w:t xml:space="preserve">Dentro de los derechos personalísimos se encuentran necesariamente comprendidos el </w:t>
      </w:r>
      <w:r w:rsidRPr="00381632">
        <w:rPr>
          <w:rFonts w:ascii="Palatino Linotype" w:eastAsia="Palatino Linotype" w:hAnsi="Palatino Linotype" w:cs="Palatino Linotype"/>
          <w:b/>
          <w:i/>
          <w:sz w:val="22"/>
          <w:szCs w:val="22"/>
        </w:rPr>
        <w:t>derecho a la intimidad y a la propia imagen</w:t>
      </w:r>
      <w:r w:rsidRPr="00381632">
        <w:rPr>
          <w:rFonts w:ascii="Palatino Linotype" w:eastAsia="Palatino Linotype" w:hAnsi="Palatino Linotype" w:cs="Palatino Linotype"/>
          <w:i/>
          <w:sz w:val="22"/>
          <w:szCs w:val="22"/>
        </w:rPr>
        <w:t xml:space="preserve">, así como a la </w:t>
      </w:r>
      <w:r w:rsidRPr="00381632">
        <w:rPr>
          <w:rFonts w:ascii="Palatino Linotype" w:eastAsia="Palatino Linotype" w:hAnsi="Palatino Linotype" w:cs="Palatino Linotype"/>
          <w:b/>
          <w:i/>
          <w:sz w:val="22"/>
          <w:szCs w:val="22"/>
        </w:rPr>
        <w:t>identidad personal</w:t>
      </w:r>
      <w:r w:rsidRPr="00381632">
        <w:rPr>
          <w:rFonts w:ascii="Palatino Linotype" w:eastAsia="Palatino Linotype" w:hAnsi="Palatino Linotype" w:cs="Palatino Linotype"/>
          <w:i/>
          <w:sz w:val="22"/>
          <w:szCs w:val="22"/>
        </w:rPr>
        <w:t xml:space="preserve"> y sexual; entendiéndose por el primero, </w:t>
      </w:r>
      <w:r w:rsidRPr="00381632">
        <w:rPr>
          <w:rFonts w:ascii="Palatino Linotype" w:eastAsia="Palatino Linotype" w:hAnsi="Palatino Linotype" w:cs="Palatino Linotype"/>
          <w:b/>
          <w:i/>
          <w:sz w:val="22"/>
          <w:szCs w:val="22"/>
        </w:rPr>
        <w:t>el derecho del individuo a no ser conocido por otros en ciertos aspectos de su vida</w:t>
      </w:r>
      <w:r w:rsidRPr="00381632">
        <w:rPr>
          <w:rFonts w:ascii="Palatino Linotype" w:eastAsia="Palatino Linotype" w:hAnsi="Palatino Linotype" w:cs="Palatino Linotype"/>
          <w:i/>
          <w:sz w:val="22"/>
          <w:szCs w:val="22"/>
        </w:rPr>
        <w:t xml:space="preserve"> y, </w:t>
      </w:r>
      <w:r w:rsidRPr="00381632">
        <w:rPr>
          <w:rFonts w:ascii="Palatino Linotype" w:eastAsia="Palatino Linotype" w:hAnsi="Palatino Linotype" w:cs="Palatino Linotype"/>
          <w:b/>
          <w:i/>
          <w:sz w:val="22"/>
          <w:szCs w:val="22"/>
        </w:rPr>
        <w:t>por ende, el poder de decisión sobre la publicidad o información de datos relativos a su persona</w:t>
      </w:r>
      <w:r w:rsidRPr="00381632">
        <w:rPr>
          <w:rFonts w:ascii="Palatino Linotype" w:eastAsia="Palatino Linotype" w:hAnsi="Palatino Linotype" w:cs="Palatino Linotype"/>
          <w:i/>
          <w:sz w:val="22"/>
          <w:szCs w:val="22"/>
        </w:rPr>
        <w:t>, familia, pensamientos o sentimientos;</w:t>
      </w:r>
      <w:r w:rsidRPr="00381632">
        <w:rPr>
          <w:rFonts w:ascii="Palatino Linotype" w:eastAsia="Palatino Linotype" w:hAnsi="Palatino Linotype" w:cs="Palatino Linotype"/>
          <w:b/>
          <w:i/>
          <w:sz w:val="22"/>
          <w:szCs w:val="22"/>
        </w:rPr>
        <w:t xml:space="preserve"> </w:t>
      </w:r>
      <w:r w:rsidRPr="00381632">
        <w:rPr>
          <w:rFonts w:ascii="Palatino Linotype" w:eastAsia="Palatino Linotype" w:hAnsi="Palatino Linotype" w:cs="Palatino Linotype"/>
          <w:i/>
          <w:sz w:val="22"/>
          <w:szCs w:val="22"/>
        </w:rPr>
        <w:t xml:space="preserve">a la </w:t>
      </w:r>
      <w:r w:rsidRPr="00381632">
        <w:rPr>
          <w:rFonts w:ascii="Palatino Linotype" w:eastAsia="Palatino Linotype" w:hAnsi="Palatino Linotype" w:cs="Palatino Linotype"/>
          <w:b/>
          <w:i/>
          <w:sz w:val="22"/>
          <w:szCs w:val="22"/>
        </w:rPr>
        <w:t>propia imagen, como aquel derecho de decidir, en forma libre, sobre la manera en que elige mostrarse frente a los demás</w:t>
      </w:r>
      <w:r w:rsidRPr="00381632">
        <w:rPr>
          <w:rFonts w:ascii="Palatino Linotype" w:eastAsia="Palatino Linotype" w:hAnsi="Palatino Linotype" w:cs="Palatino Linotype"/>
          <w:i/>
          <w:sz w:val="22"/>
          <w:szCs w:val="22"/>
        </w:rPr>
        <w:t xml:space="preserve">; a la identidad personal, entendida como el derecho de todo individuo a ser uno mismo, en la propia conciencia y en la opinión de los demás, es decir, es la forma en que se ve a sí mismo y se proyecta en </w:t>
      </w:r>
      <w:r w:rsidRPr="00381632">
        <w:rPr>
          <w:rFonts w:ascii="Palatino Linotype" w:eastAsia="Palatino Linotype" w:hAnsi="Palatino Linotype" w:cs="Palatino Linotype"/>
          <w:i/>
          <w:sz w:val="22"/>
          <w:szCs w:val="22"/>
        </w:rPr>
        <w:lastRenderedPageBreak/>
        <w:t xml:space="preserve">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381632">
        <w:rPr>
          <w:rFonts w:ascii="Palatino Linotype" w:eastAsia="Palatino Linotype" w:hAnsi="Palatino Linotype" w:cs="Palatino Linotype"/>
          <w:b/>
          <w:i/>
          <w:sz w:val="22"/>
          <w:szCs w:val="22"/>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381632">
        <w:rPr>
          <w:rFonts w:ascii="Palatino Linotype" w:eastAsia="Palatino Linotype" w:hAnsi="Palatino Linotype" w:cs="Palatino Linotype"/>
          <w:i/>
          <w:sz w:val="22"/>
          <w:szCs w:val="22"/>
        </w:rPr>
        <w:t>”</w:t>
      </w:r>
    </w:p>
    <w:p w14:paraId="1176CFB4" w14:textId="77777777" w:rsidR="00261355" w:rsidRPr="00381632" w:rsidRDefault="00261355">
      <w:pPr>
        <w:spacing w:line="360" w:lineRule="auto"/>
        <w:rPr>
          <w:sz w:val="22"/>
          <w:szCs w:val="22"/>
        </w:rPr>
      </w:pPr>
    </w:p>
    <w:p w14:paraId="160ADCDF"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 xml:space="preserve">En ese sentido, es derecho de todo individuo a no ser conocido por otros en ciertos aspectos de su vida y, por ende, el poder de decisión sobre la publicidad o información de datos relativos a su persona </w:t>
      </w:r>
      <w:r w:rsidRPr="00381632">
        <w:rPr>
          <w:rFonts w:ascii="Palatino Linotype" w:eastAsia="Palatino Linotype" w:hAnsi="Palatino Linotype" w:cs="Palatino Linotype"/>
          <w:b/>
          <w:sz w:val="22"/>
          <w:szCs w:val="22"/>
        </w:rPr>
        <w:t>(derecho a la intimidad)</w:t>
      </w:r>
    </w:p>
    <w:p w14:paraId="39C81E7E" w14:textId="77777777" w:rsidR="00261355" w:rsidRPr="00381632" w:rsidRDefault="00261355">
      <w:pPr>
        <w:spacing w:line="360" w:lineRule="auto"/>
        <w:rPr>
          <w:sz w:val="22"/>
          <w:szCs w:val="22"/>
        </w:rPr>
      </w:pPr>
    </w:p>
    <w:p w14:paraId="4D46AC8D" w14:textId="77777777" w:rsidR="00261355" w:rsidRPr="00381632" w:rsidRDefault="00DD2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Asimismo, el </w:t>
      </w:r>
      <w:r w:rsidRPr="00381632">
        <w:rPr>
          <w:rFonts w:ascii="Palatino Linotype" w:eastAsia="Palatino Linotype" w:hAnsi="Palatino Linotype" w:cs="Palatino Linotype"/>
          <w:b/>
          <w:sz w:val="22"/>
          <w:szCs w:val="22"/>
        </w:rPr>
        <w:t>derecho a la propia imagen</w:t>
      </w:r>
      <w:r w:rsidRPr="00381632">
        <w:rPr>
          <w:rFonts w:ascii="Palatino Linotype" w:eastAsia="Palatino Linotype" w:hAnsi="Palatino Linotype" w:cs="Palatino Linotype"/>
          <w:sz w:val="22"/>
          <w:szCs w:val="22"/>
        </w:rPr>
        <w:t xml:space="preserve"> es el derecho de decidir, de forma libre, sobre la manera en que elige mostrarse frente a los demás.</w:t>
      </w:r>
    </w:p>
    <w:p w14:paraId="2B5682D4" w14:textId="77777777" w:rsidR="00261355" w:rsidRPr="00381632" w:rsidRDefault="00261355">
      <w:pPr>
        <w:pBdr>
          <w:top w:val="nil"/>
          <w:left w:val="nil"/>
          <w:bottom w:val="nil"/>
          <w:right w:val="nil"/>
          <w:between w:val="nil"/>
        </w:pBdr>
        <w:spacing w:line="360" w:lineRule="auto"/>
        <w:jc w:val="both"/>
        <w:rPr>
          <w:sz w:val="22"/>
          <w:szCs w:val="22"/>
        </w:rPr>
      </w:pPr>
    </w:p>
    <w:p w14:paraId="30E5BE2E"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 xml:space="preserve">Por otro lado, en cuanto al </w:t>
      </w:r>
      <w:r w:rsidRPr="00381632">
        <w:rPr>
          <w:rFonts w:ascii="Palatino Linotype" w:eastAsia="Palatino Linotype" w:hAnsi="Palatino Linotype" w:cs="Palatino Linotype"/>
          <w:b/>
          <w:sz w:val="22"/>
          <w:szCs w:val="22"/>
        </w:rPr>
        <w:t>derecho al honor</w:t>
      </w:r>
      <w:r w:rsidRPr="00381632">
        <w:rPr>
          <w:rFonts w:ascii="Palatino Linotype" w:eastAsia="Palatino Linotype" w:hAnsi="Palatino Linotype" w:cs="Palatino Linotype"/>
          <w:sz w:val="22"/>
          <w:szCs w:val="22"/>
        </w:rPr>
        <w:t>,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78BDC944" w14:textId="77777777" w:rsidR="00261355" w:rsidRPr="00381632" w:rsidRDefault="00261355">
      <w:pPr>
        <w:spacing w:line="360" w:lineRule="auto"/>
        <w:rPr>
          <w:sz w:val="22"/>
          <w:szCs w:val="22"/>
        </w:rPr>
      </w:pPr>
    </w:p>
    <w:p w14:paraId="23DF3EC0" w14:textId="77777777" w:rsidR="00261355" w:rsidRPr="00381632" w:rsidRDefault="00DD29B0">
      <w:pPr>
        <w:pBdr>
          <w:top w:val="nil"/>
          <w:left w:val="nil"/>
          <w:bottom w:val="nil"/>
          <w:right w:val="nil"/>
          <w:between w:val="nil"/>
        </w:pBdr>
        <w:spacing w:line="276" w:lineRule="auto"/>
        <w:ind w:left="567" w:right="539"/>
        <w:jc w:val="both"/>
        <w:rPr>
          <w:sz w:val="22"/>
          <w:szCs w:val="22"/>
        </w:rPr>
      </w:pPr>
      <w:r w:rsidRPr="00381632">
        <w:rPr>
          <w:rFonts w:ascii="Palatino Linotype" w:eastAsia="Palatino Linotype" w:hAnsi="Palatino Linotype" w:cs="Palatino Linotype"/>
          <w:i/>
          <w:sz w:val="22"/>
          <w:szCs w:val="22"/>
        </w:rPr>
        <w:lastRenderedPageBreak/>
        <w:t>“</w:t>
      </w:r>
      <w:r w:rsidRPr="00381632">
        <w:rPr>
          <w:rFonts w:ascii="Palatino Linotype" w:eastAsia="Palatino Linotype" w:hAnsi="Palatino Linotype" w:cs="Palatino Linotype"/>
          <w:b/>
          <w:i/>
          <w:sz w:val="22"/>
          <w:szCs w:val="22"/>
        </w:rPr>
        <w:t xml:space="preserve">DERECHO FUNDAMENTAL AL HONOR. SU DIMENSIÓN SUBJETIVA Y OBJETIVA. </w:t>
      </w:r>
      <w:r w:rsidRPr="00381632">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381632">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381632">
        <w:rPr>
          <w:rFonts w:ascii="Palatino Linotype" w:eastAsia="Palatino Linotype" w:hAnsi="Palatino Linotype" w:cs="Palatino Linotype"/>
          <w:i/>
          <w:sz w:val="22"/>
          <w:szCs w:val="22"/>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467707C4" w14:textId="77777777" w:rsidR="00261355" w:rsidRPr="00381632" w:rsidRDefault="00261355">
      <w:pPr>
        <w:spacing w:line="360" w:lineRule="auto"/>
        <w:rPr>
          <w:sz w:val="22"/>
          <w:szCs w:val="22"/>
        </w:rPr>
      </w:pPr>
    </w:p>
    <w:p w14:paraId="5F71D6FF"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De la tesis transcrita se desprende que el honor es el concepto que la persona tiene de sí misma o que los demás se han formado de ella, en virtud de su proceder o de la expresión de su calidad ética y social. </w:t>
      </w:r>
    </w:p>
    <w:p w14:paraId="2D51EAF3" w14:textId="77777777" w:rsidR="00261355" w:rsidRPr="00381632" w:rsidRDefault="00261355">
      <w:pPr>
        <w:spacing w:line="360" w:lineRule="auto"/>
        <w:rPr>
          <w:sz w:val="22"/>
          <w:szCs w:val="22"/>
        </w:rPr>
      </w:pPr>
    </w:p>
    <w:p w14:paraId="3AAF3ED9"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w:t>
      </w:r>
      <w:r w:rsidRPr="00381632">
        <w:rPr>
          <w:rFonts w:ascii="Palatino Linotype" w:eastAsia="Palatino Linotype" w:hAnsi="Palatino Linotype" w:cs="Palatino Linotype"/>
          <w:sz w:val="22"/>
          <w:szCs w:val="22"/>
        </w:rPr>
        <w:lastRenderedPageBreak/>
        <w:t xml:space="preserve">propia dignidad. </w:t>
      </w:r>
      <w:r w:rsidRPr="00381632">
        <w:rPr>
          <w:rFonts w:ascii="Palatino Linotype" w:eastAsia="Palatino Linotype" w:hAnsi="Palatino Linotype" w:cs="Palatino Linotype"/>
          <w:b/>
          <w:sz w:val="22"/>
          <w:szCs w:val="22"/>
        </w:rPr>
        <w:t>En el aspecto objetivo, el honor es lesionado por todo aquello que afecta a la reputación que la persona merece.</w:t>
      </w:r>
    </w:p>
    <w:p w14:paraId="700AEB1D" w14:textId="77777777" w:rsidR="00261355" w:rsidRPr="00381632" w:rsidRDefault="00261355">
      <w:pPr>
        <w:spacing w:line="360" w:lineRule="auto"/>
        <w:rPr>
          <w:sz w:val="22"/>
          <w:szCs w:val="22"/>
        </w:rPr>
      </w:pPr>
    </w:p>
    <w:p w14:paraId="6DEAA108"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5D30A684" w14:textId="77777777" w:rsidR="00261355" w:rsidRPr="00381632" w:rsidRDefault="00261355">
      <w:pPr>
        <w:spacing w:line="360" w:lineRule="auto"/>
        <w:rPr>
          <w:sz w:val="22"/>
          <w:szCs w:val="22"/>
        </w:rPr>
      </w:pPr>
    </w:p>
    <w:p w14:paraId="2E710479" w14:textId="77777777" w:rsidR="00261355" w:rsidRPr="00381632" w:rsidRDefault="00DD29B0">
      <w:pPr>
        <w:pBdr>
          <w:top w:val="nil"/>
          <w:left w:val="nil"/>
          <w:bottom w:val="nil"/>
          <w:right w:val="nil"/>
          <w:between w:val="nil"/>
        </w:pBdr>
        <w:spacing w:line="276" w:lineRule="auto"/>
        <w:ind w:left="567" w:right="539"/>
        <w:jc w:val="both"/>
        <w:rPr>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381632">
        <w:rPr>
          <w:rFonts w:ascii="Palatino Linotype" w:eastAsia="Palatino Linotype" w:hAnsi="Palatino Linotype" w:cs="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w:t>
      </w:r>
      <w:r w:rsidRPr="00381632">
        <w:rPr>
          <w:rFonts w:ascii="Palatino Linotype" w:eastAsia="Palatino Linotype" w:hAnsi="Palatino Linotype" w:cs="Palatino Linotype"/>
          <w:i/>
          <w:sz w:val="22"/>
          <w:szCs w:val="22"/>
        </w:rPr>
        <w:lastRenderedPageBreak/>
        <w:t>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40C56CB9" w14:textId="77777777" w:rsidR="00261355" w:rsidRPr="00381632" w:rsidRDefault="00261355">
      <w:pPr>
        <w:spacing w:line="360" w:lineRule="auto"/>
        <w:rPr>
          <w:sz w:val="22"/>
          <w:szCs w:val="22"/>
        </w:rPr>
      </w:pPr>
    </w:p>
    <w:p w14:paraId="70E8DC15"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Asimismo, el artículo 12 de la Declaración Universal de los Derechos Humanos</w:t>
      </w:r>
      <w:r w:rsidRPr="00381632">
        <w:rPr>
          <w:rFonts w:ascii="Palatino Linotype" w:eastAsia="Palatino Linotype" w:hAnsi="Palatino Linotype" w:cs="Palatino Linotype"/>
          <w:i/>
          <w:sz w:val="22"/>
          <w:szCs w:val="22"/>
        </w:rPr>
        <w:t xml:space="preserve"> </w:t>
      </w:r>
      <w:r w:rsidRPr="00381632">
        <w:rPr>
          <w:rFonts w:ascii="Palatino Linotype" w:eastAsia="Palatino Linotype" w:hAnsi="Palatino Linotype" w:cs="Palatino Linotype"/>
          <w:sz w:val="22"/>
          <w:szCs w:val="22"/>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304FFA88" w14:textId="77777777" w:rsidR="00261355" w:rsidRPr="00381632" w:rsidRDefault="00261355">
      <w:pPr>
        <w:spacing w:line="360" w:lineRule="auto"/>
        <w:rPr>
          <w:sz w:val="22"/>
          <w:szCs w:val="22"/>
        </w:rPr>
      </w:pPr>
    </w:p>
    <w:p w14:paraId="074AF246"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613D2A1D" w14:textId="77777777" w:rsidR="00261355" w:rsidRPr="00381632" w:rsidRDefault="00261355">
      <w:pPr>
        <w:spacing w:line="360" w:lineRule="auto"/>
        <w:rPr>
          <w:sz w:val="22"/>
          <w:szCs w:val="22"/>
        </w:rPr>
      </w:pPr>
    </w:p>
    <w:p w14:paraId="02858DB4"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5899ECD5" w14:textId="77777777" w:rsidR="00261355" w:rsidRPr="00381632" w:rsidRDefault="00261355">
      <w:pPr>
        <w:spacing w:line="360" w:lineRule="auto"/>
        <w:rPr>
          <w:sz w:val="22"/>
          <w:szCs w:val="22"/>
        </w:rPr>
      </w:pPr>
    </w:p>
    <w:p w14:paraId="241F9B4C"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En ese contexto,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6B957D03" w14:textId="77777777" w:rsidR="00261355" w:rsidRPr="00381632" w:rsidRDefault="00261355">
      <w:pPr>
        <w:spacing w:line="360" w:lineRule="auto"/>
        <w:rPr>
          <w:sz w:val="22"/>
          <w:szCs w:val="22"/>
        </w:rPr>
      </w:pPr>
    </w:p>
    <w:p w14:paraId="60E9C417"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14:paraId="031484B2" w14:textId="77777777" w:rsidR="00261355" w:rsidRPr="00381632" w:rsidRDefault="00261355">
      <w:pPr>
        <w:spacing w:line="360" w:lineRule="auto"/>
        <w:rPr>
          <w:sz w:val="22"/>
          <w:szCs w:val="22"/>
        </w:rPr>
      </w:pPr>
    </w:p>
    <w:p w14:paraId="45334814"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b/>
          <w:sz w:val="22"/>
          <w:szCs w:val="22"/>
        </w:rPr>
        <w:t xml:space="preserve">Así, se puede advertir que dichas faltas, no tienen una trascendencia social, </w:t>
      </w:r>
      <w:r w:rsidRPr="00381632">
        <w:rPr>
          <w:rFonts w:ascii="Palatino Linotype" w:eastAsia="Palatino Linotype" w:hAnsi="Palatino Linotype" w:cs="Palatino Linotype"/>
          <w:sz w:val="22"/>
          <w:szCs w:val="22"/>
        </w:rPr>
        <w:t>pues no existe un daño externo, sino que únicamente la atañe al servidor público en cuestión.</w:t>
      </w:r>
    </w:p>
    <w:p w14:paraId="5B60EF93" w14:textId="77777777" w:rsidR="00261355" w:rsidRPr="00381632" w:rsidRDefault="00261355">
      <w:pPr>
        <w:spacing w:line="360" w:lineRule="auto"/>
        <w:rPr>
          <w:sz w:val="22"/>
          <w:szCs w:val="22"/>
        </w:rPr>
      </w:pPr>
    </w:p>
    <w:p w14:paraId="30D3AFBF" w14:textId="77777777" w:rsidR="00261355" w:rsidRPr="00381632" w:rsidRDefault="00DD2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Por lo expuesto, se desprende que dar a conocer el nombre, cargo o cualquier información que haga identificable al servidor público en un procedimiento de responsabilidad administrativa no grave condenatorio constituye información confidencial que afecta su esfera privada, puesto que podría generar una percepción negativa de éste, ocasionando un perjuicio en su </w:t>
      </w:r>
      <w:r w:rsidRPr="00381632">
        <w:rPr>
          <w:rFonts w:ascii="Palatino Linotype" w:eastAsia="Palatino Linotype" w:hAnsi="Palatino Linotype" w:cs="Palatino Linotype"/>
          <w:b/>
          <w:sz w:val="22"/>
          <w:szCs w:val="22"/>
        </w:rPr>
        <w:t>honor, intimidad y buena imagen</w:t>
      </w:r>
      <w:r w:rsidRPr="00381632">
        <w:rPr>
          <w:rFonts w:ascii="Palatino Linotype" w:eastAsia="Palatino Linotype" w:hAnsi="Palatino Linotype" w:cs="Palatino Linotype"/>
          <w:sz w:val="22"/>
          <w:szCs w:val="22"/>
        </w:rPr>
        <w:t>, pues como se precisó la afectación es para el propio servidor público, situación que no afecta a terceros.</w:t>
      </w:r>
    </w:p>
    <w:p w14:paraId="440A07F4" w14:textId="77777777" w:rsidR="00261355" w:rsidRPr="00381632" w:rsidRDefault="00261355">
      <w:pPr>
        <w:spacing w:line="360" w:lineRule="auto"/>
        <w:rPr>
          <w:sz w:val="22"/>
          <w:szCs w:val="22"/>
        </w:rPr>
      </w:pPr>
    </w:p>
    <w:p w14:paraId="4FE0061D"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lastRenderedPageBreak/>
        <w:t xml:space="preserve">Por lo que, nombre, cargo o cualquier información que haga identificable al servidor público, podría generar un juicio </w:t>
      </w:r>
      <w:r w:rsidRPr="00381632">
        <w:rPr>
          <w:rFonts w:ascii="Palatino Linotype" w:eastAsia="Palatino Linotype" w:hAnsi="Palatino Linotype" w:cs="Palatino Linotype"/>
          <w:i/>
          <w:sz w:val="22"/>
          <w:szCs w:val="22"/>
        </w:rPr>
        <w:t>a priori</w:t>
      </w:r>
      <w:r w:rsidRPr="00381632">
        <w:rPr>
          <w:rFonts w:ascii="Palatino Linotype" w:eastAsia="Palatino Linotype" w:hAnsi="Palatino Linotype" w:cs="Palatino Linotype"/>
          <w:sz w:val="22"/>
          <w:szCs w:val="22"/>
        </w:rPr>
        <w:t xml:space="preserve"> por parte de la sociedad, afectando su prestigio y su buen nombre, pues la sociedad podría calificar a dicho servidor público, como ineficiente o corrupto, </w:t>
      </w:r>
      <w:r w:rsidRPr="00381632">
        <w:rPr>
          <w:rFonts w:ascii="Palatino Linotype" w:eastAsia="Palatino Linotype" w:hAnsi="Palatino Linotype" w:cs="Palatino Linotype"/>
          <w:b/>
          <w:sz w:val="22"/>
          <w:szCs w:val="22"/>
        </w:rPr>
        <w:t>lo cual daña su vida privada y profesional,</w:t>
      </w:r>
      <w:r w:rsidRPr="00381632">
        <w:rPr>
          <w:rFonts w:ascii="Palatino Linotype" w:eastAsia="Palatino Linotype" w:hAnsi="Palatino Linotype" w:cs="Palatino Linotype"/>
          <w:sz w:val="22"/>
          <w:szCs w:val="22"/>
        </w:rPr>
        <w:t xml:space="preserve"> mismas que forman parte de su intimidad.</w:t>
      </w:r>
    </w:p>
    <w:p w14:paraId="605764A5" w14:textId="77777777" w:rsidR="00261355" w:rsidRPr="00381632" w:rsidRDefault="00261355">
      <w:pPr>
        <w:spacing w:line="360" w:lineRule="auto"/>
        <w:rPr>
          <w:sz w:val="22"/>
          <w:szCs w:val="22"/>
        </w:rPr>
      </w:pPr>
    </w:p>
    <w:p w14:paraId="13BCED2E" w14:textId="77777777" w:rsidR="00261355" w:rsidRPr="00381632" w:rsidRDefault="00DD29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Por lo cual, se considera procedente la clasificación, en términos del artículo 143, fracción I, de la Ley de Transparencia y Acceso a la Información Pública del Estado de México y Municipios, el nombre, cargo o cualquier información que haga identificable al servidor público que obre en procedimientos de responsabilidad administrativa por falta administrativa no grave, concluidos condenatorios que se encuentren firmes.</w:t>
      </w:r>
    </w:p>
    <w:p w14:paraId="51E3AC04" w14:textId="77777777" w:rsidR="00261355" w:rsidRPr="00381632" w:rsidRDefault="0026135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4AF909" w14:textId="77777777" w:rsidR="00261355" w:rsidRPr="00381632" w:rsidRDefault="00DD29B0">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Establecido lo anterior, procedemos a entrar en materia al análisis del </w:t>
      </w:r>
      <w:r w:rsidRPr="00381632">
        <w:rPr>
          <w:rFonts w:ascii="Palatino Linotype" w:eastAsia="Palatino Linotype" w:hAnsi="Palatino Linotype" w:cs="Palatino Linotype"/>
          <w:b/>
          <w:sz w:val="22"/>
          <w:szCs w:val="22"/>
          <w:u w:val="single"/>
        </w:rPr>
        <w:t>cambio de modalidad</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 xml:space="preserve">para ello conviene mencionar que el artículo 155, fracción V, de la Ley de Transparencia y Acceso a la Información Pública del Estado de México y Municipios, precisa que para presentar una solicitud, la persona solicitante podrá señalar </w:t>
      </w:r>
      <w:r w:rsidRPr="00381632">
        <w:rPr>
          <w:rFonts w:ascii="Palatino Linotype" w:eastAsia="Palatino Linotype" w:hAnsi="Palatino Linotype" w:cs="Palatino Linotype"/>
          <w:b/>
          <w:sz w:val="22"/>
          <w:szCs w:val="22"/>
        </w:rPr>
        <w:t>la modalidad en la que prefiere se otorgue el acceso a la información</w:t>
      </w:r>
      <w:r w:rsidRPr="00381632">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14:paraId="2540911C" w14:textId="77777777" w:rsidR="00261355" w:rsidRPr="00381632" w:rsidRDefault="00DD29B0">
      <w:pPr>
        <w:spacing w:before="240" w:after="240" w:line="360" w:lineRule="auto"/>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sz w:val="22"/>
          <w:szCs w:val="22"/>
        </w:rPr>
        <w:t xml:space="preserve">Por su parte, el artículo 158 de la Ley de Transparencia y Acceso a la Información Pública del Estado de México y Municipios, dispone que, de manera excepcional, cuando de manera </w:t>
      </w:r>
      <w:r w:rsidRPr="00381632">
        <w:rPr>
          <w:rFonts w:ascii="Palatino Linotype" w:eastAsia="Palatino Linotype" w:hAnsi="Palatino Linotype" w:cs="Palatino Linotype"/>
          <w:sz w:val="22"/>
          <w:szCs w:val="22"/>
        </w:rPr>
        <w:lastRenderedPageBreak/>
        <w:t xml:space="preserve">fundada y motivada lo determine el Sujeto Obligado, </w:t>
      </w:r>
      <w:r w:rsidRPr="00381632">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90B938C"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De modo que el acceso a la información debe darse en la modalidad de entrega elegida por la persona solicitante, y sólo para los casos en que se encuentren impedidos los Sujetos Obligados podrán ofrecer otra u otras modalidades debiendo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0C283A6E" w14:textId="77777777" w:rsidR="00261355" w:rsidRPr="00381632" w:rsidRDefault="00DD29B0">
      <w:pPr>
        <w:spacing w:before="120" w:after="120"/>
        <w:ind w:left="851" w:right="992"/>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“FUNDAMENTACIÓN Y MOTIVACIÓN DE LOS ACTOS ADMINISTRATIVOS</w:t>
      </w:r>
      <w:r w:rsidRPr="00381632">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w:t>
      </w:r>
      <w:r w:rsidRPr="00381632">
        <w:rPr>
          <w:rFonts w:ascii="Palatino Linotype" w:eastAsia="Palatino Linotype" w:hAnsi="Palatino Linotype" w:cs="Palatino Linotype"/>
          <w:i/>
          <w:sz w:val="22"/>
          <w:szCs w:val="22"/>
        </w:rPr>
        <w:lastRenderedPageBreak/>
        <w:t>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7E5635E5" w14:textId="77777777" w:rsidR="00261355" w:rsidRPr="00381632" w:rsidRDefault="00DD29B0">
      <w:pPr>
        <w:spacing w:before="120" w:after="12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En ese entendido, según lo dispuesto en los artículos 160 y 164 de la Ley de Transparencia y Acceso a la Información Pública del Estado de México y Municipios,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4C5E8B46" w14:textId="77777777" w:rsidR="00261355" w:rsidRPr="00381632" w:rsidRDefault="00DD29B0">
      <w:pPr>
        <w:spacing w:before="120" w:after="12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sz w:val="22"/>
          <w:szCs w:val="22"/>
        </w:rPr>
        <w:t>“</w:t>
      </w:r>
      <w:r w:rsidRPr="00381632">
        <w:rPr>
          <w:rFonts w:ascii="Palatino Linotype" w:eastAsia="Palatino Linotype" w:hAnsi="Palatino Linotype" w:cs="Palatino Linotype"/>
          <w:b/>
          <w:i/>
          <w:sz w:val="22"/>
          <w:szCs w:val="22"/>
        </w:rPr>
        <w:t>Artículo 160.</w:t>
      </w:r>
      <w:r w:rsidRPr="00381632">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211EAA6" w14:textId="77777777" w:rsidR="00261355" w:rsidRPr="00381632" w:rsidRDefault="00DD29B0">
      <w:pPr>
        <w:spacing w:before="120" w:after="120"/>
        <w:ind w:left="851" w:right="851"/>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Artículo 164.</w:t>
      </w:r>
      <w:r w:rsidRPr="00381632">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381632">
        <w:rPr>
          <w:rFonts w:ascii="Palatino Linotype" w:eastAsia="Palatino Linotype" w:hAnsi="Palatino Linotype" w:cs="Palatino Linotype"/>
          <w:i/>
          <w:sz w:val="22"/>
          <w:szCs w:val="22"/>
          <w:u w:val="single"/>
        </w:rPr>
        <w:t>el sujeto obligado deberá ofrecer otra u otras modalidades de entrega.</w:t>
      </w:r>
      <w:r w:rsidRPr="00381632">
        <w:rPr>
          <w:rFonts w:ascii="Palatino Linotype" w:eastAsia="Palatino Linotype" w:hAnsi="Palatino Linotype" w:cs="Palatino Linotype"/>
          <w:i/>
          <w:sz w:val="22"/>
          <w:szCs w:val="22"/>
        </w:rPr>
        <w:t xml:space="preserve"> En cualquier caso, se deberá fundar y motivar la necesidad de ofrecer otras modalidades.”</w:t>
      </w:r>
    </w:p>
    <w:p w14:paraId="6463C38F"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Esto es,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62523C4F" w14:textId="77777777" w:rsidR="00261355" w:rsidRPr="00381632" w:rsidRDefault="00DD29B0">
      <w:pPr>
        <w:spacing w:before="240" w:after="240" w:line="360" w:lineRule="auto"/>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sz w:val="22"/>
          <w:szCs w:val="22"/>
        </w:rPr>
        <w:lastRenderedPageBreak/>
        <w:t xml:space="preserve">Para lo cual, conforme al artículo 174 de la ley de la materia, los costos de reproducción y, en su caso, de envío para la obtención de la información deberán ser cubiertos por el solicitante de manera previa a la entrega por parte del </w:t>
      </w:r>
      <w:r w:rsidRPr="00381632">
        <w:rPr>
          <w:rFonts w:ascii="Palatino Linotype" w:eastAsia="Palatino Linotype" w:hAnsi="Palatino Linotype" w:cs="Palatino Linotype"/>
          <w:b/>
          <w:sz w:val="22"/>
          <w:szCs w:val="22"/>
        </w:rPr>
        <w:t>Sujeto Obligado.</w:t>
      </w:r>
    </w:p>
    <w:p w14:paraId="07E08A1B"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En tales consideraciones, la entrega deberá hacerse, </w:t>
      </w:r>
      <w:r w:rsidRPr="00381632">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381632">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381632">
        <w:rPr>
          <w:rFonts w:ascii="Palatino Linotype" w:eastAsia="Palatino Linotype" w:hAnsi="Palatino Linotype" w:cs="Palatino Linotype"/>
          <w:b/>
          <w:sz w:val="22"/>
          <w:szCs w:val="22"/>
        </w:rPr>
        <w:t>sólo procede, en caso de que se acredite la imposibilidad de atenderla.</w:t>
      </w:r>
      <w:r w:rsidRPr="00381632">
        <w:rPr>
          <w:rFonts w:ascii="Palatino Linotype" w:eastAsia="Palatino Linotype" w:hAnsi="Palatino Linotype" w:cs="Palatino Linotype"/>
          <w:sz w:val="22"/>
          <w:szCs w:val="22"/>
        </w:rPr>
        <w:t xml:space="preserve"> </w:t>
      </w:r>
    </w:p>
    <w:p w14:paraId="4C1ED465"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Así, cuando se justifique el impedimento, </w:t>
      </w:r>
      <w:r w:rsidRPr="00381632">
        <w:rPr>
          <w:rFonts w:ascii="Palatino Linotype" w:eastAsia="Palatino Linotype" w:hAnsi="Palatino Linotype" w:cs="Palatino Linotype"/>
          <w:b/>
          <w:sz w:val="22"/>
          <w:szCs w:val="22"/>
        </w:rPr>
        <w:t>los Sujetos Obligados deberán ofrecer a las personas solicitantes otras modalidades de entrega que permita la información</w:t>
      </w:r>
      <w:r w:rsidRPr="00381632">
        <w:rPr>
          <w:rFonts w:ascii="Palatino Linotype" w:eastAsia="Palatino Linotype" w:hAnsi="Palatino Linotype" w:cs="Palatino Linotype"/>
          <w:sz w:val="22"/>
          <w:szCs w:val="22"/>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55C7156F" w14:textId="77777777" w:rsidR="00261355" w:rsidRPr="00381632" w:rsidRDefault="00DD29B0">
      <w:pPr>
        <w:spacing w:before="120" w:after="120"/>
        <w:ind w:left="851" w:right="851"/>
        <w:jc w:val="both"/>
        <w:rPr>
          <w:rFonts w:ascii="Palatino Linotype" w:eastAsia="Palatino Linotype" w:hAnsi="Palatino Linotype" w:cs="Palatino Linotype"/>
          <w:b/>
          <w:i/>
          <w:sz w:val="22"/>
          <w:szCs w:val="22"/>
          <w:u w:val="single"/>
        </w:rPr>
      </w:pPr>
      <w:r w:rsidRPr="00381632">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381632">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381632">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381632">
        <w:rPr>
          <w:rFonts w:ascii="Palatino Linotype" w:eastAsia="Palatino Linotype" w:hAnsi="Palatino Linotype" w:cs="Palatino Linotype"/>
          <w:b/>
          <w:i/>
          <w:sz w:val="22"/>
          <w:szCs w:val="22"/>
        </w:rPr>
        <w:t>.”</w:t>
      </w:r>
    </w:p>
    <w:p w14:paraId="518E2EFF" w14:textId="77777777" w:rsidR="00261355" w:rsidRPr="00381632" w:rsidRDefault="00DD29B0">
      <w:pPr>
        <w:spacing w:before="240" w:after="240" w:line="360" w:lineRule="auto"/>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sz w:val="22"/>
          <w:szCs w:val="22"/>
        </w:rPr>
        <w:lastRenderedPageBreak/>
        <w:t>Del citado criterio, se desprende que cuando</w:t>
      </w:r>
      <w:r w:rsidRPr="00381632">
        <w:rPr>
          <w:rFonts w:ascii="Palatino Linotype" w:eastAsia="Palatino Linotype" w:hAnsi="Palatino Linotype" w:cs="Palatino Linotype"/>
          <w:b/>
          <w:sz w:val="22"/>
          <w:szCs w:val="22"/>
        </w:rPr>
        <w:t xml:space="preserve"> la información no pueda entregarse o enviarse en la modalidad elegida, </w:t>
      </w:r>
      <w:r w:rsidRPr="00381632">
        <w:rPr>
          <w:rFonts w:ascii="Palatino Linotype" w:eastAsia="Palatino Linotype" w:hAnsi="Palatino Linotype" w:cs="Palatino Linotype"/>
          <w:sz w:val="22"/>
          <w:szCs w:val="22"/>
        </w:rPr>
        <w:t xml:space="preserve">para que la obligación de acceso a la información se tenga por cumplida, </w:t>
      </w:r>
      <w:r w:rsidRPr="00381632">
        <w:rPr>
          <w:rFonts w:ascii="Palatino Linotype" w:eastAsia="Palatino Linotype" w:hAnsi="Palatino Linotype" w:cs="Palatino Linotype"/>
          <w:b/>
          <w:sz w:val="22"/>
          <w:szCs w:val="22"/>
        </w:rPr>
        <w:t>el Sujeto Obligado deberá ofrecer otra u otras modalidades de entrega.</w:t>
      </w:r>
      <w:r w:rsidRPr="00381632">
        <w:rPr>
          <w:rFonts w:ascii="Palatino Linotype" w:eastAsia="Palatino Linotype" w:hAnsi="Palatino Linotype" w:cs="Palatino Linotype"/>
          <w:sz w:val="22"/>
          <w:szCs w:val="22"/>
        </w:rPr>
        <w:t xml:space="preserve"> En cualquier caso, </w:t>
      </w:r>
      <w:r w:rsidRPr="00381632">
        <w:rPr>
          <w:rFonts w:ascii="Palatino Linotype" w:eastAsia="Palatino Linotype" w:hAnsi="Palatino Linotype" w:cs="Palatino Linotype"/>
          <w:b/>
          <w:sz w:val="22"/>
          <w:szCs w:val="22"/>
        </w:rPr>
        <w:t>se deberá fundar y motivar la necesidad de ofrecer otras modalidades</w:t>
      </w:r>
      <w:r w:rsidRPr="00381632">
        <w:rPr>
          <w:rFonts w:ascii="Palatino Linotype" w:eastAsia="Palatino Linotype" w:hAnsi="Palatino Linotype" w:cs="Palatino Linotype"/>
          <w:sz w:val="22"/>
          <w:szCs w:val="22"/>
        </w:rPr>
        <w:t xml:space="preserve"> que lo permitan, </w:t>
      </w:r>
      <w:r w:rsidRPr="00381632">
        <w:rPr>
          <w:rFonts w:ascii="Palatino Linotype" w:eastAsia="Palatino Linotype" w:hAnsi="Palatino Linotype" w:cs="Palatino Linotype"/>
          <w:b/>
          <w:sz w:val="22"/>
          <w:szCs w:val="22"/>
        </w:rPr>
        <w:t>procurando reducir los costos de entrega.</w:t>
      </w:r>
    </w:p>
    <w:p w14:paraId="56ADC726" w14:textId="77777777" w:rsidR="00261355" w:rsidRPr="00381632" w:rsidRDefault="00DD29B0">
      <w:pP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63BDE6D4" w14:textId="77777777" w:rsidR="00261355" w:rsidRPr="00381632" w:rsidRDefault="00DD29B0">
      <w:pPr>
        <w:numPr>
          <w:ilvl w:val="0"/>
          <w:numId w:val="1"/>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Las razones por las cuales la información implicaba un análisis, estudio o procesamiento de datos;</w:t>
      </w:r>
    </w:p>
    <w:p w14:paraId="074D2DAF" w14:textId="77777777" w:rsidR="00261355" w:rsidRPr="00381632" w:rsidRDefault="00DD29B0">
      <w:pPr>
        <w:numPr>
          <w:ilvl w:val="0"/>
          <w:numId w:val="1"/>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El tiempo no es suficiente para atender la solicitud en la modalidad elegida, y</w:t>
      </w:r>
    </w:p>
    <w:p w14:paraId="36DE3DCF" w14:textId="77777777" w:rsidR="00261355" w:rsidRPr="00381632" w:rsidRDefault="00DD29B0">
      <w:pPr>
        <w:numPr>
          <w:ilvl w:val="0"/>
          <w:numId w:val="1"/>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La cantidad de recursos humanos y materiales con los que cuenta el Sujeto Obligado son insuficientes.</w:t>
      </w:r>
    </w:p>
    <w:p w14:paraId="06F600A0"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Establecido lo anterior, se procede al estudio de las constancias que conforman a los expedientes electrónicos para determinar lo conducente, para ello debemos recordar que </w:t>
      </w:r>
      <w:r w:rsidRPr="00381632">
        <w:rPr>
          <w:rFonts w:ascii="Palatino Linotype" w:eastAsia="Palatino Linotype" w:hAnsi="Palatino Linotype" w:cs="Palatino Linotype"/>
          <w:b/>
          <w:sz w:val="22"/>
          <w:szCs w:val="22"/>
        </w:rPr>
        <w:t>la parte Recurrente</w:t>
      </w:r>
      <w:r w:rsidRPr="00381632">
        <w:rPr>
          <w:rFonts w:ascii="Palatino Linotype" w:eastAsia="Palatino Linotype" w:hAnsi="Palatino Linotype" w:cs="Palatino Linotype"/>
          <w:sz w:val="22"/>
          <w:szCs w:val="22"/>
        </w:rPr>
        <w:t xml:space="preserve"> al momento de presentar las solicitudes de información que dieron origen a los Recursos de Revisión que nos ocupan, eligió como modalidad de entrega </w:t>
      </w: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Sistema de Acceso a la Información Pública Mexiquense</w:t>
      </w: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sz w:val="22"/>
          <w:szCs w:val="22"/>
        </w:rPr>
        <w:t>, tal como se aprecia a continuación:</w:t>
      </w:r>
    </w:p>
    <w:p w14:paraId="2682A61C"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lastRenderedPageBreak/>
        <w:drawing>
          <wp:inline distT="0" distB="0" distL="0" distR="0" wp14:anchorId="2A803315" wp14:editId="133475B0">
            <wp:extent cx="5612130" cy="1671955"/>
            <wp:effectExtent l="0" t="0" r="0" b="0"/>
            <wp:docPr id="4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2130" cy="1671955"/>
                    </a:xfrm>
                    <a:prstGeom prst="rect">
                      <a:avLst/>
                    </a:prstGeom>
                    <a:ln/>
                  </pic:spPr>
                </pic:pic>
              </a:graphicData>
            </a:graphic>
          </wp:inline>
        </w:drawing>
      </w:r>
      <w:r w:rsidRPr="00381632">
        <w:rPr>
          <w:noProof/>
        </w:rPr>
        <mc:AlternateContent>
          <mc:Choice Requires="wpg">
            <w:drawing>
              <wp:anchor distT="0" distB="0" distL="114300" distR="114300" simplePos="0" relativeHeight="251658240" behindDoc="0" locked="0" layoutInCell="1" hidden="0" allowOverlap="1" wp14:anchorId="5E93983C" wp14:editId="5F441195">
                <wp:simplePos x="0" y="0"/>
                <wp:positionH relativeFrom="column">
                  <wp:posOffset>1</wp:posOffset>
                </wp:positionH>
                <wp:positionV relativeFrom="paragraph">
                  <wp:posOffset>1079500</wp:posOffset>
                </wp:positionV>
                <wp:extent cx="1381125" cy="342900"/>
                <wp:effectExtent l="0" t="0" r="0" b="0"/>
                <wp:wrapNone/>
                <wp:docPr id="397" name="Rectángulo 397"/>
                <wp:cNvGraphicFramePr/>
                <a:graphic xmlns:a="http://schemas.openxmlformats.org/drawingml/2006/main">
                  <a:graphicData uri="http://schemas.microsoft.com/office/word/2010/wordprocessingShape">
                    <wps:wsp>
                      <wps:cNvSpPr/>
                      <wps:spPr>
                        <a:xfrm>
                          <a:off x="4684013" y="3637125"/>
                          <a:ext cx="1323975" cy="285750"/>
                        </a:xfrm>
                        <a:prstGeom prst="rect">
                          <a:avLst/>
                        </a:prstGeom>
                        <a:noFill/>
                        <a:ln w="28575" cap="flat" cmpd="sng">
                          <a:solidFill>
                            <a:srgbClr val="E36C09"/>
                          </a:solidFill>
                          <a:prstDash val="solid"/>
                          <a:round/>
                          <a:headEnd type="none" w="sm" len="sm"/>
                          <a:tailEnd type="none" w="sm" len="sm"/>
                        </a:ln>
                      </wps:spPr>
                      <wps:txbx>
                        <w:txbxContent>
                          <w:p w14:paraId="475A0A8E" w14:textId="77777777" w:rsidR="00261355" w:rsidRDefault="0026135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1079500</wp:posOffset>
                </wp:positionV>
                <wp:extent cx="1381125" cy="342900"/>
                <wp:effectExtent b="0" l="0" r="0" t="0"/>
                <wp:wrapNone/>
                <wp:docPr id="397"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1381125" cy="342900"/>
                        </a:xfrm>
                        <a:prstGeom prst="rect"/>
                        <a:ln/>
                      </pic:spPr>
                    </pic:pic>
                  </a:graphicData>
                </a:graphic>
              </wp:anchor>
            </w:drawing>
          </mc:Fallback>
        </mc:AlternateContent>
      </w:r>
    </w:p>
    <w:p w14:paraId="7D2B4B8C"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drawing>
          <wp:inline distT="0" distB="0" distL="0" distR="0" wp14:anchorId="51636E86" wp14:editId="6E93EC02">
            <wp:extent cx="5612130" cy="1788795"/>
            <wp:effectExtent l="0" t="0" r="0" b="0"/>
            <wp:docPr id="4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612130" cy="1788795"/>
                    </a:xfrm>
                    <a:prstGeom prst="rect">
                      <a:avLst/>
                    </a:prstGeom>
                    <a:ln/>
                  </pic:spPr>
                </pic:pic>
              </a:graphicData>
            </a:graphic>
          </wp:inline>
        </w:drawing>
      </w:r>
      <w:r w:rsidRPr="00381632">
        <w:rPr>
          <w:noProof/>
        </w:rPr>
        <mc:AlternateContent>
          <mc:Choice Requires="wpg">
            <w:drawing>
              <wp:anchor distT="0" distB="0" distL="114300" distR="114300" simplePos="0" relativeHeight="251659264" behindDoc="0" locked="0" layoutInCell="1" hidden="0" allowOverlap="1" wp14:anchorId="3BD2070E" wp14:editId="03658785">
                <wp:simplePos x="0" y="0"/>
                <wp:positionH relativeFrom="column">
                  <wp:posOffset>-12699</wp:posOffset>
                </wp:positionH>
                <wp:positionV relativeFrom="paragraph">
                  <wp:posOffset>1231900</wp:posOffset>
                </wp:positionV>
                <wp:extent cx="1409700" cy="304800"/>
                <wp:effectExtent l="0" t="0" r="0" b="0"/>
                <wp:wrapNone/>
                <wp:docPr id="396" name="Rectángulo 396"/>
                <wp:cNvGraphicFramePr/>
                <a:graphic xmlns:a="http://schemas.openxmlformats.org/drawingml/2006/main">
                  <a:graphicData uri="http://schemas.microsoft.com/office/word/2010/wordprocessingShape">
                    <wps:wsp>
                      <wps:cNvSpPr/>
                      <wps:spPr>
                        <a:xfrm>
                          <a:off x="4669725" y="3656175"/>
                          <a:ext cx="1352550" cy="247650"/>
                        </a:xfrm>
                        <a:prstGeom prst="rect">
                          <a:avLst/>
                        </a:prstGeom>
                        <a:noFill/>
                        <a:ln w="28575" cap="flat" cmpd="sng">
                          <a:solidFill>
                            <a:srgbClr val="E36C09"/>
                          </a:solidFill>
                          <a:prstDash val="solid"/>
                          <a:round/>
                          <a:headEnd type="none" w="sm" len="sm"/>
                          <a:tailEnd type="none" w="sm" len="sm"/>
                        </a:ln>
                      </wps:spPr>
                      <wps:txbx>
                        <w:txbxContent>
                          <w:p w14:paraId="7DF86D32" w14:textId="77777777" w:rsidR="00261355" w:rsidRDefault="0026135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1231900</wp:posOffset>
                </wp:positionV>
                <wp:extent cx="1409700" cy="304800"/>
                <wp:effectExtent b="0" l="0" r="0" t="0"/>
                <wp:wrapNone/>
                <wp:docPr id="396"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1409700" cy="304800"/>
                        </a:xfrm>
                        <a:prstGeom prst="rect"/>
                        <a:ln/>
                      </pic:spPr>
                    </pic:pic>
                  </a:graphicData>
                </a:graphic>
              </wp:anchor>
            </w:drawing>
          </mc:Fallback>
        </mc:AlternateContent>
      </w:r>
    </w:p>
    <w:p w14:paraId="00FE2FBA"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Posteriormente hasta la etapa de informe justificado, advertimos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se pronunció por conducto de </w:t>
      </w:r>
      <w:r w:rsidRPr="00381632">
        <w:rPr>
          <w:rFonts w:ascii="Palatino Linotype" w:eastAsia="Palatino Linotype" w:hAnsi="Palatino Linotype" w:cs="Palatino Linotype"/>
          <w:b/>
          <w:sz w:val="22"/>
          <w:szCs w:val="22"/>
        </w:rPr>
        <w:t>las resoluciones por faltas administrativas no graves impuestas por la Contraloría Interna Municipal en el año 2022 suman un total de 60 resoluciones y una vez generado el archivo para la entrega de la información el peso de este es de 3,660 Megabytes</w:t>
      </w:r>
      <w:r w:rsidRPr="00381632">
        <w:rPr>
          <w:rFonts w:ascii="Palatino Linotype" w:eastAsia="Palatino Linotype" w:hAnsi="Palatino Linotype" w:cs="Palatino Linotype"/>
          <w:sz w:val="22"/>
          <w:szCs w:val="22"/>
        </w:rPr>
        <w:t xml:space="preserve">, mientras que </w:t>
      </w:r>
      <w:r w:rsidRPr="00381632">
        <w:rPr>
          <w:rFonts w:ascii="Palatino Linotype" w:eastAsia="Palatino Linotype" w:hAnsi="Palatino Linotype" w:cs="Palatino Linotype"/>
          <w:b/>
          <w:sz w:val="22"/>
          <w:szCs w:val="22"/>
        </w:rPr>
        <w:t>las resoluciones por faltas administrativas no graves impuestas por la Contraloría Interna Municipal en los años 2023 y 2024 suman un total de 167 resoluciones y una vez generado el archivo para la entrega de la información el peso de este es de 21,717 Megabytes</w:t>
      </w:r>
      <w:r w:rsidRPr="00381632">
        <w:rPr>
          <w:rFonts w:ascii="Palatino Linotype" w:eastAsia="Palatino Linotype" w:hAnsi="Palatino Linotype" w:cs="Palatino Linotype"/>
          <w:sz w:val="22"/>
          <w:szCs w:val="22"/>
        </w:rPr>
        <w:t>, cabe señalar que ofrece la información en otras modalidades: copias simples o certificadas, modalidad de entrega digital, modalidad de consulta directa y a través de correo certificado.</w:t>
      </w:r>
    </w:p>
    <w:p w14:paraId="32799B68" w14:textId="77777777" w:rsidR="00261355" w:rsidRPr="00381632" w:rsidRDefault="00DD29B0">
      <w:pPr>
        <w:spacing w:line="360" w:lineRule="auto"/>
        <w:ind w:right="49"/>
        <w:jc w:val="both"/>
        <w:rPr>
          <w:rFonts w:ascii="Palatino Linotype" w:eastAsia="Palatino Linotype" w:hAnsi="Palatino Linotype" w:cs="Palatino Linotype"/>
          <w:b/>
          <w:sz w:val="22"/>
          <w:szCs w:val="22"/>
          <w:u w:val="single"/>
        </w:rPr>
      </w:pPr>
      <w:r w:rsidRPr="00381632">
        <w:rPr>
          <w:rFonts w:ascii="Palatino Linotype" w:eastAsia="Palatino Linotype" w:hAnsi="Palatino Linotype" w:cs="Palatino Linotype"/>
          <w:sz w:val="22"/>
          <w:szCs w:val="22"/>
        </w:rPr>
        <w:lastRenderedPageBreak/>
        <w:t xml:space="preserve">En primer punto, es necesario reiterar que este Instituto realizó un requerimiento de información adicional al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tendiente a conocer </w:t>
      </w:r>
      <w:r w:rsidRPr="00381632">
        <w:rPr>
          <w:rFonts w:ascii="Palatino Linotype" w:eastAsia="Palatino Linotype" w:hAnsi="Palatino Linotype" w:cs="Palatino Linotype"/>
          <w:b/>
          <w:sz w:val="22"/>
          <w:szCs w:val="22"/>
          <w:u w:val="single"/>
        </w:rPr>
        <w:t>el número de fojas por cada resolución, de las 60 resoluciones a sanciones administrativas no graves, impuestas por el Órgano Interno de Control de Metepec del año 2022 y de las 167 resoluciones a sanciones administrativas no graves, impuestas por el Órgano Interno de Control de Metepec del año 2023 y del 1 de enero al 05 de marzo de 2024.</w:t>
      </w:r>
    </w:p>
    <w:p w14:paraId="7E4BBE65" w14:textId="77777777" w:rsidR="00261355" w:rsidRPr="00381632" w:rsidRDefault="00261355">
      <w:pPr>
        <w:spacing w:line="360" w:lineRule="auto"/>
        <w:ind w:right="49"/>
        <w:jc w:val="both"/>
        <w:rPr>
          <w:rFonts w:ascii="Palatino Linotype" w:eastAsia="Palatino Linotype" w:hAnsi="Palatino Linotype" w:cs="Palatino Linotype"/>
          <w:b/>
          <w:sz w:val="22"/>
          <w:szCs w:val="22"/>
          <w:u w:val="single"/>
        </w:rPr>
      </w:pPr>
    </w:p>
    <w:p w14:paraId="3AD41753" w14:textId="77777777" w:rsidR="00261355" w:rsidRPr="00381632" w:rsidRDefault="00DD29B0">
      <w:pPr>
        <w:spacing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En este tenor, se advierte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atendió el requerimiento de información adicional en comento, expresando las siguientes consideraciones: </w:t>
      </w:r>
    </w:p>
    <w:p w14:paraId="758F994D" w14:textId="77777777" w:rsidR="00261355" w:rsidRPr="00381632" w:rsidRDefault="00DD29B0">
      <w:pPr>
        <w:numPr>
          <w:ilvl w:val="0"/>
          <w:numId w:val="5"/>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Que dicho requerimiento no forma parte de las formalidades que tiene el Instituto para resolver el Recurso de Revisión conforme al artículo 185 de la Ley de Transparencia.</w:t>
      </w:r>
    </w:p>
    <w:p w14:paraId="20F90A1F" w14:textId="77777777" w:rsidR="00261355" w:rsidRPr="00381632" w:rsidRDefault="00DD29B0">
      <w:pPr>
        <w:numPr>
          <w:ilvl w:val="0"/>
          <w:numId w:val="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en ningún momento coarta el derecho a la información al solicitante toda vez que debido al volumen de la información y el peso de la misma sobrepasa las capacidades del SAIMEX, razón por la cual se puso a disposición del solicitante en todas las modalidades en estricto apego al artículo 164 de la Ley de Transparencia Local, sin que ello haya sido una decisión unilateral pues se solicitó la incidencia a la Dirección General de Informática de este Instituto.</w:t>
      </w:r>
    </w:p>
    <w:p w14:paraId="0D061783" w14:textId="77777777" w:rsidR="00261355" w:rsidRPr="00381632" w:rsidRDefault="00DD29B0">
      <w:pPr>
        <w:numPr>
          <w:ilvl w:val="0"/>
          <w:numId w:val="5"/>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Que el requerimiento de información adicional implica la realización de investigaciones para corroborar unilateralmente, el sentido de la respuesta formulada por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poniendo en duda por demás evidente y caprichosa la manera en que se proporciona al solicitante la información. </w:t>
      </w:r>
    </w:p>
    <w:p w14:paraId="3DC0C4AC" w14:textId="77777777" w:rsidR="00261355" w:rsidRPr="00381632" w:rsidRDefault="00DD29B0">
      <w:pPr>
        <w:spacing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lastRenderedPageBreak/>
        <w:t xml:space="preserve">En tal tesitura, este Instituto no quiere dejar de mencionar que la finalidad del requerimiento de información adicional no es corroborar el sentido de la respuesta y realizar investigación alguna sino contar con mayores elementos que permitan a este Organismo Garante determinar en este caso con mayor precisión la existencia de una imposibilidad técnica  en pro del derecho de acceso a la información pública de la persona solicitante, lo anterior, en virtud de que de la respuesta e informe justificado proporcionados por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no queda claro si el peso que refiere concierne meramente a las determinaciones en sí o a los expedientes. </w:t>
      </w:r>
    </w:p>
    <w:p w14:paraId="2745CA49" w14:textId="77777777" w:rsidR="00261355" w:rsidRPr="00381632" w:rsidRDefault="00261355">
      <w:pPr>
        <w:spacing w:line="360" w:lineRule="auto"/>
        <w:ind w:right="49"/>
        <w:jc w:val="both"/>
        <w:rPr>
          <w:rFonts w:ascii="Palatino Linotype" w:eastAsia="Palatino Linotype" w:hAnsi="Palatino Linotype" w:cs="Palatino Linotype"/>
          <w:sz w:val="22"/>
          <w:szCs w:val="22"/>
        </w:rPr>
      </w:pPr>
    </w:p>
    <w:p w14:paraId="3B6E1728" w14:textId="77777777" w:rsidR="00261355" w:rsidRPr="00381632" w:rsidRDefault="00DD29B0">
      <w:pPr>
        <w:spacing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Es de precisar que si bien, la Ley de Transparencia Local no contempla expresamente la generación de un requerimiento de información adicional, no menos cierto es que dicho documento pudiera fungir como una prueba presentada por el </w:t>
      </w:r>
      <w:r w:rsidRPr="00381632">
        <w:rPr>
          <w:rFonts w:ascii="Palatino Linotype" w:eastAsia="Palatino Linotype" w:hAnsi="Palatino Linotype" w:cs="Palatino Linotype"/>
          <w:b/>
          <w:sz w:val="22"/>
          <w:szCs w:val="22"/>
        </w:rPr>
        <w:t xml:space="preserve">Sujeto Obligado </w:t>
      </w:r>
      <w:r w:rsidRPr="00381632">
        <w:rPr>
          <w:rFonts w:ascii="Palatino Linotype" w:eastAsia="Palatino Linotype" w:hAnsi="Palatino Linotype" w:cs="Palatino Linotype"/>
          <w:sz w:val="22"/>
          <w:szCs w:val="22"/>
        </w:rPr>
        <w:t xml:space="preserve">durante la sustanciación de los presentes medios de impugnación: </w:t>
      </w:r>
    </w:p>
    <w:p w14:paraId="097B1BB2" w14:textId="77777777" w:rsidR="00261355" w:rsidRPr="00381632" w:rsidRDefault="00261355">
      <w:pPr>
        <w:spacing w:line="360" w:lineRule="auto"/>
        <w:ind w:right="49"/>
        <w:jc w:val="both"/>
        <w:rPr>
          <w:rFonts w:ascii="Palatino Linotype" w:eastAsia="Palatino Linotype" w:hAnsi="Palatino Linotype" w:cs="Palatino Linotype"/>
          <w:sz w:val="22"/>
          <w:szCs w:val="22"/>
        </w:rPr>
      </w:pPr>
    </w:p>
    <w:p w14:paraId="52E23E0D" w14:textId="77777777" w:rsidR="00261355" w:rsidRPr="00381632" w:rsidRDefault="00DD29B0">
      <w:pPr>
        <w:spacing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Artículo 185. El Instituto resolverá el recurso de revisión conforme a lo siguiente:</w:t>
      </w:r>
      <w:r w:rsidRPr="00381632">
        <w:rPr>
          <w:rFonts w:ascii="Palatino Linotype" w:eastAsia="Palatino Linotype" w:hAnsi="Palatino Linotype" w:cs="Palatino Linotype"/>
          <w:i/>
          <w:sz w:val="22"/>
          <w:szCs w:val="22"/>
        </w:rPr>
        <w:br/>
        <w:t>…</w:t>
      </w:r>
    </w:p>
    <w:p w14:paraId="4C735004" w14:textId="77777777" w:rsidR="00261355" w:rsidRPr="00381632" w:rsidRDefault="00DD29B0">
      <w:pPr>
        <w:spacing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IV. Dentro del plazo mencionado en la fracción II, las partes podrán ofrecer todo tipo de pruebas o alegatos excepto la confesional por parte de los sujetos obligados y aquéllas que sean contrarias a derecho;</w:t>
      </w:r>
    </w:p>
    <w:p w14:paraId="7ED17461" w14:textId="77777777" w:rsidR="00261355" w:rsidRPr="00381632" w:rsidRDefault="00261355">
      <w:pPr>
        <w:spacing w:line="360" w:lineRule="auto"/>
        <w:ind w:right="49"/>
        <w:jc w:val="both"/>
        <w:rPr>
          <w:rFonts w:ascii="Palatino Linotype" w:eastAsia="Palatino Linotype" w:hAnsi="Palatino Linotype" w:cs="Palatino Linotype"/>
          <w:sz w:val="22"/>
          <w:szCs w:val="22"/>
        </w:rPr>
      </w:pPr>
    </w:p>
    <w:p w14:paraId="446A9FA7" w14:textId="77777777" w:rsidR="00261355" w:rsidRPr="00381632" w:rsidRDefault="00DD29B0">
      <w:pPr>
        <w:spacing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Asimismo, el Reglamento Interior vigente de este Instituto dispone en su artículo 14 lo siguiente: </w:t>
      </w:r>
    </w:p>
    <w:p w14:paraId="497BB198" w14:textId="77777777" w:rsidR="00261355" w:rsidRPr="00381632" w:rsidRDefault="00261355">
      <w:pPr>
        <w:spacing w:line="360" w:lineRule="auto"/>
        <w:ind w:right="49"/>
        <w:jc w:val="both"/>
        <w:rPr>
          <w:rFonts w:ascii="Palatino Linotype" w:eastAsia="Palatino Linotype" w:hAnsi="Palatino Linotype" w:cs="Palatino Linotype"/>
          <w:sz w:val="22"/>
          <w:szCs w:val="22"/>
        </w:rPr>
      </w:pPr>
    </w:p>
    <w:p w14:paraId="2958EB96" w14:textId="77777777" w:rsidR="00261355" w:rsidRPr="00381632" w:rsidRDefault="00DD29B0">
      <w:pPr>
        <w:spacing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“Artículo 14. Corresponde a las y los Comisionados del Instituto ejercer las atribuciones siguientes:</w:t>
      </w:r>
    </w:p>
    <w:p w14:paraId="5352AB63" w14:textId="77777777" w:rsidR="00261355" w:rsidRPr="00381632" w:rsidRDefault="00DD29B0">
      <w:pPr>
        <w:spacing w:line="276" w:lineRule="auto"/>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w:t>
      </w:r>
    </w:p>
    <w:p w14:paraId="2585E343" w14:textId="77777777" w:rsidR="00261355" w:rsidRPr="00381632" w:rsidRDefault="00DD29B0">
      <w:pPr>
        <w:spacing w:line="276" w:lineRule="auto"/>
        <w:ind w:left="567" w:right="900"/>
        <w:jc w:val="both"/>
        <w:rPr>
          <w:rFonts w:ascii="Palatino Linotype" w:eastAsia="Palatino Linotype" w:hAnsi="Palatino Linotype" w:cs="Palatino Linotype"/>
          <w:b/>
          <w:i/>
          <w:sz w:val="22"/>
          <w:szCs w:val="22"/>
          <w:u w:val="single"/>
        </w:rPr>
      </w:pPr>
      <w:r w:rsidRPr="00381632">
        <w:rPr>
          <w:rFonts w:ascii="Palatino Linotype" w:eastAsia="Palatino Linotype" w:hAnsi="Palatino Linotype" w:cs="Palatino Linotype"/>
          <w:b/>
          <w:i/>
          <w:sz w:val="22"/>
          <w:szCs w:val="22"/>
          <w:u w:val="single"/>
        </w:rPr>
        <w:lastRenderedPageBreak/>
        <w:t>III. Realizar, por sí o por medio del personal adscrito a su Ponencia, las diligencias y audiencias, cuando así lo estimen conveniente, en la sustanciación de los recursos de revisión</w:t>
      </w:r>
      <w:r w:rsidRPr="00381632">
        <w:rPr>
          <w:rFonts w:ascii="Palatino Linotype" w:eastAsia="Palatino Linotype" w:hAnsi="Palatino Linotype" w:cs="Palatino Linotype"/>
          <w:i/>
          <w:sz w:val="22"/>
          <w:szCs w:val="22"/>
        </w:rPr>
        <w:t>;” (Énfasis añadido)</w:t>
      </w:r>
    </w:p>
    <w:p w14:paraId="1C6C4334" w14:textId="77777777" w:rsidR="00261355" w:rsidRPr="00381632" w:rsidRDefault="00261355">
      <w:pPr>
        <w:spacing w:line="276" w:lineRule="auto"/>
        <w:ind w:left="567" w:right="900"/>
        <w:jc w:val="both"/>
        <w:rPr>
          <w:rFonts w:ascii="Palatino Linotype" w:eastAsia="Palatino Linotype" w:hAnsi="Palatino Linotype" w:cs="Palatino Linotype"/>
          <w:i/>
          <w:sz w:val="22"/>
          <w:szCs w:val="22"/>
        </w:rPr>
      </w:pPr>
    </w:p>
    <w:p w14:paraId="005AEEC5" w14:textId="77777777" w:rsidR="00261355" w:rsidRPr="00381632" w:rsidRDefault="00DD29B0">
      <w:pPr>
        <w:spacing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En esta consecución de ideas, es pertinente enfatizar que el requerimiento de información adicional si se encuentra previsto dentro del Reglamento Interior que rige el actuar de este Organismo Garante pues es una diligencia auxiliar para el desahogo de estos medios de impugnación y únicamente tenía la finalidad de obtener mayores elementos que permitieran determinar con mayor claridad una imposibilidad de carácter técnico, sin embargo, como se detallará en líneas subsecuentes, con los elementos aportados hasta este momento procesal no se cuenta con la certeza de que en efecto se actualice una </w:t>
      </w:r>
      <w:r w:rsidRPr="00381632">
        <w:rPr>
          <w:rFonts w:ascii="Palatino Linotype" w:eastAsia="Palatino Linotype" w:hAnsi="Palatino Linotype" w:cs="Palatino Linotype"/>
          <w:b/>
          <w:sz w:val="22"/>
          <w:szCs w:val="22"/>
          <w:u w:val="single"/>
        </w:rPr>
        <w:t xml:space="preserve">imposibilidad técnica para entregar la información solicitada vía SAIMEX. </w:t>
      </w:r>
    </w:p>
    <w:p w14:paraId="3B86BCFB" w14:textId="77777777" w:rsidR="00261355" w:rsidRPr="00381632" w:rsidRDefault="00261355">
      <w:pPr>
        <w:spacing w:line="360" w:lineRule="auto"/>
        <w:ind w:right="49"/>
        <w:jc w:val="both"/>
        <w:rPr>
          <w:rFonts w:ascii="Palatino Linotype" w:eastAsia="Palatino Linotype" w:hAnsi="Palatino Linotype" w:cs="Palatino Linotype"/>
          <w:b/>
          <w:sz w:val="22"/>
          <w:szCs w:val="22"/>
          <w:u w:val="single"/>
        </w:rPr>
      </w:pPr>
    </w:p>
    <w:p w14:paraId="3B0CB29E" w14:textId="77777777" w:rsidR="00261355" w:rsidRPr="00381632" w:rsidRDefault="00DD29B0">
      <w:pPr>
        <w:spacing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Aunado a lo anterior, derivado del peso referido por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en sus informes justificados, es decir, </w:t>
      </w:r>
      <w:r w:rsidRPr="00381632">
        <w:rPr>
          <w:rFonts w:ascii="Palatino Linotype" w:eastAsia="Palatino Linotype" w:hAnsi="Palatino Linotype" w:cs="Palatino Linotype"/>
          <w:b/>
          <w:sz w:val="22"/>
          <w:szCs w:val="22"/>
          <w:u w:val="single"/>
        </w:rPr>
        <w:t xml:space="preserve">3.45 GB (3,660 Megabytes) para las resoluciones del año 2022 y 20.2 GB (21,717 Megabytes) para las resoluciones de los años 2023 y 2024, </w:t>
      </w:r>
      <w:r w:rsidRPr="00381632">
        <w:rPr>
          <w:rFonts w:ascii="Palatino Linotype" w:eastAsia="Palatino Linotype" w:hAnsi="Palatino Linotype" w:cs="Palatino Linotype"/>
          <w:sz w:val="22"/>
          <w:szCs w:val="22"/>
        </w:rPr>
        <w:t>este Instituto procedió a consultar con la Dirección General de Informática de este Instituto, el número de fojas que caben en dichos pesos, obteniendo así lo siguiente:</w:t>
      </w:r>
    </w:p>
    <w:p w14:paraId="712D198F" w14:textId="77777777" w:rsidR="00261355" w:rsidRPr="00381632" w:rsidRDefault="00DD29B0">
      <w:pPr>
        <w:spacing w:line="360" w:lineRule="auto"/>
        <w:ind w:right="49"/>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drawing>
          <wp:inline distT="0" distB="0" distL="0" distR="0" wp14:anchorId="690CAE37" wp14:editId="268456F6">
            <wp:extent cx="5101152" cy="1064588"/>
            <wp:effectExtent l="0" t="0" r="0" b="0"/>
            <wp:docPr id="4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101152" cy="1064588"/>
                    </a:xfrm>
                    <a:prstGeom prst="rect">
                      <a:avLst/>
                    </a:prstGeom>
                    <a:ln/>
                  </pic:spPr>
                </pic:pic>
              </a:graphicData>
            </a:graphic>
          </wp:inline>
        </w:drawing>
      </w:r>
    </w:p>
    <w:p w14:paraId="6A3A6BB2" w14:textId="77777777" w:rsidR="00261355" w:rsidRPr="00381632" w:rsidRDefault="00DD29B0">
      <w:pP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Por lo anterior, abordamos a las siguientes conclusiones: </w:t>
      </w:r>
    </w:p>
    <w:p w14:paraId="5E428978" w14:textId="77777777" w:rsidR="00261355" w:rsidRPr="00381632" w:rsidRDefault="00261355">
      <w:pPr>
        <w:spacing w:line="360" w:lineRule="auto"/>
        <w:jc w:val="both"/>
        <w:rPr>
          <w:rFonts w:ascii="Palatino Linotype" w:eastAsia="Palatino Linotype" w:hAnsi="Palatino Linotype" w:cs="Palatino Linotype"/>
          <w:b/>
          <w:sz w:val="22"/>
          <w:szCs w:val="22"/>
        </w:rPr>
      </w:pPr>
    </w:p>
    <w:p w14:paraId="39A09976" w14:textId="77777777" w:rsidR="00261355" w:rsidRPr="00381632" w:rsidRDefault="00DD29B0">
      <w:pPr>
        <w:numPr>
          <w:ilvl w:val="0"/>
          <w:numId w:val="3"/>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sz w:val="22"/>
          <w:szCs w:val="22"/>
        </w:rPr>
        <w:t xml:space="preserve">Que del análisis a las capturas de pantalla presentadas por el </w:t>
      </w:r>
      <w:r w:rsidRPr="00381632">
        <w:rPr>
          <w:rFonts w:ascii="Palatino Linotype" w:eastAsia="Palatino Linotype" w:hAnsi="Palatino Linotype" w:cs="Palatino Linotype"/>
          <w:b/>
          <w:sz w:val="22"/>
          <w:szCs w:val="22"/>
        </w:rPr>
        <w:t xml:space="preserve">Sujeto Obligado </w:t>
      </w:r>
      <w:r w:rsidRPr="00381632">
        <w:rPr>
          <w:rFonts w:ascii="Palatino Linotype" w:eastAsia="Palatino Linotype" w:hAnsi="Palatino Linotype" w:cs="Palatino Linotype"/>
          <w:sz w:val="22"/>
          <w:szCs w:val="22"/>
        </w:rPr>
        <w:t xml:space="preserve">se advierte una incongruencia entre las cifras reportadas en virtud </w:t>
      </w:r>
      <w:r w:rsidRPr="00381632">
        <w:rPr>
          <w:rFonts w:ascii="Palatino Linotype" w:eastAsia="Palatino Linotype" w:hAnsi="Palatino Linotype" w:cs="Palatino Linotype"/>
          <w:sz w:val="22"/>
          <w:szCs w:val="22"/>
        </w:rPr>
        <w:lastRenderedPageBreak/>
        <w:t>de que para 2022 asevera contar con 59 archivos relativos a resoluciones no graves de 2022 y para 2023-2024 refiere contar con 168 archivos cuando en el oficio del contralor se está haciendo referencia a que son 60 resoluciones para 2022 y 167 para 2023-2024.</w:t>
      </w:r>
    </w:p>
    <w:p w14:paraId="612C07AD" w14:textId="77777777" w:rsidR="00261355" w:rsidRPr="00381632" w:rsidRDefault="00261355">
      <w:p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rPr>
      </w:pPr>
    </w:p>
    <w:p w14:paraId="712F6072" w14:textId="77777777" w:rsidR="00261355" w:rsidRPr="00381632" w:rsidRDefault="00DD29B0">
      <w:pPr>
        <w:numPr>
          <w:ilvl w:val="0"/>
          <w:numId w:val="3"/>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b/>
          <w:sz w:val="22"/>
          <w:szCs w:val="22"/>
        </w:rPr>
      </w:pPr>
      <w:r w:rsidRPr="00381632">
        <w:rPr>
          <w:rFonts w:ascii="Palatino Linotype" w:eastAsia="Palatino Linotype" w:hAnsi="Palatino Linotype" w:cs="Palatino Linotype"/>
          <w:sz w:val="22"/>
          <w:szCs w:val="22"/>
        </w:rPr>
        <w:t xml:space="preserve">Que al tener en cuenta que lo solicitado </w:t>
      </w:r>
      <w:r w:rsidRPr="00381632">
        <w:rPr>
          <w:rFonts w:ascii="Palatino Linotype" w:eastAsia="Palatino Linotype" w:hAnsi="Palatino Linotype" w:cs="Palatino Linotype"/>
          <w:b/>
          <w:sz w:val="22"/>
          <w:szCs w:val="22"/>
          <w:u w:val="single"/>
        </w:rPr>
        <w:t>son meramente las resoluciones, es decir, la determinación final generada por la autoridad resolutora, no así la totalidad de las constancias que integran los expedientes</w:t>
      </w:r>
      <w:r w:rsidRPr="00381632">
        <w:rPr>
          <w:rFonts w:ascii="Palatino Linotype" w:eastAsia="Palatino Linotype" w:hAnsi="Palatino Linotype" w:cs="Palatino Linotype"/>
          <w:sz w:val="22"/>
          <w:szCs w:val="22"/>
        </w:rPr>
        <w:t xml:space="preserve"> de cada resolución, no se acreditó a lo largo de la sustanciación de los medios de impugnación que concretamente la información solicitada pudiera sobrepasar las capacidades técnicas del SAIMEX pues no se puntualizó el número de fojas que compone la información, por lo tanto si tomamos en cuenta el número de fojas que la Dirección General de Informática reporta que caben en 20.2 GB y 3.45 GB, nos encontramos ante una incongruencia pues reporta que cuenta con 60 resoluciones para 2022 y 167 para 2023-2024. </w:t>
      </w:r>
    </w:p>
    <w:p w14:paraId="4193E522" w14:textId="77777777" w:rsidR="00261355" w:rsidRPr="00381632" w:rsidRDefault="00261355">
      <w:pPr>
        <w:pBdr>
          <w:top w:val="nil"/>
          <w:left w:val="nil"/>
          <w:bottom w:val="nil"/>
          <w:right w:val="nil"/>
          <w:between w:val="nil"/>
        </w:pBdr>
        <w:ind w:left="720"/>
        <w:rPr>
          <w:rFonts w:ascii="Palatino Linotype" w:eastAsia="Palatino Linotype" w:hAnsi="Palatino Linotype" w:cs="Palatino Linotype"/>
          <w:b/>
          <w:strike/>
          <w:sz w:val="22"/>
          <w:szCs w:val="22"/>
        </w:rPr>
      </w:pPr>
    </w:p>
    <w:p w14:paraId="61CA1C98" w14:textId="77777777" w:rsidR="00261355" w:rsidRPr="00381632" w:rsidRDefault="00DD29B0">
      <w:pPr>
        <w:spacing w:after="240" w:line="360" w:lineRule="auto"/>
        <w:ind w:right="-28"/>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Precisado lo anterior, conviene esquematizar los argumentos expuestos con anterioridad para efecto de determinar si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cumplió con los elementos necesarios para el cambio de modalidad:</w:t>
      </w:r>
    </w:p>
    <w:tbl>
      <w:tblPr>
        <w:tblStyle w:val="a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386"/>
        <w:gridCol w:w="2409"/>
      </w:tblGrid>
      <w:tr w:rsidR="00381632" w:rsidRPr="00381632" w14:paraId="19D9B83C" w14:textId="77777777">
        <w:tc>
          <w:tcPr>
            <w:tcW w:w="1555" w:type="dxa"/>
            <w:shd w:val="clear" w:color="auto" w:fill="FCF4D2"/>
          </w:tcPr>
          <w:p w14:paraId="21B7EBDB" w14:textId="77777777" w:rsidR="00261355" w:rsidRPr="00381632" w:rsidRDefault="00DD29B0">
            <w:pPr>
              <w:spacing w:after="160" w:line="259" w:lineRule="auto"/>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Elementos del cambio de modalidad</w:t>
            </w:r>
          </w:p>
        </w:tc>
        <w:tc>
          <w:tcPr>
            <w:tcW w:w="5386" w:type="dxa"/>
            <w:shd w:val="clear" w:color="auto" w:fill="FCF4D2"/>
          </w:tcPr>
          <w:p w14:paraId="27DFF4F8" w14:textId="77777777" w:rsidR="00261355" w:rsidRPr="00381632" w:rsidRDefault="00DD29B0">
            <w:pPr>
              <w:spacing w:after="160" w:line="259" w:lineRule="auto"/>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Contenido</w:t>
            </w:r>
          </w:p>
        </w:tc>
        <w:tc>
          <w:tcPr>
            <w:tcW w:w="2409" w:type="dxa"/>
            <w:shd w:val="clear" w:color="auto" w:fill="FCF4D2"/>
          </w:tcPr>
          <w:p w14:paraId="55C5A1B6" w14:textId="77777777" w:rsidR="00261355" w:rsidRPr="00381632" w:rsidRDefault="00DD29B0">
            <w:pPr>
              <w:spacing w:after="160" w:line="259" w:lineRule="auto"/>
              <w:jc w:val="center"/>
              <w:rPr>
                <w:rFonts w:ascii="Palatino Linotype" w:eastAsia="Palatino Linotype" w:hAnsi="Palatino Linotype" w:cs="Palatino Linotype"/>
                <w:b/>
                <w:sz w:val="20"/>
                <w:szCs w:val="20"/>
              </w:rPr>
            </w:pPr>
            <w:r w:rsidRPr="00381632">
              <w:rPr>
                <w:rFonts w:ascii="Palatino Linotype" w:eastAsia="Palatino Linotype" w:hAnsi="Palatino Linotype" w:cs="Palatino Linotype"/>
                <w:b/>
                <w:sz w:val="20"/>
                <w:szCs w:val="20"/>
              </w:rPr>
              <w:t>Cumple</w:t>
            </w:r>
          </w:p>
        </w:tc>
      </w:tr>
      <w:tr w:rsidR="00381632" w:rsidRPr="00381632" w14:paraId="700351C3" w14:textId="77777777">
        <w:tc>
          <w:tcPr>
            <w:tcW w:w="1555" w:type="dxa"/>
          </w:tcPr>
          <w:p w14:paraId="507D859A" w14:textId="77777777" w:rsidR="00261355" w:rsidRPr="00381632" w:rsidRDefault="00DD29B0">
            <w:pPr>
              <w:spacing w:after="160" w:line="259" w:lineRule="auto"/>
              <w:jc w:val="center"/>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Número de folio de la solicitud</w:t>
            </w:r>
          </w:p>
        </w:tc>
        <w:tc>
          <w:tcPr>
            <w:tcW w:w="5386" w:type="dxa"/>
          </w:tcPr>
          <w:p w14:paraId="7A7B3A6F" w14:textId="77777777" w:rsidR="00261355" w:rsidRPr="00381632" w:rsidRDefault="00DD29B0">
            <w:pPr>
              <w:spacing w:after="160" w:line="259"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drawing>
                <wp:inline distT="0" distB="0" distL="0" distR="0" wp14:anchorId="3E08F32F" wp14:editId="7866276A">
                  <wp:extent cx="3282950" cy="340995"/>
                  <wp:effectExtent l="0" t="0" r="0" b="0"/>
                  <wp:docPr id="4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282950" cy="340995"/>
                          </a:xfrm>
                          <a:prstGeom prst="rect">
                            <a:avLst/>
                          </a:prstGeom>
                          <a:ln/>
                        </pic:spPr>
                      </pic:pic>
                    </a:graphicData>
                  </a:graphic>
                </wp:inline>
              </w:drawing>
            </w:r>
          </w:p>
          <w:p w14:paraId="647DBE31" w14:textId="77777777" w:rsidR="00261355" w:rsidRPr="00381632" w:rsidRDefault="00DD29B0">
            <w:pPr>
              <w:spacing w:after="160" w:line="259"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drawing>
                <wp:inline distT="0" distB="0" distL="0" distR="0" wp14:anchorId="02030971" wp14:editId="498DF84F">
                  <wp:extent cx="3282950" cy="331470"/>
                  <wp:effectExtent l="0" t="0" r="0" b="0"/>
                  <wp:docPr id="4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282950" cy="331470"/>
                          </a:xfrm>
                          <a:prstGeom prst="rect">
                            <a:avLst/>
                          </a:prstGeom>
                          <a:ln/>
                        </pic:spPr>
                      </pic:pic>
                    </a:graphicData>
                  </a:graphic>
                </wp:inline>
              </w:drawing>
            </w:r>
          </w:p>
        </w:tc>
        <w:tc>
          <w:tcPr>
            <w:tcW w:w="2409" w:type="dxa"/>
          </w:tcPr>
          <w:p w14:paraId="46F64008" w14:textId="77777777" w:rsidR="00261355" w:rsidRPr="00381632" w:rsidRDefault="00DD29B0">
            <w:pPr>
              <w:spacing w:after="160" w:line="259" w:lineRule="auto"/>
              <w:jc w:val="center"/>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Sí</w:t>
            </w:r>
          </w:p>
        </w:tc>
      </w:tr>
      <w:tr w:rsidR="00381632" w:rsidRPr="00381632" w14:paraId="70A5973E" w14:textId="77777777">
        <w:tc>
          <w:tcPr>
            <w:tcW w:w="1555" w:type="dxa"/>
          </w:tcPr>
          <w:p w14:paraId="4A64A465" w14:textId="77777777" w:rsidR="00261355" w:rsidRPr="00381632" w:rsidRDefault="00DD29B0">
            <w:pPr>
              <w:spacing w:after="160" w:line="259" w:lineRule="auto"/>
              <w:jc w:val="center"/>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lastRenderedPageBreak/>
              <w:t>Referencia al peso de la información.</w:t>
            </w:r>
          </w:p>
        </w:tc>
        <w:tc>
          <w:tcPr>
            <w:tcW w:w="5386" w:type="dxa"/>
          </w:tcPr>
          <w:p w14:paraId="12038897" w14:textId="77777777" w:rsidR="00261355" w:rsidRPr="00381632" w:rsidRDefault="00DD29B0">
            <w:pPr>
              <w:spacing w:after="160" w:line="360" w:lineRule="auto"/>
              <w:rPr>
                <w:rFonts w:ascii="Palatino Linotype" w:eastAsia="Palatino Linotype" w:hAnsi="Palatino Linotype" w:cs="Palatino Linotype"/>
                <w:b/>
                <w:sz w:val="22"/>
                <w:szCs w:val="22"/>
              </w:rPr>
            </w:pPr>
            <w:r w:rsidRPr="00381632">
              <w:rPr>
                <w:noProof/>
              </w:rPr>
              <w:drawing>
                <wp:anchor distT="0" distB="0" distL="114300" distR="114300" simplePos="0" relativeHeight="251660288" behindDoc="0" locked="0" layoutInCell="1" hidden="0" allowOverlap="1" wp14:anchorId="667BDABF" wp14:editId="3883BF62">
                  <wp:simplePos x="0" y="0"/>
                  <wp:positionH relativeFrom="column">
                    <wp:posOffset>156210</wp:posOffset>
                  </wp:positionH>
                  <wp:positionV relativeFrom="paragraph">
                    <wp:posOffset>19685</wp:posOffset>
                  </wp:positionV>
                  <wp:extent cx="2495550" cy="1323975"/>
                  <wp:effectExtent l="0" t="0" r="0" b="0"/>
                  <wp:wrapTopAndBottom distT="0" distB="0"/>
                  <wp:docPr id="4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r="758" b="52721"/>
                          <a:stretch>
                            <a:fillRect/>
                          </a:stretch>
                        </pic:blipFill>
                        <pic:spPr>
                          <a:xfrm>
                            <a:off x="0" y="0"/>
                            <a:ext cx="2495550" cy="1323975"/>
                          </a:xfrm>
                          <a:prstGeom prst="rect">
                            <a:avLst/>
                          </a:prstGeom>
                          <a:ln/>
                        </pic:spPr>
                      </pic:pic>
                    </a:graphicData>
                  </a:graphic>
                </wp:anchor>
              </w:drawing>
            </w:r>
            <w:r w:rsidRPr="00381632">
              <w:rPr>
                <w:noProof/>
              </w:rPr>
              <w:drawing>
                <wp:anchor distT="0" distB="0" distL="114300" distR="114300" simplePos="0" relativeHeight="251661312" behindDoc="0" locked="0" layoutInCell="1" hidden="0" allowOverlap="1" wp14:anchorId="3151DEF4" wp14:editId="2CE31401">
                  <wp:simplePos x="0" y="0"/>
                  <wp:positionH relativeFrom="column">
                    <wp:posOffset>127635</wp:posOffset>
                  </wp:positionH>
                  <wp:positionV relativeFrom="paragraph">
                    <wp:posOffset>1477010</wp:posOffset>
                  </wp:positionV>
                  <wp:extent cx="2752725" cy="1390650"/>
                  <wp:effectExtent l="0" t="0" r="0" b="0"/>
                  <wp:wrapTopAndBottom distT="0" distB="0"/>
                  <wp:docPr id="3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857" b="52536"/>
                          <a:stretch>
                            <a:fillRect/>
                          </a:stretch>
                        </pic:blipFill>
                        <pic:spPr>
                          <a:xfrm>
                            <a:off x="0" y="0"/>
                            <a:ext cx="2752725" cy="1390650"/>
                          </a:xfrm>
                          <a:prstGeom prst="rect">
                            <a:avLst/>
                          </a:prstGeom>
                          <a:ln/>
                        </pic:spPr>
                      </pic:pic>
                    </a:graphicData>
                  </a:graphic>
                </wp:anchor>
              </w:drawing>
            </w:r>
          </w:p>
        </w:tc>
        <w:tc>
          <w:tcPr>
            <w:tcW w:w="2409" w:type="dxa"/>
          </w:tcPr>
          <w:p w14:paraId="2C9BD0CA" w14:textId="77777777" w:rsidR="00261355" w:rsidRPr="00381632" w:rsidRDefault="00DD29B0">
            <w:pPr>
              <w:spacing w:after="160" w:line="360" w:lineRule="auto"/>
              <w:jc w:val="center"/>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Sí</w:t>
            </w:r>
          </w:p>
        </w:tc>
      </w:tr>
      <w:tr w:rsidR="00381632" w:rsidRPr="00381632" w14:paraId="3037E8F0" w14:textId="77777777">
        <w:tc>
          <w:tcPr>
            <w:tcW w:w="1555" w:type="dxa"/>
          </w:tcPr>
          <w:p w14:paraId="1BA818C4" w14:textId="77777777" w:rsidR="00261355" w:rsidRPr="00381632" w:rsidRDefault="00DD29B0">
            <w:pPr>
              <w:spacing w:after="160" w:line="259" w:lineRule="auto"/>
              <w:jc w:val="center"/>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Referencia a otras modalidades de entrega de la información.</w:t>
            </w:r>
          </w:p>
        </w:tc>
        <w:tc>
          <w:tcPr>
            <w:tcW w:w="5386" w:type="dxa"/>
          </w:tcPr>
          <w:p w14:paraId="1ACAD8C5" w14:textId="77777777" w:rsidR="00261355" w:rsidRPr="00381632" w:rsidRDefault="00DD29B0">
            <w:pPr>
              <w:spacing w:after="160" w:line="276"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0"/>
                <w:szCs w:val="20"/>
              </w:rPr>
              <w:t xml:space="preserve">“…solicita se haga la incidencia correspondiente ante la Dirección General de Informática de este Instituto y ofrece la información en otras modalidades: </w:t>
            </w:r>
            <w:r w:rsidRPr="00381632">
              <w:rPr>
                <w:rFonts w:ascii="Palatino Linotype" w:eastAsia="Palatino Linotype" w:hAnsi="Palatino Linotype" w:cs="Palatino Linotype"/>
                <w:b/>
                <w:sz w:val="20"/>
                <w:szCs w:val="20"/>
              </w:rPr>
              <w:t>copias simples o certificadas, modalidad de entrega digital, modalidad de consulta directa y a través de correo certificado</w:t>
            </w:r>
            <w:r w:rsidRPr="00381632">
              <w:rPr>
                <w:rFonts w:ascii="Palatino Linotype" w:eastAsia="Palatino Linotype" w:hAnsi="Palatino Linotype" w:cs="Palatino Linotype"/>
                <w:sz w:val="20"/>
                <w:szCs w:val="20"/>
              </w:rPr>
              <w:t>.…”</w:t>
            </w:r>
          </w:p>
        </w:tc>
        <w:tc>
          <w:tcPr>
            <w:tcW w:w="2409" w:type="dxa"/>
          </w:tcPr>
          <w:p w14:paraId="72EAAE91" w14:textId="77777777" w:rsidR="00261355" w:rsidRPr="00381632" w:rsidRDefault="00DD29B0">
            <w:pPr>
              <w:spacing w:after="160"/>
              <w:jc w:val="center"/>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Sí</w:t>
            </w:r>
          </w:p>
        </w:tc>
      </w:tr>
      <w:tr w:rsidR="00381632" w:rsidRPr="00381632" w14:paraId="693DA08D" w14:textId="77777777">
        <w:tc>
          <w:tcPr>
            <w:tcW w:w="1555" w:type="dxa"/>
          </w:tcPr>
          <w:p w14:paraId="6BF00731" w14:textId="77777777" w:rsidR="00261355" w:rsidRPr="00381632" w:rsidRDefault="00DD29B0">
            <w:pPr>
              <w:spacing w:after="160" w:line="259" w:lineRule="auto"/>
              <w:jc w:val="center"/>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Referencia que la información se pone a disposición por 60 días</w:t>
            </w:r>
          </w:p>
        </w:tc>
        <w:tc>
          <w:tcPr>
            <w:tcW w:w="5386" w:type="dxa"/>
          </w:tcPr>
          <w:p w14:paraId="7250D1FE" w14:textId="77777777" w:rsidR="00261355" w:rsidRPr="00381632" w:rsidRDefault="00DD29B0">
            <w:pPr>
              <w:spacing w:after="160"/>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0"/>
                <w:szCs w:val="20"/>
              </w:rPr>
              <w:t xml:space="preserve">   Únicamente lo refiere para el caso de la consulta directa </w:t>
            </w:r>
          </w:p>
        </w:tc>
        <w:tc>
          <w:tcPr>
            <w:tcW w:w="2409" w:type="dxa"/>
          </w:tcPr>
          <w:p w14:paraId="2194EC65" w14:textId="77777777" w:rsidR="00261355" w:rsidRPr="00381632" w:rsidRDefault="00DD29B0">
            <w:pPr>
              <w:spacing w:after="160" w:line="360" w:lineRule="auto"/>
              <w:jc w:val="center"/>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Parcialmente</w:t>
            </w:r>
          </w:p>
        </w:tc>
      </w:tr>
      <w:tr w:rsidR="00381632" w:rsidRPr="00381632" w14:paraId="01E672BF" w14:textId="77777777">
        <w:tc>
          <w:tcPr>
            <w:tcW w:w="1555" w:type="dxa"/>
          </w:tcPr>
          <w:p w14:paraId="7C453476" w14:textId="77777777" w:rsidR="00261355" w:rsidRPr="00381632" w:rsidRDefault="00DD29B0">
            <w:pPr>
              <w:spacing w:after="160" w:line="259" w:lineRule="auto"/>
              <w:jc w:val="center"/>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lastRenderedPageBreak/>
              <w:t>Registro  de su incidencia ante informática</w:t>
            </w:r>
          </w:p>
        </w:tc>
        <w:tc>
          <w:tcPr>
            <w:tcW w:w="5386" w:type="dxa"/>
          </w:tcPr>
          <w:p w14:paraId="05FA7AA6" w14:textId="77777777" w:rsidR="00261355" w:rsidRPr="00381632" w:rsidRDefault="00DD29B0">
            <w:pPr>
              <w:spacing w:after="160" w:line="276"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drawing>
                <wp:inline distT="0" distB="0" distL="0" distR="0" wp14:anchorId="1E832A48" wp14:editId="28F9BD50">
                  <wp:extent cx="3282950" cy="1736725"/>
                  <wp:effectExtent l="0" t="0" r="0" b="0"/>
                  <wp:docPr id="4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282950" cy="1736725"/>
                          </a:xfrm>
                          <a:prstGeom prst="rect">
                            <a:avLst/>
                          </a:prstGeom>
                          <a:ln/>
                        </pic:spPr>
                      </pic:pic>
                    </a:graphicData>
                  </a:graphic>
                </wp:inline>
              </w:drawing>
            </w:r>
          </w:p>
          <w:p w14:paraId="753FD571" w14:textId="77777777" w:rsidR="00261355" w:rsidRPr="00381632" w:rsidRDefault="00DD29B0">
            <w:pPr>
              <w:spacing w:after="160" w:line="276"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noProof/>
                <w:sz w:val="22"/>
                <w:szCs w:val="22"/>
              </w:rPr>
              <w:drawing>
                <wp:inline distT="0" distB="0" distL="0" distR="0" wp14:anchorId="0FE05F89" wp14:editId="2DBDCA76">
                  <wp:extent cx="3282950" cy="1197610"/>
                  <wp:effectExtent l="0" t="0" r="0" b="0"/>
                  <wp:docPr id="4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3282950" cy="1197610"/>
                          </a:xfrm>
                          <a:prstGeom prst="rect">
                            <a:avLst/>
                          </a:prstGeom>
                          <a:ln/>
                        </pic:spPr>
                      </pic:pic>
                    </a:graphicData>
                  </a:graphic>
                </wp:inline>
              </w:drawing>
            </w:r>
          </w:p>
        </w:tc>
        <w:tc>
          <w:tcPr>
            <w:tcW w:w="2409" w:type="dxa"/>
          </w:tcPr>
          <w:p w14:paraId="2CEC5786" w14:textId="77777777" w:rsidR="00261355" w:rsidRPr="00381632" w:rsidRDefault="00DD29B0">
            <w:pPr>
              <w:spacing w:after="160" w:line="360" w:lineRule="auto"/>
              <w:jc w:val="center"/>
              <w:rPr>
                <w:rFonts w:ascii="Palatino Linotype" w:eastAsia="Palatino Linotype" w:hAnsi="Palatino Linotype" w:cs="Palatino Linotype"/>
                <w:b/>
                <w:sz w:val="22"/>
                <w:szCs w:val="22"/>
              </w:rPr>
            </w:pPr>
            <w:r w:rsidRPr="00381632">
              <w:rPr>
                <w:rFonts w:ascii="Palatino Linotype" w:eastAsia="Palatino Linotype" w:hAnsi="Palatino Linotype" w:cs="Palatino Linotype"/>
                <w:b/>
                <w:sz w:val="22"/>
                <w:szCs w:val="22"/>
              </w:rPr>
              <w:t>Sí</w:t>
            </w:r>
          </w:p>
        </w:tc>
      </w:tr>
    </w:tbl>
    <w:p w14:paraId="00CCAC4F" w14:textId="77777777" w:rsidR="00261355" w:rsidRPr="00381632" w:rsidRDefault="00261355">
      <w:pPr>
        <w:spacing w:line="360" w:lineRule="auto"/>
        <w:jc w:val="both"/>
        <w:rPr>
          <w:rFonts w:ascii="Palatino Linotype" w:eastAsia="Palatino Linotype" w:hAnsi="Palatino Linotype" w:cs="Palatino Linotype"/>
          <w:sz w:val="22"/>
          <w:szCs w:val="22"/>
        </w:rPr>
      </w:pPr>
    </w:p>
    <w:p w14:paraId="46FAF88A" w14:textId="77777777" w:rsidR="00261355" w:rsidRPr="00381632" w:rsidRDefault="00DD29B0">
      <w:pP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Por lo anteriormente esquematizado, se puede observar que si bien es cierto el cambio de modalidad propuesto por el</w:t>
      </w:r>
      <w:r w:rsidRPr="00381632">
        <w:rPr>
          <w:rFonts w:ascii="Palatino Linotype" w:eastAsia="Palatino Linotype" w:hAnsi="Palatino Linotype" w:cs="Palatino Linotype"/>
          <w:b/>
          <w:sz w:val="22"/>
          <w:szCs w:val="22"/>
        </w:rPr>
        <w:t xml:space="preserve"> Sujeto Obligado parcialmente cumple</w:t>
      </w:r>
      <w:r w:rsidRPr="00381632">
        <w:rPr>
          <w:rFonts w:ascii="Palatino Linotype" w:eastAsia="Palatino Linotype" w:hAnsi="Palatino Linotype" w:cs="Palatino Linotype"/>
          <w:sz w:val="22"/>
          <w:szCs w:val="22"/>
        </w:rPr>
        <w:t xml:space="preserve"> con las formalidades establecidas por los ordenamientos en materia de transparencia, en virtud de que se hizo del conocimiento de </w:t>
      </w:r>
      <w:r w:rsidRPr="00381632">
        <w:rPr>
          <w:rFonts w:ascii="Palatino Linotype" w:eastAsia="Palatino Linotype" w:hAnsi="Palatino Linotype" w:cs="Palatino Linotype"/>
          <w:b/>
          <w:sz w:val="22"/>
          <w:szCs w:val="22"/>
        </w:rPr>
        <w:t xml:space="preserve">la parte Recurrente, </w:t>
      </w:r>
      <w:r w:rsidRPr="00381632">
        <w:rPr>
          <w:rFonts w:ascii="Palatino Linotype" w:eastAsia="Palatino Linotype" w:hAnsi="Palatino Linotype" w:cs="Palatino Linotype"/>
          <w:sz w:val="22"/>
          <w:szCs w:val="22"/>
        </w:rPr>
        <w:t>la puesta a</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 xml:space="preserve">disposición de la información en otras modalidades de entrega de la información y se registró la incidencia técnica ante la Dirección General de Informática, no menos cierto es que respecto del peso de la información, no se tiene certeza si este atiende concretamente a los expedientes o las determinaciones en sí; además de que se visualizan inconsistencias entre los números de resoluciones los pesos reportados pues para 2022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en las capturas de pantalla que adjunta para dar cuenta de la capacidad, asevera contar con 59 archivos relativos a resoluciones no graves de 2022 y para 2023-2024 refiere contar con 168 archivos mientras que en el oficio del contralor se está haciendo referencia a que son 60 resoluciones para 2022 y 167 para 2023-2024. </w:t>
      </w:r>
      <w:r w:rsidRPr="00381632">
        <w:rPr>
          <w:rFonts w:ascii="Palatino Linotype" w:eastAsia="Palatino Linotype" w:hAnsi="Palatino Linotype" w:cs="Palatino Linotype"/>
          <w:b/>
          <w:sz w:val="22"/>
          <w:szCs w:val="22"/>
        </w:rPr>
        <w:t>E</w:t>
      </w:r>
      <w:r w:rsidRPr="00381632">
        <w:rPr>
          <w:rFonts w:ascii="Palatino Linotype" w:eastAsia="Palatino Linotype" w:hAnsi="Palatino Linotype" w:cs="Palatino Linotype"/>
          <w:b/>
          <w:sz w:val="22"/>
          <w:szCs w:val="22"/>
          <w:u w:val="single"/>
        </w:rPr>
        <w:t xml:space="preserve">n atención a ello, es dable afirmar que a partir de estos </w:t>
      </w:r>
      <w:r w:rsidRPr="00381632">
        <w:rPr>
          <w:rFonts w:ascii="Palatino Linotype" w:eastAsia="Palatino Linotype" w:hAnsi="Palatino Linotype" w:cs="Palatino Linotype"/>
          <w:b/>
          <w:sz w:val="22"/>
          <w:szCs w:val="22"/>
          <w:u w:val="single"/>
        </w:rPr>
        <w:lastRenderedPageBreak/>
        <w:t>elementos no es posible determinar que estemos ante una incapacidad técnica para cargar la información al SAIMEX, pues en los momentos procesales oportunos no se puntualizó dicha situación.</w:t>
      </w:r>
    </w:p>
    <w:p w14:paraId="251DAC8E"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Aunado a lo descrito, el Organismo Garante Nacional, ha considerado que no resulta suficiente justificar una imposibilidad técnica y humana para acreditar un cambio de 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se tiene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proporcionó otras modalidades  para de la entrega de la información, a través de su respuesta que adjuntó al Sistema de Acceso a la Información Mexiquense (SAIMEX); tal como copia simple o certificada; de disco compacto, medios de almacenamiento (USB), e incluso su envió a través de correo certificado previo pago de los costos de reproducción correspondientes, o sin costo si la persona solicitante proporciona los medios para la entrega de la misma.</w:t>
      </w:r>
    </w:p>
    <w:p w14:paraId="7E7195EE" w14:textId="77777777" w:rsidR="00261355" w:rsidRPr="00381632" w:rsidRDefault="00DD29B0">
      <w:pPr>
        <w:spacing w:line="360" w:lineRule="auto"/>
        <w:jc w:val="both"/>
        <w:rPr>
          <w:sz w:val="22"/>
          <w:szCs w:val="22"/>
        </w:rPr>
      </w:pPr>
      <w:r w:rsidRPr="00381632">
        <w:rPr>
          <w:rFonts w:ascii="Palatino Linotype" w:eastAsia="Palatino Linotype" w:hAnsi="Palatino Linotype" w:cs="Palatino Linotype"/>
          <w:sz w:val="22"/>
          <w:szCs w:val="22"/>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6691BD33" w14:textId="77777777" w:rsidR="00261355" w:rsidRPr="00381632" w:rsidRDefault="00261355">
      <w:pPr>
        <w:spacing w:line="360" w:lineRule="auto"/>
        <w:rPr>
          <w:sz w:val="22"/>
          <w:szCs w:val="22"/>
        </w:rPr>
      </w:pPr>
    </w:p>
    <w:p w14:paraId="0014438B" w14:textId="77777777" w:rsidR="00261355" w:rsidRPr="00381632" w:rsidRDefault="00DD29B0">
      <w:pPr>
        <w:spacing w:after="120"/>
        <w:ind w:left="567" w:right="902"/>
        <w:jc w:val="center"/>
        <w:rPr>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CAPÍTULO X</w:t>
      </w:r>
    </w:p>
    <w:p w14:paraId="246FE232" w14:textId="77777777" w:rsidR="00261355" w:rsidRPr="00381632" w:rsidRDefault="00DD29B0">
      <w:pPr>
        <w:spacing w:before="120" w:after="120"/>
        <w:ind w:left="567" w:right="902"/>
        <w:jc w:val="center"/>
        <w:rPr>
          <w:sz w:val="22"/>
          <w:szCs w:val="22"/>
        </w:rPr>
      </w:pPr>
      <w:r w:rsidRPr="00381632">
        <w:rPr>
          <w:rFonts w:ascii="Palatino Linotype" w:eastAsia="Palatino Linotype" w:hAnsi="Palatino Linotype" w:cs="Palatino Linotype"/>
          <w:b/>
          <w:i/>
          <w:sz w:val="22"/>
          <w:szCs w:val="22"/>
        </w:rPr>
        <w:t>DE LA CONSULTA DIRECTA</w:t>
      </w:r>
    </w:p>
    <w:p w14:paraId="73456291"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lastRenderedPageBreak/>
        <w:t>Sexagésimo séptimo</w:t>
      </w:r>
      <w:r w:rsidRPr="00381632">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381632">
        <w:rPr>
          <w:rFonts w:ascii="Palatino Linotype" w:eastAsia="Palatino Linotype" w:hAnsi="Palatino Linotype" w:cs="Palatino Linotype"/>
          <w:b/>
          <w:i/>
          <w:sz w:val="22"/>
          <w:szCs w:val="22"/>
        </w:rPr>
        <w:t>deberá emitir la resolución en la que funde y motive la clasificación</w:t>
      </w:r>
      <w:r w:rsidRPr="00381632">
        <w:rPr>
          <w:rFonts w:ascii="Palatino Linotype" w:eastAsia="Palatino Linotype" w:hAnsi="Palatino Linotype" w:cs="Palatino Linotype"/>
          <w:i/>
          <w:sz w:val="22"/>
          <w:szCs w:val="22"/>
        </w:rPr>
        <w:t xml:space="preserve"> de las partes o secciones que no podrán dejarse a la vista del solicitante. </w:t>
      </w:r>
    </w:p>
    <w:p w14:paraId="47E34A50"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Sexagésimo octavo</w:t>
      </w:r>
      <w:r w:rsidRPr="00381632">
        <w:rPr>
          <w:rFonts w:ascii="Palatino Linotype" w:eastAsia="Palatino Linotype" w:hAnsi="Palatino Linotype" w:cs="Palatino Linotype"/>
          <w:i/>
          <w:sz w:val="22"/>
          <w:szCs w:val="22"/>
        </w:rPr>
        <w:t xml:space="preserve">. En la </w:t>
      </w:r>
      <w:r w:rsidRPr="00381632">
        <w:rPr>
          <w:rFonts w:ascii="Palatino Linotype" w:eastAsia="Palatino Linotype" w:hAnsi="Palatino Linotype" w:cs="Palatino Linotype"/>
          <w:b/>
          <w:i/>
          <w:sz w:val="22"/>
          <w:szCs w:val="22"/>
        </w:rPr>
        <w:t>resolución del Comité de Transparencia</w:t>
      </w:r>
      <w:r w:rsidRPr="00381632">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75A6BFCB"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Sexagésimo noveno</w:t>
      </w:r>
      <w:r w:rsidRPr="00381632">
        <w:rPr>
          <w:rFonts w:ascii="Palatino Linotype" w:eastAsia="Palatino Linotype" w:hAnsi="Palatino Linotype" w:cs="Palatino Linotype"/>
          <w:i/>
          <w:sz w:val="22"/>
          <w:szCs w:val="22"/>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1918BBB2"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Septuagésimo</w:t>
      </w:r>
      <w:r w:rsidRPr="00381632">
        <w:rPr>
          <w:rFonts w:ascii="Palatino Linotype" w:eastAsia="Palatino Linotype" w:hAnsi="Palatino Linotype" w:cs="Palatino Linotype"/>
          <w:i/>
          <w:sz w:val="22"/>
          <w:szCs w:val="22"/>
        </w:rPr>
        <w:t>. Para el desahogo de las actuaciones tendientes a permitir la consulta directa, en los casos en que ésta resulte procedente, los sujetos obligados deberán observar lo siguiente: </w:t>
      </w:r>
    </w:p>
    <w:p w14:paraId="64E55355"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I.</w:t>
      </w:r>
      <w:r w:rsidRPr="00381632">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CBAE282"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II.</w:t>
      </w:r>
      <w:r w:rsidRPr="00381632">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38906E04"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III.</w:t>
      </w:r>
      <w:r w:rsidRPr="00381632">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17D972A9"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IV.</w:t>
      </w:r>
      <w:r w:rsidRPr="00381632">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0C1083C1"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lastRenderedPageBreak/>
        <w:t>V.</w:t>
      </w:r>
      <w:r w:rsidRPr="00381632">
        <w:rPr>
          <w:rFonts w:ascii="Palatino Linotype" w:eastAsia="Palatino Linotype" w:hAnsi="Palatino Linotype" w:cs="Palatino Linotype"/>
          <w:i/>
          <w:sz w:val="22"/>
          <w:szCs w:val="22"/>
        </w:rPr>
        <w:t xml:space="preserve"> Abstenerse de requerir al solicitante que acredite interés alguno; </w:t>
      </w:r>
    </w:p>
    <w:p w14:paraId="709B4C17"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VI.</w:t>
      </w:r>
      <w:r w:rsidRPr="00381632">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0C30B6A"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a)</w:t>
      </w:r>
      <w:r w:rsidRPr="00381632">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25999B21"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b)</w:t>
      </w:r>
      <w:r w:rsidRPr="00381632">
        <w:rPr>
          <w:rFonts w:ascii="Palatino Linotype" w:eastAsia="Palatino Linotype" w:hAnsi="Palatino Linotype" w:cs="Palatino Linotype"/>
          <w:i/>
          <w:sz w:val="22"/>
          <w:szCs w:val="22"/>
        </w:rPr>
        <w:t xml:space="preserve"> Equipo y personal de vigilancia;</w:t>
      </w:r>
    </w:p>
    <w:p w14:paraId="10E10E9E"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c)</w:t>
      </w:r>
      <w:r w:rsidRPr="00381632">
        <w:rPr>
          <w:rFonts w:ascii="Palatino Linotype" w:eastAsia="Palatino Linotype" w:hAnsi="Palatino Linotype" w:cs="Palatino Linotype"/>
          <w:i/>
          <w:sz w:val="22"/>
          <w:szCs w:val="22"/>
        </w:rPr>
        <w:t xml:space="preserve"> Plan de acción contra robo o vandalismo; </w:t>
      </w:r>
    </w:p>
    <w:p w14:paraId="24FA7DC5"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d)</w:t>
      </w:r>
      <w:r w:rsidRPr="00381632">
        <w:rPr>
          <w:rFonts w:ascii="Palatino Linotype" w:eastAsia="Palatino Linotype" w:hAnsi="Palatino Linotype" w:cs="Palatino Linotype"/>
          <w:i/>
          <w:sz w:val="22"/>
          <w:szCs w:val="22"/>
        </w:rPr>
        <w:t xml:space="preserve"> Extintores de fuego de gas inocuo; </w:t>
      </w:r>
    </w:p>
    <w:p w14:paraId="38B7B526"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e)</w:t>
      </w:r>
      <w:r w:rsidRPr="00381632">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7AAD50B0"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f)</w:t>
      </w:r>
      <w:r w:rsidRPr="00381632">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65FD60A1"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g)</w:t>
      </w:r>
      <w:r w:rsidRPr="00381632">
        <w:rPr>
          <w:rFonts w:ascii="Palatino Linotype" w:eastAsia="Palatino Linotype" w:hAnsi="Palatino Linotype" w:cs="Palatino Linotype"/>
          <w:i/>
          <w:sz w:val="22"/>
          <w:szCs w:val="22"/>
        </w:rPr>
        <w:t xml:space="preserve"> Las demás que, a criterio de los sujetos obligados, resulten necesarias. </w:t>
      </w:r>
    </w:p>
    <w:p w14:paraId="4470E185"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VII.</w:t>
      </w:r>
      <w:r w:rsidRPr="00381632">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39888DC6"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VIII.</w:t>
      </w:r>
      <w:r w:rsidRPr="00381632">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381632">
        <w:rPr>
          <w:rFonts w:ascii="Palatino Linotype" w:eastAsia="Palatino Linotype" w:hAnsi="Palatino Linotype" w:cs="Palatino Linotype"/>
          <w:b/>
          <w:i/>
          <w:sz w:val="22"/>
          <w:szCs w:val="22"/>
        </w:rPr>
        <w:t>previo al acceso a la información, la resolución debidamente fundada y motivada del Comité de Transparencia, en la que se clasificaron las partes o secciones que no podrán dejarse a la vista del solicitante. </w:t>
      </w:r>
    </w:p>
    <w:p w14:paraId="46B3B255"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 xml:space="preserve">Septuagésimo primero. </w:t>
      </w:r>
      <w:r w:rsidRPr="00381632">
        <w:rPr>
          <w:rFonts w:ascii="Palatino Linotype" w:eastAsia="Palatino Linotype" w:hAnsi="Palatino Linotype" w:cs="Palatino Linotype"/>
          <w:i/>
          <w:sz w:val="22"/>
          <w:szCs w:val="22"/>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6CD32B4"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i/>
          <w:sz w:val="22"/>
          <w:szCs w:val="22"/>
        </w:rPr>
        <w:t>El solicitante deberá observar en todo momento las reglas que el sujeto obligado haya hecho de su conocimiento para efectos de la conservación de los documentos. </w:t>
      </w:r>
    </w:p>
    <w:p w14:paraId="391F1CB3"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Septuagésimo segundo.</w:t>
      </w:r>
      <w:r w:rsidRPr="00381632">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799CDBDC"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i/>
          <w:sz w:val="22"/>
          <w:szCs w:val="22"/>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11AB8927"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b/>
          <w:i/>
          <w:sz w:val="22"/>
          <w:szCs w:val="22"/>
        </w:rPr>
        <w:t>Septuagésimo tercero</w:t>
      </w:r>
      <w:r w:rsidRPr="00381632">
        <w:rPr>
          <w:rFonts w:ascii="Palatino Linotype" w:eastAsia="Palatino Linotype" w:hAnsi="Palatino Linotype" w:cs="Palatino Linotype"/>
          <w:i/>
          <w:sz w:val="22"/>
          <w:szCs w:val="22"/>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7CB944F4" w14:textId="77777777" w:rsidR="00261355" w:rsidRPr="00381632" w:rsidRDefault="00DD29B0">
      <w:pPr>
        <w:spacing w:before="120" w:after="120"/>
        <w:ind w:left="567" w:right="902"/>
        <w:jc w:val="both"/>
        <w:rPr>
          <w:sz w:val="22"/>
          <w:szCs w:val="22"/>
        </w:rPr>
      </w:pPr>
      <w:r w:rsidRPr="00381632">
        <w:rPr>
          <w:rFonts w:ascii="Palatino Linotype" w:eastAsia="Palatino Linotype" w:hAnsi="Palatino Linotype" w:cs="Palatino Linotype"/>
          <w:i/>
          <w:sz w:val="22"/>
          <w:szCs w:val="22"/>
        </w:rPr>
        <w:t>La información deberá ser entregada sin costo, cuando implique la entrega de no más de veinte hojas simples.”</w:t>
      </w:r>
    </w:p>
    <w:p w14:paraId="6A972FC9" w14:textId="77777777" w:rsidR="00261355" w:rsidRPr="00381632" w:rsidRDefault="00261355">
      <w:pPr>
        <w:ind w:left="567"/>
        <w:rPr>
          <w:sz w:val="22"/>
          <w:szCs w:val="22"/>
        </w:rPr>
      </w:pPr>
    </w:p>
    <w:p w14:paraId="451128A2" w14:textId="77777777" w:rsidR="00261355" w:rsidRPr="00381632" w:rsidRDefault="00DD29B0">
      <w:pP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Preceptos legales que de igual forma fueron inobservados por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para hacer el cambio de modalidad de entrega de la información. </w:t>
      </w:r>
    </w:p>
    <w:p w14:paraId="3E5096EF" w14:textId="77777777" w:rsidR="00261355" w:rsidRPr="00381632" w:rsidRDefault="00261355">
      <w:pPr>
        <w:spacing w:line="360" w:lineRule="auto"/>
        <w:jc w:val="both"/>
        <w:rPr>
          <w:rFonts w:ascii="Palatino Linotype" w:eastAsia="Palatino Linotype" w:hAnsi="Palatino Linotype" w:cs="Palatino Linotype"/>
          <w:sz w:val="22"/>
          <w:szCs w:val="22"/>
        </w:rPr>
      </w:pPr>
    </w:p>
    <w:p w14:paraId="34BB1EA0" w14:textId="77777777" w:rsidR="00261355" w:rsidRPr="00381632" w:rsidRDefault="00DD29B0">
      <w:pPr>
        <w:widowControl w:val="0"/>
        <w:tabs>
          <w:tab w:val="left" w:pos="1276"/>
        </w:tabs>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Preceptos legales que de igual forma fueron inobservados por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para hacer el cambio de modalidad de entrega de la información. </w:t>
      </w:r>
    </w:p>
    <w:p w14:paraId="0992A4C3" w14:textId="77777777" w:rsidR="00261355" w:rsidRPr="00381632" w:rsidRDefault="00DD29B0">
      <w:pPr>
        <w:widowControl w:val="0"/>
        <w:tabs>
          <w:tab w:val="left" w:pos="1276"/>
        </w:tabs>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En quinto punto, es preciso señalar que dentro de la respuesta del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no obra la debida fundamentación y motivación para justificar la imposibilidad técnica para entregar la información solicitada pues no precisa en concreto si los pesos que refiere en sus informes justificado corresponden a las determinaciones en concreto o a los expedientes generados, por lo que es de señalar que el máximo tribunal del país ha establecido jurisprudencia respecto a qué debe entenderse por fundamentación y motivación, en los siguientes términos:</w:t>
      </w:r>
    </w:p>
    <w:p w14:paraId="59C78F00" w14:textId="77777777" w:rsidR="00261355" w:rsidRPr="00381632" w:rsidRDefault="00DD29B0">
      <w:pPr>
        <w:widowControl w:val="0"/>
        <w:tabs>
          <w:tab w:val="left" w:pos="1276"/>
        </w:tabs>
        <w:ind w:left="851" w:right="902"/>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b/>
          <w:i/>
          <w:sz w:val="22"/>
          <w:szCs w:val="22"/>
        </w:rPr>
        <w:t>“FUNDAMENTACIÓN Y MOTIVACIÓN.</w:t>
      </w:r>
      <w:r w:rsidRPr="00381632">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w:t>
      </w:r>
      <w:r w:rsidRPr="00381632">
        <w:rPr>
          <w:rFonts w:ascii="Palatino Linotype" w:eastAsia="Palatino Linotype" w:hAnsi="Palatino Linotype" w:cs="Palatino Linotype"/>
          <w:i/>
          <w:sz w:val="22"/>
          <w:szCs w:val="22"/>
        </w:rPr>
        <w:lastRenderedPageBreak/>
        <w:t xml:space="preserve">en el supuesto previsto por la norma legal invocada como fundamento…” </w:t>
      </w:r>
    </w:p>
    <w:p w14:paraId="57C5DBC0" w14:textId="77777777" w:rsidR="00261355" w:rsidRPr="00381632" w:rsidRDefault="00DD29B0">
      <w:pPr>
        <w:widowControl w:val="0"/>
        <w:tabs>
          <w:tab w:val="left" w:pos="1276"/>
        </w:tabs>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C8C2C0A" w14:textId="77777777" w:rsidR="00261355" w:rsidRPr="00381632" w:rsidRDefault="00DD29B0">
      <w:pPr>
        <w:widowControl w:val="0"/>
        <w:tabs>
          <w:tab w:val="left" w:pos="1276"/>
        </w:tabs>
        <w:ind w:left="851" w:right="902"/>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381632">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8826CEE" w14:textId="77777777" w:rsidR="00261355" w:rsidRPr="00381632" w:rsidRDefault="00261355">
      <w:pPr>
        <w:widowControl w:val="0"/>
        <w:tabs>
          <w:tab w:val="left" w:pos="1276"/>
        </w:tabs>
        <w:spacing w:line="360" w:lineRule="auto"/>
        <w:jc w:val="both"/>
        <w:rPr>
          <w:rFonts w:ascii="Palatino Linotype" w:eastAsia="Palatino Linotype" w:hAnsi="Palatino Linotype" w:cs="Palatino Linotype"/>
        </w:rPr>
      </w:pPr>
    </w:p>
    <w:p w14:paraId="0E998C27" w14:textId="77777777" w:rsidR="00261355" w:rsidRPr="00381632" w:rsidRDefault="00DD29B0">
      <w:pPr>
        <w:widowControl w:val="0"/>
        <w:tabs>
          <w:tab w:val="left" w:pos="1276"/>
        </w:tabs>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Por lo cual, la fundamentación y motivación implica que, en el acto de autoridad, además de contenerse los supuestos jurídicos aplicables, debe de explicarse claramente por qué a </w:t>
      </w:r>
      <w:r w:rsidRPr="00381632">
        <w:rPr>
          <w:rFonts w:ascii="Palatino Linotype" w:eastAsia="Palatino Linotype" w:hAnsi="Palatino Linotype" w:cs="Palatino Linotype"/>
          <w:sz w:val="22"/>
          <w:szCs w:val="22"/>
        </w:rPr>
        <w:lastRenderedPageBreak/>
        <w:t>través de la utilización de la norma se emitió el acto. De este modo, la persona que se siente afectada pueda impugnar la decisión, permitiéndole una real y auténtica defensa, circunstancia que no se actualizó en el presente asunto.</w:t>
      </w:r>
    </w:p>
    <w:p w14:paraId="33A275A8" w14:textId="77777777" w:rsidR="00261355" w:rsidRPr="00381632" w:rsidRDefault="00261355">
      <w:pPr>
        <w:spacing w:line="360" w:lineRule="auto"/>
        <w:jc w:val="both"/>
        <w:rPr>
          <w:rFonts w:ascii="Palatino Linotype" w:eastAsia="Palatino Linotype" w:hAnsi="Palatino Linotype" w:cs="Palatino Linotype"/>
          <w:sz w:val="22"/>
          <w:szCs w:val="22"/>
        </w:rPr>
      </w:pPr>
    </w:p>
    <w:p w14:paraId="7A887E6D" w14:textId="77777777" w:rsidR="00261355" w:rsidRPr="00381632" w:rsidRDefault="00DD29B0">
      <w:pP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Bajo esta óptica, se colige que el derecho de la persona solicitante de acceder a los documentos que obran en posesión del </w:t>
      </w:r>
      <w:r w:rsidRPr="00381632">
        <w:rPr>
          <w:rFonts w:ascii="Palatino Linotype" w:eastAsia="Palatino Linotype" w:hAnsi="Palatino Linotype" w:cs="Palatino Linotype"/>
          <w:b/>
          <w:sz w:val="22"/>
          <w:szCs w:val="22"/>
        </w:rPr>
        <w:t xml:space="preserve">Sujeto Obligado </w:t>
      </w:r>
      <w:r w:rsidRPr="00381632">
        <w:rPr>
          <w:rFonts w:ascii="Palatino Linotype" w:eastAsia="Palatino Linotype" w:hAnsi="Palatino Linotype" w:cs="Palatino Linotype"/>
          <w:sz w:val="22"/>
          <w:szCs w:val="22"/>
        </w:rPr>
        <w:t xml:space="preserve">no ha sido satisfecho,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debe ceñir su actuar a la conservación patrimonial de sus archivos documentales y posteriormente el acceso de la información pública, buscando la disponibilidad de los mismos.</w:t>
      </w:r>
    </w:p>
    <w:p w14:paraId="616717FA" w14:textId="77777777" w:rsidR="00261355" w:rsidRPr="00381632" w:rsidRDefault="00261355">
      <w:pPr>
        <w:spacing w:line="360" w:lineRule="auto"/>
        <w:jc w:val="both"/>
        <w:rPr>
          <w:rFonts w:ascii="Palatino Linotype" w:eastAsia="Palatino Linotype" w:hAnsi="Palatino Linotype" w:cs="Palatino Linotype"/>
          <w:sz w:val="22"/>
          <w:szCs w:val="22"/>
        </w:rPr>
      </w:pPr>
    </w:p>
    <w:p w14:paraId="4B0FBFBD" w14:textId="77777777" w:rsidR="00261355" w:rsidRPr="00381632" w:rsidRDefault="00DD29B0">
      <w:pP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En este tenor, se colige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no acreditó la imposibilidad técnica para proporcionar la información solicitada a través del SAIMEX, ni se fundó ni motivó las razones por las que era necesario realizar un cambio de modalidad de entrega de la información.</w:t>
      </w:r>
    </w:p>
    <w:p w14:paraId="363BA168" w14:textId="77777777" w:rsidR="00261355" w:rsidRPr="00381632" w:rsidRDefault="00261355">
      <w:pPr>
        <w:spacing w:line="360" w:lineRule="auto"/>
        <w:jc w:val="both"/>
        <w:rPr>
          <w:rFonts w:ascii="Palatino Linotype" w:eastAsia="Palatino Linotype" w:hAnsi="Palatino Linotype" w:cs="Palatino Linotype"/>
          <w:sz w:val="22"/>
          <w:szCs w:val="22"/>
        </w:rPr>
      </w:pPr>
    </w:p>
    <w:p w14:paraId="28ABF444" w14:textId="77777777" w:rsidR="00261355" w:rsidRPr="00381632" w:rsidRDefault="00DD29B0">
      <w:pPr>
        <w:spacing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En este tenor, se colige que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no acreditó la imposibilidad técnica para proporcionar la información solicitada a través del SAIMEX; por lo cual, no resulta procedente el cambio de modalidad en la entrega de la información.</w:t>
      </w:r>
    </w:p>
    <w:p w14:paraId="67C6943D" w14:textId="77777777" w:rsidR="00261355" w:rsidRPr="00381632" w:rsidRDefault="00261355">
      <w:pPr>
        <w:spacing w:line="360" w:lineRule="auto"/>
        <w:jc w:val="both"/>
        <w:rPr>
          <w:rFonts w:ascii="Palatino Linotype" w:eastAsia="Palatino Linotype" w:hAnsi="Palatino Linotype" w:cs="Palatino Linotype"/>
          <w:sz w:val="22"/>
          <w:szCs w:val="22"/>
        </w:rPr>
      </w:pPr>
    </w:p>
    <w:p w14:paraId="4831E990" w14:textId="77777777" w:rsidR="00261355" w:rsidRPr="00381632" w:rsidRDefault="00DD29B0">
      <w:pPr>
        <w:spacing w:after="160" w:line="360" w:lineRule="auto"/>
        <w:jc w:val="both"/>
        <w:rPr>
          <w:rFonts w:ascii="Palatino Linotype" w:eastAsia="Palatino Linotype" w:hAnsi="Palatino Linotype" w:cs="Palatino Linotype"/>
          <w:b/>
          <w:sz w:val="22"/>
          <w:szCs w:val="22"/>
          <w:u w:val="single"/>
        </w:rPr>
      </w:pPr>
      <w:r w:rsidRPr="00381632">
        <w:rPr>
          <w:rFonts w:ascii="Palatino Linotype" w:eastAsia="Palatino Linotype" w:hAnsi="Palatino Linotype" w:cs="Palatino Linotype"/>
          <w:sz w:val="22"/>
          <w:szCs w:val="22"/>
        </w:rPr>
        <w:t>Expuestas estas consideraciones, se tiene que el Sujeto</w:t>
      </w:r>
      <w:r w:rsidRPr="00381632">
        <w:rPr>
          <w:rFonts w:ascii="Palatino Linotype" w:eastAsia="Palatino Linotype" w:hAnsi="Palatino Linotype" w:cs="Palatino Linotype"/>
          <w:b/>
          <w:sz w:val="22"/>
          <w:szCs w:val="22"/>
        </w:rPr>
        <w:t xml:space="preserve"> Obligado</w:t>
      </w:r>
      <w:r w:rsidRPr="00381632">
        <w:rPr>
          <w:rFonts w:ascii="Palatino Linotype" w:eastAsia="Palatino Linotype" w:hAnsi="Palatino Linotype" w:cs="Palatino Linotype"/>
          <w:sz w:val="22"/>
          <w:szCs w:val="22"/>
        </w:rPr>
        <w:t xml:space="preserve">, no acreditó imposibilidad alguna para la procedencia del cambio de modalidad a consulta directa; en razón de que </w:t>
      </w:r>
      <w:r w:rsidRPr="00381632">
        <w:rPr>
          <w:rFonts w:ascii="Palatino Linotype" w:eastAsia="Palatino Linotype" w:hAnsi="Palatino Linotype" w:cs="Palatino Linotype"/>
          <w:b/>
          <w:sz w:val="22"/>
          <w:szCs w:val="22"/>
          <w:u w:val="single"/>
        </w:rPr>
        <w:t>no demostró lo siguiente:</w:t>
      </w:r>
    </w:p>
    <w:p w14:paraId="3DDA0763" w14:textId="77777777" w:rsidR="00261355" w:rsidRPr="00381632" w:rsidRDefault="00DD29B0">
      <w:pPr>
        <w:numPr>
          <w:ilvl w:val="0"/>
          <w:numId w:val="8"/>
        </w:numPr>
        <w:pBdr>
          <w:top w:val="nil"/>
          <w:left w:val="nil"/>
          <w:bottom w:val="nil"/>
          <w:right w:val="nil"/>
          <w:between w:val="nil"/>
        </w:pBdr>
        <w:spacing w:before="240" w:after="160" w:line="360" w:lineRule="auto"/>
        <w:ind w:left="567" w:right="900" w:hanging="283"/>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 xml:space="preserve">Que concretamente en las solicitudes de información </w:t>
      </w:r>
      <w:r w:rsidRPr="00381632">
        <w:rPr>
          <w:rFonts w:ascii="Palatino Linotype" w:eastAsia="Palatino Linotype" w:hAnsi="Palatino Linotype" w:cs="Palatino Linotype"/>
          <w:b/>
          <w:sz w:val="22"/>
          <w:szCs w:val="22"/>
        </w:rPr>
        <w:t xml:space="preserve">00116/METEPEC/IP/2024 y 00115/METEPEC/IP/2024, </w:t>
      </w:r>
      <w:r w:rsidRPr="00381632">
        <w:rPr>
          <w:rFonts w:ascii="Palatino Linotype" w:eastAsia="Palatino Linotype" w:hAnsi="Palatino Linotype" w:cs="Palatino Linotype"/>
          <w:sz w:val="22"/>
          <w:szCs w:val="22"/>
        </w:rPr>
        <w:t>se cuenta con la imposibilidad técnica para hacer entrega de la información vía SAIMEX pues no se tiene certeza si los pesos a los que está haciendo referencia corresponden a los expedientes o a las determinaciones solicitadas.</w:t>
      </w:r>
    </w:p>
    <w:p w14:paraId="705A4524" w14:textId="77777777" w:rsidR="00261355" w:rsidRPr="00381632" w:rsidRDefault="00DD29B0">
      <w:pPr>
        <w:numPr>
          <w:ilvl w:val="0"/>
          <w:numId w:val="8"/>
        </w:numPr>
        <w:pBdr>
          <w:top w:val="nil"/>
          <w:left w:val="nil"/>
          <w:bottom w:val="nil"/>
          <w:right w:val="nil"/>
          <w:between w:val="nil"/>
        </w:pBdr>
        <w:spacing w:before="240" w:after="160" w:line="360" w:lineRule="auto"/>
        <w:ind w:left="567" w:right="990" w:hanging="147"/>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t>Las razones y fundamentos suficientes para no entregar la información a través del SAIMEX.</w:t>
      </w:r>
    </w:p>
    <w:p w14:paraId="521B70A9" w14:textId="77777777" w:rsidR="00261355" w:rsidRPr="00381632" w:rsidRDefault="00DD29B0">
      <w:pPr>
        <w:spacing w:line="360" w:lineRule="auto"/>
        <w:jc w:val="both"/>
        <w:rPr>
          <w:rFonts w:ascii="Palatino Linotype" w:eastAsia="Palatino Linotype" w:hAnsi="Palatino Linotype" w:cs="Palatino Linotype"/>
          <w:sz w:val="22"/>
          <w:szCs w:val="22"/>
        </w:rPr>
      </w:pPr>
      <w:bookmarkStart w:id="2" w:name="_heading=h.4d34og8" w:colFirst="0" w:colLast="0"/>
      <w:bookmarkEnd w:id="2"/>
      <w:r w:rsidRPr="00381632">
        <w:rPr>
          <w:rFonts w:ascii="Palatino Linotype" w:eastAsia="Palatino Linotype" w:hAnsi="Palatino Linotype" w:cs="Palatino Linotype"/>
          <w:sz w:val="22"/>
          <w:szCs w:val="22"/>
        </w:rPr>
        <w:t xml:space="preserve">Es por ello que para este Instituto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no acreditó la imposibilidad a la que hace alusión, establecida en el artículo 158 de la Ley de Transparencia y Acceso a la Información Pública del Estado de México y Municipios, para validar el cambio de modalidad a consulta directa, por lo que, los agravios resultan </w:t>
      </w:r>
      <w:r w:rsidRPr="00381632">
        <w:rPr>
          <w:rFonts w:ascii="Palatino Linotype" w:eastAsia="Palatino Linotype" w:hAnsi="Palatino Linotype" w:cs="Palatino Linotype"/>
          <w:b/>
          <w:sz w:val="22"/>
          <w:szCs w:val="22"/>
        </w:rPr>
        <w:t>FUNDADOS</w:t>
      </w:r>
      <w:r w:rsidRPr="00381632">
        <w:rPr>
          <w:rFonts w:ascii="Palatino Linotype" w:eastAsia="Palatino Linotype" w:hAnsi="Palatino Linotype" w:cs="Palatino Linotype"/>
          <w:sz w:val="22"/>
          <w:szCs w:val="22"/>
        </w:rPr>
        <w:t xml:space="preserve"> y es por ello que este Organismo Garante determina </w:t>
      </w:r>
      <w:r w:rsidRPr="00381632">
        <w:rPr>
          <w:rFonts w:ascii="Palatino Linotype" w:eastAsia="Palatino Linotype" w:hAnsi="Palatino Linotype" w:cs="Palatino Linotype"/>
          <w:b/>
          <w:sz w:val="22"/>
          <w:szCs w:val="22"/>
        </w:rPr>
        <w:t xml:space="preserve">REVOCAR </w:t>
      </w:r>
      <w:r w:rsidRPr="00381632">
        <w:rPr>
          <w:rFonts w:ascii="Palatino Linotype" w:eastAsia="Palatino Linotype" w:hAnsi="Palatino Linotype" w:cs="Palatino Linotype"/>
          <w:sz w:val="22"/>
          <w:szCs w:val="22"/>
        </w:rPr>
        <w:t xml:space="preserve">las respuestas de los recursos de revisión </w:t>
      </w:r>
      <w:r w:rsidRPr="00381632">
        <w:rPr>
          <w:rFonts w:ascii="Palatino Linotype" w:eastAsia="Palatino Linotype" w:hAnsi="Palatino Linotype" w:cs="Palatino Linotype"/>
          <w:b/>
          <w:sz w:val="22"/>
          <w:szCs w:val="22"/>
        </w:rPr>
        <w:t>01909/INFOEM/IP/RR/2024 y 01910/INFOEM/IP/RR/2024 acumulados</w:t>
      </w:r>
      <w:r w:rsidRPr="00381632">
        <w:rPr>
          <w:rFonts w:ascii="Palatino Linotype" w:eastAsia="Palatino Linotype" w:hAnsi="Palatino Linotype" w:cs="Palatino Linotype"/>
          <w:sz w:val="22"/>
          <w:szCs w:val="22"/>
        </w:rPr>
        <w:t xml:space="preserve">, para ordenar la entrega de </w:t>
      </w:r>
      <w:r w:rsidRPr="00381632">
        <w:rPr>
          <w:rFonts w:ascii="Palatino Linotype" w:eastAsia="Palatino Linotype" w:hAnsi="Palatino Linotype" w:cs="Palatino Linotype"/>
          <w:b/>
          <w:sz w:val="22"/>
          <w:szCs w:val="22"/>
        </w:rPr>
        <w:t>las resoluciones derivadas de procedimientos concluidos por faltas administrativas no graves condenatorios, que se encuentren firmes, impuestas por el Órgano Interno de Control de Metepec, referidas en los informes justificados, conforme al considerando quinto.</w:t>
      </w:r>
    </w:p>
    <w:p w14:paraId="01BDE388" w14:textId="77777777" w:rsidR="00261355" w:rsidRPr="00381632" w:rsidRDefault="00DD29B0">
      <w:pPr>
        <w:pBdr>
          <w:top w:val="nil"/>
          <w:left w:val="nil"/>
          <w:bottom w:val="nil"/>
          <w:right w:val="nil"/>
          <w:between w:val="nil"/>
        </w:pBdr>
        <w:spacing w:before="240" w:after="240" w:line="360" w:lineRule="auto"/>
        <w:ind w:right="49"/>
        <w:jc w:val="both"/>
        <w:rPr>
          <w:sz w:val="22"/>
          <w:szCs w:val="22"/>
        </w:rPr>
      </w:pPr>
      <w:r w:rsidRPr="00381632">
        <w:rPr>
          <w:rFonts w:ascii="Palatino Linotype" w:eastAsia="Palatino Linotype" w:hAnsi="Palatino Linotype" w:cs="Palatino Linotype"/>
          <w:b/>
          <w:sz w:val="22"/>
          <w:szCs w:val="22"/>
        </w:rPr>
        <w:t xml:space="preserve">Quinto. Versión Pública. </w:t>
      </w:r>
      <w:r w:rsidRPr="00381632">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w:t>
      </w:r>
      <w:r w:rsidRPr="00381632">
        <w:rPr>
          <w:rFonts w:ascii="Palatino Linotype" w:eastAsia="Palatino Linotype" w:hAnsi="Palatino Linotype" w:cs="Palatino Linotype"/>
          <w:sz w:val="22"/>
          <w:szCs w:val="22"/>
        </w:rPr>
        <w:lastRenderedPageBreak/>
        <w:t xml:space="preserve">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381632">
        <w:rPr>
          <w:rFonts w:ascii="Palatino Linotype" w:eastAsia="Palatino Linotype" w:hAnsi="Palatino Linotype" w:cs="Palatino Linotype"/>
          <w:b/>
          <w:sz w:val="22"/>
          <w:szCs w:val="22"/>
        </w:rPr>
        <w:t>la parte</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Recurrente</w:t>
      </w:r>
      <w:r w:rsidRPr="00381632">
        <w:rPr>
          <w:rFonts w:ascii="Palatino Linotype" w:eastAsia="Palatino Linotype" w:hAnsi="Palatino Linotype" w:cs="Palatino Linotype"/>
          <w:sz w:val="22"/>
          <w:szCs w:val="22"/>
        </w:rPr>
        <w:t xml:space="preserve"> sin menoscabar el derecho a la protección de los datos personales de terceros.</w:t>
      </w:r>
    </w:p>
    <w:p w14:paraId="6CCE8D9A" w14:textId="77777777" w:rsidR="00261355" w:rsidRPr="00381632" w:rsidRDefault="00DD29B0">
      <w:pPr>
        <w:pBdr>
          <w:top w:val="nil"/>
          <w:left w:val="nil"/>
          <w:bottom w:val="nil"/>
          <w:right w:val="nil"/>
          <w:between w:val="nil"/>
        </w:pBdr>
        <w:spacing w:before="240" w:after="240" w:line="360" w:lineRule="auto"/>
        <w:ind w:right="49"/>
        <w:jc w:val="both"/>
        <w:rPr>
          <w:sz w:val="22"/>
          <w:szCs w:val="22"/>
        </w:rPr>
      </w:pPr>
      <w:r w:rsidRPr="00381632">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4B1B4BCD"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b/>
          <w:i/>
          <w:sz w:val="22"/>
          <w:szCs w:val="22"/>
        </w:rPr>
        <w:t> “Artículo 3. Para los efectos de la presente Ley se entenderá por:</w:t>
      </w:r>
    </w:p>
    <w:p w14:paraId="7137D5CE"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b/>
          <w:i/>
          <w:sz w:val="22"/>
          <w:szCs w:val="22"/>
        </w:rPr>
        <w:t>IX. Datos personales:</w:t>
      </w:r>
      <w:r w:rsidRPr="00381632">
        <w:rPr>
          <w:rFonts w:ascii="Palatino Linotype" w:eastAsia="Palatino Linotype" w:hAnsi="Palatino Linotype" w:cs="Palatino Linotype"/>
          <w:i/>
          <w:sz w:val="22"/>
          <w:szCs w:val="22"/>
        </w:rPr>
        <w:t xml:space="preserve"> </w:t>
      </w:r>
      <w:r w:rsidRPr="00381632">
        <w:rPr>
          <w:rFonts w:ascii="Palatino Linotype" w:eastAsia="Palatino Linotype" w:hAnsi="Palatino Linotype" w:cs="Palatino Linotype"/>
          <w:b/>
          <w:i/>
          <w:sz w:val="22"/>
          <w:szCs w:val="22"/>
        </w:rPr>
        <w:t>La información concerniente a una persona, identificada o identificable</w:t>
      </w:r>
      <w:r w:rsidRPr="00381632">
        <w:rPr>
          <w:rFonts w:ascii="Palatino Linotype" w:eastAsia="Palatino Linotype" w:hAnsi="Palatino Linotype" w:cs="Palatino Linotype"/>
          <w:i/>
          <w:sz w:val="22"/>
          <w:szCs w:val="22"/>
        </w:rPr>
        <w:t xml:space="preserve"> según lo dispuesto por la Ley de Protección de Datos Personales del Estado de México;</w:t>
      </w:r>
    </w:p>
    <w:p w14:paraId="061233FB"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b/>
          <w:i/>
          <w:sz w:val="22"/>
          <w:szCs w:val="22"/>
        </w:rPr>
        <w:t>XX. Información clasificada:</w:t>
      </w:r>
      <w:r w:rsidRPr="00381632">
        <w:rPr>
          <w:rFonts w:ascii="Palatino Linotype" w:eastAsia="Palatino Linotype" w:hAnsi="Palatino Linotype" w:cs="Palatino Linotype"/>
          <w:i/>
          <w:sz w:val="22"/>
          <w:szCs w:val="22"/>
        </w:rPr>
        <w:t xml:space="preserve"> Aquella considerada por la presente Ley como reservada o confidencial;</w:t>
      </w:r>
    </w:p>
    <w:p w14:paraId="0360C648"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b/>
          <w:i/>
          <w:sz w:val="22"/>
          <w:szCs w:val="22"/>
        </w:rPr>
        <w:t>XXXII. Protección de Datos Personales:</w:t>
      </w:r>
      <w:r w:rsidRPr="00381632">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2A35E12"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b/>
          <w:i/>
          <w:sz w:val="22"/>
          <w:szCs w:val="22"/>
        </w:rPr>
        <w:t>XLV. Versión pública</w:t>
      </w:r>
      <w:r w:rsidRPr="0038163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05CAEEF" w14:textId="77777777" w:rsidR="00261355" w:rsidRPr="00381632" w:rsidRDefault="00261355">
      <w:pPr>
        <w:spacing w:line="276" w:lineRule="auto"/>
        <w:jc w:val="both"/>
        <w:rPr>
          <w:sz w:val="22"/>
          <w:szCs w:val="22"/>
        </w:rPr>
      </w:pPr>
    </w:p>
    <w:p w14:paraId="3EAFCADC"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b/>
          <w:i/>
          <w:sz w:val="22"/>
          <w:szCs w:val="22"/>
        </w:rPr>
        <w:t>“Artículo 6.</w:t>
      </w:r>
      <w:r w:rsidRPr="00381632">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381632">
        <w:rPr>
          <w:rFonts w:ascii="Palatino Linotype" w:eastAsia="Palatino Linotype" w:hAnsi="Palatino Linotype" w:cs="Palatino Linotype"/>
          <w:i/>
          <w:sz w:val="22"/>
          <w:szCs w:val="22"/>
        </w:rPr>
        <w:lastRenderedPageBreak/>
        <w:t>en materia de datos personales, se deberá estar a lo dispuesto en las leyes de la materia.”</w:t>
      </w:r>
    </w:p>
    <w:p w14:paraId="7906310F" w14:textId="77777777" w:rsidR="00261355" w:rsidRPr="00381632" w:rsidRDefault="00261355">
      <w:pPr>
        <w:spacing w:line="276" w:lineRule="auto"/>
        <w:jc w:val="both"/>
        <w:rPr>
          <w:sz w:val="22"/>
          <w:szCs w:val="22"/>
        </w:rPr>
      </w:pPr>
    </w:p>
    <w:p w14:paraId="7D95162A"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b/>
          <w:i/>
          <w:sz w:val="22"/>
          <w:szCs w:val="22"/>
        </w:rPr>
        <w:t>“Artículo 137.</w:t>
      </w:r>
      <w:r w:rsidRPr="0038163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B804410" w14:textId="77777777" w:rsidR="00261355" w:rsidRPr="00381632" w:rsidRDefault="00261355">
      <w:pPr>
        <w:spacing w:line="276" w:lineRule="auto"/>
        <w:jc w:val="both"/>
        <w:rPr>
          <w:sz w:val="22"/>
          <w:szCs w:val="22"/>
        </w:rPr>
      </w:pPr>
    </w:p>
    <w:p w14:paraId="62C00EEC"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b/>
          <w:i/>
          <w:sz w:val="22"/>
          <w:szCs w:val="22"/>
        </w:rPr>
        <w:t>“Artículo 143</w:t>
      </w:r>
      <w:r w:rsidRPr="0038163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D097043"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b/>
          <w:i/>
          <w:sz w:val="22"/>
          <w:szCs w:val="22"/>
        </w:rPr>
        <w:t>I.</w:t>
      </w:r>
      <w:r w:rsidRPr="00381632">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E24B632"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16E7FBF" w14:textId="77777777" w:rsidR="00261355" w:rsidRPr="00381632" w:rsidRDefault="00DD29B0">
      <w:pPr>
        <w:pBdr>
          <w:top w:val="nil"/>
          <w:left w:val="nil"/>
          <w:bottom w:val="nil"/>
          <w:right w:val="nil"/>
          <w:between w:val="nil"/>
        </w:pBdr>
        <w:spacing w:line="276" w:lineRule="auto"/>
        <w:ind w:left="993" w:right="1041"/>
        <w:jc w:val="both"/>
        <w:rPr>
          <w:sz w:val="22"/>
          <w:szCs w:val="22"/>
        </w:rPr>
      </w:pPr>
      <w:r w:rsidRPr="0038163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w:t>
      </w:r>
    </w:p>
    <w:p w14:paraId="5727854C" w14:textId="77777777" w:rsidR="00261355" w:rsidRPr="00381632" w:rsidRDefault="00261355">
      <w:pPr>
        <w:spacing w:line="360" w:lineRule="auto"/>
        <w:jc w:val="both"/>
        <w:rPr>
          <w:sz w:val="22"/>
          <w:szCs w:val="22"/>
        </w:rPr>
      </w:pPr>
    </w:p>
    <w:p w14:paraId="22319651" w14:textId="77777777" w:rsidR="00261355" w:rsidRPr="00381632" w:rsidRDefault="00DD29B0">
      <w:pPr>
        <w:pBdr>
          <w:top w:val="nil"/>
          <w:left w:val="nil"/>
          <w:bottom w:val="nil"/>
          <w:right w:val="nil"/>
          <w:between w:val="nil"/>
        </w:pBdr>
        <w:spacing w:line="360" w:lineRule="auto"/>
        <w:ind w:right="51"/>
        <w:jc w:val="both"/>
        <w:rPr>
          <w:sz w:val="22"/>
          <w:szCs w:val="22"/>
        </w:rPr>
      </w:pPr>
      <w:r w:rsidRPr="00381632">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381632">
        <w:rPr>
          <w:rFonts w:ascii="Palatino Linotype" w:eastAsia="Palatino Linotype" w:hAnsi="Palatino Linotype" w:cs="Palatino Linotype"/>
          <w:b/>
          <w:sz w:val="22"/>
          <w:szCs w:val="22"/>
        </w:rPr>
        <w:t>la parte</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Recurrente</w:t>
      </w:r>
      <w:r w:rsidRPr="00381632">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w:t>
      </w:r>
      <w:r w:rsidRPr="00381632">
        <w:rPr>
          <w:rFonts w:ascii="Palatino Linotype" w:eastAsia="Palatino Linotype" w:hAnsi="Palatino Linotype" w:cs="Palatino Linotype"/>
          <w:sz w:val="22"/>
          <w:szCs w:val="22"/>
        </w:rPr>
        <w:lastRenderedPageBreak/>
        <w:t>conlleven un riesgo grave para aquel de acuerdo a lo que señala la fracción XII del artículo 4 de la Ley de Protección de Datos Personales en Posesión de Sujetos Obligados del Estado de México.</w:t>
      </w:r>
    </w:p>
    <w:p w14:paraId="636075DE" w14:textId="77777777" w:rsidR="00261355" w:rsidRPr="00381632" w:rsidRDefault="00261355">
      <w:pPr>
        <w:spacing w:line="360" w:lineRule="auto"/>
        <w:jc w:val="both"/>
        <w:rPr>
          <w:sz w:val="22"/>
          <w:szCs w:val="22"/>
        </w:rPr>
      </w:pPr>
    </w:p>
    <w:p w14:paraId="0696BAB1" w14:textId="77777777" w:rsidR="00261355" w:rsidRPr="00381632" w:rsidRDefault="00DD29B0">
      <w:pPr>
        <w:pBdr>
          <w:top w:val="nil"/>
          <w:left w:val="nil"/>
          <w:bottom w:val="nil"/>
          <w:right w:val="nil"/>
          <w:between w:val="nil"/>
        </w:pBdr>
        <w:spacing w:line="360" w:lineRule="auto"/>
        <w:ind w:right="50"/>
        <w:jc w:val="both"/>
        <w:rPr>
          <w:sz w:val="22"/>
          <w:szCs w:val="22"/>
        </w:rPr>
      </w:pPr>
      <w:r w:rsidRPr="0038163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F84C123" w14:textId="77777777" w:rsidR="00261355" w:rsidRPr="00381632" w:rsidRDefault="00261355">
      <w:pPr>
        <w:spacing w:line="360" w:lineRule="auto"/>
        <w:jc w:val="both"/>
        <w:rPr>
          <w:sz w:val="22"/>
          <w:szCs w:val="22"/>
        </w:rPr>
      </w:pPr>
    </w:p>
    <w:p w14:paraId="02F23555" w14:textId="77777777" w:rsidR="00261355" w:rsidRPr="00381632" w:rsidRDefault="00DD29B0">
      <w:pPr>
        <w:pBdr>
          <w:top w:val="nil"/>
          <w:left w:val="nil"/>
          <w:bottom w:val="nil"/>
          <w:right w:val="nil"/>
          <w:between w:val="nil"/>
        </w:pBdr>
        <w:spacing w:line="360" w:lineRule="auto"/>
        <w:ind w:right="51"/>
        <w:jc w:val="both"/>
        <w:rPr>
          <w:sz w:val="22"/>
          <w:szCs w:val="22"/>
        </w:rPr>
      </w:pPr>
      <w:r w:rsidRPr="00381632">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20F4BAA6" w14:textId="77777777" w:rsidR="00261355" w:rsidRPr="00381632" w:rsidRDefault="00261355">
      <w:pPr>
        <w:spacing w:line="360" w:lineRule="auto"/>
        <w:jc w:val="both"/>
        <w:rPr>
          <w:sz w:val="22"/>
          <w:szCs w:val="22"/>
        </w:rPr>
      </w:pPr>
    </w:p>
    <w:p w14:paraId="67A931B2" w14:textId="77777777" w:rsidR="00261355" w:rsidRPr="00381632" w:rsidRDefault="00DD29B0">
      <w:pPr>
        <w:pBdr>
          <w:top w:val="nil"/>
          <w:left w:val="nil"/>
          <w:bottom w:val="nil"/>
          <w:right w:val="nil"/>
          <w:between w:val="nil"/>
        </w:pBdr>
        <w:spacing w:line="276" w:lineRule="auto"/>
        <w:ind w:left="992" w:right="1043"/>
        <w:jc w:val="both"/>
        <w:rPr>
          <w:sz w:val="22"/>
          <w:szCs w:val="22"/>
        </w:rPr>
      </w:pPr>
      <w:r w:rsidRPr="00381632">
        <w:rPr>
          <w:rFonts w:ascii="Palatino Linotype" w:eastAsia="Palatino Linotype" w:hAnsi="Palatino Linotype" w:cs="Palatino Linotype"/>
          <w:b/>
          <w:i/>
          <w:sz w:val="22"/>
          <w:szCs w:val="22"/>
        </w:rPr>
        <w:t>“Artículo 49.</w:t>
      </w:r>
      <w:r w:rsidRPr="00381632">
        <w:rPr>
          <w:rFonts w:ascii="Palatino Linotype" w:eastAsia="Palatino Linotype" w:hAnsi="Palatino Linotype" w:cs="Palatino Linotype"/>
          <w:i/>
          <w:sz w:val="22"/>
          <w:szCs w:val="22"/>
        </w:rPr>
        <w:t xml:space="preserve"> </w:t>
      </w:r>
      <w:r w:rsidRPr="00381632">
        <w:rPr>
          <w:rFonts w:ascii="Palatino Linotype" w:eastAsia="Palatino Linotype" w:hAnsi="Palatino Linotype" w:cs="Palatino Linotype"/>
          <w:b/>
          <w:i/>
          <w:sz w:val="22"/>
          <w:szCs w:val="22"/>
        </w:rPr>
        <w:t>Los Comités de Transparencia</w:t>
      </w:r>
      <w:r w:rsidRPr="00381632">
        <w:rPr>
          <w:rFonts w:ascii="Palatino Linotype" w:eastAsia="Palatino Linotype" w:hAnsi="Palatino Linotype" w:cs="Palatino Linotype"/>
          <w:i/>
          <w:sz w:val="22"/>
          <w:szCs w:val="22"/>
        </w:rPr>
        <w:t xml:space="preserve"> tendrán las siguientes atribuciones:</w:t>
      </w:r>
    </w:p>
    <w:p w14:paraId="60E45DC4" w14:textId="77777777" w:rsidR="00261355" w:rsidRPr="00381632" w:rsidRDefault="00DD29B0">
      <w:pPr>
        <w:pBdr>
          <w:top w:val="nil"/>
          <w:left w:val="nil"/>
          <w:bottom w:val="nil"/>
          <w:right w:val="nil"/>
          <w:between w:val="nil"/>
        </w:pBdr>
        <w:spacing w:line="276" w:lineRule="auto"/>
        <w:ind w:left="992" w:right="1043"/>
        <w:jc w:val="both"/>
        <w:rPr>
          <w:sz w:val="22"/>
          <w:szCs w:val="22"/>
        </w:rPr>
      </w:pPr>
      <w:r w:rsidRPr="00381632">
        <w:rPr>
          <w:rFonts w:ascii="Palatino Linotype" w:eastAsia="Palatino Linotype" w:hAnsi="Palatino Linotype" w:cs="Palatino Linotype"/>
          <w:b/>
          <w:i/>
          <w:sz w:val="22"/>
          <w:szCs w:val="22"/>
        </w:rPr>
        <w:t>VIII. Aprobar, modificar o revocar la clasificación de la información</w:t>
      </w:r>
      <w:r w:rsidRPr="00381632">
        <w:rPr>
          <w:rFonts w:ascii="Palatino Linotype" w:eastAsia="Palatino Linotype" w:hAnsi="Palatino Linotype" w:cs="Palatino Linotype"/>
          <w:i/>
          <w:sz w:val="22"/>
          <w:szCs w:val="22"/>
        </w:rPr>
        <w:t>…”</w:t>
      </w:r>
    </w:p>
    <w:p w14:paraId="33EE1BD2" w14:textId="77777777" w:rsidR="00261355" w:rsidRPr="00381632" w:rsidRDefault="00DD29B0">
      <w:pPr>
        <w:pBdr>
          <w:top w:val="nil"/>
          <w:left w:val="nil"/>
          <w:bottom w:val="nil"/>
          <w:right w:val="nil"/>
          <w:between w:val="nil"/>
        </w:pBdr>
        <w:spacing w:line="276" w:lineRule="auto"/>
        <w:ind w:left="992" w:right="1043"/>
        <w:jc w:val="both"/>
        <w:rPr>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Artículo 53.</w:t>
      </w:r>
      <w:r w:rsidRPr="00381632">
        <w:rPr>
          <w:rFonts w:ascii="Palatino Linotype" w:eastAsia="Palatino Linotype" w:hAnsi="Palatino Linotype" w:cs="Palatino Linotype"/>
          <w:i/>
          <w:sz w:val="22"/>
          <w:szCs w:val="22"/>
        </w:rPr>
        <w:t xml:space="preserve"> Las </w:t>
      </w:r>
      <w:r w:rsidRPr="00381632">
        <w:rPr>
          <w:rFonts w:ascii="Palatino Linotype" w:eastAsia="Palatino Linotype" w:hAnsi="Palatino Linotype" w:cs="Palatino Linotype"/>
          <w:b/>
          <w:i/>
          <w:sz w:val="22"/>
          <w:szCs w:val="22"/>
        </w:rPr>
        <w:t>Unidades de Transparencia</w:t>
      </w:r>
      <w:r w:rsidRPr="00381632">
        <w:rPr>
          <w:rFonts w:ascii="Palatino Linotype" w:eastAsia="Palatino Linotype" w:hAnsi="Palatino Linotype" w:cs="Palatino Linotype"/>
          <w:i/>
          <w:sz w:val="22"/>
          <w:szCs w:val="22"/>
        </w:rPr>
        <w:t xml:space="preserve"> tendrán las siguientes </w:t>
      </w:r>
      <w:r w:rsidRPr="00381632">
        <w:rPr>
          <w:rFonts w:ascii="Palatino Linotype" w:eastAsia="Palatino Linotype" w:hAnsi="Palatino Linotype" w:cs="Palatino Linotype"/>
          <w:b/>
          <w:i/>
          <w:sz w:val="22"/>
          <w:szCs w:val="22"/>
        </w:rPr>
        <w:t>funciones</w:t>
      </w:r>
      <w:r w:rsidRPr="00381632">
        <w:rPr>
          <w:rFonts w:ascii="Palatino Linotype" w:eastAsia="Palatino Linotype" w:hAnsi="Palatino Linotype" w:cs="Palatino Linotype"/>
          <w:i/>
          <w:sz w:val="22"/>
          <w:szCs w:val="22"/>
        </w:rPr>
        <w:t>:</w:t>
      </w:r>
    </w:p>
    <w:p w14:paraId="50AE052E" w14:textId="77777777" w:rsidR="00261355" w:rsidRPr="00381632" w:rsidRDefault="00DD29B0">
      <w:pPr>
        <w:pBdr>
          <w:top w:val="nil"/>
          <w:left w:val="nil"/>
          <w:bottom w:val="nil"/>
          <w:right w:val="nil"/>
          <w:between w:val="nil"/>
        </w:pBdr>
        <w:spacing w:line="276" w:lineRule="auto"/>
        <w:ind w:left="992" w:right="1043"/>
        <w:jc w:val="both"/>
        <w:rPr>
          <w:sz w:val="22"/>
          <w:szCs w:val="22"/>
        </w:rPr>
      </w:pPr>
      <w:r w:rsidRPr="00381632">
        <w:rPr>
          <w:rFonts w:ascii="Palatino Linotype" w:eastAsia="Palatino Linotype" w:hAnsi="Palatino Linotype" w:cs="Palatino Linotype"/>
          <w:b/>
          <w:i/>
          <w:sz w:val="22"/>
          <w:szCs w:val="22"/>
        </w:rPr>
        <w:t>X. Presentar ante el Comité, el proyecto de clasificación de información</w:t>
      </w:r>
      <w:r w:rsidRPr="00381632">
        <w:rPr>
          <w:rFonts w:ascii="Palatino Linotype" w:eastAsia="Palatino Linotype" w:hAnsi="Palatino Linotype" w:cs="Palatino Linotype"/>
          <w:i/>
          <w:sz w:val="22"/>
          <w:szCs w:val="22"/>
        </w:rPr>
        <w:t>…” </w:t>
      </w:r>
    </w:p>
    <w:p w14:paraId="3F0990E6" w14:textId="77777777" w:rsidR="00261355" w:rsidRPr="00381632" w:rsidRDefault="00DD29B0">
      <w:pPr>
        <w:pBdr>
          <w:top w:val="nil"/>
          <w:left w:val="nil"/>
          <w:bottom w:val="nil"/>
          <w:right w:val="nil"/>
          <w:between w:val="nil"/>
        </w:pBdr>
        <w:spacing w:line="276" w:lineRule="auto"/>
        <w:ind w:left="992" w:right="1043"/>
        <w:jc w:val="both"/>
        <w:rPr>
          <w:sz w:val="22"/>
          <w:szCs w:val="22"/>
        </w:rPr>
      </w:pPr>
      <w:r w:rsidRPr="00381632">
        <w:rPr>
          <w:rFonts w:ascii="Palatino Linotype" w:eastAsia="Palatino Linotype" w:hAnsi="Palatino Linotype" w:cs="Palatino Linotype"/>
          <w:b/>
          <w:i/>
          <w:sz w:val="22"/>
          <w:szCs w:val="22"/>
        </w:rPr>
        <w:t>“Artículo 59.</w:t>
      </w:r>
      <w:r w:rsidRPr="00381632">
        <w:rPr>
          <w:rFonts w:ascii="Palatino Linotype" w:eastAsia="Palatino Linotype" w:hAnsi="Palatino Linotype" w:cs="Palatino Linotype"/>
          <w:i/>
          <w:sz w:val="22"/>
          <w:szCs w:val="22"/>
        </w:rPr>
        <w:t xml:space="preserve"> Los </w:t>
      </w:r>
      <w:r w:rsidRPr="00381632">
        <w:rPr>
          <w:rFonts w:ascii="Palatino Linotype" w:eastAsia="Palatino Linotype" w:hAnsi="Palatino Linotype" w:cs="Palatino Linotype"/>
          <w:b/>
          <w:i/>
          <w:sz w:val="22"/>
          <w:szCs w:val="22"/>
        </w:rPr>
        <w:t>servidores públicos habilitados</w:t>
      </w:r>
      <w:r w:rsidRPr="00381632">
        <w:rPr>
          <w:rFonts w:ascii="Palatino Linotype" w:eastAsia="Palatino Linotype" w:hAnsi="Palatino Linotype" w:cs="Palatino Linotype"/>
          <w:i/>
          <w:sz w:val="22"/>
          <w:szCs w:val="22"/>
        </w:rPr>
        <w:t xml:space="preserve"> tendrán las </w:t>
      </w:r>
      <w:r w:rsidRPr="00381632">
        <w:rPr>
          <w:rFonts w:ascii="Palatino Linotype" w:eastAsia="Palatino Linotype" w:hAnsi="Palatino Linotype" w:cs="Palatino Linotype"/>
          <w:b/>
          <w:i/>
          <w:sz w:val="22"/>
          <w:szCs w:val="22"/>
        </w:rPr>
        <w:t>funciones</w:t>
      </w:r>
      <w:r w:rsidRPr="00381632">
        <w:rPr>
          <w:rFonts w:ascii="Palatino Linotype" w:eastAsia="Palatino Linotype" w:hAnsi="Palatino Linotype" w:cs="Palatino Linotype"/>
          <w:i/>
          <w:sz w:val="22"/>
          <w:szCs w:val="22"/>
        </w:rPr>
        <w:t xml:space="preserve"> siguientes:</w:t>
      </w:r>
    </w:p>
    <w:p w14:paraId="6D08A390" w14:textId="77777777" w:rsidR="00261355" w:rsidRPr="00381632" w:rsidRDefault="00DD29B0">
      <w:pPr>
        <w:pBdr>
          <w:top w:val="nil"/>
          <w:left w:val="nil"/>
          <w:bottom w:val="nil"/>
          <w:right w:val="nil"/>
          <w:between w:val="nil"/>
        </w:pBdr>
        <w:spacing w:line="276" w:lineRule="auto"/>
        <w:ind w:left="992" w:right="1043"/>
        <w:jc w:val="both"/>
        <w:rPr>
          <w:sz w:val="22"/>
          <w:szCs w:val="22"/>
        </w:rPr>
      </w:pPr>
      <w:r w:rsidRPr="0038163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81632">
        <w:rPr>
          <w:rFonts w:ascii="Palatino Linotype" w:eastAsia="Palatino Linotype" w:hAnsi="Palatino Linotype" w:cs="Palatino Linotype"/>
          <w:i/>
          <w:sz w:val="22"/>
          <w:szCs w:val="22"/>
        </w:rPr>
        <w:t>, la cual tendrá los fundamentos y argumentos en que se basa dicha propuesta…” </w:t>
      </w:r>
    </w:p>
    <w:p w14:paraId="7F77CD9C" w14:textId="77777777" w:rsidR="00261355" w:rsidRPr="00381632" w:rsidRDefault="00261355">
      <w:pPr>
        <w:spacing w:line="360" w:lineRule="auto"/>
        <w:jc w:val="both"/>
        <w:rPr>
          <w:sz w:val="22"/>
          <w:szCs w:val="22"/>
        </w:rPr>
      </w:pPr>
    </w:p>
    <w:p w14:paraId="3217D514"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7564066" w14:textId="77777777" w:rsidR="00261355" w:rsidRPr="00381632" w:rsidRDefault="00261355">
      <w:pPr>
        <w:spacing w:line="360" w:lineRule="auto"/>
        <w:jc w:val="both"/>
        <w:rPr>
          <w:sz w:val="22"/>
          <w:szCs w:val="22"/>
        </w:rPr>
      </w:pPr>
    </w:p>
    <w:p w14:paraId="22F1649F"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1ADD9E4" w14:textId="77777777" w:rsidR="00261355" w:rsidRPr="00381632" w:rsidRDefault="00261355">
      <w:pPr>
        <w:spacing w:line="276" w:lineRule="auto"/>
        <w:jc w:val="both"/>
        <w:rPr>
          <w:sz w:val="22"/>
          <w:szCs w:val="22"/>
        </w:rPr>
      </w:pPr>
    </w:p>
    <w:p w14:paraId="258CC729" w14:textId="77777777" w:rsidR="00261355" w:rsidRPr="00381632" w:rsidRDefault="00DD29B0">
      <w:pPr>
        <w:pBdr>
          <w:top w:val="nil"/>
          <w:left w:val="nil"/>
          <w:bottom w:val="nil"/>
          <w:right w:val="nil"/>
          <w:between w:val="nil"/>
        </w:pBdr>
        <w:spacing w:after="240" w:line="276" w:lineRule="auto"/>
        <w:ind w:left="993" w:right="1041"/>
        <w:jc w:val="both"/>
        <w:rPr>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Artículo 149.</w:t>
      </w:r>
      <w:r w:rsidRPr="00381632">
        <w:rPr>
          <w:rFonts w:ascii="Palatino Linotype" w:eastAsia="Palatino Linotype" w:hAnsi="Palatino Linotype" w:cs="Palatino Linotype"/>
          <w:i/>
          <w:sz w:val="22"/>
          <w:szCs w:val="22"/>
        </w:rPr>
        <w:t xml:space="preserve"> El </w:t>
      </w:r>
      <w:r w:rsidRPr="00381632">
        <w:rPr>
          <w:rFonts w:ascii="Palatino Linotype" w:eastAsia="Palatino Linotype" w:hAnsi="Palatino Linotype" w:cs="Palatino Linotype"/>
          <w:b/>
          <w:i/>
          <w:sz w:val="22"/>
          <w:szCs w:val="22"/>
        </w:rPr>
        <w:t>acuerdo que clasifique la información como confidencial</w:t>
      </w:r>
      <w:r w:rsidRPr="0038163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24C146BD" w14:textId="77777777" w:rsidR="00261355" w:rsidRPr="00381632" w:rsidRDefault="00261355">
      <w:pPr>
        <w:spacing w:line="360" w:lineRule="auto"/>
        <w:jc w:val="both"/>
        <w:rPr>
          <w:sz w:val="22"/>
          <w:szCs w:val="22"/>
        </w:rPr>
      </w:pPr>
    </w:p>
    <w:p w14:paraId="25C38825" w14:textId="77777777" w:rsidR="00261355" w:rsidRPr="00381632" w:rsidRDefault="00DD29B0">
      <w:pPr>
        <w:pBdr>
          <w:top w:val="nil"/>
          <w:left w:val="nil"/>
          <w:bottom w:val="nil"/>
          <w:right w:val="nil"/>
          <w:between w:val="nil"/>
        </w:pBdr>
        <w:spacing w:line="360" w:lineRule="auto"/>
        <w:ind w:right="51"/>
        <w:jc w:val="both"/>
        <w:rPr>
          <w:sz w:val="22"/>
          <w:szCs w:val="22"/>
        </w:rPr>
      </w:pPr>
      <w:r w:rsidRPr="00381632">
        <w:rPr>
          <w:rFonts w:ascii="Palatino Linotype" w:eastAsia="Palatino Linotype" w:hAnsi="Palatino Linotype" w:cs="Palatino Linotype"/>
          <w:sz w:val="22"/>
          <w:szCs w:val="22"/>
        </w:rPr>
        <w:t xml:space="preserve">Es decir,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94AB1DB" w14:textId="77777777" w:rsidR="00261355" w:rsidRPr="00381632" w:rsidRDefault="00261355">
      <w:pPr>
        <w:spacing w:line="360" w:lineRule="auto"/>
        <w:jc w:val="both"/>
        <w:rPr>
          <w:sz w:val="22"/>
          <w:szCs w:val="22"/>
        </w:rPr>
      </w:pPr>
    </w:p>
    <w:p w14:paraId="2196042A"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lastRenderedPageBreak/>
        <w:t xml:space="preserve">Al respecto, se destaca que la versión pública que elabore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81632">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381632">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132A7E6D" w14:textId="77777777" w:rsidR="00261355" w:rsidRPr="00381632" w:rsidRDefault="00261355">
      <w:pPr>
        <w:spacing w:line="360" w:lineRule="auto"/>
        <w:jc w:val="both"/>
        <w:rPr>
          <w:sz w:val="22"/>
          <w:szCs w:val="22"/>
        </w:rPr>
      </w:pPr>
    </w:p>
    <w:p w14:paraId="6040D3CB"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209F56E"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i/>
          <w:sz w:val="22"/>
          <w:szCs w:val="22"/>
        </w:rPr>
        <w:t>“</w:t>
      </w:r>
      <w:r w:rsidRPr="00381632">
        <w:rPr>
          <w:rFonts w:ascii="Palatino Linotype" w:eastAsia="Palatino Linotype" w:hAnsi="Palatino Linotype" w:cs="Palatino Linotype"/>
          <w:b/>
          <w:i/>
          <w:sz w:val="22"/>
          <w:szCs w:val="22"/>
        </w:rPr>
        <w:t>Segundo.-</w:t>
      </w:r>
      <w:r w:rsidRPr="00381632">
        <w:rPr>
          <w:rFonts w:ascii="Palatino Linotype" w:eastAsia="Palatino Linotype" w:hAnsi="Palatino Linotype" w:cs="Palatino Linotype"/>
          <w:i/>
          <w:sz w:val="22"/>
          <w:szCs w:val="22"/>
        </w:rPr>
        <w:t xml:space="preserve"> Para efectos de los presentes Lineamientos Generales, se entenderá por:</w:t>
      </w:r>
    </w:p>
    <w:p w14:paraId="431938E7"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XVIII.</w:t>
      </w:r>
      <w:r w:rsidRPr="00381632">
        <w:rPr>
          <w:rFonts w:ascii="Palatino Linotype" w:eastAsia="Palatino Linotype" w:hAnsi="Palatino Linotype" w:cs="Palatino Linotype"/>
          <w:i/>
          <w:sz w:val="22"/>
          <w:szCs w:val="22"/>
        </w:rPr>
        <w:t xml:space="preserve"> </w:t>
      </w:r>
      <w:r w:rsidRPr="00381632">
        <w:rPr>
          <w:rFonts w:ascii="Palatino Linotype" w:eastAsia="Palatino Linotype" w:hAnsi="Palatino Linotype" w:cs="Palatino Linotype"/>
          <w:b/>
          <w:i/>
          <w:sz w:val="22"/>
          <w:szCs w:val="22"/>
        </w:rPr>
        <w:t>Versión pública:</w:t>
      </w:r>
      <w:r w:rsidRPr="0038163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81632">
        <w:rPr>
          <w:rFonts w:ascii="Palatino Linotype" w:eastAsia="Palatino Linotype" w:hAnsi="Palatino Linotype" w:cs="Palatino Linotype"/>
          <w:b/>
          <w:i/>
          <w:sz w:val="22"/>
          <w:szCs w:val="22"/>
          <w:u w:val="single"/>
        </w:rPr>
        <w:t>fundando y motivando la</w:t>
      </w:r>
      <w:r w:rsidRPr="00381632">
        <w:rPr>
          <w:rFonts w:ascii="Palatino Linotype" w:eastAsia="Palatino Linotype" w:hAnsi="Palatino Linotype" w:cs="Palatino Linotype"/>
          <w:i/>
          <w:sz w:val="22"/>
          <w:szCs w:val="22"/>
        </w:rPr>
        <w:t xml:space="preserve"> reserva o </w:t>
      </w:r>
      <w:r w:rsidRPr="00381632">
        <w:rPr>
          <w:rFonts w:ascii="Palatino Linotype" w:eastAsia="Palatino Linotype" w:hAnsi="Palatino Linotype" w:cs="Palatino Linotype"/>
          <w:b/>
          <w:i/>
          <w:sz w:val="22"/>
          <w:szCs w:val="22"/>
          <w:u w:val="single"/>
        </w:rPr>
        <w:t>confidencialidad</w:t>
      </w:r>
      <w:r w:rsidRPr="00381632">
        <w:rPr>
          <w:rFonts w:ascii="Palatino Linotype" w:eastAsia="Palatino Linotype" w:hAnsi="Palatino Linotype" w:cs="Palatino Linotype"/>
          <w:i/>
          <w:sz w:val="22"/>
          <w:szCs w:val="22"/>
        </w:rPr>
        <w:t>, a través de la resolución que para tal efecto emita el Comité de Transparencia.</w:t>
      </w:r>
    </w:p>
    <w:p w14:paraId="39A8DBBF"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Cuarto.</w:t>
      </w:r>
      <w:r w:rsidRPr="00381632">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E030275"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48214B3"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lastRenderedPageBreak/>
        <w:t>Quinto.</w:t>
      </w:r>
      <w:r w:rsidRPr="0038163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60FAD5"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w:t>
      </w:r>
    </w:p>
    <w:p w14:paraId="4C83951F"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Séptimo.</w:t>
      </w:r>
      <w:r w:rsidRPr="00381632">
        <w:rPr>
          <w:rFonts w:ascii="Palatino Linotype" w:eastAsia="Palatino Linotype" w:hAnsi="Palatino Linotype" w:cs="Palatino Linotype"/>
          <w:i/>
          <w:sz w:val="22"/>
          <w:szCs w:val="22"/>
        </w:rPr>
        <w:t xml:space="preserve"> La clasificación de la información se llevará a cabo en el momento en que:</w:t>
      </w:r>
    </w:p>
    <w:p w14:paraId="6EFC94A2"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I.</w:t>
      </w:r>
      <w:r w:rsidRPr="00381632">
        <w:rPr>
          <w:rFonts w:ascii="Palatino Linotype" w:eastAsia="Palatino Linotype" w:hAnsi="Palatino Linotype" w:cs="Palatino Linotype"/>
          <w:i/>
          <w:sz w:val="22"/>
          <w:szCs w:val="22"/>
        </w:rPr>
        <w:t xml:space="preserve"> Se reciba una solicitud de acceso a la información;</w:t>
      </w:r>
    </w:p>
    <w:p w14:paraId="6ADF0AE7"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II.</w:t>
      </w:r>
      <w:r w:rsidRPr="00381632">
        <w:rPr>
          <w:rFonts w:ascii="Palatino Linotype" w:eastAsia="Palatino Linotype" w:hAnsi="Palatino Linotype" w:cs="Palatino Linotype"/>
          <w:i/>
          <w:sz w:val="22"/>
          <w:szCs w:val="22"/>
        </w:rPr>
        <w:t xml:space="preserve"> Se  determine mediante resolución del Comité de Transparencia, el órgano garante </w:t>
      </w:r>
    </w:p>
    <w:p w14:paraId="09B22A18"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i/>
          <w:sz w:val="22"/>
          <w:szCs w:val="22"/>
        </w:rPr>
        <w:t>competente, o en cumplimiento a una sentencia del Poder Judicial; o</w:t>
      </w:r>
    </w:p>
    <w:p w14:paraId="13059D09"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III.</w:t>
      </w:r>
      <w:r w:rsidRPr="0038163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9660C3A"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AF0027C"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Octavo.</w:t>
      </w:r>
      <w:r w:rsidRPr="0038163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49C1ABA"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3BA1695"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50110C4"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Noveno.</w:t>
      </w:r>
      <w:r w:rsidRPr="0038163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381632">
        <w:rPr>
          <w:rFonts w:ascii="Palatino Linotype" w:eastAsia="Palatino Linotype" w:hAnsi="Palatino Linotype" w:cs="Palatino Linotype"/>
          <w:i/>
          <w:sz w:val="22"/>
          <w:szCs w:val="22"/>
        </w:rPr>
        <w:lastRenderedPageBreak/>
        <w:t>siguiendo los procedimientos establecidos en el Capítulo IX de los presentes lineamientos.</w:t>
      </w:r>
    </w:p>
    <w:p w14:paraId="74ED29B5"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Décimo.</w:t>
      </w:r>
      <w:r w:rsidRPr="0038163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9660448"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9BF1DFD"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Décimo primero.</w:t>
      </w:r>
      <w:r w:rsidRPr="0038163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3EE58F6" w14:textId="77777777" w:rsidR="00261355" w:rsidRPr="00381632" w:rsidRDefault="00261355">
      <w:pPr>
        <w:spacing w:line="276" w:lineRule="auto"/>
        <w:jc w:val="both"/>
        <w:rPr>
          <w:sz w:val="22"/>
          <w:szCs w:val="22"/>
        </w:rPr>
      </w:pPr>
    </w:p>
    <w:p w14:paraId="49D7BE57"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i/>
          <w:sz w:val="22"/>
          <w:szCs w:val="22"/>
        </w:rPr>
        <w:t>[…]</w:t>
      </w:r>
    </w:p>
    <w:p w14:paraId="74ADFBCD" w14:textId="77777777" w:rsidR="00261355" w:rsidRPr="00381632" w:rsidRDefault="00DD29B0">
      <w:pPr>
        <w:pBdr>
          <w:top w:val="nil"/>
          <w:left w:val="nil"/>
          <w:bottom w:val="nil"/>
          <w:right w:val="nil"/>
          <w:between w:val="nil"/>
        </w:pBdr>
        <w:spacing w:line="276" w:lineRule="auto"/>
        <w:ind w:left="709" w:right="709"/>
        <w:jc w:val="both"/>
        <w:rPr>
          <w:sz w:val="22"/>
          <w:szCs w:val="22"/>
        </w:rPr>
      </w:pPr>
      <w:r w:rsidRPr="00381632">
        <w:rPr>
          <w:rFonts w:ascii="Palatino Linotype" w:eastAsia="Palatino Linotype" w:hAnsi="Palatino Linotype" w:cs="Palatino Linotype"/>
          <w:b/>
          <w:i/>
          <w:sz w:val="22"/>
          <w:szCs w:val="22"/>
        </w:rPr>
        <w:t>CAPÍTULO VIII</w:t>
      </w:r>
    </w:p>
    <w:p w14:paraId="51A1CC66"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b/>
          <w:i/>
          <w:sz w:val="22"/>
          <w:szCs w:val="22"/>
        </w:rPr>
        <w:t>DE LOS ELEMENTOS PARA LA CLASIFICACIÓN</w:t>
      </w:r>
    </w:p>
    <w:p w14:paraId="472B58AB"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b/>
          <w:i/>
          <w:sz w:val="22"/>
          <w:szCs w:val="22"/>
        </w:rPr>
        <w:t>Quincuagésimo</w:t>
      </w:r>
      <w:r w:rsidRPr="00381632">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4F57C60"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b/>
          <w:i/>
          <w:sz w:val="22"/>
          <w:szCs w:val="22"/>
        </w:rPr>
        <w:t>Quincuagésimo primero</w:t>
      </w:r>
      <w:r w:rsidRPr="00381632">
        <w:rPr>
          <w:rFonts w:ascii="Palatino Linotype" w:eastAsia="Palatino Linotype" w:hAnsi="Palatino Linotype" w:cs="Palatino Linotype"/>
          <w:i/>
          <w:sz w:val="22"/>
          <w:szCs w:val="22"/>
        </w:rPr>
        <w:t>. Toda acta del Comité de Transparencia deberá contener:</w:t>
      </w:r>
    </w:p>
    <w:p w14:paraId="38B14A10"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 El número de sesión y fecha; </w:t>
      </w:r>
    </w:p>
    <w:p w14:paraId="047323D4"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II. El nombre del área que solicitó la clasificación de información;</w:t>
      </w:r>
    </w:p>
    <w:p w14:paraId="50323197"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III. La fundamentación legal y motivación correspondiente;</w:t>
      </w:r>
    </w:p>
    <w:p w14:paraId="30A542D3"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IV. La resolución o resoluciones aprobadas; y</w:t>
      </w:r>
    </w:p>
    <w:p w14:paraId="4F0171BE"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V. La rúbrica o firma digital de cada integrante del Comité de Transparencia. </w:t>
      </w:r>
    </w:p>
    <w:p w14:paraId="05755EBE"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lastRenderedPageBreak/>
        <w:t>Las resoluciones del Comité en las que se haya determinado confirmar o modificar la clasificación de información pública como reservada, deberán incluir, cuando menos:</w:t>
      </w:r>
    </w:p>
    <w:p w14:paraId="02C054E7"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 Los motivos y razonamientos que sustenten la confirmación o modificación de la prueba de daño;</w:t>
      </w:r>
    </w:p>
    <w:p w14:paraId="2785C609"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II. Descripción de las partes o secciones reservadas, en caso de clasificación parcial;</w:t>
      </w:r>
    </w:p>
    <w:p w14:paraId="520B0FE0"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III. El periodo por el que mantendrá su clasificación y fecha de expiración; y</w:t>
      </w:r>
    </w:p>
    <w:p w14:paraId="0D6CF598"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IV. El nombre del titular y área encargada de realizar la versión pública del documento, en su caso.</w:t>
      </w:r>
    </w:p>
    <w:p w14:paraId="28168D4E"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0437AEF3"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73F49EF"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b/>
          <w:i/>
          <w:sz w:val="22"/>
          <w:szCs w:val="22"/>
        </w:rPr>
        <w:t>Quincuagésimo segundo</w:t>
      </w:r>
      <w:r w:rsidRPr="0038163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20455BB"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B599CBB"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37DE9BCF"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20C37ED"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III. Señalar las personas o instancias autorizadas a acceder a la información clasificada.</w:t>
      </w:r>
    </w:p>
    <w:p w14:paraId="59CA763B"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4726AE71"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b/>
          <w:i/>
          <w:sz w:val="22"/>
          <w:szCs w:val="22"/>
        </w:rPr>
        <w:t xml:space="preserve">Quincuagésimo tercero. </w:t>
      </w:r>
      <w:r w:rsidRPr="00381632">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r w:rsidRPr="00381632">
        <w:rPr>
          <w:rFonts w:ascii="Palatino Linotype" w:eastAsia="Palatino Linotype" w:hAnsi="Palatino Linotype" w:cs="Palatino Linotype"/>
          <w:i/>
          <w:sz w:val="22"/>
          <w:szCs w:val="22"/>
        </w:rPr>
        <w:t>:</w:t>
      </w:r>
    </w:p>
    <w:tbl>
      <w:tblPr>
        <w:tblStyle w:val="afff4"/>
        <w:tblW w:w="8833" w:type="dxa"/>
        <w:jc w:val="center"/>
        <w:tblInd w:w="0" w:type="dxa"/>
        <w:tblLayout w:type="fixed"/>
        <w:tblLook w:val="0400" w:firstRow="0" w:lastRow="0" w:firstColumn="0" w:lastColumn="0" w:noHBand="0" w:noVBand="1"/>
      </w:tblPr>
      <w:tblGrid>
        <w:gridCol w:w="1904"/>
        <w:gridCol w:w="2037"/>
        <w:gridCol w:w="4892"/>
      </w:tblGrid>
      <w:tr w:rsidR="00381632" w:rsidRPr="00381632" w14:paraId="1B926A5A" w14:textId="77777777">
        <w:trPr>
          <w:jc w:val="center"/>
        </w:trPr>
        <w:tc>
          <w:tcPr>
            <w:tcW w:w="1904" w:type="dxa"/>
            <w:tcBorders>
              <w:bottom w:val="single" w:sz="4" w:space="0" w:color="000000"/>
              <w:right w:val="single" w:sz="4" w:space="0" w:color="000000"/>
            </w:tcBorders>
            <w:tcMar>
              <w:top w:w="0" w:type="dxa"/>
              <w:left w:w="115" w:type="dxa"/>
              <w:bottom w:w="0" w:type="dxa"/>
              <w:right w:w="115" w:type="dxa"/>
            </w:tcMar>
          </w:tcPr>
          <w:p w14:paraId="31FF0C4E" w14:textId="77777777" w:rsidR="00261355" w:rsidRPr="00381632" w:rsidRDefault="00261355">
            <w:pPr>
              <w:spacing w:line="276" w:lineRule="auto"/>
              <w:jc w:val="both"/>
            </w:pP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87CB5A"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b/>
                <w:i/>
              </w:rPr>
              <w:t>Concepto</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10C52"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b/>
                <w:i/>
              </w:rPr>
              <w:t>Dónde:</w:t>
            </w:r>
          </w:p>
        </w:tc>
      </w:tr>
      <w:tr w:rsidR="00381632" w:rsidRPr="00381632" w14:paraId="16795B59" w14:textId="77777777">
        <w:trPr>
          <w:jc w:val="center"/>
        </w:trPr>
        <w:tc>
          <w:tcPr>
            <w:tcW w:w="190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06B9E3"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b/>
                <w:i/>
              </w:rPr>
              <w:t>Sello oficial o logotipo del sujeto obligado</w:t>
            </w: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62656"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Fecha de clasificación</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C98828"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Se anotará la fecha en la que el Comité de Transparencia confirmó la clasificación del documento o expediente, en su caso.</w:t>
            </w:r>
          </w:p>
        </w:tc>
      </w:tr>
      <w:tr w:rsidR="00381632" w:rsidRPr="00381632" w14:paraId="37C6F218" w14:textId="77777777">
        <w:trPr>
          <w:jc w:val="center"/>
        </w:trPr>
        <w:tc>
          <w:tcPr>
            <w:tcW w:w="19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21FA0" w14:textId="77777777" w:rsidR="00261355" w:rsidRPr="00381632" w:rsidRDefault="00261355">
            <w:pPr>
              <w:widowControl w:val="0"/>
              <w:pBdr>
                <w:top w:val="nil"/>
                <w:left w:val="nil"/>
                <w:bottom w:val="nil"/>
                <w:right w:val="nil"/>
                <w:between w:val="nil"/>
              </w:pBdr>
              <w:spacing w:line="276"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742319"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Área</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37E74"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Se señalará el nombre del área del cual es titular quien clasifica.</w:t>
            </w:r>
          </w:p>
        </w:tc>
      </w:tr>
      <w:tr w:rsidR="00381632" w:rsidRPr="00381632" w14:paraId="03468F65" w14:textId="77777777">
        <w:trPr>
          <w:jc w:val="center"/>
        </w:trPr>
        <w:tc>
          <w:tcPr>
            <w:tcW w:w="19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426745" w14:textId="77777777" w:rsidR="00261355" w:rsidRPr="00381632" w:rsidRDefault="00261355">
            <w:pPr>
              <w:widowControl w:val="0"/>
              <w:pBdr>
                <w:top w:val="nil"/>
                <w:left w:val="nil"/>
                <w:bottom w:val="nil"/>
                <w:right w:val="nil"/>
                <w:between w:val="nil"/>
              </w:pBdr>
              <w:spacing w:line="276"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0B921"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Información reservada</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4AF285"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381632" w:rsidRPr="00381632" w14:paraId="57A5F683" w14:textId="77777777">
        <w:trPr>
          <w:jc w:val="center"/>
        </w:trPr>
        <w:tc>
          <w:tcPr>
            <w:tcW w:w="19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F7B636" w14:textId="77777777" w:rsidR="00261355" w:rsidRPr="00381632" w:rsidRDefault="00261355">
            <w:pPr>
              <w:widowControl w:val="0"/>
              <w:pBdr>
                <w:top w:val="nil"/>
                <w:left w:val="nil"/>
                <w:bottom w:val="nil"/>
                <w:right w:val="nil"/>
                <w:between w:val="nil"/>
              </w:pBdr>
              <w:spacing w:line="276"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60903"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Periodo de reserva</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4AF4D"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381632" w:rsidRPr="00381632" w14:paraId="1C9D2109" w14:textId="77777777">
        <w:trPr>
          <w:jc w:val="center"/>
        </w:trPr>
        <w:tc>
          <w:tcPr>
            <w:tcW w:w="19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EDBC1" w14:textId="77777777" w:rsidR="00261355" w:rsidRPr="00381632" w:rsidRDefault="00261355">
            <w:pPr>
              <w:widowControl w:val="0"/>
              <w:pBdr>
                <w:top w:val="nil"/>
                <w:left w:val="nil"/>
                <w:bottom w:val="nil"/>
                <w:right w:val="nil"/>
                <w:between w:val="nil"/>
              </w:pBdr>
              <w:spacing w:line="276"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713EA0"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Fundamento legal</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C4CDA"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Se señalará el nombre del ordenamiento, el o los artículos, fracción(es), párrafo(s) con base en los cuales se sustente la reserva.</w:t>
            </w:r>
          </w:p>
        </w:tc>
      </w:tr>
      <w:tr w:rsidR="00381632" w:rsidRPr="00381632" w14:paraId="3286E60C" w14:textId="77777777">
        <w:trPr>
          <w:jc w:val="center"/>
        </w:trPr>
        <w:tc>
          <w:tcPr>
            <w:tcW w:w="19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0927F1" w14:textId="77777777" w:rsidR="00261355" w:rsidRPr="00381632" w:rsidRDefault="00261355">
            <w:pPr>
              <w:widowControl w:val="0"/>
              <w:pBdr>
                <w:top w:val="nil"/>
                <w:left w:val="nil"/>
                <w:bottom w:val="nil"/>
                <w:right w:val="nil"/>
                <w:between w:val="nil"/>
              </w:pBdr>
              <w:spacing w:line="276"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E21F1"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Ampliación del periodo de reserva</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8E8C7"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81632" w:rsidRPr="00381632" w14:paraId="13E00308" w14:textId="77777777">
        <w:trPr>
          <w:jc w:val="center"/>
        </w:trPr>
        <w:tc>
          <w:tcPr>
            <w:tcW w:w="19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342655" w14:textId="77777777" w:rsidR="00261355" w:rsidRPr="00381632" w:rsidRDefault="00261355">
            <w:pPr>
              <w:widowControl w:val="0"/>
              <w:pBdr>
                <w:top w:val="nil"/>
                <w:left w:val="nil"/>
                <w:bottom w:val="nil"/>
                <w:right w:val="nil"/>
                <w:between w:val="nil"/>
              </w:pBdr>
              <w:spacing w:line="276"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F921F"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Rúbrica del titular del área</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5AA39"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Rúbrica autógrafa o firma digital de quien clasifica.</w:t>
            </w:r>
          </w:p>
        </w:tc>
      </w:tr>
      <w:tr w:rsidR="00381632" w:rsidRPr="00381632" w14:paraId="7B875616" w14:textId="77777777">
        <w:trPr>
          <w:jc w:val="center"/>
        </w:trPr>
        <w:tc>
          <w:tcPr>
            <w:tcW w:w="19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117D6" w14:textId="77777777" w:rsidR="00261355" w:rsidRPr="00381632" w:rsidRDefault="00261355">
            <w:pPr>
              <w:widowControl w:val="0"/>
              <w:pBdr>
                <w:top w:val="nil"/>
                <w:left w:val="nil"/>
                <w:bottom w:val="nil"/>
                <w:right w:val="nil"/>
                <w:between w:val="nil"/>
              </w:pBdr>
              <w:spacing w:line="276"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5C1C9F"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Fecha de desclasificación</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2DC3A"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Se anotará la fecha en que se desclasifica el documento.</w:t>
            </w:r>
          </w:p>
        </w:tc>
      </w:tr>
      <w:tr w:rsidR="00381632" w:rsidRPr="00381632" w14:paraId="4D33A673" w14:textId="77777777">
        <w:trPr>
          <w:jc w:val="center"/>
        </w:trPr>
        <w:tc>
          <w:tcPr>
            <w:tcW w:w="19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FE92F7" w14:textId="77777777" w:rsidR="00261355" w:rsidRPr="00381632" w:rsidRDefault="00261355">
            <w:pPr>
              <w:widowControl w:val="0"/>
              <w:pBdr>
                <w:top w:val="nil"/>
                <w:left w:val="nil"/>
                <w:bottom w:val="nil"/>
                <w:right w:val="nil"/>
                <w:between w:val="nil"/>
              </w:pBdr>
              <w:spacing w:line="276" w:lineRule="auto"/>
            </w:pPr>
          </w:p>
        </w:tc>
        <w:tc>
          <w:tcPr>
            <w:tcW w:w="20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8C2B4"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Rúbrica y cargo del servidor público</w:t>
            </w:r>
          </w:p>
        </w:tc>
        <w:tc>
          <w:tcPr>
            <w:tcW w:w="4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325D56" w14:textId="77777777" w:rsidR="00261355" w:rsidRPr="00381632" w:rsidRDefault="00DD29B0">
            <w:pPr>
              <w:pBdr>
                <w:top w:val="nil"/>
                <w:left w:val="nil"/>
                <w:bottom w:val="nil"/>
                <w:right w:val="nil"/>
                <w:between w:val="nil"/>
              </w:pBdr>
              <w:spacing w:line="276" w:lineRule="auto"/>
              <w:jc w:val="both"/>
            </w:pPr>
            <w:r w:rsidRPr="00381632">
              <w:rPr>
                <w:rFonts w:ascii="Palatino Linotype" w:eastAsia="Palatino Linotype" w:hAnsi="Palatino Linotype" w:cs="Palatino Linotype"/>
                <w:i/>
              </w:rPr>
              <w:t>Rúbrica autógrafa o firma digital de quien desclasifica.</w:t>
            </w:r>
          </w:p>
        </w:tc>
      </w:tr>
      <w:tr w:rsidR="00381632" w:rsidRPr="00381632" w14:paraId="2905999B" w14:textId="77777777">
        <w:trPr>
          <w:gridAfter w:val="1"/>
          <w:wAfter w:w="4892" w:type="dxa"/>
          <w:trHeight w:val="317"/>
          <w:jc w:val="center"/>
        </w:trPr>
        <w:tc>
          <w:tcPr>
            <w:tcW w:w="190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856D6E" w14:textId="77777777" w:rsidR="00261355" w:rsidRPr="00381632" w:rsidRDefault="00261355">
            <w:pPr>
              <w:widowControl w:val="0"/>
              <w:pBdr>
                <w:top w:val="nil"/>
                <w:left w:val="nil"/>
                <w:bottom w:val="nil"/>
                <w:right w:val="nil"/>
                <w:between w:val="nil"/>
              </w:pBdr>
              <w:spacing w:line="276" w:lineRule="auto"/>
            </w:pPr>
          </w:p>
        </w:tc>
        <w:tc>
          <w:tcPr>
            <w:tcW w:w="2037" w:type="dxa"/>
            <w:vAlign w:val="center"/>
          </w:tcPr>
          <w:p w14:paraId="06C40522" w14:textId="77777777" w:rsidR="00261355" w:rsidRPr="00381632" w:rsidRDefault="00261355">
            <w:pPr>
              <w:spacing w:line="276" w:lineRule="auto"/>
              <w:jc w:val="both"/>
            </w:pPr>
          </w:p>
        </w:tc>
      </w:tr>
    </w:tbl>
    <w:p w14:paraId="56E2A83F"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05D6A07" w14:textId="77777777" w:rsidR="00261355" w:rsidRPr="00381632" w:rsidRDefault="00DD29B0">
      <w:pPr>
        <w:pBdr>
          <w:top w:val="nil"/>
          <w:left w:val="nil"/>
          <w:bottom w:val="nil"/>
          <w:right w:val="nil"/>
          <w:between w:val="nil"/>
        </w:pBdr>
        <w:spacing w:after="160" w:line="276" w:lineRule="auto"/>
        <w:ind w:left="709" w:right="709"/>
        <w:jc w:val="both"/>
        <w:rPr>
          <w:sz w:val="22"/>
          <w:szCs w:val="22"/>
        </w:rPr>
      </w:pPr>
      <w:r w:rsidRPr="00381632">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2AB97306" w14:textId="77777777" w:rsidR="00261355" w:rsidRPr="00381632" w:rsidRDefault="00261355">
      <w:pPr>
        <w:spacing w:line="360" w:lineRule="auto"/>
        <w:jc w:val="both"/>
        <w:rPr>
          <w:sz w:val="22"/>
          <w:szCs w:val="22"/>
        </w:rPr>
      </w:pPr>
    </w:p>
    <w:p w14:paraId="277E76E9" w14:textId="77777777" w:rsidR="00261355" w:rsidRPr="00381632" w:rsidRDefault="00DD29B0">
      <w:pPr>
        <w:pBdr>
          <w:top w:val="nil"/>
          <w:left w:val="nil"/>
          <w:bottom w:val="nil"/>
          <w:right w:val="nil"/>
          <w:between w:val="nil"/>
        </w:pBdr>
        <w:spacing w:line="360" w:lineRule="auto"/>
        <w:jc w:val="both"/>
        <w:rPr>
          <w:sz w:val="22"/>
          <w:szCs w:val="22"/>
        </w:rPr>
      </w:pPr>
      <w:r w:rsidRPr="00381632">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39A4984B" w14:textId="77777777" w:rsidR="00261355" w:rsidRPr="00381632" w:rsidRDefault="00261355">
      <w:pPr>
        <w:spacing w:line="360" w:lineRule="auto"/>
        <w:jc w:val="both"/>
        <w:rPr>
          <w:sz w:val="22"/>
          <w:szCs w:val="22"/>
        </w:rPr>
      </w:pPr>
    </w:p>
    <w:p w14:paraId="7A73524E" w14:textId="77777777" w:rsidR="00261355" w:rsidRPr="00381632" w:rsidRDefault="00DD29B0">
      <w:pPr>
        <w:pBdr>
          <w:top w:val="nil"/>
          <w:left w:val="nil"/>
          <w:bottom w:val="nil"/>
          <w:right w:val="nil"/>
          <w:between w:val="nil"/>
        </w:pBdr>
        <w:shd w:val="clear" w:color="auto" w:fill="FFFFFF"/>
        <w:spacing w:line="360" w:lineRule="auto"/>
        <w:ind w:right="51"/>
        <w:jc w:val="both"/>
        <w:rPr>
          <w:sz w:val="22"/>
          <w:szCs w:val="22"/>
        </w:rPr>
      </w:pPr>
      <w:r w:rsidRPr="00381632">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381632">
        <w:rPr>
          <w:rFonts w:ascii="Palatino Linotype" w:eastAsia="Palatino Linotype" w:hAnsi="Palatino Linotype" w:cs="Palatino Linotype"/>
          <w:b/>
          <w:sz w:val="22"/>
          <w:szCs w:val="22"/>
        </w:rPr>
        <w:t>la parte</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Recurrente</w:t>
      </w:r>
      <w:r w:rsidRPr="00381632">
        <w:rPr>
          <w:rFonts w:ascii="Palatino Linotype" w:eastAsia="Palatino Linotype" w:hAnsi="Palatino Linotype" w:cs="Palatino Linotype"/>
          <w:sz w:val="22"/>
          <w:szCs w:val="22"/>
        </w:rPr>
        <w:t>.</w:t>
      </w:r>
    </w:p>
    <w:p w14:paraId="35296B1B"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sz w:val="22"/>
          <w:szCs w:val="22"/>
        </w:rPr>
        <w:lastRenderedPageBreak/>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0FEAC86" w14:textId="77777777" w:rsidR="00261355" w:rsidRPr="00381632" w:rsidRDefault="00DD29B0">
      <w:pPr>
        <w:numPr>
          <w:ilvl w:val="0"/>
          <w:numId w:val="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381632">
        <w:rPr>
          <w:rFonts w:ascii="Palatino Linotype" w:eastAsia="Palatino Linotype" w:hAnsi="Palatino Linotype" w:cs="Palatino Linotype"/>
          <w:b/>
        </w:rPr>
        <w:t>R E S U E L V E:</w:t>
      </w:r>
    </w:p>
    <w:p w14:paraId="152D4F9F" w14:textId="77777777" w:rsidR="00261355" w:rsidRPr="00381632" w:rsidRDefault="00DD29B0">
      <w:pPr>
        <w:spacing w:before="240" w:after="240" w:line="360" w:lineRule="auto"/>
        <w:jc w:val="both"/>
        <w:rPr>
          <w:rFonts w:ascii="Palatino Linotype" w:eastAsia="Palatino Linotype" w:hAnsi="Palatino Linotype" w:cs="Palatino Linotype"/>
          <w:b/>
          <w:sz w:val="22"/>
          <w:szCs w:val="22"/>
        </w:rPr>
      </w:pPr>
      <w:bookmarkStart w:id="3" w:name="_heading=h.3znysh7" w:colFirst="0" w:colLast="0"/>
      <w:bookmarkEnd w:id="3"/>
      <w:r w:rsidRPr="00381632">
        <w:rPr>
          <w:rFonts w:ascii="Palatino Linotype" w:eastAsia="Palatino Linotype" w:hAnsi="Palatino Linotype" w:cs="Palatino Linotype"/>
          <w:b/>
          <w:sz w:val="22"/>
          <w:szCs w:val="22"/>
        </w:rPr>
        <w:t xml:space="preserve">Primero. </w:t>
      </w:r>
      <w:r w:rsidRPr="00381632">
        <w:rPr>
          <w:rFonts w:ascii="Palatino Linotype" w:eastAsia="Palatino Linotype" w:hAnsi="Palatino Linotype" w:cs="Palatino Linotype"/>
          <w:sz w:val="22"/>
          <w:szCs w:val="22"/>
        </w:rPr>
        <w:t>Resultan</w:t>
      </w:r>
      <w:r w:rsidRPr="00381632">
        <w:rPr>
          <w:rFonts w:ascii="Palatino Linotype" w:eastAsia="Palatino Linotype" w:hAnsi="Palatino Linotype" w:cs="Palatino Linotype"/>
          <w:b/>
          <w:sz w:val="22"/>
          <w:szCs w:val="22"/>
        </w:rPr>
        <w:t xml:space="preserve"> fundados </w:t>
      </w:r>
      <w:r w:rsidRPr="00381632">
        <w:rPr>
          <w:rFonts w:ascii="Palatino Linotype" w:eastAsia="Palatino Linotype" w:hAnsi="Palatino Linotype" w:cs="Palatino Linotype"/>
          <w:sz w:val="22"/>
          <w:szCs w:val="22"/>
        </w:rPr>
        <w:t xml:space="preserve">los motivos de inconformidad hechos valer por </w:t>
      </w:r>
      <w:r w:rsidRPr="00381632">
        <w:rPr>
          <w:rFonts w:ascii="Palatino Linotype" w:eastAsia="Palatino Linotype" w:hAnsi="Palatino Linotype" w:cs="Palatino Linotype"/>
          <w:b/>
          <w:sz w:val="22"/>
          <w:szCs w:val="22"/>
        </w:rPr>
        <w:t>la parte Recurrente</w:t>
      </w:r>
      <w:r w:rsidRPr="00381632">
        <w:rPr>
          <w:rFonts w:ascii="Palatino Linotype" w:eastAsia="Palatino Linotype" w:hAnsi="Palatino Linotype" w:cs="Palatino Linotype"/>
          <w:sz w:val="22"/>
          <w:szCs w:val="22"/>
        </w:rPr>
        <w:t xml:space="preserve"> en los Recursos de Revisión</w:t>
      </w:r>
      <w:r w:rsidRPr="00381632">
        <w:rPr>
          <w:rFonts w:ascii="Palatino Linotype" w:eastAsia="Palatino Linotype" w:hAnsi="Palatino Linotype" w:cs="Palatino Linotype"/>
          <w:b/>
          <w:sz w:val="22"/>
          <w:szCs w:val="22"/>
        </w:rPr>
        <w:t xml:space="preserve"> 01909/INFOEM/IP/RR/2024 y 01910/INFOEM/IP/RR/2024 acumulados, </w:t>
      </w:r>
      <w:r w:rsidRPr="00381632">
        <w:rPr>
          <w:rFonts w:ascii="Palatino Linotype" w:eastAsia="Palatino Linotype" w:hAnsi="Palatino Linotype" w:cs="Palatino Linotype"/>
          <w:sz w:val="22"/>
          <w:szCs w:val="22"/>
        </w:rPr>
        <w:t>por lo que</w:t>
      </w:r>
      <w:r w:rsidRPr="00381632">
        <w:rPr>
          <w:rFonts w:ascii="Palatino Linotype" w:eastAsia="Palatino Linotype" w:hAnsi="Palatino Linotype" w:cs="Palatino Linotype"/>
          <w:b/>
          <w:sz w:val="22"/>
          <w:szCs w:val="22"/>
        </w:rPr>
        <w:t xml:space="preserve">, en términos del Considerando Cuarto </w:t>
      </w:r>
      <w:r w:rsidRPr="00381632">
        <w:rPr>
          <w:rFonts w:ascii="Palatino Linotype" w:eastAsia="Palatino Linotype" w:hAnsi="Palatino Linotype" w:cs="Palatino Linotype"/>
          <w:sz w:val="22"/>
          <w:szCs w:val="22"/>
        </w:rPr>
        <w:t xml:space="preserve">de la presente resolución, </w:t>
      </w:r>
      <w:r w:rsidRPr="00381632">
        <w:rPr>
          <w:rFonts w:ascii="Palatino Linotype" w:eastAsia="Palatino Linotype" w:hAnsi="Palatino Linotype" w:cs="Palatino Linotype"/>
          <w:b/>
          <w:sz w:val="22"/>
          <w:szCs w:val="22"/>
        </w:rPr>
        <w:t xml:space="preserve">se REVOCAN </w:t>
      </w:r>
      <w:r w:rsidRPr="00381632">
        <w:rPr>
          <w:rFonts w:ascii="Palatino Linotype" w:eastAsia="Palatino Linotype" w:hAnsi="Palatino Linotype" w:cs="Palatino Linotype"/>
          <w:sz w:val="22"/>
          <w:szCs w:val="22"/>
        </w:rPr>
        <w:t>las respuestas del</w:t>
      </w:r>
      <w:r w:rsidRPr="00381632">
        <w:rPr>
          <w:rFonts w:ascii="Palatino Linotype" w:eastAsia="Palatino Linotype" w:hAnsi="Palatino Linotype" w:cs="Palatino Linotype"/>
          <w:b/>
          <w:sz w:val="22"/>
          <w:szCs w:val="22"/>
        </w:rPr>
        <w:t xml:space="preserve"> Sujeto Obligado.</w:t>
      </w:r>
    </w:p>
    <w:p w14:paraId="0654506C" w14:textId="77777777" w:rsidR="00261355" w:rsidRPr="00381632" w:rsidRDefault="00DD29B0">
      <w:pPr>
        <w:spacing w:before="240" w:after="240" w:line="360" w:lineRule="auto"/>
        <w:ind w:right="49"/>
        <w:jc w:val="both"/>
        <w:rPr>
          <w:rFonts w:ascii="Palatino Linotype" w:eastAsia="Palatino Linotype" w:hAnsi="Palatino Linotype" w:cs="Palatino Linotype"/>
          <w:sz w:val="22"/>
          <w:szCs w:val="22"/>
        </w:rPr>
      </w:pPr>
      <w:bookmarkStart w:id="4" w:name="_heading=h.2et92p0" w:colFirst="0" w:colLast="0"/>
      <w:bookmarkEnd w:id="4"/>
      <w:r w:rsidRPr="00381632">
        <w:rPr>
          <w:rFonts w:ascii="Palatino Linotype" w:eastAsia="Palatino Linotype" w:hAnsi="Palatino Linotype" w:cs="Palatino Linotype"/>
          <w:b/>
          <w:sz w:val="22"/>
          <w:szCs w:val="22"/>
        </w:rPr>
        <w:t xml:space="preserve">Segundo. Se Ordena al Sujeto Obligado </w:t>
      </w:r>
      <w:r w:rsidRPr="00381632">
        <w:rPr>
          <w:rFonts w:ascii="Palatino Linotype" w:eastAsia="Palatino Linotype" w:hAnsi="Palatino Linotype" w:cs="Palatino Linotype"/>
          <w:sz w:val="22"/>
          <w:szCs w:val="22"/>
        </w:rPr>
        <w:t>que en términos de los</w:t>
      </w:r>
      <w:r w:rsidRPr="00381632">
        <w:rPr>
          <w:rFonts w:ascii="Palatino Linotype" w:eastAsia="Palatino Linotype" w:hAnsi="Palatino Linotype" w:cs="Palatino Linotype"/>
          <w:b/>
          <w:sz w:val="22"/>
          <w:szCs w:val="22"/>
        </w:rPr>
        <w:t xml:space="preserve"> Considerandos Cuarto y Quinto </w:t>
      </w:r>
      <w:r w:rsidRPr="00381632">
        <w:rPr>
          <w:rFonts w:ascii="Palatino Linotype" w:eastAsia="Palatino Linotype" w:hAnsi="Palatino Linotype" w:cs="Palatino Linotype"/>
          <w:sz w:val="22"/>
          <w:szCs w:val="22"/>
        </w:rPr>
        <w:t xml:space="preserve">de esta resolución haga entrega a </w:t>
      </w:r>
      <w:r w:rsidRPr="00381632">
        <w:rPr>
          <w:rFonts w:ascii="Palatino Linotype" w:eastAsia="Palatino Linotype" w:hAnsi="Palatino Linotype" w:cs="Palatino Linotype"/>
          <w:b/>
          <w:sz w:val="22"/>
          <w:szCs w:val="22"/>
        </w:rPr>
        <w:t>la parte Recurrente a través del SAIMEX</w:t>
      </w:r>
      <w:r w:rsidRPr="00381632">
        <w:rPr>
          <w:rFonts w:ascii="Palatino Linotype" w:eastAsia="Palatino Linotype" w:hAnsi="Palatino Linotype" w:cs="Palatino Linotype"/>
          <w:sz w:val="22"/>
          <w:szCs w:val="22"/>
        </w:rPr>
        <w:t xml:space="preserve">, en versión pública de ser procedente, en términos de los </w:t>
      </w:r>
      <w:r w:rsidRPr="00381632">
        <w:rPr>
          <w:rFonts w:ascii="Palatino Linotype" w:eastAsia="Palatino Linotype" w:hAnsi="Palatino Linotype" w:cs="Palatino Linotype"/>
          <w:b/>
          <w:sz w:val="22"/>
          <w:szCs w:val="22"/>
        </w:rPr>
        <w:t>Considerandos</w:t>
      </w:r>
      <w:r w:rsidRPr="00381632">
        <w:rPr>
          <w:rFonts w:ascii="Palatino Linotype" w:eastAsia="Palatino Linotype" w:hAnsi="Palatino Linotype" w:cs="Palatino Linotype"/>
          <w:sz w:val="22"/>
          <w:szCs w:val="22"/>
        </w:rPr>
        <w:t xml:space="preserve"> </w:t>
      </w:r>
      <w:r w:rsidRPr="00381632">
        <w:rPr>
          <w:rFonts w:ascii="Palatino Linotype" w:eastAsia="Palatino Linotype" w:hAnsi="Palatino Linotype" w:cs="Palatino Linotype"/>
          <w:b/>
          <w:sz w:val="22"/>
          <w:szCs w:val="22"/>
        </w:rPr>
        <w:t xml:space="preserve">Cuarto y Quinto </w:t>
      </w:r>
      <w:r w:rsidRPr="00381632">
        <w:rPr>
          <w:rFonts w:ascii="Palatino Linotype" w:eastAsia="Palatino Linotype" w:hAnsi="Palatino Linotype" w:cs="Palatino Linotype"/>
          <w:sz w:val="22"/>
          <w:szCs w:val="22"/>
        </w:rPr>
        <w:t>de la presente resolución,</w:t>
      </w:r>
      <w:r w:rsidRPr="00381632">
        <w:rPr>
          <w:rFonts w:ascii="Palatino Linotype" w:eastAsia="Palatino Linotype" w:hAnsi="Palatino Linotype" w:cs="Palatino Linotype"/>
          <w:b/>
          <w:sz w:val="22"/>
          <w:szCs w:val="22"/>
        </w:rPr>
        <w:t xml:space="preserve"> </w:t>
      </w:r>
      <w:r w:rsidRPr="00381632">
        <w:rPr>
          <w:rFonts w:ascii="Palatino Linotype" w:eastAsia="Palatino Linotype" w:hAnsi="Palatino Linotype" w:cs="Palatino Linotype"/>
          <w:sz w:val="22"/>
          <w:szCs w:val="22"/>
        </w:rPr>
        <w:t xml:space="preserve">lo siguiente: </w:t>
      </w:r>
    </w:p>
    <w:p w14:paraId="6B9DE18D" w14:textId="77777777" w:rsidR="00261355" w:rsidRPr="00381632" w:rsidRDefault="00DD29B0">
      <w:pPr>
        <w:numPr>
          <w:ilvl w:val="0"/>
          <w:numId w:val="4"/>
        </w:numPr>
        <w:pBdr>
          <w:top w:val="nil"/>
          <w:left w:val="nil"/>
          <w:bottom w:val="nil"/>
          <w:right w:val="nil"/>
          <w:between w:val="nil"/>
        </w:pBdr>
        <w:ind w:left="567" w:right="900" w:hanging="141"/>
        <w:jc w:val="both"/>
        <w:rPr>
          <w:rFonts w:ascii="Palatino Linotype" w:eastAsia="Palatino Linotype" w:hAnsi="Palatino Linotype" w:cs="Palatino Linotype"/>
          <w:b/>
          <w:i/>
          <w:sz w:val="22"/>
          <w:szCs w:val="22"/>
        </w:rPr>
      </w:pPr>
      <w:r w:rsidRPr="00381632">
        <w:rPr>
          <w:rFonts w:ascii="Palatino Linotype" w:eastAsia="Palatino Linotype" w:hAnsi="Palatino Linotype" w:cs="Palatino Linotype"/>
          <w:b/>
          <w:i/>
          <w:sz w:val="22"/>
          <w:szCs w:val="22"/>
        </w:rPr>
        <w:t>Las resoluciones derivadas de procedimientos concluidos por faltas administrativas no graves condenatorios, que se encuentren firmes, impuestas por el Órgano Interno de Control de Metepec, referidas en los informes justificados.</w:t>
      </w:r>
    </w:p>
    <w:p w14:paraId="22E2BF68" w14:textId="77777777" w:rsidR="00261355" w:rsidRPr="00381632" w:rsidRDefault="00261355">
      <w:pPr>
        <w:ind w:left="567" w:right="900"/>
        <w:jc w:val="both"/>
        <w:rPr>
          <w:rFonts w:ascii="Palatino Linotype" w:eastAsia="Palatino Linotype" w:hAnsi="Palatino Linotype" w:cs="Palatino Linotype"/>
          <w:b/>
          <w:i/>
          <w:sz w:val="22"/>
          <w:szCs w:val="22"/>
        </w:rPr>
      </w:pPr>
    </w:p>
    <w:p w14:paraId="6FD5C2E2" w14:textId="77777777" w:rsidR="00261355" w:rsidRPr="00381632" w:rsidRDefault="00DD29B0">
      <w:pPr>
        <w:ind w:left="567" w:right="900"/>
        <w:jc w:val="both"/>
        <w:rPr>
          <w:rFonts w:ascii="Palatino Linotype" w:eastAsia="Palatino Linotype" w:hAnsi="Palatino Linotype" w:cs="Palatino Linotype"/>
          <w:i/>
          <w:sz w:val="22"/>
          <w:szCs w:val="22"/>
        </w:rPr>
      </w:pPr>
      <w:r w:rsidRPr="00381632">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381632">
        <w:rPr>
          <w:rFonts w:ascii="Palatino Linotype" w:eastAsia="Palatino Linotype" w:hAnsi="Palatino Linotype" w:cs="Palatino Linotype"/>
          <w:b/>
          <w:i/>
          <w:sz w:val="22"/>
          <w:szCs w:val="22"/>
        </w:rPr>
        <w:t>la parte Recurrente</w:t>
      </w:r>
      <w:r w:rsidRPr="00381632">
        <w:rPr>
          <w:rFonts w:ascii="Palatino Linotype" w:eastAsia="Palatino Linotype" w:hAnsi="Palatino Linotype" w:cs="Palatino Linotype"/>
          <w:i/>
          <w:sz w:val="22"/>
          <w:szCs w:val="22"/>
        </w:rPr>
        <w:t>.</w:t>
      </w:r>
    </w:p>
    <w:p w14:paraId="76A24A97" w14:textId="77777777" w:rsidR="00261355" w:rsidRPr="00381632" w:rsidRDefault="00261355">
      <w:pPr>
        <w:ind w:left="567" w:right="900"/>
        <w:jc w:val="both"/>
        <w:rPr>
          <w:rFonts w:ascii="Palatino Linotype" w:eastAsia="Palatino Linotype" w:hAnsi="Palatino Linotype" w:cs="Palatino Linotype"/>
          <w:i/>
          <w:sz w:val="22"/>
          <w:szCs w:val="22"/>
        </w:rPr>
      </w:pPr>
    </w:p>
    <w:p w14:paraId="4B1471AD"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lastRenderedPageBreak/>
        <w:t xml:space="preserve">Tercero.  Notifíquese vía SAIMEX, </w:t>
      </w:r>
      <w:r w:rsidRPr="00381632">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A59C633"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r w:rsidRPr="00381632">
        <w:rPr>
          <w:rFonts w:ascii="Palatino Linotype" w:eastAsia="Palatino Linotype" w:hAnsi="Palatino Linotype" w:cs="Palatino Linotype"/>
          <w:b/>
          <w:sz w:val="22"/>
          <w:szCs w:val="22"/>
        </w:rPr>
        <w:t xml:space="preserve">Cuarto. </w:t>
      </w:r>
      <w:r w:rsidRPr="0038163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81632">
        <w:rPr>
          <w:rFonts w:ascii="Palatino Linotype" w:eastAsia="Palatino Linotype" w:hAnsi="Palatino Linotype" w:cs="Palatino Linotype"/>
          <w:b/>
          <w:sz w:val="22"/>
          <w:szCs w:val="22"/>
        </w:rPr>
        <w:t>Sujeto Obligado</w:t>
      </w:r>
      <w:r w:rsidRPr="0038163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1156FE4" w14:textId="77777777" w:rsidR="00261355" w:rsidRPr="00381632" w:rsidRDefault="00DD29B0">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381632">
        <w:rPr>
          <w:rFonts w:ascii="Palatino Linotype" w:eastAsia="Palatino Linotype" w:hAnsi="Palatino Linotype" w:cs="Palatino Linotype"/>
          <w:b/>
          <w:sz w:val="22"/>
          <w:szCs w:val="22"/>
        </w:rPr>
        <w:t xml:space="preserve">Quinto. Notifíquese vía SAIMEX, </w:t>
      </w:r>
      <w:r w:rsidRPr="00381632">
        <w:rPr>
          <w:rFonts w:ascii="Palatino Linotype" w:eastAsia="Palatino Linotype" w:hAnsi="Palatino Linotype" w:cs="Palatino Linotype"/>
          <w:sz w:val="22"/>
          <w:szCs w:val="22"/>
        </w:rPr>
        <w:t>a</w:t>
      </w:r>
      <w:r w:rsidRPr="00381632">
        <w:rPr>
          <w:rFonts w:ascii="Palatino Linotype" w:eastAsia="Palatino Linotype" w:hAnsi="Palatino Linotype" w:cs="Palatino Linotype"/>
          <w:b/>
          <w:sz w:val="22"/>
          <w:szCs w:val="22"/>
        </w:rPr>
        <w:t xml:space="preserve"> la parte Recurrente</w:t>
      </w:r>
      <w:r w:rsidRPr="00381632">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7E723DBD" w14:textId="77777777" w:rsidR="00261355" w:rsidRPr="00381632" w:rsidRDefault="00DD29B0">
      <w:pPr>
        <w:spacing w:before="240" w:after="240" w:line="360" w:lineRule="auto"/>
        <w:jc w:val="both"/>
        <w:rPr>
          <w:rFonts w:ascii="Palatino Linotype" w:eastAsia="Palatino Linotype" w:hAnsi="Palatino Linotype" w:cs="Palatino Linotype"/>
        </w:rPr>
        <w:sectPr w:rsidR="00261355" w:rsidRPr="00381632">
          <w:headerReference w:type="even" r:id="rId27"/>
          <w:headerReference w:type="default" r:id="rId28"/>
          <w:footerReference w:type="even" r:id="rId29"/>
          <w:footerReference w:type="default" r:id="rId30"/>
          <w:headerReference w:type="first" r:id="rId31"/>
          <w:footerReference w:type="first" r:id="rId32"/>
          <w:pgSz w:w="12240" w:h="15840"/>
          <w:pgMar w:top="621" w:right="1701" w:bottom="1701" w:left="1701" w:header="618" w:footer="709" w:gutter="0"/>
          <w:pgNumType w:start="1"/>
          <w:cols w:space="720"/>
          <w:titlePg/>
        </w:sectPr>
      </w:pPr>
      <w:r w:rsidRPr="0038163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381632">
        <w:rPr>
          <w:rFonts w:ascii="Palatino Linotype" w:eastAsia="Palatino Linotype" w:hAnsi="Palatino Linotype" w:cs="Palatino Linotype"/>
        </w:rPr>
        <w:lastRenderedPageBreak/>
        <w:t>RAMÍREZ PEÑA; EN LA TRIGÉSIMA PRIMERA SESIÓN ORDINARIA CELEBRADA EL CUATRO  DE SEPTIEMBRE DE DOS MIL VEINTICUATRO, ANTE EL SECRETARIO TÉCNICO DEL PLENO, ALEXIS TAPIA RAMÍREZ.</w:t>
      </w:r>
    </w:p>
    <w:p w14:paraId="7FB77989" w14:textId="77777777" w:rsidR="00261355" w:rsidRPr="00381632" w:rsidRDefault="00261355">
      <w:pPr>
        <w:spacing w:before="240" w:after="240"/>
        <w:jc w:val="both"/>
        <w:rPr>
          <w:rFonts w:ascii="Palatino Linotype" w:eastAsia="Palatino Linotype" w:hAnsi="Palatino Linotype" w:cs="Palatino Linotype"/>
          <w:sz w:val="20"/>
          <w:szCs w:val="20"/>
        </w:rPr>
      </w:pPr>
    </w:p>
    <w:p w14:paraId="3CBE82F7" w14:textId="77777777" w:rsidR="00261355" w:rsidRPr="00381632" w:rsidRDefault="00261355">
      <w:pPr>
        <w:spacing w:before="240" w:after="240"/>
        <w:jc w:val="both"/>
        <w:rPr>
          <w:rFonts w:ascii="Palatino Linotype" w:eastAsia="Palatino Linotype" w:hAnsi="Palatino Linotype" w:cs="Palatino Linotype"/>
          <w:sz w:val="20"/>
          <w:szCs w:val="20"/>
        </w:rPr>
      </w:pPr>
      <w:bookmarkStart w:id="6" w:name="_heading=h.1fob9te" w:colFirst="0" w:colLast="0"/>
      <w:bookmarkEnd w:id="6"/>
    </w:p>
    <w:sectPr w:rsidR="00261355" w:rsidRPr="00381632">
      <w:headerReference w:type="first" r:id="rId3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84318" w14:textId="77777777" w:rsidR="004F647A" w:rsidRDefault="004F647A">
      <w:r>
        <w:separator/>
      </w:r>
    </w:p>
  </w:endnote>
  <w:endnote w:type="continuationSeparator" w:id="0">
    <w:p w14:paraId="65D07D94" w14:textId="77777777" w:rsidR="004F647A" w:rsidRDefault="004F6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AC3C" w14:textId="77777777" w:rsidR="00261355" w:rsidRDefault="002613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B3824" w14:textId="77777777" w:rsidR="00261355" w:rsidRDefault="00DD29B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81632">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81632">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p>
  <w:p w14:paraId="24757C8B" w14:textId="77777777" w:rsidR="00261355" w:rsidRDefault="00261355">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4A37B491" w14:textId="77777777" w:rsidR="00261355" w:rsidRDefault="00261355"/>
  <w:p w14:paraId="5616F0DF" w14:textId="77777777" w:rsidR="00261355" w:rsidRDefault="002613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8E24" w14:textId="77777777" w:rsidR="00261355" w:rsidRDefault="00DD29B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8163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81632">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1BDFBFCA" w14:textId="77777777" w:rsidR="00261355" w:rsidRDefault="00261355">
    <w:pPr>
      <w:pBdr>
        <w:top w:val="nil"/>
        <w:left w:val="nil"/>
        <w:bottom w:val="nil"/>
        <w:right w:val="nil"/>
        <w:between w:val="nil"/>
      </w:pBdr>
      <w:tabs>
        <w:tab w:val="center" w:pos="4252"/>
        <w:tab w:val="right" w:pos="8504"/>
      </w:tabs>
      <w:rPr>
        <w:rFonts w:ascii="Cambria" w:eastAsia="Cambria" w:hAnsi="Cambria" w:cs="Cambria"/>
        <w:color w:val="000000"/>
      </w:rPr>
    </w:pPr>
  </w:p>
  <w:p w14:paraId="71CD7183" w14:textId="77777777" w:rsidR="00261355" w:rsidRDefault="00261355"/>
  <w:p w14:paraId="71889337" w14:textId="77777777" w:rsidR="00261355" w:rsidRDefault="002613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6BE20" w14:textId="77777777" w:rsidR="004F647A" w:rsidRDefault="004F647A">
      <w:r>
        <w:separator/>
      </w:r>
    </w:p>
  </w:footnote>
  <w:footnote w:type="continuationSeparator" w:id="0">
    <w:p w14:paraId="5355C0EB" w14:textId="77777777" w:rsidR="004F647A" w:rsidRDefault="004F647A">
      <w:r>
        <w:continuationSeparator/>
      </w:r>
    </w:p>
  </w:footnote>
  <w:footnote w:id="1">
    <w:p w14:paraId="0A4AE7DA" w14:textId="77777777" w:rsidR="00261355" w:rsidRDefault="00DD29B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6AD4F4A" w14:textId="77777777" w:rsidR="00261355" w:rsidRDefault="00DD29B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1C7B374" w14:textId="77777777" w:rsidR="00261355" w:rsidRDefault="00DD29B0">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53C66CC" w14:textId="77777777" w:rsidR="00261355" w:rsidRDefault="00DD29B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D2ED" w14:textId="77777777" w:rsidR="00261355" w:rsidRDefault="00261355">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962B" w14:textId="77777777" w:rsidR="00261355" w:rsidRDefault="00DD29B0">
    <w:pPr>
      <w:rPr>
        <w:rFonts w:ascii="Cambria" w:eastAsia="Cambria" w:hAnsi="Cambria" w:cs="Cambria"/>
        <w:color w:val="000000"/>
      </w:rPr>
    </w:pPr>
    <w:r>
      <w:rPr>
        <w:noProof/>
      </w:rPr>
      <w:drawing>
        <wp:anchor distT="0" distB="0" distL="0" distR="0" simplePos="0" relativeHeight="251658240" behindDoc="1" locked="0" layoutInCell="1" hidden="0" allowOverlap="1" wp14:anchorId="2929D4F1" wp14:editId="44DAEB82">
          <wp:simplePos x="0" y="0"/>
          <wp:positionH relativeFrom="column">
            <wp:posOffset>-1080127</wp:posOffset>
          </wp:positionH>
          <wp:positionV relativeFrom="paragraph">
            <wp:posOffset>-234304</wp:posOffset>
          </wp:positionV>
          <wp:extent cx="7809865" cy="10165715"/>
          <wp:effectExtent l="0" t="0" r="0" b="0"/>
          <wp:wrapNone/>
          <wp:docPr id="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5"/>
      <w:tblW w:w="5811" w:type="dxa"/>
      <w:tblInd w:w="3261" w:type="dxa"/>
      <w:tblLayout w:type="fixed"/>
      <w:tblLook w:val="0400" w:firstRow="0" w:lastRow="0" w:firstColumn="0" w:lastColumn="0" w:noHBand="0" w:noVBand="1"/>
    </w:tblPr>
    <w:tblGrid>
      <w:gridCol w:w="2390"/>
      <w:gridCol w:w="3421"/>
    </w:tblGrid>
    <w:tr w:rsidR="00261355" w14:paraId="145544A6" w14:textId="77777777">
      <w:trPr>
        <w:trHeight w:val="502"/>
      </w:trPr>
      <w:tc>
        <w:tcPr>
          <w:tcW w:w="2390" w:type="dxa"/>
          <w:shd w:val="clear" w:color="auto" w:fill="auto"/>
        </w:tcPr>
        <w:p w14:paraId="1CA4E629" w14:textId="77777777" w:rsidR="00261355" w:rsidRDefault="00DD29B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21" w:type="dxa"/>
          <w:shd w:val="clear" w:color="auto" w:fill="auto"/>
          <w:vAlign w:val="center"/>
        </w:tcPr>
        <w:p w14:paraId="7D1E7401" w14:textId="77777777" w:rsidR="00261355" w:rsidRDefault="00DD29B0">
          <w:pPr>
            <w:ind w:right="452"/>
            <w:jc w:val="both"/>
            <w:rPr>
              <w:rFonts w:ascii="Palatino Linotype" w:eastAsia="Palatino Linotype" w:hAnsi="Palatino Linotype" w:cs="Palatino Linotype"/>
              <w:b/>
            </w:rPr>
          </w:pPr>
          <w:r>
            <w:rPr>
              <w:rFonts w:ascii="Palatino Linotype" w:eastAsia="Palatino Linotype" w:hAnsi="Palatino Linotype" w:cs="Palatino Linotype"/>
              <w:b/>
            </w:rPr>
            <w:t>01909/INFOEM/IP/RR/2024 y acumulado</w:t>
          </w:r>
        </w:p>
      </w:tc>
    </w:tr>
    <w:tr w:rsidR="00261355" w14:paraId="1B0F386B" w14:textId="77777777">
      <w:trPr>
        <w:trHeight w:val="190"/>
      </w:trPr>
      <w:tc>
        <w:tcPr>
          <w:tcW w:w="2390" w:type="dxa"/>
          <w:shd w:val="clear" w:color="auto" w:fill="auto"/>
          <w:vAlign w:val="center"/>
        </w:tcPr>
        <w:p w14:paraId="26375891" w14:textId="77777777" w:rsidR="00261355" w:rsidRDefault="00DD29B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21" w:type="dxa"/>
          <w:shd w:val="clear" w:color="auto" w:fill="auto"/>
          <w:vAlign w:val="center"/>
        </w:tcPr>
        <w:p w14:paraId="344D785C" w14:textId="77777777" w:rsidR="00261355" w:rsidRDefault="00DD29B0">
          <w:pPr>
            <w:ind w:left="27" w:right="169"/>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261355" w14:paraId="42AAD434" w14:textId="77777777">
      <w:trPr>
        <w:trHeight w:val="251"/>
      </w:trPr>
      <w:tc>
        <w:tcPr>
          <w:tcW w:w="2390" w:type="dxa"/>
          <w:shd w:val="clear" w:color="auto" w:fill="auto"/>
          <w:vAlign w:val="center"/>
        </w:tcPr>
        <w:p w14:paraId="31F40FED" w14:textId="77777777" w:rsidR="00261355" w:rsidRDefault="00DD29B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21" w:type="dxa"/>
          <w:shd w:val="clear" w:color="auto" w:fill="auto"/>
          <w:vAlign w:val="center"/>
        </w:tcPr>
        <w:p w14:paraId="7B13D3A1" w14:textId="77777777" w:rsidR="00261355" w:rsidRDefault="00DD29B0">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E9BAD87" w14:textId="77777777" w:rsidR="00261355" w:rsidRDefault="00DD29B0">
    <w:pPr>
      <w:rPr>
        <w:rFonts w:ascii="Cambria" w:eastAsia="Cambria" w:hAnsi="Cambria" w:cs="Cambria"/>
        <w:color w:val="000000"/>
      </w:rPr>
    </w:pPr>
    <w:r>
      <w:tab/>
    </w:r>
  </w:p>
  <w:p w14:paraId="255CD755" w14:textId="77777777" w:rsidR="00261355" w:rsidRDefault="00DD29B0">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EFAA" w14:textId="77777777" w:rsidR="00261355" w:rsidRDefault="00DD29B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D89A3EC" wp14:editId="44624DAE">
          <wp:simplePos x="0" y="0"/>
          <wp:positionH relativeFrom="column">
            <wp:posOffset>-934925</wp:posOffset>
          </wp:positionH>
          <wp:positionV relativeFrom="paragraph">
            <wp:posOffset>-357606</wp:posOffset>
          </wp:positionV>
          <wp:extent cx="7809865" cy="10165715"/>
          <wp:effectExtent l="0" t="0" r="0" b="0"/>
          <wp:wrapNone/>
          <wp:docPr id="3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6"/>
      <w:tblW w:w="6378" w:type="dxa"/>
      <w:tblInd w:w="3261" w:type="dxa"/>
      <w:tblLayout w:type="fixed"/>
      <w:tblLook w:val="0400" w:firstRow="0" w:lastRow="0" w:firstColumn="0" w:lastColumn="0" w:noHBand="0" w:noVBand="1"/>
    </w:tblPr>
    <w:tblGrid>
      <w:gridCol w:w="2512"/>
      <w:gridCol w:w="3866"/>
    </w:tblGrid>
    <w:tr w:rsidR="00261355" w14:paraId="04200E7F" w14:textId="77777777">
      <w:trPr>
        <w:trHeight w:val="442"/>
      </w:trPr>
      <w:tc>
        <w:tcPr>
          <w:tcW w:w="2512" w:type="dxa"/>
          <w:shd w:val="clear" w:color="auto" w:fill="auto"/>
          <w:vAlign w:val="center"/>
        </w:tcPr>
        <w:p w14:paraId="2B2B417F" w14:textId="77777777" w:rsidR="00261355" w:rsidRDefault="00DD29B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shd w:val="clear" w:color="auto" w:fill="auto"/>
          <w:vAlign w:val="center"/>
        </w:tcPr>
        <w:p w14:paraId="357C7EFA" w14:textId="77777777" w:rsidR="00261355" w:rsidRDefault="00DD29B0">
          <w:pPr>
            <w:tabs>
              <w:tab w:val="left" w:pos="2334"/>
            </w:tabs>
            <w:ind w:left="-45" w:right="877"/>
            <w:jc w:val="both"/>
            <w:rPr>
              <w:rFonts w:ascii="Palatino Linotype" w:eastAsia="Palatino Linotype" w:hAnsi="Palatino Linotype" w:cs="Palatino Linotype"/>
              <w:b/>
            </w:rPr>
          </w:pPr>
          <w:r>
            <w:rPr>
              <w:rFonts w:ascii="Palatino Linotype" w:eastAsia="Palatino Linotype" w:hAnsi="Palatino Linotype" w:cs="Palatino Linotype"/>
              <w:b/>
            </w:rPr>
            <w:t>01909/INFOEM/IP/RR/2024y acumulado</w:t>
          </w:r>
        </w:p>
      </w:tc>
    </w:tr>
    <w:tr w:rsidR="00261355" w14:paraId="2E4E8ECD" w14:textId="77777777">
      <w:trPr>
        <w:trHeight w:val="95"/>
      </w:trPr>
      <w:tc>
        <w:tcPr>
          <w:tcW w:w="2512" w:type="dxa"/>
          <w:shd w:val="clear" w:color="auto" w:fill="auto"/>
          <w:vAlign w:val="center"/>
        </w:tcPr>
        <w:p w14:paraId="5CD8D129" w14:textId="77777777" w:rsidR="00261355" w:rsidRDefault="00DD29B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shd w:val="clear" w:color="auto" w:fill="auto"/>
          <w:vAlign w:val="center"/>
        </w:tcPr>
        <w:p w14:paraId="04DD067D" w14:textId="77777777" w:rsidR="00261355" w:rsidRDefault="00261355">
          <w:pPr>
            <w:jc w:val="both"/>
            <w:rPr>
              <w:rFonts w:ascii="Palatino Linotype" w:eastAsia="Palatino Linotype" w:hAnsi="Palatino Linotype" w:cs="Palatino Linotype"/>
              <w:b/>
            </w:rPr>
          </w:pPr>
        </w:p>
      </w:tc>
    </w:tr>
    <w:tr w:rsidR="00261355" w14:paraId="2F55BDEA" w14:textId="77777777">
      <w:trPr>
        <w:trHeight w:val="168"/>
      </w:trPr>
      <w:tc>
        <w:tcPr>
          <w:tcW w:w="2512" w:type="dxa"/>
          <w:shd w:val="clear" w:color="auto" w:fill="auto"/>
          <w:vAlign w:val="center"/>
        </w:tcPr>
        <w:p w14:paraId="16C91A74" w14:textId="77777777" w:rsidR="00261355" w:rsidRDefault="00DD29B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shd w:val="clear" w:color="auto" w:fill="auto"/>
          <w:vAlign w:val="center"/>
        </w:tcPr>
        <w:p w14:paraId="3C088EA9" w14:textId="77777777" w:rsidR="00261355" w:rsidRDefault="00DD29B0">
          <w:pPr>
            <w:ind w:left="-45" w:right="1019"/>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261355" w14:paraId="13AAAD61" w14:textId="77777777">
      <w:trPr>
        <w:trHeight w:val="221"/>
      </w:trPr>
      <w:tc>
        <w:tcPr>
          <w:tcW w:w="2512" w:type="dxa"/>
          <w:shd w:val="clear" w:color="auto" w:fill="auto"/>
          <w:vAlign w:val="center"/>
        </w:tcPr>
        <w:p w14:paraId="07638FA8" w14:textId="77777777" w:rsidR="00261355" w:rsidRDefault="00DD29B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shd w:val="clear" w:color="auto" w:fill="auto"/>
          <w:vAlign w:val="center"/>
        </w:tcPr>
        <w:p w14:paraId="118AC4C0" w14:textId="77777777" w:rsidR="00261355" w:rsidRDefault="00DD29B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5CA1B7D" w14:textId="77777777" w:rsidR="00261355" w:rsidRDefault="0026135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5171" w14:textId="77777777" w:rsidR="00261355" w:rsidRDefault="0026135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1D4D"/>
    <w:multiLevelType w:val="multilevel"/>
    <w:tmpl w:val="B69297E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73A7D51"/>
    <w:multiLevelType w:val="multilevel"/>
    <w:tmpl w:val="AD5E5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BC6D8E"/>
    <w:multiLevelType w:val="multilevel"/>
    <w:tmpl w:val="3AC283C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BF0A6A"/>
    <w:multiLevelType w:val="multilevel"/>
    <w:tmpl w:val="53CC0BAC"/>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D55E20"/>
    <w:multiLevelType w:val="multilevel"/>
    <w:tmpl w:val="87E0FC56"/>
    <w:lvl w:ilvl="0">
      <w:start w:val="7"/>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677879"/>
    <w:multiLevelType w:val="multilevel"/>
    <w:tmpl w:val="0148A16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BC0FF7"/>
    <w:multiLevelType w:val="multilevel"/>
    <w:tmpl w:val="3ED6215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C187716"/>
    <w:multiLevelType w:val="multilevel"/>
    <w:tmpl w:val="BEF6986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
  </w:num>
  <w:num w:numId="2">
    <w:abstractNumId w:val="2"/>
  </w:num>
  <w:num w:numId="3">
    <w:abstractNumId w:val="4"/>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355"/>
    <w:rsid w:val="00096ACC"/>
    <w:rsid w:val="00261355"/>
    <w:rsid w:val="00381632"/>
    <w:rsid w:val="004F647A"/>
    <w:rsid w:val="005B67C7"/>
    <w:rsid w:val="00CE127E"/>
    <w:rsid w:val="00DD29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2D676"/>
  <w15:docId w15:val="{A01EF3BA-0736-4FB5-B64E-69627169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FE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44">
    <w:name w:val="44"/>
    <w:basedOn w:val="TableNormal20"/>
    <w:tblPr>
      <w:tblStyleRowBandSize w:val="1"/>
      <w:tblStyleColBandSize w:val="1"/>
      <w:tblCellMar>
        <w:left w:w="115" w:type="dxa"/>
        <w:right w:w="115" w:type="dxa"/>
      </w:tblCellMar>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rPr>
      <w:sz w:val="22"/>
      <w:szCs w:val="22"/>
    </w:rPr>
    <w:tblPr>
      <w:tblStyleRowBandSize w:val="1"/>
      <w:tblStyleColBandSize w:val="1"/>
      <w:tblCellMar>
        <w:left w:w="115" w:type="dxa"/>
        <w:right w:w="115" w:type="dxa"/>
      </w:tblCellMar>
    </w:tblPr>
  </w:style>
  <w:style w:type="table" w:customStyle="1" w:styleId="36">
    <w:name w:val="36"/>
    <w:basedOn w:val="TableNormal20"/>
    <w:rPr>
      <w:sz w:val="22"/>
      <w:szCs w:val="22"/>
    </w:rPr>
    <w:tblPr>
      <w:tblStyleRowBandSize w:val="1"/>
      <w:tblStyleColBandSize w:val="1"/>
      <w:tblCellMar>
        <w:left w:w="115" w:type="dxa"/>
        <w:right w:w="115" w:type="dxa"/>
      </w:tblCellMar>
    </w:tblPr>
  </w:style>
  <w:style w:type="table" w:customStyle="1" w:styleId="35">
    <w:name w:val="35"/>
    <w:basedOn w:val="TableNormal20"/>
    <w:rPr>
      <w:sz w:val="22"/>
      <w:szCs w:val="22"/>
    </w:rPr>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tblPr>
      <w:tblStyleRowBandSize w:val="1"/>
      <w:tblStyleColBandSize w:val="1"/>
      <w:tblCellMar>
        <w:left w:w="115" w:type="dxa"/>
        <w:right w:w="115" w:type="dxa"/>
      </w:tblCellMar>
    </w:tblPr>
  </w:style>
  <w:style w:type="table" w:customStyle="1" w:styleId="32">
    <w:name w:val="32"/>
    <w:basedOn w:val="TableNormal20"/>
    <w:tblPr>
      <w:tblStyleRowBandSize w:val="1"/>
      <w:tblStyleColBandSize w:val="1"/>
      <w:tblCellMar>
        <w:left w:w="115" w:type="dxa"/>
        <w:right w:w="115" w:type="dxa"/>
      </w:tblCellMar>
    </w:tblPr>
  </w:style>
  <w:style w:type="table" w:customStyle="1" w:styleId="31">
    <w:name w:val="31"/>
    <w:basedOn w:val="TableNormal20"/>
    <w:tblPr>
      <w:tblStyleRowBandSize w:val="1"/>
      <w:tblStyleColBandSize w:val="1"/>
      <w:tblCellMar>
        <w:left w:w="115" w:type="dxa"/>
        <w:right w:w="115" w:type="dxa"/>
      </w:tblCellMar>
    </w:tblPr>
  </w:style>
  <w:style w:type="table" w:customStyle="1" w:styleId="30">
    <w:name w:val="30"/>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9">
    <w:name w:val="29"/>
    <w:basedOn w:val="TableNormal20"/>
    <w:rPr>
      <w:sz w:val="22"/>
      <w:szCs w:val="22"/>
    </w:rPr>
    <w:tblPr>
      <w:tblStyleRowBandSize w:val="1"/>
      <w:tblStyleColBandSize w:val="1"/>
      <w:tblCellMar>
        <w:left w:w="115" w:type="dxa"/>
        <w:right w:w="115" w:type="dxa"/>
      </w:tblCellMar>
    </w:tblPr>
  </w:style>
  <w:style w:type="table" w:customStyle="1" w:styleId="28">
    <w:name w:val="28"/>
    <w:basedOn w:val="TableNormal20"/>
    <w:rPr>
      <w:sz w:val="22"/>
      <w:szCs w:val="22"/>
    </w:rPr>
    <w:tblPr>
      <w:tblStyleRowBandSize w:val="1"/>
      <w:tblStyleColBandSize w:val="1"/>
      <w:tblCellMar>
        <w:left w:w="115" w:type="dxa"/>
        <w:right w:w="115" w:type="dxa"/>
      </w:tblCellMar>
    </w:tblPr>
  </w:style>
  <w:style w:type="table" w:customStyle="1" w:styleId="27">
    <w:name w:val="27"/>
    <w:basedOn w:val="TableNormal30"/>
    <w:rPr>
      <w:sz w:val="22"/>
      <w:szCs w:val="22"/>
    </w:rPr>
    <w:tblPr>
      <w:tblStyleRowBandSize w:val="1"/>
      <w:tblStyleColBandSize w:val="1"/>
      <w:tblCellMar>
        <w:left w:w="115" w:type="dxa"/>
        <w:right w:w="115" w:type="dxa"/>
      </w:tblCellMar>
    </w:tblPr>
  </w:style>
  <w:style w:type="table" w:customStyle="1" w:styleId="26">
    <w:name w:val="26"/>
    <w:basedOn w:val="TableNormal30"/>
    <w:rPr>
      <w:sz w:val="22"/>
      <w:szCs w:val="22"/>
    </w:rPr>
    <w:tblPr>
      <w:tblStyleRowBandSize w:val="1"/>
      <w:tblStyleColBandSize w:val="1"/>
      <w:tblCellMar>
        <w:left w:w="115" w:type="dxa"/>
        <w:right w:w="115" w:type="dxa"/>
      </w:tblCellMar>
    </w:tblPr>
  </w:style>
  <w:style w:type="table" w:customStyle="1" w:styleId="25">
    <w:name w:val="25"/>
    <w:basedOn w:val="TableNormal30"/>
    <w:tblPr>
      <w:tblStyleRowBandSize w:val="1"/>
      <w:tblStyleColBandSize w:val="1"/>
      <w:tblCellMar>
        <w:left w:w="115" w:type="dxa"/>
        <w:right w:w="115" w:type="dxa"/>
      </w:tblCellMar>
    </w:tblPr>
  </w:style>
  <w:style w:type="table" w:customStyle="1" w:styleId="24">
    <w:name w:val="24"/>
    <w:basedOn w:val="TableNormal30"/>
    <w:rPr>
      <w:sz w:val="22"/>
      <w:szCs w:val="22"/>
    </w:rPr>
    <w:tblPr>
      <w:tblStyleRowBandSize w:val="1"/>
      <w:tblStyleColBandSize w:val="1"/>
      <w:tblCellMar>
        <w:left w:w="115" w:type="dxa"/>
        <w:right w:w="115" w:type="dxa"/>
      </w:tblCellMar>
    </w:tblPr>
  </w:style>
  <w:style w:type="table" w:customStyle="1" w:styleId="23">
    <w:name w:val="23"/>
    <w:basedOn w:val="TableNormal30"/>
    <w:rPr>
      <w:sz w:val="22"/>
      <w:szCs w:val="22"/>
    </w:rPr>
    <w:tblPr>
      <w:tblStyleRowBandSize w:val="1"/>
      <w:tblStyleColBandSize w:val="1"/>
      <w:tblCellMar>
        <w:left w:w="115" w:type="dxa"/>
        <w:right w:w="115" w:type="dxa"/>
      </w:tblCellMar>
    </w:tblPr>
  </w:style>
  <w:style w:type="table" w:customStyle="1" w:styleId="22">
    <w:name w:val="22"/>
    <w:basedOn w:val="TableNormal40"/>
    <w:rPr>
      <w:sz w:val="22"/>
      <w:szCs w:val="22"/>
    </w:rPr>
    <w:tblPr>
      <w:tblStyleRowBandSize w:val="1"/>
      <w:tblStyleColBandSize w:val="1"/>
      <w:tblCellMar>
        <w:left w:w="115" w:type="dxa"/>
        <w:right w:w="115" w:type="dxa"/>
      </w:tblCellMar>
    </w:tblPr>
  </w:style>
  <w:style w:type="table" w:customStyle="1" w:styleId="21">
    <w:name w:val="21"/>
    <w:basedOn w:val="TableNormal40"/>
    <w:rPr>
      <w:sz w:val="22"/>
      <w:szCs w:val="22"/>
    </w:rPr>
    <w:tblPr>
      <w:tblStyleRowBandSize w:val="1"/>
      <w:tblStyleColBandSize w:val="1"/>
      <w:tblCellMar>
        <w:left w:w="115" w:type="dxa"/>
        <w:right w:w="115" w:type="dxa"/>
      </w:tblCellMar>
    </w:tblPr>
  </w:style>
  <w:style w:type="table" w:customStyle="1" w:styleId="20">
    <w:name w:val="20"/>
    <w:basedOn w:val="TableNormal40"/>
    <w:rPr>
      <w:sz w:val="22"/>
      <w:szCs w:val="22"/>
    </w:rPr>
    <w:tblPr>
      <w:tblStyleRowBandSize w:val="1"/>
      <w:tblStyleColBandSize w:val="1"/>
      <w:tblCellMar>
        <w:left w:w="115" w:type="dxa"/>
        <w:right w:w="115" w:type="dxa"/>
      </w:tblCellMar>
    </w:tblPr>
  </w:style>
  <w:style w:type="table" w:customStyle="1" w:styleId="19">
    <w:name w:val="19"/>
    <w:basedOn w:val="TableNormal40"/>
    <w:rPr>
      <w:sz w:val="22"/>
      <w:szCs w:val="22"/>
    </w:rPr>
    <w:tblPr>
      <w:tblStyleRowBandSize w:val="1"/>
      <w:tblStyleColBandSize w:val="1"/>
      <w:tblCellMar>
        <w:left w:w="115" w:type="dxa"/>
        <w:right w:w="115" w:type="dxa"/>
      </w:tblCellMar>
    </w:tblPr>
  </w:style>
  <w:style w:type="table" w:customStyle="1" w:styleId="18">
    <w:name w:val="18"/>
    <w:basedOn w:val="TableNormal40"/>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50"/>
    <w:tblPr>
      <w:tblStyleRowBandSize w:val="1"/>
      <w:tblStyleColBandSize w:val="1"/>
      <w:tblCellMar>
        <w:left w:w="115" w:type="dxa"/>
        <w:right w:w="115" w:type="dxa"/>
      </w:tblCellMar>
    </w:tblPr>
  </w:style>
  <w:style w:type="table" w:customStyle="1" w:styleId="15">
    <w:name w:val="15"/>
    <w:basedOn w:val="TableNormal50"/>
    <w:rPr>
      <w:sz w:val="22"/>
      <w:szCs w:val="22"/>
    </w:rPr>
    <w:tblPr>
      <w:tblStyleRowBandSize w:val="1"/>
      <w:tblStyleColBandSize w:val="1"/>
      <w:tblCellMar>
        <w:left w:w="115" w:type="dxa"/>
        <w:right w:w="115" w:type="dxa"/>
      </w:tblCellMar>
    </w:tblPr>
  </w:style>
  <w:style w:type="table" w:customStyle="1" w:styleId="14">
    <w:name w:val="14"/>
    <w:basedOn w:val="TableNormal50"/>
    <w:rPr>
      <w:sz w:val="22"/>
      <w:szCs w:val="22"/>
    </w:rPr>
    <w:tblPr>
      <w:tblStyleRowBandSize w:val="1"/>
      <w:tblStyleColBandSize w:val="1"/>
      <w:tblCellMar>
        <w:left w:w="115" w:type="dxa"/>
        <w:right w:w="115" w:type="dxa"/>
      </w:tblCellMar>
    </w:tblPr>
  </w:style>
  <w:style w:type="table" w:customStyle="1" w:styleId="13">
    <w:name w:val="13"/>
    <w:basedOn w:val="TableNormal60"/>
    <w:rPr>
      <w:sz w:val="22"/>
      <w:szCs w:val="22"/>
    </w:rPr>
    <w:tblPr>
      <w:tblStyleRowBandSize w:val="1"/>
      <w:tblStyleColBandSize w:val="1"/>
      <w:tblCellMar>
        <w:left w:w="115" w:type="dxa"/>
        <w:right w:w="115" w:type="dxa"/>
      </w:tblCellMar>
    </w:tblPr>
  </w:style>
  <w:style w:type="table" w:customStyle="1" w:styleId="12">
    <w:name w:val="12"/>
    <w:basedOn w:val="TableNormal60"/>
    <w:rPr>
      <w:sz w:val="22"/>
      <w:szCs w:val="22"/>
    </w:rPr>
    <w:tblPr>
      <w:tblStyleRowBandSize w:val="1"/>
      <w:tblStyleColBandSize w:val="1"/>
      <w:tblCellMar>
        <w:left w:w="115" w:type="dxa"/>
        <w:right w:w="115" w:type="dxa"/>
      </w:tblCellMar>
    </w:tblPr>
  </w:style>
  <w:style w:type="table" w:customStyle="1" w:styleId="11">
    <w:name w:val="11"/>
    <w:basedOn w:val="TableNormal60"/>
    <w:rPr>
      <w:sz w:val="22"/>
      <w:szCs w:val="22"/>
    </w:rPr>
    <w:tblPr>
      <w:tblStyleRowBandSize w:val="1"/>
      <w:tblStyleColBandSize w:val="1"/>
      <w:tblCellMar>
        <w:left w:w="115" w:type="dxa"/>
        <w:right w:w="115" w:type="dxa"/>
      </w:tblCellMar>
    </w:tblPr>
  </w:style>
  <w:style w:type="table" w:customStyle="1" w:styleId="10">
    <w:name w:val="10"/>
    <w:basedOn w:val="TableNormal60"/>
    <w:rPr>
      <w:sz w:val="22"/>
      <w:szCs w:val="22"/>
    </w:rPr>
    <w:tblPr>
      <w:tblStyleRowBandSize w:val="1"/>
      <w:tblStyleColBandSize w:val="1"/>
      <w:tblCellMar>
        <w:left w:w="115" w:type="dxa"/>
        <w:right w:w="115" w:type="dxa"/>
      </w:tblCellMar>
    </w:tblPr>
  </w:style>
  <w:style w:type="table" w:customStyle="1" w:styleId="9">
    <w:name w:val="9"/>
    <w:basedOn w:val="TableNormal70"/>
    <w:rPr>
      <w:sz w:val="22"/>
      <w:szCs w:val="22"/>
    </w:rPr>
    <w:tblPr>
      <w:tblStyleRowBandSize w:val="1"/>
      <w:tblStyleColBandSize w:val="1"/>
      <w:tblCellMar>
        <w:left w:w="115" w:type="dxa"/>
        <w:right w:w="115" w:type="dxa"/>
      </w:tblCellMar>
    </w:tblPr>
  </w:style>
  <w:style w:type="table" w:customStyle="1" w:styleId="8">
    <w:name w:val="8"/>
    <w:basedOn w:val="TableNormal70"/>
    <w:rPr>
      <w:sz w:val="22"/>
      <w:szCs w:val="22"/>
    </w:rPr>
    <w:tblPr>
      <w:tblStyleRowBandSize w:val="1"/>
      <w:tblStyleColBandSize w:val="1"/>
      <w:tblCellMar>
        <w:left w:w="115" w:type="dxa"/>
        <w:right w:w="115" w:type="dxa"/>
      </w:tblCellMar>
    </w:tblPr>
  </w:style>
  <w:style w:type="table" w:customStyle="1" w:styleId="7">
    <w:name w:val="7"/>
    <w:basedOn w:val="TableNormal70"/>
    <w:rPr>
      <w:sz w:val="22"/>
      <w:szCs w:val="22"/>
    </w:rPr>
    <w:tblPr>
      <w:tblStyleRowBandSize w:val="1"/>
      <w:tblStyleColBandSize w:val="1"/>
      <w:tblCellMar>
        <w:left w:w="115" w:type="dxa"/>
        <w:right w:w="115" w:type="dxa"/>
      </w:tblCellMar>
    </w:tblPr>
  </w:style>
  <w:style w:type="table" w:customStyle="1" w:styleId="6">
    <w:name w:val="6"/>
    <w:basedOn w:val="TableNormal7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5">
    <w:name w:val="5"/>
    <w:basedOn w:val="TableNormal7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4">
    <w:name w:val="4"/>
    <w:basedOn w:val="TableNormal70"/>
    <w:rPr>
      <w:sz w:val="22"/>
      <w:szCs w:val="22"/>
    </w:rPr>
    <w:tblPr>
      <w:tblStyleRowBandSize w:val="1"/>
      <w:tblStyleColBandSize w:val="1"/>
      <w:tblCellMar>
        <w:left w:w="115" w:type="dxa"/>
        <w:right w:w="115" w:type="dxa"/>
      </w:tblCellMar>
    </w:tblPr>
  </w:style>
  <w:style w:type="table" w:customStyle="1" w:styleId="3">
    <w:name w:val="3"/>
    <w:basedOn w:val="TableNormal7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2">
    <w:name w:val="2"/>
    <w:basedOn w:val="TableNormal70"/>
    <w:rPr>
      <w:sz w:val="22"/>
      <w:szCs w:val="22"/>
    </w:rPr>
    <w:tblPr>
      <w:tblStyleRowBandSize w:val="1"/>
      <w:tblStyleColBandSize w:val="1"/>
      <w:tblCellMar>
        <w:left w:w="115" w:type="dxa"/>
        <w:right w:w="115" w:type="dxa"/>
      </w:tblCellMar>
    </w:tblPr>
  </w:style>
  <w:style w:type="table" w:customStyle="1" w:styleId="1">
    <w:name w:val="1"/>
    <w:basedOn w:val="TableNormal70"/>
    <w:rPr>
      <w:sz w:val="22"/>
      <w:szCs w:val="22"/>
    </w:rPr>
    <w:tblPr>
      <w:tblStyleRowBandSize w:val="1"/>
      <w:tblStyleColBandSize w:val="1"/>
      <w:tblCellMar>
        <w:left w:w="115" w:type="dxa"/>
        <w:right w:w="115" w:type="dxa"/>
      </w:tblCellMar>
    </w:tblPr>
  </w:style>
  <w:style w:type="table" w:customStyle="1" w:styleId="a">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7"/>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7"/>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op">
    <w:name w:val="eop"/>
    <w:basedOn w:val="Fuentedeprrafopredeter"/>
    <w:rsid w:val="00652AFE"/>
  </w:style>
  <w:style w:type="table" w:customStyle="1" w:styleId="a6">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6"/>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0">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5">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7">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4"/>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9">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a">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b">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c">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d">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e">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0">
    <w:basedOn w:val="TableNormal3"/>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1">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2">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3">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4">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5">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6">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7">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8">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a">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b">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top w:w="15" w:type="dxa"/>
        <w:left w:w="15" w:type="dxa"/>
        <w:bottom w:w="15" w:type="dxa"/>
        <w:right w:w="15" w:type="dxa"/>
      </w:tblCellMar>
    </w:tblPr>
  </w:style>
  <w:style w:type="table" w:customStyle="1" w:styleId="affd">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
    <w:basedOn w:val="TableNormal0"/>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0">
    <w:basedOn w:val="TableNormal0"/>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1">
    <w:basedOn w:val="TableNormal0"/>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2">
    <w:basedOn w:val="TableNormal0"/>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5">
    <w:basedOn w:val="TableNormal0"/>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6">
    <w:basedOn w:val="TableNormal0"/>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2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VXvvJS+gZHZxwLUN0E1H2ls3A==">CgMxLjAyCGguZ2pkZ3hzMgloLjMwajB6bGwyCWguNGQzNG9nODIJaC4zem55c2g3MgloLjJldDkycDAyCGgudHlqY3d0MgloLjFmb2I5dGU4AHIhMTlYY0RxUkQtT2owZGlyTUtkZnE1Q2dIQV9KLUsxalFF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17208</Words>
  <Characters>94649</Characters>
  <Application>Microsoft Office Word</Application>
  <DocSecurity>0</DocSecurity>
  <Lines>788</Lines>
  <Paragraphs>223</Paragraphs>
  <ScaleCrop>false</ScaleCrop>
  <Company/>
  <LinksUpToDate>false</LinksUpToDate>
  <CharactersWithSpaces>111634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2024-09-06T02:50:00Z</cp:lastPrinted>
  <dcterms:created xsi:type="dcterms:W3CDTF">2024-09-18T23:38:00Z</dcterms:created>
  <dcterms:modified xsi:type="dcterms:W3CDTF">2024-09-18T23:38:00Z</dcterms:modified>
</cp:coreProperties>
</file>