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52788" w14:textId="77777777" w:rsidR="00847857" w:rsidRPr="003A4CD9" w:rsidRDefault="00847857" w:rsidP="00847857">
      <w:pPr>
        <w:tabs>
          <w:tab w:val="left" w:pos="0"/>
        </w:tabs>
        <w:spacing w:line="360" w:lineRule="auto"/>
        <w:jc w:val="both"/>
        <w:rPr>
          <w:rFonts w:ascii="Palatino Linotype" w:hAnsi="Palatino Linotype"/>
        </w:rPr>
      </w:pPr>
      <w:r w:rsidRPr="003A4CD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633427" w:rsidRPr="003A4CD9">
        <w:rPr>
          <w:rFonts w:ascii="Palatino Linotype" w:hAnsi="Palatino Linotype"/>
        </w:rPr>
        <w:t xml:space="preserve">diecisiete </w:t>
      </w:r>
      <w:r w:rsidR="00715738" w:rsidRPr="003A4CD9">
        <w:rPr>
          <w:rFonts w:ascii="Palatino Linotype" w:hAnsi="Palatino Linotype"/>
        </w:rPr>
        <w:t xml:space="preserve">(17) </w:t>
      </w:r>
      <w:r w:rsidR="00633427" w:rsidRPr="003A4CD9">
        <w:rPr>
          <w:rFonts w:ascii="Palatino Linotype" w:hAnsi="Palatino Linotype"/>
        </w:rPr>
        <w:t>de enero de dos mil  veinticuatro</w:t>
      </w:r>
      <w:r w:rsidRPr="003A4CD9">
        <w:rPr>
          <w:rFonts w:ascii="Palatino Linotype" w:hAnsi="Palatino Linotype"/>
        </w:rPr>
        <w:t xml:space="preserve">. </w:t>
      </w:r>
    </w:p>
    <w:p w14:paraId="117A31CC" w14:textId="77777777" w:rsidR="00847857" w:rsidRPr="003A4CD9" w:rsidRDefault="00847857" w:rsidP="00847857">
      <w:pPr>
        <w:tabs>
          <w:tab w:val="left" w:pos="0"/>
        </w:tabs>
        <w:spacing w:line="360" w:lineRule="auto"/>
        <w:jc w:val="both"/>
        <w:rPr>
          <w:rFonts w:ascii="Palatino Linotype" w:hAnsi="Palatino Linotype"/>
        </w:rPr>
      </w:pPr>
    </w:p>
    <w:p w14:paraId="17D52B17" w14:textId="77777777" w:rsidR="00847857" w:rsidRPr="003A4CD9" w:rsidRDefault="00847857" w:rsidP="00847857">
      <w:pPr>
        <w:spacing w:line="360" w:lineRule="auto"/>
        <w:jc w:val="both"/>
        <w:rPr>
          <w:rFonts w:ascii="Palatino Linotype" w:hAnsi="Palatino Linotype"/>
        </w:rPr>
      </w:pPr>
      <w:r w:rsidRPr="003A4CD9">
        <w:rPr>
          <w:rFonts w:ascii="Palatino Linotype" w:hAnsi="Palatino Linotype"/>
          <w:b/>
        </w:rPr>
        <w:t>VISTO</w:t>
      </w:r>
      <w:r w:rsidRPr="003A4CD9">
        <w:rPr>
          <w:rFonts w:ascii="Palatino Linotype" w:hAnsi="Palatino Linotype"/>
        </w:rPr>
        <w:t xml:space="preserve"> el expediente electrónico formado con motivo del recurso de revisión </w:t>
      </w:r>
      <w:r w:rsidRPr="003A4CD9">
        <w:rPr>
          <w:rFonts w:ascii="Palatino Linotype" w:hAnsi="Palatino Linotype" w:cs="Arial"/>
          <w:b/>
          <w:bCs/>
        </w:rPr>
        <w:t xml:space="preserve">07003/INFOEM/IP/RR/2023, </w:t>
      </w:r>
      <w:r w:rsidRPr="003A4CD9">
        <w:rPr>
          <w:rFonts w:ascii="Palatino Linotype" w:hAnsi="Palatino Linotype"/>
        </w:rPr>
        <w:t xml:space="preserve">promovido </w:t>
      </w:r>
      <w:r w:rsidRPr="003A4CD9">
        <w:rPr>
          <w:rFonts w:ascii="Palatino Linotype" w:hAnsi="Palatino Linotype"/>
          <w:b/>
          <w:bCs/>
        </w:rPr>
        <w:t>por un usuario del Sistema de Acceso a la Información Mexiquense (SAIMEX)</w:t>
      </w:r>
      <w:r w:rsidRPr="003A4CD9">
        <w:rPr>
          <w:rFonts w:ascii="Palatino Linotype" w:hAnsi="Palatino Linotype"/>
        </w:rPr>
        <w:t xml:space="preserve">, quien en lo sucesivo se le identificara como </w:t>
      </w:r>
      <w:r w:rsidRPr="003A4CD9">
        <w:rPr>
          <w:rFonts w:ascii="Palatino Linotype" w:hAnsi="Palatino Linotype"/>
          <w:b/>
        </w:rPr>
        <w:t>RECURRENTE</w:t>
      </w:r>
      <w:r w:rsidRPr="003A4CD9">
        <w:rPr>
          <w:rFonts w:ascii="Palatino Linotype" w:hAnsi="Palatino Linotype"/>
        </w:rPr>
        <w:t>, en contra de la</w:t>
      </w:r>
      <w:r w:rsidRPr="003A4CD9">
        <w:rPr>
          <w:rFonts w:ascii="Palatino Linotype" w:hAnsi="Palatino Linotype" w:cs="Arial"/>
        </w:rPr>
        <w:t xml:space="preserve"> respuesta del  </w:t>
      </w:r>
      <w:r w:rsidRPr="003A4CD9">
        <w:rPr>
          <w:rFonts w:ascii="Palatino Linotype" w:eastAsia="Calibri" w:hAnsi="Palatino Linotype" w:cs="Tahoma"/>
          <w:b/>
          <w:bCs/>
          <w:lang w:eastAsia="en-US"/>
        </w:rPr>
        <w:t>Ayuntamiento de Lerma</w:t>
      </w:r>
      <w:r w:rsidRPr="003A4CD9">
        <w:rPr>
          <w:rFonts w:ascii="Palatino Linotype" w:hAnsi="Palatino Linotype" w:cs="Arial"/>
          <w:b/>
        </w:rPr>
        <w:t xml:space="preserve">, </w:t>
      </w:r>
      <w:r w:rsidRPr="003A4CD9">
        <w:rPr>
          <w:rFonts w:ascii="Palatino Linotype" w:hAnsi="Palatino Linotype"/>
        </w:rPr>
        <w:t>en lo sucesivo el</w:t>
      </w:r>
      <w:r w:rsidRPr="003A4CD9">
        <w:rPr>
          <w:rFonts w:ascii="Palatino Linotype" w:hAnsi="Palatino Linotype"/>
          <w:b/>
        </w:rPr>
        <w:t xml:space="preserve"> SUJETO OBLIGADO, </w:t>
      </w:r>
      <w:r w:rsidRPr="003A4CD9">
        <w:rPr>
          <w:rFonts w:ascii="Palatino Linotype" w:hAnsi="Palatino Linotype"/>
        </w:rPr>
        <w:t xml:space="preserve">se procede a dictar la presente resolución, con base en los siguientes: </w:t>
      </w:r>
    </w:p>
    <w:p w14:paraId="67E2CBDF" w14:textId="77777777" w:rsidR="00847857" w:rsidRPr="003A4CD9" w:rsidRDefault="00847857" w:rsidP="00847857">
      <w:pPr>
        <w:keepNext/>
        <w:keepLines/>
        <w:tabs>
          <w:tab w:val="left" w:pos="0"/>
        </w:tabs>
        <w:spacing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3A4CD9">
        <w:rPr>
          <w:rFonts w:ascii="Palatino Linotype" w:hAnsi="Palatino Linotype"/>
          <w:b/>
          <w:lang w:eastAsia="en-US"/>
        </w:rPr>
        <w:t>ANTECEDENTES</w:t>
      </w:r>
      <w:bookmarkEnd w:id="0"/>
      <w:bookmarkEnd w:id="1"/>
      <w:bookmarkEnd w:id="2"/>
      <w:bookmarkEnd w:id="3"/>
    </w:p>
    <w:p w14:paraId="02B424E6" w14:textId="77777777" w:rsidR="00847857" w:rsidRPr="003A4CD9" w:rsidRDefault="00847857" w:rsidP="00847857">
      <w:pPr>
        <w:keepNext/>
        <w:keepLines/>
        <w:tabs>
          <w:tab w:val="left" w:pos="0"/>
        </w:tabs>
        <w:spacing w:line="360" w:lineRule="auto"/>
        <w:jc w:val="center"/>
        <w:outlineLvl w:val="0"/>
        <w:rPr>
          <w:rFonts w:ascii="Palatino Linotype" w:hAnsi="Palatino Linotype"/>
          <w:b/>
          <w:lang w:eastAsia="en-US"/>
        </w:rPr>
      </w:pPr>
    </w:p>
    <w:p w14:paraId="53F83AD5" w14:textId="77777777" w:rsidR="00847857" w:rsidRPr="003A4CD9" w:rsidRDefault="00847857" w:rsidP="00847857">
      <w:pPr>
        <w:numPr>
          <w:ilvl w:val="0"/>
          <w:numId w:val="1"/>
        </w:numPr>
        <w:tabs>
          <w:tab w:val="left" w:pos="0"/>
        </w:tabs>
        <w:spacing w:line="360" w:lineRule="auto"/>
        <w:ind w:left="0" w:firstLine="0"/>
        <w:contextualSpacing/>
        <w:jc w:val="both"/>
        <w:rPr>
          <w:rFonts w:ascii="Palatino Linotype" w:eastAsia="Calibri" w:hAnsi="Palatino Linotype" w:cs="Arial"/>
          <w:lang w:val="es-ES"/>
        </w:rPr>
      </w:pPr>
      <w:r w:rsidRPr="003A4CD9">
        <w:rPr>
          <w:rFonts w:ascii="Palatino Linotype" w:eastAsia="Calibri" w:hAnsi="Palatino Linotype" w:cs="Arial"/>
          <w:lang w:val="es-ES"/>
        </w:rPr>
        <w:t>El veintiuno (21) de septiembre de dos mil veintitrés,</w:t>
      </w:r>
      <w:r w:rsidRPr="003A4CD9">
        <w:rPr>
          <w:rFonts w:ascii="Palatino Linotype" w:eastAsia="Calibri" w:hAnsi="Palatino Linotype"/>
          <w:lang w:val="es-ES"/>
        </w:rPr>
        <w:t xml:space="preserve"> </w:t>
      </w:r>
      <w:r w:rsidRPr="003A4CD9">
        <w:rPr>
          <w:rFonts w:ascii="Palatino Linotype" w:hAnsi="Palatino Linotype"/>
        </w:rPr>
        <w:t>el</w:t>
      </w:r>
      <w:r w:rsidRPr="003A4CD9">
        <w:rPr>
          <w:rFonts w:ascii="Palatino Linotype" w:hAnsi="Palatino Linotype"/>
          <w:b/>
        </w:rPr>
        <w:t xml:space="preserve"> </w:t>
      </w:r>
      <w:r w:rsidRPr="003A4CD9">
        <w:rPr>
          <w:rFonts w:ascii="Palatino Linotype" w:hAnsi="Palatino Linotype"/>
        </w:rPr>
        <w:t>solicitante</w:t>
      </w:r>
      <w:r w:rsidRPr="003A4CD9">
        <w:rPr>
          <w:rFonts w:ascii="Palatino Linotype" w:hAnsi="Palatino Linotype"/>
          <w:b/>
        </w:rPr>
        <w:t xml:space="preserve">  </w:t>
      </w:r>
      <w:r w:rsidRPr="003A4CD9">
        <w:rPr>
          <w:rFonts w:ascii="Palatino Linotype" w:hAnsi="Palatino Linotype"/>
        </w:rPr>
        <w:t>presentó</w:t>
      </w:r>
      <w:r w:rsidRPr="003A4CD9">
        <w:rPr>
          <w:rFonts w:ascii="Palatino Linotype" w:hAnsi="Palatino Linotype"/>
          <w:b/>
        </w:rPr>
        <w:t xml:space="preserve"> </w:t>
      </w:r>
      <w:r w:rsidRPr="003A4CD9">
        <w:rPr>
          <w:rFonts w:ascii="Palatino Linotype" w:eastAsia="Calibri" w:hAnsi="Palatino Linotype" w:cs="Arial"/>
          <w:lang w:val="es-ES"/>
        </w:rPr>
        <w:t xml:space="preserve">ante el </w:t>
      </w:r>
      <w:r w:rsidRPr="003A4CD9">
        <w:rPr>
          <w:rFonts w:ascii="Palatino Linotype" w:eastAsia="Calibri" w:hAnsi="Palatino Linotype" w:cs="Arial"/>
          <w:b/>
          <w:lang w:val="es-ES"/>
        </w:rPr>
        <w:t>SUJETO OBLIGADO,</w:t>
      </w:r>
      <w:r w:rsidRPr="003A4CD9">
        <w:rPr>
          <w:rFonts w:ascii="Palatino Linotype" w:eastAsia="Calibri" w:hAnsi="Palatino Linotype" w:cs="Arial"/>
        </w:rPr>
        <w:t xml:space="preserve"> a través de la Plataforma digital Sistema de Acceso a la Información Mexiquense (SAIMEX),</w:t>
      </w:r>
      <w:r w:rsidRPr="003A4CD9">
        <w:rPr>
          <w:rFonts w:ascii="Palatino Linotype" w:eastAsia="Calibri" w:hAnsi="Palatino Linotype" w:cs="Arial"/>
          <w:lang w:val="es-ES"/>
        </w:rPr>
        <w:t xml:space="preserve"> la solicitud de información pública registrada con el número </w:t>
      </w:r>
      <w:r w:rsidRPr="003A4CD9">
        <w:rPr>
          <w:rFonts w:ascii="Palatino Linotype" w:hAnsi="Palatino Linotype"/>
          <w:b/>
          <w:bCs/>
        </w:rPr>
        <w:t> 00207/LERMA/IP/2023</w:t>
      </w:r>
      <w:r w:rsidRPr="003A4CD9">
        <w:rPr>
          <w:rFonts w:ascii="Palatino Linotype" w:eastAsia="Calibri" w:hAnsi="Palatino Linotype" w:cs="Arial"/>
          <w:lang w:val="es-ES"/>
        </w:rPr>
        <w:t xml:space="preserve">, </w:t>
      </w:r>
      <w:r w:rsidR="00EE465C" w:rsidRPr="003A4CD9">
        <w:rPr>
          <w:rFonts w:ascii="Palatino Linotype" w:eastAsia="Calibri" w:hAnsi="Palatino Linotype" w:cs="Arial"/>
          <w:lang w:val="es-ES"/>
        </w:rPr>
        <w:t>en la que</w:t>
      </w:r>
      <w:r w:rsidRPr="003A4CD9">
        <w:rPr>
          <w:rFonts w:ascii="Palatino Linotype" w:eastAsia="Calibri" w:hAnsi="Palatino Linotype" w:cs="Arial"/>
          <w:lang w:val="es-ES"/>
        </w:rPr>
        <w:t xml:space="preserve"> se solicitó:</w:t>
      </w:r>
    </w:p>
    <w:p w14:paraId="74F5EED2" w14:textId="77777777" w:rsidR="00847857" w:rsidRPr="003A4CD9" w:rsidRDefault="00847857" w:rsidP="00847857">
      <w:pPr>
        <w:tabs>
          <w:tab w:val="left" w:pos="0"/>
        </w:tabs>
        <w:spacing w:line="360" w:lineRule="auto"/>
        <w:ind w:left="360"/>
        <w:contextualSpacing/>
        <w:jc w:val="both"/>
        <w:rPr>
          <w:rFonts w:ascii="Palatino Linotype" w:eastAsia="Calibri" w:hAnsi="Palatino Linotype" w:cs="Arial"/>
          <w:lang w:val="es-ES"/>
        </w:rPr>
      </w:pPr>
    </w:p>
    <w:p w14:paraId="19D7DF49" w14:textId="77777777" w:rsidR="00847857" w:rsidRPr="003A4CD9" w:rsidRDefault="00847857" w:rsidP="00847857">
      <w:pPr>
        <w:tabs>
          <w:tab w:val="left" w:pos="0"/>
        </w:tabs>
        <w:spacing w:line="360" w:lineRule="auto"/>
        <w:ind w:left="567" w:right="49"/>
        <w:contextualSpacing/>
        <w:jc w:val="both"/>
        <w:rPr>
          <w:rFonts w:ascii="Palatino Linotype" w:hAnsi="Palatino Linotype" w:cs="Arial"/>
          <w:i/>
          <w:lang w:val="es-ES"/>
        </w:rPr>
      </w:pPr>
      <w:r w:rsidRPr="003A4CD9">
        <w:rPr>
          <w:rFonts w:ascii="Palatino Linotype" w:hAnsi="Palatino Linotype" w:cs="Arial"/>
          <w:i/>
          <w:lang w:val="es-ES"/>
        </w:rPr>
        <w:t>“</w:t>
      </w:r>
      <w:r w:rsidRPr="003A4CD9">
        <w:rPr>
          <w:rFonts w:ascii="Palatino Linotype" w:hAnsi="Palatino Linotype"/>
          <w:i/>
          <w:color w:val="000000"/>
        </w:rPr>
        <w:t>as altas y bajas de servidores publicos por mes de enero 2022 al 15 de septiembre 2023. con los siguientes campos: 1. numero de empleado 2. nombre de empleado 3. adscripcion, jefe directo y forma de checar entrada y salida 4. sueldo bruto 5. en el caso de las bajas monto de la liquidacion</w:t>
      </w:r>
      <w:r w:rsidRPr="003A4CD9">
        <w:rPr>
          <w:rFonts w:ascii="Palatino Linotype" w:hAnsi="Palatino Linotype" w:cs="Arial"/>
          <w:i/>
          <w:lang w:val="es-ES"/>
        </w:rPr>
        <w:t>” (Sic)</w:t>
      </w:r>
    </w:p>
    <w:p w14:paraId="099DA3B4" w14:textId="77777777" w:rsidR="00847857" w:rsidRPr="003A4CD9" w:rsidRDefault="00847857" w:rsidP="00847857">
      <w:pPr>
        <w:spacing w:line="360" w:lineRule="auto"/>
        <w:rPr>
          <w:rFonts w:ascii="Palatino Linotype" w:hAnsi="Palatino Linotype" w:cs="Arial"/>
        </w:rPr>
      </w:pPr>
    </w:p>
    <w:p w14:paraId="7F9DDBFF" w14:textId="77777777" w:rsidR="00847857" w:rsidRPr="003A4CD9" w:rsidRDefault="00847857" w:rsidP="00847857">
      <w:pPr>
        <w:pStyle w:val="Prrafodelista"/>
        <w:numPr>
          <w:ilvl w:val="0"/>
          <w:numId w:val="1"/>
        </w:numPr>
        <w:spacing w:line="360" w:lineRule="auto"/>
        <w:ind w:left="0" w:firstLine="0"/>
        <w:jc w:val="both"/>
        <w:rPr>
          <w:rFonts w:ascii="Palatino Linotype" w:hAnsi="Palatino Linotype" w:cs="Arial"/>
          <w:i/>
          <w:sz w:val="24"/>
        </w:rPr>
      </w:pPr>
      <w:r w:rsidRPr="003A4CD9">
        <w:rPr>
          <w:rFonts w:ascii="Palatino Linotype" w:hAnsi="Palatino Linotype" w:cs="Arial"/>
          <w:sz w:val="24"/>
        </w:rPr>
        <w:t>Se hace constar que se señaló como modalidad de entrega de la información a través del Sistema de Acceso a la Información Mexiquense (SAIMEX).</w:t>
      </w:r>
      <w:r w:rsidRPr="003A4CD9">
        <w:rPr>
          <w:rFonts w:ascii="Palatino Linotype" w:hAnsi="Palatino Linotype" w:cs="Arial"/>
          <w:b/>
          <w:sz w:val="24"/>
        </w:rPr>
        <w:t xml:space="preserve">  </w:t>
      </w:r>
    </w:p>
    <w:p w14:paraId="660DBAE6" w14:textId="77777777" w:rsidR="00847857" w:rsidRPr="003A4CD9" w:rsidRDefault="00847857" w:rsidP="00847857">
      <w:pPr>
        <w:numPr>
          <w:ilvl w:val="0"/>
          <w:numId w:val="1"/>
        </w:numPr>
        <w:tabs>
          <w:tab w:val="left" w:pos="0"/>
        </w:tabs>
        <w:spacing w:line="360" w:lineRule="auto"/>
        <w:ind w:left="0" w:right="34" w:firstLine="0"/>
        <w:contextualSpacing/>
        <w:jc w:val="both"/>
        <w:rPr>
          <w:rFonts w:ascii="Palatino Linotype" w:hAnsi="Palatino Linotype" w:cs="Arial"/>
          <w:b/>
          <w:lang w:val="es-ES"/>
        </w:rPr>
      </w:pPr>
      <w:r w:rsidRPr="003A4CD9">
        <w:rPr>
          <w:rFonts w:ascii="Palatino Linotype" w:eastAsia="Calibri" w:hAnsi="Palatino Linotype" w:cs="Arial"/>
          <w:lang w:val="es-AR"/>
        </w:rPr>
        <w:lastRenderedPageBreak/>
        <w:t>El</w:t>
      </w:r>
      <w:r w:rsidR="00E13706" w:rsidRPr="003A4CD9">
        <w:rPr>
          <w:rFonts w:ascii="Palatino Linotype" w:hAnsi="Palatino Linotype" w:cs="Arial"/>
          <w:lang w:val="es-ES"/>
        </w:rPr>
        <w:t xml:space="preserve"> doce (12</w:t>
      </w:r>
      <w:r w:rsidRPr="003A4CD9">
        <w:rPr>
          <w:rFonts w:ascii="Palatino Linotype" w:hAnsi="Palatino Linotype" w:cs="Arial"/>
          <w:lang w:val="es-ES"/>
        </w:rPr>
        <w:t xml:space="preserve">) de octubre de dos mil veintitrés, el </w:t>
      </w:r>
      <w:r w:rsidRPr="003A4CD9">
        <w:rPr>
          <w:rFonts w:ascii="Palatino Linotype" w:hAnsi="Palatino Linotype" w:cs="Arial"/>
          <w:b/>
          <w:lang w:val="es-ES"/>
        </w:rPr>
        <w:t xml:space="preserve">SUJETO OBLIGADO </w:t>
      </w:r>
      <w:bookmarkStart w:id="4" w:name="_Toc472500652"/>
      <w:bookmarkStart w:id="5" w:name="_Toc472427085"/>
      <w:bookmarkStart w:id="6" w:name="_Toc462307683"/>
      <w:r w:rsidRPr="003A4CD9">
        <w:rPr>
          <w:rFonts w:ascii="Palatino Linotype" w:hAnsi="Palatino Linotype" w:cs="Arial"/>
          <w:lang w:val="es-ES"/>
        </w:rPr>
        <w:t>dio respuesta a la solicitud en el siguiente sentido:</w:t>
      </w:r>
    </w:p>
    <w:p w14:paraId="37C7EDBC" w14:textId="77777777" w:rsidR="006879EB" w:rsidRPr="003A4CD9" w:rsidRDefault="006879EB" w:rsidP="00847857">
      <w:pPr>
        <w:tabs>
          <w:tab w:val="left" w:pos="0"/>
        </w:tabs>
        <w:spacing w:line="360" w:lineRule="auto"/>
        <w:ind w:right="34"/>
        <w:contextualSpacing/>
        <w:jc w:val="both"/>
        <w:rPr>
          <w:sz w:val="22"/>
        </w:rPr>
      </w:pPr>
    </w:p>
    <w:tbl>
      <w:tblPr>
        <w:tblW w:w="7721" w:type="dxa"/>
        <w:jc w:val="center"/>
        <w:tblCellSpacing w:w="0" w:type="dxa"/>
        <w:tblCellMar>
          <w:left w:w="0" w:type="dxa"/>
          <w:right w:w="0" w:type="dxa"/>
        </w:tblCellMar>
        <w:tblLook w:val="04A0" w:firstRow="1" w:lastRow="0" w:firstColumn="1" w:lastColumn="0" w:noHBand="0" w:noVBand="1"/>
      </w:tblPr>
      <w:tblGrid>
        <w:gridCol w:w="7721"/>
      </w:tblGrid>
      <w:tr w:rsidR="00E13706" w:rsidRPr="003A4CD9" w14:paraId="47F7BD16" w14:textId="77777777" w:rsidTr="00E13706">
        <w:trPr>
          <w:trHeight w:val="334"/>
          <w:tblCellSpacing w:w="0" w:type="dxa"/>
          <w:jc w:val="center"/>
        </w:trPr>
        <w:tc>
          <w:tcPr>
            <w:tcW w:w="0" w:type="auto"/>
            <w:vAlign w:val="center"/>
            <w:hideMark/>
          </w:tcPr>
          <w:p w14:paraId="0BF81985" w14:textId="77777777" w:rsidR="00E13706" w:rsidRPr="003A4CD9" w:rsidRDefault="00E13706" w:rsidP="00E13706">
            <w:pPr>
              <w:jc w:val="right"/>
              <w:rPr>
                <w:rFonts w:ascii="Palatino Linotype" w:hAnsi="Palatino Linotype"/>
                <w:i/>
                <w:sz w:val="22"/>
              </w:rPr>
            </w:pPr>
            <w:r w:rsidRPr="003A4CD9">
              <w:rPr>
                <w:rFonts w:ascii="Palatino Linotype" w:hAnsi="Palatino Linotype"/>
                <w:i/>
                <w:sz w:val="22"/>
              </w:rPr>
              <w:t>Lerma, México a 12 de Octubre de 2023</w:t>
            </w:r>
          </w:p>
        </w:tc>
      </w:tr>
      <w:tr w:rsidR="00E13706" w:rsidRPr="003A4CD9" w14:paraId="40D6B014" w14:textId="77777777" w:rsidTr="00E13706">
        <w:trPr>
          <w:trHeight w:val="334"/>
          <w:tblCellSpacing w:w="0" w:type="dxa"/>
          <w:jc w:val="center"/>
        </w:trPr>
        <w:tc>
          <w:tcPr>
            <w:tcW w:w="0" w:type="auto"/>
            <w:vAlign w:val="center"/>
            <w:hideMark/>
          </w:tcPr>
          <w:p w14:paraId="061DD08F" w14:textId="77777777" w:rsidR="00E13706" w:rsidRPr="003A4CD9" w:rsidRDefault="00E13706" w:rsidP="00E13706">
            <w:pPr>
              <w:jc w:val="right"/>
              <w:rPr>
                <w:rFonts w:ascii="Palatino Linotype" w:hAnsi="Palatino Linotype"/>
                <w:i/>
                <w:sz w:val="22"/>
              </w:rPr>
            </w:pPr>
            <w:r w:rsidRPr="003A4CD9">
              <w:rPr>
                <w:rFonts w:ascii="Palatino Linotype" w:hAnsi="Palatino Linotype"/>
                <w:i/>
                <w:sz w:val="22"/>
              </w:rPr>
              <w:t>Nombre del solicitante: C. Solicitante</w:t>
            </w:r>
          </w:p>
        </w:tc>
      </w:tr>
      <w:tr w:rsidR="00E13706" w:rsidRPr="003A4CD9" w14:paraId="7FC2E26C" w14:textId="77777777" w:rsidTr="00E13706">
        <w:trPr>
          <w:trHeight w:val="334"/>
          <w:tblCellSpacing w:w="0" w:type="dxa"/>
          <w:jc w:val="center"/>
        </w:trPr>
        <w:tc>
          <w:tcPr>
            <w:tcW w:w="0" w:type="auto"/>
            <w:vAlign w:val="center"/>
            <w:hideMark/>
          </w:tcPr>
          <w:p w14:paraId="072DB69A" w14:textId="77777777" w:rsidR="00E13706" w:rsidRPr="003A4CD9" w:rsidRDefault="00E13706" w:rsidP="00E13706">
            <w:pPr>
              <w:jc w:val="right"/>
              <w:rPr>
                <w:rFonts w:ascii="Palatino Linotype" w:hAnsi="Palatino Linotype"/>
                <w:i/>
                <w:sz w:val="22"/>
              </w:rPr>
            </w:pPr>
            <w:r w:rsidRPr="003A4CD9">
              <w:rPr>
                <w:rFonts w:ascii="Palatino Linotype" w:hAnsi="Palatino Linotype"/>
                <w:i/>
                <w:sz w:val="22"/>
              </w:rPr>
              <w:t>Folio de la solicitud: 00207/LERMA/IP/2023</w:t>
            </w:r>
          </w:p>
        </w:tc>
      </w:tr>
      <w:tr w:rsidR="00E13706" w:rsidRPr="003A4CD9" w14:paraId="15CEDF32" w14:textId="77777777" w:rsidTr="00E13706">
        <w:trPr>
          <w:trHeight w:val="502"/>
          <w:tblCellSpacing w:w="0" w:type="dxa"/>
          <w:jc w:val="center"/>
        </w:trPr>
        <w:tc>
          <w:tcPr>
            <w:tcW w:w="0" w:type="auto"/>
            <w:vAlign w:val="center"/>
            <w:hideMark/>
          </w:tcPr>
          <w:p w14:paraId="72753714" w14:textId="77777777" w:rsidR="00E13706" w:rsidRPr="003A4CD9" w:rsidRDefault="00E13706" w:rsidP="00E13706">
            <w:pPr>
              <w:jc w:val="right"/>
              <w:rPr>
                <w:rFonts w:ascii="Palatino Linotype" w:hAnsi="Palatino Linotype"/>
                <w:i/>
                <w:sz w:val="22"/>
              </w:rPr>
            </w:pPr>
          </w:p>
        </w:tc>
      </w:tr>
      <w:tr w:rsidR="00E13706" w:rsidRPr="003A4CD9" w14:paraId="2FAE1CC3" w14:textId="77777777" w:rsidTr="00E13706">
        <w:trPr>
          <w:trHeight w:val="167"/>
          <w:tblCellSpacing w:w="0" w:type="dxa"/>
          <w:jc w:val="center"/>
        </w:trPr>
        <w:tc>
          <w:tcPr>
            <w:tcW w:w="0" w:type="auto"/>
            <w:vAlign w:val="center"/>
            <w:hideMark/>
          </w:tcPr>
          <w:p w14:paraId="3C554E6A" w14:textId="77777777" w:rsidR="00E13706" w:rsidRPr="003A4CD9" w:rsidRDefault="00E13706" w:rsidP="00E13706">
            <w:pPr>
              <w:jc w:val="center"/>
              <w:rPr>
                <w:rFonts w:ascii="Palatino Linotype" w:hAnsi="Palatino Linotype"/>
                <w:i/>
                <w:sz w:val="22"/>
              </w:rPr>
            </w:pPr>
          </w:p>
        </w:tc>
      </w:tr>
      <w:tr w:rsidR="00E13706" w:rsidRPr="003A4CD9" w14:paraId="16AF288F" w14:textId="77777777" w:rsidTr="00E13706">
        <w:trPr>
          <w:trHeight w:val="418"/>
          <w:tblCellSpacing w:w="0" w:type="dxa"/>
          <w:jc w:val="center"/>
        </w:trPr>
        <w:tc>
          <w:tcPr>
            <w:tcW w:w="0" w:type="auto"/>
            <w:vAlign w:val="center"/>
            <w:hideMark/>
          </w:tcPr>
          <w:p w14:paraId="45924007" w14:textId="77777777" w:rsidR="00E13706" w:rsidRPr="003A4CD9" w:rsidRDefault="00E13706" w:rsidP="00E13706">
            <w:pPr>
              <w:rPr>
                <w:rFonts w:ascii="Palatino Linotype" w:hAnsi="Palatino Linotype"/>
                <w:i/>
                <w:sz w:val="22"/>
              </w:rPr>
            </w:pPr>
          </w:p>
        </w:tc>
      </w:tr>
      <w:tr w:rsidR="00E13706" w:rsidRPr="003A4CD9" w14:paraId="7FC808A5" w14:textId="77777777" w:rsidTr="00E13706">
        <w:trPr>
          <w:trHeight w:val="167"/>
          <w:tblCellSpacing w:w="0" w:type="dxa"/>
          <w:jc w:val="center"/>
        </w:trPr>
        <w:tc>
          <w:tcPr>
            <w:tcW w:w="0" w:type="auto"/>
            <w:vAlign w:val="center"/>
            <w:hideMark/>
          </w:tcPr>
          <w:p w14:paraId="58B3AB86" w14:textId="77777777" w:rsidR="00E13706" w:rsidRPr="003A4CD9" w:rsidRDefault="00E13706" w:rsidP="00E13706">
            <w:pPr>
              <w:rPr>
                <w:rFonts w:ascii="Palatino Linotype" w:hAnsi="Palatino Linotype"/>
                <w:i/>
                <w:sz w:val="22"/>
              </w:rPr>
            </w:pPr>
            <w:r w:rsidRPr="003A4CD9">
              <w:rPr>
                <w:rFonts w:ascii="Palatino Linotype" w:hAnsi="Palatino Linotype"/>
                <w:i/>
                <w:sz w:val="22"/>
              </w:rPr>
              <w:t>Se adjunta link, el cual usted podrá consultar la información de su interés, descrita en la solicitud. https://ipomex.org.mx/ipo3/lgt/indice/LERMA/art_92_viii.web</w:t>
            </w:r>
          </w:p>
        </w:tc>
      </w:tr>
      <w:tr w:rsidR="00E13706" w:rsidRPr="003A4CD9" w14:paraId="0B3C787C" w14:textId="77777777" w:rsidTr="00E13706">
        <w:trPr>
          <w:trHeight w:val="418"/>
          <w:tblCellSpacing w:w="0" w:type="dxa"/>
          <w:jc w:val="center"/>
        </w:trPr>
        <w:tc>
          <w:tcPr>
            <w:tcW w:w="0" w:type="auto"/>
            <w:vAlign w:val="center"/>
            <w:hideMark/>
          </w:tcPr>
          <w:p w14:paraId="3800A165" w14:textId="77777777" w:rsidR="00E13706" w:rsidRPr="003A4CD9" w:rsidRDefault="00E13706" w:rsidP="00E13706">
            <w:pPr>
              <w:rPr>
                <w:rFonts w:ascii="Palatino Linotype" w:hAnsi="Palatino Linotype"/>
                <w:i/>
                <w:sz w:val="22"/>
              </w:rPr>
            </w:pPr>
          </w:p>
        </w:tc>
      </w:tr>
      <w:tr w:rsidR="00E13706" w:rsidRPr="003A4CD9" w14:paraId="1AA79630" w14:textId="77777777" w:rsidTr="00E13706">
        <w:trPr>
          <w:trHeight w:val="167"/>
          <w:tblCellSpacing w:w="0" w:type="dxa"/>
          <w:jc w:val="center"/>
        </w:trPr>
        <w:tc>
          <w:tcPr>
            <w:tcW w:w="0" w:type="auto"/>
            <w:vAlign w:val="center"/>
            <w:hideMark/>
          </w:tcPr>
          <w:p w14:paraId="29E6E9E4" w14:textId="77777777" w:rsidR="00E13706" w:rsidRPr="003A4CD9" w:rsidRDefault="00E13706" w:rsidP="00E13706">
            <w:pPr>
              <w:jc w:val="center"/>
              <w:rPr>
                <w:rFonts w:ascii="Palatino Linotype" w:hAnsi="Palatino Linotype"/>
                <w:i/>
                <w:sz w:val="22"/>
              </w:rPr>
            </w:pPr>
          </w:p>
        </w:tc>
      </w:tr>
      <w:tr w:rsidR="00E13706" w:rsidRPr="003A4CD9" w14:paraId="79CD778F" w14:textId="77777777" w:rsidTr="00E13706">
        <w:trPr>
          <w:trHeight w:val="167"/>
          <w:tblCellSpacing w:w="0" w:type="dxa"/>
          <w:jc w:val="center"/>
        </w:trPr>
        <w:tc>
          <w:tcPr>
            <w:tcW w:w="0" w:type="auto"/>
            <w:vAlign w:val="center"/>
            <w:hideMark/>
          </w:tcPr>
          <w:p w14:paraId="2A39786B" w14:textId="77777777" w:rsidR="00E13706" w:rsidRPr="003A4CD9" w:rsidRDefault="00E13706" w:rsidP="00E13706">
            <w:pPr>
              <w:rPr>
                <w:rFonts w:ascii="Palatino Linotype" w:hAnsi="Palatino Linotype"/>
                <w:i/>
                <w:sz w:val="22"/>
              </w:rPr>
            </w:pPr>
          </w:p>
        </w:tc>
      </w:tr>
      <w:tr w:rsidR="00E13706" w:rsidRPr="003A4CD9" w14:paraId="2FFEE45E" w14:textId="77777777" w:rsidTr="00E13706">
        <w:trPr>
          <w:trHeight w:val="167"/>
          <w:tblCellSpacing w:w="0" w:type="dxa"/>
          <w:jc w:val="center"/>
        </w:trPr>
        <w:tc>
          <w:tcPr>
            <w:tcW w:w="0" w:type="auto"/>
            <w:vAlign w:val="center"/>
            <w:hideMark/>
          </w:tcPr>
          <w:p w14:paraId="5A70AF38" w14:textId="77777777" w:rsidR="00E13706" w:rsidRPr="003A4CD9" w:rsidRDefault="00E13706" w:rsidP="00E13706">
            <w:pPr>
              <w:rPr>
                <w:rFonts w:ascii="Palatino Linotype" w:hAnsi="Palatino Linotype"/>
                <w:i/>
                <w:sz w:val="22"/>
              </w:rPr>
            </w:pPr>
            <w:r w:rsidRPr="003A4CD9">
              <w:rPr>
                <w:rFonts w:ascii="Palatino Linotype" w:hAnsi="Palatino Linotype"/>
                <w:i/>
                <w:sz w:val="22"/>
              </w:rPr>
              <w:t>ATENTAMENTE</w:t>
            </w:r>
          </w:p>
        </w:tc>
      </w:tr>
      <w:tr w:rsidR="00E13706" w:rsidRPr="003A4CD9" w14:paraId="68D161C9" w14:textId="77777777" w:rsidTr="00E13706">
        <w:trPr>
          <w:trHeight w:val="251"/>
          <w:tblCellSpacing w:w="0" w:type="dxa"/>
          <w:jc w:val="center"/>
        </w:trPr>
        <w:tc>
          <w:tcPr>
            <w:tcW w:w="0" w:type="auto"/>
            <w:vAlign w:val="center"/>
            <w:hideMark/>
          </w:tcPr>
          <w:p w14:paraId="608BA8A3" w14:textId="77777777" w:rsidR="00E13706" w:rsidRPr="003A4CD9" w:rsidRDefault="00E13706" w:rsidP="00E13706">
            <w:pPr>
              <w:rPr>
                <w:rFonts w:ascii="Palatino Linotype" w:hAnsi="Palatino Linotype"/>
                <w:i/>
                <w:sz w:val="22"/>
              </w:rPr>
            </w:pPr>
          </w:p>
        </w:tc>
      </w:tr>
      <w:tr w:rsidR="00E13706" w:rsidRPr="003A4CD9" w14:paraId="1BBE5D89" w14:textId="77777777" w:rsidTr="00E13706">
        <w:trPr>
          <w:trHeight w:val="167"/>
          <w:tblCellSpacing w:w="0" w:type="dxa"/>
          <w:jc w:val="center"/>
        </w:trPr>
        <w:tc>
          <w:tcPr>
            <w:tcW w:w="0" w:type="auto"/>
            <w:vAlign w:val="center"/>
            <w:hideMark/>
          </w:tcPr>
          <w:p w14:paraId="43A13D6D" w14:textId="77777777" w:rsidR="00E13706" w:rsidRPr="003A4CD9" w:rsidRDefault="00E13706" w:rsidP="00E13706">
            <w:pPr>
              <w:rPr>
                <w:rFonts w:ascii="Palatino Linotype" w:hAnsi="Palatino Linotype"/>
                <w:i/>
                <w:sz w:val="22"/>
              </w:rPr>
            </w:pPr>
            <w:r w:rsidRPr="003A4CD9">
              <w:rPr>
                <w:rFonts w:ascii="Palatino Linotype" w:hAnsi="Palatino Linotype"/>
                <w:i/>
                <w:sz w:val="22"/>
              </w:rPr>
              <w:t>Lic. Brisa Valentina Ramos Franco</w:t>
            </w:r>
          </w:p>
        </w:tc>
      </w:tr>
    </w:tbl>
    <w:p w14:paraId="71170990" w14:textId="77777777" w:rsidR="00E13706" w:rsidRPr="003A4CD9" w:rsidRDefault="00E13706" w:rsidP="00847857">
      <w:pPr>
        <w:tabs>
          <w:tab w:val="left" w:pos="0"/>
        </w:tabs>
        <w:spacing w:line="360" w:lineRule="auto"/>
        <w:ind w:right="34"/>
        <w:contextualSpacing/>
        <w:jc w:val="both"/>
        <w:rPr>
          <w:sz w:val="22"/>
        </w:rPr>
      </w:pPr>
    </w:p>
    <w:p w14:paraId="1BD6CD61" w14:textId="77777777" w:rsidR="00E13706" w:rsidRPr="003A4CD9" w:rsidRDefault="00E13706" w:rsidP="00847857">
      <w:pPr>
        <w:tabs>
          <w:tab w:val="left" w:pos="0"/>
        </w:tabs>
        <w:spacing w:line="360" w:lineRule="auto"/>
        <w:ind w:right="34"/>
        <w:contextualSpacing/>
        <w:jc w:val="both"/>
      </w:pPr>
    </w:p>
    <w:p w14:paraId="1A91C3A7" w14:textId="77777777" w:rsidR="00847857" w:rsidRPr="003A4CD9" w:rsidRDefault="00847857" w:rsidP="00847857">
      <w:pPr>
        <w:pStyle w:val="Prrafodelista"/>
        <w:numPr>
          <w:ilvl w:val="0"/>
          <w:numId w:val="1"/>
        </w:numPr>
        <w:tabs>
          <w:tab w:val="left" w:pos="0"/>
        </w:tabs>
        <w:spacing w:line="360" w:lineRule="auto"/>
        <w:ind w:left="0" w:firstLine="0"/>
        <w:jc w:val="both"/>
        <w:rPr>
          <w:rFonts w:ascii="Palatino Linotype" w:eastAsia="MS Mincho" w:hAnsi="Palatino Linotype" w:cs="Arial"/>
          <w:b/>
          <w:bCs/>
          <w:sz w:val="24"/>
        </w:rPr>
      </w:pPr>
      <w:r w:rsidRPr="003A4CD9">
        <w:rPr>
          <w:rFonts w:ascii="Palatino Linotype" w:hAnsi="Palatino Linotype" w:cs="Arial"/>
          <w:sz w:val="24"/>
          <w:lang w:val="es-ES"/>
        </w:rPr>
        <w:t xml:space="preserve">En lo sucesivo el </w:t>
      </w:r>
      <w:r w:rsidR="00E13706" w:rsidRPr="003A4CD9">
        <w:rPr>
          <w:rFonts w:ascii="Palatino Linotype" w:hAnsi="Palatino Linotype" w:cs="Arial"/>
          <w:sz w:val="24"/>
          <w:lang w:val="es-ES"/>
        </w:rPr>
        <w:t>doce (129 de octubre</w:t>
      </w:r>
      <w:r w:rsidRPr="003A4CD9">
        <w:rPr>
          <w:rFonts w:ascii="Palatino Linotype" w:hAnsi="Palatino Linotype" w:cs="Arial"/>
          <w:sz w:val="24"/>
          <w:lang w:val="es-ES"/>
        </w:rPr>
        <w:t xml:space="preserve"> de dos mil veintitrés</w:t>
      </w:r>
      <w:r w:rsidRPr="003A4CD9">
        <w:rPr>
          <w:rFonts w:ascii="Palatino Linotype" w:hAnsi="Palatino Linotype" w:cs="Arial"/>
          <w:b/>
          <w:sz w:val="24"/>
          <w:lang w:val="es-ES"/>
        </w:rPr>
        <w:t>,</w:t>
      </w:r>
      <w:r w:rsidRPr="003A4CD9">
        <w:rPr>
          <w:rFonts w:ascii="Palatino Linotype" w:hAnsi="Palatino Linotype" w:cs="Arial"/>
          <w:sz w:val="24"/>
          <w:lang w:val="es-ES"/>
        </w:rPr>
        <w:t xml:space="preserve"> </w:t>
      </w:r>
      <w:r w:rsidRPr="003A4CD9">
        <w:rPr>
          <w:rFonts w:ascii="Palatino Linotype" w:hAnsi="Palatino Linotype" w:cs="Arial"/>
          <w:b/>
          <w:sz w:val="24"/>
          <w:lang w:val="es-ES"/>
        </w:rPr>
        <w:t xml:space="preserve"> </w:t>
      </w:r>
      <w:r w:rsidRPr="003A4CD9">
        <w:rPr>
          <w:rFonts w:ascii="Palatino Linotype" w:hAnsi="Palatino Linotype" w:cs="Arial"/>
          <w:sz w:val="24"/>
          <w:lang w:val="es-ES"/>
        </w:rPr>
        <w:t>el solicitante interpuso el recurso de revisión, señalando como:</w:t>
      </w:r>
    </w:p>
    <w:p w14:paraId="650BA719" w14:textId="77777777" w:rsidR="00847857" w:rsidRPr="003A4CD9" w:rsidRDefault="00847857" w:rsidP="00847857">
      <w:pPr>
        <w:pStyle w:val="Prrafodelista"/>
        <w:tabs>
          <w:tab w:val="left" w:pos="0"/>
        </w:tabs>
        <w:spacing w:line="360" w:lineRule="auto"/>
        <w:ind w:left="0"/>
        <w:jc w:val="both"/>
        <w:rPr>
          <w:rFonts w:ascii="Palatino Linotype" w:eastAsia="MS Mincho" w:hAnsi="Palatino Linotype" w:cs="Arial"/>
          <w:b/>
          <w:bCs/>
        </w:rPr>
      </w:pPr>
    </w:p>
    <w:bookmarkEnd w:id="4"/>
    <w:bookmarkEnd w:id="5"/>
    <w:bookmarkEnd w:id="6"/>
    <w:p w14:paraId="0B164439" w14:textId="77777777" w:rsidR="00847857" w:rsidRPr="003A4CD9" w:rsidRDefault="00847857" w:rsidP="00847857">
      <w:pPr>
        <w:tabs>
          <w:tab w:val="left" w:pos="851"/>
          <w:tab w:val="left" w:pos="8222"/>
        </w:tabs>
        <w:spacing w:line="360" w:lineRule="auto"/>
        <w:ind w:left="851" w:right="567"/>
        <w:contextualSpacing/>
        <w:jc w:val="both"/>
        <w:rPr>
          <w:rFonts w:ascii="Palatino Linotype" w:eastAsia="Calibri" w:hAnsi="Palatino Linotype" w:cs="Arial"/>
          <w:i/>
          <w:sz w:val="22"/>
          <w:lang w:val="es-ES"/>
        </w:rPr>
      </w:pPr>
      <w:r w:rsidRPr="003A4CD9">
        <w:rPr>
          <w:rFonts w:ascii="Palatino Linotype" w:eastAsia="Calibri" w:hAnsi="Palatino Linotype" w:cs="Arial"/>
          <w:b/>
          <w:sz w:val="22"/>
          <w:lang w:val="es-ES"/>
        </w:rPr>
        <w:t>Acto impugnado:</w:t>
      </w:r>
      <w:r w:rsidRPr="003A4CD9">
        <w:rPr>
          <w:rFonts w:ascii="Palatino Linotype" w:eastAsia="Calibri" w:hAnsi="Palatino Linotype" w:cs="Arial"/>
          <w:i/>
          <w:sz w:val="22"/>
          <w:lang w:val="es-ES"/>
        </w:rPr>
        <w:t xml:space="preserve"> </w:t>
      </w:r>
      <w:r w:rsidRPr="003A4CD9">
        <w:rPr>
          <w:rFonts w:ascii="Palatino Linotype" w:eastAsia="Calibri" w:hAnsi="Palatino Linotype" w:cs="Arial"/>
          <w:sz w:val="22"/>
          <w:lang w:val="es-ES"/>
        </w:rPr>
        <w:t>“</w:t>
      </w:r>
      <w:r w:rsidR="00E13706" w:rsidRPr="003A4CD9">
        <w:rPr>
          <w:rFonts w:ascii="Palatino Linotype" w:hAnsi="Palatino Linotype"/>
          <w:i/>
          <w:color w:val="000000"/>
          <w:sz w:val="22"/>
        </w:rPr>
        <w:t>LA RESPUESTA RESPUESTA NO CORRESPONDE A LOS SOLICITADO</w:t>
      </w:r>
      <w:r w:rsidRPr="003A4CD9">
        <w:rPr>
          <w:rFonts w:ascii="Palatino Linotype" w:hAnsi="Palatino Linotype"/>
          <w:i/>
          <w:color w:val="000000"/>
          <w:sz w:val="22"/>
        </w:rPr>
        <w:t>”</w:t>
      </w:r>
      <w:r w:rsidRPr="003A4CD9">
        <w:rPr>
          <w:rFonts w:ascii="Palatino Linotype" w:eastAsia="Calibri" w:hAnsi="Palatino Linotype" w:cs="Arial"/>
          <w:i/>
          <w:sz w:val="22"/>
          <w:lang w:val="es-ES"/>
        </w:rPr>
        <w:t xml:space="preserve"> (Sic) </w:t>
      </w:r>
    </w:p>
    <w:p w14:paraId="704405E3" w14:textId="77777777" w:rsidR="00847857" w:rsidRPr="003A4CD9" w:rsidRDefault="00847857" w:rsidP="00847857">
      <w:pPr>
        <w:tabs>
          <w:tab w:val="left" w:pos="0"/>
        </w:tabs>
        <w:spacing w:line="360" w:lineRule="auto"/>
        <w:ind w:left="567" w:hanging="141"/>
        <w:contextualSpacing/>
        <w:rPr>
          <w:rFonts w:ascii="Palatino Linotype" w:eastAsia="Calibri" w:hAnsi="Palatino Linotype" w:cs="Arial"/>
          <w:i/>
          <w:sz w:val="22"/>
          <w:lang w:val="es-ES"/>
        </w:rPr>
      </w:pPr>
    </w:p>
    <w:p w14:paraId="7CA2C4BB" w14:textId="77777777" w:rsidR="00847857" w:rsidRPr="003A4CD9" w:rsidRDefault="00847857" w:rsidP="00847857">
      <w:pPr>
        <w:tabs>
          <w:tab w:val="left" w:pos="851"/>
        </w:tabs>
        <w:spacing w:line="360" w:lineRule="auto"/>
        <w:ind w:left="851" w:right="567"/>
        <w:contextualSpacing/>
        <w:jc w:val="both"/>
        <w:rPr>
          <w:rFonts w:ascii="Palatino Linotype" w:eastAsia="MS Mincho" w:hAnsi="Palatino Linotype"/>
          <w:i/>
          <w:sz w:val="22"/>
        </w:rPr>
      </w:pPr>
      <w:r w:rsidRPr="003A4CD9">
        <w:rPr>
          <w:rFonts w:ascii="Palatino Linotype" w:eastAsia="MS Gothic" w:hAnsi="Palatino Linotype"/>
          <w:b/>
          <w:sz w:val="22"/>
          <w:lang w:val="es-ES"/>
        </w:rPr>
        <w:t>Razones o Motivos de inconformidad</w:t>
      </w:r>
      <w:r w:rsidRPr="003A4CD9">
        <w:rPr>
          <w:rFonts w:ascii="Palatino Linotype" w:eastAsia="MS Mincho" w:hAnsi="Palatino Linotype"/>
          <w:i/>
          <w:sz w:val="22"/>
        </w:rPr>
        <w:t>: “</w:t>
      </w:r>
      <w:r w:rsidR="00E13706" w:rsidRPr="003A4CD9">
        <w:rPr>
          <w:rFonts w:ascii="Palatino Linotype" w:hAnsi="Palatino Linotype"/>
          <w:i/>
          <w:color w:val="000000"/>
          <w:sz w:val="22"/>
        </w:rPr>
        <w:t>EL LINK QUE PROPORCIONA NO CORRESPONDE A LA INFORMACION SOLICITADA</w:t>
      </w:r>
      <w:r w:rsidRPr="003A4CD9">
        <w:rPr>
          <w:rFonts w:ascii="Palatino Linotype" w:eastAsia="MS Mincho" w:hAnsi="Palatino Linotype"/>
          <w:i/>
          <w:sz w:val="22"/>
        </w:rPr>
        <w:t>” (Sic)</w:t>
      </w:r>
    </w:p>
    <w:p w14:paraId="0B623019" w14:textId="77777777" w:rsidR="00847857" w:rsidRPr="003A4CD9" w:rsidRDefault="00847857" w:rsidP="00847857">
      <w:pPr>
        <w:tabs>
          <w:tab w:val="left" w:pos="851"/>
        </w:tabs>
        <w:spacing w:line="360" w:lineRule="auto"/>
        <w:ind w:right="567"/>
        <w:contextualSpacing/>
        <w:jc w:val="both"/>
        <w:rPr>
          <w:rFonts w:ascii="Palatino Linotype" w:eastAsia="Calibri" w:hAnsi="Palatino Linotype" w:cs="Arial"/>
          <w:i/>
          <w:lang w:val="es-ES"/>
        </w:rPr>
      </w:pPr>
    </w:p>
    <w:p w14:paraId="50DBF3CA" w14:textId="77777777" w:rsidR="00847857" w:rsidRPr="003A4CD9" w:rsidRDefault="00847857" w:rsidP="00847857">
      <w:pPr>
        <w:numPr>
          <w:ilvl w:val="0"/>
          <w:numId w:val="1"/>
        </w:numPr>
        <w:spacing w:line="360" w:lineRule="auto"/>
        <w:ind w:left="0" w:firstLine="0"/>
        <w:contextualSpacing/>
        <w:jc w:val="both"/>
        <w:rPr>
          <w:rFonts w:ascii="Palatino Linotype" w:eastAsia="MS Mincho" w:hAnsi="Palatino Linotype"/>
          <w:i/>
          <w:color w:val="000000"/>
        </w:rPr>
      </w:pPr>
      <w:r w:rsidRPr="003A4CD9">
        <w:rPr>
          <w:rFonts w:ascii="Palatino Linotype" w:hAnsi="Palatino Linotype" w:cs="Arial"/>
          <w:lang w:val="es-ES"/>
        </w:rPr>
        <w:t xml:space="preserve">Se registró el recurso de revisión bajo el número de expediente </w:t>
      </w:r>
      <w:r w:rsidRPr="003A4CD9">
        <w:rPr>
          <w:rFonts w:ascii="Palatino Linotype" w:eastAsia="MS Mincho" w:hAnsi="Palatino Linotype" w:cs="Arial"/>
          <w:bCs/>
        </w:rPr>
        <w:t xml:space="preserve">al rubro indicado, asimismo con fundamento en lo dispuesto por el </w:t>
      </w:r>
      <w:r w:rsidRPr="003A4CD9">
        <w:rPr>
          <w:rFonts w:ascii="Palatino Linotype" w:eastAsia="Calibri" w:hAnsi="Palatino Linotype" w:cs="Arial"/>
          <w:lang w:val="es-ES"/>
        </w:rPr>
        <w:t xml:space="preserve">artículo 185 fracción I de la Ley de Transparencia y Acceso a la Información Pública del Estado de México y </w:t>
      </w:r>
      <w:r w:rsidRPr="003A4CD9">
        <w:rPr>
          <w:rFonts w:ascii="Palatino Linotype" w:eastAsia="Calibri" w:hAnsi="Palatino Linotype" w:cs="Arial"/>
          <w:lang w:val="es-ES"/>
        </w:rPr>
        <w:lastRenderedPageBreak/>
        <w:t xml:space="preserve">Municipios </w:t>
      </w:r>
      <w:r w:rsidRPr="003A4CD9">
        <w:rPr>
          <w:rFonts w:ascii="Palatino Linotype" w:hAnsi="Palatino Linotype" w:cs="Arial"/>
          <w:lang w:val="es-ES"/>
        </w:rPr>
        <w:t xml:space="preserve">se turnó a la </w:t>
      </w:r>
      <w:r w:rsidRPr="003A4CD9">
        <w:rPr>
          <w:rFonts w:ascii="Palatino Linotype" w:hAnsi="Palatino Linotype" w:cs="Arial"/>
          <w:b/>
          <w:lang w:val="es-ES"/>
        </w:rPr>
        <w:t>Comisionada María del Rosario Mejía Ayala</w:t>
      </w:r>
      <w:r w:rsidR="00EE465C" w:rsidRPr="003A4CD9">
        <w:rPr>
          <w:rFonts w:ascii="Palatino Linotype" w:hAnsi="Palatino Linotype" w:cs="Arial"/>
          <w:b/>
          <w:lang w:val="es-ES"/>
        </w:rPr>
        <w:t>,</w:t>
      </w:r>
      <w:r w:rsidRPr="003A4CD9">
        <w:rPr>
          <w:rFonts w:ascii="Palatino Linotype" w:hAnsi="Palatino Linotype" w:cs="Arial"/>
          <w:lang w:val="es-ES"/>
        </w:rPr>
        <w:t xml:space="preserve"> </w:t>
      </w:r>
      <w:r w:rsidR="00EE465C" w:rsidRPr="003A4CD9">
        <w:rPr>
          <w:rFonts w:ascii="Palatino Linotype" w:hAnsi="Palatino Linotype" w:cs="Arial"/>
          <w:lang w:val="es-ES"/>
        </w:rPr>
        <w:t>para</w:t>
      </w:r>
      <w:r w:rsidRPr="003A4CD9">
        <w:rPr>
          <w:rFonts w:ascii="Palatino Linotype" w:hAnsi="Palatino Linotype" w:cs="Arial"/>
          <w:lang w:val="es-ES"/>
        </w:rPr>
        <w:t xml:space="preserve"> </w:t>
      </w:r>
      <w:r w:rsidRPr="003A4CD9">
        <w:rPr>
          <w:rFonts w:ascii="Palatino Linotype" w:hAnsi="Palatino Linotype" w:cs="Arial"/>
        </w:rPr>
        <w:t>su análisis.</w:t>
      </w:r>
    </w:p>
    <w:p w14:paraId="21247BE1" w14:textId="77777777" w:rsidR="00847857" w:rsidRPr="003A4CD9" w:rsidRDefault="00847857" w:rsidP="00847857">
      <w:pPr>
        <w:spacing w:line="360" w:lineRule="auto"/>
        <w:contextualSpacing/>
        <w:jc w:val="both"/>
        <w:rPr>
          <w:rFonts w:ascii="Palatino Linotype" w:eastAsia="MS Mincho" w:hAnsi="Palatino Linotype"/>
          <w:i/>
          <w:color w:val="000000"/>
        </w:rPr>
      </w:pPr>
    </w:p>
    <w:p w14:paraId="0FB12502" w14:textId="77777777" w:rsidR="00847857" w:rsidRPr="003A4CD9" w:rsidRDefault="00847857" w:rsidP="00847857">
      <w:pPr>
        <w:numPr>
          <w:ilvl w:val="0"/>
          <w:numId w:val="1"/>
        </w:numPr>
        <w:spacing w:line="360" w:lineRule="auto"/>
        <w:ind w:left="0" w:firstLine="0"/>
        <w:contextualSpacing/>
        <w:jc w:val="both"/>
        <w:rPr>
          <w:rFonts w:ascii="Palatino Linotype" w:eastAsia="MS Mincho" w:hAnsi="Palatino Linotype"/>
          <w:i/>
          <w:color w:val="000000"/>
        </w:rPr>
      </w:pPr>
      <w:r w:rsidRPr="003A4CD9">
        <w:rPr>
          <w:rFonts w:ascii="Palatino Linotype" w:eastAsia="Calibri" w:hAnsi="Palatino Linotype" w:cs="Arial"/>
          <w:lang w:val="es-ES"/>
        </w:rPr>
        <w:t xml:space="preserve">La Comisionada Ponente con fundamento en lo dispuesto por el artículo 185 fracción II de la ley de la materia, a través del acuerdo de admisión de fecha </w:t>
      </w:r>
      <w:r w:rsidR="00E13706" w:rsidRPr="003A4CD9">
        <w:rPr>
          <w:rFonts w:ascii="Palatino Linotype" w:eastAsia="Calibri" w:hAnsi="Palatino Linotype" w:cs="Arial"/>
          <w:lang w:val="es-ES"/>
        </w:rPr>
        <w:t>dieciséis (16) de octubre</w:t>
      </w:r>
      <w:r w:rsidRPr="003A4CD9">
        <w:rPr>
          <w:rFonts w:ascii="Palatino Linotype" w:eastAsia="Calibri" w:hAnsi="Palatino Linotype" w:cs="Arial"/>
          <w:lang w:val="es-ES"/>
        </w:rPr>
        <w:t xml:space="preserve"> </w:t>
      </w:r>
      <w:r w:rsidR="00E13706" w:rsidRPr="003A4CD9">
        <w:rPr>
          <w:rFonts w:ascii="Palatino Linotype" w:eastAsia="Calibri" w:hAnsi="Palatino Linotype" w:cs="Arial"/>
          <w:lang w:val="es-ES"/>
        </w:rPr>
        <w:t>de dos mil veintitrés</w:t>
      </w:r>
      <w:r w:rsidRPr="003A4CD9">
        <w:rPr>
          <w:rFonts w:ascii="Palatino Linotype" w:eastAsia="Calibri" w:hAnsi="Palatino Linotype" w:cs="Arial"/>
          <w:lang w:val="es-ES"/>
        </w:rPr>
        <w:t xml:space="preserve">, puso a disposición de las partes el expediente electrónico </w:t>
      </w:r>
      <w:r w:rsidRPr="003A4CD9">
        <w:rPr>
          <w:rFonts w:ascii="Palatino Linotype" w:eastAsia="Calibri" w:hAnsi="Palatino Linotype" w:cs="Arial"/>
        </w:rPr>
        <w:t xml:space="preserve">vía </w:t>
      </w:r>
      <w:r w:rsidRPr="003A4CD9">
        <w:rPr>
          <w:rFonts w:ascii="Palatino Linotype" w:eastAsia="Calibri" w:hAnsi="Palatino Linotype" w:cs="Arial"/>
          <w:lang w:val="es-ES"/>
        </w:rPr>
        <w:t xml:space="preserve">Sistema de Acceso a la Información Mexiquense </w:t>
      </w:r>
      <w:r w:rsidRPr="003A4CD9">
        <w:rPr>
          <w:rFonts w:ascii="Palatino Linotype" w:eastAsia="Calibri" w:hAnsi="Palatino Linotype" w:cs="Arial"/>
          <w:b/>
          <w:lang w:val="es-ES"/>
        </w:rPr>
        <w:t xml:space="preserve">(SAIMEX) </w:t>
      </w:r>
      <w:r w:rsidRPr="003A4CD9">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3A4CD9">
        <w:rPr>
          <w:rFonts w:ascii="Palatino Linotype" w:eastAsia="Calibri" w:hAnsi="Palatino Linotype" w:cs="Arial"/>
          <w:b/>
          <w:lang w:val="es-ES"/>
        </w:rPr>
        <w:t>SUJETO OBLIGADO</w:t>
      </w:r>
      <w:r w:rsidRPr="003A4CD9">
        <w:rPr>
          <w:rFonts w:ascii="Palatino Linotype" w:eastAsia="Calibri" w:hAnsi="Palatino Linotype" w:cs="Arial"/>
          <w:lang w:val="es-ES"/>
        </w:rPr>
        <w:t xml:space="preserve"> presentara el Informe Justificado procedente.  </w:t>
      </w:r>
    </w:p>
    <w:p w14:paraId="19E56F08" w14:textId="77777777" w:rsidR="00847857" w:rsidRPr="003A4CD9" w:rsidRDefault="00847857" w:rsidP="00847857">
      <w:pPr>
        <w:spacing w:line="360" w:lineRule="auto"/>
        <w:contextualSpacing/>
        <w:jc w:val="both"/>
        <w:rPr>
          <w:rFonts w:ascii="Palatino Linotype" w:eastAsia="MS Mincho" w:hAnsi="Palatino Linotype"/>
          <w:i/>
          <w:color w:val="000000"/>
        </w:rPr>
      </w:pPr>
    </w:p>
    <w:p w14:paraId="11E14D51" w14:textId="77777777" w:rsidR="00847857" w:rsidRPr="003A4CD9" w:rsidRDefault="00847857" w:rsidP="00847857">
      <w:pPr>
        <w:numPr>
          <w:ilvl w:val="0"/>
          <w:numId w:val="1"/>
        </w:numPr>
        <w:spacing w:line="360" w:lineRule="auto"/>
        <w:ind w:left="0" w:firstLine="0"/>
        <w:contextualSpacing/>
        <w:jc w:val="both"/>
        <w:rPr>
          <w:rFonts w:ascii="Palatino Linotype" w:eastAsia="MS Mincho" w:hAnsi="Palatino Linotype"/>
          <w:i/>
          <w:color w:val="000000"/>
        </w:rPr>
      </w:pPr>
      <w:r w:rsidRPr="003A4CD9">
        <w:rPr>
          <w:rFonts w:ascii="Palatino Linotype" w:eastAsia="Calibri" w:hAnsi="Palatino Linotype" w:cs="Arial"/>
          <w:lang w:val="es-ES"/>
        </w:rPr>
        <w:t>De las constancias que obran en el expediente electrónico SAIMEX, se advierte que el particular no realizó manifestaciones, ni ofreció pruebas o alegatos que a su derecho conviniera; por su parte el Sujeto Obligado no remitió informe justificado.</w:t>
      </w:r>
    </w:p>
    <w:p w14:paraId="0B5FD3E0" w14:textId="77777777" w:rsidR="00847857" w:rsidRPr="003A4CD9" w:rsidRDefault="00847857" w:rsidP="00847857">
      <w:pPr>
        <w:spacing w:line="360" w:lineRule="auto"/>
        <w:contextualSpacing/>
        <w:jc w:val="both"/>
        <w:rPr>
          <w:rFonts w:ascii="Palatino Linotype" w:eastAsia="MS Mincho" w:hAnsi="Palatino Linotype"/>
          <w:i/>
          <w:color w:val="000000"/>
        </w:rPr>
      </w:pPr>
    </w:p>
    <w:p w14:paraId="764FFBBC" w14:textId="77777777" w:rsidR="00847857" w:rsidRPr="003A4CD9" w:rsidRDefault="00847857" w:rsidP="00847857">
      <w:pPr>
        <w:numPr>
          <w:ilvl w:val="0"/>
          <w:numId w:val="1"/>
        </w:numPr>
        <w:spacing w:line="360" w:lineRule="auto"/>
        <w:ind w:left="0" w:firstLine="0"/>
        <w:contextualSpacing/>
        <w:jc w:val="both"/>
        <w:rPr>
          <w:rFonts w:ascii="Palatino Linotype" w:eastAsia="MS Mincho" w:hAnsi="Palatino Linotype"/>
          <w:b/>
        </w:rPr>
      </w:pPr>
      <w:r w:rsidRPr="003A4CD9">
        <w:rPr>
          <w:rFonts w:ascii="Palatino Linotype" w:eastAsia="MS Mincho" w:hAnsi="Palatino Linotype"/>
        </w:rPr>
        <w:t>La Comisionada Ponente decretó el cierre de instrucción</w:t>
      </w:r>
      <w:r w:rsidRPr="003A4CD9">
        <w:rPr>
          <w:rFonts w:ascii="Palatino Linotype" w:eastAsia="MS Mincho" w:hAnsi="Palatino Linotype" w:cs="Arial"/>
        </w:rPr>
        <w:t xml:space="preserve"> </w:t>
      </w:r>
      <w:r w:rsidRPr="003A4CD9">
        <w:rPr>
          <w:rFonts w:ascii="Palatino Linotype" w:eastAsia="MS Mincho" w:hAnsi="Palatino Linotype"/>
        </w:rPr>
        <w:t xml:space="preserve">mediante acuerdo del </w:t>
      </w:r>
      <w:r w:rsidR="00E13706" w:rsidRPr="003A4CD9">
        <w:rPr>
          <w:rFonts w:ascii="Palatino Linotype" w:eastAsia="MS Mincho" w:hAnsi="Palatino Linotype"/>
        </w:rPr>
        <w:t xml:space="preserve">veintiséis (26) de octubre </w:t>
      </w:r>
      <w:r w:rsidRPr="003A4CD9">
        <w:rPr>
          <w:rFonts w:ascii="Palatino Linotype" w:eastAsia="MS Mincho" w:hAnsi="Palatino Linotype"/>
        </w:rPr>
        <w:t xml:space="preserve"> de dos mil veintitrés, </w:t>
      </w:r>
      <w:r w:rsidRPr="003A4CD9">
        <w:rPr>
          <w:rFonts w:ascii="Palatino Linotype" w:eastAsia="MS Mincho" w:hAnsi="Palatino Linotype" w:cs="Arial"/>
        </w:rPr>
        <w:t>por lo que, ordenó turnar el expediente a resolución, misma que a continuación se pronuncia.</w:t>
      </w:r>
    </w:p>
    <w:p w14:paraId="75794072" w14:textId="77777777" w:rsidR="00E13706" w:rsidRPr="003A4CD9" w:rsidRDefault="00E13706" w:rsidP="00847857">
      <w:pPr>
        <w:spacing w:line="360" w:lineRule="auto"/>
        <w:contextualSpacing/>
        <w:jc w:val="both"/>
        <w:rPr>
          <w:rFonts w:ascii="Palatino Linotype" w:eastAsia="MS Mincho" w:hAnsi="Palatino Linotype"/>
          <w:b/>
        </w:rPr>
      </w:pPr>
    </w:p>
    <w:p w14:paraId="47AA5E02" w14:textId="77777777" w:rsidR="00847857" w:rsidRPr="003A4CD9" w:rsidRDefault="00847857" w:rsidP="00847857">
      <w:pPr>
        <w:keepNext/>
        <w:keepLines/>
        <w:spacing w:line="360" w:lineRule="auto"/>
        <w:jc w:val="center"/>
        <w:outlineLvl w:val="0"/>
        <w:rPr>
          <w:rFonts w:ascii="Palatino Linotype" w:eastAsia="MS Gothic" w:hAnsi="Palatino Linotype"/>
          <w:b/>
          <w:lang w:eastAsia="en-US"/>
        </w:rPr>
      </w:pPr>
      <w:bookmarkStart w:id="7" w:name="_Toc491791302"/>
      <w:bookmarkStart w:id="8" w:name="_Toc528153788"/>
      <w:bookmarkStart w:id="9" w:name="_Toc94119611"/>
      <w:r w:rsidRPr="003A4CD9">
        <w:rPr>
          <w:rFonts w:ascii="Palatino Linotype" w:eastAsia="MS Gothic" w:hAnsi="Palatino Linotype"/>
          <w:b/>
          <w:lang w:eastAsia="en-US"/>
        </w:rPr>
        <w:t>CONSIDERANDO</w:t>
      </w:r>
      <w:bookmarkEnd w:id="7"/>
      <w:bookmarkEnd w:id="8"/>
      <w:bookmarkEnd w:id="9"/>
    </w:p>
    <w:p w14:paraId="6DE551A9" w14:textId="77777777" w:rsidR="00847857" w:rsidRPr="003A4CD9" w:rsidRDefault="00847857" w:rsidP="00847857">
      <w:pPr>
        <w:keepNext/>
        <w:keepLines/>
        <w:spacing w:line="360" w:lineRule="auto"/>
        <w:jc w:val="center"/>
        <w:outlineLvl w:val="0"/>
        <w:rPr>
          <w:rFonts w:ascii="Palatino Linotype" w:eastAsia="MS Gothic" w:hAnsi="Palatino Linotype"/>
          <w:b/>
          <w:lang w:eastAsia="en-US"/>
        </w:rPr>
      </w:pPr>
    </w:p>
    <w:p w14:paraId="117A9F8F" w14:textId="77777777" w:rsidR="00847857" w:rsidRPr="003A4CD9" w:rsidRDefault="00847857" w:rsidP="00847857">
      <w:pPr>
        <w:keepNext/>
        <w:keepLines/>
        <w:spacing w:line="360" w:lineRule="auto"/>
        <w:outlineLvl w:val="1"/>
        <w:rPr>
          <w:rFonts w:ascii="Palatino Linotype" w:eastAsia="MS Gothic" w:hAnsi="Palatino Linotype"/>
          <w:b/>
          <w:lang w:eastAsia="en-US"/>
        </w:rPr>
      </w:pPr>
      <w:bookmarkStart w:id="10" w:name="_Toc491791303"/>
      <w:bookmarkStart w:id="11" w:name="_Toc528153789"/>
      <w:bookmarkStart w:id="12" w:name="_Toc94119612"/>
      <w:r w:rsidRPr="003A4CD9">
        <w:rPr>
          <w:rFonts w:ascii="Palatino Linotype" w:eastAsia="MS Gothic" w:hAnsi="Palatino Linotype"/>
          <w:b/>
          <w:lang w:eastAsia="en-US"/>
        </w:rPr>
        <w:t>PRIMERO. De la competencia</w:t>
      </w:r>
      <w:bookmarkEnd w:id="10"/>
      <w:bookmarkEnd w:id="11"/>
      <w:r w:rsidRPr="003A4CD9">
        <w:rPr>
          <w:rFonts w:ascii="Palatino Linotype" w:eastAsia="MS Gothic" w:hAnsi="Palatino Linotype"/>
          <w:b/>
          <w:lang w:eastAsia="en-US"/>
        </w:rPr>
        <w:t>.</w:t>
      </w:r>
      <w:bookmarkEnd w:id="12"/>
    </w:p>
    <w:p w14:paraId="2847D870" w14:textId="77777777" w:rsidR="00847857" w:rsidRPr="003A4CD9" w:rsidRDefault="00847857" w:rsidP="00847857">
      <w:pPr>
        <w:spacing w:line="360" w:lineRule="auto"/>
        <w:jc w:val="both"/>
        <w:rPr>
          <w:rFonts w:ascii="Palatino Linotype" w:eastAsia="Calibri" w:hAnsi="Palatino Linotype"/>
          <w:b/>
          <w:lang w:val="es-ES"/>
        </w:rPr>
      </w:pPr>
    </w:p>
    <w:p w14:paraId="67470FF6" w14:textId="77777777" w:rsidR="00847857" w:rsidRPr="003A4CD9" w:rsidRDefault="00847857" w:rsidP="00847857">
      <w:pPr>
        <w:pStyle w:val="Prrafodelista"/>
        <w:numPr>
          <w:ilvl w:val="0"/>
          <w:numId w:val="1"/>
        </w:numPr>
        <w:spacing w:before="240" w:after="240" w:line="360" w:lineRule="auto"/>
        <w:ind w:left="0" w:firstLine="0"/>
        <w:jc w:val="both"/>
        <w:rPr>
          <w:rFonts w:ascii="Palatino Linotype" w:hAnsi="Palatino Linotype"/>
          <w:sz w:val="24"/>
        </w:rPr>
      </w:pPr>
      <w:r w:rsidRPr="003A4CD9">
        <w:rPr>
          <w:rFonts w:ascii="Palatino Linotype" w:hAnsi="Palatino Linotype"/>
          <w:sz w:val="24"/>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A4CD9">
        <w:rPr>
          <w:rFonts w:ascii="Palatino Linotype" w:hAnsi="Palatino Linotype"/>
          <w:b/>
          <w:sz w:val="24"/>
        </w:rPr>
        <w:t>Constitución Política de los Estados Unidos Mexicanos</w:t>
      </w:r>
      <w:r w:rsidRPr="003A4CD9">
        <w:rPr>
          <w:rFonts w:ascii="Palatino Linotype" w:hAnsi="Palatino Linotype"/>
          <w:sz w:val="24"/>
        </w:rPr>
        <w:t xml:space="preserve">; 5, párrafos trigésimo segundo y trigésimo tercero, fracciones IV y V, de la </w:t>
      </w:r>
      <w:r w:rsidRPr="003A4CD9">
        <w:rPr>
          <w:rFonts w:ascii="Palatino Linotype" w:hAnsi="Palatino Linotype"/>
          <w:b/>
          <w:sz w:val="24"/>
        </w:rPr>
        <w:t>Constitución Política del Estado Libre y Soberano de México</w:t>
      </w:r>
      <w:r w:rsidRPr="003A4CD9">
        <w:rPr>
          <w:rFonts w:ascii="Palatino Linotype" w:hAnsi="Palatino Linotype"/>
          <w:sz w:val="24"/>
        </w:rPr>
        <w:t xml:space="preserve">; artículos 1, 2 fracción II, 13, 29, 36 fracciones I y II, 176, 178, 179, 181 párrafo tercero y 185 de la </w:t>
      </w:r>
      <w:r w:rsidRPr="003A4CD9">
        <w:rPr>
          <w:rFonts w:ascii="Palatino Linotype" w:hAnsi="Palatino Linotype"/>
          <w:b/>
          <w:sz w:val="24"/>
        </w:rPr>
        <w:t>Ley de Transparencia y Acceso a la Información Pública del Estado de México y Municipios</w:t>
      </w:r>
      <w:r w:rsidRPr="003A4CD9">
        <w:rPr>
          <w:rFonts w:ascii="Palatino Linotype" w:hAnsi="Palatino Linotype"/>
          <w:sz w:val="24"/>
        </w:rPr>
        <w:t xml:space="preserve">; y 7, 9 fracciones I y XXIV, y 11 del </w:t>
      </w:r>
      <w:r w:rsidRPr="003A4CD9">
        <w:rPr>
          <w:rFonts w:ascii="Palatino Linotype" w:hAnsi="Palatino Linotype"/>
          <w:b/>
          <w:sz w:val="24"/>
        </w:rPr>
        <w:t>Reglamento Interior del Instituto de Transparencia, Acceso a la Información Pública y Protección de Datos Personales del Estado de México y Municipios.</w:t>
      </w:r>
    </w:p>
    <w:p w14:paraId="2C3C30F4" w14:textId="77777777" w:rsidR="00847857" w:rsidRPr="003A4CD9" w:rsidRDefault="00847857" w:rsidP="00847857">
      <w:pPr>
        <w:spacing w:line="360" w:lineRule="auto"/>
        <w:jc w:val="both"/>
        <w:rPr>
          <w:rFonts w:ascii="Palatino Linotype" w:eastAsia="Calibri" w:hAnsi="Palatino Linotype"/>
          <w:b/>
          <w:lang w:val="es-ES"/>
        </w:rPr>
      </w:pPr>
    </w:p>
    <w:p w14:paraId="1C2EB94A" w14:textId="77777777" w:rsidR="00847857" w:rsidRPr="003A4CD9" w:rsidRDefault="00847857" w:rsidP="00847857">
      <w:pPr>
        <w:keepNext/>
        <w:keepLines/>
        <w:spacing w:line="360" w:lineRule="auto"/>
        <w:outlineLvl w:val="1"/>
        <w:rPr>
          <w:rFonts w:ascii="Palatino Linotype" w:eastAsia="MS Gothic" w:hAnsi="Palatino Linotype"/>
          <w:b/>
          <w:lang w:eastAsia="en-US"/>
        </w:rPr>
      </w:pPr>
      <w:bookmarkStart w:id="13" w:name="_Toc491791304"/>
      <w:bookmarkStart w:id="14" w:name="_Toc528153790"/>
      <w:bookmarkStart w:id="15" w:name="_Toc94119613"/>
      <w:r w:rsidRPr="003A4CD9">
        <w:rPr>
          <w:rFonts w:ascii="Palatino Linotype" w:eastAsia="MS Gothic" w:hAnsi="Palatino Linotype"/>
          <w:b/>
          <w:lang w:eastAsia="en-US"/>
        </w:rPr>
        <w:t>SEGUNDO. De la oportunidad y procedencia.</w:t>
      </w:r>
      <w:bookmarkEnd w:id="13"/>
      <w:bookmarkEnd w:id="14"/>
      <w:bookmarkEnd w:id="15"/>
    </w:p>
    <w:p w14:paraId="47870BA6" w14:textId="77777777" w:rsidR="00E13706" w:rsidRPr="003A4CD9" w:rsidRDefault="00847857" w:rsidP="00E13706">
      <w:pPr>
        <w:numPr>
          <w:ilvl w:val="0"/>
          <w:numId w:val="1"/>
        </w:numPr>
        <w:spacing w:line="360" w:lineRule="auto"/>
        <w:ind w:left="0" w:right="48" w:firstLine="0"/>
        <w:contextualSpacing/>
        <w:jc w:val="both"/>
        <w:rPr>
          <w:rFonts w:ascii="Palatino Linotype" w:eastAsiaTheme="minorEastAsia" w:hAnsi="Palatino Linotype"/>
          <w:lang w:val="es-ES_tradnl" w:eastAsia="es-ES"/>
        </w:rPr>
      </w:pPr>
      <w:r w:rsidRPr="003A4CD9">
        <w:rPr>
          <w:rFonts w:ascii="Palatino Linotype" w:eastAsia="Calibri" w:hAnsi="Palatino Linotype" w:cs="Arial"/>
          <w:lang w:val="es-ES_tradnl" w:eastAsia="es-ES"/>
        </w:rPr>
        <w:t xml:space="preserve">El medio de impugnación fue presentado a través del </w:t>
      </w:r>
      <w:r w:rsidRPr="003A4CD9">
        <w:rPr>
          <w:rFonts w:ascii="Palatino Linotype" w:eastAsia="Calibri" w:hAnsi="Palatino Linotype" w:cs="Arial"/>
          <w:b/>
          <w:lang w:val="es-ES_tradnl" w:eastAsia="es-ES"/>
        </w:rPr>
        <w:t>SAIMEX,</w:t>
      </w:r>
      <w:r w:rsidRPr="003A4CD9">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3A4CD9">
        <w:rPr>
          <w:rFonts w:ascii="Palatino Linotype" w:eastAsia="Calibri" w:hAnsi="Palatino Linotype" w:cs="Arial"/>
          <w:b/>
          <w:lang w:val="es-ES_tradnl" w:eastAsia="es-ES"/>
        </w:rPr>
        <w:t>SUJETO OBLIGADO</w:t>
      </w:r>
      <w:r w:rsidRPr="003A4CD9">
        <w:rPr>
          <w:rFonts w:ascii="Palatino Linotype" w:eastAsia="Calibri" w:hAnsi="Palatino Linotype" w:cs="Arial"/>
          <w:lang w:val="es-ES_tradnl" w:eastAsia="es-ES"/>
        </w:rPr>
        <w:t xml:space="preserve"> entregó respuesta el día </w:t>
      </w:r>
      <w:r w:rsidR="00E13706" w:rsidRPr="003A4CD9">
        <w:rPr>
          <w:rFonts w:ascii="Palatino Linotype" w:eastAsia="Calibri" w:hAnsi="Palatino Linotype" w:cs="Arial"/>
          <w:lang w:val="es-ES_tradnl" w:eastAsia="es-ES"/>
        </w:rPr>
        <w:t>doce (12</w:t>
      </w:r>
      <w:r w:rsidRPr="003A4CD9">
        <w:rPr>
          <w:rFonts w:ascii="Palatino Linotype" w:eastAsia="Calibri" w:hAnsi="Palatino Linotype" w:cs="Arial"/>
          <w:lang w:val="es-ES_tradnl" w:eastAsia="es-ES"/>
        </w:rPr>
        <w:t xml:space="preserve">) de octubre de dos mil veintitrés, </w:t>
      </w:r>
      <w:r w:rsidRPr="003A4CD9">
        <w:rPr>
          <w:rFonts w:ascii="Palatino Linotype" w:eastAsiaTheme="minorEastAsia" w:hAnsi="Palatino Linotype" w:cs="Arial"/>
          <w:lang w:val="es-ES_tradnl" w:eastAsia="es-ES"/>
        </w:rPr>
        <w:t>de tal forma que el plazo para interponer</w:t>
      </w:r>
      <w:r w:rsidR="00E13706" w:rsidRPr="003A4CD9">
        <w:rPr>
          <w:rFonts w:ascii="Palatino Linotype" w:eastAsiaTheme="minorEastAsia" w:hAnsi="Palatino Linotype" w:cs="Arial"/>
          <w:lang w:val="es-ES_tradnl" w:eastAsia="es-ES"/>
        </w:rPr>
        <w:t xml:space="preserve"> el recurso transcurrió del día trece (13)</w:t>
      </w:r>
      <w:r w:rsidRPr="003A4CD9">
        <w:rPr>
          <w:rFonts w:ascii="Palatino Linotype" w:eastAsiaTheme="minorEastAsia" w:hAnsi="Palatino Linotype" w:cs="Arial"/>
          <w:lang w:val="es-ES_tradnl" w:eastAsia="es-ES"/>
        </w:rPr>
        <w:t xml:space="preserve"> de octubre </w:t>
      </w:r>
      <w:r w:rsidR="00E13706" w:rsidRPr="003A4CD9">
        <w:rPr>
          <w:rFonts w:ascii="Palatino Linotype" w:eastAsiaTheme="minorEastAsia" w:hAnsi="Palatino Linotype" w:cs="Arial"/>
          <w:lang w:val="es-ES_tradnl" w:eastAsia="es-ES"/>
        </w:rPr>
        <w:t xml:space="preserve">al tres (03) de noviembre </w:t>
      </w:r>
      <w:r w:rsidRPr="003A4CD9">
        <w:rPr>
          <w:rFonts w:ascii="Palatino Linotype" w:eastAsiaTheme="minorEastAsia" w:hAnsi="Palatino Linotype" w:cs="Arial"/>
          <w:lang w:val="es-ES_tradnl" w:eastAsia="es-ES"/>
        </w:rPr>
        <w:t xml:space="preserve">de dos mil veintitrés; en consecuencia, si el particular presentó su inconformidad el día </w:t>
      </w:r>
      <w:r w:rsidR="00E13706" w:rsidRPr="003A4CD9">
        <w:rPr>
          <w:rFonts w:ascii="Palatino Linotype" w:eastAsiaTheme="minorEastAsia" w:hAnsi="Palatino Linotype" w:cs="Arial"/>
          <w:lang w:val="es-ES_tradnl" w:eastAsia="es-ES"/>
        </w:rPr>
        <w:t>doce (12) de octubre</w:t>
      </w:r>
      <w:r w:rsidRPr="003A4CD9">
        <w:rPr>
          <w:rFonts w:ascii="Palatino Linotype" w:eastAsiaTheme="minorEastAsia" w:hAnsi="Palatino Linotype" w:cs="Arial"/>
          <w:lang w:val="es-ES_tradnl" w:eastAsia="es-ES"/>
        </w:rPr>
        <w:t xml:space="preserve"> del presente año, se encuentra dentro de los márgenes temporales previstos en el artículo 178 de la </w:t>
      </w:r>
      <w:r w:rsidRPr="003A4CD9">
        <w:rPr>
          <w:rFonts w:ascii="Palatino Linotype" w:eastAsiaTheme="minorEastAsia" w:hAnsi="Palatino Linotype" w:cs="Arial"/>
          <w:b/>
          <w:lang w:val="es-ES_tradnl" w:eastAsia="es-ES"/>
        </w:rPr>
        <w:t xml:space="preserve">Ley de Transparencia y Acceso a la Información Pública del Estado de México y Municipios </w:t>
      </w:r>
      <w:r w:rsidRPr="003A4CD9">
        <w:rPr>
          <w:rFonts w:ascii="Palatino Linotype" w:eastAsiaTheme="minorEastAsia" w:hAnsi="Palatino Linotype" w:cs="Arial"/>
          <w:lang w:val="es-ES_tradnl" w:eastAsia="es-ES"/>
        </w:rPr>
        <w:t xml:space="preserve">vigente. </w:t>
      </w:r>
    </w:p>
    <w:p w14:paraId="22D6A8E3" w14:textId="77777777" w:rsidR="00E13706" w:rsidRPr="003A4CD9" w:rsidRDefault="00E13706" w:rsidP="00E13706">
      <w:pPr>
        <w:pStyle w:val="Prrafodelista"/>
        <w:numPr>
          <w:ilvl w:val="0"/>
          <w:numId w:val="1"/>
        </w:numPr>
        <w:spacing w:before="240" w:after="240" w:line="360" w:lineRule="auto"/>
        <w:ind w:left="0" w:right="49" w:firstLine="0"/>
        <w:jc w:val="both"/>
        <w:rPr>
          <w:rFonts w:ascii="Palatino Linotype" w:hAnsi="Palatino Linotype" w:cs="Arial"/>
          <w:bCs/>
          <w:color w:val="555555"/>
          <w:sz w:val="24"/>
        </w:rPr>
      </w:pPr>
      <w:r w:rsidRPr="003A4CD9">
        <w:rPr>
          <w:rFonts w:ascii="Palatino Linotype" w:hAnsi="Palatino Linotype" w:cs="Arial"/>
          <w:bCs/>
          <w:color w:val="000000"/>
          <w:sz w:val="24"/>
        </w:rPr>
        <w:t xml:space="preserve">Cuando el medio de impugnación, se haya interpuesto el mismo día en que se notificó la respuesta impugnada, resulta insuficiente para tener por extemporáneo el recurso de revisión de mérito, toda vez que el precepto legal citado, sólo establece que </w:t>
      </w:r>
      <w:r w:rsidRPr="003A4CD9">
        <w:rPr>
          <w:rFonts w:ascii="Palatino Linotype" w:hAnsi="Palatino Linotype" w:cs="Arial"/>
          <w:bCs/>
          <w:color w:val="000000"/>
          <w:sz w:val="24"/>
        </w:rPr>
        <w:lastRenderedPageBreak/>
        <w:t>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2019CE2E" w14:textId="77777777" w:rsidR="00E13706" w:rsidRPr="003A4CD9" w:rsidRDefault="00E13706" w:rsidP="00E13706">
      <w:pPr>
        <w:pStyle w:val="Prrafodelista"/>
        <w:ind w:left="0"/>
        <w:rPr>
          <w:rFonts w:ascii="Palatino Linotype" w:hAnsi="Palatino Linotype" w:cs="Arial"/>
          <w:sz w:val="24"/>
        </w:rPr>
      </w:pPr>
    </w:p>
    <w:p w14:paraId="190779A7" w14:textId="77777777" w:rsidR="00E13706" w:rsidRPr="003A4CD9" w:rsidRDefault="00E13706" w:rsidP="00E13706">
      <w:pPr>
        <w:pStyle w:val="Prrafodelista"/>
        <w:numPr>
          <w:ilvl w:val="0"/>
          <w:numId w:val="1"/>
        </w:numPr>
        <w:spacing w:before="240" w:after="240" w:line="360" w:lineRule="auto"/>
        <w:ind w:left="0" w:firstLine="0"/>
        <w:jc w:val="both"/>
        <w:rPr>
          <w:rFonts w:ascii="Palatino Linotype" w:hAnsi="Palatino Linotype" w:cs="Arial"/>
          <w:sz w:val="24"/>
        </w:rPr>
      </w:pPr>
      <w:r w:rsidRPr="003A4CD9">
        <w:rPr>
          <w:rFonts w:ascii="Palatino Linotype" w:hAnsi="Palatino Linotype" w:cs="Arial"/>
          <w:sz w:val="24"/>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4ED2C552" w14:textId="77777777" w:rsidR="00E13706" w:rsidRPr="003A4CD9" w:rsidRDefault="00E13706" w:rsidP="00E13706">
      <w:pPr>
        <w:spacing w:before="240" w:after="240" w:line="360" w:lineRule="auto"/>
        <w:ind w:left="851" w:right="616"/>
        <w:contextualSpacing/>
        <w:jc w:val="both"/>
        <w:rPr>
          <w:rFonts w:ascii="Palatino Linotype" w:hAnsi="Palatino Linotype" w:cs="Arial"/>
          <w:i/>
          <w:sz w:val="22"/>
        </w:rPr>
      </w:pPr>
      <w:r w:rsidRPr="003A4CD9">
        <w:rPr>
          <w:rFonts w:ascii="Palatino Linotype" w:hAnsi="Palatino Linotype" w:cs="Arial"/>
          <w:i/>
          <w:sz w:val="22"/>
        </w:rPr>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6E8C9D6" w14:textId="77777777" w:rsidR="00E13706" w:rsidRPr="003A4CD9" w:rsidRDefault="00E13706" w:rsidP="00E13706">
      <w:pPr>
        <w:spacing w:before="240" w:after="240" w:line="360" w:lineRule="auto"/>
        <w:ind w:left="851" w:right="616"/>
        <w:contextualSpacing/>
        <w:jc w:val="both"/>
        <w:rPr>
          <w:rFonts w:ascii="Palatino Linotype" w:hAnsi="Palatino Linotype" w:cs="Arial"/>
          <w:i/>
          <w:sz w:val="22"/>
        </w:rPr>
      </w:pPr>
      <w:r w:rsidRPr="003A4CD9">
        <w:rPr>
          <w:rFonts w:ascii="Palatino Linotype" w:hAnsi="Palatino Linotype" w:cs="Arial"/>
          <w:i/>
          <w:sz w:val="22"/>
        </w:rPr>
        <w:t xml:space="preserve"> 1a./J. 41/2015 (10a.) </w:t>
      </w:r>
    </w:p>
    <w:p w14:paraId="2B93D190" w14:textId="77777777" w:rsidR="00E13706" w:rsidRPr="003A4CD9" w:rsidRDefault="00E13706" w:rsidP="00E13706">
      <w:pPr>
        <w:spacing w:before="240" w:after="240" w:line="360" w:lineRule="auto"/>
        <w:ind w:left="851" w:right="616"/>
        <w:contextualSpacing/>
        <w:jc w:val="both"/>
        <w:rPr>
          <w:rFonts w:ascii="Palatino Linotype" w:hAnsi="Palatino Linotype" w:cs="Arial"/>
          <w:i/>
          <w:sz w:val="22"/>
        </w:rPr>
      </w:pPr>
      <w:r w:rsidRPr="003A4CD9">
        <w:rPr>
          <w:rFonts w:ascii="Palatino Linotype" w:hAnsi="Palatino Linotype" w:cs="Arial"/>
          <w:i/>
          <w:sz w:val="22"/>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14:paraId="60DB4B57" w14:textId="77777777" w:rsidR="00E13706" w:rsidRPr="003A4CD9" w:rsidRDefault="00E13706" w:rsidP="00E13706">
      <w:pPr>
        <w:spacing w:before="240" w:after="240" w:line="360" w:lineRule="auto"/>
        <w:ind w:left="851" w:right="616"/>
        <w:contextualSpacing/>
        <w:jc w:val="both"/>
        <w:rPr>
          <w:rFonts w:ascii="Palatino Linotype" w:hAnsi="Palatino Linotype" w:cs="Arial"/>
          <w:i/>
          <w:sz w:val="22"/>
        </w:rPr>
      </w:pPr>
      <w:r w:rsidRPr="003A4CD9">
        <w:rPr>
          <w:rFonts w:ascii="Palatino Linotype" w:hAnsi="Palatino Linotype" w:cs="Arial"/>
          <w:i/>
          <w:sz w:val="22"/>
        </w:rPr>
        <w:lastRenderedPageBreak/>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57E63420" w14:textId="77777777" w:rsidR="00E13706" w:rsidRPr="003A4CD9" w:rsidRDefault="00E13706" w:rsidP="00E13706">
      <w:pPr>
        <w:spacing w:before="240" w:after="240" w:line="360" w:lineRule="auto"/>
        <w:ind w:left="851" w:right="616"/>
        <w:contextualSpacing/>
        <w:jc w:val="both"/>
        <w:rPr>
          <w:rFonts w:ascii="Palatino Linotype" w:hAnsi="Palatino Linotype" w:cs="Arial"/>
          <w:i/>
          <w:sz w:val="22"/>
        </w:rPr>
      </w:pPr>
    </w:p>
    <w:p w14:paraId="356AA291" w14:textId="77777777" w:rsidR="00E13706" w:rsidRPr="003A4CD9" w:rsidRDefault="00E13706" w:rsidP="00E13706">
      <w:pPr>
        <w:spacing w:before="240" w:after="240" w:line="360" w:lineRule="auto"/>
        <w:ind w:left="851" w:right="616"/>
        <w:contextualSpacing/>
        <w:jc w:val="both"/>
        <w:rPr>
          <w:rFonts w:ascii="Palatino Linotype" w:hAnsi="Palatino Linotype" w:cs="Arial"/>
          <w:i/>
          <w:sz w:val="22"/>
        </w:rPr>
      </w:pPr>
      <w:r w:rsidRPr="003A4CD9">
        <w:rPr>
          <w:rFonts w:ascii="Palatino Linotype" w:hAnsi="Palatino Linotype" w:cs="Arial"/>
          <w:i/>
          <w:sz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14:paraId="56EB6094" w14:textId="77777777" w:rsidR="00E13706" w:rsidRPr="003A4CD9" w:rsidRDefault="00E13706" w:rsidP="00E13706">
      <w:pPr>
        <w:spacing w:before="240" w:after="240" w:line="360" w:lineRule="auto"/>
        <w:ind w:left="851" w:right="616"/>
        <w:contextualSpacing/>
        <w:jc w:val="both"/>
        <w:rPr>
          <w:rFonts w:ascii="Palatino Linotype" w:hAnsi="Palatino Linotype" w:cs="Arial"/>
          <w:i/>
          <w:sz w:val="22"/>
        </w:rPr>
      </w:pPr>
    </w:p>
    <w:p w14:paraId="1EE4E7AF" w14:textId="77777777" w:rsidR="00E13706" w:rsidRPr="003A4CD9" w:rsidRDefault="00E13706" w:rsidP="00E13706">
      <w:pPr>
        <w:spacing w:before="240" w:after="240" w:line="360" w:lineRule="auto"/>
        <w:ind w:left="851" w:right="616"/>
        <w:contextualSpacing/>
        <w:jc w:val="both"/>
        <w:rPr>
          <w:rFonts w:ascii="Palatino Linotype" w:hAnsi="Palatino Linotype" w:cs="Arial"/>
          <w:i/>
          <w:sz w:val="22"/>
        </w:rPr>
      </w:pPr>
      <w:r w:rsidRPr="003A4CD9">
        <w:rPr>
          <w:rFonts w:ascii="Palatino Linotype" w:hAnsi="Palatino Linotype" w:cs="Arial"/>
          <w:i/>
          <w:sz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14:paraId="4E98D6DA" w14:textId="77777777" w:rsidR="00E13706" w:rsidRPr="003A4CD9" w:rsidRDefault="00E13706" w:rsidP="00E13706">
      <w:pPr>
        <w:spacing w:before="240" w:after="240" w:line="360" w:lineRule="auto"/>
        <w:ind w:left="851" w:right="616"/>
        <w:contextualSpacing/>
        <w:jc w:val="both"/>
        <w:rPr>
          <w:rFonts w:ascii="Palatino Linotype" w:hAnsi="Palatino Linotype" w:cs="Arial"/>
          <w:i/>
          <w:sz w:val="22"/>
        </w:rPr>
      </w:pPr>
    </w:p>
    <w:p w14:paraId="58773E76" w14:textId="77777777" w:rsidR="00E13706" w:rsidRPr="003A4CD9" w:rsidRDefault="00E13706" w:rsidP="00E13706">
      <w:pPr>
        <w:spacing w:before="240" w:after="240" w:line="360" w:lineRule="auto"/>
        <w:ind w:left="851" w:right="616"/>
        <w:contextualSpacing/>
        <w:jc w:val="both"/>
        <w:rPr>
          <w:rFonts w:ascii="Palatino Linotype" w:hAnsi="Palatino Linotype" w:cs="Arial"/>
          <w:i/>
          <w:sz w:val="22"/>
        </w:rPr>
      </w:pPr>
      <w:r w:rsidRPr="003A4CD9">
        <w:rPr>
          <w:rFonts w:ascii="Palatino Linotype" w:hAnsi="Palatino Linotype" w:cs="Arial"/>
          <w:i/>
          <w:sz w:val="22"/>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14:paraId="71A429D4" w14:textId="77777777" w:rsidR="00E13706" w:rsidRPr="003A4CD9" w:rsidRDefault="00E13706" w:rsidP="00E13706">
      <w:pPr>
        <w:spacing w:before="240" w:after="240" w:line="360" w:lineRule="auto"/>
        <w:ind w:left="851" w:right="616"/>
        <w:contextualSpacing/>
        <w:jc w:val="both"/>
        <w:rPr>
          <w:rFonts w:ascii="Palatino Linotype" w:hAnsi="Palatino Linotype" w:cs="Arial"/>
          <w:i/>
          <w:sz w:val="22"/>
        </w:rPr>
      </w:pPr>
    </w:p>
    <w:p w14:paraId="41E5989C" w14:textId="77777777" w:rsidR="00E13706" w:rsidRPr="003A4CD9" w:rsidRDefault="00E13706" w:rsidP="00E13706">
      <w:pPr>
        <w:spacing w:before="240" w:after="240" w:line="360" w:lineRule="auto"/>
        <w:ind w:left="851" w:right="616"/>
        <w:contextualSpacing/>
        <w:jc w:val="both"/>
        <w:rPr>
          <w:rFonts w:ascii="Palatino Linotype" w:hAnsi="Palatino Linotype"/>
          <w:i/>
          <w:sz w:val="22"/>
        </w:rPr>
      </w:pPr>
      <w:r w:rsidRPr="003A4CD9">
        <w:rPr>
          <w:rFonts w:ascii="Palatino Linotype" w:hAnsi="Palatino Linotype" w:cs="Arial"/>
          <w:i/>
          <w:sz w:val="22"/>
        </w:rPr>
        <w:t>Tesis de jurisprudencia 41/2015 (10a.). Aprobada por la Primera Sala de este Alto Tribunal, en sesión privada de veintisiete de mayo de dos mil quince.</w:t>
      </w:r>
    </w:p>
    <w:p w14:paraId="201C7669" w14:textId="77777777" w:rsidR="00E13706" w:rsidRPr="003A4CD9" w:rsidRDefault="00E13706" w:rsidP="00E13706">
      <w:pPr>
        <w:pStyle w:val="Prrafodelista"/>
        <w:numPr>
          <w:ilvl w:val="0"/>
          <w:numId w:val="1"/>
        </w:numPr>
        <w:spacing w:before="240" w:after="240" w:line="360" w:lineRule="auto"/>
        <w:ind w:left="0" w:right="49" w:firstLine="0"/>
        <w:jc w:val="both"/>
        <w:rPr>
          <w:rFonts w:ascii="Palatino Linotype" w:hAnsi="Palatino Linotype" w:cs="Arial"/>
          <w:i/>
          <w:sz w:val="24"/>
        </w:rPr>
      </w:pPr>
      <w:r w:rsidRPr="003A4CD9">
        <w:rPr>
          <w:rFonts w:ascii="Palatino Linotype" w:hAnsi="Palatino Linotype"/>
          <w:sz w:val="24"/>
        </w:rPr>
        <w:t xml:space="preserve">Esto es así porque en primer lugar es necesario que la recurrente conozca el acto que le provoca agravio y a partir de ahí formular su recurso de revisión señalando tanto el acto impugnado como el motivo de inconformidad. Y si bien la ley señala que </w:t>
      </w:r>
      <w:r w:rsidRPr="003A4CD9">
        <w:rPr>
          <w:rFonts w:ascii="Palatino Linotype" w:hAnsi="Palatino Linotype"/>
          <w:sz w:val="24"/>
        </w:rPr>
        <w:lastRenderedPageBreak/>
        <w:t>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7EF75689" w14:textId="77777777" w:rsidR="00E13706" w:rsidRPr="003A4CD9" w:rsidRDefault="00E13706" w:rsidP="00E13706">
      <w:pPr>
        <w:pStyle w:val="Prrafodelista"/>
        <w:spacing w:before="240" w:after="240" w:line="360" w:lineRule="auto"/>
        <w:ind w:left="0" w:right="49"/>
        <w:jc w:val="both"/>
        <w:rPr>
          <w:rFonts w:ascii="Palatino Linotype" w:hAnsi="Palatino Linotype" w:cs="Arial"/>
          <w:i/>
          <w:sz w:val="24"/>
        </w:rPr>
      </w:pPr>
    </w:p>
    <w:p w14:paraId="71BFAF0B" w14:textId="77777777" w:rsidR="00E13706" w:rsidRPr="003A4CD9" w:rsidRDefault="00E13706" w:rsidP="00E13706">
      <w:pPr>
        <w:pStyle w:val="Prrafodelista"/>
        <w:numPr>
          <w:ilvl w:val="0"/>
          <w:numId w:val="1"/>
        </w:numPr>
        <w:spacing w:before="240" w:after="240" w:line="360" w:lineRule="auto"/>
        <w:ind w:left="0" w:right="49" w:firstLine="0"/>
        <w:jc w:val="both"/>
        <w:rPr>
          <w:rFonts w:ascii="Palatino Linotype" w:hAnsi="Palatino Linotype" w:cs="Arial"/>
          <w:i/>
          <w:sz w:val="24"/>
        </w:rPr>
      </w:pPr>
      <w:r w:rsidRPr="003A4CD9">
        <w:rPr>
          <w:rFonts w:ascii="Palatino Linotype" w:hAnsi="Palatino Linotype"/>
          <w:sz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61AB1AC7" w14:textId="77777777" w:rsidR="00E13706" w:rsidRPr="003A4CD9" w:rsidRDefault="00E13706" w:rsidP="00E13706">
      <w:pPr>
        <w:pStyle w:val="Prrafodelista"/>
        <w:ind w:left="0"/>
        <w:rPr>
          <w:rFonts w:ascii="Palatino Linotype" w:hAnsi="Palatino Linotype" w:cs="Arial"/>
          <w:i/>
          <w:sz w:val="24"/>
        </w:rPr>
      </w:pPr>
    </w:p>
    <w:p w14:paraId="7C2F1FC7" w14:textId="77777777" w:rsidR="00E13706" w:rsidRPr="003A4CD9" w:rsidRDefault="00E13706" w:rsidP="00E13706">
      <w:pPr>
        <w:pStyle w:val="Prrafodelista"/>
        <w:numPr>
          <w:ilvl w:val="0"/>
          <w:numId w:val="1"/>
        </w:numPr>
        <w:spacing w:before="240" w:after="240" w:line="360" w:lineRule="auto"/>
        <w:ind w:left="0" w:right="49" w:firstLine="0"/>
        <w:jc w:val="both"/>
        <w:rPr>
          <w:rFonts w:ascii="Palatino Linotype" w:hAnsi="Palatino Linotype" w:cs="Arial"/>
          <w:i/>
          <w:sz w:val="24"/>
        </w:rPr>
      </w:pPr>
      <w:r w:rsidRPr="003A4CD9">
        <w:rPr>
          <w:rFonts w:ascii="Palatino Linotype" w:hAnsi="Palatino Linotype"/>
          <w:sz w:val="24"/>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3A4CD9">
        <w:rPr>
          <w:rFonts w:ascii="Palatino Linotype" w:hAnsi="Palatino Linotype"/>
          <w:b/>
          <w:sz w:val="24"/>
        </w:rPr>
        <w:t>SUJETO OBLIGADO</w:t>
      </w:r>
      <w:r w:rsidRPr="003A4CD9">
        <w:rPr>
          <w:rFonts w:ascii="Palatino Linotype" w:hAnsi="Palatino Linotype"/>
          <w:sz w:val="24"/>
        </w:rPr>
        <w:t>.</w:t>
      </w:r>
    </w:p>
    <w:p w14:paraId="36E30D2E" w14:textId="77777777" w:rsidR="00847857" w:rsidRPr="003A4CD9" w:rsidRDefault="00847857" w:rsidP="00847857">
      <w:pPr>
        <w:numPr>
          <w:ilvl w:val="0"/>
          <w:numId w:val="1"/>
        </w:numPr>
        <w:spacing w:line="360" w:lineRule="auto"/>
        <w:ind w:left="0" w:right="49" w:firstLine="0"/>
        <w:contextualSpacing/>
        <w:jc w:val="both"/>
        <w:rPr>
          <w:rFonts w:ascii="Palatino Linotype" w:eastAsia="Calibri" w:hAnsi="Palatino Linotype" w:cs="Arial"/>
          <w:b/>
        </w:rPr>
      </w:pPr>
      <w:r w:rsidRPr="003A4CD9">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F7D692A" w14:textId="77777777" w:rsidR="00847857" w:rsidRPr="003A4CD9" w:rsidRDefault="00847857" w:rsidP="00847857">
      <w:pPr>
        <w:spacing w:line="360" w:lineRule="auto"/>
        <w:ind w:right="49"/>
        <w:contextualSpacing/>
        <w:jc w:val="both"/>
        <w:rPr>
          <w:rFonts w:ascii="Palatino Linotype" w:eastAsia="Calibri" w:hAnsi="Palatino Linotype" w:cs="Arial"/>
          <w:b/>
        </w:rPr>
      </w:pPr>
    </w:p>
    <w:p w14:paraId="493846BA" w14:textId="77777777" w:rsidR="00847857" w:rsidRPr="003A4CD9" w:rsidRDefault="00847857" w:rsidP="00847857">
      <w:pPr>
        <w:keepNext/>
        <w:keepLines/>
        <w:spacing w:line="360" w:lineRule="auto"/>
        <w:ind w:right="48"/>
        <w:outlineLvl w:val="0"/>
        <w:rPr>
          <w:rFonts w:ascii="Palatino Linotype" w:eastAsia="MS Gothic" w:hAnsi="Palatino Linotype"/>
          <w:b/>
        </w:rPr>
      </w:pPr>
      <w:bookmarkStart w:id="16" w:name="_Toc65713731"/>
      <w:bookmarkStart w:id="17" w:name="_Toc94119614"/>
      <w:r w:rsidRPr="003A4CD9">
        <w:rPr>
          <w:rFonts w:ascii="Palatino Linotype" w:eastAsia="MS Mincho" w:hAnsi="Palatino Linotype" w:cstheme="majorBidi"/>
          <w:b/>
          <w:lang w:val="es-ES_tradnl" w:eastAsia="es-ES"/>
        </w:rPr>
        <w:t>TERCERO. Planteamiento de la Litis</w:t>
      </w:r>
      <w:r w:rsidRPr="003A4CD9">
        <w:rPr>
          <w:rFonts w:ascii="Palatino Linotype" w:eastAsia="MS Gothic" w:hAnsi="Palatino Linotype"/>
          <w:b/>
        </w:rPr>
        <w:t>.</w:t>
      </w:r>
      <w:bookmarkEnd w:id="16"/>
      <w:bookmarkEnd w:id="17"/>
    </w:p>
    <w:p w14:paraId="0EFE1894" w14:textId="77777777" w:rsidR="00CC5098" w:rsidRPr="003A4CD9" w:rsidRDefault="00847857" w:rsidP="00847857">
      <w:pPr>
        <w:pStyle w:val="Prrafodelista"/>
        <w:numPr>
          <w:ilvl w:val="0"/>
          <w:numId w:val="1"/>
        </w:numPr>
        <w:spacing w:line="360" w:lineRule="auto"/>
        <w:ind w:left="0" w:right="48" w:firstLine="0"/>
        <w:jc w:val="both"/>
        <w:rPr>
          <w:rFonts w:ascii="Palatino Linotype" w:eastAsia="MS Mincho" w:hAnsi="Palatino Linotype" w:cs="Arial"/>
          <w:i/>
          <w:sz w:val="24"/>
          <w:lang w:val="es-ES_tradnl" w:eastAsia="es-ES"/>
        </w:rPr>
      </w:pPr>
      <w:r w:rsidRPr="003A4CD9">
        <w:rPr>
          <w:rFonts w:ascii="Palatino Linotype" w:hAnsi="Palatino Linotype" w:cs="Arial"/>
          <w:color w:val="000000" w:themeColor="text1"/>
          <w:sz w:val="24"/>
        </w:rPr>
        <w:t xml:space="preserve">El particular solicitó </w:t>
      </w:r>
      <w:r w:rsidR="00CC5098" w:rsidRPr="003A4CD9">
        <w:rPr>
          <w:rFonts w:ascii="Palatino Linotype" w:hAnsi="Palatino Linotype" w:cs="Arial"/>
          <w:color w:val="000000" w:themeColor="text1"/>
          <w:sz w:val="24"/>
        </w:rPr>
        <w:t>de la temporalidad del uno de enero de dos mil veintidós, al quince de septiembre de dos mil veintitrés:</w:t>
      </w:r>
    </w:p>
    <w:p w14:paraId="4501926C" w14:textId="77777777" w:rsidR="000B2BDB" w:rsidRPr="003A4CD9" w:rsidRDefault="000B2BDB" w:rsidP="000B2BDB">
      <w:pPr>
        <w:pStyle w:val="Prrafodelista"/>
        <w:spacing w:line="360" w:lineRule="auto"/>
        <w:ind w:left="0" w:right="48"/>
        <w:jc w:val="both"/>
        <w:rPr>
          <w:rFonts w:ascii="Palatino Linotype" w:eastAsia="MS Mincho" w:hAnsi="Palatino Linotype" w:cs="Arial"/>
          <w:i/>
          <w:sz w:val="24"/>
          <w:lang w:val="es-ES_tradnl" w:eastAsia="es-ES"/>
        </w:rPr>
      </w:pPr>
    </w:p>
    <w:p w14:paraId="685B1CF6" w14:textId="77777777" w:rsidR="00CC5098" w:rsidRPr="003A4CD9" w:rsidRDefault="00CC5098" w:rsidP="00CC5098">
      <w:pPr>
        <w:pStyle w:val="Prrafodelista"/>
        <w:numPr>
          <w:ilvl w:val="1"/>
          <w:numId w:val="1"/>
        </w:numPr>
        <w:spacing w:line="360" w:lineRule="auto"/>
        <w:ind w:right="48"/>
        <w:jc w:val="both"/>
        <w:rPr>
          <w:rFonts w:ascii="Palatino Linotype" w:eastAsia="MS Mincho" w:hAnsi="Palatino Linotype" w:cs="Arial"/>
          <w:i/>
          <w:lang w:val="es-ES_tradnl" w:eastAsia="es-ES"/>
        </w:rPr>
      </w:pPr>
      <w:r w:rsidRPr="003A4CD9">
        <w:rPr>
          <w:rFonts w:ascii="Palatino Linotype" w:hAnsi="Palatino Linotype" w:cs="Arial"/>
          <w:color w:val="000000" w:themeColor="text1"/>
        </w:rPr>
        <w:lastRenderedPageBreak/>
        <w:t>las altas y bajas de los servidores públicos en el que se advierta el nombre, sueldo bruto, número de empleado, adscripción, jefe superior directo y forma de checar entrada y salida;</w:t>
      </w:r>
    </w:p>
    <w:p w14:paraId="0A730082" w14:textId="77777777" w:rsidR="00CC5098" w:rsidRPr="003A4CD9" w:rsidRDefault="00CC5098" w:rsidP="00CC5098">
      <w:pPr>
        <w:pStyle w:val="Prrafodelista"/>
        <w:numPr>
          <w:ilvl w:val="1"/>
          <w:numId w:val="1"/>
        </w:numPr>
        <w:spacing w:line="360" w:lineRule="auto"/>
        <w:ind w:right="48"/>
        <w:jc w:val="both"/>
        <w:rPr>
          <w:rFonts w:ascii="Palatino Linotype" w:eastAsia="MS Mincho" w:hAnsi="Palatino Linotype" w:cs="Arial"/>
          <w:i/>
          <w:lang w:val="es-ES_tradnl" w:eastAsia="es-ES"/>
        </w:rPr>
      </w:pPr>
      <w:r w:rsidRPr="003A4CD9">
        <w:rPr>
          <w:rFonts w:ascii="Palatino Linotype" w:hAnsi="Palatino Linotype" w:cs="Arial"/>
          <w:color w:val="000000" w:themeColor="text1"/>
        </w:rPr>
        <w:t xml:space="preserve">En el caso de bajas, el monto de la liquidación. </w:t>
      </w:r>
    </w:p>
    <w:p w14:paraId="78E7275B" w14:textId="77777777" w:rsidR="00CC5098" w:rsidRPr="003A4CD9" w:rsidRDefault="00CC5098" w:rsidP="00CC5098">
      <w:pPr>
        <w:spacing w:line="360" w:lineRule="auto"/>
        <w:ind w:left="1080" w:right="48"/>
        <w:jc w:val="both"/>
        <w:rPr>
          <w:rFonts w:ascii="Palatino Linotype" w:eastAsia="MS Mincho" w:hAnsi="Palatino Linotype" w:cs="Arial"/>
          <w:i/>
          <w:lang w:val="es-ES_tradnl" w:eastAsia="es-ES"/>
        </w:rPr>
      </w:pPr>
    </w:p>
    <w:p w14:paraId="56DDCDBC" w14:textId="77777777" w:rsidR="000B2BDB" w:rsidRPr="003A4CD9" w:rsidRDefault="00CC5098" w:rsidP="00CC5098">
      <w:pPr>
        <w:pStyle w:val="Prrafodelista"/>
        <w:numPr>
          <w:ilvl w:val="0"/>
          <w:numId w:val="1"/>
        </w:numPr>
        <w:spacing w:line="360" w:lineRule="auto"/>
        <w:ind w:left="0" w:right="48" w:firstLine="0"/>
        <w:jc w:val="both"/>
        <w:rPr>
          <w:rFonts w:ascii="Palatino Linotype" w:eastAsia="MS Mincho" w:hAnsi="Palatino Linotype" w:cs="Arial"/>
          <w:i/>
          <w:sz w:val="24"/>
          <w:lang w:val="es-ES_tradnl" w:eastAsia="es-ES"/>
        </w:rPr>
      </w:pPr>
      <w:r w:rsidRPr="003A4CD9">
        <w:rPr>
          <w:rFonts w:ascii="Palatino Linotype" w:eastAsia="MS Mincho" w:hAnsi="Palatino Linotype" w:cs="Arial"/>
          <w:sz w:val="24"/>
          <w:lang w:val="es-ES_tradnl" w:eastAsia="es-ES"/>
        </w:rPr>
        <w:t>En respuesta, el Sujeto Obligado señaló que la informaci</w:t>
      </w:r>
      <w:r w:rsidR="000B2BDB" w:rsidRPr="003A4CD9">
        <w:rPr>
          <w:rFonts w:ascii="Palatino Linotype" w:eastAsia="MS Mincho" w:hAnsi="Palatino Linotype" w:cs="Arial"/>
          <w:sz w:val="24"/>
          <w:lang w:val="es-ES_tradnl" w:eastAsia="es-ES"/>
        </w:rPr>
        <w:t xml:space="preserve">ón se encuentra en la liga electrónica </w:t>
      </w:r>
      <w:hyperlink r:id="rId7" w:history="1">
        <w:r w:rsidR="000B2BDB" w:rsidRPr="003A4CD9">
          <w:rPr>
            <w:rStyle w:val="Hipervnculo"/>
            <w:rFonts w:ascii="Palatino Linotype" w:hAnsi="Palatino Linotype"/>
            <w:color w:val="auto"/>
            <w:sz w:val="24"/>
          </w:rPr>
          <w:t>https://ipomex.org.mx/ipo3/lgt/indice/LERMA/art_92_viii.web</w:t>
        </w:r>
      </w:hyperlink>
      <w:r w:rsidR="000B2BDB" w:rsidRPr="003A4CD9">
        <w:rPr>
          <w:rFonts w:ascii="Palatino Linotype" w:hAnsi="Palatino Linotype"/>
          <w:sz w:val="24"/>
        </w:rPr>
        <w:t xml:space="preserve">. Inconforme con la respuesta, el Recurrente interpuso recurso de revisión en el que señaló que el link remitido en respuesta no corresponde con lo solicitado. </w:t>
      </w:r>
    </w:p>
    <w:p w14:paraId="162A92EB" w14:textId="77777777" w:rsidR="00847857" w:rsidRPr="003A4CD9" w:rsidRDefault="00847857" w:rsidP="00847857">
      <w:pPr>
        <w:pStyle w:val="Prrafodelista"/>
        <w:spacing w:line="360" w:lineRule="auto"/>
        <w:ind w:left="0" w:right="48"/>
        <w:jc w:val="both"/>
        <w:rPr>
          <w:rFonts w:ascii="Palatino Linotype" w:eastAsia="MS Mincho" w:hAnsi="Palatino Linotype" w:cs="Arial"/>
          <w:i/>
          <w:sz w:val="24"/>
          <w:lang w:val="es-ES_tradnl" w:eastAsia="es-ES"/>
        </w:rPr>
      </w:pPr>
    </w:p>
    <w:p w14:paraId="7A53113E" w14:textId="77777777" w:rsidR="00847857" w:rsidRPr="003A4CD9" w:rsidRDefault="00847857" w:rsidP="00847857">
      <w:pPr>
        <w:pStyle w:val="Prrafodelista"/>
        <w:numPr>
          <w:ilvl w:val="0"/>
          <w:numId w:val="1"/>
        </w:numPr>
        <w:spacing w:line="360" w:lineRule="auto"/>
        <w:ind w:left="0" w:right="48" w:firstLine="0"/>
        <w:jc w:val="both"/>
        <w:rPr>
          <w:rFonts w:ascii="Palatino Linotype" w:eastAsia="MS Gothic" w:hAnsi="Palatino Linotype"/>
          <w:sz w:val="24"/>
        </w:rPr>
      </w:pPr>
      <w:r w:rsidRPr="003A4CD9">
        <w:rPr>
          <w:rFonts w:ascii="Palatino Linotype" w:eastAsia="MS Gothic" w:hAnsi="Palatino Linotype"/>
          <w:sz w:val="24"/>
        </w:rPr>
        <w:t xml:space="preserve">En consecuencia, la Litis a resolver en este recurso, se circunscribe a determinar si la respuesta colma con lo solicitado o si se actualiza la causal de procedencia prevista </w:t>
      </w:r>
      <w:r w:rsidRPr="003A4CD9">
        <w:rPr>
          <w:rFonts w:ascii="Palatino Linotype" w:hAnsi="Palatino Linotype"/>
          <w:sz w:val="24"/>
        </w:rPr>
        <w:t xml:space="preserve">en el artículo 179, fracción I </w:t>
      </w:r>
      <w:r w:rsidR="000B2BDB" w:rsidRPr="003A4CD9">
        <w:rPr>
          <w:rFonts w:ascii="Palatino Linotype" w:hAnsi="Palatino Linotype"/>
          <w:sz w:val="24"/>
        </w:rPr>
        <w:t>y VI</w:t>
      </w:r>
      <w:r w:rsidRPr="003A4CD9">
        <w:rPr>
          <w:rFonts w:ascii="Palatino Linotype" w:hAnsi="Palatino Linotype"/>
          <w:sz w:val="24"/>
        </w:rPr>
        <w:t xml:space="preserve"> de la Ley de Transparencia y Acceso a la Información Pública del Estado de México y Municipios; que establec</w:t>
      </w:r>
      <w:r w:rsidR="000B2BDB" w:rsidRPr="003A4CD9">
        <w:rPr>
          <w:rFonts w:ascii="Palatino Linotype" w:hAnsi="Palatino Linotype"/>
          <w:sz w:val="24"/>
        </w:rPr>
        <w:t>e la negativa de la información y la entrega de la información que no corresponde con los solicitado.</w:t>
      </w:r>
    </w:p>
    <w:p w14:paraId="5FC9697D" w14:textId="77777777" w:rsidR="00847857" w:rsidRPr="003A4CD9" w:rsidRDefault="00847857" w:rsidP="00847857">
      <w:pPr>
        <w:pStyle w:val="Prrafodelista"/>
        <w:spacing w:line="360" w:lineRule="auto"/>
        <w:ind w:left="0" w:right="48"/>
        <w:jc w:val="both"/>
        <w:rPr>
          <w:rFonts w:ascii="Palatino Linotype" w:eastAsia="MS Gothic" w:hAnsi="Palatino Linotype"/>
          <w:sz w:val="24"/>
        </w:rPr>
      </w:pPr>
    </w:p>
    <w:p w14:paraId="4CE0C4E3" w14:textId="77777777" w:rsidR="00847857" w:rsidRPr="003A4CD9" w:rsidRDefault="00847857" w:rsidP="00847857">
      <w:pPr>
        <w:pStyle w:val="Ttulo1"/>
        <w:spacing w:before="0" w:line="360" w:lineRule="auto"/>
        <w:rPr>
          <w:rFonts w:ascii="Palatino Linotype" w:eastAsia="MS Gothic" w:hAnsi="Palatino Linotype"/>
          <w:b/>
          <w:color w:val="auto"/>
          <w:sz w:val="24"/>
          <w:szCs w:val="24"/>
          <w:lang w:val="es-ES_tradnl"/>
        </w:rPr>
      </w:pPr>
      <w:bookmarkStart w:id="18" w:name="_Toc65713733"/>
      <w:bookmarkStart w:id="19" w:name="_Toc94119615"/>
      <w:r w:rsidRPr="003A4CD9">
        <w:rPr>
          <w:rFonts w:ascii="Palatino Linotype" w:eastAsia="MS Gothic" w:hAnsi="Palatino Linotype"/>
          <w:b/>
          <w:color w:val="auto"/>
          <w:sz w:val="24"/>
          <w:szCs w:val="24"/>
          <w:lang w:val="es-ES_tradnl"/>
        </w:rPr>
        <w:t>CUARTO. Del estudio y resolución del recurso de revisión.</w:t>
      </w:r>
      <w:bookmarkEnd w:id="18"/>
      <w:bookmarkEnd w:id="19"/>
    </w:p>
    <w:p w14:paraId="65EE288E" w14:textId="77777777" w:rsidR="00847857" w:rsidRPr="003A4CD9" w:rsidRDefault="00847857" w:rsidP="00847857">
      <w:pPr>
        <w:pStyle w:val="Prrafodelista"/>
        <w:numPr>
          <w:ilvl w:val="0"/>
          <w:numId w:val="1"/>
        </w:numPr>
        <w:spacing w:line="360" w:lineRule="auto"/>
        <w:ind w:left="0" w:right="48" w:firstLine="0"/>
        <w:jc w:val="both"/>
        <w:rPr>
          <w:rFonts w:ascii="Palatino Linotype" w:eastAsia="MS Gothic" w:hAnsi="Palatino Linotype"/>
          <w:sz w:val="24"/>
        </w:rPr>
      </w:pPr>
      <w:r w:rsidRPr="003A4CD9">
        <w:rPr>
          <w:rFonts w:ascii="Palatino Linotype" w:eastAsiaTheme="minorEastAsia" w:hAnsi="Palatino Linotype"/>
          <w:sz w:val="24"/>
          <w:lang w:val="es-ES_tradnl" w:eastAsia="es-ES"/>
        </w:rPr>
        <w:t>E</w:t>
      </w:r>
      <w:r w:rsidRPr="003A4CD9">
        <w:rPr>
          <w:rFonts w:ascii="Palatino Linotype" w:hAnsi="Palatino Linotype" w:cs="Arial"/>
          <w:color w:val="000000"/>
          <w:sz w:val="24"/>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3A4CD9">
        <w:rPr>
          <w:rFonts w:ascii="Palatino Linotype" w:hAnsi="Palatino Linotype" w:cs="Arial"/>
          <w:color w:val="000000"/>
          <w:sz w:val="24"/>
          <w:lang w:val="es-ES_tradnl" w:eastAsia="es-ES"/>
        </w:rPr>
        <w:t xml:space="preserve">. </w:t>
      </w:r>
    </w:p>
    <w:p w14:paraId="7C96C598" w14:textId="77777777" w:rsidR="000B2BDB" w:rsidRPr="003A4CD9" w:rsidRDefault="000B2BDB" w:rsidP="000B2BDB">
      <w:pPr>
        <w:pStyle w:val="Prrafodelista"/>
        <w:spacing w:line="360" w:lineRule="auto"/>
        <w:ind w:left="0" w:right="48"/>
        <w:jc w:val="both"/>
        <w:rPr>
          <w:rFonts w:ascii="Palatino Linotype" w:eastAsia="MS Gothic" w:hAnsi="Palatino Linotype"/>
          <w:sz w:val="24"/>
        </w:rPr>
      </w:pPr>
    </w:p>
    <w:p w14:paraId="3F275BA5" w14:textId="77777777" w:rsidR="00847857" w:rsidRPr="003A4CD9" w:rsidRDefault="00847857" w:rsidP="0084785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A4CD9">
        <w:rPr>
          <w:rFonts w:ascii="Palatino Linotype" w:hAnsi="Palatino Linotype"/>
          <w:lang w:val="es-ES_tradnl" w:eastAsia="es-ES"/>
        </w:rPr>
        <w:lastRenderedPageBreak/>
        <w:t xml:space="preserve">Definiendo el Derecho de Acceso a la Información Pública como: </w:t>
      </w:r>
      <w:r w:rsidRPr="003A4CD9">
        <w:rPr>
          <w:rFonts w:ascii="Palatino Linotype" w:eastAsiaTheme="minorEastAsia" w:hAnsi="Palatino Linotype"/>
          <w:i/>
          <w:color w:val="000000"/>
          <w:lang w:val="es-ES_tradnl" w:eastAsia="es-ES"/>
        </w:rPr>
        <w:t>La igualdad de oportunidades para recibir, buscar e impartir información</w:t>
      </w:r>
      <w:r w:rsidRPr="003A4CD9">
        <w:rPr>
          <w:rFonts w:ascii="Palatino Linotype" w:eastAsiaTheme="minorEastAsia" w:hAnsi="Palatino Linotype"/>
          <w:i/>
          <w:vertAlign w:val="superscript"/>
          <w:lang w:val="es-ES_tradnl" w:eastAsia="es-ES"/>
        </w:rPr>
        <w:footnoteReference w:id="1"/>
      </w:r>
      <w:r w:rsidRPr="003A4CD9">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A4CD9">
        <w:rPr>
          <w:rFonts w:ascii="Palatino Linotype" w:eastAsiaTheme="minorEastAsia" w:hAnsi="Palatino Linotype"/>
          <w:i/>
          <w:vertAlign w:val="superscript"/>
          <w:lang w:val="es-ES_tradnl" w:eastAsia="es-ES"/>
        </w:rPr>
        <w:footnoteReference w:id="2"/>
      </w:r>
      <w:r w:rsidRPr="003A4CD9">
        <w:rPr>
          <w:rFonts w:ascii="Palatino Linotype" w:eastAsiaTheme="minorEastAsia" w:hAnsi="Palatino Linotype"/>
          <w:color w:val="000000"/>
          <w:lang w:val="es-ES_tradnl" w:eastAsia="es-ES"/>
        </w:rPr>
        <w:t>que se constituye como una herramienta fundamental para ejercer</w:t>
      </w:r>
      <w:r w:rsidRPr="003A4CD9">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3A4CD9">
        <w:rPr>
          <w:rFonts w:ascii="Palatino Linotype" w:eastAsiaTheme="minorEastAsia" w:hAnsi="Palatino Linotype"/>
          <w:i/>
          <w:vertAlign w:val="superscript"/>
          <w:lang w:val="es-ES_tradnl" w:eastAsia="es-ES"/>
        </w:rPr>
        <w:footnoteReference w:id="3"/>
      </w:r>
      <w:r w:rsidRPr="003A4CD9">
        <w:rPr>
          <w:rFonts w:ascii="Palatino Linotype" w:eastAsiaTheme="minorEastAsia" w:hAnsi="Palatino Linotype"/>
          <w:color w:val="000000"/>
          <w:lang w:val="es-ES_tradnl" w:eastAsia="es-ES"/>
        </w:rPr>
        <w:t>fomentando</w:t>
      </w:r>
      <w:r w:rsidRPr="003A4CD9">
        <w:rPr>
          <w:rFonts w:ascii="Palatino Linotype" w:eastAsiaTheme="minorEastAsia" w:hAnsi="Palatino Linotype"/>
          <w:i/>
          <w:color w:val="000000"/>
          <w:lang w:val="es-ES_tradnl" w:eastAsia="es-ES"/>
        </w:rPr>
        <w:t xml:space="preserve"> la transparencia de las actividades estatales y </w:t>
      </w:r>
      <w:r w:rsidRPr="003A4CD9">
        <w:rPr>
          <w:rFonts w:ascii="Palatino Linotype" w:eastAsiaTheme="minorEastAsia" w:hAnsi="Palatino Linotype"/>
          <w:color w:val="000000"/>
          <w:lang w:val="es-ES_tradnl" w:eastAsia="es-ES"/>
        </w:rPr>
        <w:t>promoviendo</w:t>
      </w:r>
      <w:r w:rsidRPr="003A4CD9">
        <w:rPr>
          <w:rFonts w:ascii="Palatino Linotype" w:eastAsiaTheme="minorEastAsia" w:hAnsi="Palatino Linotype"/>
          <w:i/>
          <w:color w:val="000000"/>
          <w:lang w:val="es-ES_tradnl" w:eastAsia="es-ES"/>
        </w:rPr>
        <w:t xml:space="preserve"> la responsabilidad de los funcionarios sobre su gestión pública,</w:t>
      </w:r>
      <w:r w:rsidRPr="003A4CD9">
        <w:rPr>
          <w:rFonts w:ascii="Palatino Linotype" w:eastAsiaTheme="minorEastAsia" w:hAnsi="Palatino Linotype"/>
          <w:i/>
          <w:vertAlign w:val="superscript"/>
          <w:lang w:val="es-ES_tradnl" w:eastAsia="es-ES"/>
        </w:rPr>
        <w:footnoteReference w:id="4"/>
      </w:r>
      <w:r w:rsidRPr="003A4CD9">
        <w:rPr>
          <w:rFonts w:ascii="Palatino Linotype" w:eastAsiaTheme="minorEastAsia" w:hAnsi="Palatino Linotype"/>
          <w:color w:val="000000"/>
          <w:lang w:val="es-ES_tradnl" w:eastAsia="es-ES"/>
        </w:rPr>
        <w:t>que permite</w:t>
      </w:r>
      <w:r w:rsidRPr="003A4CD9">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63F3937E" w14:textId="77777777" w:rsidR="00847857" w:rsidRPr="003A4CD9" w:rsidRDefault="00847857" w:rsidP="00847857">
      <w:pPr>
        <w:spacing w:line="360" w:lineRule="auto"/>
        <w:ind w:right="49"/>
        <w:contextualSpacing/>
        <w:jc w:val="both"/>
        <w:rPr>
          <w:rFonts w:ascii="Palatino Linotype" w:eastAsiaTheme="minorEastAsia" w:hAnsi="Palatino Linotype"/>
          <w:lang w:val="es-ES_tradnl" w:eastAsia="es-ES"/>
        </w:rPr>
      </w:pPr>
    </w:p>
    <w:p w14:paraId="126E3EB7" w14:textId="77777777" w:rsidR="00847857" w:rsidRPr="003A4CD9" w:rsidRDefault="00847857" w:rsidP="0084785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A4CD9">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2A68A236" w14:textId="77777777" w:rsidR="00847857" w:rsidRPr="003A4CD9" w:rsidRDefault="00847857" w:rsidP="00847857">
      <w:pPr>
        <w:spacing w:line="360" w:lineRule="auto"/>
        <w:ind w:right="49"/>
        <w:contextualSpacing/>
        <w:jc w:val="both"/>
        <w:rPr>
          <w:rFonts w:ascii="Palatino Linotype" w:hAnsi="Palatino Linotype"/>
          <w:sz w:val="22"/>
          <w:lang w:val="es-ES_tradnl" w:eastAsia="es-ES"/>
        </w:rPr>
      </w:pPr>
    </w:p>
    <w:p w14:paraId="0B23C025" w14:textId="77777777" w:rsidR="00847857" w:rsidRPr="003A4CD9" w:rsidRDefault="00847857" w:rsidP="00847857">
      <w:pPr>
        <w:spacing w:line="360" w:lineRule="auto"/>
        <w:ind w:left="567" w:right="567"/>
        <w:contextualSpacing/>
        <w:jc w:val="both"/>
        <w:rPr>
          <w:rFonts w:ascii="Palatino Linotype" w:hAnsi="Palatino Linotype"/>
          <w:i/>
          <w:sz w:val="22"/>
          <w:lang w:val="es-ES_tradnl" w:eastAsia="es-ES"/>
        </w:rPr>
      </w:pPr>
      <w:r w:rsidRPr="003A4CD9">
        <w:rPr>
          <w:rFonts w:ascii="Palatino Linotype" w:hAnsi="Palatino Linotype"/>
          <w:i/>
          <w:sz w:val="22"/>
          <w:lang w:val="es-ES_tradnl" w:eastAsia="es-ES"/>
        </w:rPr>
        <w:t>“</w:t>
      </w:r>
      <w:r w:rsidRPr="003A4CD9">
        <w:rPr>
          <w:rFonts w:ascii="Palatino Linotype" w:hAnsi="Palatino Linotype"/>
          <w:b/>
          <w:i/>
          <w:sz w:val="22"/>
          <w:lang w:val="es-ES_tradnl" w:eastAsia="es-ES"/>
        </w:rPr>
        <w:t>Artículo 1.-</w:t>
      </w:r>
      <w:r w:rsidRPr="003A4CD9">
        <w:rPr>
          <w:rFonts w:ascii="Palatino Linotype" w:hAnsi="Palatino Linotype"/>
          <w:i/>
          <w:sz w:val="22"/>
          <w:lang w:val="es-ES_tradnl" w:eastAsia="es-ES"/>
        </w:rPr>
        <w:t xml:space="preserve"> </w:t>
      </w:r>
    </w:p>
    <w:p w14:paraId="758F0CB3" w14:textId="77777777" w:rsidR="00847857" w:rsidRPr="003A4CD9" w:rsidRDefault="00847857" w:rsidP="00847857">
      <w:pPr>
        <w:spacing w:line="360" w:lineRule="auto"/>
        <w:ind w:left="567" w:right="567"/>
        <w:contextualSpacing/>
        <w:jc w:val="both"/>
        <w:rPr>
          <w:rFonts w:ascii="Palatino Linotype" w:hAnsi="Palatino Linotype"/>
          <w:i/>
          <w:sz w:val="22"/>
          <w:lang w:val="es-ES_tradnl" w:eastAsia="es-ES"/>
        </w:rPr>
      </w:pPr>
      <w:r w:rsidRPr="003A4CD9">
        <w:rPr>
          <w:rFonts w:ascii="Palatino Linotype" w:hAnsi="Palatino Linotype"/>
          <w:i/>
          <w:sz w:val="22"/>
          <w:lang w:val="es-ES_tradnl" w:eastAsia="es-ES"/>
        </w:rPr>
        <w:t>(…)</w:t>
      </w:r>
    </w:p>
    <w:p w14:paraId="0BE73740" w14:textId="77777777" w:rsidR="00847857" w:rsidRPr="003A4CD9" w:rsidRDefault="00847857" w:rsidP="00847857">
      <w:pPr>
        <w:spacing w:line="360" w:lineRule="auto"/>
        <w:ind w:left="567" w:right="567"/>
        <w:contextualSpacing/>
        <w:jc w:val="both"/>
        <w:rPr>
          <w:rFonts w:ascii="Palatino Linotype" w:hAnsi="Palatino Linotype"/>
          <w:i/>
          <w:sz w:val="22"/>
        </w:rPr>
      </w:pPr>
      <w:r w:rsidRPr="003A4CD9">
        <w:rPr>
          <w:rFonts w:ascii="Palatino Linotype" w:hAnsi="Palatino Linotype"/>
          <w:i/>
          <w:sz w:val="22"/>
          <w:lang w:val="es-ES_tradnl" w:eastAsia="es-ES"/>
        </w:rPr>
        <w:t>Todas las</w:t>
      </w:r>
      <w:r w:rsidRPr="003A4CD9">
        <w:rPr>
          <w:rFonts w:ascii="Palatino Linotype" w:hAnsi="Palatino Linotype"/>
          <w:sz w:val="22"/>
          <w:lang w:val="es-ES_tradnl" w:eastAsia="es-ES"/>
        </w:rPr>
        <w:t xml:space="preserve"> </w:t>
      </w:r>
      <w:r w:rsidRPr="003A4CD9">
        <w:rPr>
          <w:rFonts w:ascii="Palatino Linotype" w:hAnsi="Palatino Linotype"/>
          <w:i/>
          <w:sz w:val="22"/>
        </w:rPr>
        <w:t xml:space="preserve">autoridades, en el ámbito de sus competencias, tienen la obligación de promover, respetar, proteger y garantizar los derechos humanos de conformidad con los principios de universalidad, interdependencia, indivisibilidad y progresividad. En consecuencia, el </w:t>
      </w:r>
      <w:r w:rsidRPr="003A4CD9">
        <w:rPr>
          <w:rFonts w:ascii="Palatino Linotype" w:hAnsi="Palatino Linotype"/>
          <w:i/>
          <w:sz w:val="22"/>
        </w:rPr>
        <w:lastRenderedPageBreak/>
        <w:t>Estado deberá prevenir, investigar, sancionar y reparar las violaciones a los derechos humanos, en los términos que establezca la ley.</w:t>
      </w:r>
    </w:p>
    <w:p w14:paraId="403F4E6B" w14:textId="77777777" w:rsidR="00847857" w:rsidRPr="003A4CD9" w:rsidRDefault="00847857" w:rsidP="00847857">
      <w:pPr>
        <w:spacing w:line="360" w:lineRule="auto"/>
        <w:ind w:left="567" w:right="567"/>
        <w:contextualSpacing/>
        <w:jc w:val="both"/>
        <w:rPr>
          <w:rFonts w:ascii="Palatino Linotype" w:hAnsi="Palatino Linotype"/>
          <w:sz w:val="22"/>
          <w:lang w:val="es-ES_tradnl" w:eastAsia="es-ES"/>
        </w:rPr>
      </w:pPr>
      <w:r w:rsidRPr="003A4CD9">
        <w:rPr>
          <w:rFonts w:ascii="Palatino Linotype" w:hAnsi="Palatino Linotype"/>
          <w:i/>
          <w:sz w:val="22"/>
        </w:rPr>
        <w:t>(…)</w:t>
      </w:r>
      <w:r w:rsidRPr="003A4CD9">
        <w:rPr>
          <w:rFonts w:ascii="Palatino Linotype" w:hAnsi="Palatino Linotype"/>
          <w:sz w:val="22"/>
          <w:lang w:val="es-ES_tradnl" w:eastAsia="es-ES"/>
        </w:rPr>
        <w:t>”.</w:t>
      </w:r>
    </w:p>
    <w:p w14:paraId="57B0333D" w14:textId="77777777" w:rsidR="00847857" w:rsidRPr="003A4CD9" w:rsidRDefault="00847857" w:rsidP="00847857">
      <w:pPr>
        <w:spacing w:line="360" w:lineRule="auto"/>
        <w:ind w:left="567" w:right="567"/>
        <w:contextualSpacing/>
        <w:jc w:val="both"/>
        <w:rPr>
          <w:rFonts w:ascii="Palatino Linotype" w:hAnsi="Palatino Linotype"/>
          <w:b/>
          <w:sz w:val="22"/>
          <w:lang w:val="es-ES_tradnl" w:eastAsia="es-ES"/>
        </w:rPr>
      </w:pPr>
      <w:r w:rsidRPr="003A4CD9">
        <w:rPr>
          <w:rFonts w:ascii="Palatino Linotype" w:hAnsi="Palatino Linotype"/>
          <w:b/>
          <w:i/>
          <w:sz w:val="22"/>
        </w:rPr>
        <w:t>(Énfasis Añadido)</w:t>
      </w:r>
    </w:p>
    <w:p w14:paraId="1DAA993B" w14:textId="77777777" w:rsidR="00847857" w:rsidRPr="003A4CD9" w:rsidRDefault="00847857" w:rsidP="00847857">
      <w:pPr>
        <w:spacing w:line="360" w:lineRule="auto"/>
        <w:ind w:right="49"/>
        <w:contextualSpacing/>
        <w:jc w:val="both"/>
        <w:rPr>
          <w:rFonts w:ascii="Palatino Linotype" w:eastAsiaTheme="minorEastAsia" w:hAnsi="Palatino Linotype"/>
          <w:sz w:val="22"/>
          <w:lang w:val="es-ES_tradnl" w:eastAsia="es-ES"/>
        </w:rPr>
      </w:pPr>
    </w:p>
    <w:p w14:paraId="34C53FC1" w14:textId="77777777" w:rsidR="00847857" w:rsidRPr="003A4CD9" w:rsidRDefault="00847857" w:rsidP="0084785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A4CD9">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0E2BA85B" w14:textId="77777777" w:rsidR="00847857" w:rsidRPr="003A4CD9" w:rsidRDefault="00847857" w:rsidP="00847857">
      <w:pPr>
        <w:spacing w:line="360" w:lineRule="auto"/>
        <w:ind w:right="49"/>
        <w:contextualSpacing/>
        <w:jc w:val="both"/>
        <w:rPr>
          <w:rFonts w:ascii="Palatino Linotype" w:eastAsiaTheme="minorEastAsia" w:hAnsi="Palatino Linotype"/>
          <w:lang w:val="es-ES_tradnl" w:eastAsia="es-ES"/>
        </w:rPr>
      </w:pPr>
    </w:p>
    <w:p w14:paraId="3BE66B59" w14:textId="77777777" w:rsidR="00847857" w:rsidRPr="003A4CD9" w:rsidRDefault="00847857" w:rsidP="0084785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A4CD9">
        <w:rPr>
          <w:rFonts w:ascii="Palatino Linotype" w:eastAsiaTheme="minorEastAsia" w:hAnsi="Palatino Linotype"/>
          <w:lang w:val="es-ES_tradnl" w:eastAsia="es-ES"/>
        </w:rPr>
        <w:t xml:space="preserve">Así, conforme a la Constitución Política de las Estado Unidos Mexicanos </w:t>
      </w:r>
      <w:r w:rsidRPr="003A4CD9">
        <w:rPr>
          <w:rFonts w:ascii="Palatino Linotype" w:eastAsia="Calibri" w:hAnsi="Palatino Linotype"/>
          <w:lang w:val="es-ES_tradnl" w:eastAsia="es-ES"/>
        </w:rPr>
        <w:t>y la Constitución Política del Estado Libre y Soberano de México respectivamente</w:t>
      </w:r>
      <w:r w:rsidRPr="003A4CD9">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1B10954" w14:textId="77777777" w:rsidR="00847857" w:rsidRPr="003A4CD9" w:rsidRDefault="00847857" w:rsidP="00847857">
      <w:pPr>
        <w:spacing w:line="360" w:lineRule="auto"/>
        <w:ind w:right="49"/>
        <w:contextualSpacing/>
        <w:jc w:val="both"/>
        <w:rPr>
          <w:rFonts w:ascii="Palatino Linotype" w:eastAsiaTheme="minorEastAsia" w:hAnsi="Palatino Linotype"/>
          <w:sz w:val="22"/>
          <w:lang w:val="es-ES_tradnl" w:eastAsia="es-ES"/>
        </w:rPr>
      </w:pPr>
    </w:p>
    <w:p w14:paraId="4FBFA6BE" w14:textId="77777777" w:rsidR="00847857" w:rsidRPr="003A4CD9" w:rsidRDefault="00847857" w:rsidP="00847857">
      <w:pPr>
        <w:spacing w:line="360" w:lineRule="auto"/>
        <w:ind w:left="567" w:right="567"/>
        <w:jc w:val="center"/>
        <w:rPr>
          <w:rFonts w:ascii="Palatino Linotype" w:eastAsiaTheme="minorEastAsia" w:hAnsi="Palatino Linotype" w:cs="Arial"/>
          <w:b/>
          <w:bCs/>
          <w:i/>
          <w:sz w:val="22"/>
          <w:lang w:val="es-ES_tradnl" w:eastAsia="es-ES"/>
        </w:rPr>
      </w:pPr>
      <w:r w:rsidRPr="003A4CD9">
        <w:rPr>
          <w:rFonts w:ascii="Palatino Linotype" w:eastAsiaTheme="minorEastAsia" w:hAnsi="Palatino Linotype" w:cs="Arial"/>
          <w:b/>
          <w:bCs/>
          <w:i/>
          <w:sz w:val="22"/>
          <w:lang w:val="es-ES_tradnl" w:eastAsia="es-ES"/>
        </w:rPr>
        <w:t>Constitución Política de los Estados Unidos Mexicanos</w:t>
      </w:r>
    </w:p>
    <w:p w14:paraId="066CAEF4" w14:textId="77777777" w:rsidR="00847857" w:rsidRPr="003A4CD9" w:rsidRDefault="00847857" w:rsidP="00847857">
      <w:pPr>
        <w:spacing w:line="360" w:lineRule="auto"/>
        <w:ind w:left="567" w:right="567"/>
        <w:jc w:val="both"/>
        <w:rPr>
          <w:rFonts w:ascii="Palatino Linotype" w:eastAsiaTheme="minorEastAsia" w:hAnsi="Palatino Linotype" w:cs="Arial"/>
          <w:b/>
          <w:bCs/>
          <w:i/>
          <w:sz w:val="22"/>
          <w:lang w:val="es-ES_tradnl" w:eastAsia="es-ES"/>
        </w:rPr>
      </w:pPr>
      <w:r w:rsidRPr="003A4CD9">
        <w:rPr>
          <w:rFonts w:ascii="Palatino Linotype" w:eastAsiaTheme="minorEastAsia" w:hAnsi="Palatino Linotype" w:cs="Arial"/>
          <w:b/>
          <w:bCs/>
          <w:i/>
          <w:sz w:val="22"/>
          <w:lang w:val="es-ES_tradnl" w:eastAsia="es-ES"/>
        </w:rPr>
        <w:t>“Artículo 6.</w:t>
      </w:r>
      <w:r w:rsidRPr="003A4CD9">
        <w:rPr>
          <w:rFonts w:ascii="Palatino Linotype" w:eastAsiaTheme="minorEastAsia" w:hAnsi="Palatino Linotype" w:cs="Arial"/>
          <w:bCs/>
          <w:i/>
          <w:sz w:val="22"/>
          <w:lang w:val="es-ES_tradnl" w:eastAsia="es-ES"/>
        </w:rPr>
        <w:t xml:space="preserve"> …</w:t>
      </w:r>
    </w:p>
    <w:p w14:paraId="128077A6" w14:textId="77777777" w:rsidR="00847857" w:rsidRPr="003A4CD9" w:rsidRDefault="00847857" w:rsidP="00847857">
      <w:pPr>
        <w:spacing w:line="360" w:lineRule="auto"/>
        <w:ind w:left="567" w:right="567"/>
        <w:jc w:val="both"/>
        <w:rPr>
          <w:rFonts w:ascii="Palatino Linotype" w:eastAsiaTheme="minorEastAsia" w:hAnsi="Palatino Linotype" w:cs="Arial"/>
          <w:bCs/>
          <w:i/>
          <w:sz w:val="22"/>
          <w:lang w:val="es-ES_tradnl" w:eastAsia="es-ES"/>
        </w:rPr>
      </w:pPr>
      <w:r w:rsidRPr="003A4CD9">
        <w:rPr>
          <w:rFonts w:ascii="Palatino Linotype" w:eastAsiaTheme="minorEastAsia" w:hAnsi="Palatino Linotype" w:cs="Arial"/>
          <w:bCs/>
          <w:i/>
          <w:sz w:val="22"/>
          <w:lang w:val="es-ES_tradnl" w:eastAsia="es-ES"/>
        </w:rPr>
        <w:t>…</w:t>
      </w:r>
    </w:p>
    <w:p w14:paraId="657AC6D6" w14:textId="77777777" w:rsidR="00847857" w:rsidRPr="003A4CD9" w:rsidRDefault="00847857" w:rsidP="00847857">
      <w:pPr>
        <w:spacing w:line="360" w:lineRule="auto"/>
        <w:ind w:left="567" w:right="567"/>
        <w:jc w:val="both"/>
        <w:rPr>
          <w:rFonts w:ascii="Palatino Linotype" w:eastAsiaTheme="minorEastAsia" w:hAnsi="Palatino Linotype" w:cs="Arial"/>
          <w:bCs/>
          <w:i/>
          <w:sz w:val="22"/>
          <w:lang w:val="es-ES_tradnl" w:eastAsia="es-ES"/>
        </w:rPr>
      </w:pPr>
      <w:r w:rsidRPr="003A4CD9">
        <w:rPr>
          <w:rFonts w:ascii="Palatino Linotype" w:eastAsiaTheme="minorEastAsia" w:hAnsi="Palatino Linotype" w:cs="Arial"/>
          <w:bCs/>
          <w:i/>
          <w:sz w:val="22"/>
          <w:lang w:val="es-ES_tradnl" w:eastAsia="es-ES"/>
        </w:rPr>
        <w:t>Para efectos de lo dispuesto en el presente artículo se observará lo siguiente:</w:t>
      </w:r>
    </w:p>
    <w:p w14:paraId="322AEE0A" w14:textId="77777777" w:rsidR="00847857" w:rsidRPr="003A4CD9" w:rsidRDefault="00847857" w:rsidP="00847857">
      <w:pPr>
        <w:spacing w:line="360" w:lineRule="auto"/>
        <w:ind w:left="567" w:right="567"/>
        <w:jc w:val="both"/>
        <w:rPr>
          <w:rFonts w:ascii="Palatino Linotype" w:eastAsiaTheme="minorEastAsia" w:hAnsi="Palatino Linotype" w:cs="Arial"/>
          <w:b/>
          <w:bCs/>
          <w:i/>
          <w:sz w:val="22"/>
          <w:lang w:val="es-ES_tradnl" w:eastAsia="es-ES"/>
        </w:rPr>
      </w:pPr>
      <w:r w:rsidRPr="003A4CD9">
        <w:rPr>
          <w:rFonts w:ascii="Palatino Linotype" w:eastAsiaTheme="minorEastAsia" w:hAnsi="Palatino Linotype" w:cs="Arial"/>
          <w:b/>
          <w:bCs/>
          <w:i/>
          <w:sz w:val="22"/>
          <w:lang w:val="es-ES_tradnl" w:eastAsia="es-ES"/>
        </w:rPr>
        <w:t>A</w:t>
      </w:r>
      <w:r w:rsidRPr="003A4CD9">
        <w:rPr>
          <w:rFonts w:ascii="Palatino Linotype" w:eastAsiaTheme="minorEastAsia" w:hAnsi="Palatino Linotype" w:cs="Arial"/>
          <w:bCs/>
          <w:i/>
          <w:sz w:val="22"/>
          <w:lang w:val="es-ES_tradnl" w:eastAsia="es-ES"/>
        </w:rPr>
        <w:t xml:space="preserve">. </w:t>
      </w:r>
      <w:r w:rsidRPr="003A4CD9">
        <w:rPr>
          <w:rFonts w:ascii="Palatino Linotype" w:eastAsiaTheme="minorEastAsia" w:hAnsi="Palatino Linotype" w:cs="Arial"/>
          <w:b/>
          <w:bCs/>
          <w:i/>
          <w:sz w:val="22"/>
          <w:lang w:val="es-ES_tradnl" w:eastAsia="es-ES"/>
        </w:rPr>
        <w:t>Para el ejercicio del derecho de acceso a la información</w:t>
      </w:r>
      <w:r w:rsidRPr="003A4CD9">
        <w:rPr>
          <w:rFonts w:ascii="Palatino Linotype" w:eastAsiaTheme="minorEastAsia" w:hAnsi="Palatino Linotype" w:cs="Arial"/>
          <w:bCs/>
          <w:i/>
          <w:sz w:val="22"/>
          <w:lang w:val="es-ES_tradnl" w:eastAsia="es-ES"/>
        </w:rPr>
        <w:t xml:space="preserve">, la Federación y </w:t>
      </w:r>
      <w:r w:rsidRPr="003A4CD9">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33FAB77F" w14:textId="77777777" w:rsidR="00847857" w:rsidRPr="003A4CD9" w:rsidRDefault="00847857" w:rsidP="00847857">
      <w:pPr>
        <w:spacing w:line="360" w:lineRule="auto"/>
        <w:ind w:left="567" w:right="567"/>
        <w:jc w:val="both"/>
        <w:rPr>
          <w:rFonts w:ascii="Palatino Linotype" w:eastAsiaTheme="minorEastAsia" w:hAnsi="Palatino Linotype" w:cs="Arial"/>
          <w:b/>
          <w:bCs/>
          <w:i/>
          <w:sz w:val="22"/>
          <w:lang w:val="es-ES_tradnl" w:eastAsia="es-ES"/>
        </w:rPr>
      </w:pPr>
    </w:p>
    <w:p w14:paraId="345E5004" w14:textId="77777777" w:rsidR="00847857" w:rsidRPr="003A4CD9" w:rsidRDefault="00847857" w:rsidP="00847857">
      <w:pPr>
        <w:spacing w:line="360" w:lineRule="auto"/>
        <w:ind w:left="567" w:right="567"/>
        <w:jc w:val="both"/>
        <w:rPr>
          <w:rFonts w:ascii="Palatino Linotype" w:eastAsiaTheme="minorEastAsia" w:hAnsi="Palatino Linotype" w:cs="Arial"/>
          <w:bCs/>
          <w:i/>
          <w:sz w:val="22"/>
          <w:lang w:val="es-ES_tradnl" w:eastAsia="es-ES"/>
        </w:rPr>
      </w:pPr>
      <w:r w:rsidRPr="003A4CD9">
        <w:rPr>
          <w:rFonts w:ascii="Palatino Linotype" w:eastAsiaTheme="minorEastAsia" w:hAnsi="Palatino Linotype" w:cs="Arial"/>
          <w:b/>
          <w:bCs/>
          <w:i/>
          <w:sz w:val="22"/>
          <w:lang w:val="es-ES_tradnl" w:eastAsia="es-ES"/>
        </w:rPr>
        <w:lastRenderedPageBreak/>
        <w:t xml:space="preserve">I. </w:t>
      </w:r>
      <w:r w:rsidRPr="003A4CD9">
        <w:rPr>
          <w:rFonts w:ascii="Palatino Linotype" w:eastAsiaTheme="minorEastAsia" w:hAnsi="Palatino Linotype" w:cs="Arial"/>
          <w:b/>
          <w:bCs/>
          <w:i/>
          <w:sz w:val="22"/>
          <w:lang w:val="es-ES_tradnl" w:eastAsia="es-ES"/>
        </w:rPr>
        <w:tab/>
        <w:t>Toda la información en posesión de cualquier</w:t>
      </w:r>
      <w:r w:rsidRPr="003A4CD9">
        <w:rPr>
          <w:rFonts w:ascii="Palatino Linotype" w:eastAsiaTheme="minorEastAsia" w:hAnsi="Palatino Linotype" w:cs="Arial"/>
          <w:bCs/>
          <w:i/>
          <w:sz w:val="22"/>
          <w:lang w:val="es-ES_tradnl" w:eastAsia="es-ES"/>
        </w:rPr>
        <w:t xml:space="preserve"> </w:t>
      </w:r>
      <w:r w:rsidRPr="003A4CD9">
        <w:rPr>
          <w:rFonts w:ascii="Palatino Linotype" w:eastAsiaTheme="minorEastAsia" w:hAnsi="Palatino Linotype" w:cs="Arial"/>
          <w:b/>
          <w:bCs/>
          <w:i/>
          <w:sz w:val="22"/>
          <w:lang w:val="es-ES_tradnl" w:eastAsia="es-ES"/>
        </w:rPr>
        <w:t>autoridad</w:t>
      </w:r>
      <w:r w:rsidRPr="003A4CD9">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A4CD9">
        <w:rPr>
          <w:rFonts w:ascii="Palatino Linotype" w:eastAsiaTheme="minorEastAsia" w:hAnsi="Palatino Linotype" w:cs="Arial"/>
          <w:b/>
          <w:bCs/>
          <w:i/>
          <w:sz w:val="22"/>
          <w:lang w:val="es-ES_tradnl" w:eastAsia="es-ES"/>
        </w:rPr>
        <w:t>municipal</w:t>
      </w:r>
      <w:r w:rsidRPr="003A4CD9">
        <w:rPr>
          <w:rFonts w:ascii="Palatino Linotype" w:eastAsiaTheme="minorEastAsia" w:hAnsi="Palatino Linotype" w:cs="Arial"/>
          <w:bCs/>
          <w:i/>
          <w:sz w:val="22"/>
          <w:lang w:val="es-ES_tradnl" w:eastAsia="es-ES"/>
        </w:rPr>
        <w:t xml:space="preserve">, </w:t>
      </w:r>
      <w:r w:rsidRPr="003A4CD9">
        <w:rPr>
          <w:rFonts w:ascii="Palatino Linotype" w:eastAsiaTheme="minorEastAsia" w:hAnsi="Palatino Linotype" w:cs="Arial"/>
          <w:b/>
          <w:bCs/>
          <w:i/>
          <w:sz w:val="22"/>
          <w:lang w:val="es-ES_tradnl" w:eastAsia="es-ES"/>
        </w:rPr>
        <w:t>es pública</w:t>
      </w:r>
      <w:r w:rsidRPr="003A4CD9">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3A4CD9">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3A4CD9">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21306ADE" w14:textId="77777777" w:rsidR="00847857" w:rsidRPr="003A4CD9" w:rsidRDefault="00847857" w:rsidP="00847857">
      <w:pPr>
        <w:pStyle w:val="Prrafodelista"/>
        <w:tabs>
          <w:tab w:val="left" w:pos="567"/>
        </w:tabs>
        <w:spacing w:line="360" w:lineRule="auto"/>
        <w:ind w:left="567" w:right="567"/>
        <w:jc w:val="both"/>
        <w:rPr>
          <w:rFonts w:ascii="Palatino Linotype" w:hAnsi="Palatino Linotype" w:cs="Arial"/>
          <w:b/>
          <w:bCs/>
          <w:i/>
        </w:rPr>
      </w:pPr>
      <w:r w:rsidRPr="003A4CD9">
        <w:rPr>
          <w:rFonts w:ascii="Palatino Linotype" w:hAnsi="Palatino Linotype" w:cs="Arial"/>
          <w:b/>
          <w:bCs/>
          <w:i/>
        </w:rPr>
        <w:t>(Énfasis añadido)</w:t>
      </w:r>
    </w:p>
    <w:p w14:paraId="59809014" w14:textId="77777777" w:rsidR="00847857" w:rsidRPr="003A4CD9" w:rsidRDefault="00847857" w:rsidP="00847857">
      <w:pPr>
        <w:pStyle w:val="Prrafodelista"/>
        <w:tabs>
          <w:tab w:val="left" w:pos="567"/>
        </w:tabs>
        <w:spacing w:line="360" w:lineRule="auto"/>
        <w:ind w:left="567" w:right="567"/>
        <w:jc w:val="both"/>
        <w:rPr>
          <w:rFonts w:ascii="Palatino Linotype" w:hAnsi="Palatino Linotype" w:cs="Arial"/>
          <w:b/>
          <w:bCs/>
          <w:i/>
        </w:rPr>
      </w:pPr>
    </w:p>
    <w:p w14:paraId="34242968" w14:textId="77777777" w:rsidR="00847857" w:rsidRPr="003A4CD9" w:rsidRDefault="00847857" w:rsidP="00847857">
      <w:pPr>
        <w:spacing w:line="360" w:lineRule="auto"/>
        <w:ind w:left="567" w:right="567"/>
        <w:jc w:val="center"/>
        <w:rPr>
          <w:rFonts w:ascii="Palatino Linotype" w:eastAsiaTheme="minorEastAsia" w:hAnsi="Palatino Linotype" w:cs="Arial"/>
          <w:b/>
          <w:bCs/>
          <w:i/>
          <w:sz w:val="22"/>
          <w:lang w:val="es-ES_tradnl" w:eastAsia="es-ES"/>
        </w:rPr>
      </w:pPr>
      <w:r w:rsidRPr="003A4CD9">
        <w:rPr>
          <w:rFonts w:ascii="Palatino Linotype" w:eastAsiaTheme="minorEastAsia" w:hAnsi="Palatino Linotype" w:cs="Arial"/>
          <w:b/>
          <w:bCs/>
          <w:i/>
          <w:sz w:val="22"/>
          <w:lang w:val="es-ES_tradnl" w:eastAsia="es-ES"/>
        </w:rPr>
        <w:t>Constitución Política del Estado Libre y Soberano de México</w:t>
      </w:r>
    </w:p>
    <w:p w14:paraId="6A5541F6" w14:textId="77777777" w:rsidR="00847857" w:rsidRPr="003A4CD9" w:rsidRDefault="00847857" w:rsidP="00847857">
      <w:pPr>
        <w:spacing w:line="360" w:lineRule="auto"/>
        <w:ind w:left="567" w:right="567"/>
        <w:jc w:val="both"/>
        <w:rPr>
          <w:rFonts w:ascii="Palatino Linotype" w:eastAsiaTheme="minorEastAsia" w:hAnsi="Palatino Linotype" w:cs="Arial"/>
          <w:bCs/>
          <w:i/>
          <w:sz w:val="22"/>
          <w:lang w:val="es-ES_tradnl" w:eastAsia="es-ES"/>
        </w:rPr>
      </w:pPr>
      <w:r w:rsidRPr="003A4CD9">
        <w:rPr>
          <w:rFonts w:ascii="Palatino Linotype" w:eastAsiaTheme="minorEastAsia" w:hAnsi="Palatino Linotype" w:cs="Arial"/>
          <w:b/>
          <w:bCs/>
          <w:i/>
          <w:sz w:val="22"/>
          <w:lang w:val="es-ES_tradnl" w:eastAsia="es-ES"/>
        </w:rPr>
        <w:t>“Artículo 5</w:t>
      </w:r>
      <w:r w:rsidRPr="003A4CD9">
        <w:rPr>
          <w:rFonts w:ascii="Palatino Linotype" w:eastAsiaTheme="minorEastAsia" w:hAnsi="Palatino Linotype" w:cs="Arial"/>
          <w:bCs/>
          <w:i/>
          <w:sz w:val="22"/>
          <w:lang w:val="es-ES_tradnl" w:eastAsia="es-ES"/>
        </w:rPr>
        <w:t>.- …</w:t>
      </w:r>
    </w:p>
    <w:p w14:paraId="63D069A2" w14:textId="77777777" w:rsidR="00847857" w:rsidRPr="003A4CD9" w:rsidRDefault="00847857" w:rsidP="00847857">
      <w:pPr>
        <w:spacing w:line="360" w:lineRule="auto"/>
        <w:ind w:left="567" w:right="567"/>
        <w:jc w:val="both"/>
        <w:rPr>
          <w:rFonts w:ascii="Palatino Linotype" w:eastAsiaTheme="minorEastAsia" w:hAnsi="Palatino Linotype" w:cs="Arial"/>
          <w:bCs/>
          <w:i/>
          <w:sz w:val="22"/>
          <w:lang w:val="es-ES_tradnl" w:eastAsia="es-ES"/>
        </w:rPr>
      </w:pPr>
      <w:r w:rsidRPr="003A4CD9">
        <w:rPr>
          <w:rFonts w:ascii="Palatino Linotype" w:eastAsiaTheme="minorEastAsia" w:hAnsi="Palatino Linotype" w:cs="Arial"/>
          <w:bCs/>
          <w:i/>
          <w:sz w:val="22"/>
          <w:lang w:val="es-ES_tradnl" w:eastAsia="es-ES"/>
        </w:rPr>
        <w:t>…</w:t>
      </w:r>
    </w:p>
    <w:p w14:paraId="4D7161F0" w14:textId="77777777" w:rsidR="00847857" w:rsidRPr="003A4CD9" w:rsidRDefault="00847857" w:rsidP="00847857">
      <w:pPr>
        <w:spacing w:line="360" w:lineRule="auto"/>
        <w:ind w:left="567" w:right="567"/>
        <w:jc w:val="both"/>
        <w:rPr>
          <w:rFonts w:ascii="Palatino Linotype" w:eastAsiaTheme="minorEastAsia" w:hAnsi="Palatino Linotype" w:cs="Arial"/>
          <w:bCs/>
          <w:i/>
          <w:sz w:val="22"/>
          <w:lang w:val="es-ES_tradnl" w:eastAsia="es-ES"/>
        </w:rPr>
      </w:pPr>
      <w:r w:rsidRPr="003A4CD9">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3A4CD9">
        <w:rPr>
          <w:rFonts w:ascii="Palatino Linotype" w:eastAsiaTheme="minorEastAsia" w:hAnsi="Palatino Linotype" w:cs="Arial"/>
          <w:bCs/>
          <w:i/>
          <w:sz w:val="22"/>
          <w:lang w:val="es-ES_tradnl" w:eastAsia="es-ES"/>
        </w:rPr>
        <w:t>.</w:t>
      </w:r>
    </w:p>
    <w:p w14:paraId="11C71838" w14:textId="77777777" w:rsidR="00847857" w:rsidRPr="003A4CD9" w:rsidRDefault="00847857" w:rsidP="00847857">
      <w:pPr>
        <w:spacing w:line="360" w:lineRule="auto"/>
        <w:ind w:left="567" w:right="567"/>
        <w:jc w:val="both"/>
        <w:rPr>
          <w:rFonts w:ascii="Palatino Linotype" w:eastAsiaTheme="minorEastAsia" w:hAnsi="Palatino Linotype" w:cs="Arial"/>
          <w:bCs/>
          <w:i/>
          <w:sz w:val="22"/>
          <w:lang w:val="es-ES_tradnl" w:eastAsia="es-ES"/>
        </w:rPr>
      </w:pPr>
      <w:r w:rsidRPr="003A4CD9">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DF8E2A1" w14:textId="77777777" w:rsidR="00847857" w:rsidRPr="003A4CD9" w:rsidRDefault="00847857" w:rsidP="00847857">
      <w:pPr>
        <w:spacing w:line="360" w:lineRule="auto"/>
        <w:ind w:left="567" w:right="567"/>
        <w:jc w:val="both"/>
        <w:rPr>
          <w:rFonts w:ascii="Palatino Linotype" w:eastAsiaTheme="minorEastAsia" w:hAnsi="Palatino Linotype" w:cs="Arial"/>
          <w:bCs/>
          <w:i/>
          <w:sz w:val="22"/>
          <w:lang w:val="es-ES_tradnl" w:eastAsia="es-ES"/>
        </w:rPr>
      </w:pPr>
      <w:r w:rsidRPr="003A4CD9">
        <w:rPr>
          <w:rFonts w:ascii="Palatino Linotype" w:eastAsiaTheme="minorEastAsia" w:hAnsi="Palatino Linotype" w:cs="Arial"/>
          <w:b/>
          <w:bCs/>
          <w:i/>
          <w:sz w:val="22"/>
          <w:lang w:val="es-ES_tradnl" w:eastAsia="es-ES"/>
        </w:rPr>
        <w:t>Este derecho se regirá por los principios y bases siguientes</w:t>
      </w:r>
      <w:r w:rsidRPr="003A4CD9">
        <w:rPr>
          <w:rFonts w:ascii="Palatino Linotype" w:eastAsiaTheme="minorEastAsia" w:hAnsi="Palatino Linotype" w:cs="Arial"/>
          <w:bCs/>
          <w:i/>
          <w:sz w:val="22"/>
          <w:lang w:val="es-ES_tradnl" w:eastAsia="es-ES"/>
        </w:rPr>
        <w:t>:</w:t>
      </w:r>
    </w:p>
    <w:p w14:paraId="701AFC7F" w14:textId="77777777" w:rsidR="00847857" w:rsidRPr="003A4CD9" w:rsidRDefault="00847857" w:rsidP="00847857">
      <w:pPr>
        <w:spacing w:line="360" w:lineRule="auto"/>
        <w:ind w:left="567" w:right="567"/>
        <w:jc w:val="both"/>
        <w:rPr>
          <w:rFonts w:ascii="Palatino Linotype" w:eastAsiaTheme="minorEastAsia" w:hAnsi="Palatino Linotype" w:cs="Arial"/>
          <w:bCs/>
          <w:i/>
          <w:sz w:val="22"/>
          <w:lang w:val="es-ES_tradnl" w:eastAsia="es-ES"/>
        </w:rPr>
      </w:pPr>
      <w:r w:rsidRPr="003A4CD9">
        <w:rPr>
          <w:rFonts w:ascii="Palatino Linotype" w:eastAsiaTheme="minorEastAsia" w:hAnsi="Palatino Linotype" w:cs="Arial"/>
          <w:b/>
          <w:bCs/>
          <w:i/>
          <w:sz w:val="22"/>
          <w:lang w:val="es-ES_tradnl" w:eastAsia="es-ES"/>
        </w:rPr>
        <w:t>I. Toda la información en posesión de cualquier autoridad, entidad, órgano y organismos de los</w:t>
      </w:r>
      <w:r w:rsidRPr="003A4CD9">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3A4CD9">
        <w:rPr>
          <w:rFonts w:ascii="Palatino Linotype" w:eastAsiaTheme="minorEastAsia" w:hAnsi="Palatino Linotype" w:cs="Arial"/>
          <w:b/>
          <w:bCs/>
          <w:i/>
          <w:sz w:val="22"/>
          <w:lang w:val="es-ES_tradnl" w:eastAsia="es-ES"/>
        </w:rPr>
        <w:t>municipales</w:t>
      </w:r>
      <w:r w:rsidRPr="003A4CD9">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w:t>
      </w:r>
      <w:r w:rsidRPr="003A4CD9">
        <w:rPr>
          <w:rFonts w:ascii="Palatino Linotype" w:eastAsiaTheme="minorEastAsia" w:hAnsi="Palatino Linotype" w:cs="Arial"/>
          <w:bCs/>
          <w:i/>
          <w:sz w:val="22"/>
          <w:lang w:val="es-ES_tradnl" w:eastAsia="es-ES"/>
        </w:rPr>
        <w:lastRenderedPageBreak/>
        <w:t xml:space="preserve">cualquier persona física, jurídica colectiva o sindicato que reciba y ejerza recursos públicos o realice actos de autoridad en el ámbito estatal y municipal, </w:t>
      </w:r>
      <w:r w:rsidRPr="003A4CD9">
        <w:rPr>
          <w:rFonts w:ascii="Palatino Linotype" w:eastAsiaTheme="minorEastAsia" w:hAnsi="Palatino Linotype" w:cs="Arial"/>
          <w:b/>
          <w:bCs/>
          <w:i/>
          <w:sz w:val="22"/>
          <w:lang w:val="es-ES_tradnl" w:eastAsia="es-ES"/>
        </w:rPr>
        <w:t>es pública</w:t>
      </w:r>
      <w:r w:rsidRPr="003A4CD9">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3A4CD9">
        <w:rPr>
          <w:rFonts w:ascii="Palatino Linotype" w:eastAsiaTheme="minorEastAsia" w:hAnsi="Palatino Linotype" w:cs="Arial"/>
          <w:b/>
          <w:bCs/>
          <w:i/>
          <w:sz w:val="22"/>
          <w:lang w:val="es-ES_tradnl" w:eastAsia="es-ES"/>
        </w:rPr>
        <w:t>En la interpretación de este derecho deberá prevalecer el principio de máxima publicidad</w:t>
      </w:r>
      <w:r w:rsidRPr="003A4CD9">
        <w:rPr>
          <w:rFonts w:ascii="Palatino Linotype" w:eastAsiaTheme="minorEastAsia" w:hAnsi="Palatino Linotype" w:cs="Arial"/>
          <w:bCs/>
          <w:i/>
          <w:sz w:val="22"/>
          <w:lang w:val="es-ES_tradnl" w:eastAsia="es-ES"/>
        </w:rPr>
        <w:t xml:space="preserve">. </w:t>
      </w:r>
      <w:r w:rsidRPr="003A4CD9">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3A4CD9">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56559550" w14:textId="77777777" w:rsidR="00847857" w:rsidRPr="003A4CD9" w:rsidRDefault="00847857" w:rsidP="00847857">
      <w:pPr>
        <w:pStyle w:val="Prrafodelista"/>
        <w:tabs>
          <w:tab w:val="left" w:pos="567"/>
        </w:tabs>
        <w:spacing w:line="360" w:lineRule="auto"/>
        <w:ind w:left="567" w:right="567"/>
        <w:jc w:val="both"/>
        <w:rPr>
          <w:rFonts w:ascii="Palatino Linotype" w:hAnsi="Palatino Linotype" w:cs="Arial"/>
          <w:b/>
          <w:bCs/>
          <w:i/>
        </w:rPr>
      </w:pPr>
      <w:r w:rsidRPr="003A4CD9">
        <w:rPr>
          <w:rFonts w:ascii="Palatino Linotype" w:hAnsi="Palatino Linotype" w:cs="Arial"/>
          <w:b/>
          <w:bCs/>
          <w:i/>
        </w:rPr>
        <w:t>(Énfasis añadido)</w:t>
      </w:r>
    </w:p>
    <w:p w14:paraId="2C4DFD99" w14:textId="77777777" w:rsidR="00847857" w:rsidRPr="003A4CD9" w:rsidRDefault="00847857" w:rsidP="00847857">
      <w:pPr>
        <w:pStyle w:val="Prrafodelista"/>
        <w:tabs>
          <w:tab w:val="left" w:pos="567"/>
        </w:tabs>
        <w:spacing w:line="360" w:lineRule="auto"/>
        <w:ind w:left="567" w:right="567"/>
        <w:jc w:val="both"/>
        <w:rPr>
          <w:rFonts w:ascii="Palatino Linotype" w:hAnsi="Palatino Linotype" w:cs="Arial"/>
          <w:b/>
          <w:bCs/>
          <w:i/>
          <w:sz w:val="24"/>
        </w:rPr>
      </w:pPr>
    </w:p>
    <w:p w14:paraId="4706A0C3" w14:textId="77777777" w:rsidR="00847857" w:rsidRPr="003A4CD9" w:rsidRDefault="00847857" w:rsidP="0084785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A4CD9">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3A4CD9">
        <w:rPr>
          <w:rFonts w:ascii="Palatino Linotype" w:eastAsiaTheme="minorEastAsia" w:hAnsi="Palatino Linotype" w:cs="Arial"/>
          <w:i/>
          <w:lang w:val="es-ES_tradnl" w:eastAsia="es-ES"/>
        </w:rPr>
        <w:t>por los principios de simplicidad, rapidez gratuidad del procedimiento, auxilio y orientación a los particulares</w:t>
      </w:r>
      <w:r w:rsidRPr="003A4CD9">
        <w:rPr>
          <w:rFonts w:ascii="Palatino Linotype" w:eastAsiaTheme="minorEastAsia" w:hAnsi="Palatino Linotype" w:cs="Arial"/>
          <w:lang w:val="es-ES_tradnl" w:eastAsia="es-ES"/>
        </w:rPr>
        <w:t>, contemplando el derecho de las personas con discapacidad y hablantes de lengua indígena.</w:t>
      </w:r>
    </w:p>
    <w:p w14:paraId="64522BEF" w14:textId="77777777" w:rsidR="00847857" w:rsidRPr="003A4CD9" w:rsidRDefault="00847857" w:rsidP="00847857">
      <w:pPr>
        <w:spacing w:line="360" w:lineRule="auto"/>
        <w:ind w:right="49"/>
        <w:contextualSpacing/>
        <w:jc w:val="both"/>
        <w:rPr>
          <w:rFonts w:ascii="Palatino Linotype" w:eastAsiaTheme="minorEastAsia" w:hAnsi="Palatino Linotype"/>
          <w:lang w:val="es-ES_tradnl" w:eastAsia="es-ES"/>
        </w:rPr>
      </w:pPr>
    </w:p>
    <w:p w14:paraId="3F6C5A86" w14:textId="77777777" w:rsidR="00847857" w:rsidRPr="003A4CD9" w:rsidRDefault="00847857" w:rsidP="0084785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A4CD9">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3A4CD9">
        <w:rPr>
          <w:rFonts w:ascii="Palatino Linotype" w:eastAsiaTheme="minorEastAsia" w:hAnsi="Palatino Linotype" w:cs="Arial"/>
          <w:i/>
          <w:lang w:val="es-ES_tradnl" w:eastAsia="es-ES"/>
        </w:rPr>
        <w:t>solicitudes de acceso a la información</w:t>
      </w:r>
      <w:r w:rsidRPr="003A4CD9">
        <w:rPr>
          <w:rFonts w:ascii="Palatino Linotype" w:eastAsiaTheme="minorEastAsia" w:hAnsi="Palatino Linotype" w:cs="Arial"/>
          <w:lang w:val="es-ES_tradnl" w:eastAsia="es-ES"/>
        </w:rPr>
        <w:t>.</w:t>
      </w:r>
    </w:p>
    <w:p w14:paraId="3AD99355" w14:textId="77777777" w:rsidR="00847857" w:rsidRPr="003A4CD9" w:rsidRDefault="00847857" w:rsidP="00847857">
      <w:pPr>
        <w:spacing w:line="360" w:lineRule="auto"/>
        <w:ind w:right="49"/>
        <w:contextualSpacing/>
        <w:jc w:val="both"/>
        <w:rPr>
          <w:rFonts w:ascii="Palatino Linotype" w:eastAsiaTheme="minorEastAsia" w:hAnsi="Palatino Linotype"/>
          <w:lang w:val="es-ES_tradnl" w:eastAsia="es-ES"/>
        </w:rPr>
      </w:pPr>
    </w:p>
    <w:p w14:paraId="47F5F6C0" w14:textId="77777777" w:rsidR="00847857" w:rsidRPr="003A4CD9" w:rsidRDefault="00847857" w:rsidP="00847857">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A4CD9">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bookmarkStart w:id="20" w:name="_Toc80812777"/>
    </w:p>
    <w:p w14:paraId="4207F98B" w14:textId="77777777" w:rsidR="00847857" w:rsidRPr="003A4CD9" w:rsidRDefault="000B2BDB" w:rsidP="00847857">
      <w:pPr>
        <w:pStyle w:val="Ttulo1"/>
        <w:spacing w:before="0" w:line="360" w:lineRule="auto"/>
        <w:rPr>
          <w:rFonts w:ascii="Palatino Linotype" w:hAnsi="Palatino Linotype"/>
          <w:b/>
          <w:color w:val="auto"/>
          <w:sz w:val="24"/>
          <w:szCs w:val="24"/>
        </w:rPr>
      </w:pPr>
      <w:bookmarkStart w:id="21" w:name="_Toc83301641"/>
      <w:bookmarkStart w:id="22" w:name="_Toc94119617"/>
      <w:r w:rsidRPr="003A4CD9">
        <w:rPr>
          <w:rFonts w:ascii="Palatino Linotype" w:hAnsi="Palatino Linotype"/>
          <w:b/>
          <w:color w:val="auto"/>
          <w:sz w:val="24"/>
          <w:szCs w:val="24"/>
        </w:rPr>
        <w:lastRenderedPageBreak/>
        <w:t>I</w:t>
      </w:r>
      <w:r w:rsidR="00847857" w:rsidRPr="003A4CD9">
        <w:rPr>
          <w:rFonts w:ascii="Palatino Linotype" w:hAnsi="Palatino Linotype"/>
          <w:b/>
          <w:color w:val="auto"/>
          <w:sz w:val="24"/>
          <w:szCs w:val="24"/>
        </w:rPr>
        <w:t>. De la información solicitada</w:t>
      </w:r>
      <w:bookmarkEnd w:id="20"/>
      <w:bookmarkEnd w:id="21"/>
      <w:r w:rsidR="00847857" w:rsidRPr="003A4CD9">
        <w:rPr>
          <w:rFonts w:ascii="Palatino Linotype" w:hAnsi="Palatino Linotype"/>
          <w:b/>
          <w:color w:val="auto"/>
          <w:sz w:val="24"/>
          <w:szCs w:val="24"/>
        </w:rPr>
        <w:t xml:space="preserve"> y la respuesta del Sujeto Obligado</w:t>
      </w:r>
      <w:bookmarkEnd w:id="22"/>
    </w:p>
    <w:p w14:paraId="46FD2283" w14:textId="77777777" w:rsidR="00847857" w:rsidRPr="003A4CD9" w:rsidRDefault="00847857" w:rsidP="00847857">
      <w:pPr>
        <w:pStyle w:val="Prrafodelista"/>
        <w:numPr>
          <w:ilvl w:val="0"/>
          <w:numId w:val="1"/>
        </w:numPr>
        <w:spacing w:line="360" w:lineRule="auto"/>
        <w:ind w:left="0" w:firstLine="0"/>
        <w:jc w:val="both"/>
        <w:rPr>
          <w:rFonts w:ascii="Palatino Linotype" w:eastAsia="Calibri" w:hAnsi="Palatino Linotype" w:cs="Arial"/>
          <w:sz w:val="24"/>
        </w:rPr>
      </w:pPr>
      <w:r w:rsidRPr="003A4CD9">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7821CD55" w14:textId="77777777" w:rsidR="00847857" w:rsidRPr="003A4CD9" w:rsidRDefault="00847857" w:rsidP="00847857">
      <w:pPr>
        <w:pStyle w:val="Prrafodelista"/>
        <w:spacing w:line="360" w:lineRule="auto"/>
        <w:ind w:left="0"/>
        <w:jc w:val="both"/>
        <w:rPr>
          <w:rFonts w:ascii="Palatino Linotype" w:eastAsia="Calibri" w:hAnsi="Palatino Linotype" w:cs="Arial"/>
          <w:sz w:val="24"/>
        </w:rPr>
      </w:pPr>
    </w:p>
    <w:p w14:paraId="43CF3C9A" w14:textId="77777777" w:rsidR="0033632A" w:rsidRPr="003A4CD9" w:rsidRDefault="00847857" w:rsidP="0033632A">
      <w:pPr>
        <w:pStyle w:val="Prrafodelista"/>
        <w:numPr>
          <w:ilvl w:val="0"/>
          <w:numId w:val="1"/>
        </w:numPr>
        <w:spacing w:line="360" w:lineRule="auto"/>
        <w:ind w:left="0" w:right="48" w:firstLine="0"/>
        <w:jc w:val="both"/>
        <w:rPr>
          <w:rFonts w:ascii="Palatino Linotype" w:eastAsia="MS Mincho" w:hAnsi="Palatino Linotype" w:cs="Arial"/>
          <w:i/>
          <w:sz w:val="24"/>
          <w:lang w:val="es-ES_tradnl" w:eastAsia="es-ES"/>
        </w:rPr>
      </w:pPr>
      <w:r w:rsidRPr="003A4CD9">
        <w:rPr>
          <w:rFonts w:ascii="Palatino Linotype" w:eastAsia="Calibri" w:hAnsi="Palatino Linotype" w:cs="Arial"/>
          <w:sz w:val="24"/>
        </w:rPr>
        <w:t xml:space="preserve">Primeramente debemos recapitular que el particular </w:t>
      </w:r>
      <w:r w:rsidRPr="003A4CD9">
        <w:rPr>
          <w:rFonts w:ascii="Palatino Linotype" w:hAnsi="Palatino Linotype" w:cs="Arial"/>
          <w:color w:val="000000" w:themeColor="text1"/>
          <w:sz w:val="24"/>
        </w:rPr>
        <w:t xml:space="preserve">solicitó </w:t>
      </w:r>
      <w:bookmarkStart w:id="23" w:name="_Toc70625058"/>
      <w:bookmarkStart w:id="24" w:name="_Toc94119618"/>
      <w:r w:rsidR="0033632A" w:rsidRPr="003A4CD9">
        <w:rPr>
          <w:rFonts w:ascii="Palatino Linotype" w:hAnsi="Palatino Linotype" w:cs="Arial"/>
          <w:color w:val="000000" w:themeColor="text1"/>
          <w:sz w:val="24"/>
        </w:rPr>
        <w:t>de la temporalidad del uno de enero de dos mil veintidós, al quince de septiembre de dos mil veintitrés:</w:t>
      </w:r>
    </w:p>
    <w:p w14:paraId="0054AA34" w14:textId="77777777" w:rsidR="0033632A" w:rsidRPr="003A4CD9" w:rsidRDefault="0033632A" w:rsidP="0033632A">
      <w:pPr>
        <w:pStyle w:val="Prrafodelista"/>
        <w:spacing w:line="360" w:lineRule="auto"/>
        <w:ind w:left="0" w:right="48"/>
        <w:jc w:val="both"/>
        <w:rPr>
          <w:rFonts w:ascii="Palatino Linotype" w:eastAsia="MS Mincho" w:hAnsi="Palatino Linotype" w:cs="Arial"/>
          <w:i/>
          <w:lang w:val="es-ES_tradnl" w:eastAsia="es-ES"/>
        </w:rPr>
      </w:pPr>
    </w:p>
    <w:p w14:paraId="4B124097" w14:textId="77777777" w:rsidR="0033632A" w:rsidRPr="003A4CD9" w:rsidRDefault="0033632A" w:rsidP="0033632A">
      <w:pPr>
        <w:pStyle w:val="Prrafodelista"/>
        <w:numPr>
          <w:ilvl w:val="1"/>
          <w:numId w:val="1"/>
        </w:numPr>
        <w:spacing w:line="360" w:lineRule="auto"/>
        <w:ind w:right="48"/>
        <w:jc w:val="both"/>
        <w:rPr>
          <w:rFonts w:ascii="Palatino Linotype" w:eastAsia="MS Mincho" w:hAnsi="Palatino Linotype" w:cs="Arial"/>
          <w:lang w:val="es-ES_tradnl" w:eastAsia="es-ES"/>
        </w:rPr>
      </w:pPr>
      <w:r w:rsidRPr="003A4CD9">
        <w:rPr>
          <w:rFonts w:ascii="Palatino Linotype" w:hAnsi="Palatino Linotype" w:cs="Arial"/>
          <w:color w:val="000000" w:themeColor="text1"/>
        </w:rPr>
        <w:t>Las altas y bajas de los servidores públicos en el que se advierta el nombre, sueldo bruto, número de empleado, adscripción, jefe superior directo y forma de checar entrada y salida;</w:t>
      </w:r>
    </w:p>
    <w:p w14:paraId="1644C770" w14:textId="77777777" w:rsidR="0033632A" w:rsidRPr="003A4CD9" w:rsidRDefault="0033632A" w:rsidP="0033632A">
      <w:pPr>
        <w:pStyle w:val="Prrafodelista"/>
        <w:numPr>
          <w:ilvl w:val="1"/>
          <w:numId w:val="1"/>
        </w:numPr>
        <w:spacing w:line="360" w:lineRule="auto"/>
        <w:ind w:right="48"/>
        <w:jc w:val="both"/>
        <w:rPr>
          <w:rFonts w:ascii="Palatino Linotype" w:eastAsia="MS Mincho" w:hAnsi="Palatino Linotype" w:cs="Arial"/>
          <w:lang w:val="es-ES_tradnl" w:eastAsia="es-ES"/>
        </w:rPr>
      </w:pPr>
      <w:r w:rsidRPr="003A4CD9">
        <w:rPr>
          <w:rFonts w:ascii="Palatino Linotype" w:hAnsi="Palatino Linotype" w:cs="Arial"/>
          <w:color w:val="000000" w:themeColor="text1"/>
        </w:rPr>
        <w:t xml:space="preserve">En el caso de bajas, el monto de la liquidación. </w:t>
      </w:r>
    </w:p>
    <w:p w14:paraId="67A3C8BC" w14:textId="77777777" w:rsidR="00847857" w:rsidRPr="003A4CD9" w:rsidRDefault="00847857" w:rsidP="00847857">
      <w:pPr>
        <w:spacing w:line="360" w:lineRule="auto"/>
        <w:contextualSpacing/>
        <w:jc w:val="both"/>
        <w:rPr>
          <w:rFonts w:ascii="Palatino Linotype" w:eastAsia="MS Mincho" w:hAnsi="Palatino Linotype" w:cs="Arial"/>
          <w:lang w:eastAsia="es-ES"/>
        </w:rPr>
      </w:pPr>
    </w:p>
    <w:p w14:paraId="1158C538" w14:textId="77777777" w:rsidR="0033632A" w:rsidRPr="003A4CD9" w:rsidRDefault="0033632A" w:rsidP="0033632A">
      <w:pPr>
        <w:numPr>
          <w:ilvl w:val="0"/>
          <w:numId w:val="1"/>
        </w:numPr>
        <w:spacing w:line="360" w:lineRule="auto"/>
        <w:ind w:left="0" w:firstLine="0"/>
        <w:contextualSpacing/>
        <w:jc w:val="both"/>
        <w:rPr>
          <w:rFonts w:ascii="Palatino Linotype" w:eastAsia="MS Mincho" w:hAnsi="Palatino Linotype" w:cs="Arial"/>
          <w:lang w:eastAsia="es-ES"/>
        </w:rPr>
      </w:pPr>
      <w:r w:rsidRPr="003A4CD9">
        <w:rPr>
          <w:rFonts w:ascii="Palatino Linotype" w:eastAsia="MS Mincho" w:hAnsi="Palatino Linotype" w:cs="Arial"/>
          <w:lang w:val="es-ES_tradnl" w:eastAsia="es-ES"/>
        </w:rPr>
        <w:t xml:space="preserve">En respuesta, el Sujeto Obligado señaló que la información se encuentra en la liga electrónica </w:t>
      </w:r>
      <w:r w:rsidR="001563FE" w:rsidRPr="003A4CD9">
        <w:rPr>
          <w:rFonts w:ascii="Palatino Linotype" w:hAnsi="Palatino Linotype"/>
        </w:rPr>
        <w:t>que adjuntó</w:t>
      </w:r>
      <w:r w:rsidRPr="003A4CD9">
        <w:rPr>
          <w:rFonts w:ascii="Palatino Linotype" w:hAnsi="Palatino Linotype"/>
        </w:rPr>
        <w:t>.</w:t>
      </w:r>
      <w:r w:rsidR="001563FE" w:rsidRPr="003A4CD9">
        <w:rPr>
          <w:rFonts w:ascii="Palatino Linotype" w:hAnsi="Palatino Linotype"/>
        </w:rPr>
        <w:t xml:space="preserve"> </w:t>
      </w:r>
      <w:r w:rsidR="001E115E" w:rsidRPr="003A4CD9">
        <w:rPr>
          <w:rFonts w:ascii="Palatino Linotype" w:hAnsi="Palatino Linotype"/>
        </w:rPr>
        <w:t>Inconforme con la respuesta, el Recurrente interpuso recurso de revisión en el que señaló que el link remitido en respuesta no corresponde con lo solicitado.</w:t>
      </w:r>
    </w:p>
    <w:p w14:paraId="15929E8F" w14:textId="77777777" w:rsidR="001E115E" w:rsidRPr="003A4CD9" w:rsidRDefault="001E115E" w:rsidP="001E115E">
      <w:pPr>
        <w:spacing w:line="360" w:lineRule="auto"/>
        <w:contextualSpacing/>
        <w:jc w:val="both"/>
        <w:rPr>
          <w:rFonts w:ascii="Palatino Linotype" w:eastAsia="MS Mincho" w:hAnsi="Palatino Linotype" w:cs="Arial"/>
          <w:lang w:eastAsia="es-ES"/>
        </w:rPr>
      </w:pPr>
    </w:p>
    <w:p w14:paraId="34D983AE" w14:textId="77777777" w:rsidR="00847857" w:rsidRPr="003A4CD9" w:rsidRDefault="00847857" w:rsidP="00D64A85">
      <w:pPr>
        <w:numPr>
          <w:ilvl w:val="0"/>
          <w:numId w:val="1"/>
        </w:numPr>
        <w:spacing w:line="360" w:lineRule="auto"/>
        <w:ind w:left="0" w:firstLine="0"/>
        <w:contextualSpacing/>
        <w:jc w:val="both"/>
        <w:rPr>
          <w:rFonts w:ascii="Palatino Linotype" w:eastAsia="MS Mincho" w:hAnsi="Palatino Linotype" w:cs="Arial"/>
          <w:lang w:eastAsia="es-ES"/>
        </w:rPr>
      </w:pPr>
      <w:r w:rsidRPr="003A4CD9">
        <w:rPr>
          <w:rFonts w:ascii="Palatino Linotype" w:eastAsia="MS Mincho" w:hAnsi="Palatino Linotype" w:cs="Arial"/>
          <w:lang w:eastAsia="es-ES"/>
        </w:rPr>
        <w:t xml:space="preserve">En ese sentido, es de resaltar que el Sujeto Obligado no niega contar con la información señalada, por el contrario, se presume que dicha información la posee, </w:t>
      </w:r>
      <w:r w:rsidRPr="003A4CD9">
        <w:rPr>
          <w:rFonts w:ascii="Palatino Linotype" w:eastAsia="MS Mincho" w:hAnsi="Palatino Linotype" w:cs="Arial"/>
          <w:lang w:eastAsia="es-ES"/>
        </w:rPr>
        <w:lastRenderedPageBreak/>
        <w:t xml:space="preserve">genera o administra, pues </w:t>
      </w:r>
      <w:r w:rsidRPr="003A4CD9">
        <w:rPr>
          <w:rFonts w:ascii="Palatino Linotype" w:eastAsia="Calibri" w:hAnsi="Palatino Linotype" w:cs="Arial"/>
        </w:rPr>
        <w:t xml:space="preserve">asumió contar con ella, tan es así que hizo del conocimiento del particular, que </w:t>
      </w:r>
      <w:r w:rsidR="0033632A" w:rsidRPr="003A4CD9">
        <w:rPr>
          <w:rFonts w:ascii="Palatino Linotype" w:eastAsia="Calibri" w:hAnsi="Palatino Linotype" w:cs="Arial"/>
        </w:rPr>
        <w:t>la información estaba contenida en el link que remitió.</w:t>
      </w:r>
    </w:p>
    <w:p w14:paraId="179D78BD" w14:textId="77777777" w:rsidR="0033632A" w:rsidRPr="003A4CD9" w:rsidRDefault="0033632A" w:rsidP="0033632A">
      <w:pPr>
        <w:spacing w:line="360" w:lineRule="auto"/>
        <w:contextualSpacing/>
        <w:jc w:val="both"/>
        <w:rPr>
          <w:rFonts w:ascii="Palatino Linotype" w:eastAsia="MS Mincho" w:hAnsi="Palatino Linotype" w:cs="Arial"/>
          <w:lang w:eastAsia="es-ES"/>
        </w:rPr>
      </w:pPr>
    </w:p>
    <w:p w14:paraId="0F2DABED" w14:textId="77777777" w:rsidR="0033632A" w:rsidRPr="003A4CD9" w:rsidRDefault="0033632A" w:rsidP="0033632A">
      <w:pPr>
        <w:numPr>
          <w:ilvl w:val="0"/>
          <w:numId w:val="1"/>
        </w:numPr>
        <w:spacing w:line="360" w:lineRule="auto"/>
        <w:ind w:left="0" w:firstLine="0"/>
        <w:contextualSpacing/>
        <w:jc w:val="both"/>
        <w:rPr>
          <w:rFonts w:ascii="Palatino Linotype" w:eastAsia="MS Mincho" w:hAnsi="Palatino Linotype" w:cs="Arial"/>
          <w:lang w:eastAsia="es-ES"/>
        </w:rPr>
      </w:pPr>
      <w:r w:rsidRPr="003A4CD9">
        <w:rPr>
          <w:rFonts w:ascii="Palatino Linotype" w:hAnsi="Palatino Linotype"/>
        </w:rPr>
        <w:t xml:space="preserve">En efecto, el hecho de que </w:t>
      </w:r>
      <w:r w:rsidRPr="003A4CD9">
        <w:rPr>
          <w:rFonts w:ascii="Palatino Linotype" w:hAnsi="Palatino Linotype"/>
          <w:b/>
          <w:bCs/>
        </w:rPr>
        <w:t>EL SUJETO OBLIGADO</w:t>
      </w:r>
      <w:r w:rsidRPr="003A4CD9">
        <w:rPr>
          <w:rFonts w:ascii="Palatino Linotype" w:hAnsi="Palatino Linotype"/>
        </w:rPr>
        <w:t xml:space="preserve"> haya admitido contar con la información pública solicitada, acepta que l</w:t>
      </w:r>
      <w:bookmarkStart w:id="25" w:name="_Hlk94787977"/>
      <w:r w:rsidRPr="003A4CD9">
        <w:rPr>
          <w:rFonts w:ascii="Palatino Linotype" w:hAnsi="Palatino Linotype"/>
        </w:rPr>
        <w:t>a genera, posee y administra, en ejercicio de sus funciones</w:t>
      </w:r>
      <w:bookmarkEnd w:id="25"/>
      <w:r w:rsidRPr="003A4CD9">
        <w:rPr>
          <w:rFonts w:ascii="Palatino Linotype" w:hAnsi="Palatino Linotype"/>
        </w:rPr>
        <w:t xml:space="preserve"> de derecho público, motivo por el cual se actualiza el supuesto jurídico, previsto en el artículo 12 de la Ley de Transparencia y Acceso a la Información Pública del Estado de México y Municipios.</w:t>
      </w:r>
    </w:p>
    <w:p w14:paraId="66295E97" w14:textId="77777777" w:rsidR="0033632A" w:rsidRPr="003A4CD9" w:rsidRDefault="0033632A" w:rsidP="0033632A">
      <w:pPr>
        <w:ind w:right="902"/>
        <w:jc w:val="both"/>
        <w:rPr>
          <w:rFonts w:ascii="Palatino Linotype" w:hAnsi="Palatino Linotype"/>
        </w:rPr>
      </w:pPr>
    </w:p>
    <w:p w14:paraId="5C1EA93C" w14:textId="77777777" w:rsidR="0033632A" w:rsidRPr="003A4CD9" w:rsidRDefault="0033632A" w:rsidP="0033632A">
      <w:pPr>
        <w:pStyle w:val="Prrafodelista"/>
        <w:numPr>
          <w:ilvl w:val="0"/>
          <w:numId w:val="1"/>
        </w:numPr>
        <w:spacing w:line="360" w:lineRule="auto"/>
        <w:ind w:left="0" w:firstLine="0"/>
        <w:jc w:val="both"/>
        <w:rPr>
          <w:rFonts w:ascii="Palatino Linotype" w:hAnsi="Palatino Linotype"/>
          <w:sz w:val="24"/>
        </w:rPr>
      </w:pPr>
      <w:r w:rsidRPr="003A4CD9">
        <w:rPr>
          <w:rFonts w:ascii="Palatino Linotype" w:hAnsi="Palatino Linotype"/>
          <w:sz w:val="24"/>
        </w:rPr>
        <w:t>Así, el estudio de la naturaleza jurídica de la información pública solicitada, tiene por objeto determinar si ésta la genera, posee o administra </w:t>
      </w:r>
      <w:r w:rsidRPr="003A4CD9">
        <w:rPr>
          <w:rFonts w:ascii="Palatino Linotype" w:hAnsi="Palatino Linotype"/>
          <w:b/>
          <w:bCs/>
          <w:sz w:val="24"/>
        </w:rPr>
        <w:t>EL SUJETO OBLIGADO</w:t>
      </w:r>
      <w:r w:rsidRPr="003A4CD9">
        <w:rPr>
          <w:rFonts w:ascii="Palatino Linotype" w:hAnsi="Palatino Linotype"/>
          <w:sz w:val="24"/>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1F4F4F98" w14:textId="77777777" w:rsidR="0033632A" w:rsidRPr="003A4CD9" w:rsidRDefault="0033632A" w:rsidP="0033632A">
      <w:pPr>
        <w:spacing w:line="360" w:lineRule="auto"/>
        <w:contextualSpacing/>
        <w:jc w:val="both"/>
        <w:rPr>
          <w:rFonts w:ascii="Palatino Linotype" w:eastAsia="MS Mincho" w:hAnsi="Palatino Linotype" w:cs="Arial"/>
          <w:lang w:eastAsia="es-ES"/>
        </w:rPr>
      </w:pPr>
    </w:p>
    <w:p w14:paraId="40AD4A2B" w14:textId="77777777" w:rsidR="0033632A" w:rsidRPr="003A4CD9" w:rsidRDefault="0033632A" w:rsidP="0033632A">
      <w:pPr>
        <w:numPr>
          <w:ilvl w:val="0"/>
          <w:numId w:val="1"/>
        </w:numPr>
        <w:spacing w:line="360" w:lineRule="auto"/>
        <w:ind w:left="0" w:right="49" w:firstLine="0"/>
        <w:contextualSpacing/>
        <w:jc w:val="both"/>
        <w:rPr>
          <w:rFonts w:ascii="Palatino Linotype" w:eastAsiaTheme="minorEastAsia" w:hAnsi="Palatino Linotype"/>
          <w:lang w:eastAsia="es-ES"/>
        </w:rPr>
      </w:pPr>
      <w:r w:rsidRPr="003A4CD9">
        <w:rPr>
          <w:rFonts w:ascii="Palatino Linotype" w:eastAsia="MS Mincho" w:hAnsi="Palatino Linotype"/>
          <w:lang w:val="es-ES_tradnl" w:eastAsia="es-ES"/>
        </w:rPr>
        <w:t xml:space="preserve">Ahora bien,  la Ley en la materia en términos generales, establece que como uno de los objetivos con el que cuenta es el de garantizar a toda persona el derecho de acceso a la información pública, mediante los procedimientos establecidos de forma </w:t>
      </w:r>
      <w:r w:rsidRPr="003A4CD9">
        <w:rPr>
          <w:rFonts w:ascii="Palatino Linotype" w:eastAsia="MS Mincho" w:hAnsi="Palatino Linotype"/>
          <w:b/>
          <w:lang w:val="es-ES_tradnl" w:eastAsia="es-ES"/>
        </w:rPr>
        <w:t>sencilla</w:t>
      </w:r>
      <w:r w:rsidRPr="003A4CD9">
        <w:rPr>
          <w:rFonts w:ascii="Palatino Linotype" w:eastAsia="MS Mincho" w:hAnsi="Palatino Linotype"/>
          <w:lang w:val="es-ES_tradnl" w:eastAsia="es-ES"/>
        </w:rPr>
        <w:t xml:space="preserve">, expeditos, </w:t>
      </w:r>
      <w:r w:rsidRPr="003A4CD9">
        <w:rPr>
          <w:rFonts w:ascii="Palatino Linotype" w:eastAsia="MS Mincho" w:hAnsi="Palatino Linotype"/>
          <w:b/>
          <w:lang w:val="es-ES_tradnl" w:eastAsia="es-ES"/>
        </w:rPr>
        <w:t>oportunos</w:t>
      </w:r>
      <w:r w:rsidRPr="003A4CD9">
        <w:rPr>
          <w:rFonts w:ascii="Palatino Linotype" w:eastAsia="MS Mincho" w:hAnsi="Palatino Linotype"/>
          <w:lang w:val="es-ES_tradnl" w:eastAsia="es-ES"/>
        </w:rPr>
        <w:t xml:space="preserve"> y gratuitos, y con ello contribuir a la mejora de procedimientos y mecanismos que permitan trasparentar la gestión pública y mejora la toma decisiones, a través de la difusión de la información que obra en poder de los sujeto obligados.</w:t>
      </w:r>
    </w:p>
    <w:p w14:paraId="53032631" w14:textId="77777777" w:rsidR="0033632A" w:rsidRPr="003A4CD9" w:rsidRDefault="0033632A" w:rsidP="0033632A">
      <w:pPr>
        <w:spacing w:line="360" w:lineRule="auto"/>
        <w:ind w:right="49"/>
        <w:contextualSpacing/>
        <w:jc w:val="both"/>
        <w:rPr>
          <w:rFonts w:ascii="Palatino Linotype" w:eastAsiaTheme="minorEastAsia" w:hAnsi="Palatino Linotype"/>
          <w:lang w:eastAsia="es-ES"/>
        </w:rPr>
      </w:pPr>
    </w:p>
    <w:p w14:paraId="3ADD0616" w14:textId="77777777" w:rsidR="0033632A" w:rsidRPr="003A4CD9" w:rsidRDefault="0033632A" w:rsidP="0033632A">
      <w:pPr>
        <w:pStyle w:val="Prrafodelista"/>
        <w:numPr>
          <w:ilvl w:val="0"/>
          <w:numId w:val="1"/>
        </w:numPr>
        <w:spacing w:line="360" w:lineRule="auto"/>
        <w:ind w:left="0" w:firstLine="0"/>
        <w:jc w:val="both"/>
        <w:rPr>
          <w:rFonts w:ascii="Palatino Linotype" w:eastAsia="MS Mincho" w:hAnsi="Palatino Linotype"/>
          <w:sz w:val="24"/>
        </w:rPr>
      </w:pPr>
      <w:r w:rsidRPr="003A4CD9">
        <w:rPr>
          <w:rFonts w:ascii="Palatino Linotype" w:hAnsi="Palatino Linotype"/>
          <w:sz w:val="24"/>
          <w:lang w:val="es-ES"/>
        </w:rPr>
        <w:lastRenderedPageBreak/>
        <w:t>El formato prediseñado para que los particulares formulen su solicitud de acceso a la información contiene opciones para seleccionar la modalidad de entrega de la información. En el presente asunto en particular, se solicitó la información a través del SAIMEX. En consecuencia, lo idóneo es que, los Sujetos Obligados proporcionen la información por el medio solicitado; no obstante, la Ley de Transparencia y Acceso</w:t>
      </w:r>
      <w:r w:rsidRPr="003A4CD9">
        <w:rPr>
          <w:rFonts w:ascii="Palatino Linotype" w:hAnsi="Palatino Linotype"/>
          <w:b/>
          <w:sz w:val="24"/>
          <w:lang w:val="es-ES"/>
        </w:rPr>
        <w:t xml:space="preserve"> </w:t>
      </w:r>
      <w:r w:rsidRPr="003A4CD9">
        <w:rPr>
          <w:rFonts w:ascii="Palatino Linotype" w:hAnsi="Palatino Linotype"/>
          <w:sz w:val="24"/>
          <w:lang w:val="es-ES"/>
        </w:rPr>
        <w:t>a la Información Pública del Estado de México y Municipios establece dos puntos importantes que impactan sobre la modalidad de entrega de la información.</w:t>
      </w:r>
    </w:p>
    <w:p w14:paraId="4C3F3D21" w14:textId="77777777" w:rsidR="0033632A" w:rsidRPr="003A4CD9" w:rsidRDefault="0033632A" w:rsidP="0033632A">
      <w:pPr>
        <w:pStyle w:val="Prrafodelista"/>
        <w:tabs>
          <w:tab w:val="left" w:pos="851"/>
        </w:tabs>
        <w:spacing w:before="240" w:after="240" w:line="360" w:lineRule="auto"/>
        <w:ind w:left="0" w:right="49"/>
        <w:jc w:val="both"/>
        <w:rPr>
          <w:rFonts w:ascii="Palatino Linotype" w:hAnsi="Palatino Linotype"/>
          <w:sz w:val="24"/>
          <w:lang w:val="es-ES"/>
        </w:rPr>
      </w:pPr>
    </w:p>
    <w:p w14:paraId="3118EB3D" w14:textId="77777777" w:rsidR="0033632A" w:rsidRPr="003A4CD9" w:rsidRDefault="0033632A" w:rsidP="0033632A">
      <w:pPr>
        <w:pStyle w:val="Prrafodelista"/>
        <w:numPr>
          <w:ilvl w:val="0"/>
          <w:numId w:val="1"/>
        </w:numPr>
        <w:tabs>
          <w:tab w:val="left" w:pos="851"/>
        </w:tabs>
        <w:spacing w:before="240" w:after="240" w:line="360" w:lineRule="auto"/>
        <w:ind w:left="0" w:right="49" w:firstLine="0"/>
        <w:jc w:val="both"/>
        <w:rPr>
          <w:rFonts w:ascii="Palatino Linotype" w:hAnsi="Palatino Linotype"/>
          <w:sz w:val="24"/>
          <w:lang w:val="es-ES"/>
        </w:rPr>
      </w:pPr>
      <w:r w:rsidRPr="003A4CD9">
        <w:rPr>
          <w:rFonts w:ascii="Palatino Linotype" w:hAnsi="Palatino Linotype"/>
          <w:sz w:val="24"/>
          <w:lang w:val="es-ES"/>
        </w:rPr>
        <w:t xml:space="preserve">El primer punto a analizar es que la ley en materia contempla </w:t>
      </w:r>
      <w:r w:rsidRPr="003A4CD9">
        <w:rPr>
          <w:rFonts w:ascii="Palatino Linotype" w:hAnsi="Palatino Linotype"/>
          <w:b/>
          <w:sz w:val="24"/>
          <w:lang w:val="es-ES"/>
        </w:rPr>
        <w:t>información pública de oficio</w:t>
      </w:r>
      <w:r w:rsidRPr="003A4CD9">
        <w:rPr>
          <w:rFonts w:ascii="Palatino Linotype" w:hAnsi="Palatino Linotype"/>
          <w:sz w:val="24"/>
          <w:lang w:val="es-ES"/>
        </w:rPr>
        <w:t xml:space="preserve"> que los Sujetos Obligados deben poner a disposición del público de manera permanente y actualizada de forma sencilla, precisa y entendible, en los respectivos medios electrónicos la información pública que generen, administren o posean.</w:t>
      </w:r>
    </w:p>
    <w:p w14:paraId="24054B3E" w14:textId="77777777" w:rsidR="0033632A" w:rsidRPr="003A4CD9" w:rsidRDefault="0033632A" w:rsidP="0033632A">
      <w:pPr>
        <w:pStyle w:val="Prrafodelista"/>
        <w:tabs>
          <w:tab w:val="left" w:pos="851"/>
        </w:tabs>
        <w:spacing w:before="240" w:after="240" w:line="360" w:lineRule="auto"/>
        <w:ind w:left="0" w:right="49"/>
        <w:jc w:val="both"/>
        <w:rPr>
          <w:rFonts w:ascii="Palatino Linotype" w:hAnsi="Palatino Linotype"/>
          <w:sz w:val="24"/>
          <w:lang w:val="es-ES"/>
        </w:rPr>
      </w:pPr>
    </w:p>
    <w:p w14:paraId="7A245952" w14:textId="77777777" w:rsidR="0033632A" w:rsidRPr="003A4CD9" w:rsidRDefault="0033632A" w:rsidP="0033632A">
      <w:pPr>
        <w:pStyle w:val="Prrafodelista"/>
        <w:numPr>
          <w:ilvl w:val="0"/>
          <w:numId w:val="1"/>
        </w:numPr>
        <w:tabs>
          <w:tab w:val="left" w:pos="851"/>
        </w:tabs>
        <w:spacing w:before="240" w:after="240" w:line="360" w:lineRule="auto"/>
        <w:ind w:left="0" w:right="49" w:firstLine="0"/>
        <w:jc w:val="both"/>
        <w:rPr>
          <w:rFonts w:ascii="Palatino Linotype" w:hAnsi="Palatino Linotype"/>
          <w:sz w:val="24"/>
          <w:lang w:val="es-ES"/>
        </w:rPr>
      </w:pPr>
      <w:r w:rsidRPr="003A4CD9">
        <w:rPr>
          <w:rFonts w:ascii="Palatino Linotype" w:hAnsi="Palatino Linotype"/>
          <w:sz w:val="24"/>
          <w:lang w:val="es-ES"/>
        </w:rPr>
        <w:t>El segundo punto a analizar y que guarda estricta relación con el punto anterior, se encuentra en el artículo 161 de la citada Ley de Transparencia Local:</w:t>
      </w:r>
    </w:p>
    <w:p w14:paraId="5F8389C9" w14:textId="77777777" w:rsidR="0033632A" w:rsidRPr="003A4CD9" w:rsidRDefault="0033632A" w:rsidP="0033632A">
      <w:pPr>
        <w:pStyle w:val="Prrafodelista"/>
        <w:rPr>
          <w:rFonts w:ascii="Palatino Linotype" w:hAnsi="Palatino Linotype"/>
          <w:lang w:val="es-ES"/>
        </w:rPr>
      </w:pPr>
    </w:p>
    <w:p w14:paraId="5449CC8B" w14:textId="77777777" w:rsidR="0033632A" w:rsidRPr="003A4CD9" w:rsidRDefault="0033632A" w:rsidP="0033632A">
      <w:pPr>
        <w:autoSpaceDE w:val="0"/>
        <w:autoSpaceDN w:val="0"/>
        <w:adjustRightInd w:val="0"/>
        <w:spacing w:line="360" w:lineRule="auto"/>
        <w:ind w:left="851" w:right="822"/>
        <w:jc w:val="both"/>
        <w:rPr>
          <w:rFonts w:ascii="Palatino Linotype" w:hAnsi="Palatino Linotype"/>
          <w:i/>
          <w:sz w:val="22"/>
          <w:lang w:val="es-ES"/>
        </w:rPr>
      </w:pPr>
      <w:r w:rsidRPr="003A4CD9">
        <w:rPr>
          <w:rFonts w:ascii="Palatino Linotype" w:hAnsi="Palatino Linotype" w:cs="Bookman Old Style,Bold"/>
          <w:b/>
          <w:bCs/>
          <w:i/>
          <w:sz w:val="22"/>
        </w:rPr>
        <w:t xml:space="preserve">Artículo 161. </w:t>
      </w:r>
      <w:r w:rsidRPr="003A4CD9">
        <w:rPr>
          <w:rFonts w:ascii="Palatino Linotype" w:hAnsi="Palatino Linotype" w:cs="Bookman Old Style"/>
          <w:b/>
          <w:i/>
          <w:sz w:val="22"/>
        </w:rPr>
        <w:t>Cuando la información requerida por el solicitante ya esté disponible</w:t>
      </w:r>
      <w:r w:rsidRPr="003A4CD9">
        <w:rPr>
          <w:rFonts w:ascii="Palatino Linotype" w:hAnsi="Palatino Linotype" w:cs="Bookman Old Style"/>
          <w:i/>
          <w:sz w:val="22"/>
        </w:rPr>
        <w:t xml:space="preserve"> al público en medios impresos, tales como libros, compendios, trípticos, registros públicos, </w:t>
      </w:r>
      <w:r w:rsidRPr="003A4CD9">
        <w:rPr>
          <w:rFonts w:ascii="Palatino Linotype" w:hAnsi="Palatino Linotype" w:cs="Bookman Old Style"/>
          <w:b/>
          <w:i/>
          <w:sz w:val="22"/>
        </w:rPr>
        <w:t xml:space="preserve">en formatos electrónicos disponibles en Internet </w:t>
      </w:r>
      <w:r w:rsidRPr="003A4CD9">
        <w:rPr>
          <w:rFonts w:ascii="Palatino Linotype" w:hAnsi="Palatino Linotype" w:cs="Bookman Old Style"/>
          <w:i/>
          <w:sz w:val="22"/>
        </w:rPr>
        <w:t xml:space="preserve">o en cualquier otro medio, se le hará saber por el medio requerido por el solicitante la fuente, el lugar y la forma en que puede consultar, reproducir o adquirir dicha información </w:t>
      </w:r>
      <w:r w:rsidRPr="003A4CD9">
        <w:rPr>
          <w:rFonts w:ascii="Palatino Linotype" w:hAnsi="Palatino Linotype" w:cs="Bookman Old Style"/>
          <w:b/>
          <w:i/>
          <w:sz w:val="22"/>
        </w:rPr>
        <w:t>en un plazo no mayor a cinco días hábiles</w:t>
      </w:r>
      <w:r w:rsidRPr="003A4CD9">
        <w:rPr>
          <w:rFonts w:ascii="Palatino Linotype" w:hAnsi="Palatino Linotype" w:cs="Bookman Old Style"/>
          <w:i/>
          <w:sz w:val="22"/>
        </w:rPr>
        <w:t xml:space="preserve">. </w:t>
      </w:r>
      <w:r w:rsidRPr="003A4CD9">
        <w:rPr>
          <w:rFonts w:ascii="Palatino Linotype" w:hAnsi="Palatino Linotype" w:cs="Bookman Old Style"/>
          <w:b/>
          <w:i/>
          <w:sz w:val="22"/>
        </w:rPr>
        <w:t>La fuente deberá ser precisa y concreta y no debe implicar que el solicitante realice una búsqueda en toda la información que se encuentre disponible</w:t>
      </w:r>
      <w:r w:rsidRPr="003A4CD9">
        <w:rPr>
          <w:rFonts w:ascii="Palatino Linotype" w:hAnsi="Palatino Linotype" w:cs="Bookman Old Style"/>
          <w:i/>
          <w:sz w:val="22"/>
        </w:rPr>
        <w:t>.</w:t>
      </w:r>
    </w:p>
    <w:p w14:paraId="2E38D93F" w14:textId="77777777" w:rsidR="0033632A" w:rsidRPr="003A4CD9" w:rsidRDefault="0033632A" w:rsidP="0033632A">
      <w:pPr>
        <w:pStyle w:val="Prrafodelista"/>
        <w:numPr>
          <w:ilvl w:val="0"/>
          <w:numId w:val="1"/>
        </w:numPr>
        <w:tabs>
          <w:tab w:val="left" w:pos="851"/>
        </w:tabs>
        <w:spacing w:before="240" w:after="240" w:line="360" w:lineRule="auto"/>
        <w:ind w:left="0" w:right="49" w:firstLine="0"/>
        <w:jc w:val="both"/>
        <w:rPr>
          <w:rFonts w:ascii="Palatino Linotype" w:hAnsi="Palatino Linotype"/>
          <w:i/>
          <w:sz w:val="24"/>
          <w:lang w:val="es-ES"/>
        </w:rPr>
      </w:pPr>
      <w:r w:rsidRPr="003A4CD9">
        <w:rPr>
          <w:rFonts w:ascii="Palatino Linotype" w:hAnsi="Palatino Linotype"/>
          <w:sz w:val="24"/>
          <w:lang w:val="es-ES"/>
        </w:rPr>
        <w:lastRenderedPageBreak/>
        <w:t>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obra la información solicitada. Esta dirección electrónica debe ser precisa, de tal modo que no implique realizar una búsqueda en toda la información que ahí se encuentre. Además, debe ir acompañada del procedimiento a seguir, en caso de que la información se encuentre en distintos puntos del sitio electrónico referido.</w:t>
      </w:r>
    </w:p>
    <w:p w14:paraId="55F31D2D" w14:textId="77777777" w:rsidR="0033632A" w:rsidRPr="003A4CD9" w:rsidRDefault="0033632A" w:rsidP="0033632A">
      <w:pPr>
        <w:pStyle w:val="Prrafodelista"/>
        <w:tabs>
          <w:tab w:val="left" w:pos="851"/>
        </w:tabs>
        <w:spacing w:before="240" w:after="240" w:line="360" w:lineRule="auto"/>
        <w:ind w:left="0" w:right="49"/>
        <w:jc w:val="both"/>
        <w:rPr>
          <w:rFonts w:ascii="Palatino Linotype" w:hAnsi="Palatino Linotype"/>
          <w:i/>
          <w:sz w:val="24"/>
          <w:lang w:val="es-ES"/>
        </w:rPr>
      </w:pPr>
    </w:p>
    <w:p w14:paraId="6AB338A3" w14:textId="77777777" w:rsidR="0033632A" w:rsidRPr="003A4CD9" w:rsidRDefault="0033632A" w:rsidP="0033632A">
      <w:pPr>
        <w:pStyle w:val="Prrafodelista"/>
        <w:numPr>
          <w:ilvl w:val="0"/>
          <w:numId w:val="1"/>
        </w:numPr>
        <w:tabs>
          <w:tab w:val="left" w:pos="851"/>
        </w:tabs>
        <w:spacing w:before="240" w:after="240" w:line="360" w:lineRule="auto"/>
        <w:ind w:left="0" w:right="49" w:firstLine="0"/>
        <w:jc w:val="both"/>
        <w:rPr>
          <w:rFonts w:ascii="Palatino Linotype" w:hAnsi="Palatino Linotype"/>
          <w:i/>
          <w:sz w:val="24"/>
          <w:lang w:val="es-ES"/>
        </w:rPr>
      </w:pPr>
      <w:r w:rsidRPr="003A4CD9">
        <w:rPr>
          <w:rFonts w:ascii="Palatino Linotype" w:hAnsi="Palatino Linotype"/>
          <w:b/>
          <w:sz w:val="24"/>
          <w:lang w:val="es-ES"/>
        </w:rPr>
        <w:t>La orientación</w:t>
      </w:r>
      <w:r w:rsidRPr="003A4CD9">
        <w:rPr>
          <w:rFonts w:ascii="Palatino Linotype" w:hAnsi="Palatino Linotype"/>
          <w:sz w:val="24"/>
          <w:lang w:val="es-ES"/>
        </w:rPr>
        <w:t xml:space="preserve"> que realicen los Sujetos Obligados a los sitios electrónicos para la consulta de la información </w:t>
      </w:r>
      <w:r w:rsidRPr="003A4CD9">
        <w:rPr>
          <w:rFonts w:ascii="Palatino Linotype" w:hAnsi="Palatino Linotype"/>
          <w:b/>
          <w:sz w:val="24"/>
          <w:lang w:val="es-ES"/>
        </w:rPr>
        <w:t>debe cumplir con las características de tiempo y forma.</w:t>
      </w:r>
    </w:p>
    <w:p w14:paraId="7890B7A1" w14:textId="77777777" w:rsidR="0033632A" w:rsidRPr="003A4CD9" w:rsidRDefault="0033632A" w:rsidP="0033632A">
      <w:pPr>
        <w:pStyle w:val="Prrafodelista"/>
        <w:ind w:left="0"/>
        <w:rPr>
          <w:rFonts w:ascii="Palatino Linotype" w:hAnsi="Palatino Linotype"/>
          <w:sz w:val="24"/>
          <w:lang w:val="es-ES"/>
        </w:rPr>
      </w:pPr>
    </w:p>
    <w:p w14:paraId="62E18356" w14:textId="77777777" w:rsidR="0033632A" w:rsidRPr="003A4CD9" w:rsidRDefault="0033632A" w:rsidP="0033632A">
      <w:pPr>
        <w:pStyle w:val="Prrafodelista"/>
        <w:numPr>
          <w:ilvl w:val="0"/>
          <w:numId w:val="1"/>
        </w:numPr>
        <w:tabs>
          <w:tab w:val="left" w:pos="851"/>
        </w:tabs>
        <w:spacing w:before="240" w:after="240" w:line="360" w:lineRule="auto"/>
        <w:ind w:left="0" w:right="49" w:firstLine="0"/>
        <w:jc w:val="both"/>
        <w:rPr>
          <w:rFonts w:ascii="Palatino Linotype" w:hAnsi="Palatino Linotype"/>
          <w:i/>
          <w:sz w:val="24"/>
          <w:lang w:val="es-ES"/>
        </w:rPr>
      </w:pPr>
      <w:r w:rsidRPr="003A4CD9">
        <w:rPr>
          <w:rFonts w:ascii="Palatino Linotype" w:hAnsi="Palatino Linotype"/>
          <w:sz w:val="24"/>
          <w:lang w:val="es-ES"/>
        </w:rPr>
        <w:t xml:space="preserve">Para que la orientación se encuentre en tiempo, debe realizarse en un plazo no mayor a cinco días hábiles. En este caso, el Recurrente presentó su solicitud en fecha </w:t>
      </w:r>
      <w:r w:rsidR="001563FE" w:rsidRPr="003A4CD9">
        <w:rPr>
          <w:rFonts w:ascii="Palatino Linotype" w:hAnsi="Palatino Linotype"/>
          <w:sz w:val="24"/>
          <w:lang w:val="es-ES"/>
        </w:rPr>
        <w:t>veintiuno (21) de septiembre de dos mil veintitrés</w:t>
      </w:r>
      <w:r w:rsidRPr="003A4CD9">
        <w:rPr>
          <w:rFonts w:ascii="Palatino Linotype" w:hAnsi="Palatino Linotype"/>
          <w:sz w:val="24"/>
          <w:lang w:val="es-ES"/>
        </w:rPr>
        <w:t xml:space="preserve">, por lo que, el plazo de cinco días para señalar los sitios electrónicos en donde obra la información transcurrió del </w:t>
      </w:r>
      <w:r w:rsidR="001563FE" w:rsidRPr="003A4CD9">
        <w:rPr>
          <w:rFonts w:ascii="Palatino Linotype" w:hAnsi="Palatino Linotype"/>
          <w:sz w:val="24"/>
          <w:lang w:val="es-ES"/>
        </w:rPr>
        <w:t>veintidós (22) al veintiocho (28) de septiembre de dos mil veintitrés</w:t>
      </w:r>
      <w:r w:rsidRPr="003A4CD9">
        <w:rPr>
          <w:rFonts w:ascii="Palatino Linotype" w:hAnsi="Palatino Linotype"/>
          <w:sz w:val="24"/>
          <w:lang w:val="es-ES"/>
        </w:rPr>
        <w:t xml:space="preserve">; el Sujeto Obligado dio respuesta el </w:t>
      </w:r>
      <w:r w:rsidR="001563FE" w:rsidRPr="003A4CD9">
        <w:rPr>
          <w:rFonts w:ascii="Palatino Linotype" w:hAnsi="Palatino Linotype"/>
          <w:sz w:val="24"/>
          <w:lang w:val="es-ES"/>
        </w:rPr>
        <w:t>doce (12) de octubre de dos mil veintitrés</w:t>
      </w:r>
      <w:r w:rsidRPr="003A4CD9">
        <w:rPr>
          <w:rFonts w:ascii="Palatino Linotype" w:hAnsi="Palatino Linotype"/>
          <w:sz w:val="24"/>
          <w:lang w:val="es-ES"/>
        </w:rPr>
        <w:t xml:space="preserve">, por lo que evidentemente se encuentra fuera del plazo que señala la normatividad en materia, lo que trae como consecuencia que </w:t>
      </w:r>
      <w:r w:rsidRPr="003A4CD9">
        <w:rPr>
          <w:rFonts w:ascii="Palatino Linotype" w:hAnsi="Palatino Linotype"/>
          <w:b/>
          <w:sz w:val="24"/>
          <w:lang w:val="es-ES"/>
        </w:rPr>
        <w:t>la orientación no se encuentre en tiempo</w:t>
      </w:r>
      <w:r w:rsidRPr="003A4CD9">
        <w:rPr>
          <w:rFonts w:ascii="Palatino Linotype" w:hAnsi="Palatino Linotype"/>
          <w:sz w:val="24"/>
          <w:lang w:val="es-ES"/>
        </w:rPr>
        <w:t>.</w:t>
      </w:r>
    </w:p>
    <w:p w14:paraId="00787128" w14:textId="77777777" w:rsidR="001E115E" w:rsidRPr="003A4CD9" w:rsidRDefault="001E115E" w:rsidP="001E115E">
      <w:pPr>
        <w:pStyle w:val="Prrafodelista"/>
        <w:tabs>
          <w:tab w:val="left" w:pos="851"/>
        </w:tabs>
        <w:spacing w:before="240" w:after="240" w:line="360" w:lineRule="auto"/>
        <w:ind w:left="0" w:right="49"/>
        <w:jc w:val="both"/>
        <w:rPr>
          <w:rFonts w:ascii="Palatino Linotype" w:hAnsi="Palatino Linotype"/>
          <w:i/>
          <w:sz w:val="24"/>
          <w:lang w:val="es-ES"/>
        </w:rPr>
      </w:pPr>
    </w:p>
    <w:p w14:paraId="2799C920" w14:textId="77777777" w:rsidR="0033632A" w:rsidRPr="003A4CD9" w:rsidRDefault="0033632A" w:rsidP="0033632A">
      <w:pPr>
        <w:pStyle w:val="Prrafodelista"/>
        <w:numPr>
          <w:ilvl w:val="0"/>
          <w:numId w:val="1"/>
        </w:numPr>
        <w:tabs>
          <w:tab w:val="left" w:pos="851"/>
        </w:tabs>
        <w:spacing w:before="240" w:after="240" w:line="360" w:lineRule="auto"/>
        <w:ind w:left="0" w:right="49" w:firstLine="0"/>
        <w:jc w:val="both"/>
        <w:rPr>
          <w:rFonts w:ascii="Palatino Linotype" w:hAnsi="Palatino Linotype"/>
          <w:i/>
          <w:sz w:val="24"/>
          <w:lang w:val="es-ES"/>
        </w:rPr>
      </w:pPr>
      <w:r w:rsidRPr="003A4CD9">
        <w:rPr>
          <w:rFonts w:ascii="Palatino Linotype" w:hAnsi="Palatino Linotype"/>
          <w:sz w:val="24"/>
          <w:lang w:val="es-ES"/>
        </w:rPr>
        <w:t>Ahora bien, la normatividad en materia establece que las direcciones electrónicas deben ser precisas, de tal modo que no implique que el Recurrente deba de realizar una búsqueda dentro de toda la información disponible.</w:t>
      </w:r>
    </w:p>
    <w:p w14:paraId="51C58FF1" w14:textId="77777777" w:rsidR="0033632A" w:rsidRPr="003A4CD9" w:rsidRDefault="0033632A" w:rsidP="0033632A">
      <w:pPr>
        <w:pStyle w:val="Prrafodelista"/>
        <w:numPr>
          <w:ilvl w:val="0"/>
          <w:numId w:val="1"/>
        </w:numPr>
        <w:tabs>
          <w:tab w:val="left" w:pos="851"/>
        </w:tabs>
        <w:spacing w:before="240" w:after="240" w:line="360" w:lineRule="auto"/>
        <w:ind w:left="0" w:right="49" w:firstLine="0"/>
        <w:jc w:val="both"/>
        <w:rPr>
          <w:rFonts w:ascii="Palatino Linotype" w:hAnsi="Palatino Linotype"/>
          <w:sz w:val="24"/>
          <w:lang w:val="es-ES"/>
        </w:rPr>
      </w:pPr>
      <w:r w:rsidRPr="003A4CD9">
        <w:rPr>
          <w:rFonts w:ascii="Palatino Linotype" w:hAnsi="Palatino Linotype"/>
          <w:sz w:val="24"/>
          <w:lang w:val="es-ES"/>
        </w:rPr>
        <w:lastRenderedPageBreak/>
        <w:t>El Sujeto Obligado señaló que la información solicitada se enco</w:t>
      </w:r>
      <w:r w:rsidR="001E115E" w:rsidRPr="003A4CD9">
        <w:rPr>
          <w:rFonts w:ascii="Palatino Linotype" w:hAnsi="Palatino Linotype"/>
          <w:sz w:val="24"/>
          <w:lang w:val="es-ES"/>
        </w:rPr>
        <w:t>ntraba en la siguiente liga ele</w:t>
      </w:r>
      <w:r w:rsidRPr="003A4CD9">
        <w:rPr>
          <w:rFonts w:ascii="Palatino Linotype" w:hAnsi="Palatino Linotype"/>
          <w:sz w:val="24"/>
          <w:lang w:val="es-ES"/>
        </w:rPr>
        <w:t>ctrónica:</w:t>
      </w:r>
    </w:p>
    <w:p w14:paraId="232FE230" w14:textId="77777777" w:rsidR="0033632A" w:rsidRPr="003A4CD9" w:rsidRDefault="008916DA" w:rsidP="001E115E">
      <w:pPr>
        <w:pStyle w:val="Prrafodelista"/>
        <w:numPr>
          <w:ilvl w:val="0"/>
          <w:numId w:val="23"/>
        </w:numPr>
        <w:rPr>
          <w:rFonts w:ascii="Palatino Linotype" w:hAnsi="Palatino Linotype"/>
          <w:sz w:val="24"/>
          <w:lang w:val="es-ES"/>
        </w:rPr>
      </w:pPr>
      <w:hyperlink r:id="rId8" w:history="1">
        <w:r w:rsidR="001E115E" w:rsidRPr="003A4CD9">
          <w:rPr>
            <w:rStyle w:val="Hipervnculo"/>
            <w:rFonts w:ascii="Palatino Linotype" w:hAnsi="Palatino Linotype"/>
            <w:i/>
            <w:sz w:val="24"/>
          </w:rPr>
          <w:t>https://ipomex.org.mx/ipo3/lgt/indice/LERMA/art_92_viii.web</w:t>
        </w:r>
      </w:hyperlink>
      <w:r w:rsidR="001E115E" w:rsidRPr="003A4CD9">
        <w:rPr>
          <w:rFonts w:ascii="Palatino Linotype" w:hAnsi="Palatino Linotype"/>
          <w:i/>
          <w:sz w:val="24"/>
        </w:rPr>
        <w:t xml:space="preserve"> </w:t>
      </w:r>
    </w:p>
    <w:p w14:paraId="7F050E1F" w14:textId="77777777" w:rsidR="0033632A" w:rsidRPr="003A4CD9" w:rsidRDefault="0033632A" w:rsidP="001E115E">
      <w:pPr>
        <w:spacing w:line="360" w:lineRule="auto"/>
        <w:contextualSpacing/>
        <w:jc w:val="both"/>
        <w:rPr>
          <w:rFonts w:ascii="Palatino Linotype" w:eastAsia="MS Mincho" w:hAnsi="Palatino Linotype" w:cs="Arial"/>
          <w:lang w:eastAsia="es-ES"/>
        </w:rPr>
      </w:pPr>
    </w:p>
    <w:p w14:paraId="7FFBAE6C" w14:textId="77777777" w:rsidR="0033632A" w:rsidRPr="003A4CD9" w:rsidRDefault="001E115E" w:rsidP="00D64A85">
      <w:pPr>
        <w:numPr>
          <w:ilvl w:val="0"/>
          <w:numId w:val="1"/>
        </w:numPr>
        <w:spacing w:line="360" w:lineRule="auto"/>
        <w:ind w:left="0" w:firstLine="0"/>
        <w:contextualSpacing/>
        <w:jc w:val="both"/>
        <w:rPr>
          <w:rFonts w:ascii="Palatino Linotype" w:eastAsia="MS Mincho" w:hAnsi="Palatino Linotype" w:cs="Arial"/>
          <w:lang w:eastAsia="es-ES"/>
        </w:rPr>
      </w:pPr>
      <w:r w:rsidRPr="003A4CD9">
        <w:rPr>
          <w:rFonts w:ascii="Palatino Linotype" w:eastAsia="MS Mincho" w:hAnsi="Palatino Linotype" w:cs="Arial"/>
          <w:lang w:eastAsia="es-ES"/>
        </w:rPr>
        <w:t xml:space="preserve">De la revisión a la liga, se advierte que esta remite a la fracción VIII A Remuneraciones de la Página de Información Pública de Oficio Mexiquense del Sujeto Obligado, misma que no colma con la solicitud de información del particular. </w:t>
      </w:r>
    </w:p>
    <w:p w14:paraId="755F6C7A" w14:textId="77777777" w:rsidR="0033632A" w:rsidRPr="003A4CD9" w:rsidRDefault="0033632A" w:rsidP="001E115E">
      <w:pPr>
        <w:spacing w:line="360" w:lineRule="auto"/>
        <w:contextualSpacing/>
        <w:jc w:val="both"/>
        <w:rPr>
          <w:rFonts w:ascii="Palatino Linotype" w:eastAsia="MS Mincho" w:hAnsi="Palatino Linotype" w:cs="Arial"/>
          <w:lang w:eastAsia="es-ES"/>
        </w:rPr>
      </w:pPr>
    </w:p>
    <w:p w14:paraId="68D17F47" w14:textId="77777777" w:rsidR="006E268C" w:rsidRPr="003A4CD9" w:rsidRDefault="001E115E" w:rsidP="006E268C">
      <w:pPr>
        <w:numPr>
          <w:ilvl w:val="0"/>
          <w:numId w:val="1"/>
        </w:numPr>
        <w:spacing w:line="360" w:lineRule="auto"/>
        <w:ind w:left="0" w:firstLine="0"/>
        <w:contextualSpacing/>
        <w:jc w:val="both"/>
        <w:rPr>
          <w:rFonts w:ascii="Palatino Linotype" w:eastAsia="MS Mincho" w:hAnsi="Palatino Linotype" w:cs="Arial"/>
          <w:lang w:eastAsia="es-ES"/>
        </w:rPr>
      </w:pPr>
      <w:r w:rsidRPr="003A4CD9">
        <w:rPr>
          <w:rFonts w:ascii="Palatino Linotype" w:eastAsia="MS Mincho" w:hAnsi="Palatino Linotype" w:cs="Arial"/>
          <w:lang w:eastAsia="es-ES"/>
        </w:rPr>
        <w:t xml:space="preserve">Por otro lado, se </w:t>
      </w:r>
      <w:r w:rsidR="006E268C" w:rsidRPr="003A4CD9">
        <w:rPr>
          <w:rFonts w:ascii="Palatino Linotype" w:eastAsia="MS Mincho" w:hAnsi="Palatino Linotype" w:cs="Arial"/>
          <w:lang w:eastAsia="es-ES"/>
        </w:rPr>
        <w:t xml:space="preserve">advierte que la respuesta fue emitida por el Titular de la Unidad de Transparencia, es decir, que no se dio seguimiento al proceso de búsqueda establecido en el artículo 162 de la Ley de Transparencia y Acceso a la Información Pública del Estado de México y Municipios que </w:t>
      </w:r>
      <w:r w:rsidR="006E268C" w:rsidRPr="003A4CD9">
        <w:rPr>
          <w:rFonts w:ascii="Palatino Linotype" w:eastAsia="MS Mincho" w:hAnsi="Palatino Linotype" w:cs="Arial"/>
          <w:lang w:val="es-ES_tradnl" w:eastAsia="es-ES"/>
        </w:rPr>
        <w:t xml:space="preserve">establece que para atender una solicitud de acceso a la información, la Unidad de Transparencia debe turnar el requerimiento a todas las áreas que pudieran haber generado o poseer la información requerida para efectos de que realicen una búsqueda exhaustiva en sus archivos que permita localizar los documentos existentes y generados previamente al momento en que fuera formulada la solicitud, para efectos de su entrega al particular, lo que implica un procedimiento de gestión documental según lo regulado por las disposiciones legales y reglamentarias aplicables. </w:t>
      </w:r>
    </w:p>
    <w:p w14:paraId="480CA37B" w14:textId="77777777" w:rsidR="006E268C" w:rsidRPr="003A4CD9" w:rsidRDefault="006E268C" w:rsidP="006E268C">
      <w:pPr>
        <w:spacing w:line="360" w:lineRule="auto"/>
        <w:contextualSpacing/>
        <w:jc w:val="both"/>
        <w:rPr>
          <w:rFonts w:ascii="Palatino Linotype" w:eastAsia="MS Mincho" w:hAnsi="Palatino Linotype" w:cs="Arial"/>
          <w:lang w:eastAsia="es-ES"/>
        </w:rPr>
      </w:pPr>
    </w:p>
    <w:p w14:paraId="27E8739C" w14:textId="77777777" w:rsidR="006E268C" w:rsidRPr="003A4CD9" w:rsidRDefault="006E268C" w:rsidP="006E268C">
      <w:pPr>
        <w:numPr>
          <w:ilvl w:val="0"/>
          <w:numId w:val="1"/>
        </w:numPr>
        <w:spacing w:line="360" w:lineRule="auto"/>
        <w:ind w:left="0" w:firstLine="0"/>
        <w:contextualSpacing/>
        <w:jc w:val="both"/>
        <w:rPr>
          <w:rFonts w:ascii="Palatino Linotype" w:eastAsia="MS Mincho" w:hAnsi="Palatino Linotype" w:cs="Arial"/>
          <w:lang w:eastAsia="es-ES"/>
        </w:rPr>
      </w:pPr>
      <w:r w:rsidRPr="003A4CD9">
        <w:rPr>
          <w:rFonts w:ascii="Palatino Linotype" w:eastAsia="MS Mincho" w:hAnsi="Palatino Linotype" w:cs="Arial"/>
          <w:lang w:eastAsia="es-ES"/>
        </w:rPr>
        <w:t xml:space="preserve">Consecuentemente, </w:t>
      </w:r>
      <w:r w:rsidRPr="003A4CD9">
        <w:rPr>
          <w:rFonts w:ascii="Palatino Linotype" w:eastAsia="Calibri" w:hAnsi="Palatino Linotype" w:cs="Arial"/>
        </w:rPr>
        <w:t>para ingresar al servicio público es necesario contar, con un contrato, nombramiento o formato único de movimientos de personal, estos documentos sirven para establecer la relación laboral entre el servidor público y la institución.</w:t>
      </w:r>
    </w:p>
    <w:p w14:paraId="1BA7FDEB" w14:textId="77777777" w:rsidR="006E268C" w:rsidRPr="003A4CD9" w:rsidRDefault="006E268C" w:rsidP="006E268C">
      <w:pPr>
        <w:pStyle w:val="Prrafodelista"/>
        <w:rPr>
          <w:rFonts w:ascii="Palatino Linotype" w:eastAsia="Calibri" w:hAnsi="Palatino Linotype" w:cs="Arial"/>
          <w:sz w:val="24"/>
        </w:rPr>
      </w:pPr>
    </w:p>
    <w:p w14:paraId="16C4D679" w14:textId="77777777" w:rsidR="006E268C" w:rsidRPr="003A4CD9" w:rsidRDefault="006E268C" w:rsidP="006E268C">
      <w:pPr>
        <w:numPr>
          <w:ilvl w:val="0"/>
          <w:numId w:val="1"/>
        </w:numPr>
        <w:spacing w:line="360" w:lineRule="auto"/>
        <w:ind w:left="0" w:firstLine="0"/>
        <w:contextualSpacing/>
        <w:jc w:val="both"/>
        <w:rPr>
          <w:rFonts w:ascii="Palatino Linotype" w:eastAsia="MS Mincho" w:hAnsi="Palatino Linotype" w:cs="Arial"/>
          <w:lang w:eastAsia="es-ES"/>
        </w:rPr>
      </w:pPr>
      <w:r w:rsidRPr="003A4CD9">
        <w:rPr>
          <w:rFonts w:ascii="Palatino Linotype" w:eastAsia="Calibri" w:hAnsi="Palatino Linotype" w:cs="Arial"/>
        </w:rPr>
        <w:lastRenderedPageBreak/>
        <w:t>El FUMP (Formato Único de Movimientos de Personal) es el documento que evidencia que los movimientos de alta, baja, transferencia, promoción, democión y licencia de los servidores públicos, es decir, es el documento oficial en el que se establece la relación laboral, el término de la misma o el cambio de adscripción de los servidores públicos, además, el Sujeto Obligado debe llevar el registro de las altas y bajas de su personal.</w:t>
      </w:r>
    </w:p>
    <w:p w14:paraId="186498FB" w14:textId="77777777" w:rsidR="006E268C" w:rsidRPr="003A4CD9" w:rsidRDefault="006E268C" w:rsidP="006E268C">
      <w:pPr>
        <w:pStyle w:val="Prrafodelista"/>
        <w:rPr>
          <w:sz w:val="24"/>
          <w:lang w:eastAsia="en-US"/>
        </w:rPr>
      </w:pPr>
    </w:p>
    <w:p w14:paraId="664D916D" w14:textId="77777777" w:rsidR="0015041A" w:rsidRPr="003A4CD9" w:rsidRDefault="006E268C" w:rsidP="0015041A">
      <w:pPr>
        <w:numPr>
          <w:ilvl w:val="0"/>
          <w:numId w:val="1"/>
        </w:numPr>
        <w:spacing w:line="360" w:lineRule="auto"/>
        <w:ind w:left="0" w:firstLine="0"/>
        <w:contextualSpacing/>
        <w:jc w:val="both"/>
        <w:rPr>
          <w:rFonts w:ascii="Palatino Linotype" w:eastAsia="MS Mincho" w:hAnsi="Palatino Linotype" w:cs="Arial"/>
          <w:lang w:eastAsia="es-ES"/>
        </w:rPr>
      </w:pPr>
      <w:r w:rsidRPr="003A4CD9">
        <w:rPr>
          <w:rFonts w:ascii="Palatino Linotype" w:hAnsi="Palatino Linotype"/>
          <w:lang w:eastAsia="en-US"/>
        </w:rPr>
        <w:t xml:space="preserve">Por su parte, el Manual de Organización de Lerma establece </w:t>
      </w:r>
      <w:r w:rsidR="0015041A" w:rsidRPr="003A4CD9">
        <w:rPr>
          <w:rFonts w:ascii="Palatino Linotype" w:hAnsi="Palatino Linotype"/>
          <w:lang w:eastAsia="en-US"/>
        </w:rPr>
        <w:t>dentro de su estructura orgánica a la Dirección de Administración, dentro de la cual se advierte la Subdirección de Recursos Humanos quien tiene las siguientes funciones:</w:t>
      </w:r>
    </w:p>
    <w:p w14:paraId="48D0DDEF" w14:textId="77777777" w:rsidR="0015041A" w:rsidRPr="003A4CD9" w:rsidRDefault="0015041A" w:rsidP="0015041A">
      <w:pPr>
        <w:pStyle w:val="Prrafodelista"/>
        <w:rPr>
          <w:rFonts w:ascii="Palatino Linotype" w:eastAsia="MS Mincho" w:hAnsi="Palatino Linotype" w:cs="Arial"/>
          <w:sz w:val="24"/>
          <w:lang w:eastAsia="es-ES"/>
        </w:rPr>
      </w:pPr>
    </w:p>
    <w:p w14:paraId="0FDF03C7" w14:textId="77777777" w:rsidR="0015041A" w:rsidRPr="003A4CD9" w:rsidRDefault="0015041A" w:rsidP="0015041A">
      <w:pPr>
        <w:spacing w:line="360" w:lineRule="auto"/>
        <w:ind w:left="851" w:right="822"/>
        <w:contextualSpacing/>
        <w:jc w:val="both"/>
        <w:rPr>
          <w:rFonts w:ascii="Palatino Linotype" w:hAnsi="Palatino Linotype"/>
          <w:i/>
          <w:sz w:val="22"/>
        </w:rPr>
      </w:pPr>
      <w:r w:rsidRPr="003A4CD9">
        <w:rPr>
          <w:rFonts w:ascii="Palatino Linotype" w:hAnsi="Palatino Linotype"/>
          <w:i/>
          <w:sz w:val="22"/>
        </w:rPr>
        <w:t xml:space="preserve">OBJETIVO DE LA SUBDIRECCIÓN DE RECURSOS HUMANOS </w:t>
      </w:r>
    </w:p>
    <w:p w14:paraId="79A0969F" w14:textId="77777777" w:rsidR="0015041A" w:rsidRPr="003A4CD9" w:rsidRDefault="0015041A" w:rsidP="0015041A">
      <w:pPr>
        <w:spacing w:line="360" w:lineRule="auto"/>
        <w:ind w:left="851" w:right="822"/>
        <w:contextualSpacing/>
        <w:jc w:val="both"/>
        <w:rPr>
          <w:rFonts w:ascii="Palatino Linotype" w:hAnsi="Palatino Linotype"/>
          <w:i/>
          <w:sz w:val="22"/>
        </w:rPr>
      </w:pPr>
      <w:r w:rsidRPr="003A4CD9">
        <w:rPr>
          <w:rFonts w:ascii="Palatino Linotype" w:hAnsi="Palatino Linotype"/>
          <w:i/>
          <w:sz w:val="22"/>
        </w:rPr>
        <w:t xml:space="preserve">Administrar al personal para alcanzar las metas y objetivos de cada área, con la premisa de calidad y productividad. </w:t>
      </w:r>
    </w:p>
    <w:p w14:paraId="20BF4DD8" w14:textId="77777777" w:rsidR="0015041A" w:rsidRPr="003A4CD9" w:rsidRDefault="0015041A" w:rsidP="0015041A">
      <w:pPr>
        <w:spacing w:line="360" w:lineRule="auto"/>
        <w:ind w:left="851" w:right="822"/>
        <w:contextualSpacing/>
        <w:jc w:val="both"/>
        <w:rPr>
          <w:rFonts w:ascii="Palatino Linotype" w:hAnsi="Palatino Linotype"/>
          <w:i/>
          <w:sz w:val="22"/>
        </w:rPr>
      </w:pPr>
    </w:p>
    <w:p w14:paraId="661A2983" w14:textId="77777777" w:rsidR="0015041A" w:rsidRPr="003A4CD9" w:rsidRDefault="0015041A" w:rsidP="0015041A">
      <w:pPr>
        <w:spacing w:line="360" w:lineRule="auto"/>
        <w:ind w:left="851" w:right="822"/>
        <w:contextualSpacing/>
        <w:jc w:val="both"/>
        <w:rPr>
          <w:rFonts w:ascii="Palatino Linotype" w:hAnsi="Palatino Linotype"/>
          <w:i/>
          <w:sz w:val="22"/>
        </w:rPr>
      </w:pPr>
      <w:r w:rsidRPr="003A4CD9">
        <w:rPr>
          <w:rFonts w:ascii="Palatino Linotype" w:hAnsi="Palatino Linotype"/>
          <w:i/>
          <w:sz w:val="22"/>
        </w:rPr>
        <w:t xml:space="preserve">FUNCIONES DE LA SUBDIRECCIÓN DE RECURSOS HUMANOS </w:t>
      </w:r>
    </w:p>
    <w:p w14:paraId="14B782D3" w14:textId="77777777" w:rsidR="0015041A" w:rsidRPr="003A4CD9" w:rsidRDefault="0015041A" w:rsidP="0015041A">
      <w:pPr>
        <w:spacing w:line="360" w:lineRule="auto"/>
        <w:ind w:left="851" w:right="822"/>
        <w:contextualSpacing/>
        <w:jc w:val="both"/>
        <w:rPr>
          <w:rFonts w:ascii="Palatino Linotype" w:hAnsi="Palatino Linotype"/>
          <w:i/>
          <w:sz w:val="22"/>
        </w:rPr>
      </w:pPr>
      <w:r w:rsidRPr="003A4CD9">
        <w:rPr>
          <w:rFonts w:ascii="Palatino Linotype" w:hAnsi="Palatino Linotype"/>
          <w:i/>
          <w:sz w:val="22"/>
        </w:rPr>
        <w:t xml:space="preserve">• </w:t>
      </w:r>
      <w:r w:rsidRPr="003A4CD9">
        <w:rPr>
          <w:rFonts w:ascii="Palatino Linotype" w:hAnsi="Palatino Linotype"/>
          <w:b/>
          <w:i/>
          <w:sz w:val="22"/>
        </w:rPr>
        <w:t>Establecer las normas y lineamientos para realizar los movimientos de altas, bajas, cambios de categoría, transferencias, promociones y cambios de adscripción de los servidores públicos del Ayuntamiento.</w:t>
      </w:r>
      <w:r w:rsidRPr="003A4CD9">
        <w:rPr>
          <w:rFonts w:ascii="Palatino Linotype" w:hAnsi="Palatino Linotype"/>
          <w:i/>
          <w:sz w:val="22"/>
        </w:rPr>
        <w:t xml:space="preserve"> </w:t>
      </w:r>
    </w:p>
    <w:p w14:paraId="5F229245" w14:textId="77777777" w:rsidR="0015041A" w:rsidRPr="003A4CD9" w:rsidRDefault="0015041A" w:rsidP="0015041A">
      <w:pPr>
        <w:spacing w:line="360" w:lineRule="auto"/>
        <w:ind w:left="851" w:right="822"/>
        <w:contextualSpacing/>
        <w:jc w:val="both"/>
        <w:rPr>
          <w:rFonts w:ascii="Palatino Linotype" w:hAnsi="Palatino Linotype"/>
          <w:i/>
          <w:sz w:val="22"/>
        </w:rPr>
      </w:pPr>
      <w:r w:rsidRPr="003A4CD9">
        <w:rPr>
          <w:rFonts w:ascii="Palatino Linotype" w:hAnsi="Palatino Linotype"/>
          <w:i/>
          <w:sz w:val="22"/>
        </w:rPr>
        <w:t>• Elaborar políticas para evaluar de manera periódica el desempeño de los servidores públicos basado en estímulos y recompensas.</w:t>
      </w:r>
    </w:p>
    <w:p w14:paraId="4C52550E" w14:textId="77777777" w:rsidR="0015041A" w:rsidRPr="003A4CD9" w:rsidRDefault="0015041A" w:rsidP="0015041A">
      <w:pPr>
        <w:spacing w:line="360" w:lineRule="auto"/>
        <w:ind w:left="851" w:right="822"/>
        <w:contextualSpacing/>
        <w:jc w:val="both"/>
        <w:rPr>
          <w:rFonts w:ascii="Palatino Linotype" w:hAnsi="Palatino Linotype"/>
          <w:i/>
          <w:sz w:val="22"/>
        </w:rPr>
      </w:pPr>
      <w:r w:rsidRPr="003A4CD9">
        <w:rPr>
          <w:rFonts w:ascii="Palatino Linotype" w:hAnsi="Palatino Linotype"/>
          <w:i/>
          <w:sz w:val="22"/>
        </w:rPr>
        <w:t xml:space="preserve">• Supervisar que cada área cumpla con lo establecido en materia de trabajo, así como las medidas de seguridad e higiene que marcan las disposiciones legales aplicables. </w:t>
      </w:r>
    </w:p>
    <w:p w14:paraId="0D95DAD2" w14:textId="77777777" w:rsidR="0015041A" w:rsidRPr="003A4CD9" w:rsidRDefault="0015041A" w:rsidP="0015041A">
      <w:pPr>
        <w:spacing w:line="360" w:lineRule="auto"/>
        <w:ind w:left="851" w:right="822"/>
        <w:contextualSpacing/>
        <w:jc w:val="both"/>
        <w:rPr>
          <w:rFonts w:ascii="Palatino Linotype" w:hAnsi="Palatino Linotype"/>
          <w:i/>
          <w:sz w:val="22"/>
        </w:rPr>
      </w:pPr>
      <w:r w:rsidRPr="003A4CD9">
        <w:rPr>
          <w:rFonts w:ascii="Palatino Linotype" w:hAnsi="Palatino Linotype"/>
          <w:i/>
        </w:rPr>
        <w:t xml:space="preserve">• </w:t>
      </w:r>
      <w:r w:rsidRPr="003A4CD9">
        <w:rPr>
          <w:rFonts w:ascii="Palatino Linotype" w:hAnsi="Palatino Linotype"/>
          <w:i/>
          <w:sz w:val="22"/>
        </w:rPr>
        <w:t xml:space="preserve">Proporcionar a cada servidor público municipal su gafete que sirva de identificación en el desempeño de sus actividades y supervisar periódicamente su portación del mismo. </w:t>
      </w:r>
    </w:p>
    <w:p w14:paraId="48F870DF" w14:textId="77777777" w:rsidR="0015041A" w:rsidRPr="003A4CD9" w:rsidRDefault="0015041A" w:rsidP="0015041A">
      <w:pPr>
        <w:spacing w:line="360" w:lineRule="auto"/>
        <w:ind w:left="851" w:right="822"/>
        <w:contextualSpacing/>
        <w:jc w:val="both"/>
        <w:rPr>
          <w:rFonts w:ascii="Palatino Linotype" w:hAnsi="Palatino Linotype"/>
          <w:i/>
          <w:sz w:val="22"/>
        </w:rPr>
      </w:pPr>
      <w:r w:rsidRPr="003A4CD9">
        <w:rPr>
          <w:rFonts w:ascii="Palatino Linotype" w:hAnsi="Palatino Linotype"/>
          <w:i/>
        </w:rPr>
        <w:lastRenderedPageBreak/>
        <w:t xml:space="preserve">• </w:t>
      </w:r>
      <w:r w:rsidRPr="003A4CD9">
        <w:rPr>
          <w:rFonts w:ascii="Palatino Linotype" w:hAnsi="Palatino Linotype"/>
          <w:i/>
          <w:sz w:val="22"/>
        </w:rPr>
        <w:t xml:space="preserve">Implementar un diagnóstico del personal, descripción de puestos, exámenes psicométricos, para reubicar al personal de la administración municipal. </w:t>
      </w:r>
    </w:p>
    <w:p w14:paraId="7E0EF8E5" w14:textId="77777777" w:rsidR="0015041A" w:rsidRPr="003A4CD9" w:rsidRDefault="0015041A" w:rsidP="0015041A">
      <w:pPr>
        <w:spacing w:line="360" w:lineRule="auto"/>
        <w:ind w:left="851" w:right="822"/>
        <w:contextualSpacing/>
        <w:jc w:val="both"/>
        <w:rPr>
          <w:rFonts w:ascii="Palatino Linotype" w:hAnsi="Palatino Linotype"/>
          <w:i/>
          <w:sz w:val="22"/>
        </w:rPr>
      </w:pPr>
      <w:r w:rsidRPr="003A4CD9">
        <w:rPr>
          <w:rFonts w:ascii="Palatino Linotype" w:hAnsi="Palatino Linotype"/>
          <w:i/>
          <w:sz w:val="22"/>
        </w:rPr>
        <w:t xml:space="preserve">• Implementar un buzón para que la ciudadanía evalúe el servicio que se le brindó por parte del servidor público. </w:t>
      </w:r>
    </w:p>
    <w:p w14:paraId="1F6F59E3" w14:textId="77777777" w:rsidR="0015041A" w:rsidRPr="003A4CD9" w:rsidRDefault="0015041A" w:rsidP="0015041A">
      <w:pPr>
        <w:spacing w:line="360" w:lineRule="auto"/>
        <w:ind w:left="851" w:right="822"/>
        <w:contextualSpacing/>
        <w:jc w:val="both"/>
        <w:rPr>
          <w:rFonts w:ascii="Palatino Linotype" w:hAnsi="Palatino Linotype"/>
          <w:i/>
          <w:sz w:val="22"/>
        </w:rPr>
      </w:pPr>
      <w:r w:rsidRPr="003A4CD9">
        <w:rPr>
          <w:rFonts w:ascii="Palatino Linotype" w:hAnsi="Palatino Linotype"/>
          <w:i/>
          <w:sz w:val="22"/>
        </w:rPr>
        <w:t xml:space="preserve">• Implementar un sistema de Control interno en materia laboral; </w:t>
      </w:r>
    </w:p>
    <w:p w14:paraId="0DD81423" w14:textId="77777777" w:rsidR="0015041A" w:rsidRPr="003A4CD9" w:rsidRDefault="0015041A" w:rsidP="0015041A">
      <w:pPr>
        <w:spacing w:line="360" w:lineRule="auto"/>
        <w:ind w:left="851" w:right="822"/>
        <w:contextualSpacing/>
        <w:jc w:val="both"/>
        <w:rPr>
          <w:rFonts w:ascii="Palatino Linotype" w:hAnsi="Palatino Linotype"/>
          <w:i/>
          <w:sz w:val="22"/>
        </w:rPr>
      </w:pPr>
      <w:r w:rsidRPr="003A4CD9">
        <w:rPr>
          <w:rFonts w:ascii="Palatino Linotype" w:hAnsi="Palatino Linotype"/>
          <w:i/>
          <w:sz w:val="22"/>
        </w:rPr>
        <w:t xml:space="preserve">• Implementar un Sistema de promoción de servidores públicos; así como un programa de competencia y continuidad de los servidores públicos. </w:t>
      </w:r>
    </w:p>
    <w:p w14:paraId="35893ECF" w14:textId="77777777" w:rsidR="0015041A" w:rsidRPr="003A4CD9" w:rsidRDefault="0015041A" w:rsidP="0015041A">
      <w:pPr>
        <w:spacing w:line="360" w:lineRule="auto"/>
        <w:ind w:left="851" w:right="822"/>
        <w:contextualSpacing/>
        <w:jc w:val="both"/>
        <w:rPr>
          <w:rFonts w:ascii="Palatino Linotype" w:eastAsia="MS Mincho" w:hAnsi="Palatino Linotype" w:cs="Arial"/>
          <w:i/>
          <w:sz w:val="22"/>
          <w:lang w:eastAsia="es-ES"/>
        </w:rPr>
      </w:pPr>
      <w:r w:rsidRPr="003A4CD9">
        <w:rPr>
          <w:rFonts w:ascii="Palatino Linotype" w:hAnsi="Palatino Linotype"/>
          <w:i/>
          <w:sz w:val="22"/>
        </w:rPr>
        <w:t>• Realizar todas aquellas actividades que sean inherentes y aplicables al área de su competencia.</w:t>
      </w:r>
    </w:p>
    <w:p w14:paraId="6D3B5899" w14:textId="77777777" w:rsidR="0015041A" w:rsidRPr="003A4CD9" w:rsidRDefault="0015041A" w:rsidP="0015041A">
      <w:pPr>
        <w:pStyle w:val="Prrafodelista"/>
        <w:rPr>
          <w:sz w:val="24"/>
          <w:lang w:eastAsia="en-US"/>
        </w:rPr>
      </w:pPr>
    </w:p>
    <w:p w14:paraId="18C2D7C7" w14:textId="77777777" w:rsidR="006E268C" w:rsidRPr="003A4CD9" w:rsidRDefault="006E268C" w:rsidP="0015041A">
      <w:pPr>
        <w:numPr>
          <w:ilvl w:val="0"/>
          <w:numId w:val="1"/>
        </w:numPr>
        <w:spacing w:line="360" w:lineRule="auto"/>
        <w:ind w:left="0" w:firstLine="0"/>
        <w:contextualSpacing/>
        <w:jc w:val="both"/>
        <w:rPr>
          <w:rFonts w:ascii="Palatino Linotype" w:eastAsia="MS Mincho" w:hAnsi="Palatino Linotype" w:cs="Arial"/>
          <w:lang w:eastAsia="es-ES"/>
        </w:rPr>
      </w:pPr>
      <w:r w:rsidRPr="003A4CD9">
        <w:rPr>
          <w:rFonts w:ascii="Palatino Linotype" w:hAnsi="Palatino Linotype"/>
          <w:lang w:eastAsia="en-US"/>
        </w:rPr>
        <w:t>Tal y</w:t>
      </w:r>
      <w:r w:rsidR="0015041A" w:rsidRPr="003A4CD9">
        <w:rPr>
          <w:rFonts w:ascii="Palatino Linotype" w:hAnsi="Palatino Linotype"/>
          <w:lang w:eastAsia="en-US"/>
        </w:rPr>
        <w:t xml:space="preserve"> como se advierte del Manual</w:t>
      </w:r>
      <w:r w:rsidRPr="003A4CD9">
        <w:rPr>
          <w:rFonts w:ascii="Palatino Linotype" w:hAnsi="Palatino Linotype"/>
          <w:lang w:eastAsia="en-US"/>
        </w:rPr>
        <w:t xml:space="preserve"> en cita, corresponde a la </w:t>
      </w:r>
      <w:r w:rsidR="0015041A" w:rsidRPr="003A4CD9">
        <w:rPr>
          <w:rFonts w:ascii="Palatino Linotype" w:hAnsi="Palatino Linotype"/>
          <w:lang w:eastAsia="en-US"/>
        </w:rPr>
        <w:t>Subdirección</w:t>
      </w:r>
      <w:r w:rsidRPr="003A4CD9">
        <w:rPr>
          <w:rFonts w:ascii="Palatino Linotype" w:hAnsi="Palatino Linotype"/>
          <w:lang w:eastAsia="en-US"/>
        </w:rPr>
        <w:t xml:space="preserve"> de Recursos Humanos </w:t>
      </w:r>
      <w:r w:rsidR="0015041A" w:rsidRPr="003A4CD9">
        <w:rPr>
          <w:rFonts w:ascii="Palatino Linotype" w:hAnsi="Palatino Linotype"/>
          <w:b/>
          <w:i/>
        </w:rPr>
        <w:t>establecer las normas y lineamientos para realizar los movimientos de altas, bajas, cambios de categoría transferencias, promociones y cambios de adscripción de los servidores públicos del Ayuntamiento</w:t>
      </w:r>
      <w:r w:rsidRPr="003A4CD9">
        <w:rPr>
          <w:rFonts w:ascii="Palatino Linotype" w:hAnsi="Palatino Linotype"/>
          <w:i/>
        </w:rPr>
        <w:t xml:space="preserve">, </w:t>
      </w:r>
      <w:r w:rsidRPr="003A4CD9">
        <w:rPr>
          <w:rFonts w:ascii="Palatino Linotype" w:hAnsi="Palatino Linotype"/>
        </w:rPr>
        <w:t xml:space="preserve">dicho registro corresponde a una obligación en materia </w:t>
      </w:r>
      <w:r w:rsidR="0015041A" w:rsidRPr="003A4CD9">
        <w:rPr>
          <w:rFonts w:ascii="Palatino Linotype" w:hAnsi="Palatino Linotype"/>
        </w:rPr>
        <w:t>fiscalizable de acuerdo a los</w:t>
      </w:r>
      <w:r w:rsidRPr="003A4CD9">
        <w:rPr>
          <w:rFonts w:ascii="Palatino Linotype" w:eastAsia="Palatino Linotype" w:hAnsi="Palatino Linotype" w:cs="Palatino Linotype"/>
        </w:rPr>
        <w:t xml:space="preserve"> Lineamientos para la Entrega de los Informes  Trimestrales de los Municipios, </w:t>
      </w:r>
      <w:r w:rsidR="0015041A" w:rsidRPr="003A4CD9">
        <w:rPr>
          <w:rFonts w:ascii="Palatino Linotype" w:eastAsia="Palatino Linotype" w:hAnsi="Palatino Linotype" w:cs="Palatino Linotype"/>
        </w:rPr>
        <w:t xml:space="preserve">que </w:t>
      </w:r>
      <w:r w:rsidRPr="003A4CD9">
        <w:rPr>
          <w:rFonts w:ascii="Palatino Linotype" w:eastAsia="Palatino Linotype" w:hAnsi="Palatino Linotype" w:cs="Palatino Linotype"/>
        </w:rPr>
        <w:t xml:space="preserve">a modo de ejemplo se traen a contexto, en los que se establece que </w:t>
      </w:r>
      <w:r w:rsidRPr="003A4CD9">
        <w:rPr>
          <w:rFonts w:ascii="Palatino Linotype" w:eastAsia="Palatino Linotype" w:hAnsi="Palatino Linotype" w:cs="Palatino Linotype"/>
          <w:b/>
        </w:rPr>
        <w:t>EL SUJETO OBLIGADO</w:t>
      </w:r>
      <w:r w:rsidRPr="003A4CD9">
        <w:rPr>
          <w:rFonts w:ascii="Palatino Linotype" w:eastAsia="Palatino Linotype" w:hAnsi="Palatino Linotype" w:cs="Palatino Linotype"/>
        </w:rPr>
        <w:t xml:space="preserve"> debe trimestralmente, al Órgano de Fiscalización del Estado de México (OSFEM), la información contenida </w:t>
      </w:r>
      <w:r w:rsidR="00046FC4" w:rsidRPr="003A4CD9">
        <w:rPr>
          <w:rFonts w:ascii="Palatino Linotype" w:eastAsia="Palatino Linotype" w:hAnsi="Palatino Linotype" w:cs="Palatino Linotype"/>
        </w:rPr>
        <w:t>en la conciliación de nómina</w:t>
      </w:r>
      <w:r w:rsidRPr="003A4CD9">
        <w:rPr>
          <w:rFonts w:ascii="Palatino Linotype" w:eastAsia="Palatino Linotype" w:hAnsi="Palatino Linotype" w:cs="Palatino Linotype"/>
        </w:rPr>
        <w:t>, como así se aprecia en las siguientes imágenes que de manera ilustrativa se inserta a continuación:</w:t>
      </w:r>
    </w:p>
    <w:p w14:paraId="05DC99E1" w14:textId="77777777" w:rsidR="006E268C" w:rsidRPr="003A4CD9" w:rsidRDefault="006E268C" w:rsidP="006E268C">
      <w:pPr>
        <w:pStyle w:val="Prrafodelista"/>
        <w:spacing w:line="360" w:lineRule="auto"/>
        <w:ind w:left="0"/>
        <w:jc w:val="both"/>
        <w:rPr>
          <w:rFonts w:ascii="Palatino Linotype" w:hAnsi="Palatino Linotype"/>
          <w:sz w:val="24"/>
          <w:lang w:eastAsia="en-US"/>
        </w:rPr>
      </w:pPr>
    </w:p>
    <w:p w14:paraId="7B080322" w14:textId="77777777" w:rsidR="00046FC4" w:rsidRPr="003A4CD9" w:rsidRDefault="00046FC4" w:rsidP="00046FC4">
      <w:pPr>
        <w:pStyle w:val="Prrafodelista"/>
        <w:spacing w:line="360" w:lineRule="auto"/>
        <w:ind w:left="0"/>
        <w:jc w:val="center"/>
        <w:rPr>
          <w:rFonts w:ascii="Palatino Linotype" w:hAnsi="Palatino Linotype"/>
          <w:sz w:val="24"/>
          <w:lang w:eastAsia="en-US"/>
        </w:rPr>
      </w:pPr>
      <w:r w:rsidRPr="003A4CD9">
        <w:rPr>
          <w:noProof/>
          <w:sz w:val="24"/>
        </w:rPr>
        <w:lastRenderedPageBreak/>
        <w:drawing>
          <wp:inline distT="0" distB="0" distL="0" distR="0" wp14:anchorId="2DBC3AB4" wp14:editId="2924DB44">
            <wp:extent cx="5610936" cy="2486025"/>
            <wp:effectExtent l="0" t="0" r="8890" b="0"/>
            <wp:docPr id="170" name="image19.png" descr="Interfaz de usuario gráfica,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9.png" descr="Interfaz de usuario gráfica, Aplicación&#10;&#10;Descripción generada automáticamente"/>
                    <pic:cNvPicPr preferRelativeResize="0"/>
                  </pic:nvPicPr>
                  <pic:blipFill>
                    <a:blip r:embed="rId9"/>
                    <a:srcRect l="24610" t="44825" r="25657" b="14569"/>
                    <a:stretch>
                      <a:fillRect/>
                    </a:stretch>
                  </pic:blipFill>
                  <pic:spPr>
                    <a:xfrm>
                      <a:off x="0" y="0"/>
                      <a:ext cx="5612586" cy="2486756"/>
                    </a:xfrm>
                    <a:prstGeom prst="rect">
                      <a:avLst/>
                    </a:prstGeom>
                    <a:ln/>
                  </pic:spPr>
                </pic:pic>
              </a:graphicData>
            </a:graphic>
          </wp:inline>
        </w:drawing>
      </w:r>
    </w:p>
    <w:p w14:paraId="7D6D2A9B" w14:textId="77777777" w:rsidR="00046FC4" w:rsidRPr="003A4CD9" w:rsidRDefault="00046FC4" w:rsidP="00046FC4">
      <w:pPr>
        <w:pStyle w:val="Prrafodelista"/>
        <w:spacing w:line="360" w:lineRule="auto"/>
        <w:ind w:left="0"/>
        <w:jc w:val="center"/>
        <w:rPr>
          <w:rFonts w:ascii="Palatino Linotype" w:hAnsi="Palatino Linotype"/>
          <w:sz w:val="24"/>
          <w:lang w:eastAsia="en-US"/>
        </w:rPr>
      </w:pPr>
    </w:p>
    <w:p w14:paraId="600874DE" w14:textId="77777777" w:rsidR="00046FC4" w:rsidRPr="003A4CD9" w:rsidRDefault="00D96FD2" w:rsidP="00046FC4">
      <w:pPr>
        <w:pStyle w:val="Prrafodelista"/>
        <w:spacing w:line="360" w:lineRule="auto"/>
        <w:ind w:left="0"/>
        <w:jc w:val="center"/>
        <w:rPr>
          <w:rFonts w:ascii="Palatino Linotype" w:hAnsi="Palatino Linotype"/>
          <w:sz w:val="24"/>
          <w:lang w:eastAsia="en-US"/>
        </w:rPr>
      </w:pPr>
      <w:r w:rsidRPr="003A4CD9">
        <w:rPr>
          <w:rFonts w:ascii="Palatino Linotype" w:hAnsi="Palatino Linotype"/>
          <w:noProof/>
          <w:sz w:val="24"/>
        </w:rPr>
        <w:lastRenderedPageBreak/>
        <w:drawing>
          <wp:inline distT="0" distB="0" distL="0" distR="0" wp14:anchorId="05FC8B4F" wp14:editId="447913BD">
            <wp:extent cx="5315692" cy="699232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15692" cy="6992326"/>
                    </a:xfrm>
                    <a:prstGeom prst="rect">
                      <a:avLst/>
                    </a:prstGeom>
                  </pic:spPr>
                </pic:pic>
              </a:graphicData>
            </a:graphic>
          </wp:inline>
        </w:drawing>
      </w:r>
    </w:p>
    <w:p w14:paraId="3F784C87" w14:textId="77777777" w:rsidR="00D96FD2" w:rsidRPr="003A4CD9" w:rsidRDefault="00D96FD2" w:rsidP="00046FC4">
      <w:pPr>
        <w:pStyle w:val="Prrafodelista"/>
        <w:spacing w:line="360" w:lineRule="auto"/>
        <w:ind w:left="0"/>
        <w:jc w:val="center"/>
        <w:rPr>
          <w:rFonts w:ascii="Palatino Linotype" w:hAnsi="Palatino Linotype"/>
          <w:sz w:val="24"/>
          <w:lang w:eastAsia="en-US"/>
        </w:rPr>
      </w:pPr>
    </w:p>
    <w:p w14:paraId="051CB5C2" w14:textId="77777777" w:rsidR="006E268C" w:rsidRPr="003A4CD9" w:rsidRDefault="00D96FD2" w:rsidP="00D64A85">
      <w:pPr>
        <w:numPr>
          <w:ilvl w:val="0"/>
          <w:numId w:val="1"/>
        </w:numPr>
        <w:spacing w:line="360" w:lineRule="auto"/>
        <w:ind w:left="0" w:firstLine="0"/>
        <w:contextualSpacing/>
        <w:jc w:val="both"/>
        <w:rPr>
          <w:rFonts w:ascii="Palatino Linotype" w:eastAsia="MS Mincho" w:hAnsi="Palatino Linotype" w:cs="Arial"/>
          <w:lang w:eastAsia="es-ES"/>
        </w:rPr>
      </w:pPr>
      <w:r w:rsidRPr="003A4CD9">
        <w:rPr>
          <w:rFonts w:ascii="Palatino Linotype" w:eastAsia="MS Mincho" w:hAnsi="Palatino Linotype" w:cs="Arial"/>
          <w:lang w:eastAsia="es-ES"/>
        </w:rPr>
        <w:lastRenderedPageBreak/>
        <w:t xml:space="preserve">Como se advierte, la información que podría de manera enunciativa, más no limitativa, colmar con la información solicitada es la Conciliación de Nómina que se  remite de forma trimestral al Órgano Superior de Fiscalización del Estado de México. </w:t>
      </w:r>
    </w:p>
    <w:p w14:paraId="3975775E" w14:textId="77777777" w:rsidR="0033632A" w:rsidRPr="003A4CD9" w:rsidRDefault="0033632A" w:rsidP="00D96FD2">
      <w:pPr>
        <w:spacing w:line="360" w:lineRule="auto"/>
        <w:contextualSpacing/>
        <w:jc w:val="both"/>
        <w:rPr>
          <w:rFonts w:ascii="Palatino Linotype" w:eastAsia="MS Mincho" w:hAnsi="Palatino Linotype" w:cs="Arial"/>
          <w:lang w:eastAsia="es-ES"/>
        </w:rPr>
      </w:pPr>
    </w:p>
    <w:p w14:paraId="6A712B36" w14:textId="77777777" w:rsidR="0033632A" w:rsidRPr="003A4CD9" w:rsidRDefault="00D64A85" w:rsidP="00D64A85">
      <w:pPr>
        <w:numPr>
          <w:ilvl w:val="0"/>
          <w:numId w:val="1"/>
        </w:numPr>
        <w:spacing w:line="360" w:lineRule="auto"/>
        <w:ind w:left="0" w:firstLine="0"/>
        <w:contextualSpacing/>
        <w:jc w:val="both"/>
        <w:rPr>
          <w:rFonts w:ascii="Palatino Linotype" w:eastAsia="MS Mincho" w:hAnsi="Palatino Linotype" w:cs="Arial"/>
          <w:lang w:eastAsia="es-ES"/>
        </w:rPr>
      </w:pPr>
      <w:r w:rsidRPr="003A4CD9">
        <w:rPr>
          <w:rFonts w:ascii="Palatino Linotype" w:eastAsia="MS Mincho" w:hAnsi="Palatino Linotype" w:cs="Arial"/>
          <w:lang w:eastAsia="es-ES"/>
        </w:rPr>
        <w:t xml:space="preserve">Ahora bien, respecto al monto de las liquidaciones en caso de  bajas, debemos traer  a contexto lo que establece  Manual para la Planeación, Programación y Presupuesto de Egresos Municipal </w:t>
      </w:r>
      <w:r w:rsidR="008254B6" w:rsidRPr="003A4CD9">
        <w:rPr>
          <w:rFonts w:ascii="Palatino Linotype" w:eastAsia="MS Mincho" w:hAnsi="Palatino Linotype" w:cs="Arial"/>
          <w:lang w:eastAsia="es-ES"/>
        </w:rPr>
        <w:t>sobre el Clasificador por Objeto de Gasto en Estructura de Codificación señala la Partida de la siguiente forma:</w:t>
      </w:r>
    </w:p>
    <w:p w14:paraId="12939D32" w14:textId="77777777" w:rsidR="008254B6" w:rsidRPr="003A4CD9" w:rsidRDefault="008254B6" w:rsidP="008254B6">
      <w:pPr>
        <w:pStyle w:val="Prrafodelista"/>
        <w:rPr>
          <w:rFonts w:ascii="Palatino Linotype" w:eastAsia="MS Mincho" w:hAnsi="Palatino Linotype" w:cs="Arial"/>
          <w:lang w:eastAsia="es-ES"/>
        </w:rPr>
      </w:pPr>
    </w:p>
    <w:p w14:paraId="44025431" w14:textId="77777777" w:rsidR="008254B6" w:rsidRPr="003A4CD9" w:rsidRDefault="008254B6" w:rsidP="008254B6">
      <w:pPr>
        <w:spacing w:line="360" w:lineRule="auto"/>
        <w:ind w:left="851" w:right="822"/>
        <w:contextualSpacing/>
        <w:jc w:val="both"/>
        <w:rPr>
          <w:rFonts w:ascii="Palatino Linotype" w:eastAsia="MS Mincho" w:hAnsi="Palatino Linotype" w:cs="Arial"/>
          <w:i/>
          <w:sz w:val="22"/>
          <w:lang w:eastAsia="es-ES"/>
        </w:rPr>
      </w:pPr>
      <w:r w:rsidRPr="003A4CD9">
        <w:rPr>
          <w:rFonts w:ascii="Palatino Linotype" w:eastAsia="MS Mincho" w:hAnsi="Palatino Linotype" w:cs="Arial"/>
          <w:b/>
          <w:i/>
          <w:sz w:val="22"/>
          <w:lang w:eastAsia="es-ES"/>
        </w:rPr>
        <w:t>Partida:</w:t>
      </w:r>
      <w:r w:rsidRPr="003A4CD9">
        <w:rPr>
          <w:rFonts w:ascii="Palatino Linotype" w:eastAsia="MS Mincho" w:hAnsi="Palatino Linotype" w:cs="Arial"/>
          <w:i/>
          <w:sz w:val="22"/>
          <w:lang w:eastAsia="es-ES"/>
        </w:rPr>
        <w:t xml:space="preserve"> Es el nivel de agregación más específico en el cual se describen las expresiones concretas y detalladas de los bienes y servicios que se adquieren y se compone de: </w:t>
      </w:r>
    </w:p>
    <w:p w14:paraId="2864AB27" w14:textId="77777777" w:rsidR="008254B6" w:rsidRPr="003A4CD9" w:rsidRDefault="008254B6" w:rsidP="008254B6">
      <w:pPr>
        <w:spacing w:line="360" w:lineRule="auto"/>
        <w:ind w:left="851" w:right="822"/>
        <w:contextualSpacing/>
        <w:jc w:val="both"/>
        <w:rPr>
          <w:rFonts w:ascii="Palatino Linotype" w:eastAsia="MS Mincho" w:hAnsi="Palatino Linotype" w:cs="Arial"/>
          <w:i/>
          <w:sz w:val="22"/>
          <w:lang w:eastAsia="es-ES"/>
        </w:rPr>
      </w:pPr>
      <w:r w:rsidRPr="003A4CD9">
        <w:rPr>
          <w:rFonts w:ascii="Palatino Linotype" w:eastAsia="MS Mincho" w:hAnsi="Palatino Linotype" w:cs="Arial"/>
          <w:b/>
          <w:i/>
          <w:sz w:val="22"/>
          <w:lang w:eastAsia="es-ES"/>
        </w:rPr>
        <w:t>a) La Partida Genérica</w:t>
      </w:r>
      <w:r w:rsidRPr="003A4CD9">
        <w:rPr>
          <w:rFonts w:ascii="Palatino Linotype" w:eastAsia="MS Mincho" w:hAnsi="Palatino Linotype" w:cs="Arial"/>
          <w:i/>
          <w:sz w:val="22"/>
          <w:lang w:eastAsia="es-ES"/>
        </w:rPr>
        <w:t xml:space="preserve"> se refiere al tercer dígito, el cual logrará la armonización a todos los niveles de gobierno. </w:t>
      </w:r>
    </w:p>
    <w:p w14:paraId="3906B85B" w14:textId="77777777" w:rsidR="008254B6" w:rsidRPr="003A4CD9" w:rsidRDefault="008254B6" w:rsidP="008254B6">
      <w:pPr>
        <w:spacing w:line="360" w:lineRule="auto"/>
        <w:ind w:left="851" w:right="822"/>
        <w:contextualSpacing/>
        <w:jc w:val="both"/>
        <w:rPr>
          <w:rFonts w:ascii="Palatino Linotype" w:eastAsia="MS Mincho" w:hAnsi="Palatino Linotype" w:cs="Arial"/>
          <w:i/>
          <w:sz w:val="22"/>
          <w:lang w:eastAsia="es-ES"/>
        </w:rPr>
      </w:pPr>
      <w:r w:rsidRPr="003A4CD9">
        <w:rPr>
          <w:rFonts w:ascii="Palatino Linotype" w:eastAsia="MS Mincho" w:hAnsi="Palatino Linotype" w:cs="Arial"/>
          <w:b/>
          <w:i/>
          <w:sz w:val="22"/>
          <w:lang w:eastAsia="es-ES"/>
        </w:rPr>
        <w:t>b) La Partida Específica</w:t>
      </w:r>
      <w:r w:rsidRPr="003A4CD9">
        <w:rPr>
          <w:rFonts w:ascii="Palatino Linotype" w:eastAsia="MS Mincho" w:hAnsi="Palatino Linotype" w:cs="Arial"/>
          <w:i/>
          <w:sz w:val="22"/>
          <w:lang w:eastAsia="es-ES"/>
        </w:rPr>
        <w:t xml:space="preserve"> corresponde al cuarto dígito, el cual permitirá que las unidades administrativas o instancias competentes en materia de Contabilidad Gubernamental y de Presupuesto de cada orden de gobierno, con base en sus necesidades, generen su apertura,</w:t>
      </w:r>
      <w:r w:rsidRPr="003A4CD9">
        <w:rPr>
          <w:rFonts w:ascii="Palatino Linotype" w:eastAsia="MS Mincho" w:hAnsi="Palatino Linotype" w:cs="Arial"/>
          <w:sz w:val="22"/>
          <w:lang w:eastAsia="es-ES"/>
        </w:rPr>
        <w:t xml:space="preserve"> </w:t>
      </w:r>
      <w:r w:rsidRPr="003A4CD9">
        <w:rPr>
          <w:rFonts w:ascii="Palatino Linotype" w:eastAsia="MS Mincho" w:hAnsi="Palatino Linotype" w:cs="Arial"/>
          <w:i/>
          <w:sz w:val="22"/>
          <w:lang w:eastAsia="es-ES"/>
        </w:rPr>
        <w:t>conservando la estructura básica (capítulo, concepto y partida genérica), con el fin de mantener la armonización con el Plan de Cuenta.</w:t>
      </w:r>
    </w:p>
    <w:p w14:paraId="51DB55F2" w14:textId="77777777" w:rsidR="008254B6" w:rsidRPr="003A4CD9" w:rsidRDefault="008254B6" w:rsidP="008254B6">
      <w:pPr>
        <w:spacing w:line="360" w:lineRule="auto"/>
        <w:contextualSpacing/>
        <w:jc w:val="both"/>
        <w:rPr>
          <w:rFonts w:ascii="Palatino Linotype" w:eastAsia="MS Mincho" w:hAnsi="Palatino Linotype" w:cs="Arial"/>
          <w:lang w:eastAsia="es-ES"/>
        </w:rPr>
      </w:pPr>
    </w:p>
    <w:p w14:paraId="667D0B6A" w14:textId="77777777" w:rsidR="008254B6" w:rsidRPr="003A4CD9" w:rsidRDefault="008254B6" w:rsidP="008254B6">
      <w:pPr>
        <w:numPr>
          <w:ilvl w:val="0"/>
          <w:numId w:val="1"/>
        </w:numPr>
        <w:spacing w:line="360" w:lineRule="auto"/>
        <w:ind w:left="0" w:firstLine="0"/>
        <w:contextualSpacing/>
        <w:jc w:val="both"/>
        <w:rPr>
          <w:rFonts w:ascii="Palatino Linotype" w:eastAsia="MS Mincho" w:hAnsi="Palatino Linotype" w:cs="Arial"/>
          <w:lang w:eastAsia="es-ES"/>
        </w:rPr>
      </w:pPr>
      <w:r w:rsidRPr="003A4CD9">
        <w:rPr>
          <w:rFonts w:ascii="Palatino Linotype" w:eastAsia="MS Mincho" w:hAnsi="Palatino Linotype" w:cs="Arial"/>
          <w:lang w:eastAsia="es-ES"/>
        </w:rPr>
        <w:t xml:space="preserve">Asimismo, la de acuerdo al nivel de desagregación del “Clasificador por Objeto de Gasto Estatal y Municipal, se advierte el Capítulo 1000 Servicios Personales, que agrupa las remuneraciones del personal al servicio de los entes públicos, tales como los sueldos, salarios, dietas, honorarios asimilables al salario, prestaciones y gastos de seguridad social, obligaciones laborables y otras prestaciones derivadas de una </w:t>
      </w:r>
      <w:r w:rsidRPr="003A4CD9">
        <w:rPr>
          <w:rFonts w:ascii="Palatino Linotype" w:eastAsia="MS Mincho" w:hAnsi="Palatino Linotype" w:cs="Arial"/>
          <w:lang w:eastAsia="es-ES"/>
        </w:rPr>
        <w:lastRenderedPageBreak/>
        <w:t xml:space="preserve">relación laboral; pudiendo ser de carácter permanente o transitorio. Dentro del Capítulo 1000, se advierte el Capítulo 1500 </w:t>
      </w:r>
      <w:r w:rsidRPr="003A4CD9">
        <w:rPr>
          <w:rFonts w:ascii="Palatino Linotype" w:hAnsi="Palatino Linotype"/>
        </w:rPr>
        <w:t xml:space="preserve">OTRAS PRESTACIONES SOCIALES Y ECONÓMICAS, mismo que tiene como partidas específicas las siguientes: </w:t>
      </w:r>
    </w:p>
    <w:p w14:paraId="662BCDED" w14:textId="77777777" w:rsidR="008254B6" w:rsidRPr="003A4CD9" w:rsidRDefault="008254B6" w:rsidP="008254B6">
      <w:pPr>
        <w:spacing w:line="360" w:lineRule="auto"/>
        <w:contextualSpacing/>
        <w:jc w:val="both"/>
        <w:rPr>
          <w:rFonts w:ascii="Palatino Linotype" w:hAnsi="Palatino Linotype"/>
        </w:rPr>
      </w:pPr>
    </w:p>
    <w:p w14:paraId="3987F6EF" w14:textId="77777777" w:rsidR="008254B6" w:rsidRPr="003A4CD9" w:rsidRDefault="008254B6" w:rsidP="008254B6">
      <w:pPr>
        <w:spacing w:line="360" w:lineRule="auto"/>
        <w:ind w:left="851" w:right="822"/>
        <w:jc w:val="both"/>
        <w:rPr>
          <w:rFonts w:ascii="Palatino Linotype" w:hAnsi="Palatino Linotype"/>
          <w:i/>
          <w:sz w:val="22"/>
        </w:rPr>
      </w:pPr>
      <w:r w:rsidRPr="003A4CD9">
        <w:rPr>
          <w:rFonts w:ascii="Palatino Linotype" w:hAnsi="Palatino Linotype"/>
          <w:b/>
          <w:i/>
          <w:sz w:val="22"/>
          <w:u w:val="single"/>
        </w:rPr>
        <w:t xml:space="preserve">1522 Liquidaciones por indemnizaciones, por sueldos y salarios caídos. </w:t>
      </w:r>
      <w:r w:rsidRPr="003A4CD9">
        <w:rPr>
          <w:rFonts w:ascii="Palatino Linotype" w:hAnsi="Palatino Linotype"/>
          <w:i/>
          <w:sz w:val="22"/>
        </w:rPr>
        <w:t>Pago de liquidaciones derivadas de laudos</w:t>
      </w:r>
      <w:r w:rsidRPr="003A4CD9">
        <w:rPr>
          <w:rFonts w:ascii="Palatino Linotype" w:hAnsi="Palatino Linotype"/>
          <w:b/>
          <w:i/>
          <w:sz w:val="22"/>
        </w:rPr>
        <w:t xml:space="preserve"> </w:t>
      </w:r>
      <w:r w:rsidRPr="003A4CD9">
        <w:rPr>
          <w:rFonts w:ascii="Palatino Linotype" w:hAnsi="Palatino Linotype"/>
          <w:i/>
          <w:sz w:val="22"/>
        </w:rPr>
        <w:t xml:space="preserve">emitidos o sentencia dictada por autoridad competente, favorables a los servidores públicos, en función de los sueldos, salarios y/o prestaciones percibidas durante el litigio. </w:t>
      </w:r>
    </w:p>
    <w:p w14:paraId="3018EFA3" w14:textId="77777777" w:rsidR="008254B6" w:rsidRPr="003A4CD9" w:rsidRDefault="008254B6" w:rsidP="008254B6">
      <w:pPr>
        <w:spacing w:line="360" w:lineRule="auto"/>
        <w:ind w:left="851" w:right="822"/>
        <w:jc w:val="both"/>
        <w:rPr>
          <w:rFonts w:ascii="Palatino Linotype" w:hAnsi="Palatino Linotype"/>
          <w:i/>
          <w:sz w:val="22"/>
        </w:rPr>
      </w:pPr>
      <w:r w:rsidRPr="003A4CD9">
        <w:rPr>
          <w:rFonts w:ascii="Palatino Linotype" w:hAnsi="Palatino Linotype"/>
          <w:i/>
          <w:sz w:val="22"/>
        </w:rPr>
        <w:t xml:space="preserve">(Énfasis añadido) </w:t>
      </w:r>
    </w:p>
    <w:p w14:paraId="47AE1EA0" w14:textId="77777777" w:rsidR="008254B6" w:rsidRPr="003A4CD9" w:rsidRDefault="008254B6" w:rsidP="008254B6">
      <w:pPr>
        <w:spacing w:line="360" w:lineRule="auto"/>
        <w:contextualSpacing/>
        <w:jc w:val="both"/>
        <w:rPr>
          <w:rFonts w:ascii="Palatino Linotype" w:eastAsia="MS Mincho" w:hAnsi="Palatino Linotype" w:cs="Arial"/>
          <w:lang w:eastAsia="es-ES"/>
        </w:rPr>
      </w:pPr>
    </w:p>
    <w:p w14:paraId="7DD9B4DE" w14:textId="77777777" w:rsidR="00330DEE" w:rsidRPr="003A4CD9" w:rsidRDefault="00330DEE" w:rsidP="00330DEE">
      <w:pPr>
        <w:numPr>
          <w:ilvl w:val="0"/>
          <w:numId w:val="1"/>
        </w:numPr>
        <w:spacing w:line="360" w:lineRule="auto"/>
        <w:ind w:left="0" w:firstLine="0"/>
        <w:contextualSpacing/>
        <w:jc w:val="both"/>
        <w:rPr>
          <w:rFonts w:ascii="Palatino Linotype" w:eastAsia="MS Mincho" w:hAnsi="Palatino Linotype" w:cs="Arial"/>
          <w:lang w:eastAsia="es-ES"/>
        </w:rPr>
      </w:pPr>
      <w:r w:rsidRPr="003A4CD9">
        <w:rPr>
          <w:rFonts w:ascii="Palatino Linotype" w:eastAsia="MS Mincho" w:hAnsi="Palatino Linotype" w:cs="Arial"/>
          <w:lang w:eastAsia="es-ES"/>
        </w:rPr>
        <w:t xml:space="preserve">En ese caso, se advierte que el Sujeto Obligado tiene asignado un monto específico para el pago de liquidaciones, por lo tanto, debe contar con los documentos en donde conste el monto pagado por liquidaciones derivado de las bajas. </w:t>
      </w:r>
      <w:r w:rsidRPr="003A4CD9">
        <w:rPr>
          <w:rFonts w:ascii="Palatino Linotype" w:hAnsi="Palatino Linotype" w:cs="Arial"/>
        </w:rPr>
        <w:t xml:space="preserve">En ese contexto, la </w:t>
      </w:r>
      <w:r w:rsidRPr="003A4CD9">
        <w:rPr>
          <w:rFonts w:ascii="Palatino Linotype" w:hAnsi="Palatino Linotype" w:cs="Arial"/>
          <w:b/>
        </w:rPr>
        <w:t>Ley de Transparencia y Acceso a la Información Pública del Estado de México y Municipios</w:t>
      </w:r>
      <w:r w:rsidRPr="003A4CD9">
        <w:rPr>
          <w:rFonts w:ascii="Palatino Linotype" w:hAnsi="Palatino Linotype" w:cs="Arial"/>
        </w:rPr>
        <w:t xml:space="preserve"> en su artículo 23 fracción XI, señala lo siguiente: </w:t>
      </w:r>
    </w:p>
    <w:p w14:paraId="23FC9333" w14:textId="77777777" w:rsidR="00330DEE" w:rsidRPr="003A4CD9" w:rsidRDefault="00330DEE" w:rsidP="00330DEE">
      <w:pPr>
        <w:pStyle w:val="Prrafodelista"/>
        <w:spacing w:before="240" w:after="360" w:line="360" w:lineRule="auto"/>
        <w:ind w:right="567"/>
        <w:jc w:val="both"/>
        <w:rPr>
          <w:rFonts w:ascii="Palatino Linotype" w:hAnsi="Palatino Linotype"/>
          <w:b/>
          <w:i/>
          <w:u w:val="single"/>
        </w:rPr>
      </w:pPr>
      <w:r w:rsidRPr="003A4CD9">
        <w:rPr>
          <w:rFonts w:ascii="Palatino Linotype" w:hAnsi="Palatino Linotype"/>
          <w:i/>
        </w:rPr>
        <w:t xml:space="preserve">XI. Cualquier otra autoridad, entidad, órgano u organismo de los poderes estatal o municipal, que reciba recursos públicos. </w:t>
      </w:r>
      <w:r w:rsidRPr="003A4CD9">
        <w:rPr>
          <w:rFonts w:ascii="Palatino Linotype" w:hAnsi="Palatino Linotype"/>
          <w:b/>
          <w:i/>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 Los servidores públicos deberán transparentar sus acciones así como garantizar y respetar el derecho de acceso a la información pública.</w:t>
      </w:r>
    </w:p>
    <w:p w14:paraId="2BA7CA65" w14:textId="77777777" w:rsidR="00330DEE" w:rsidRPr="003A4CD9" w:rsidRDefault="00330DEE" w:rsidP="00330DEE">
      <w:pPr>
        <w:pStyle w:val="Prrafodelista"/>
        <w:spacing w:before="240" w:after="360" w:line="360" w:lineRule="auto"/>
        <w:ind w:right="567"/>
        <w:jc w:val="both"/>
        <w:rPr>
          <w:rFonts w:ascii="Palatino Linotype" w:hAnsi="Palatino Linotype" w:cs="Arial"/>
          <w:b/>
          <w:i/>
          <w:u w:val="single"/>
        </w:rPr>
      </w:pPr>
    </w:p>
    <w:p w14:paraId="5F0C4760" w14:textId="77777777" w:rsidR="00330DEE" w:rsidRPr="003A4CD9" w:rsidRDefault="00330DEE" w:rsidP="00330DEE">
      <w:pPr>
        <w:numPr>
          <w:ilvl w:val="0"/>
          <w:numId w:val="1"/>
        </w:numPr>
        <w:spacing w:line="360" w:lineRule="auto"/>
        <w:ind w:left="0" w:firstLine="0"/>
        <w:contextualSpacing/>
        <w:jc w:val="both"/>
        <w:rPr>
          <w:rFonts w:ascii="Palatino Linotype" w:eastAsia="MS Mincho" w:hAnsi="Palatino Linotype" w:cs="Arial"/>
          <w:lang w:eastAsia="es-ES"/>
        </w:rPr>
      </w:pPr>
      <w:r w:rsidRPr="003A4CD9">
        <w:rPr>
          <w:rFonts w:ascii="Palatino Linotype" w:hAnsi="Palatino Linotype" w:cs="Arial"/>
        </w:rPr>
        <w:t xml:space="preserve">De dicho precepto legal se desprende la obligación de los Sujetos Obligados de hacer pública toda aquella información relativa a los montos y las personas a quienes </w:t>
      </w:r>
      <w:r w:rsidRPr="003A4CD9">
        <w:rPr>
          <w:rFonts w:ascii="Palatino Linotype" w:hAnsi="Palatino Linotype" w:cs="Arial"/>
        </w:rPr>
        <w:lastRenderedPageBreak/>
        <w:t>se entreguen, por cualquier motivo, recursos públicos, así como los informes que dichas personas les retribuyan sobre el uso y destino de dichos recursos.</w:t>
      </w:r>
    </w:p>
    <w:p w14:paraId="751B2109" w14:textId="77777777" w:rsidR="00361510" w:rsidRPr="003A4CD9" w:rsidRDefault="00361510" w:rsidP="00361510">
      <w:pPr>
        <w:spacing w:line="360" w:lineRule="auto"/>
        <w:contextualSpacing/>
        <w:jc w:val="both"/>
        <w:rPr>
          <w:rFonts w:ascii="Palatino Linotype" w:eastAsia="MS Mincho" w:hAnsi="Palatino Linotype" w:cs="Arial"/>
          <w:lang w:eastAsia="es-ES"/>
        </w:rPr>
      </w:pPr>
    </w:p>
    <w:p w14:paraId="2CCF5D71" w14:textId="77777777" w:rsidR="00361510" w:rsidRPr="003A4CD9" w:rsidRDefault="00361510" w:rsidP="00330DEE">
      <w:pPr>
        <w:numPr>
          <w:ilvl w:val="0"/>
          <w:numId w:val="1"/>
        </w:numPr>
        <w:spacing w:line="360" w:lineRule="auto"/>
        <w:ind w:left="0" w:firstLine="0"/>
        <w:contextualSpacing/>
        <w:jc w:val="both"/>
        <w:rPr>
          <w:rFonts w:ascii="Palatino Linotype" w:eastAsia="MS Mincho" w:hAnsi="Palatino Linotype" w:cs="Arial"/>
          <w:lang w:eastAsia="es-ES"/>
        </w:rPr>
      </w:pPr>
      <w:r w:rsidRPr="003A4CD9">
        <w:rPr>
          <w:rFonts w:ascii="Palatino Linotype" w:hAnsi="Palatino Linotype" w:cs="Arial"/>
        </w:rPr>
        <w:t xml:space="preserve">Por otro lado, </w:t>
      </w:r>
      <w:r w:rsidR="009577A0" w:rsidRPr="003A4CD9">
        <w:rPr>
          <w:rFonts w:ascii="Palatino Linotype" w:hAnsi="Palatino Linotype" w:cs="Arial"/>
        </w:rPr>
        <w:t xml:space="preserve">sobre la forma de checar las entradas y salidas, cabe traer a contexto los establecido por el </w:t>
      </w:r>
      <w:r w:rsidR="00846DA0" w:rsidRPr="003A4CD9">
        <w:rPr>
          <w:rFonts w:ascii="Palatino Linotype" w:hAnsi="Palatino Linotype" w:cs="Arial"/>
        </w:rPr>
        <w:t>artículo 49, 56 y 59 de la Ley del Trabajo de los Servidores Públicos del Estado de México que determina que la jornada de trabajo es el tiempo durante el cual el servidor público está a disposición de la institución pública para prestar sus servicios, misma que debe estar contenida en los nombramiento, contratos o formatos únicos de movimiento, siendo está, una de las condiciones generales de trabajo.</w:t>
      </w:r>
    </w:p>
    <w:p w14:paraId="2A40859A" w14:textId="77777777" w:rsidR="00846DA0" w:rsidRPr="003A4CD9" w:rsidRDefault="00846DA0" w:rsidP="00846DA0">
      <w:pPr>
        <w:pStyle w:val="Prrafodelista"/>
        <w:rPr>
          <w:rFonts w:ascii="Palatino Linotype" w:eastAsia="MS Mincho" w:hAnsi="Palatino Linotype" w:cs="Arial"/>
          <w:sz w:val="24"/>
          <w:lang w:eastAsia="es-ES"/>
        </w:rPr>
      </w:pPr>
    </w:p>
    <w:p w14:paraId="08523EB7" w14:textId="77777777" w:rsidR="00846DA0" w:rsidRPr="003A4CD9" w:rsidRDefault="00846DA0" w:rsidP="00330DEE">
      <w:pPr>
        <w:numPr>
          <w:ilvl w:val="0"/>
          <w:numId w:val="1"/>
        </w:numPr>
        <w:spacing w:line="360" w:lineRule="auto"/>
        <w:ind w:left="0" w:firstLine="0"/>
        <w:contextualSpacing/>
        <w:jc w:val="both"/>
        <w:rPr>
          <w:rFonts w:ascii="Palatino Linotype" w:eastAsia="MS Mincho" w:hAnsi="Palatino Linotype" w:cs="Arial"/>
          <w:lang w:eastAsia="es-ES"/>
        </w:rPr>
      </w:pPr>
      <w:r w:rsidRPr="003A4CD9">
        <w:rPr>
          <w:rFonts w:ascii="Palatino Linotype" w:eastAsia="MS Mincho" w:hAnsi="Palatino Linotype" w:cs="Arial"/>
          <w:lang w:eastAsia="es-ES"/>
        </w:rPr>
        <w:t>Por su parte, el artículo 88 y 93 del mismo ordenamiento legal, establece que una de las obligaciones de los servidores públicos es asistir puntualmente a sus labores y no faltar sin causa justificada o sin permiso</w:t>
      </w:r>
      <w:r w:rsidR="003444EA" w:rsidRPr="003A4CD9">
        <w:rPr>
          <w:rFonts w:ascii="Palatino Linotype" w:eastAsia="MS Mincho" w:hAnsi="Palatino Linotype" w:cs="Arial"/>
          <w:lang w:eastAsia="es-ES"/>
        </w:rPr>
        <w:t>, de lo contrario,</w:t>
      </w:r>
      <w:r w:rsidRPr="003A4CD9">
        <w:rPr>
          <w:rFonts w:ascii="Palatino Linotype" w:eastAsia="MS Mincho" w:hAnsi="Palatino Linotype" w:cs="Arial"/>
          <w:lang w:eastAsia="es-ES"/>
        </w:rPr>
        <w:t xml:space="preserve"> incurrir en </w:t>
      </w:r>
      <w:r w:rsidRPr="003A4CD9">
        <w:rPr>
          <w:rFonts w:ascii="Palatino Linotype" w:eastAsia="Palatino Linotype" w:hAnsi="Palatino Linotype" w:cs="Palatino Linotype"/>
        </w:rPr>
        <w:t>cuatro o más faltas de asistencia a sus labores sin causa justificada, dentro de un lapso de treinta días</w:t>
      </w:r>
      <w:r w:rsidR="003444EA" w:rsidRPr="003A4CD9">
        <w:rPr>
          <w:rFonts w:ascii="Palatino Linotype" w:eastAsia="Palatino Linotype" w:hAnsi="Palatino Linotype" w:cs="Palatino Linotype"/>
        </w:rPr>
        <w:t>,</w:t>
      </w:r>
      <w:r w:rsidRPr="003A4CD9">
        <w:rPr>
          <w:rFonts w:ascii="Palatino Linotype" w:eastAsia="Palatino Linotype" w:hAnsi="Palatino Linotype" w:cs="Palatino Linotype"/>
        </w:rPr>
        <w:t xml:space="preserve"> abandonar las labores sin autorización previa o razón plenamente justificada, en contravención a lo establecido en las condiciones generales de trabajo</w:t>
      </w:r>
      <w:r w:rsidR="003444EA" w:rsidRPr="003A4CD9">
        <w:rPr>
          <w:rFonts w:ascii="Palatino Linotype" w:eastAsia="Palatino Linotype" w:hAnsi="Palatino Linotype" w:cs="Palatino Linotype"/>
        </w:rPr>
        <w:t xml:space="preserve">, es causa de rescisión de la relación laboral.  </w:t>
      </w:r>
    </w:p>
    <w:p w14:paraId="563C96D2" w14:textId="77777777" w:rsidR="003444EA" w:rsidRPr="003A4CD9" w:rsidRDefault="003444EA" w:rsidP="003444EA">
      <w:pPr>
        <w:pStyle w:val="Prrafodelista"/>
        <w:rPr>
          <w:rFonts w:ascii="Palatino Linotype" w:eastAsia="MS Mincho" w:hAnsi="Palatino Linotype" w:cs="Arial"/>
          <w:sz w:val="24"/>
          <w:lang w:eastAsia="es-ES"/>
        </w:rPr>
      </w:pPr>
    </w:p>
    <w:p w14:paraId="6D72D3CC" w14:textId="77777777" w:rsidR="003444EA" w:rsidRPr="003A4CD9" w:rsidRDefault="003444EA" w:rsidP="00330DEE">
      <w:pPr>
        <w:numPr>
          <w:ilvl w:val="0"/>
          <w:numId w:val="1"/>
        </w:numPr>
        <w:spacing w:line="360" w:lineRule="auto"/>
        <w:ind w:left="0" w:firstLine="0"/>
        <w:contextualSpacing/>
        <w:jc w:val="both"/>
        <w:rPr>
          <w:rFonts w:ascii="Palatino Linotype" w:eastAsia="MS Mincho" w:hAnsi="Palatino Linotype" w:cs="Arial"/>
          <w:lang w:eastAsia="es-ES"/>
        </w:rPr>
      </w:pPr>
      <w:r w:rsidRPr="003A4CD9">
        <w:rPr>
          <w:rFonts w:ascii="Palatino Linotype" w:eastAsia="MS Mincho" w:hAnsi="Palatino Linotype" w:cs="Arial"/>
          <w:lang w:eastAsia="es-ES"/>
        </w:rPr>
        <w:t xml:space="preserve">En ese contexto, atendiendo a que una de las obligaciones de los servidores públicos es asistir a sus labores, el documento que de manera enunciativa más no limitativa, que pudiera dar cuenta de la forma de checar de los servidores públicos que causaron alta o baja dentro del periodo solicitado, son las listas de asistencia. </w:t>
      </w:r>
    </w:p>
    <w:p w14:paraId="69342D52" w14:textId="77777777" w:rsidR="00330DEE" w:rsidRPr="003A4CD9" w:rsidRDefault="00330DEE" w:rsidP="0092408C">
      <w:pPr>
        <w:spacing w:line="360" w:lineRule="auto"/>
        <w:contextualSpacing/>
        <w:jc w:val="both"/>
        <w:rPr>
          <w:rFonts w:ascii="Palatino Linotype" w:eastAsia="MS Mincho" w:hAnsi="Palatino Linotype" w:cs="Arial"/>
          <w:lang w:eastAsia="es-ES"/>
        </w:rPr>
      </w:pPr>
    </w:p>
    <w:p w14:paraId="11BB9881" w14:textId="77777777" w:rsidR="00847857" w:rsidRPr="003A4CD9" w:rsidRDefault="0092408C" w:rsidP="0092408C">
      <w:pPr>
        <w:numPr>
          <w:ilvl w:val="0"/>
          <w:numId w:val="1"/>
        </w:numPr>
        <w:spacing w:line="360" w:lineRule="auto"/>
        <w:ind w:left="0" w:firstLine="0"/>
        <w:contextualSpacing/>
        <w:jc w:val="both"/>
        <w:rPr>
          <w:rFonts w:ascii="Palatino Linotype" w:eastAsia="MS Mincho" w:hAnsi="Palatino Linotype" w:cs="Arial"/>
          <w:lang w:eastAsia="es-ES"/>
        </w:rPr>
      </w:pPr>
      <w:bookmarkStart w:id="26" w:name="_Toc81487308"/>
      <w:bookmarkStart w:id="27" w:name="_Toc83053381"/>
      <w:r w:rsidRPr="003A4CD9">
        <w:rPr>
          <w:rFonts w:ascii="Palatino Linotype" w:eastAsia="MS Gothic" w:hAnsi="Palatino Linotype" w:cstheme="majorBidi"/>
          <w:bCs/>
        </w:rPr>
        <w:lastRenderedPageBreak/>
        <w:t xml:space="preserve">Derivado del estudio de la información solicitada, así como de la respuesta del Sujeto Obligado, resultan fundados los motivos de inconformidad hechos valer por el recurrente, por lo cual, con fundamento en el artículo 186, fracción III de la Ley de Transparencia y Acceso a la Información Pública del Estado de México y Municipios, de determina </w:t>
      </w:r>
      <w:r w:rsidRPr="003A4CD9">
        <w:rPr>
          <w:rFonts w:ascii="Palatino Linotype" w:eastAsia="MS Gothic" w:hAnsi="Palatino Linotype" w:cstheme="majorBidi"/>
          <w:b/>
          <w:bCs/>
        </w:rPr>
        <w:t>REVOCAR</w:t>
      </w:r>
      <w:r w:rsidRPr="003A4CD9">
        <w:rPr>
          <w:rFonts w:ascii="Palatino Linotype" w:eastAsia="MS Gothic" w:hAnsi="Palatino Linotype" w:cstheme="majorBidi"/>
          <w:bCs/>
        </w:rPr>
        <w:t xml:space="preserve"> la respuesta del </w:t>
      </w:r>
      <w:r w:rsidRPr="003A4CD9">
        <w:rPr>
          <w:rFonts w:ascii="Palatino Linotype" w:eastAsia="MS Gothic" w:hAnsi="Palatino Linotype" w:cstheme="majorBidi"/>
          <w:b/>
          <w:bCs/>
        </w:rPr>
        <w:t xml:space="preserve">SUJETO OBLIGADO </w:t>
      </w:r>
      <w:r w:rsidRPr="003A4CD9">
        <w:rPr>
          <w:rFonts w:ascii="Palatino Linotype" w:eastAsia="MS Gothic" w:hAnsi="Palatino Linotype" w:cstheme="majorBidi"/>
          <w:bCs/>
        </w:rPr>
        <w:t>y se</w:t>
      </w:r>
      <w:r w:rsidRPr="003A4CD9">
        <w:rPr>
          <w:rFonts w:ascii="Palatino Linotype" w:eastAsia="MS Gothic" w:hAnsi="Palatino Linotype" w:cstheme="majorBidi"/>
          <w:b/>
          <w:bCs/>
        </w:rPr>
        <w:t xml:space="preserve"> ORDENA </w:t>
      </w:r>
      <w:r w:rsidRPr="003A4CD9">
        <w:rPr>
          <w:rFonts w:ascii="Palatino Linotype" w:eastAsia="MS Gothic" w:hAnsi="Palatino Linotype" w:cstheme="majorBidi"/>
          <w:bCs/>
        </w:rPr>
        <w:t xml:space="preserve">la entrega, de ser procedente en versión pública </w:t>
      </w:r>
      <w:bookmarkEnd w:id="23"/>
      <w:bookmarkEnd w:id="24"/>
      <w:bookmarkEnd w:id="26"/>
      <w:bookmarkEnd w:id="27"/>
    </w:p>
    <w:p w14:paraId="64D64E0D" w14:textId="77777777" w:rsidR="00847857" w:rsidRPr="003A4CD9" w:rsidRDefault="00847857" w:rsidP="00847857">
      <w:pPr>
        <w:pStyle w:val="Prrafodelista"/>
        <w:spacing w:line="360" w:lineRule="auto"/>
        <w:ind w:left="0"/>
        <w:jc w:val="both"/>
        <w:rPr>
          <w:rFonts w:ascii="Palatino Linotype" w:eastAsia="Arial Unicode MS" w:hAnsi="Palatino Linotype" w:cs="Arial"/>
          <w:sz w:val="24"/>
        </w:rPr>
      </w:pPr>
    </w:p>
    <w:p w14:paraId="0C7D239D" w14:textId="77777777" w:rsidR="00847857" w:rsidRPr="003A4CD9" w:rsidRDefault="00847857" w:rsidP="00847857">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28" w:name="_Toc89350464"/>
      <w:bookmarkStart w:id="29" w:name="_Toc94119619"/>
      <w:r w:rsidRPr="003A4CD9">
        <w:rPr>
          <w:rFonts w:ascii="Palatino Linotype" w:hAnsi="Palatino Linotype"/>
          <w:b/>
          <w:bCs/>
          <w:color w:val="000000" w:themeColor="text1"/>
          <w:sz w:val="24"/>
        </w:rPr>
        <w:t>QUINTO. De la versión pública.</w:t>
      </w:r>
      <w:bookmarkEnd w:id="28"/>
      <w:bookmarkEnd w:id="29"/>
    </w:p>
    <w:p w14:paraId="37CBFE2D" w14:textId="77777777" w:rsidR="00847857" w:rsidRPr="003A4CD9" w:rsidRDefault="00847857" w:rsidP="00847857">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3A4CD9">
        <w:rPr>
          <w:rFonts w:ascii="Palatino Linotype" w:hAnsi="Palatino Linotype"/>
          <w:color w:val="000000" w:themeColor="text1"/>
          <w:sz w:val="24"/>
        </w:rPr>
        <w:t>Debe destacarse que, debido a la naturaleza de la información solicitada</w:t>
      </w:r>
      <w:r w:rsidRPr="003A4CD9">
        <w:rPr>
          <w:rFonts w:ascii="Palatino Linotype" w:hAnsi="Palatino Linotype"/>
          <w:b/>
          <w:color w:val="000000" w:themeColor="text1"/>
          <w:sz w:val="24"/>
        </w:rPr>
        <w:t xml:space="preserve"> </w:t>
      </w:r>
      <w:r w:rsidRPr="003A4CD9">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27E2CA68" w14:textId="77777777" w:rsidR="00847857" w:rsidRPr="003A4CD9" w:rsidRDefault="00847857" w:rsidP="00847857">
      <w:pPr>
        <w:pStyle w:val="Prrafodelista"/>
        <w:tabs>
          <w:tab w:val="left" w:pos="426"/>
        </w:tabs>
        <w:spacing w:line="360" w:lineRule="auto"/>
        <w:ind w:left="0" w:right="51"/>
        <w:jc w:val="both"/>
        <w:rPr>
          <w:rFonts w:ascii="Palatino Linotype" w:hAnsi="Palatino Linotype"/>
          <w:color w:val="000000" w:themeColor="text1"/>
          <w:sz w:val="24"/>
        </w:rPr>
      </w:pPr>
    </w:p>
    <w:p w14:paraId="427BCB40" w14:textId="77777777" w:rsidR="00847857" w:rsidRPr="003A4CD9" w:rsidRDefault="00847857" w:rsidP="00847857">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3A4CD9">
        <w:rPr>
          <w:rFonts w:ascii="Palatino Linotype" w:hAnsi="Palatino Linotype"/>
          <w:color w:val="000000" w:themeColor="text1"/>
          <w:sz w:val="24"/>
        </w:rPr>
        <w:t xml:space="preserve">La </w:t>
      </w:r>
      <w:r w:rsidRPr="003A4CD9">
        <w:rPr>
          <w:rFonts w:ascii="Palatino Linotype" w:eastAsia="MS Mincho" w:hAnsi="Palatino Linotype"/>
          <w:sz w:val="24"/>
        </w:rPr>
        <w:t>clasificación total o parcial de la información requerida, mediante solicitud de acceso a la información pública, constituye una restricción al derecho humano de acceso a la información</w:t>
      </w:r>
      <w:r w:rsidRPr="003A4CD9">
        <w:rPr>
          <w:rFonts w:ascii="Palatino Linotype" w:hAnsi="Palatino Linotype" w:cs="Arial"/>
          <w:color w:val="000000"/>
          <w:sz w:val="24"/>
        </w:rPr>
        <w:t>, por lo que es menester reiterar los mismos:</w:t>
      </w:r>
    </w:p>
    <w:p w14:paraId="22313D6E" w14:textId="77777777" w:rsidR="00847857" w:rsidRPr="003A4CD9" w:rsidRDefault="00847857" w:rsidP="00847857">
      <w:pPr>
        <w:pStyle w:val="Prrafodelista"/>
        <w:tabs>
          <w:tab w:val="left" w:pos="426"/>
        </w:tabs>
        <w:spacing w:line="360" w:lineRule="auto"/>
        <w:ind w:left="0" w:right="51"/>
        <w:jc w:val="both"/>
        <w:rPr>
          <w:rFonts w:ascii="Palatino Linotype" w:hAnsi="Palatino Linotype"/>
          <w:color w:val="000000" w:themeColor="text1"/>
          <w:sz w:val="24"/>
        </w:rPr>
      </w:pPr>
    </w:p>
    <w:tbl>
      <w:tblPr>
        <w:tblStyle w:val="Tabladecuadrcula6concolores"/>
        <w:tblW w:w="0" w:type="auto"/>
        <w:tblLook w:val="04A0" w:firstRow="1" w:lastRow="0" w:firstColumn="1" w:lastColumn="0" w:noHBand="0" w:noVBand="1"/>
      </w:tblPr>
      <w:tblGrid>
        <w:gridCol w:w="1838"/>
        <w:gridCol w:w="6990"/>
      </w:tblGrid>
      <w:tr w:rsidR="00847857" w:rsidRPr="003A4CD9" w14:paraId="60220E51" w14:textId="77777777" w:rsidTr="00D64A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60E5D02" w14:textId="77777777" w:rsidR="00847857" w:rsidRPr="003A4CD9" w:rsidRDefault="00847857" w:rsidP="00D64A85">
            <w:pPr>
              <w:spacing w:line="360" w:lineRule="auto"/>
              <w:rPr>
                <w:rFonts w:ascii="Palatino Linotype" w:hAnsi="Palatino Linotype"/>
                <w:sz w:val="20"/>
              </w:rPr>
            </w:pPr>
            <w:r w:rsidRPr="003A4CD9">
              <w:rPr>
                <w:rFonts w:ascii="Palatino Linotype" w:hAnsi="Palatino Linotype" w:cstheme="majorBidi"/>
                <w:b w:val="0"/>
                <w:sz w:val="20"/>
              </w:rPr>
              <w:t>a) Requisitos previos.</w:t>
            </w:r>
          </w:p>
        </w:tc>
        <w:tc>
          <w:tcPr>
            <w:tcW w:w="6990" w:type="dxa"/>
          </w:tcPr>
          <w:p w14:paraId="0012EA7A" w14:textId="77777777" w:rsidR="00847857" w:rsidRPr="003A4CD9" w:rsidRDefault="00847857" w:rsidP="00D64A8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3A4CD9">
              <w:rPr>
                <w:rFonts w:ascii="Palatino Linotype" w:hAnsi="Palatino Linotype" w:cs="Arial"/>
                <w:color w:val="000000"/>
                <w:sz w:val="20"/>
              </w:rPr>
              <w:t xml:space="preserve">Los artículos 100 y 122 de la Ley Estatal y de la Ley General, respectivamente, señalan que si los </w:t>
            </w:r>
            <w:r w:rsidRPr="003A4CD9">
              <w:rPr>
                <w:rFonts w:ascii="Palatino Linotype" w:hAnsi="Palatino Linotype" w:cs="Arial"/>
                <w:b w:val="0"/>
                <w:color w:val="000000"/>
                <w:sz w:val="20"/>
              </w:rPr>
              <w:t>Sujetos Obligados</w:t>
            </w:r>
            <w:r w:rsidRPr="003A4CD9">
              <w:rPr>
                <w:rFonts w:ascii="Palatino Linotype" w:hAnsi="Palatino Linotype" w:cs="Arial"/>
                <w:color w:val="000000"/>
                <w:sz w:val="20"/>
              </w:rPr>
              <w:t xml:space="preserve"> determinan que la información actualiza alguno de los supuestos de clasificación, es deber de los titulares de las áreas proponer su clasificación y no del Comité de Transparencia. </w:t>
            </w:r>
          </w:p>
          <w:p w14:paraId="70B9E824" w14:textId="77777777" w:rsidR="00847857" w:rsidRPr="003A4CD9" w:rsidRDefault="00847857" w:rsidP="00D64A8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3A4CD9">
              <w:rPr>
                <w:rFonts w:ascii="Palatino Linotype" w:hAnsi="Palatino Linotype" w:cs="Arial"/>
                <w:color w:val="000000"/>
                <w:sz w:val="20"/>
              </w:rPr>
              <w:lastRenderedPageBreak/>
              <w:t>Al hacerlo tienen que precisar de qué información se trata, señalando el supuesto de clasificación (confidencialidad o reserva).</w:t>
            </w:r>
          </w:p>
          <w:p w14:paraId="270B9229" w14:textId="77777777" w:rsidR="00847857" w:rsidRPr="003A4CD9" w:rsidRDefault="00847857" w:rsidP="00D64A85">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3A4CD9">
              <w:rPr>
                <w:rFonts w:ascii="Palatino Linotype" w:hAnsi="Palatino Linotype" w:cs="Arial"/>
                <w:color w:val="000000"/>
                <w:sz w:val="20"/>
              </w:rPr>
              <w:t>Además, se debe señalar el procedimiento, de los tres que establecen los artículos 132 y 106 de la Ley Estatal y General, respectivamente.</w:t>
            </w:r>
          </w:p>
          <w:p w14:paraId="01F2F15C" w14:textId="77777777" w:rsidR="00847857" w:rsidRPr="003A4CD9" w:rsidRDefault="00847857" w:rsidP="00D64A85">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3A4CD9">
              <w:rPr>
                <w:rFonts w:ascii="Palatino Linotype" w:hAnsi="Palatino Linotype" w:cs="Arial"/>
                <w:color w:val="000000"/>
                <w:sz w:val="20"/>
              </w:rPr>
              <w:t xml:space="preserve">El último de estos requisitos previos consiste en que no se pueden emitir acuerdos de carácter general ni particular, esto es, </w:t>
            </w:r>
            <w:r w:rsidRPr="003A4CD9">
              <w:rPr>
                <w:rFonts w:ascii="Palatino Linotype" w:hAnsi="Palatino Linotype" w:cs="Arial"/>
                <w:b w:val="0"/>
                <w:color w:val="000000"/>
                <w:sz w:val="20"/>
                <w:u w:val="single"/>
              </w:rPr>
              <w:t xml:space="preserve">no se puede hacer un acuerdo para clasificar de manera general todos los documentos de un expediente o área,  </w:t>
            </w:r>
            <w:r w:rsidRPr="003A4CD9">
              <w:rPr>
                <w:rFonts w:ascii="Palatino Linotype" w:hAnsi="Palatino Linotype" w:cs="Arial"/>
                <w:color w:val="000000"/>
                <w:sz w:val="20"/>
              </w:rPr>
              <w:t>sin individualizar su análisis y tampoco se puede hacer un acuerdo por cada dato que se vaya a clasificar dentro de un documento con diez datos, por ejemplo, susceptibles de ser clasificados.</w:t>
            </w:r>
          </w:p>
        </w:tc>
      </w:tr>
      <w:tr w:rsidR="00847857" w:rsidRPr="003A4CD9" w14:paraId="208DA0AA" w14:textId="77777777" w:rsidTr="00D64A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58C269A" w14:textId="77777777" w:rsidR="00847857" w:rsidRPr="003A4CD9" w:rsidRDefault="00847857" w:rsidP="00D64A85">
            <w:pPr>
              <w:spacing w:line="360" w:lineRule="auto"/>
              <w:rPr>
                <w:rFonts w:ascii="Palatino Linotype" w:hAnsi="Palatino Linotype"/>
                <w:sz w:val="20"/>
              </w:rPr>
            </w:pPr>
            <w:r w:rsidRPr="003A4CD9">
              <w:rPr>
                <w:rFonts w:ascii="Palatino Linotype" w:hAnsi="Palatino Linotype" w:cstheme="majorBidi"/>
                <w:b w:val="0"/>
                <w:sz w:val="20"/>
              </w:rPr>
              <w:lastRenderedPageBreak/>
              <w:t>b) Supuestos de clasificación.</w:t>
            </w:r>
          </w:p>
        </w:tc>
        <w:tc>
          <w:tcPr>
            <w:tcW w:w="6990" w:type="dxa"/>
          </w:tcPr>
          <w:p w14:paraId="3CB19F03" w14:textId="77777777" w:rsidR="00847857" w:rsidRPr="003A4CD9" w:rsidRDefault="00847857" w:rsidP="00D64A8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3A4CD9">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052E115B" w14:textId="77777777" w:rsidR="00847857" w:rsidRPr="003A4CD9" w:rsidRDefault="00847857" w:rsidP="00D64A8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3A4CD9">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35C8CAD" w14:textId="77777777" w:rsidR="00847857" w:rsidRPr="003A4CD9" w:rsidRDefault="00847857" w:rsidP="00D64A85">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3A4CD9">
              <w:rPr>
                <w:rFonts w:ascii="Palatino Linotype" w:hAnsi="Palatino Linotype" w:cs="Arial"/>
                <w:color w:val="000000"/>
                <w:sz w:val="20"/>
              </w:rPr>
              <w:t xml:space="preserve">El </w:t>
            </w:r>
            <w:r w:rsidRPr="003A4CD9">
              <w:rPr>
                <w:rFonts w:ascii="Palatino Linotype" w:hAnsi="Palatino Linotype" w:cs="Arial"/>
                <w:b/>
                <w:color w:val="000000"/>
                <w:sz w:val="20"/>
              </w:rPr>
              <w:t>SUJETO OBLIGADO</w:t>
            </w:r>
            <w:r w:rsidRPr="003A4CD9">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47857" w:rsidRPr="003A4CD9" w14:paraId="01589741" w14:textId="77777777" w:rsidTr="00D64A85">
        <w:tc>
          <w:tcPr>
            <w:cnfStyle w:val="001000000000" w:firstRow="0" w:lastRow="0" w:firstColumn="1" w:lastColumn="0" w:oddVBand="0" w:evenVBand="0" w:oddHBand="0" w:evenHBand="0" w:firstRowFirstColumn="0" w:firstRowLastColumn="0" w:lastRowFirstColumn="0" w:lastRowLastColumn="0"/>
            <w:tcW w:w="1838" w:type="dxa"/>
          </w:tcPr>
          <w:p w14:paraId="74596F19" w14:textId="77777777" w:rsidR="00847857" w:rsidRPr="003A4CD9" w:rsidRDefault="00847857" w:rsidP="00D64A85">
            <w:pPr>
              <w:spacing w:line="360" w:lineRule="auto"/>
              <w:rPr>
                <w:rFonts w:ascii="Palatino Linotype" w:hAnsi="Palatino Linotype"/>
                <w:sz w:val="20"/>
              </w:rPr>
            </w:pPr>
            <w:r w:rsidRPr="003A4CD9">
              <w:rPr>
                <w:rFonts w:ascii="Palatino Linotype" w:hAnsi="Palatino Linotype" w:cstheme="majorBidi"/>
                <w:b w:val="0"/>
                <w:sz w:val="20"/>
              </w:rPr>
              <w:t>c) Formalidades para emitir el acuerdo de clasificación.</w:t>
            </w:r>
          </w:p>
        </w:tc>
        <w:tc>
          <w:tcPr>
            <w:tcW w:w="6990" w:type="dxa"/>
          </w:tcPr>
          <w:p w14:paraId="26080E04" w14:textId="77777777" w:rsidR="00847857" w:rsidRPr="003A4CD9" w:rsidRDefault="00847857" w:rsidP="00D64A8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3A4CD9">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1E0E73B7" w14:textId="77777777" w:rsidR="00847857" w:rsidRPr="003A4CD9" w:rsidRDefault="00847857" w:rsidP="00D64A8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3A4CD9">
              <w:rPr>
                <w:rFonts w:ascii="Palatino Linotype" w:hAnsi="Palatino Linotype" w:cs="Arial"/>
                <w:color w:val="000000"/>
                <w:sz w:val="20"/>
              </w:rPr>
              <w:lastRenderedPageBreak/>
              <w:t xml:space="preserve">Es necesario que </w:t>
            </w:r>
            <w:r w:rsidRPr="003A4CD9">
              <w:rPr>
                <w:rFonts w:ascii="Palatino Linotype" w:hAnsi="Palatino Linotype" w:cs="Arial"/>
                <w:b/>
                <w:color w:val="000000"/>
                <w:sz w:val="20"/>
                <w:u w:val="single"/>
              </w:rPr>
              <w:t>el acto reúna con los requisitos elementales</w:t>
            </w:r>
            <w:r w:rsidRPr="003A4CD9">
              <w:rPr>
                <w:rFonts w:ascii="Palatino Linotype" w:hAnsi="Palatino Linotype" w:cs="Arial"/>
                <w:color w:val="000000"/>
                <w:sz w:val="20"/>
              </w:rPr>
              <w:t>, entre ellos, que la autoridad que va a emitir el acto de autoridad sea la legalmente facultada para ello.</w:t>
            </w:r>
          </w:p>
          <w:p w14:paraId="2B79F92A" w14:textId="77777777" w:rsidR="00847857" w:rsidRPr="003A4CD9" w:rsidRDefault="00847857" w:rsidP="00D64A85">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3A4CD9">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47857" w:rsidRPr="003A4CD9" w14:paraId="49CDA697" w14:textId="77777777" w:rsidTr="00D64A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EAF47AB" w14:textId="77777777" w:rsidR="00847857" w:rsidRPr="003A4CD9" w:rsidRDefault="00847857" w:rsidP="00D64A85">
            <w:pPr>
              <w:spacing w:line="360" w:lineRule="auto"/>
              <w:rPr>
                <w:rFonts w:ascii="Palatino Linotype" w:hAnsi="Palatino Linotype"/>
                <w:b w:val="0"/>
                <w:sz w:val="20"/>
              </w:rPr>
            </w:pPr>
          </w:p>
          <w:p w14:paraId="655D47A8" w14:textId="77777777" w:rsidR="00847857" w:rsidRPr="003A4CD9" w:rsidRDefault="00847857" w:rsidP="00D64A85">
            <w:pPr>
              <w:spacing w:line="360" w:lineRule="auto"/>
              <w:jc w:val="both"/>
              <w:rPr>
                <w:rFonts w:ascii="Palatino Linotype" w:hAnsi="Palatino Linotype"/>
                <w:b w:val="0"/>
                <w:sz w:val="20"/>
              </w:rPr>
            </w:pPr>
            <w:r w:rsidRPr="003A4CD9">
              <w:rPr>
                <w:rFonts w:ascii="Palatino Linotype" w:hAnsi="Palatino Linotype" w:cs="Arial"/>
                <w:b w:val="0"/>
                <w:color w:val="000000"/>
                <w:sz w:val="20"/>
              </w:rPr>
              <w:t xml:space="preserve">d) Requisitos de fondo del acuerdo de clasificación. </w:t>
            </w:r>
          </w:p>
        </w:tc>
        <w:tc>
          <w:tcPr>
            <w:tcW w:w="6990" w:type="dxa"/>
          </w:tcPr>
          <w:p w14:paraId="4692E9D9" w14:textId="77777777" w:rsidR="00847857" w:rsidRPr="003A4CD9" w:rsidRDefault="00847857" w:rsidP="00D64A8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3A4CD9">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A4CD9">
              <w:rPr>
                <w:rFonts w:ascii="Palatino Linotype" w:hAnsi="Palatino Linotype" w:cs="Arial"/>
                <w:b/>
                <w:color w:val="000000"/>
                <w:sz w:val="20"/>
              </w:rPr>
              <w:t>Sujetos Obligados</w:t>
            </w:r>
            <w:r w:rsidRPr="003A4CD9">
              <w:rPr>
                <w:rFonts w:ascii="Palatino Linotype" w:hAnsi="Palatino Linotype" w:cs="Arial"/>
                <w:color w:val="000000"/>
                <w:sz w:val="20"/>
              </w:rPr>
              <w:t xml:space="preserve">, por lo que deberán fundar y motivar debidamente la clasificación. </w:t>
            </w:r>
          </w:p>
          <w:p w14:paraId="0D22004D" w14:textId="77777777" w:rsidR="00847857" w:rsidRPr="003A4CD9" w:rsidRDefault="00847857" w:rsidP="00D64A8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3A4CD9">
              <w:rPr>
                <w:rFonts w:ascii="Palatino Linotype" w:hAnsi="Palatino Linotype" w:cs="Arial"/>
                <w:color w:val="000000"/>
                <w:sz w:val="20"/>
              </w:rPr>
              <w:t xml:space="preserve">De lo anterior, se desprende que para una correcta </w:t>
            </w:r>
            <w:r w:rsidRPr="003A4CD9">
              <w:rPr>
                <w:rFonts w:ascii="Palatino Linotype" w:hAnsi="Palatino Linotype" w:cs="Arial"/>
                <w:b/>
                <w:color w:val="000000"/>
                <w:sz w:val="20"/>
              </w:rPr>
              <w:t>clasificación total o parcial</w:t>
            </w:r>
            <w:r w:rsidRPr="003A4CD9">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C7254F9" w14:textId="77777777" w:rsidR="00847857" w:rsidRPr="003A4CD9" w:rsidRDefault="00847857" w:rsidP="00D64A8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3A4CD9">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932CDD6" w14:textId="77777777" w:rsidR="00847857" w:rsidRPr="003A4CD9" w:rsidRDefault="00847857" w:rsidP="00D64A8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3A4CD9">
              <w:rPr>
                <w:rFonts w:ascii="Palatino Linotype" w:hAnsi="Palatino Linotype" w:cs="Arial"/>
                <w:color w:val="000000"/>
                <w:sz w:val="20"/>
              </w:rPr>
              <w:lastRenderedPageBreak/>
              <w:t>En ese mismo sentido, el numeral trigésimo tercero fracción V de los Lineamientos Generales, precisa que para motivar la clasificación se deben acreditar las circunstancias de tiempo, modo y lugar.</w:t>
            </w:r>
          </w:p>
          <w:p w14:paraId="2D0F94D6" w14:textId="77777777" w:rsidR="00847857" w:rsidRPr="003A4CD9" w:rsidRDefault="00847857" w:rsidP="00D64A85">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3A4CD9">
              <w:rPr>
                <w:rFonts w:ascii="Palatino Linotype" w:hAnsi="Palatino Linotype" w:cs="Arial"/>
                <w:color w:val="000000"/>
                <w:sz w:val="20"/>
              </w:rPr>
              <w:t xml:space="preserve">Ahora bien, </w:t>
            </w:r>
            <w:r w:rsidRPr="003A4CD9">
              <w:rPr>
                <w:rFonts w:ascii="Palatino Linotype" w:hAnsi="Palatino Linotype" w:cs="Arial"/>
                <w:b/>
                <w:color w:val="000000"/>
                <w:sz w:val="20"/>
                <w:u w:val="single"/>
              </w:rPr>
              <w:t>para cada caso además de fundar y motivar</w:t>
            </w:r>
            <w:r w:rsidRPr="003A4CD9">
              <w:rPr>
                <w:rFonts w:ascii="Palatino Linotype" w:hAnsi="Palatino Linotype" w:cs="Arial"/>
                <w:color w:val="000000"/>
                <w:sz w:val="20"/>
              </w:rPr>
              <w:t xml:space="preserve">, se debe identificar con claridad que datos contenidos en las documentales que son susceptibles de suprimirse, por ejemplo; </w:t>
            </w:r>
            <w:r w:rsidRPr="003A4CD9">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47857" w:rsidRPr="003A4CD9" w14:paraId="458D7B77" w14:textId="77777777" w:rsidTr="00D64A85">
        <w:tc>
          <w:tcPr>
            <w:cnfStyle w:val="001000000000" w:firstRow="0" w:lastRow="0" w:firstColumn="1" w:lastColumn="0" w:oddVBand="0" w:evenVBand="0" w:oddHBand="0" w:evenHBand="0" w:firstRowFirstColumn="0" w:firstRowLastColumn="0" w:lastRowFirstColumn="0" w:lastRowLastColumn="0"/>
            <w:tcW w:w="1838" w:type="dxa"/>
          </w:tcPr>
          <w:p w14:paraId="717CC851" w14:textId="77777777" w:rsidR="00847857" w:rsidRPr="003A4CD9" w:rsidRDefault="00847857" w:rsidP="00D64A85">
            <w:pPr>
              <w:spacing w:line="360" w:lineRule="auto"/>
              <w:ind w:right="49"/>
              <w:jc w:val="both"/>
              <w:rPr>
                <w:rFonts w:ascii="Palatino Linotype" w:hAnsi="Palatino Linotype" w:cs="Arial"/>
                <w:color w:val="000000"/>
                <w:sz w:val="20"/>
              </w:rPr>
            </w:pPr>
            <w:r w:rsidRPr="003A4CD9">
              <w:rPr>
                <w:rFonts w:ascii="Palatino Linotype" w:eastAsia="MS Gothic" w:hAnsi="Palatino Linotype"/>
                <w:b w:val="0"/>
                <w:sz w:val="20"/>
              </w:rPr>
              <w:lastRenderedPageBreak/>
              <w:t xml:space="preserve">e) Condiciones especiales de la clasificación de la información como confidencial. </w:t>
            </w:r>
          </w:p>
          <w:p w14:paraId="5B1DC6FB" w14:textId="77777777" w:rsidR="00847857" w:rsidRPr="003A4CD9" w:rsidRDefault="00847857" w:rsidP="00D64A85">
            <w:pPr>
              <w:spacing w:line="360" w:lineRule="auto"/>
              <w:rPr>
                <w:rFonts w:ascii="Palatino Linotype" w:hAnsi="Palatino Linotype"/>
                <w:sz w:val="20"/>
              </w:rPr>
            </w:pPr>
          </w:p>
        </w:tc>
        <w:tc>
          <w:tcPr>
            <w:tcW w:w="6990" w:type="dxa"/>
          </w:tcPr>
          <w:p w14:paraId="20677941" w14:textId="77777777" w:rsidR="00847857" w:rsidRPr="003A4CD9" w:rsidRDefault="00847857" w:rsidP="00D64A8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3A4CD9">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3CA385EF" w14:textId="77777777" w:rsidR="00847857" w:rsidRPr="003A4CD9" w:rsidRDefault="00847857" w:rsidP="00D64A85">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3A4CD9">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855FB10" w14:textId="77777777" w:rsidR="00847857" w:rsidRPr="003A4CD9" w:rsidRDefault="00847857" w:rsidP="00D64A85">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3A4CD9">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5FC65839" w14:textId="77777777" w:rsidR="00666EE1" w:rsidRPr="003A4CD9" w:rsidRDefault="00666EE1" w:rsidP="00666EE1">
      <w:pPr>
        <w:pStyle w:val="Prrafodelista"/>
        <w:spacing w:line="360" w:lineRule="auto"/>
        <w:ind w:left="0"/>
        <w:jc w:val="both"/>
        <w:rPr>
          <w:rFonts w:ascii="Palatino Linotype" w:hAnsi="Palatino Linotype" w:cs="Arial"/>
          <w:sz w:val="24"/>
        </w:rPr>
      </w:pPr>
    </w:p>
    <w:p w14:paraId="5733744C" w14:textId="77777777" w:rsidR="00666EE1" w:rsidRPr="003A4CD9" w:rsidRDefault="00666EE1" w:rsidP="00666EE1">
      <w:pPr>
        <w:keepNext/>
        <w:keepLines/>
        <w:spacing w:before="240" w:line="259" w:lineRule="auto"/>
        <w:outlineLvl w:val="0"/>
        <w:rPr>
          <w:rFonts w:ascii="Palatino Linotype" w:eastAsia="MS Gothic" w:hAnsi="Palatino Linotype"/>
          <w:b/>
          <w:color w:val="000000"/>
        </w:rPr>
      </w:pPr>
      <w:bookmarkStart w:id="30" w:name="_Toc96007420"/>
      <w:bookmarkStart w:id="31" w:name="_Toc98429042"/>
      <w:bookmarkStart w:id="32" w:name="_Toc98978657"/>
      <w:bookmarkStart w:id="33" w:name="_Toc102644153"/>
      <w:r w:rsidRPr="003A4CD9">
        <w:rPr>
          <w:rFonts w:ascii="Palatino Linotype" w:eastAsia="MS Gothic" w:hAnsi="Palatino Linotype"/>
          <w:b/>
          <w:color w:val="000000"/>
        </w:rPr>
        <w:t>a) Del nombre de policías.</w:t>
      </w:r>
      <w:bookmarkEnd w:id="30"/>
      <w:bookmarkEnd w:id="31"/>
      <w:bookmarkEnd w:id="32"/>
      <w:bookmarkEnd w:id="33"/>
      <w:r w:rsidRPr="003A4CD9">
        <w:rPr>
          <w:rFonts w:ascii="Palatino Linotype" w:eastAsia="MS Gothic" w:hAnsi="Palatino Linotype"/>
          <w:b/>
          <w:color w:val="000000"/>
        </w:rPr>
        <w:t xml:space="preserve"> </w:t>
      </w:r>
    </w:p>
    <w:p w14:paraId="6C016F88" w14:textId="77777777" w:rsidR="00666EE1" w:rsidRPr="003A4CD9" w:rsidRDefault="00666EE1" w:rsidP="00666EE1">
      <w:pPr>
        <w:numPr>
          <w:ilvl w:val="0"/>
          <w:numId w:val="1"/>
        </w:numPr>
        <w:tabs>
          <w:tab w:val="left" w:pos="0"/>
        </w:tabs>
        <w:spacing w:before="240" w:after="240" w:line="360" w:lineRule="auto"/>
        <w:ind w:left="0" w:right="49" w:firstLine="0"/>
        <w:contextualSpacing/>
        <w:jc w:val="both"/>
        <w:rPr>
          <w:rFonts w:ascii="Palatino Linotype" w:eastAsia="Calibri" w:hAnsi="Palatino Linotype"/>
        </w:rPr>
      </w:pPr>
      <w:r w:rsidRPr="003A4CD9">
        <w:rPr>
          <w:rFonts w:ascii="Palatino Linotype" w:eastAsia="Calibri" w:hAnsi="Palatino Linotype"/>
        </w:rPr>
        <w:t xml:space="preserve">Precisado lo anterior y en atención a que se observa que la información de la que se requiere acceso, puede contener datos de los elementos de seguridad pública, es necesario señalar que las condiciones en las cuales se deberá entregar la información solicitada adquieren una especial naturaleza. </w:t>
      </w:r>
    </w:p>
    <w:p w14:paraId="0E20B224" w14:textId="77777777" w:rsidR="00666EE1" w:rsidRPr="003A4CD9" w:rsidRDefault="00666EE1" w:rsidP="00666EE1">
      <w:pPr>
        <w:numPr>
          <w:ilvl w:val="0"/>
          <w:numId w:val="1"/>
        </w:numPr>
        <w:tabs>
          <w:tab w:val="left" w:pos="0"/>
        </w:tabs>
        <w:spacing w:before="240" w:after="240" w:line="360" w:lineRule="auto"/>
        <w:ind w:left="0" w:right="49" w:firstLine="0"/>
        <w:contextualSpacing/>
        <w:jc w:val="both"/>
        <w:rPr>
          <w:rFonts w:ascii="Palatino Linotype" w:eastAsia="Calibri" w:hAnsi="Palatino Linotype"/>
        </w:rPr>
      </w:pPr>
      <w:r w:rsidRPr="003A4CD9">
        <w:rPr>
          <w:rFonts w:ascii="Palatino Linotype" w:eastAsia="Calibri" w:hAnsi="Palatino Linotype"/>
        </w:rPr>
        <w:lastRenderedPageBreak/>
        <w:t>En efecto</w:t>
      </w:r>
      <w:r w:rsidRPr="003A4CD9">
        <w:rPr>
          <w:rFonts w:ascii="Palatino Linotype" w:hAnsi="Palatino Linotype"/>
        </w:rPr>
        <w:t xml:space="preserve">, este instituto advierte que otorgar acceso al nombre de policías operativos podría comprometer la integridad de los mismos, de conformidad con lo que establece el artículo 140 de la Ley de Transparencia y Acceso a la Información Pública del Estado de México y Municipios: </w:t>
      </w:r>
    </w:p>
    <w:p w14:paraId="175EBAC4" w14:textId="77777777" w:rsidR="00666EE1" w:rsidRPr="003A4CD9" w:rsidRDefault="00666EE1" w:rsidP="00666EE1">
      <w:pPr>
        <w:spacing w:line="360" w:lineRule="auto"/>
        <w:ind w:left="708"/>
        <w:rPr>
          <w:rFonts w:ascii="Palatino Linotype" w:hAnsi="Palatino Linotype"/>
          <w:sz w:val="22"/>
        </w:rPr>
      </w:pPr>
    </w:p>
    <w:p w14:paraId="282FA0B6" w14:textId="77777777" w:rsidR="00666EE1" w:rsidRPr="003A4CD9" w:rsidRDefault="00666EE1" w:rsidP="00666EE1">
      <w:pPr>
        <w:spacing w:before="240" w:after="240" w:line="360" w:lineRule="auto"/>
        <w:ind w:left="567" w:right="616"/>
        <w:contextualSpacing/>
        <w:jc w:val="both"/>
        <w:rPr>
          <w:rFonts w:ascii="Palatino Linotype" w:hAnsi="Palatino Linotype"/>
          <w:i/>
          <w:sz w:val="22"/>
        </w:rPr>
      </w:pPr>
      <w:r w:rsidRPr="003A4CD9">
        <w:rPr>
          <w:rFonts w:ascii="Palatino Linotype" w:hAnsi="Palatino Linotype"/>
          <w:b/>
          <w:i/>
          <w:sz w:val="22"/>
        </w:rPr>
        <w:t>“Artículo 140.</w:t>
      </w:r>
      <w:r w:rsidRPr="003A4CD9">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46351FBD" w14:textId="77777777" w:rsidR="00666EE1" w:rsidRPr="003A4CD9" w:rsidRDefault="00666EE1" w:rsidP="00666EE1">
      <w:pPr>
        <w:spacing w:before="240" w:after="240" w:line="360" w:lineRule="auto"/>
        <w:ind w:left="567" w:right="616"/>
        <w:contextualSpacing/>
        <w:jc w:val="both"/>
        <w:rPr>
          <w:rFonts w:ascii="Palatino Linotype" w:hAnsi="Palatino Linotype"/>
          <w:i/>
          <w:sz w:val="22"/>
        </w:rPr>
      </w:pPr>
      <w:r w:rsidRPr="003A4CD9">
        <w:rPr>
          <w:rFonts w:ascii="Palatino Linotype" w:hAnsi="Palatino Linotype"/>
          <w:i/>
          <w:sz w:val="22"/>
        </w:rPr>
        <w:t xml:space="preserve">I. Comprometa la seguridad pública y cuente con un propósito genuino y un efecto demostrable; </w:t>
      </w:r>
    </w:p>
    <w:p w14:paraId="7F0F6348" w14:textId="77777777" w:rsidR="00666EE1" w:rsidRPr="003A4CD9" w:rsidRDefault="00666EE1" w:rsidP="00666EE1">
      <w:pPr>
        <w:spacing w:before="240" w:after="240" w:line="360" w:lineRule="auto"/>
        <w:ind w:left="567" w:right="616"/>
        <w:contextualSpacing/>
        <w:jc w:val="both"/>
        <w:rPr>
          <w:rFonts w:ascii="Palatino Linotype" w:hAnsi="Palatino Linotype"/>
          <w:i/>
          <w:sz w:val="22"/>
        </w:rPr>
      </w:pPr>
      <w:r w:rsidRPr="003A4CD9">
        <w:rPr>
          <w:rFonts w:ascii="Palatino Linotype" w:hAnsi="Palatino Linotype"/>
          <w:i/>
          <w:sz w:val="22"/>
        </w:rPr>
        <w:t xml:space="preserve">II. Pueda menoscabar la conducción de las negociaciones y relaciones internacionales; </w:t>
      </w:r>
    </w:p>
    <w:p w14:paraId="0C60C841" w14:textId="77777777" w:rsidR="00666EE1" w:rsidRPr="003A4CD9" w:rsidRDefault="00666EE1" w:rsidP="00666EE1">
      <w:pPr>
        <w:spacing w:before="240" w:after="240" w:line="360" w:lineRule="auto"/>
        <w:ind w:left="567" w:right="616"/>
        <w:contextualSpacing/>
        <w:jc w:val="both"/>
        <w:rPr>
          <w:rFonts w:ascii="Palatino Linotype" w:hAnsi="Palatino Linotype"/>
          <w:i/>
          <w:sz w:val="22"/>
        </w:rPr>
      </w:pPr>
      <w:r w:rsidRPr="003A4CD9">
        <w:rPr>
          <w:rFonts w:ascii="Palatino Linotype" w:hAnsi="Palatino Linotype"/>
          <w:i/>
          <w:sz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77EF2C44" w14:textId="77777777" w:rsidR="00666EE1" w:rsidRPr="003A4CD9" w:rsidRDefault="00666EE1" w:rsidP="00666EE1">
      <w:pPr>
        <w:spacing w:before="240" w:after="240" w:line="360" w:lineRule="auto"/>
        <w:ind w:left="567" w:right="616"/>
        <w:contextualSpacing/>
        <w:jc w:val="both"/>
        <w:rPr>
          <w:rFonts w:ascii="Palatino Linotype" w:hAnsi="Palatino Linotype"/>
          <w:b/>
          <w:i/>
          <w:sz w:val="22"/>
        </w:rPr>
      </w:pPr>
      <w:r w:rsidRPr="003A4CD9">
        <w:rPr>
          <w:rFonts w:ascii="Palatino Linotype" w:hAnsi="Palatino Linotype"/>
          <w:b/>
          <w:i/>
          <w:sz w:val="22"/>
        </w:rPr>
        <w:t>IV. Ponga en riesgo la vida, la seguridad o la salud de una persona física;</w:t>
      </w:r>
    </w:p>
    <w:p w14:paraId="2D8237EC" w14:textId="77777777" w:rsidR="00666EE1" w:rsidRPr="003A4CD9" w:rsidRDefault="00666EE1" w:rsidP="00666EE1">
      <w:pPr>
        <w:spacing w:before="240" w:after="240" w:line="360" w:lineRule="auto"/>
        <w:ind w:left="567" w:right="616"/>
        <w:contextualSpacing/>
        <w:jc w:val="both"/>
        <w:rPr>
          <w:rFonts w:ascii="Palatino Linotype" w:eastAsia="Calibri" w:hAnsi="Palatino Linotype"/>
          <w:i/>
          <w:sz w:val="22"/>
        </w:rPr>
      </w:pPr>
      <w:r w:rsidRPr="003A4CD9">
        <w:rPr>
          <w:rFonts w:ascii="Palatino Linotype" w:hAnsi="Palatino Linotype"/>
          <w:i/>
          <w:sz w:val="22"/>
        </w:rPr>
        <w:t xml:space="preserve"> (…)” (Sic)</w:t>
      </w:r>
    </w:p>
    <w:p w14:paraId="77A81F17" w14:textId="77777777" w:rsidR="00666EE1" w:rsidRPr="003A4CD9" w:rsidRDefault="00666EE1" w:rsidP="00666EE1">
      <w:pPr>
        <w:spacing w:before="240" w:after="240" w:line="360" w:lineRule="auto"/>
        <w:ind w:right="49"/>
        <w:contextualSpacing/>
        <w:jc w:val="both"/>
        <w:rPr>
          <w:rFonts w:ascii="Palatino Linotype" w:eastAsia="Calibri" w:hAnsi="Palatino Linotype"/>
        </w:rPr>
      </w:pPr>
    </w:p>
    <w:p w14:paraId="07BDA4B4" w14:textId="77777777" w:rsidR="00666EE1" w:rsidRPr="003A4CD9" w:rsidRDefault="00666EE1" w:rsidP="00666EE1">
      <w:pPr>
        <w:numPr>
          <w:ilvl w:val="0"/>
          <w:numId w:val="1"/>
        </w:numPr>
        <w:tabs>
          <w:tab w:val="left" w:pos="0"/>
        </w:tabs>
        <w:spacing w:after="160" w:line="360" w:lineRule="auto"/>
        <w:ind w:left="0" w:firstLine="0"/>
        <w:contextualSpacing/>
        <w:jc w:val="both"/>
        <w:rPr>
          <w:rFonts w:ascii="Palatino Linotype" w:hAnsi="Palatino Linotype"/>
        </w:rPr>
      </w:pPr>
      <w:r w:rsidRPr="003A4CD9">
        <w:rPr>
          <w:rFonts w:ascii="Palatino Linotype" w:hAnsi="Palatino Linotype"/>
        </w:rPr>
        <w:t>En este contexto, este Pleno considera que dar a conocer los nombres de servidores públicos que realizan funciones en materia de seguridad, tal como es el caso de los policías, los vuelve identificables y posiblemente reconocibles para grupos delictivos</w:t>
      </w:r>
      <w:r w:rsidRPr="003A4CD9">
        <w:rPr>
          <w:rFonts w:ascii="Palatino Linotype" w:hAnsi="Palatino Linotype" w:cs="Tahoma"/>
          <w:bCs/>
        </w:rPr>
        <w:t xml:space="preserve">; así, dicha información puede ser utilizada para </w:t>
      </w:r>
      <w:r w:rsidRPr="003A4CD9">
        <w:rPr>
          <w:rFonts w:ascii="Palatino Linotype" w:hAnsi="Palatino Linotype" w:cs="Tahoma"/>
          <w:b/>
          <w:bCs/>
        </w:rPr>
        <w:t xml:space="preserve">vulnerar la vida, seguridad o salud de dichos elementos, incluso la de sus familias o entorno social, </w:t>
      </w:r>
      <w:r w:rsidRPr="003A4CD9">
        <w:rPr>
          <w:rFonts w:ascii="Palatino Linotype" w:hAnsi="Palatino Linotype" w:cs="Tahoma"/>
          <w:bCs/>
        </w:rPr>
        <w:t>demás, de que aumenta el riesgo de que personas ajenas a los intereses institucionales e intenten realizar actos tendientes a inhibir o entrometerse en las funciones de los policías municipales, lo cual causaría una vulneración a la seguridad municipal.</w:t>
      </w:r>
    </w:p>
    <w:p w14:paraId="11643DDF" w14:textId="77777777" w:rsidR="00666EE1" w:rsidRPr="003A4CD9" w:rsidRDefault="00666EE1" w:rsidP="00666EE1">
      <w:pPr>
        <w:numPr>
          <w:ilvl w:val="0"/>
          <w:numId w:val="1"/>
        </w:numPr>
        <w:spacing w:after="160" w:line="360" w:lineRule="auto"/>
        <w:ind w:left="0" w:firstLine="0"/>
        <w:contextualSpacing/>
        <w:jc w:val="both"/>
        <w:rPr>
          <w:rFonts w:ascii="Palatino Linotype" w:eastAsia="Calibri" w:hAnsi="Palatino Linotype" w:cs="Tahoma"/>
          <w:bCs/>
        </w:rPr>
      </w:pPr>
      <w:r w:rsidRPr="003A4CD9">
        <w:rPr>
          <w:rFonts w:ascii="Palatino Linotype" w:eastAsia="Calibri" w:hAnsi="Palatino Linotype" w:cs="Tahoma"/>
          <w:bCs/>
        </w:rPr>
        <w:lastRenderedPageBreak/>
        <w:t xml:space="preserve">En ese sentido, el proporcionar el nombre de los elementos policiales operativos en la nómina general de la Comisaría de Seguridad Pública y Vialidad de Melchor Ocampo, pone en riesgo de manera directa la vida y la seguridad de dicho servidor, siendo obligación de la Institución protegerla en todo momento para salvaguarda de sus integrantes. </w:t>
      </w:r>
    </w:p>
    <w:p w14:paraId="4DA65B7E" w14:textId="77777777" w:rsidR="00666EE1" w:rsidRPr="003A4CD9" w:rsidRDefault="00666EE1" w:rsidP="00666EE1">
      <w:pPr>
        <w:spacing w:line="360" w:lineRule="auto"/>
        <w:rPr>
          <w:rFonts w:ascii="Palatino Linotype" w:eastAsia="Calibri" w:hAnsi="Palatino Linotype" w:cs="Tahoma"/>
          <w:bCs/>
        </w:rPr>
      </w:pPr>
    </w:p>
    <w:p w14:paraId="0210D58E" w14:textId="77777777" w:rsidR="00666EE1" w:rsidRPr="003A4CD9" w:rsidRDefault="00666EE1" w:rsidP="00666EE1">
      <w:pPr>
        <w:numPr>
          <w:ilvl w:val="0"/>
          <w:numId w:val="1"/>
        </w:numPr>
        <w:spacing w:after="160" w:line="360" w:lineRule="auto"/>
        <w:ind w:left="0" w:firstLine="0"/>
        <w:contextualSpacing/>
        <w:jc w:val="both"/>
        <w:rPr>
          <w:rFonts w:ascii="Palatino Linotype" w:eastAsia="Calibri" w:hAnsi="Palatino Linotype" w:cs="Tahoma"/>
          <w:bCs/>
        </w:rPr>
      </w:pPr>
      <w:r w:rsidRPr="003A4CD9">
        <w:rPr>
          <w:rFonts w:ascii="Palatino Linotype" w:eastAsia="Calibri" w:hAnsi="Palatino Linotype" w:cs="Tahoma"/>
          <w:bCs/>
        </w:rPr>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14:paraId="5ADD67D3" w14:textId="77777777" w:rsidR="00666EE1" w:rsidRPr="003A4CD9" w:rsidRDefault="00666EE1" w:rsidP="00666EE1">
      <w:pPr>
        <w:spacing w:line="360" w:lineRule="auto"/>
        <w:contextualSpacing/>
        <w:jc w:val="both"/>
        <w:rPr>
          <w:rFonts w:ascii="Palatino Linotype" w:eastAsia="Calibri" w:hAnsi="Palatino Linotype" w:cs="Tahoma"/>
          <w:bCs/>
        </w:rPr>
      </w:pPr>
    </w:p>
    <w:p w14:paraId="7AE4EF2E" w14:textId="77777777" w:rsidR="00666EE1" w:rsidRPr="003A4CD9" w:rsidRDefault="00666EE1" w:rsidP="00666EE1">
      <w:pPr>
        <w:numPr>
          <w:ilvl w:val="0"/>
          <w:numId w:val="1"/>
        </w:numPr>
        <w:spacing w:after="160" w:line="360" w:lineRule="auto"/>
        <w:ind w:left="0" w:firstLine="0"/>
        <w:contextualSpacing/>
        <w:jc w:val="both"/>
        <w:rPr>
          <w:rFonts w:ascii="Palatino Linotype" w:eastAsia="Calibri" w:hAnsi="Palatino Linotype" w:cs="Tahoma"/>
          <w:bCs/>
        </w:rPr>
      </w:pPr>
      <w:r w:rsidRPr="003A4CD9">
        <w:rPr>
          <w:rFonts w:ascii="Palatino Linotype" w:eastAsia="Calibri" w:hAnsi="Palatino Linotype" w:cs="Tahoma"/>
          <w:bCs/>
        </w:rPr>
        <w:t>Asimismo, existe la posibilidad de que personas ajenas a la Institución la utilicen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3A4CD9">
        <w:rPr>
          <w:rFonts w:ascii="Palatino Linotype" w:eastAsia="Calibri" w:hAnsi="Palatino Linotype" w:cs="Tahoma"/>
          <w:b/>
          <w:bCs/>
        </w:rPr>
        <w:t xml:space="preserve"> SUJETO OBLIGADO</w:t>
      </w:r>
      <w:r w:rsidRPr="003A4CD9">
        <w:rPr>
          <w:rFonts w:ascii="Palatino Linotype" w:eastAsia="Calibri" w:hAnsi="Palatino Linotype" w:cs="Tahoma"/>
          <w:bCs/>
        </w:rPr>
        <w:t>, colocando en inminente riesgo la vida de todos los integrantes, menoscabando así las actividades de prevención del delito y combate a la delincuencia.</w:t>
      </w:r>
    </w:p>
    <w:p w14:paraId="3BB8AD46" w14:textId="77777777" w:rsidR="00666EE1" w:rsidRPr="003A4CD9" w:rsidRDefault="00666EE1" w:rsidP="00666EE1">
      <w:pPr>
        <w:spacing w:line="360" w:lineRule="auto"/>
        <w:contextualSpacing/>
        <w:jc w:val="both"/>
        <w:rPr>
          <w:rFonts w:ascii="Palatino Linotype" w:eastAsia="Calibri" w:hAnsi="Palatino Linotype" w:cs="Tahoma"/>
          <w:bCs/>
        </w:rPr>
      </w:pPr>
    </w:p>
    <w:p w14:paraId="36DC301F" w14:textId="77777777" w:rsidR="00666EE1" w:rsidRPr="003A4CD9" w:rsidRDefault="00666EE1" w:rsidP="00666EE1">
      <w:pPr>
        <w:numPr>
          <w:ilvl w:val="0"/>
          <w:numId w:val="1"/>
        </w:numPr>
        <w:spacing w:after="160" w:line="360" w:lineRule="auto"/>
        <w:ind w:left="0" w:firstLine="0"/>
        <w:contextualSpacing/>
        <w:jc w:val="both"/>
        <w:rPr>
          <w:rFonts w:ascii="Palatino Linotype" w:eastAsia="Calibri" w:hAnsi="Palatino Linotype" w:cs="Tahoma"/>
          <w:bCs/>
        </w:rPr>
      </w:pPr>
      <w:r w:rsidRPr="003A4CD9">
        <w:rPr>
          <w:rFonts w:ascii="Palatino Linotype" w:eastAsia="Calibri" w:hAnsi="Palatino Linotype" w:cs="Tahoma"/>
          <w:bCs/>
        </w:rPr>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w:t>
      </w:r>
      <w:r w:rsidRPr="003A4CD9">
        <w:rPr>
          <w:rFonts w:ascii="Palatino Linotype" w:eastAsia="Calibri" w:hAnsi="Palatino Linotype" w:cs="Tahoma"/>
          <w:bCs/>
        </w:rPr>
        <w:lastRenderedPageBreak/>
        <w:t xml:space="preserve">fundamentales, cuyo ejercicio en este caso particular es por lo que es necesaria la ponderación de ambos para que uno de ellos sea ejercido en la mayor medida posible. </w:t>
      </w:r>
    </w:p>
    <w:p w14:paraId="382ED8FF" w14:textId="77777777" w:rsidR="00666EE1" w:rsidRPr="003A4CD9" w:rsidRDefault="00666EE1" w:rsidP="00666EE1">
      <w:pPr>
        <w:spacing w:line="360" w:lineRule="auto"/>
        <w:contextualSpacing/>
        <w:jc w:val="both"/>
        <w:rPr>
          <w:rFonts w:ascii="Palatino Linotype" w:eastAsia="Calibri" w:hAnsi="Palatino Linotype" w:cs="Tahoma"/>
          <w:bCs/>
        </w:rPr>
      </w:pPr>
    </w:p>
    <w:p w14:paraId="78479044" w14:textId="77777777" w:rsidR="00666EE1" w:rsidRPr="003A4CD9" w:rsidRDefault="00666EE1" w:rsidP="00666EE1">
      <w:pPr>
        <w:numPr>
          <w:ilvl w:val="0"/>
          <w:numId w:val="1"/>
        </w:numPr>
        <w:spacing w:after="160" w:line="360" w:lineRule="auto"/>
        <w:ind w:left="0" w:firstLine="0"/>
        <w:contextualSpacing/>
        <w:jc w:val="both"/>
        <w:rPr>
          <w:rFonts w:ascii="Palatino Linotype" w:eastAsia="Calibri" w:hAnsi="Palatino Linotype" w:cs="Tahoma"/>
          <w:bCs/>
        </w:rPr>
      </w:pPr>
      <w:r w:rsidRPr="003A4CD9">
        <w:rPr>
          <w:rFonts w:ascii="Palatino Linotype" w:eastAsia="Calibri" w:hAnsi="Palatino Linotype" w:cs="Tahoma"/>
          <w:bCs/>
        </w:rPr>
        <w:t xml:space="preserve">El dar el nombre de los servidores públicos operativos pone en riesgo sus vidas y seguridad, ya que pueden ser identificarles, provocando que se utilice la información para amenazar, intimidar o extorsionar al integrante.  </w:t>
      </w:r>
    </w:p>
    <w:p w14:paraId="6C76748A" w14:textId="77777777" w:rsidR="00666EE1" w:rsidRPr="003A4CD9" w:rsidRDefault="00666EE1" w:rsidP="00666EE1">
      <w:pPr>
        <w:spacing w:line="360" w:lineRule="auto"/>
        <w:contextualSpacing/>
        <w:jc w:val="both"/>
        <w:rPr>
          <w:rFonts w:ascii="Palatino Linotype" w:eastAsia="Calibri" w:hAnsi="Palatino Linotype" w:cs="Tahoma"/>
          <w:bCs/>
        </w:rPr>
      </w:pPr>
    </w:p>
    <w:p w14:paraId="1761CB72" w14:textId="77777777" w:rsidR="00666EE1" w:rsidRPr="003A4CD9" w:rsidRDefault="00666EE1" w:rsidP="00666EE1">
      <w:pPr>
        <w:numPr>
          <w:ilvl w:val="0"/>
          <w:numId w:val="1"/>
        </w:numPr>
        <w:spacing w:after="160" w:line="360" w:lineRule="auto"/>
        <w:ind w:left="0" w:firstLine="0"/>
        <w:contextualSpacing/>
        <w:jc w:val="both"/>
        <w:rPr>
          <w:rFonts w:ascii="Palatino Linotype" w:eastAsia="Calibri" w:hAnsi="Palatino Linotype" w:cs="Tahoma"/>
          <w:bCs/>
        </w:rPr>
      </w:pPr>
      <w:r w:rsidRPr="003A4CD9">
        <w:rPr>
          <w:rFonts w:ascii="Palatino Linotype" w:eastAsia="Calibri" w:hAnsi="Palatino Linotype" w:cs="Tahoma"/>
          <w:bCs/>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14:paraId="1DC68AE4" w14:textId="77777777" w:rsidR="00666EE1" w:rsidRPr="003A4CD9" w:rsidRDefault="00666EE1" w:rsidP="00666EE1">
      <w:pPr>
        <w:spacing w:line="360" w:lineRule="auto"/>
        <w:contextualSpacing/>
        <w:jc w:val="both"/>
        <w:rPr>
          <w:rFonts w:ascii="Palatino Linotype" w:eastAsia="Calibri" w:hAnsi="Palatino Linotype" w:cs="Tahoma"/>
          <w:bCs/>
        </w:rPr>
      </w:pPr>
    </w:p>
    <w:p w14:paraId="64CB0253" w14:textId="77777777" w:rsidR="00666EE1" w:rsidRPr="003A4CD9" w:rsidRDefault="00666EE1" w:rsidP="00666EE1">
      <w:pPr>
        <w:numPr>
          <w:ilvl w:val="0"/>
          <w:numId w:val="1"/>
        </w:numPr>
        <w:tabs>
          <w:tab w:val="left" w:pos="0"/>
        </w:tabs>
        <w:spacing w:after="160" w:line="360" w:lineRule="auto"/>
        <w:ind w:left="0" w:firstLine="0"/>
        <w:contextualSpacing/>
        <w:jc w:val="both"/>
        <w:rPr>
          <w:rFonts w:ascii="Palatino Linotype" w:eastAsia="Calibri" w:hAnsi="Palatino Linotype" w:cs="Tahoma"/>
          <w:bCs/>
        </w:rPr>
      </w:pPr>
      <w:r w:rsidRPr="003A4CD9">
        <w:rPr>
          <w:rFonts w:ascii="Palatino Linotype" w:eastAsia="Calibri" w:hAnsi="Palatino Linotype" w:cs="Tahoma"/>
          <w:bCs/>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w:t>
      </w:r>
      <w:r w:rsidRPr="003A4CD9">
        <w:rPr>
          <w:rFonts w:ascii="Palatino Linotype" w:eastAsia="Calibri" w:hAnsi="Palatino Linotype" w:cs="Tahoma"/>
          <w:bCs/>
        </w:rPr>
        <w:lastRenderedPageBreak/>
        <w:t>permite a las personas tener una participación activa en la toma de decisiones de los gobernantes y a su vez, funciona como un ejercicio de fiscalización para supervisar las actividades que realiza el Estado.</w:t>
      </w:r>
    </w:p>
    <w:p w14:paraId="5B251E84" w14:textId="77777777" w:rsidR="00EE465C" w:rsidRPr="003A4CD9" w:rsidRDefault="00EE465C" w:rsidP="00EE465C">
      <w:pPr>
        <w:pStyle w:val="Prrafodelista"/>
        <w:rPr>
          <w:rFonts w:ascii="Palatino Linotype" w:eastAsia="Calibri" w:hAnsi="Palatino Linotype" w:cs="Tahoma"/>
          <w:bCs/>
        </w:rPr>
      </w:pPr>
    </w:p>
    <w:p w14:paraId="3A108B2A" w14:textId="77777777" w:rsidR="00666EE1" w:rsidRPr="003A4CD9" w:rsidRDefault="00666EE1" w:rsidP="00666EE1">
      <w:pPr>
        <w:numPr>
          <w:ilvl w:val="0"/>
          <w:numId w:val="1"/>
        </w:numPr>
        <w:tabs>
          <w:tab w:val="left" w:pos="0"/>
        </w:tabs>
        <w:spacing w:after="160" w:line="360" w:lineRule="auto"/>
        <w:ind w:left="0" w:firstLine="0"/>
        <w:contextualSpacing/>
        <w:jc w:val="both"/>
        <w:rPr>
          <w:rFonts w:ascii="Palatino Linotype" w:eastAsia="Calibri" w:hAnsi="Palatino Linotype" w:cs="Tahoma"/>
          <w:bCs/>
        </w:rPr>
      </w:pPr>
      <w:r w:rsidRPr="003A4CD9">
        <w:rPr>
          <w:rFonts w:ascii="Palatino Linotype" w:eastAsia="Calibri" w:hAnsi="Palatino Linotype" w:cs="Tahoma"/>
          <w:bCs/>
        </w:rPr>
        <w:t xml:space="preserve">Por lo que, el derecho a la vida y seguridad nacional tiene una-primacía que el derecho al acceso a la información, por lo que el bien jurídico a salvaguardarse primordialmente, es la vida y la seguridad de los servidores públicos encargados de la seguridad pública. </w:t>
      </w:r>
    </w:p>
    <w:p w14:paraId="27B7A29A" w14:textId="77777777" w:rsidR="00666EE1" w:rsidRPr="003A4CD9" w:rsidRDefault="00666EE1" w:rsidP="00666EE1">
      <w:pPr>
        <w:tabs>
          <w:tab w:val="left" w:pos="0"/>
        </w:tabs>
        <w:spacing w:line="360" w:lineRule="auto"/>
        <w:contextualSpacing/>
        <w:jc w:val="both"/>
        <w:rPr>
          <w:rFonts w:ascii="Palatino Linotype" w:eastAsia="Calibri" w:hAnsi="Palatino Linotype" w:cs="Tahoma"/>
          <w:bCs/>
        </w:rPr>
      </w:pPr>
    </w:p>
    <w:p w14:paraId="4AE5A757" w14:textId="77777777" w:rsidR="00666EE1" w:rsidRPr="003A4CD9" w:rsidRDefault="00666EE1" w:rsidP="00666EE1">
      <w:pPr>
        <w:numPr>
          <w:ilvl w:val="0"/>
          <w:numId w:val="1"/>
        </w:numPr>
        <w:tabs>
          <w:tab w:val="left" w:pos="0"/>
        </w:tabs>
        <w:spacing w:after="160" w:line="360" w:lineRule="auto"/>
        <w:ind w:left="0" w:firstLine="0"/>
        <w:contextualSpacing/>
        <w:jc w:val="both"/>
        <w:rPr>
          <w:rFonts w:ascii="Palatino Linotype" w:eastAsia="MS Mincho" w:hAnsi="Palatino Linotype" w:cs="Arial"/>
        </w:rPr>
      </w:pPr>
      <w:r w:rsidRPr="003A4CD9">
        <w:rPr>
          <w:rFonts w:ascii="Palatino Linotype" w:eastAsia="MS Mincho" w:hAnsi="Palatino Linotype" w:cs="Arial"/>
          <w:lang w:val="es-ES_tradnl"/>
        </w:rPr>
        <w:t xml:space="preserve">Al respecto, cabe hacer mención que el artículo 81 fracción III de la Ley de Seguridad del Estado de México, establece lo siguiente: </w:t>
      </w:r>
    </w:p>
    <w:p w14:paraId="675193B0" w14:textId="77777777" w:rsidR="00666EE1" w:rsidRPr="003A4CD9" w:rsidRDefault="00666EE1" w:rsidP="00666EE1">
      <w:pPr>
        <w:spacing w:line="360" w:lineRule="auto"/>
        <w:ind w:left="720" w:right="851"/>
        <w:contextualSpacing/>
        <w:jc w:val="both"/>
        <w:rPr>
          <w:rFonts w:ascii="Palatino Linotype" w:eastAsia="MS Mincho" w:hAnsi="Palatino Linotype" w:cs="Arial"/>
          <w:i/>
          <w:sz w:val="22"/>
          <w:lang w:val="es-ES_tradnl"/>
        </w:rPr>
      </w:pPr>
    </w:p>
    <w:p w14:paraId="3F9BB409" w14:textId="77777777" w:rsidR="00666EE1" w:rsidRPr="003A4CD9" w:rsidRDefault="00666EE1" w:rsidP="00666EE1">
      <w:pPr>
        <w:spacing w:line="360" w:lineRule="auto"/>
        <w:ind w:left="720" w:right="567"/>
        <w:contextualSpacing/>
        <w:jc w:val="both"/>
        <w:rPr>
          <w:rFonts w:ascii="Palatino Linotype" w:eastAsia="MS Mincho" w:hAnsi="Palatino Linotype" w:cs="Arial"/>
          <w:i/>
          <w:sz w:val="22"/>
          <w:lang w:val="es-ES_tradnl"/>
        </w:rPr>
      </w:pPr>
      <w:r w:rsidRPr="003A4CD9">
        <w:rPr>
          <w:rFonts w:ascii="Palatino Linotype" w:eastAsia="MS Mincho" w:hAnsi="Palatino Linotype" w:cs="Arial"/>
          <w:i/>
          <w:sz w:val="22"/>
          <w:lang w:val="es-ES_tradnl"/>
        </w:rPr>
        <w:t>“</w:t>
      </w:r>
      <w:r w:rsidRPr="003A4CD9">
        <w:rPr>
          <w:rFonts w:ascii="Palatino Linotype" w:eastAsia="MS Mincho" w:hAnsi="Palatino Linotype" w:cs="Arial"/>
          <w:b/>
          <w:i/>
          <w:sz w:val="22"/>
          <w:lang w:val="es-ES_tradnl"/>
        </w:rPr>
        <w:t>Artículo 81.-</w:t>
      </w:r>
      <w:r w:rsidRPr="003A4CD9">
        <w:rPr>
          <w:rFonts w:ascii="Palatino Linotype" w:eastAsia="MS Mincho" w:hAnsi="Palatino Linotype" w:cs="Arial"/>
          <w:i/>
          <w:sz w:val="22"/>
          <w:lang w:val="es-ES_tradnl"/>
        </w:rPr>
        <w:t xml:space="preserve"> </w:t>
      </w:r>
      <w:r w:rsidRPr="003A4CD9">
        <w:rPr>
          <w:rFonts w:ascii="Palatino Linotype" w:eastAsia="MS Mincho" w:hAnsi="Palatino Linotype" w:cs="Arial"/>
          <w:b/>
          <w:i/>
          <w:sz w:val="22"/>
          <w:lang w:val="es-ES_tradnl"/>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3A4CD9">
        <w:rPr>
          <w:rFonts w:ascii="Palatino Linotype" w:eastAsia="MS Mincho" w:hAnsi="Palatino Linotype" w:cs="Arial"/>
          <w:i/>
          <w:sz w:val="22"/>
          <w:lang w:val="es-ES_tradnl"/>
        </w:rPr>
        <w:t xml:space="preserve"> en los casos siguientes:</w:t>
      </w:r>
    </w:p>
    <w:p w14:paraId="535682BA" w14:textId="77777777" w:rsidR="00666EE1" w:rsidRPr="003A4CD9" w:rsidRDefault="00666EE1" w:rsidP="00666EE1">
      <w:pPr>
        <w:spacing w:line="360" w:lineRule="auto"/>
        <w:ind w:left="720" w:right="567"/>
        <w:contextualSpacing/>
        <w:jc w:val="both"/>
        <w:rPr>
          <w:rFonts w:ascii="Palatino Linotype" w:eastAsia="MS Mincho" w:hAnsi="Palatino Linotype" w:cs="Arial"/>
          <w:i/>
          <w:sz w:val="22"/>
          <w:lang w:val="es-ES_tradnl"/>
        </w:rPr>
      </w:pPr>
      <w:r w:rsidRPr="003A4CD9">
        <w:rPr>
          <w:rFonts w:ascii="Palatino Linotype" w:eastAsia="MS Mincho" w:hAnsi="Palatino Linotype" w:cs="Arial"/>
          <w:i/>
          <w:sz w:val="22"/>
          <w:lang w:val="es-ES_tradnl"/>
        </w:rPr>
        <w:t>…</w:t>
      </w:r>
    </w:p>
    <w:p w14:paraId="38E20205" w14:textId="77777777" w:rsidR="00666EE1" w:rsidRPr="003A4CD9" w:rsidRDefault="00666EE1" w:rsidP="00666EE1">
      <w:pPr>
        <w:spacing w:line="360" w:lineRule="auto"/>
        <w:ind w:left="720" w:right="567"/>
        <w:contextualSpacing/>
        <w:jc w:val="both"/>
        <w:rPr>
          <w:rFonts w:ascii="Palatino Linotype" w:eastAsia="MS Mincho" w:hAnsi="Palatino Linotype" w:cs="Arial"/>
          <w:i/>
          <w:sz w:val="22"/>
          <w:lang w:val="es-ES_tradnl"/>
        </w:rPr>
      </w:pPr>
      <w:r w:rsidRPr="003A4CD9">
        <w:rPr>
          <w:rFonts w:ascii="Palatino Linotype" w:eastAsia="MS Mincho" w:hAnsi="Palatino Linotype" w:cs="Arial"/>
          <w:b/>
          <w:i/>
          <w:sz w:val="22"/>
          <w:lang w:val="es-ES_tradnl"/>
        </w:rPr>
        <w:t>III.</w:t>
      </w:r>
      <w:r w:rsidRPr="003A4CD9">
        <w:rPr>
          <w:rFonts w:ascii="Palatino Linotype" w:eastAsia="MS Mincho" w:hAnsi="Palatino Linotype" w:cs="Arial"/>
          <w:i/>
          <w:sz w:val="22"/>
          <w:lang w:val="es-ES_tradnl"/>
        </w:rPr>
        <w:t xml:space="preserve"> </w:t>
      </w:r>
      <w:r w:rsidRPr="003A4CD9">
        <w:rPr>
          <w:rFonts w:ascii="Palatino Linotype" w:eastAsia="MS Mincho" w:hAnsi="Palatino Linotype" w:cs="Arial"/>
          <w:b/>
          <w:i/>
          <w:sz w:val="22"/>
          <w:lang w:val="es-ES_tradnl"/>
        </w:rPr>
        <w:t>La relativa a servidores públicos miembros de las instituciones de seguridad pública, cuya revelación pueda poner en riesgo su vida e integridad física con motivo de sus funciones;</w:t>
      </w:r>
      <w:r w:rsidRPr="003A4CD9">
        <w:rPr>
          <w:rFonts w:ascii="Palatino Linotype" w:eastAsia="MS Mincho" w:hAnsi="Palatino Linotype" w:cs="Arial"/>
          <w:i/>
          <w:sz w:val="22"/>
          <w:lang w:val="es-ES_tradnl"/>
        </w:rPr>
        <w:t>”</w:t>
      </w:r>
    </w:p>
    <w:p w14:paraId="51745B99" w14:textId="77777777" w:rsidR="00666EE1" w:rsidRPr="003A4CD9" w:rsidRDefault="00666EE1" w:rsidP="00666EE1">
      <w:pPr>
        <w:spacing w:line="360" w:lineRule="auto"/>
        <w:ind w:left="720" w:right="851"/>
        <w:contextualSpacing/>
        <w:jc w:val="both"/>
        <w:rPr>
          <w:rFonts w:ascii="Palatino Linotype" w:eastAsia="MS Mincho" w:hAnsi="Palatino Linotype" w:cs="Arial"/>
          <w:sz w:val="22"/>
          <w:lang w:val="es-ES_tradnl"/>
        </w:rPr>
      </w:pPr>
      <w:r w:rsidRPr="003A4CD9">
        <w:rPr>
          <w:rFonts w:ascii="Palatino Linotype" w:eastAsia="MS Mincho" w:hAnsi="Palatino Linotype" w:cs="Arial"/>
          <w:sz w:val="22"/>
          <w:lang w:val="es-ES_tradnl"/>
        </w:rPr>
        <w:t>(Énfasis añadido)</w:t>
      </w:r>
    </w:p>
    <w:p w14:paraId="77EAD7FE" w14:textId="77777777" w:rsidR="00666EE1" w:rsidRPr="003A4CD9" w:rsidRDefault="00666EE1" w:rsidP="00666EE1">
      <w:pPr>
        <w:spacing w:line="360" w:lineRule="auto"/>
        <w:contextualSpacing/>
        <w:jc w:val="both"/>
        <w:rPr>
          <w:rFonts w:ascii="Palatino Linotype" w:eastAsia="MS Mincho" w:hAnsi="Palatino Linotype" w:cs="Arial"/>
          <w:sz w:val="22"/>
        </w:rPr>
      </w:pPr>
    </w:p>
    <w:p w14:paraId="076D1C32" w14:textId="77777777" w:rsidR="00666EE1" w:rsidRPr="003A4CD9" w:rsidRDefault="00666EE1" w:rsidP="00666EE1">
      <w:pPr>
        <w:numPr>
          <w:ilvl w:val="0"/>
          <w:numId w:val="1"/>
        </w:numPr>
        <w:tabs>
          <w:tab w:val="left" w:pos="0"/>
        </w:tabs>
        <w:spacing w:after="160" w:line="360" w:lineRule="auto"/>
        <w:ind w:left="0" w:firstLine="0"/>
        <w:contextualSpacing/>
        <w:jc w:val="both"/>
        <w:rPr>
          <w:rFonts w:ascii="Palatino Linotype" w:eastAsia="MS Mincho" w:hAnsi="Palatino Linotype" w:cs="Arial"/>
        </w:rPr>
      </w:pPr>
      <w:r w:rsidRPr="003A4CD9">
        <w:rPr>
          <w:rFonts w:ascii="Palatino Linotype" w:hAnsi="Palatino Linotype" w:cs="Arial"/>
        </w:rPr>
        <w:t>Argumento que se fortalece con lo estipulado en el criterio número 6-09, del Instituto Nacional de Transparencia, Acceso a la Información y Protección de Datos Personales, antes (INAI)</w:t>
      </w:r>
      <w:r w:rsidRPr="003A4CD9">
        <w:rPr>
          <w:rFonts w:ascii="Palatino Linotype" w:hAnsi="Palatino Linotype" w:cs="Arial"/>
          <w:b/>
          <w:bCs/>
        </w:rPr>
        <w:t xml:space="preserve">, </w:t>
      </w:r>
      <w:r w:rsidRPr="003A4CD9">
        <w:rPr>
          <w:rFonts w:ascii="Palatino Linotype" w:hAnsi="Palatino Linotype" w:cs="Arial"/>
        </w:rPr>
        <w:t xml:space="preserve">el cual refiere: </w:t>
      </w:r>
    </w:p>
    <w:p w14:paraId="7FDF5372" w14:textId="77777777" w:rsidR="00666EE1" w:rsidRPr="003A4CD9" w:rsidRDefault="00666EE1" w:rsidP="00666EE1">
      <w:pPr>
        <w:autoSpaceDE w:val="0"/>
        <w:autoSpaceDN w:val="0"/>
        <w:adjustRightInd w:val="0"/>
        <w:spacing w:line="360" w:lineRule="auto"/>
        <w:ind w:left="720" w:right="567"/>
        <w:contextualSpacing/>
        <w:jc w:val="center"/>
        <w:rPr>
          <w:rFonts w:ascii="Palatino Linotype" w:hAnsi="Palatino Linotype" w:cs="Arial"/>
          <w:i/>
          <w:sz w:val="22"/>
        </w:rPr>
      </w:pPr>
      <w:r w:rsidRPr="003A4CD9">
        <w:rPr>
          <w:rFonts w:ascii="Palatino Linotype" w:hAnsi="Palatino Linotype" w:cs="Arial"/>
          <w:b/>
          <w:bCs/>
          <w:i/>
          <w:sz w:val="22"/>
        </w:rPr>
        <w:lastRenderedPageBreak/>
        <w:t>“Criterio 6-09</w:t>
      </w:r>
    </w:p>
    <w:p w14:paraId="35913FD7" w14:textId="77777777" w:rsidR="00666EE1" w:rsidRPr="003A4CD9" w:rsidRDefault="00666EE1" w:rsidP="00666EE1">
      <w:pPr>
        <w:autoSpaceDE w:val="0"/>
        <w:autoSpaceDN w:val="0"/>
        <w:adjustRightInd w:val="0"/>
        <w:spacing w:line="360" w:lineRule="auto"/>
        <w:ind w:left="720" w:right="567"/>
        <w:contextualSpacing/>
        <w:jc w:val="both"/>
        <w:rPr>
          <w:rFonts w:ascii="Palatino Linotype" w:hAnsi="Palatino Linotype" w:cs="Arial"/>
          <w:i/>
          <w:sz w:val="22"/>
        </w:rPr>
      </w:pPr>
      <w:r w:rsidRPr="003A4CD9">
        <w:rPr>
          <w:rFonts w:ascii="Palatino Linotype" w:hAnsi="Palatino Linotype" w:cs="Arial"/>
          <w:b/>
          <w:bCs/>
          <w:i/>
          <w:sz w:val="22"/>
        </w:rPr>
        <w:t xml:space="preserve">Nombres de servidores públicos dedicados a actividades en materia de seguridad, por excepción pueden considerarse información reservada. </w:t>
      </w:r>
      <w:r w:rsidRPr="003A4CD9">
        <w:rPr>
          <w:rFonts w:ascii="Palatino Linotype" w:hAnsi="Palatino Linotype" w:cs="Arial"/>
          <w:bCs/>
          <w:i/>
          <w:sz w:val="22"/>
        </w:rPr>
        <w:t xml:space="preserve">De conformidad con el artículo 7, fracciones I y III de la Ley Federal de Transparencia y Acceso a la Información Pública Gubernamental </w:t>
      </w:r>
      <w:r w:rsidRPr="003A4CD9">
        <w:rPr>
          <w:rFonts w:ascii="Palatino Linotype" w:hAnsi="Palatino Linotype" w:cs="Arial"/>
          <w:b/>
          <w:bCs/>
          <w:i/>
          <w:sz w:val="22"/>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3A4CD9">
        <w:rPr>
          <w:rFonts w:ascii="Palatino Linotype" w:hAnsi="Palatino Linotype" w:cs="Arial"/>
          <w:bCs/>
          <w:i/>
          <w:sz w:val="22"/>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3A4CD9">
        <w:rPr>
          <w:rFonts w:ascii="Palatino Linotype" w:hAnsi="Palatino Linotype" w:cs="Arial"/>
          <w:b/>
          <w:bCs/>
          <w:i/>
          <w:sz w:val="22"/>
        </w:rPr>
        <w:t>el artículo 13, fracción I de la ley de referencia se establece que podrá clasificarse aquella información cuya difusión pueda comprometer la seguridad nacional y pública</w:t>
      </w:r>
      <w:r w:rsidRPr="003A4CD9">
        <w:rPr>
          <w:rFonts w:ascii="Palatino Linotype" w:hAnsi="Palatino Linotype" w:cs="Arial"/>
          <w:bCs/>
          <w:i/>
          <w:sz w:val="22"/>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3A4CD9">
        <w:rPr>
          <w:rFonts w:ascii="Palatino Linotype" w:hAnsi="Palatino Linotype" w:cs="Arial"/>
          <w:b/>
          <w:bCs/>
          <w:i/>
          <w:sz w:val="22"/>
        </w:rPr>
        <w:t>por lo que la reserva de la relación de los nombres y las funciones que desempeñan los servidores públicos que prestan sus servicios en áreas de seguridad nacional o pública</w:t>
      </w:r>
      <w:r w:rsidRPr="003A4CD9">
        <w:rPr>
          <w:rFonts w:ascii="Palatino Linotype" w:hAnsi="Palatino Linotype" w:cs="Arial"/>
          <w:bCs/>
          <w:i/>
          <w:sz w:val="22"/>
        </w:rPr>
        <w:t>, puede llegar a constituirse en un componente fundamental en el esfuerzo que realiza el Estado Mexicano para garantizar la seguridad del país en sus diferentes vertientes</w:t>
      </w:r>
      <w:r w:rsidRPr="003A4CD9">
        <w:rPr>
          <w:rFonts w:ascii="Palatino Linotype" w:hAnsi="Palatino Linotype" w:cs="Arial"/>
          <w:i/>
          <w:sz w:val="22"/>
        </w:rPr>
        <w:t>” (Sic)</w:t>
      </w:r>
    </w:p>
    <w:p w14:paraId="204AE5A9" w14:textId="77777777" w:rsidR="00666EE1" w:rsidRPr="003A4CD9" w:rsidRDefault="00666EE1" w:rsidP="00666EE1">
      <w:pPr>
        <w:tabs>
          <w:tab w:val="left" w:pos="3583"/>
        </w:tabs>
        <w:autoSpaceDE w:val="0"/>
        <w:autoSpaceDN w:val="0"/>
        <w:adjustRightInd w:val="0"/>
        <w:spacing w:line="360" w:lineRule="auto"/>
        <w:ind w:left="720" w:right="567"/>
        <w:contextualSpacing/>
        <w:jc w:val="both"/>
        <w:rPr>
          <w:rFonts w:ascii="Palatino Linotype" w:hAnsi="Palatino Linotype" w:cs="Arial"/>
          <w:sz w:val="22"/>
        </w:rPr>
      </w:pPr>
      <w:r w:rsidRPr="003A4CD9">
        <w:rPr>
          <w:rFonts w:ascii="Palatino Linotype" w:hAnsi="Palatino Linotype" w:cs="Arial"/>
          <w:sz w:val="22"/>
        </w:rPr>
        <w:t>(Énfasis añadido).</w:t>
      </w:r>
    </w:p>
    <w:p w14:paraId="745953F7" w14:textId="77777777" w:rsidR="00666EE1" w:rsidRPr="003A4CD9" w:rsidRDefault="00666EE1" w:rsidP="00666EE1">
      <w:pPr>
        <w:spacing w:before="240" w:after="240" w:line="360" w:lineRule="auto"/>
        <w:ind w:right="49"/>
        <w:contextualSpacing/>
        <w:jc w:val="both"/>
        <w:rPr>
          <w:rFonts w:ascii="Palatino Linotype" w:eastAsia="Calibri" w:hAnsi="Palatino Linotype"/>
        </w:rPr>
      </w:pPr>
    </w:p>
    <w:p w14:paraId="21F72730" w14:textId="77777777" w:rsidR="00666EE1" w:rsidRPr="003A4CD9" w:rsidRDefault="00666EE1" w:rsidP="00666EE1">
      <w:pPr>
        <w:numPr>
          <w:ilvl w:val="0"/>
          <w:numId w:val="1"/>
        </w:numPr>
        <w:spacing w:before="240" w:after="240" w:line="360" w:lineRule="auto"/>
        <w:ind w:left="0" w:right="49" w:firstLine="0"/>
        <w:contextualSpacing/>
        <w:jc w:val="both"/>
        <w:rPr>
          <w:rFonts w:ascii="Palatino Linotype" w:eastAsia="Calibri" w:hAnsi="Palatino Linotype"/>
        </w:rPr>
      </w:pPr>
      <w:r w:rsidRPr="003A4CD9">
        <w:rPr>
          <w:rFonts w:ascii="Palatino Linotype" w:hAnsi="Palatino Linotype"/>
        </w:rPr>
        <w:t xml:space="preserve">Precisado lo anterior, se advierte que pretendió clasificar información solicitada, no obstante, la Ley de Transparencia y Acceso a la Información Pública del </w:t>
      </w:r>
      <w:r w:rsidRPr="003A4CD9">
        <w:rPr>
          <w:rFonts w:ascii="Palatino Linotype" w:hAnsi="Palatino Linotype"/>
        </w:rPr>
        <w:lastRenderedPageBreak/>
        <w:t xml:space="preserve">Estado de México y Municipios señala que para la clasificación formal de la información solicitada, el </w:t>
      </w:r>
      <w:r w:rsidRPr="003A4CD9">
        <w:rPr>
          <w:rFonts w:ascii="Palatino Linotype" w:hAnsi="Palatino Linotype"/>
          <w:b/>
        </w:rPr>
        <w:t>SUJETO OBLIGADO</w:t>
      </w:r>
      <w:r w:rsidRPr="003A4CD9">
        <w:rPr>
          <w:rFonts w:ascii="Palatino Linotype" w:hAnsi="Palatino Linotype"/>
        </w:rPr>
        <w:t xml:space="preserve"> deberá remitir el debido Acuerdo de clasificación fundado y motivado donde determine la clasificación de la información como reservada,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 </w:t>
      </w:r>
    </w:p>
    <w:p w14:paraId="21A72B0A" w14:textId="77777777" w:rsidR="00666EE1" w:rsidRPr="003A4CD9" w:rsidRDefault="00666EE1" w:rsidP="00666EE1">
      <w:pPr>
        <w:spacing w:line="360" w:lineRule="auto"/>
        <w:contextualSpacing/>
        <w:jc w:val="both"/>
        <w:rPr>
          <w:rFonts w:ascii="Palatino Linotype" w:hAnsi="Palatino Linotype"/>
          <w:sz w:val="22"/>
        </w:rPr>
      </w:pPr>
    </w:p>
    <w:p w14:paraId="252AE6DE" w14:textId="77777777" w:rsidR="00666EE1" w:rsidRPr="003A4CD9" w:rsidRDefault="00666EE1" w:rsidP="00666EE1">
      <w:pPr>
        <w:spacing w:line="360" w:lineRule="auto"/>
        <w:ind w:left="720" w:right="538"/>
        <w:contextualSpacing/>
        <w:jc w:val="both"/>
        <w:rPr>
          <w:rFonts w:ascii="Palatino Linotype" w:hAnsi="Palatino Linotype"/>
          <w:i/>
          <w:sz w:val="22"/>
        </w:rPr>
      </w:pPr>
      <w:r w:rsidRPr="003A4CD9">
        <w:rPr>
          <w:rFonts w:ascii="Palatino Linotype" w:hAnsi="Palatino Linotype"/>
          <w:b/>
          <w:i/>
          <w:sz w:val="22"/>
        </w:rPr>
        <w:t>“Artículo 49</w:t>
      </w:r>
      <w:r w:rsidRPr="003A4CD9">
        <w:rPr>
          <w:rFonts w:ascii="Palatino Linotype" w:hAnsi="Palatino Linotype"/>
          <w:i/>
          <w:sz w:val="22"/>
        </w:rPr>
        <w:t xml:space="preserve">. Los Comités de Transparencia tendrán las siguientes atribuciones: </w:t>
      </w:r>
    </w:p>
    <w:p w14:paraId="79E78A04" w14:textId="77777777" w:rsidR="00666EE1" w:rsidRPr="003A4CD9" w:rsidRDefault="00666EE1" w:rsidP="00666EE1">
      <w:pPr>
        <w:spacing w:line="360" w:lineRule="auto"/>
        <w:ind w:left="720" w:right="538"/>
        <w:contextualSpacing/>
        <w:jc w:val="both"/>
        <w:rPr>
          <w:rFonts w:ascii="Palatino Linotype" w:hAnsi="Palatino Linotype"/>
          <w:i/>
          <w:sz w:val="22"/>
        </w:rPr>
      </w:pPr>
      <w:r w:rsidRPr="003A4CD9">
        <w:rPr>
          <w:rFonts w:ascii="Palatino Linotype" w:hAnsi="Palatino Linotype"/>
          <w:i/>
          <w:sz w:val="22"/>
        </w:rPr>
        <w:t xml:space="preserve">VIII. Aprobar, modificar o revocar la clasificación de la información; </w:t>
      </w:r>
    </w:p>
    <w:p w14:paraId="42A6C492" w14:textId="77777777" w:rsidR="00666EE1" w:rsidRPr="003A4CD9" w:rsidRDefault="00666EE1" w:rsidP="00666EE1">
      <w:pPr>
        <w:spacing w:line="360" w:lineRule="auto"/>
        <w:ind w:left="720" w:right="538"/>
        <w:contextualSpacing/>
        <w:jc w:val="both"/>
        <w:rPr>
          <w:rFonts w:ascii="Palatino Linotype" w:hAnsi="Palatino Linotype"/>
          <w:i/>
          <w:sz w:val="22"/>
        </w:rPr>
      </w:pPr>
    </w:p>
    <w:p w14:paraId="12CFFE77" w14:textId="77777777" w:rsidR="00666EE1" w:rsidRPr="003A4CD9" w:rsidRDefault="00666EE1" w:rsidP="00666EE1">
      <w:pPr>
        <w:spacing w:line="360" w:lineRule="auto"/>
        <w:ind w:left="720" w:right="538"/>
        <w:contextualSpacing/>
        <w:jc w:val="both"/>
        <w:rPr>
          <w:rFonts w:ascii="Palatino Linotype" w:hAnsi="Palatino Linotype"/>
          <w:i/>
          <w:sz w:val="22"/>
        </w:rPr>
      </w:pPr>
      <w:r w:rsidRPr="003A4CD9">
        <w:rPr>
          <w:rFonts w:ascii="Palatino Linotype" w:hAnsi="Palatino Linotype"/>
          <w:b/>
          <w:i/>
          <w:sz w:val="22"/>
        </w:rPr>
        <w:t>Artículo 132</w:t>
      </w:r>
      <w:r w:rsidRPr="003A4CD9">
        <w:rPr>
          <w:rFonts w:ascii="Palatino Linotype" w:hAnsi="Palatino Linotype"/>
          <w:i/>
          <w:sz w:val="22"/>
        </w:rPr>
        <w:t xml:space="preserve">. La clasificación de la información se llevará a cabo en el momento en que: </w:t>
      </w:r>
    </w:p>
    <w:p w14:paraId="5061E482" w14:textId="77777777" w:rsidR="00666EE1" w:rsidRPr="003A4CD9" w:rsidRDefault="00666EE1" w:rsidP="00666EE1">
      <w:pPr>
        <w:spacing w:line="360" w:lineRule="auto"/>
        <w:ind w:left="720" w:right="538"/>
        <w:contextualSpacing/>
        <w:jc w:val="both"/>
        <w:rPr>
          <w:rFonts w:ascii="Palatino Linotype" w:hAnsi="Palatino Linotype"/>
          <w:i/>
          <w:sz w:val="22"/>
        </w:rPr>
      </w:pPr>
      <w:r w:rsidRPr="003A4CD9">
        <w:rPr>
          <w:rFonts w:ascii="Palatino Linotype" w:hAnsi="Palatino Linotype"/>
          <w:i/>
          <w:sz w:val="22"/>
        </w:rPr>
        <w:t xml:space="preserve">I. Se reciba una solicitud de acceso a la información; </w:t>
      </w:r>
    </w:p>
    <w:p w14:paraId="568841CA" w14:textId="77777777" w:rsidR="00666EE1" w:rsidRPr="003A4CD9" w:rsidRDefault="00666EE1" w:rsidP="00666EE1">
      <w:pPr>
        <w:spacing w:line="360" w:lineRule="auto"/>
        <w:ind w:left="720" w:right="538"/>
        <w:contextualSpacing/>
        <w:jc w:val="both"/>
        <w:rPr>
          <w:rFonts w:ascii="Palatino Linotype" w:hAnsi="Palatino Linotype"/>
          <w:i/>
          <w:sz w:val="22"/>
        </w:rPr>
      </w:pPr>
      <w:r w:rsidRPr="003A4CD9">
        <w:rPr>
          <w:rFonts w:ascii="Palatino Linotype" w:hAnsi="Palatino Linotype"/>
          <w:i/>
          <w:sz w:val="22"/>
        </w:rPr>
        <w:t xml:space="preserve">II. Se determine mediante resolución de autoridad competente; o </w:t>
      </w:r>
    </w:p>
    <w:p w14:paraId="4450D82C" w14:textId="77777777" w:rsidR="00666EE1" w:rsidRPr="003A4CD9" w:rsidRDefault="00666EE1" w:rsidP="00666EE1">
      <w:pPr>
        <w:spacing w:line="360" w:lineRule="auto"/>
        <w:ind w:left="720" w:right="538"/>
        <w:contextualSpacing/>
        <w:jc w:val="both"/>
        <w:rPr>
          <w:rFonts w:ascii="Palatino Linotype" w:hAnsi="Palatino Linotype"/>
          <w:i/>
          <w:sz w:val="22"/>
        </w:rPr>
      </w:pPr>
      <w:r w:rsidRPr="003A4CD9">
        <w:rPr>
          <w:rFonts w:ascii="Palatino Linotype" w:hAnsi="Palatino Linotype"/>
          <w:i/>
          <w:sz w:val="22"/>
        </w:rPr>
        <w:t xml:space="preserve">III. Se generen versiones públicas para dar cumplimiento a las obligaciones de transparencia previstas en esta Ley.” </w:t>
      </w:r>
    </w:p>
    <w:p w14:paraId="6C81D823" w14:textId="77777777" w:rsidR="00666EE1" w:rsidRPr="003A4CD9" w:rsidRDefault="00666EE1" w:rsidP="00666EE1">
      <w:pPr>
        <w:spacing w:line="360" w:lineRule="auto"/>
        <w:ind w:left="720" w:right="538"/>
        <w:contextualSpacing/>
        <w:jc w:val="both"/>
        <w:rPr>
          <w:rFonts w:ascii="Palatino Linotype" w:hAnsi="Palatino Linotype"/>
          <w:i/>
          <w:sz w:val="22"/>
        </w:rPr>
      </w:pPr>
    </w:p>
    <w:p w14:paraId="4C4DB3D8" w14:textId="77777777" w:rsidR="00666EE1" w:rsidRPr="003A4CD9" w:rsidRDefault="00666EE1" w:rsidP="00666EE1">
      <w:pPr>
        <w:spacing w:line="360" w:lineRule="auto"/>
        <w:ind w:left="720" w:right="538"/>
        <w:contextualSpacing/>
        <w:jc w:val="both"/>
        <w:rPr>
          <w:rFonts w:ascii="Palatino Linotype" w:hAnsi="Palatino Linotype"/>
          <w:i/>
          <w:sz w:val="22"/>
        </w:rPr>
      </w:pPr>
      <w:r w:rsidRPr="003A4CD9">
        <w:rPr>
          <w:rFonts w:ascii="Palatino Linotype" w:hAnsi="Palatino Linotype"/>
          <w:b/>
          <w:i/>
          <w:sz w:val="22"/>
        </w:rPr>
        <w:t>Cuarto.</w:t>
      </w:r>
      <w:r w:rsidRPr="003A4CD9">
        <w:rPr>
          <w:rFonts w:ascii="Palatino Linotype" w:hAnsi="Palatino Linotype"/>
          <w:i/>
          <w:sz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w:t>
      </w:r>
      <w:r w:rsidRPr="003A4CD9">
        <w:rPr>
          <w:rFonts w:ascii="Palatino Linotype" w:hAnsi="Palatino Linotype"/>
          <w:i/>
          <w:sz w:val="22"/>
        </w:rPr>
        <w:lastRenderedPageBreak/>
        <w:t xml:space="preserve">las excepciones al derecho de acceso a la información y sólo podrán invocarlas cuando acrediten su procedencia. </w:t>
      </w:r>
    </w:p>
    <w:p w14:paraId="5BF94C7E" w14:textId="77777777" w:rsidR="00666EE1" w:rsidRPr="003A4CD9" w:rsidRDefault="00666EE1" w:rsidP="00666EE1">
      <w:pPr>
        <w:spacing w:line="360" w:lineRule="auto"/>
        <w:ind w:left="720" w:right="538"/>
        <w:contextualSpacing/>
        <w:jc w:val="both"/>
        <w:rPr>
          <w:rFonts w:ascii="Palatino Linotype" w:hAnsi="Palatino Linotype"/>
          <w:i/>
          <w:sz w:val="22"/>
        </w:rPr>
      </w:pPr>
    </w:p>
    <w:p w14:paraId="05F8749D" w14:textId="77777777" w:rsidR="00666EE1" w:rsidRPr="003A4CD9" w:rsidRDefault="00666EE1" w:rsidP="00666EE1">
      <w:pPr>
        <w:spacing w:line="360" w:lineRule="auto"/>
        <w:ind w:left="720" w:right="538"/>
        <w:contextualSpacing/>
        <w:jc w:val="both"/>
        <w:rPr>
          <w:rFonts w:ascii="Palatino Linotype" w:hAnsi="Palatino Linotype"/>
          <w:i/>
          <w:sz w:val="22"/>
        </w:rPr>
      </w:pPr>
      <w:r w:rsidRPr="003A4CD9">
        <w:rPr>
          <w:rFonts w:ascii="Palatino Linotype" w:hAnsi="Palatino Linotype"/>
          <w:b/>
          <w:i/>
          <w:sz w:val="22"/>
        </w:rPr>
        <w:t>Quinto.</w:t>
      </w:r>
      <w:r w:rsidRPr="003A4CD9">
        <w:rPr>
          <w:rFonts w:ascii="Palatino Linotype" w:hAnsi="Palatino Linotype"/>
          <w:i/>
          <w:sz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79E61A9" w14:textId="77777777" w:rsidR="00666EE1" w:rsidRPr="003A4CD9" w:rsidRDefault="00666EE1" w:rsidP="00666EE1">
      <w:pPr>
        <w:spacing w:line="360" w:lineRule="auto"/>
        <w:ind w:left="720" w:right="538"/>
        <w:contextualSpacing/>
        <w:jc w:val="both"/>
        <w:rPr>
          <w:rFonts w:ascii="Palatino Linotype" w:hAnsi="Palatino Linotype"/>
          <w:i/>
          <w:sz w:val="22"/>
        </w:rPr>
      </w:pPr>
    </w:p>
    <w:p w14:paraId="021553D6" w14:textId="77777777" w:rsidR="00666EE1" w:rsidRPr="003A4CD9" w:rsidRDefault="00666EE1" w:rsidP="00666EE1">
      <w:pPr>
        <w:spacing w:line="360" w:lineRule="auto"/>
        <w:ind w:left="720" w:right="538"/>
        <w:contextualSpacing/>
        <w:jc w:val="both"/>
        <w:rPr>
          <w:rFonts w:ascii="Palatino Linotype" w:hAnsi="Palatino Linotype"/>
          <w:i/>
          <w:sz w:val="22"/>
        </w:rPr>
      </w:pPr>
      <w:r w:rsidRPr="003A4CD9">
        <w:rPr>
          <w:rFonts w:ascii="Palatino Linotype" w:hAnsi="Palatino Linotype"/>
          <w:b/>
          <w:i/>
          <w:sz w:val="22"/>
        </w:rPr>
        <w:t>Sexto.</w:t>
      </w:r>
      <w:r w:rsidRPr="003A4CD9">
        <w:rPr>
          <w:rFonts w:ascii="Palatino Linotype" w:hAnsi="Palatino Linotype"/>
          <w:i/>
          <w:sz w:val="22"/>
        </w:rPr>
        <w:t xml:space="preserve"> Los Sujetos Obligados no podrán emitir acuerdos de carácter general ni particular que clasifiquen documentos o expedientes como reservados, ni clasificar documentos antes de que se genere la información o cuando éstos no obren en sus archivos. </w:t>
      </w:r>
    </w:p>
    <w:p w14:paraId="073DD824" w14:textId="77777777" w:rsidR="00666EE1" w:rsidRPr="003A4CD9" w:rsidRDefault="00666EE1" w:rsidP="00666EE1">
      <w:pPr>
        <w:spacing w:line="360" w:lineRule="auto"/>
        <w:ind w:left="720" w:right="538"/>
        <w:contextualSpacing/>
        <w:jc w:val="both"/>
        <w:rPr>
          <w:rFonts w:ascii="Palatino Linotype" w:hAnsi="Palatino Linotype"/>
          <w:i/>
          <w:sz w:val="22"/>
        </w:rPr>
      </w:pPr>
    </w:p>
    <w:p w14:paraId="6A9994AD" w14:textId="77777777" w:rsidR="00666EE1" w:rsidRPr="003A4CD9" w:rsidRDefault="00666EE1" w:rsidP="00666EE1">
      <w:pPr>
        <w:spacing w:line="360" w:lineRule="auto"/>
        <w:ind w:left="720" w:right="538"/>
        <w:contextualSpacing/>
        <w:jc w:val="both"/>
        <w:rPr>
          <w:rFonts w:ascii="Palatino Linotype" w:hAnsi="Palatino Linotype"/>
          <w:i/>
          <w:sz w:val="22"/>
        </w:rPr>
      </w:pPr>
      <w:r w:rsidRPr="003A4CD9">
        <w:rPr>
          <w:rFonts w:ascii="Palatino Linotype" w:hAnsi="Palatino Linotype"/>
          <w:i/>
          <w:sz w:val="22"/>
        </w:rPr>
        <w:t xml:space="preserve">La clasificación de información se realizará conforme a un análisis caso por caso, mediante la aplicación de la prueba de daño y de interés público. </w:t>
      </w:r>
    </w:p>
    <w:p w14:paraId="20E99924" w14:textId="77777777" w:rsidR="00666EE1" w:rsidRPr="003A4CD9" w:rsidRDefault="00666EE1" w:rsidP="00666EE1">
      <w:pPr>
        <w:spacing w:line="360" w:lineRule="auto"/>
        <w:ind w:left="720" w:right="538"/>
        <w:contextualSpacing/>
        <w:jc w:val="both"/>
        <w:rPr>
          <w:rFonts w:ascii="Palatino Linotype" w:hAnsi="Palatino Linotype"/>
          <w:i/>
          <w:sz w:val="22"/>
        </w:rPr>
      </w:pPr>
    </w:p>
    <w:p w14:paraId="3CA4BEA3" w14:textId="77777777" w:rsidR="00666EE1" w:rsidRPr="003A4CD9" w:rsidRDefault="00666EE1" w:rsidP="00666EE1">
      <w:pPr>
        <w:spacing w:line="360" w:lineRule="auto"/>
        <w:ind w:left="720" w:right="538"/>
        <w:contextualSpacing/>
        <w:jc w:val="both"/>
        <w:rPr>
          <w:rFonts w:ascii="Palatino Linotype" w:hAnsi="Palatino Linotype"/>
          <w:i/>
          <w:sz w:val="22"/>
        </w:rPr>
      </w:pPr>
      <w:r w:rsidRPr="003A4CD9">
        <w:rPr>
          <w:rFonts w:ascii="Palatino Linotype" w:hAnsi="Palatino Linotype"/>
          <w:b/>
          <w:i/>
          <w:sz w:val="22"/>
        </w:rPr>
        <w:t>Séptimo.</w:t>
      </w:r>
      <w:r w:rsidRPr="003A4CD9">
        <w:rPr>
          <w:rFonts w:ascii="Palatino Linotype" w:hAnsi="Palatino Linotype"/>
          <w:i/>
          <w:sz w:val="22"/>
        </w:rPr>
        <w:t xml:space="preserve"> La clasificación de la información se llevará a cabo en el momento en que: I. Se reciba una solicitud de acceso a la información; </w:t>
      </w:r>
    </w:p>
    <w:p w14:paraId="173254C6" w14:textId="77777777" w:rsidR="00666EE1" w:rsidRPr="003A4CD9" w:rsidRDefault="00666EE1" w:rsidP="00666EE1">
      <w:pPr>
        <w:spacing w:line="360" w:lineRule="auto"/>
        <w:ind w:left="720" w:right="538"/>
        <w:contextualSpacing/>
        <w:jc w:val="both"/>
        <w:rPr>
          <w:rFonts w:ascii="Palatino Linotype" w:hAnsi="Palatino Linotype"/>
          <w:i/>
          <w:sz w:val="22"/>
        </w:rPr>
      </w:pPr>
    </w:p>
    <w:p w14:paraId="00EAF671" w14:textId="77777777" w:rsidR="00666EE1" w:rsidRPr="003A4CD9" w:rsidRDefault="00666EE1" w:rsidP="00666EE1">
      <w:pPr>
        <w:spacing w:line="360" w:lineRule="auto"/>
        <w:ind w:left="720" w:right="538"/>
        <w:contextualSpacing/>
        <w:jc w:val="both"/>
        <w:rPr>
          <w:rFonts w:ascii="Palatino Linotype" w:hAnsi="Palatino Linotype"/>
          <w:i/>
          <w:sz w:val="22"/>
        </w:rPr>
      </w:pPr>
      <w:r w:rsidRPr="003A4CD9">
        <w:rPr>
          <w:rFonts w:ascii="Palatino Linotype" w:hAnsi="Palatino Linotype"/>
          <w:i/>
          <w:sz w:val="22"/>
        </w:rPr>
        <w:t xml:space="preserve">II. Se determine mediante resolución de autoridad competente, o </w:t>
      </w:r>
    </w:p>
    <w:p w14:paraId="50FCFD9B" w14:textId="77777777" w:rsidR="00666EE1" w:rsidRPr="003A4CD9" w:rsidRDefault="00666EE1" w:rsidP="00666EE1">
      <w:pPr>
        <w:spacing w:line="360" w:lineRule="auto"/>
        <w:ind w:left="720" w:right="538"/>
        <w:contextualSpacing/>
        <w:jc w:val="both"/>
        <w:rPr>
          <w:rFonts w:ascii="Palatino Linotype" w:hAnsi="Palatino Linotype"/>
          <w:i/>
          <w:sz w:val="22"/>
        </w:rPr>
      </w:pPr>
      <w:r w:rsidRPr="003A4CD9">
        <w:rPr>
          <w:rFonts w:ascii="Palatino Linotype" w:hAnsi="Palatino Linotype"/>
          <w:i/>
          <w:sz w:val="22"/>
        </w:rPr>
        <w:t xml:space="preserve">III. Se generen versiones públicas para dar cumplimiento a las obligaciones de transparencia previstas en la Ley General, la Ley Federal y las correspondientes de las entidades federativas. </w:t>
      </w:r>
    </w:p>
    <w:p w14:paraId="1499F1C3" w14:textId="77777777" w:rsidR="00666EE1" w:rsidRPr="003A4CD9" w:rsidRDefault="00666EE1" w:rsidP="00666EE1">
      <w:pPr>
        <w:spacing w:line="360" w:lineRule="auto"/>
        <w:ind w:left="720" w:right="538"/>
        <w:contextualSpacing/>
        <w:jc w:val="both"/>
        <w:rPr>
          <w:rFonts w:ascii="Palatino Linotype" w:hAnsi="Palatino Linotype"/>
          <w:i/>
          <w:sz w:val="22"/>
        </w:rPr>
      </w:pPr>
    </w:p>
    <w:p w14:paraId="70DC8B98" w14:textId="77777777" w:rsidR="00666EE1" w:rsidRPr="003A4CD9" w:rsidRDefault="00666EE1" w:rsidP="00666EE1">
      <w:pPr>
        <w:spacing w:line="360" w:lineRule="auto"/>
        <w:ind w:left="720" w:right="538"/>
        <w:contextualSpacing/>
        <w:jc w:val="both"/>
        <w:rPr>
          <w:rFonts w:ascii="Palatino Linotype" w:hAnsi="Palatino Linotype"/>
          <w:i/>
          <w:sz w:val="22"/>
        </w:rPr>
      </w:pPr>
      <w:r w:rsidRPr="003A4CD9">
        <w:rPr>
          <w:rFonts w:ascii="Palatino Linotype" w:hAnsi="Palatino Linotype"/>
          <w:i/>
          <w:sz w:val="22"/>
        </w:rPr>
        <w:lastRenderedPageBreak/>
        <w:t xml:space="preserve">Los titulares de las áreas deberán revisar la clasificación al momento de la recepción de una solicitud de acceso a la información, para verificar si encuadra en una causal de reserva o de confidencialidad. </w:t>
      </w:r>
    </w:p>
    <w:p w14:paraId="57E44A8A" w14:textId="77777777" w:rsidR="00666EE1" w:rsidRPr="003A4CD9" w:rsidRDefault="00666EE1" w:rsidP="00666EE1">
      <w:pPr>
        <w:spacing w:line="360" w:lineRule="auto"/>
        <w:ind w:left="720" w:right="538"/>
        <w:contextualSpacing/>
        <w:jc w:val="both"/>
        <w:rPr>
          <w:rFonts w:ascii="Palatino Linotype" w:hAnsi="Palatino Linotype"/>
          <w:i/>
          <w:sz w:val="22"/>
        </w:rPr>
      </w:pPr>
    </w:p>
    <w:p w14:paraId="6C0C87F1" w14:textId="77777777" w:rsidR="00666EE1" w:rsidRPr="003A4CD9" w:rsidRDefault="00666EE1" w:rsidP="00666EE1">
      <w:pPr>
        <w:spacing w:line="360" w:lineRule="auto"/>
        <w:ind w:left="720" w:right="538"/>
        <w:contextualSpacing/>
        <w:jc w:val="both"/>
        <w:rPr>
          <w:rFonts w:ascii="Palatino Linotype" w:hAnsi="Palatino Linotype"/>
          <w:i/>
          <w:sz w:val="22"/>
        </w:rPr>
      </w:pPr>
      <w:r w:rsidRPr="003A4CD9">
        <w:rPr>
          <w:rFonts w:ascii="Palatino Linotype" w:hAnsi="Palatino Linotype"/>
          <w:b/>
          <w:i/>
          <w:sz w:val="22"/>
        </w:rPr>
        <w:t>Octavo.</w:t>
      </w:r>
      <w:r w:rsidRPr="003A4CD9">
        <w:rPr>
          <w:rFonts w:ascii="Palatino Linotype" w:hAnsi="Palatino Linotype"/>
          <w:i/>
          <w:sz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 </w:t>
      </w:r>
    </w:p>
    <w:p w14:paraId="37C81366" w14:textId="77777777" w:rsidR="00666EE1" w:rsidRPr="003A4CD9" w:rsidRDefault="00666EE1" w:rsidP="00666EE1">
      <w:pPr>
        <w:spacing w:line="360" w:lineRule="auto"/>
        <w:ind w:left="720" w:right="538"/>
        <w:contextualSpacing/>
        <w:jc w:val="both"/>
        <w:rPr>
          <w:rFonts w:ascii="Palatino Linotype" w:hAnsi="Palatino Linotype"/>
          <w:i/>
          <w:sz w:val="22"/>
        </w:rPr>
      </w:pPr>
      <w:r w:rsidRPr="003A4CD9">
        <w:rPr>
          <w:rFonts w:ascii="Palatino Linotype" w:hAnsi="Palatino Linotype"/>
          <w:i/>
          <w:sz w:val="22"/>
        </w:rPr>
        <w:t xml:space="preserve">Para motivar la clasificación se deberán señalar las razones o circunstancias especiales que lo llevaron a concluir que el caso particular se ajusta al supuesto previsto por la norma legal invocada como fundamento. </w:t>
      </w:r>
    </w:p>
    <w:p w14:paraId="119D0ACC" w14:textId="77777777" w:rsidR="00666EE1" w:rsidRPr="003A4CD9" w:rsidRDefault="00666EE1" w:rsidP="00666EE1">
      <w:pPr>
        <w:spacing w:line="360" w:lineRule="auto"/>
        <w:ind w:left="720" w:right="538"/>
        <w:contextualSpacing/>
        <w:jc w:val="both"/>
        <w:rPr>
          <w:rFonts w:ascii="Palatino Linotype" w:hAnsi="Palatino Linotype"/>
          <w:i/>
          <w:sz w:val="22"/>
        </w:rPr>
      </w:pPr>
    </w:p>
    <w:p w14:paraId="50B3E650" w14:textId="77777777" w:rsidR="00666EE1" w:rsidRPr="003A4CD9" w:rsidRDefault="00666EE1" w:rsidP="00666EE1">
      <w:pPr>
        <w:spacing w:line="360" w:lineRule="auto"/>
        <w:ind w:left="720" w:right="538"/>
        <w:contextualSpacing/>
        <w:jc w:val="both"/>
        <w:rPr>
          <w:rFonts w:ascii="Palatino Linotype" w:hAnsi="Palatino Linotype"/>
          <w:i/>
          <w:sz w:val="22"/>
        </w:rPr>
      </w:pPr>
      <w:r w:rsidRPr="003A4CD9">
        <w:rPr>
          <w:rFonts w:ascii="Palatino Linotype" w:hAnsi="Palatino Linotype"/>
          <w:i/>
          <w:sz w:val="22"/>
        </w:rPr>
        <w:t xml:space="preserve">En caso de referirse a información reservada, la motivación de la clasificación también deberá comprender las circunstancias que justifican el establecimiento de determinado plazo de reserva. </w:t>
      </w:r>
    </w:p>
    <w:p w14:paraId="2097595D" w14:textId="77777777" w:rsidR="00666EE1" w:rsidRPr="003A4CD9" w:rsidRDefault="00666EE1" w:rsidP="00666EE1">
      <w:pPr>
        <w:spacing w:line="360" w:lineRule="auto"/>
        <w:ind w:left="720" w:right="538"/>
        <w:contextualSpacing/>
        <w:jc w:val="both"/>
        <w:rPr>
          <w:rFonts w:ascii="Palatino Linotype" w:hAnsi="Palatino Linotype"/>
          <w:i/>
          <w:sz w:val="22"/>
        </w:rPr>
      </w:pPr>
    </w:p>
    <w:p w14:paraId="694C1781" w14:textId="77777777" w:rsidR="00666EE1" w:rsidRPr="003A4CD9" w:rsidRDefault="00666EE1" w:rsidP="00666EE1">
      <w:pPr>
        <w:spacing w:line="360" w:lineRule="auto"/>
        <w:ind w:left="720" w:right="538"/>
        <w:contextualSpacing/>
        <w:jc w:val="both"/>
        <w:rPr>
          <w:rFonts w:ascii="Palatino Linotype" w:hAnsi="Palatino Linotype"/>
          <w:i/>
          <w:sz w:val="22"/>
        </w:rPr>
      </w:pPr>
      <w:r w:rsidRPr="003A4CD9">
        <w:rPr>
          <w:rFonts w:ascii="Palatino Linotype" w:hAnsi="Palatino Linotype"/>
          <w:i/>
          <w:sz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72E9E16" w14:textId="77777777" w:rsidR="00666EE1" w:rsidRPr="003A4CD9" w:rsidRDefault="00666EE1" w:rsidP="00666EE1">
      <w:pPr>
        <w:spacing w:line="360" w:lineRule="auto"/>
        <w:ind w:left="720" w:right="538"/>
        <w:contextualSpacing/>
        <w:jc w:val="both"/>
        <w:rPr>
          <w:rFonts w:ascii="Palatino Linotype" w:hAnsi="Palatino Linotype"/>
          <w:i/>
          <w:sz w:val="22"/>
        </w:rPr>
      </w:pPr>
    </w:p>
    <w:p w14:paraId="42736CE3" w14:textId="77777777" w:rsidR="00666EE1" w:rsidRPr="003A4CD9" w:rsidRDefault="00666EE1" w:rsidP="00666EE1">
      <w:pPr>
        <w:spacing w:line="360" w:lineRule="auto"/>
        <w:ind w:left="720" w:right="538"/>
        <w:contextualSpacing/>
        <w:jc w:val="both"/>
        <w:rPr>
          <w:rFonts w:ascii="Palatino Linotype" w:hAnsi="Palatino Linotype"/>
          <w:i/>
          <w:sz w:val="22"/>
        </w:rPr>
      </w:pPr>
      <w:r w:rsidRPr="003A4CD9">
        <w:rPr>
          <w:rFonts w:ascii="Palatino Linotype" w:hAnsi="Palatino Linotype"/>
          <w:i/>
          <w:sz w:val="22"/>
        </w:rPr>
        <w:t xml:space="preserve">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 </w:t>
      </w:r>
    </w:p>
    <w:p w14:paraId="61251176" w14:textId="77777777" w:rsidR="00666EE1" w:rsidRPr="003A4CD9" w:rsidRDefault="00666EE1" w:rsidP="00666EE1">
      <w:pPr>
        <w:spacing w:line="360" w:lineRule="auto"/>
        <w:ind w:left="720" w:right="538"/>
        <w:contextualSpacing/>
        <w:jc w:val="both"/>
        <w:rPr>
          <w:rFonts w:ascii="Palatino Linotype" w:hAnsi="Palatino Linotype"/>
          <w:i/>
          <w:sz w:val="22"/>
        </w:rPr>
      </w:pPr>
    </w:p>
    <w:p w14:paraId="661BC344" w14:textId="77777777" w:rsidR="00666EE1" w:rsidRPr="003A4CD9" w:rsidRDefault="00666EE1" w:rsidP="00666EE1">
      <w:pPr>
        <w:spacing w:line="360" w:lineRule="auto"/>
        <w:ind w:left="720" w:right="538"/>
        <w:contextualSpacing/>
        <w:jc w:val="both"/>
        <w:rPr>
          <w:rFonts w:ascii="Palatino Linotype" w:hAnsi="Palatino Linotype"/>
          <w:i/>
          <w:sz w:val="22"/>
        </w:rPr>
      </w:pPr>
      <w:r w:rsidRPr="003A4CD9">
        <w:rPr>
          <w:rFonts w:ascii="Palatino Linotype" w:hAnsi="Palatino Linotype"/>
          <w:b/>
          <w:i/>
          <w:sz w:val="22"/>
        </w:rPr>
        <w:lastRenderedPageBreak/>
        <w:t>Décimo</w:t>
      </w:r>
      <w:r w:rsidRPr="003A4CD9">
        <w:rPr>
          <w:rFonts w:ascii="Palatino Linotype" w:hAnsi="Palatino Linotype"/>
          <w:i/>
          <w:sz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 </w:t>
      </w:r>
    </w:p>
    <w:p w14:paraId="521EFB04" w14:textId="77777777" w:rsidR="00666EE1" w:rsidRPr="003A4CD9" w:rsidRDefault="00666EE1" w:rsidP="00666EE1">
      <w:pPr>
        <w:spacing w:line="360" w:lineRule="auto"/>
        <w:ind w:left="720" w:right="538"/>
        <w:contextualSpacing/>
        <w:jc w:val="both"/>
        <w:rPr>
          <w:rFonts w:ascii="Palatino Linotype" w:hAnsi="Palatino Linotype"/>
          <w:i/>
          <w:sz w:val="22"/>
        </w:rPr>
      </w:pPr>
    </w:p>
    <w:p w14:paraId="0990B733" w14:textId="77777777" w:rsidR="00666EE1" w:rsidRPr="003A4CD9" w:rsidRDefault="00666EE1" w:rsidP="00666EE1">
      <w:pPr>
        <w:spacing w:line="360" w:lineRule="auto"/>
        <w:ind w:left="720" w:right="538"/>
        <w:contextualSpacing/>
        <w:jc w:val="both"/>
        <w:rPr>
          <w:rFonts w:ascii="Palatino Linotype" w:hAnsi="Palatino Linotype"/>
          <w:i/>
          <w:sz w:val="22"/>
        </w:rPr>
      </w:pPr>
      <w:r w:rsidRPr="003A4CD9">
        <w:rPr>
          <w:rFonts w:ascii="Palatino Linotype" w:hAnsi="Palatino Linotype"/>
          <w:i/>
          <w:sz w:val="22"/>
        </w:rPr>
        <w:t xml:space="preserve">En ausencia de los titulares de las áreas, la información será clasificada o desclasificada por la persona que lo supla, en términos de la normativa que rija la actuación del sujeto obligado. </w:t>
      </w:r>
    </w:p>
    <w:p w14:paraId="0FD0E4D7" w14:textId="77777777" w:rsidR="00666EE1" w:rsidRPr="003A4CD9" w:rsidRDefault="00666EE1" w:rsidP="00666EE1">
      <w:pPr>
        <w:spacing w:line="360" w:lineRule="auto"/>
        <w:ind w:left="720" w:right="538"/>
        <w:contextualSpacing/>
        <w:jc w:val="both"/>
        <w:rPr>
          <w:rFonts w:ascii="Palatino Linotype" w:hAnsi="Palatino Linotype"/>
          <w:i/>
          <w:sz w:val="22"/>
        </w:rPr>
      </w:pPr>
    </w:p>
    <w:p w14:paraId="5BE7C041" w14:textId="77777777" w:rsidR="00666EE1" w:rsidRPr="003A4CD9" w:rsidRDefault="00666EE1" w:rsidP="00666EE1">
      <w:pPr>
        <w:spacing w:line="360" w:lineRule="auto"/>
        <w:ind w:left="720" w:right="538"/>
        <w:contextualSpacing/>
        <w:jc w:val="both"/>
        <w:rPr>
          <w:rFonts w:ascii="Palatino Linotype" w:hAnsi="Palatino Linotype"/>
          <w:i/>
          <w:sz w:val="22"/>
        </w:rPr>
      </w:pPr>
      <w:r w:rsidRPr="003A4CD9">
        <w:rPr>
          <w:rFonts w:ascii="Palatino Linotype" w:hAnsi="Palatino Linotype"/>
          <w:b/>
          <w:i/>
          <w:sz w:val="22"/>
        </w:rPr>
        <w:t>Décimo primero</w:t>
      </w:r>
      <w:r w:rsidRPr="003A4CD9">
        <w:rPr>
          <w:rFonts w:ascii="Palatino Linotype" w:hAnsi="Palatino Linotype"/>
          <w:i/>
          <w:sz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64C767A3" w14:textId="77777777" w:rsidR="00666EE1" w:rsidRPr="003A4CD9" w:rsidRDefault="00666EE1" w:rsidP="00666EE1">
      <w:pPr>
        <w:spacing w:line="360" w:lineRule="auto"/>
        <w:ind w:left="720" w:right="538"/>
        <w:contextualSpacing/>
        <w:jc w:val="both"/>
        <w:rPr>
          <w:rFonts w:ascii="Palatino Linotype" w:hAnsi="Palatino Linotype"/>
          <w:i/>
        </w:rPr>
      </w:pPr>
    </w:p>
    <w:p w14:paraId="50DFB2E1" w14:textId="77777777" w:rsidR="00666EE1" w:rsidRPr="003A4CD9" w:rsidRDefault="00666EE1" w:rsidP="00666EE1">
      <w:pPr>
        <w:pStyle w:val="Prrafodelista"/>
        <w:numPr>
          <w:ilvl w:val="0"/>
          <w:numId w:val="1"/>
        </w:numPr>
        <w:spacing w:line="360" w:lineRule="auto"/>
        <w:ind w:left="0" w:right="538" w:firstLine="0"/>
        <w:jc w:val="both"/>
        <w:rPr>
          <w:rFonts w:ascii="Palatino Linotype" w:hAnsi="Palatino Linotype"/>
          <w:i/>
          <w:sz w:val="24"/>
        </w:rPr>
      </w:pPr>
      <w:r w:rsidRPr="003A4CD9">
        <w:rPr>
          <w:rFonts w:ascii="Palatino Linotype" w:hAnsi="Palatino Linotype"/>
          <w:sz w:val="24"/>
        </w:rPr>
        <w:t xml:space="preserve">En tal contexto se deberá proceder a la clasificación de los nombres de los elementos de policía que realicen actividades operativas en campo. </w:t>
      </w:r>
    </w:p>
    <w:p w14:paraId="30DE3356" w14:textId="77777777" w:rsidR="00DF40BD" w:rsidRPr="003A4CD9" w:rsidRDefault="00DF40BD" w:rsidP="00DF40BD">
      <w:pPr>
        <w:pStyle w:val="Prrafodelista"/>
        <w:spacing w:line="360" w:lineRule="auto"/>
        <w:ind w:left="0" w:right="538"/>
        <w:jc w:val="both"/>
        <w:rPr>
          <w:rFonts w:ascii="Palatino Linotype" w:hAnsi="Palatino Linotype"/>
          <w:b/>
          <w:sz w:val="24"/>
        </w:rPr>
      </w:pPr>
    </w:p>
    <w:p w14:paraId="57643CAA" w14:textId="77777777" w:rsidR="00DF40BD" w:rsidRPr="003A4CD9" w:rsidRDefault="00DF40BD" w:rsidP="00DF40BD">
      <w:pPr>
        <w:pStyle w:val="Prrafodelista"/>
        <w:spacing w:line="360" w:lineRule="auto"/>
        <w:ind w:left="0" w:right="538"/>
        <w:jc w:val="both"/>
        <w:rPr>
          <w:rFonts w:ascii="Palatino Linotype" w:hAnsi="Palatino Linotype"/>
          <w:b/>
          <w:sz w:val="24"/>
        </w:rPr>
      </w:pPr>
      <w:r w:rsidRPr="003A4CD9">
        <w:rPr>
          <w:rFonts w:ascii="Palatino Linotype" w:hAnsi="Palatino Linotype"/>
          <w:b/>
          <w:sz w:val="24"/>
        </w:rPr>
        <w:t>b) Del número de empleado</w:t>
      </w:r>
    </w:p>
    <w:p w14:paraId="3B78181B" w14:textId="77777777" w:rsidR="00DF40BD" w:rsidRPr="003A4CD9" w:rsidRDefault="00DF40BD" w:rsidP="00DF40BD">
      <w:pPr>
        <w:pStyle w:val="Prrafodelista"/>
        <w:numPr>
          <w:ilvl w:val="0"/>
          <w:numId w:val="1"/>
        </w:numPr>
        <w:shd w:val="clear" w:color="auto" w:fill="FFFFFF"/>
        <w:spacing w:line="360" w:lineRule="auto"/>
        <w:ind w:left="0" w:firstLine="0"/>
        <w:jc w:val="both"/>
        <w:rPr>
          <w:rFonts w:ascii="Palatino Linotype" w:hAnsi="Palatino Linotype" w:cs="Arial"/>
          <w:sz w:val="24"/>
        </w:rPr>
      </w:pPr>
      <w:r w:rsidRPr="003A4CD9">
        <w:rPr>
          <w:rFonts w:ascii="Palatino Linotype" w:hAnsi="Palatino Linotype" w:cs="Arial"/>
          <w:sz w:val="24"/>
        </w:rPr>
        <w:t xml:space="preserve">Este dato es un código numérico y, en ocasiones alfanumérico, que identifica a cada uno de los servidores públicos y es </w:t>
      </w:r>
      <w:r w:rsidRPr="003A4CD9">
        <w:rPr>
          <w:rFonts w:ascii="Palatino Linotype" w:hAnsi="Palatino Linotype" w:cs="Tahoma"/>
          <w:bCs/>
          <w:sz w:val="24"/>
        </w:rPr>
        <w:t>asignado por el Departamento de Recursos Humanos y se trata de un código identificador para uso exclusivo del empleado que, de vincularse y relacionarse al RFC o CURP, lo hace identificable plenamente y, con los mismos se puede tener acceso a diversa información, inclusive con sus datos personales.</w:t>
      </w:r>
    </w:p>
    <w:p w14:paraId="09418F31" w14:textId="77777777" w:rsidR="00DF40BD" w:rsidRPr="003A4CD9" w:rsidRDefault="00DF40BD" w:rsidP="00DF40BD">
      <w:pPr>
        <w:pStyle w:val="Prrafodelista"/>
        <w:numPr>
          <w:ilvl w:val="0"/>
          <w:numId w:val="1"/>
        </w:numPr>
        <w:spacing w:line="360" w:lineRule="auto"/>
        <w:ind w:left="0" w:firstLine="0"/>
        <w:jc w:val="both"/>
        <w:rPr>
          <w:rFonts w:ascii="Palatino Linotype" w:hAnsi="Palatino Linotype" w:cs="Tahoma"/>
          <w:bCs/>
          <w:sz w:val="24"/>
        </w:rPr>
      </w:pPr>
      <w:r w:rsidRPr="003A4CD9">
        <w:rPr>
          <w:rFonts w:ascii="Palatino Linotype" w:hAnsi="Palatino Linotype" w:cs="Tahoma"/>
          <w:bCs/>
          <w:sz w:val="24"/>
        </w:rPr>
        <w:lastRenderedPageBreak/>
        <w:t xml:space="preserve">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 </w:t>
      </w:r>
    </w:p>
    <w:p w14:paraId="331EF3F0" w14:textId="77777777" w:rsidR="00DF40BD" w:rsidRPr="003A4CD9" w:rsidRDefault="00DF40BD" w:rsidP="00DF40BD">
      <w:pPr>
        <w:pStyle w:val="Prrafodelista"/>
        <w:rPr>
          <w:rFonts w:ascii="Palatino Linotype" w:hAnsi="Palatino Linotype" w:cs="Tahoma"/>
          <w:bCs/>
          <w:sz w:val="24"/>
        </w:rPr>
      </w:pPr>
    </w:p>
    <w:p w14:paraId="45810D50" w14:textId="77777777" w:rsidR="00DF40BD" w:rsidRPr="003A4CD9" w:rsidRDefault="00DF40BD" w:rsidP="00DF40BD">
      <w:pPr>
        <w:pStyle w:val="Prrafodelista"/>
        <w:spacing w:line="360" w:lineRule="auto"/>
        <w:ind w:left="567" w:right="822"/>
        <w:jc w:val="both"/>
        <w:rPr>
          <w:rFonts w:ascii="Palatino Linotype" w:hAnsi="Palatino Linotype" w:cs="Tahoma"/>
          <w:bCs/>
          <w:i/>
        </w:rPr>
      </w:pPr>
      <w:r w:rsidRPr="003A4CD9">
        <w:rPr>
          <w:rFonts w:ascii="Palatino Linotype" w:hAnsi="Palatino Linotype" w:cs="Tahoma"/>
          <w:b/>
          <w:bCs/>
          <w:i/>
        </w:rPr>
        <w:t>Número de empleado.</w:t>
      </w:r>
      <w:r w:rsidRPr="003A4CD9">
        <w:rPr>
          <w:rFonts w:ascii="Palatino Linotype" w:hAnsi="Palatino Linotype" w:cs="Tahoma"/>
          <w:bCs/>
          <w:i/>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14:paraId="02E888B6" w14:textId="77777777" w:rsidR="00DF40BD" w:rsidRPr="003A4CD9" w:rsidRDefault="00DF40BD" w:rsidP="00DF40BD">
      <w:pPr>
        <w:pStyle w:val="Prrafodelista"/>
        <w:shd w:val="clear" w:color="auto" w:fill="FFFFFF"/>
        <w:spacing w:line="360" w:lineRule="auto"/>
        <w:ind w:left="0"/>
        <w:jc w:val="both"/>
        <w:rPr>
          <w:rFonts w:ascii="Palatino Linotype" w:hAnsi="Palatino Linotype" w:cs="Arial"/>
          <w:sz w:val="24"/>
        </w:rPr>
      </w:pPr>
    </w:p>
    <w:p w14:paraId="2DD16F02" w14:textId="77777777" w:rsidR="00DF40BD" w:rsidRPr="003A4CD9" w:rsidRDefault="00DF40BD" w:rsidP="00DF40BD">
      <w:pPr>
        <w:pStyle w:val="Prrafodelista"/>
        <w:numPr>
          <w:ilvl w:val="0"/>
          <w:numId w:val="1"/>
        </w:numPr>
        <w:shd w:val="clear" w:color="auto" w:fill="FFFFFF"/>
        <w:spacing w:line="360" w:lineRule="auto"/>
        <w:ind w:left="0" w:firstLine="0"/>
        <w:jc w:val="both"/>
        <w:rPr>
          <w:rFonts w:ascii="Palatino Linotype" w:hAnsi="Palatino Linotype" w:cs="Arial"/>
          <w:sz w:val="24"/>
        </w:rPr>
      </w:pPr>
      <w:r w:rsidRPr="003A4CD9">
        <w:rPr>
          <w:rFonts w:ascii="Palatino Linotype" w:hAnsi="Palatino Linotype" w:cs="Arial"/>
          <w:sz w:val="24"/>
        </w:rPr>
        <w:t>En consecuencia, si el número de empleado no contiene datos personales, este tendrá el carácter de público, por lo que deberá ser entregado; por el contrario, si en el número de empleado se advierten datos personales, este debe ser clasificado.</w:t>
      </w:r>
    </w:p>
    <w:p w14:paraId="569C5EBE" w14:textId="77777777" w:rsidR="00666EE1" w:rsidRPr="003A4CD9" w:rsidRDefault="00666EE1" w:rsidP="00666EE1">
      <w:pPr>
        <w:pStyle w:val="Prrafodelista"/>
        <w:spacing w:line="360" w:lineRule="auto"/>
        <w:ind w:left="0" w:right="538"/>
        <w:jc w:val="both"/>
        <w:rPr>
          <w:rFonts w:ascii="Palatino Linotype" w:hAnsi="Palatino Linotype"/>
          <w:i/>
          <w:sz w:val="24"/>
        </w:rPr>
      </w:pPr>
    </w:p>
    <w:p w14:paraId="47EB86A6" w14:textId="77777777" w:rsidR="00847857" w:rsidRPr="003A4CD9" w:rsidRDefault="00847857" w:rsidP="00847857">
      <w:pPr>
        <w:pStyle w:val="Prrafodelista"/>
        <w:numPr>
          <w:ilvl w:val="0"/>
          <w:numId w:val="1"/>
        </w:numPr>
        <w:spacing w:line="360" w:lineRule="auto"/>
        <w:ind w:left="0" w:firstLine="0"/>
        <w:jc w:val="both"/>
        <w:rPr>
          <w:rFonts w:ascii="Palatino Linotype" w:hAnsi="Palatino Linotype" w:cs="Arial"/>
          <w:sz w:val="24"/>
        </w:rPr>
      </w:pPr>
      <w:r w:rsidRPr="003A4CD9">
        <w:rPr>
          <w:rFonts w:ascii="Palatino Linotype" w:hAnsi="Palatino Linotype"/>
          <w:sz w:val="24"/>
          <w:lang w:val="es-ES"/>
        </w:rPr>
        <w:t xml:space="preserve">Por lo anteriormente expuesto y fundado, este </w:t>
      </w:r>
      <w:r w:rsidRPr="003A4CD9">
        <w:rPr>
          <w:rFonts w:ascii="Palatino Linotype" w:hAnsi="Palatino Linotype"/>
          <w:b/>
          <w:bCs/>
          <w:sz w:val="24"/>
          <w:lang w:val="es-ES"/>
        </w:rPr>
        <w:t>ÓRGANO GARANTE</w:t>
      </w:r>
      <w:r w:rsidRPr="003A4CD9">
        <w:rPr>
          <w:rFonts w:ascii="Palatino Linotype" w:hAnsi="Palatino Linotype"/>
          <w:sz w:val="24"/>
          <w:lang w:val="es-ES"/>
        </w:rPr>
        <w:t xml:space="preserve"> emite los siguientes:</w:t>
      </w:r>
    </w:p>
    <w:p w14:paraId="3199702A" w14:textId="77777777" w:rsidR="00847857" w:rsidRPr="003A4CD9" w:rsidRDefault="00847857" w:rsidP="00847857">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34" w:name="_Toc528153792"/>
      <w:bookmarkStart w:id="35" w:name="_Toc94119621"/>
      <w:r w:rsidRPr="003A4CD9">
        <w:rPr>
          <w:rFonts w:ascii="Palatino Linotype" w:eastAsiaTheme="majorEastAsia" w:hAnsi="Palatino Linotype" w:cstheme="majorBidi"/>
          <w:b/>
          <w:color w:val="000000" w:themeColor="text1"/>
          <w:lang w:eastAsia="en-US"/>
        </w:rPr>
        <w:t>R E S O L U T I V O S</w:t>
      </w:r>
      <w:bookmarkEnd w:id="34"/>
      <w:bookmarkEnd w:id="35"/>
    </w:p>
    <w:p w14:paraId="6670B746" w14:textId="77777777" w:rsidR="00847857" w:rsidRPr="003A4CD9" w:rsidRDefault="00847857" w:rsidP="00847857">
      <w:pPr>
        <w:keepNext/>
        <w:keepLines/>
        <w:spacing w:line="360" w:lineRule="auto"/>
        <w:jc w:val="center"/>
        <w:outlineLvl w:val="0"/>
        <w:rPr>
          <w:rFonts w:ascii="Palatino Linotype" w:eastAsiaTheme="majorEastAsia" w:hAnsi="Palatino Linotype" w:cstheme="majorBidi"/>
          <w:b/>
          <w:color w:val="000000" w:themeColor="text1"/>
          <w:lang w:eastAsia="en-US"/>
        </w:rPr>
      </w:pPr>
    </w:p>
    <w:p w14:paraId="0D33E53B" w14:textId="77777777" w:rsidR="00847857" w:rsidRPr="003A4CD9" w:rsidRDefault="00847857" w:rsidP="00847857">
      <w:pPr>
        <w:spacing w:line="360" w:lineRule="auto"/>
        <w:ind w:right="48"/>
        <w:jc w:val="both"/>
        <w:rPr>
          <w:rFonts w:ascii="Palatino Linotype" w:hAnsi="Palatino Linotype" w:cs="Arial"/>
          <w:bCs/>
          <w:lang w:eastAsia="es-ES"/>
        </w:rPr>
      </w:pPr>
      <w:r w:rsidRPr="003A4CD9">
        <w:rPr>
          <w:rFonts w:ascii="Palatino Linotype" w:hAnsi="Palatino Linotype" w:cs="Arial"/>
          <w:b/>
          <w:lang w:eastAsia="es-ES"/>
        </w:rPr>
        <w:t xml:space="preserve">PRIMERO. </w:t>
      </w:r>
      <w:r w:rsidRPr="003A4CD9">
        <w:rPr>
          <w:rFonts w:ascii="Palatino Linotype" w:hAnsi="Palatino Linotype" w:cs="Arial"/>
          <w:lang w:eastAsia="es-ES"/>
        </w:rPr>
        <w:t>Resultan fundadas las</w:t>
      </w:r>
      <w:r w:rsidRPr="003A4CD9">
        <w:rPr>
          <w:rFonts w:ascii="Palatino Linotype" w:hAnsi="Palatino Linotype" w:cs="Arial"/>
          <w:b/>
          <w:lang w:eastAsia="es-ES"/>
        </w:rPr>
        <w:t xml:space="preserve"> </w:t>
      </w:r>
      <w:r w:rsidRPr="003A4CD9">
        <w:rPr>
          <w:rFonts w:ascii="Palatino Linotype" w:hAnsi="Palatino Linotype" w:cs="Arial"/>
          <w:lang w:val="es-ES" w:eastAsia="es-ES"/>
        </w:rPr>
        <w:t xml:space="preserve">razones o motivos de inconformidad hechos valer </w:t>
      </w:r>
      <w:r w:rsidRPr="003A4CD9">
        <w:rPr>
          <w:rFonts w:ascii="Palatino Linotype" w:eastAsia="Calibri" w:hAnsi="Palatino Linotype" w:cs="Arial"/>
          <w:lang w:val="es-ES" w:eastAsia="es-ES"/>
        </w:rPr>
        <w:t xml:space="preserve">en el recurso de revisión </w:t>
      </w:r>
      <w:r w:rsidR="001E115E" w:rsidRPr="003A4CD9">
        <w:rPr>
          <w:rFonts w:ascii="Palatino Linotype" w:hAnsi="Palatino Linotype" w:cs="Arial"/>
          <w:b/>
          <w:bCs/>
          <w:lang w:eastAsia="es-ES"/>
        </w:rPr>
        <w:t>07003</w:t>
      </w:r>
      <w:r w:rsidRPr="003A4CD9">
        <w:rPr>
          <w:rFonts w:ascii="Palatino Linotype" w:hAnsi="Palatino Linotype" w:cs="Arial"/>
          <w:b/>
          <w:bCs/>
          <w:lang w:eastAsia="es-ES"/>
        </w:rPr>
        <w:t xml:space="preserve">/INFOEM/IP/RR/2023, </w:t>
      </w:r>
      <w:r w:rsidRPr="003A4CD9">
        <w:rPr>
          <w:rFonts w:ascii="Palatino Linotype" w:hAnsi="Palatino Linotype" w:cs="Arial"/>
          <w:bCs/>
          <w:lang w:eastAsia="es-ES"/>
        </w:rPr>
        <w:t>en términos de</w:t>
      </w:r>
      <w:r w:rsidR="004D1B72" w:rsidRPr="003A4CD9">
        <w:rPr>
          <w:rFonts w:ascii="Palatino Linotype" w:hAnsi="Palatino Linotype" w:cs="Arial"/>
          <w:bCs/>
          <w:lang w:eastAsia="es-ES"/>
        </w:rPr>
        <w:t xml:space="preserve"> </w:t>
      </w:r>
      <w:r w:rsidRPr="003A4CD9">
        <w:rPr>
          <w:rFonts w:ascii="Palatino Linotype" w:hAnsi="Palatino Linotype" w:cs="Arial"/>
          <w:bCs/>
          <w:lang w:eastAsia="es-ES"/>
        </w:rPr>
        <w:t>l</w:t>
      </w:r>
      <w:r w:rsidR="004D1B72" w:rsidRPr="003A4CD9">
        <w:rPr>
          <w:rFonts w:ascii="Palatino Linotype" w:hAnsi="Palatino Linotype" w:cs="Arial"/>
          <w:bCs/>
          <w:lang w:eastAsia="es-ES"/>
        </w:rPr>
        <w:t>os</w:t>
      </w:r>
      <w:r w:rsidRPr="003A4CD9">
        <w:rPr>
          <w:rFonts w:ascii="Palatino Linotype" w:hAnsi="Palatino Linotype" w:cs="Arial"/>
          <w:bCs/>
          <w:lang w:eastAsia="es-ES"/>
        </w:rPr>
        <w:t xml:space="preserve"> </w:t>
      </w:r>
      <w:r w:rsidR="004D1B72" w:rsidRPr="003A4CD9">
        <w:rPr>
          <w:rFonts w:ascii="Palatino Linotype" w:hAnsi="Palatino Linotype" w:cs="Arial"/>
          <w:bCs/>
          <w:lang w:eastAsia="es-ES"/>
        </w:rPr>
        <w:t>c</w:t>
      </w:r>
      <w:r w:rsidRPr="003A4CD9">
        <w:rPr>
          <w:rFonts w:ascii="Palatino Linotype" w:hAnsi="Palatino Linotype" w:cs="Arial"/>
          <w:b/>
          <w:bCs/>
          <w:lang w:eastAsia="es-ES"/>
        </w:rPr>
        <w:t>onsiderando</w:t>
      </w:r>
      <w:r w:rsidR="004D1B72" w:rsidRPr="003A4CD9">
        <w:rPr>
          <w:rFonts w:ascii="Palatino Linotype" w:hAnsi="Palatino Linotype" w:cs="Arial"/>
          <w:b/>
          <w:bCs/>
          <w:lang w:eastAsia="es-ES"/>
        </w:rPr>
        <w:t>s</w:t>
      </w:r>
      <w:r w:rsidRPr="003A4CD9">
        <w:rPr>
          <w:rFonts w:ascii="Palatino Linotype" w:hAnsi="Palatino Linotype" w:cs="Arial"/>
          <w:bCs/>
          <w:lang w:eastAsia="es-ES"/>
        </w:rPr>
        <w:t xml:space="preserve"> </w:t>
      </w:r>
      <w:r w:rsidRPr="003A4CD9">
        <w:rPr>
          <w:rFonts w:ascii="Palatino Linotype" w:hAnsi="Palatino Linotype" w:cs="Arial"/>
          <w:b/>
          <w:bCs/>
          <w:lang w:eastAsia="es-ES"/>
        </w:rPr>
        <w:t xml:space="preserve">CUARTO y QUINTO  </w:t>
      </w:r>
      <w:r w:rsidRPr="003A4CD9">
        <w:rPr>
          <w:rFonts w:ascii="Palatino Linotype" w:hAnsi="Palatino Linotype" w:cs="Arial"/>
          <w:bCs/>
          <w:lang w:eastAsia="es-ES"/>
        </w:rPr>
        <w:t>de la presente resolución.</w:t>
      </w:r>
    </w:p>
    <w:p w14:paraId="1AEDB205" w14:textId="77777777" w:rsidR="00847857" w:rsidRPr="003A4CD9" w:rsidRDefault="00847857" w:rsidP="00847857">
      <w:pPr>
        <w:spacing w:line="360" w:lineRule="auto"/>
        <w:ind w:right="48"/>
        <w:jc w:val="both"/>
        <w:rPr>
          <w:rFonts w:ascii="Palatino Linotype" w:hAnsi="Palatino Linotype" w:cs="Arial"/>
          <w:bCs/>
          <w:lang w:eastAsia="es-ES"/>
        </w:rPr>
      </w:pPr>
    </w:p>
    <w:p w14:paraId="2BD33C64" w14:textId="77777777" w:rsidR="00847857" w:rsidRPr="003A4CD9" w:rsidRDefault="00847857" w:rsidP="00847857">
      <w:pPr>
        <w:spacing w:line="360" w:lineRule="auto"/>
        <w:ind w:right="48"/>
        <w:jc w:val="both"/>
        <w:rPr>
          <w:rFonts w:ascii="Palatino Linotype" w:hAnsi="Palatino Linotype" w:cs="Arial"/>
          <w:bCs/>
          <w:lang w:eastAsia="es-ES"/>
        </w:rPr>
      </w:pPr>
      <w:bookmarkStart w:id="36" w:name="_Toc477891768"/>
      <w:bookmarkStart w:id="37" w:name="_Toc477891858"/>
      <w:bookmarkStart w:id="38" w:name="_Toc481576259"/>
      <w:bookmarkStart w:id="39" w:name="_Toc492590391"/>
      <w:bookmarkStart w:id="40" w:name="_Toc462653937"/>
      <w:bookmarkStart w:id="41" w:name="_Toc453696502"/>
      <w:bookmarkStart w:id="42" w:name="_Toc454301155"/>
      <w:r w:rsidRPr="003A4CD9">
        <w:rPr>
          <w:rFonts w:ascii="Palatino Linotype" w:hAnsi="Palatino Linotype"/>
          <w:b/>
          <w:lang w:eastAsia="es-ES"/>
        </w:rPr>
        <w:t>SEGUNDO.</w:t>
      </w:r>
      <w:r w:rsidRPr="003A4CD9">
        <w:rPr>
          <w:rFonts w:ascii="Palatino Linotype" w:eastAsia="等线 Light" w:hAnsi="Palatino Linotype"/>
          <w:color w:val="2F5496"/>
          <w:lang w:eastAsia="es-ES"/>
        </w:rPr>
        <w:t xml:space="preserve"> </w:t>
      </w:r>
      <w:bookmarkEnd w:id="36"/>
      <w:bookmarkEnd w:id="37"/>
      <w:bookmarkEnd w:id="38"/>
      <w:bookmarkEnd w:id="39"/>
      <w:bookmarkEnd w:id="40"/>
      <w:bookmarkEnd w:id="41"/>
      <w:bookmarkEnd w:id="42"/>
      <w:r w:rsidRPr="003A4CD9">
        <w:rPr>
          <w:rFonts w:ascii="Palatino Linotype" w:eastAsia="Calibri" w:hAnsi="Palatino Linotype" w:cs="Arial"/>
          <w:lang w:val="es-ES" w:eastAsia="es-ES"/>
        </w:rPr>
        <w:t>Se</w:t>
      </w:r>
      <w:r w:rsidRPr="003A4CD9">
        <w:rPr>
          <w:rFonts w:ascii="Palatino Linotype" w:eastAsia="Calibri" w:hAnsi="Palatino Linotype" w:cs="Arial"/>
          <w:b/>
          <w:lang w:val="es-ES" w:eastAsia="es-ES"/>
        </w:rPr>
        <w:t xml:space="preserve"> REVOCA </w:t>
      </w:r>
      <w:r w:rsidRPr="003A4CD9">
        <w:rPr>
          <w:rFonts w:ascii="Palatino Linotype" w:eastAsia="Calibri" w:hAnsi="Palatino Linotype" w:cs="Arial"/>
          <w:lang w:val="es-ES" w:eastAsia="es-ES"/>
        </w:rPr>
        <w:t xml:space="preserve">la respuesta emitida por el </w:t>
      </w:r>
      <w:r w:rsidRPr="003A4CD9">
        <w:rPr>
          <w:rFonts w:ascii="Palatino Linotype" w:eastAsia="Calibri" w:hAnsi="Palatino Linotype" w:cs="Tahoma"/>
          <w:b/>
          <w:lang w:eastAsia="en-US"/>
        </w:rPr>
        <w:t xml:space="preserve">Ayuntamiento de </w:t>
      </w:r>
      <w:r w:rsidR="001E115E" w:rsidRPr="003A4CD9">
        <w:rPr>
          <w:rFonts w:ascii="Palatino Linotype" w:eastAsia="Calibri" w:hAnsi="Palatino Linotype" w:cs="Tahoma"/>
          <w:b/>
          <w:lang w:eastAsia="en-US"/>
        </w:rPr>
        <w:t>Lerma</w:t>
      </w:r>
      <w:r w:rsidRPr="003A4CD9">
        <w:rPr>
          <w:rFonts w:ascii="Palatino Linotype" w:eastAsia="Calibri" w:hAnsi="Palatino Linotype" w:cs="Tahoma"/>
          <w:b/>
          <w:lang w:val="es-ES" w:eastAsia="en-US"/>
        </w:rPr>
        <w:t xml:space="preserve"> </w:t>
      </w:r>
      <w:r w:rsidRPr="003A4CD9">
        <w:rPr>
          <w:rFonts w:ascii="Palatino Linotype" w:eastAsia="Calibri" w:hAnsi="Palatino Linotype" w:cs="Arial"/>
          <w:lang w:val="es-ES" w:eastAsia="es-ES"/>
        </w:rPr>
        <w:t>y se</w:t>
      </w:r>
      <w:r w:rsidRPr="003A4CD9">
        <w:rPr>
          <w:rFonts w:ascii="Palatino Linotype" w:eastAsia="Calibri" w:hAnsi="Palatino Linotype" w:cs="Arial"/>
          <w:b/>
          <w:lang w:val="es-ES" w:eastAsia="es-ES"/>
        </w:rPr>
        <w:t xml:space="preserve"> ORDENA </w:t>
      </w:r>
      <w:r w:rsidRPr="003A4CD9">
        <w:rPr>
          <w:rFonts w:ascii="Palatino Linotype" w:hAnsi="Palatino Linotype" w:cs="Arial"/>
          <w:lang w:val="es-ES" w:eastAsia="es-ES"/>
        </w:rPr>
        <w:t xml:space="preserve">entregar vía Sistema de Accesos a la Información Mexiquense (SAIMEX), </w:t>
      </w:r>
      <w:r w:rsidRPr="003A4CD9">
        <w:rPr>
          <w:rFonts w:ascii="Palatino Linotype" w:hAnsi="Palatino Linotype" w:cs="Arial"/>
          <w:lang w:val="es-ES" w:eastAsia="es-ES"/>
        </w:rPr>
        <w:lastRenderedPageBreak/>
        <w:t>de ser procedente en versión pública, la siguiente información</w:t>
      </w:r>
      <w:r w:rsidR="0092408C" w:rsidRPr="003A4CD9">
        <w:rPr>
          <w:rFonts w:ascii="Palatino Linotype" w:hAnsi="Palatino Linotype" w:cs="Arial"/>
          <w:lang w:val="es-ES" w:eastAsia="es-ES"/>
        </w:rPr>
        <w:t xml:space="preserve"> del periodo comprendido del primero de enero de dos mil veintidós al quince de septiembre de dos mil veintitrés</w:t>
      </w:r>
      <w:r w:rsidRPr="003A4CD9">
        <w:rPr>
          <w:rFonts w:ascii="Palatino Linotype" w:hAnsi="Palatino Linotype" w:cs="Arial"/>
          <w:bCs/>
          <w:lang w:eastAsia="es-ES"/>
        </w:rPr>
        <w:t>:</w:t>
      </w:r>
    </w:p>
    <w:p w14:paraId="61C0823F" w14:textId="77777777" w:rsidR="00847857" w:rsidRPr="003A4CD9" w:rsidRDefault="00847857" w:rsidP="00847857">
      <w:pPr>
        <w:spacing w:line="360" w:lineRule="auto"/>
        <w:ind w:right="48"/>
        <w:jc w:val="both"/>
        <w:rPr>
          <w:rFonts w:ascii="Palatino Linotype" w:hAnsi="Palatino Linotype" w:cs="Arial"/>
          <w:bCs/>
          <w:lang w:eastAsia="es-ES"/>
        </w:rPr>
      </w:pPr>
    </w:p>
    <w:p w14:paraId="31519463" w14:textId="77777777" w:rsidR="00847857" w:rsidRPr="003A4CD9" w:rsidRDefault="0092408C" w:rsidP="00847857">
      <w:pPr>
        <w:pStyle w:val="Prrafodelista"/>
        <w:numPr>
          <w:ilvl w:val="1"/>
          <w:numId w:val="18"/>
        </w:numPr>
        <w:spacing w:line="360" w:lineRule="auto"/>
        <w:ind w:right="567"/>
        <w:jc w:val="both"/>
        <w:rPr>
          <w:rFonts w:ascii="Palatino Linotype" w:hAnsi="Palatino Linotype"/>
          <w:b/>
          <w:bCs/>
          <w:color w:val="000000"/>
          <w:sz w:val="24"/>
        </w:rPr>
      </w:pPr>
      <w:r w:rsidRPr="003A4CD9">
        <w:rPr>
          <w:rFonts w:ascii="Palatino Linotype" w:hAnsi="Palatino Linotype"/>
          <w:b/>
          <w:bCs/>
          <w:color w:val="000000"/>
          <w:sz w:val="24"/>
        </w:rPr>
        <w:t xml:space="preserve">Soporte documental donde consten de las altas y bajas de los servidores públicos, </w:t>
      </w:r>
      <w:r w:rsidR="00361510" w:rsidRPr="003A4CD9">
        <w:rPr>
          <w:rFonts w:ascii="Palatino Linotype" w:hAnsi="Palatino Linotype"/>
          <w:b/>
          <w:bCs/>
          <w:color w:val="000000"/>
          <w:sz w:val="24"/>
        </w:rPr>
        <w:t xml:space="preserve">en el que se advierta </w:t>
      </w:r>
      <w:r w:rsidRPr="003A4CD9">
        <w:rPr>
          <w:rFonts w:ascii="Palatino Linotype" w:hAnsi="Palatino Linotype"/>
          <w:b/>
          <w:bCs/>
          <w:color w:val="000000"/>
          <w:sz w:val="24"/>
        </w:rPr>
        <w:t xml:space="preserve">el nombre, </w:t>
      </w:r>
      <w:r w:rsidR="005D4A06" w:rsidRPr="003A4CD9">
        <w:rPr>
          <w:rFonts w:ascii="Palatino Linotype" w:hAnsi="Palatino Linotype"/>
          <w:b/>
          <w:bCs/>
          <w:color w:val="000000"/>
          <w:sz w:val="24"/>
        </w:rPr>
        <w:t>número</w:t>
      </w:r>
      <w:r w:rsidRPr="003A4CD9">
        <w:rPr>
          <w:rFonts w:ascii="Palatino Linotype" w:hAnsi="Palatino Linotype"/>
          <w:b/>
          <w:bCs/>
          <w:color w:val="000000"/>
          <w:sz w:val="24"/>
        </w:rPr>
        <w:t xml:space="preserve"> de empleado, área de adscripción, jefe directo, </w:t>
      </w:r>
      <w:r w:rsidR="005D4A06" w:rsidRPr="003A4CD9">
        <w:rPr>
          <w:rFonts w:ascii="Palatino Linotype" w:hAnsi="Palatino Linotype"/>
          <w:b/>
          <w:bCs/>
          <w:color w:val="000000"/>
          <w:sz w:val="24"/>
        </w:rPr>
        <w:t>la forma de checar entradas y salidas, sueldo bruto;</w:t>
      </w:r>
    </w:p>
    <w:p w14:paraId="21B66A37" w14:textId="77777777" w:rsidR="005D4A06" w:rsidRPr="003A4CD9" w:rsidRDefault="005D4A06" w:rsidP="00847857">
      <w:pPr>
        <w:pStyle w:val="Prrafodelista"/>
        <w:numPr>
          <w:ilvl w:val="1"/>
          <w:numId w:val="18"/>
        </w:numPr>
        <w:spacing w:line="360" w:lineRule="auto"/>
        <w:ind w:right="567"/>
        <w:jc w:val="both"/>
        <w:rPr>
          <w:rFonts w:ascii="Palatino Linotype" w:hAnsi="Palatino Linotype"/>
          <w:b/>
          <w:bCs/>
          <w:color w:val="000000"/>
          <w:sz w:val="24"/>
        </w:rPr>
      </w:pPr>
      <w:r w:rsidRPr="003A4CD9">
        <w:rPr>
          <w:rFonts w:ascii="Palatino Linotype" w:hAnsi="Palatino Linotype"/>
          <w:b/>
          <w:bCs/>
          <w:color w:val="000000"/>
          <w:sz w:val="24"/>
        </w:rPr>
        <w:t xml:space="preserve">Para el caso de que existan bajas, los montos por concepto de liquidación. </w:t>
      </w:r>
    </w:p>
    <w:p w14:paraId="6E15880F" w14:textId="77777777" w:rsidR="0092408C" w:rsidRPr="003A4CD9" w:rsidRDefault="0092408C" w:rsidP="005D4A06">
      <w:pPr>
        <w:spacing w:line="360" w:lineRule="auto"/>
        <w:ind w:right="567"/>
        <w:jc w:val="both"/>
        <w:rPr>
          <w:rFonts w:ascii="Palatino Linotype" w:hAnsi="Palatino Linotype"/>
          <w:b/>
          <w:bCs/>
          <w:color w:val="000000"/>
        </w:rPr>
      </w:pPr>
    </w:p>
    <w:p w14:paraId="4B119D9C" w14:textId="77777777" w:rsidR="00847857" w:rsidRPr="003A4CD9" w:rsidRDefault="00847857" w:rsidP="00847857">
      <w:pPr>
        <w:tabs>
          <w:tab w:val="left" w:pos="8080"/>
        </w:tabs>
        <w:spacing w:line="360" w:lineRule="auto"/>
        <w:ind w:right="48"/>
        <w:contextualSpacing/>
        <w:jc w:val="both"/>
        <w:rPr>
          <w:rFonts w:ascii="Palatino Linotype" w:hAnsi="Palatino Linotype"/>
          <w:b/>
        </w:rPr>
      </w:pPr>
      <w:r w:rsidRPr="003A4CD9">
        <w:rPr>
          <w:rFonts w:ascii="Palatino Linotype" w:hAnsi="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3A4CD9">
        <w:rPr>
          <w:rFonts w:ascii="Palatino Linotype" w:hAnsi="Palatino Linotype"/>
          <w:b/>
        </w:rPr>
        <w:t>EL RECURRENTE.</w:t>
      </w:r>
    </w:p>
    <w:p w14:paraId="7DD854BE" w14:textId="77777777" w:rsidR="00847857" w:rsidRPr="003A4CD9" w:rsidRDefault="00847857" w:rsidP="00847857">
      <w:pPr>
        <w:tabs>
          <w:tab w:val="left" w:pos="8080"/>
        </w:tabs>
        <w:spacing w:line="360" w:lineRule="auto"/>
        <w:ind w:right="48"/>
        <w:contextualSpacing/>
        <w:jc w:val="both"/>
        <w:rPr>
          <w:rFonts w:ascii="Palatino Linotype" w:eastAsia="Palatino Linotype" w:hAnsi="Palatino Linotype" w:cs="Palatino Linotype"/>
          <w:b/>
        </w:rPr>
      </w:pPr>
    </w:p>
    <w:p w14:paraId="6F37EC84" w14:textId="77777777" w:rsidR="005D4A06" w:rsidRPr="003A4CD9" w:rsidRDefault="005D4A06" w:rsidP="005D4A06">
      <w:pPr>
        <w:pStyle w:val="Prrafodelista"/>
        <w:pBdr>
          <w:top w:val="nil"/>
          <w:left w:val="nil"/>
          <w:bottom w:val="nil"/>
          <w:right w:val="nil"/>
          <w:between w:val="nil"/>
        </w:pBdr>
        <w:spacing w:line="360" w:lineRule="auto"/>
        <w:ind w:left="0" w:right="49"/>
        <w:jc w:val="both"/>
        <w:rPr>
          <w:rFonts w:ascii="Palatino Linotype" w:eastAsia="Palatino Linotype" w:hAnsi="Palatino Linotype" w:cs="Palatino Linotype"/>
          <w:sz w:val="24"/>
        </w:rPr>
      </w:pPr>
      <w:r w:rsidRPr="003A4CD9">
        <w:rPr>
          <w:rFonts w:ascii="Palatino Linotype" w:eastAsia="Palatino Linotype" w:hAnsi="Palatino Linotype" w:cs="Palatino Linotype"/>
          <w:sz w:val="24"/>
        </w:rPr>
        <w:t>Para el caso de que la información que se ordena e</w:t>
      </w:r>
      <w:r w:rsidR="00DF40BD" w:rsidRPr="003A4CD9">
        <w:rPr>
          <w:rFonts w:ascii="Palatino Linotype" w:eastAsia="Palatino Linotype" w:hAnsi="Palatino Linotype" w:cs="Palatino Linotype"/>
          <w:sz w:val="24"/>
        </w:rPr>
        <w:t>ntregar referente al jefe directo,</w:t>
      </w:r>
      <w:r w:rsidRPr="003A4CD9">
        <w:rPr>
          <w:rFonts w:ascii="Palatino Linotype" w:eastAsia="Palatino Linotype" w:hAnsi="Palatino Linotype" w:cs="Palatino Linotype"/>
          <w:sz w:val="24"/>
        </w:rPr>
        <w:t xml:space="preserve"> no obre en los archivos del Sujeto Obligado, por no haberse generado, bastará con que así se haga del conocimiento del Particular en términos del artículo 19, párrafo segundo, de la Ley de Transparencia y Acceso a la Información Pública del Estado de México y Municipios, para tenerse por colmado dicho requerimiento. </w:t>
      </w:r>
    </w:p>
    <w:p w14:paraId="4F796895" w14:textId="77777777" w:rsidR="005D4A06" w:rsidRPr="003A4CD9" w:rsidRDefault="005D4A06" w:rsidP="00847857">
      <w:pPr>
        <w:tabs>
          <w:tab w:val="left" w:pos="8080"/>
        </w:tabs>
        <w:spacing w:line="360" w:lineRule="auto"/>
        <w:ind w:right="48"/>
        <w:contextualSpacing/>
        <w:jc w:val="both"/>
        <w:rPr>
          <w:rFonts w:ascii="Palatino Linotype" w:eastAsia="Palatino Linotype" w:hAnsi="Palatino Linotype" w:cs="Palatino Linotype"/>
          <w:b/>
        </w:rPr>
      </w:pPr>
    </w:p>
    <w:p w14:paraId="7FADF3DE" w14:textId="77777777" w:rsidR="00847857" w:rsidRPr="003A4CD9" w:rsidRDefault="00847857" w:rsidP="00847857">
      <w:pPr>
        <w:tabs>
          <w:tab w:val="left" w:pos="8080"/>
        </w:tabs>
        <w:spacing w:line="360" w:lineRule="auto"/>
        <w:ind w:right="48"/>
        <w:contextualSpacing/>
        <w:jc w:val="both"/>
        <w:rPr>
          <w:rFonts w:ascii="Palatino Linotype" w:hAnsi="Palatino Linotype"/>
          <w:color w:val="222222"/>
          <w:shd w:val="clear" w:color="auto" w:fill="FFFFFF"/>
        </w:rPr>
      </w:pPr>
      <w:r w:rsidRPr="003A4CD9">
        <w:rPr>
          <w:rFonts w:ascii="Palatino Linotype" w:eastAsia="Palatino Linotype" w:hAnsi="Palatino Linotype" w:cs="Palatino Linotype"/>
          <w:b/>
        </w:rPr>
        <w:lastRenderedPageBreak/>
        <w:t xml:space="preserve">TERCERO. Notifíquese </w:t>
      </w:r>
      <w:r w:rsidRPr="003A4CD9">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3A4CD9">
        <w:rPr>
          <w:rFonts w:ascii="Palatino Linotype" w:eastAsia="Palatino Linotype" w:hAnsi="Palatino Linotype" w:cs="Palatino Linotype"/>
          <w:b/>
        </w:rPr>
        <w:t>dé cumplimiento a lo ordenado dentro del plazo de diez días hábiles</w:t>
      </w:r>
      <w:r w:rsidRPr="003A4CD9">
        <w:rPr>
          <w:rFonts w:ascii="Palatino Linotype" w:eastAsia="Palatino Linotype" w:hAnsi="Palatino Linotype" w:cs="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F718063" w14:textId="77777777" w:rsidR="00847857" w:rsidRPr="003A4CD9" w:rsidRDefault="00847857" w:rsidP="00847857">
      <w:pPr>
        <w:tabs>
          <w:tab w:val="left" w:pos="8080"/>
        </w:tabs>
        <w:spacing w:line="360" w:lineRule="auto"/>
        <w:ind w:right="48"/>
        <w:contextualSpacing/>
        <w:jc w:val="both"/>
        <w:rPr>
          <w:rFonts w:ascii="Palatino Linotype" w:hAnsi="Palatino Linotype"/>
          <w:color w:val="222222"/>
          <w:shd w:val="clear" w:color="auto" w:fill="FFFFFF"/>
        </w:rPr>
      </w:pPr>
    </w:p>
    <w:p w14:paraId="50572FCE" w14:textId="77777777" w:rsidR="00847857" w:rsidRPr="003A4CD9" w:rsidRDefault="00847857" w:rsidP="00847857">
      <w:pPr>
        <w:shd w:val="clear" w:color="auto" w:fill="FFFFFF"/>
        <w:spacing w:line="360" w:lineRule="auto"/>
        <w:ind w:right="48"/>
        <w:jc w:val="both"/>
        <w:rPr>
          <w:rFonts w:ascii="Palatino Linotype" w:hAnsi="Palatino Linotype"/>
        </w:rPr>
      </w:pPr>
      <w:r w:rsidRPr="003A4CD9">
        <w:rPr>
          <w:rFonts w:ascii="Palatino Linotype" w:hAnsi="Palatino Linotype" w:cs="Arial"/>
          <w:b/>
        </w:rPr>
        <w:t xml:space="preserve">CUARTO. </w:t>
      </w:r>
      <w:r w:rsidRPr="003A4CD9">
        <w:rPr>
          <w:rFonts w:ascii="Palatino Linotype" w:hAnsi="Palatino Linotype"/>
          <w:b/>
          <w:bCs/>
          <w:lang w:val="es-ES"/>
        </w:rPr>
        <w:t>Notifíquese al RECURRENTE</w:t>
      </w:r>
      <w:r w:rsidRPr="003A4CD9">
        <w:rPr>
          <w:rFonts w:ascii="Palatino Linotype" w:hAnsi="Palatino Linotype"/>
        </w:rPr>
        <w:t xml:space="preserve"> la presente resolución.</w:t>
      </w:r>
    </w:p>
    <w:p w14:paraId="3BD1C382" w14:textId="77777777" w:rsidR="00847857" w:rsidRPr="003A4CD9" w:rsidRDefault="00847857" w:rsidP="00847857">
      <w:pPr>
        <w:shd w:val="clear" w:color="auto" w:fill="FFFFFF"/>
        <w:spacing w:line="360" w:lineRule="auto"/>
        <w:ind w:right="48"/>
        <w:jc w:val="both"/>
        <w:rPr>
          <w:rFonts w:ascii="Palatino Linotype" w:hAnsi="Palatino Linotype"/>
          <w:b/>
          <w:color w:val="FF0000"/>
        </w:rPr>
      </w:pPr>
    </w:p>
    <w:p w14:paraId="79462B9D" w14:textId="77777777" w:rsidR="00847857" w:rsidRPr="003A4CD9" w:rsidRDefault="00847857" w:rsidP="00847857">
      <w:pPr>
        <w:spacing w:line="360" w:lineRule="auto"/>
        <w:ind w:right="48"/>
        <w:jc w:val="both"/>
        <w:rPr>
          <w:rFonts w:ascii="Palatino Linotype" w:eastAsia="MS Mincho" w:hAnsi="Palatino Linotype"/>
          <w:lang w:val="es-ES"/>
        </w:rPr>
      </w:pPr>
      <w:r w:rsidRPr="003A4CD9">
        <w:rPr>
          <w:rFonts w:ascii="Palatino Linotype" w:eastAsia="MS Mincho" w:hAnsi="Palatino Linotype"/>
          <w:b/>
        </w:rPr>
        <w:t>QUINTO.</w:t>
      </w:r>
      <w:r w:rsidRPr="003A4CD9">
        <w:rPr>
          <w:rFonts w:ascii="Palatino Linotype" w:eastAsia="MS Mincho" w:hAnsi="Palatino Linotype"/>
        </w:rPr>
        <w:t xml:space="preserve"> </w:t>
      </w:r>
      <w:r w:rsidRPr="003A4CD9">
        <w:rPr>
          <w:rFonts w:ascii="Palatino Linotype" w:eastAsia="MS Mincho" w:hAnsi="Palatino Linotype"/>
          <w:lang w:val="es-ES"/>
        </w:rPr>
        <w:t xml:space="preserve">Se hace del conocimiento del </w:t>
      </w:r>
      <w:r w:rsidRPr="003A4CD9">
        <w:rPr>
          <w:rFonts w:ascii="Palatino Linotype" w:hAnsi="Palatino Linotype"/>
          <w:b/>
        </w:rPr>
        <w:t>RECURRENTE</w:t>
      </w:r>
      <w:r w:rsidRPr="003A4CD9">
        <w:rPr>
          <w:rFonts w:ascii="Palatino Linotype" w:hAnsi="Palatino Linotype"/>
        </w:rPr>
        <w:t xml:space="preserve"> </w:t>
      </w:r>
      <w:r w:rsidRPr="003A4CD9">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3A4CD9">
        <w:rPr>
          <w:rFonts w:ascii="Palatino Linotype" w:eastAsia="MS Mincho" w:hAnsi="Palatino Linotype"/>
          <w:bCs/>
          <w:lang w:val="es-ES"/>
        </w:rPr>
        <w:t>vía juicio de amparo</w:t>
      </w:r>
      <w:r w:rsidRPr="003A4CD9">
        <w:rPr>
          <w:rFonts w:ascii="Palatino Linotype" w:eastAsia="MS Mincho" w:hAnsi="Palatino Linotype"/>
          <w:lang w:val="es-ES"/>
        </w:rPr>
        <w:t> en los términos de las leyes aplicables.</w:t>
      </w:r>
    </w:p>
    <w:p w14:paraId="14041AA0" w14:textId="77777777" w:rsidR="00847857" w:rsidRPr="003A4CD9" w:rsidRDefault="00847857" w:rsidP="00847857">
      <w:pPr>
        <w:spacing w:line="360" w:lineRule="auto"/>
        <w:ind w:right="48"/>
        <w:jc w:val="both"/>
        <w:rPr>
          <w:rFonts w:ascii="Palatino Linotype" w:hAnsi="Palatino Linotype"/>
          <w:color w:val="000000"/>
          <w:shd w:val="clear" w:color="auto" w:fill="FFFFFF"/>
        </w:rPr>
      </w:pPr>
    </w:p>
    <w:p w14:paraId="7C7E37E0" w14:textId="77777777" w:rsidR="00847857" w:rsidRPr="003A4CD9" w:rsidRDefault="00847857" w:rsidP="00847857">
      <w:pPr>
        <w:spacing w:line="360" w:lineRule="auto"/>
        <w:ind w:right="48"/>
        <w:jc w:val="both"/>
        <w:rPr>
          <w:rFonts w:ascii="Palatino Linotype" w:eastAsia="Calibri" w:hAnsi="Palatino Linotype" w:cs="Arial"/>
          <w:bCs/>
        </w:rPr>
      </w:pPr>
      <w:r w:rsidRPr="003A4CD9">
        <w:rPr>
          <w:rFonts w:ascii="Palatino Linotype" w:hAnsi="Palatino Linotype"/>
          <w:b/>
          <w:color w:val="000000"/>
          <w:shd w:val="clear" w:color="auto" w:fill="FFFFFF"/>
        </w:rPr>
        <w:t xml:space="preserve">SEXTO. </w:t>
      </w:r>
      <w:r w:rsidRPr="003A4CD9">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1327EB8" w14:textId="77777777" w:rsidR="00847857" w:rsidRPr="003A4CD9" w:rsidRDefault="00847857" w:rsidP="00847857">
      <w:pPr>
        <w:spacing w:line="360" w:lineRule="auto"/>
        <w:ind w:right="48"/>
        <w:jc w:val="both"/>
        <w:rPr>
          <w:rFonts w:ascii="Palatino Linotype" w:eastAsia="Calibri" w:hAnsi="Palatino Linotype" w:cs="Arial"/>
          <w:bCs/>
        </w:rPr>
      </w:pPr>
    </w:p>
    <w:p w14:paraId="59341383" w14:textId="77777777" w:rsidR="00633427" w:rsidRPr="003A4CD9" w:rsidRDefault="00633427" w:rsidP="00633427">
      <w:pPr>
        <w:shd w:val="clear" w:color="auto" w:fill="FFFFFF"/>
        <w:spacing w:line="360" w:lineRule="auto"/>
        <w:jc w:val="both"/>
        <w:rPr>
          <w:rFonts w:ascii="Palatino Linotype" w:hAnsi="Palatino Linotype"/>
          <w:lang w:val="es-ES"/>
        </w:rPr>
      </w:pPr>
    </w:p>
    <w:p w14:paraId="3DDD6B0C" w14:textId="13E861DD" w:rsidR="004D1B72" w:rsidRDefault="003A4CD9" w:rsidP="004D1B72">
      <w:pPr>
        <w:spacing w:before="240" w:after="240" w:line="360" w:lineRule="auto"/>
        <w:ind w:firstLine="1"/>
        <w:jc w:val="both"/>
        <w:rPr>
          <w:rStyle w:val="Referenciasutil"/>
          <w:rFonts w:ascii="Palatino Linotype" w:eastAsiaTheme="majorEastAsia" w:hAnsi="Palatino Linotype"/>
          <w:color w:val="auto"/>
        </w:rPr>
      </w:pPr>
      <w:bookmarkStart w:id="43" w:name="_Hlk129792997"/>
      <w:r w:rsidRPr="003A4CD9">
        <w:rPr>
          <w:rFonts w:ascii="Palatino Linotype" w:eastAsiaTheme="majorEastAsia" w:hAnsi="Palatino Linotype"/>
          <w:smallCaps/>
          <w:noProof/>
        </w:rPr>
        <w:lastRenderedPageBreak/>
        <mc:AlternateContent>
          <mc:Choice Requires="wps">
            <w:drawing>
              <wp:anchor distT="0" distB="0" distL="114300" distR="114300" simplePos="0" relativeHeight="251659264" behindDoc="0" locked="0" layoutInCell="1" allowOverlap="1" wp14:anchorId="54FF1C2C" wp14:editId="47D667F2">
                <wp:simplePos x="0" y="0"/>
                <wp:positionH relativeFrom="column">
                  <wp:posOffset>20320</wp:posOffset>
                </wp:positionH>
                <wp:positionV relativeFrom="paragraph">
                  <wp:posOffset>3117850</wp:posOffset>
                </wp:positionV>
                <wp:extent cx="5619750" cy="426720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19750" cy="426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BFB7C6"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pt,245.5pt" to="444.1pt,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8pwuAEAAMUDAAAOAAAAZHJzL2Uyb0RvYy54bWysU02P0zAQvSPxHyzfadKI7ULUdA9dwQVB&#10;BcsP8DrjxpK/NDZt+u8ZO2kWARJitRc7tt+bmfdmsr0brWEnwKi96/h6VXMGTvpeu2PHvz98ePOO&#10;s5iE64XxDjp+gcjvdq9fbc+hhcYP3vSAjIK42J5Dx4eUQltVUQ5gRVz5AI4elUcrEh3xWPUozhTd&#10;mqqp60119tgH9BJipNv76ZHvSnylQKYvSkVIzHScaktlxbI+5rXabUV7RBEGLecyxDOqsEI7SrqE&#10;uhdJsB+o/whltUQfvUor6W3lldISigZSs65/U/NtEAGKFjInhsWm+HJh5efTAZnuO95w5oSlFu2p&#10;UTJ5ZJg31mSPziG2BN27A86nGA6YBY8Kbd5JChuLr5fFVxgTk3R5s1m/v70h+yW9vW02t9S5HLV6&#10;ogeM6SN4y/JHx412WbhoxelTTBP0CiFeLmcqoHyli4EMNu4rKBJDKdeFXcYI9gbZSdAACCnBpfWc&#10;uqAzTWljFmL9b+KMz1QoI/Y/5IVRMnuXFrLVzuPfsqfxWrKa8FcHJt3ZgkffX0prijU0K8Xcea7z&#10;MP56LvSnv2/3EwAA//8DAFBLAwQUAAYACAAAACEA+zaISeEAAAAKAQAADwAAAGRycy9kb3ducmV2&#10;LnhtbEyPQUvDQBCF74L/YRnBm90klRJjNqUUxFqQYi20x212TKLZ2ZDdNum/d3rS47z38ea9fD7a&#10;Vpyx940jBfEkAoFUOtNQpWD3+fKQgvBBk9GtI1RwQQ/z4vYm15lxA33geRsqwSHkM62gDqHLpPRl&#10;jVb7ieuQ2PtyvdWBz76SptcDh9tWJlE0k1Y3xB9q3eGyxvJne7IK3vvVarlYX75pc7DDPlnvN2/j&#10;q1L3d+PiGUTAMfzBcK3P1aHgTkd3IuNFq2CaMKjg8SnmSeynacrKkcF4No1AFrn8P6H4BQAA//8D&#10;AFBLAQItABQABgAIAAAAIQC2gziS/gAAAOEBAAATAAAAAAAAAAAAAAAAAAAAAABbQ29udGVudF9U&#10;eXBlc10ueG1sUEsBAi0AFAAGAAgAAAAhADj9If/WAAAAlAEAAAsAAAAAAAAAAAAAAAAALwEAAF9y&#10;ZWxzLy5yZWxzUEsBAi0AFAAGAAgAAAAhAHQvynC4AQAAxQMAAA4AAAAAAAAAAAAAAAAALgIAAGRy&#10;cy9lMm9Eb2MueG1sUEsBAi0AFAAGAAgAAAAhAPs2iEnhAAAACgEAAA8AAAAAAAAAAAAAAAAAEgQA&#10;AGRycy9kb3ducmV2LnhtbFBLBQYAAAAABAAEAPMAAAAgBQAAAAA=&#10;" strokecolor="#5b9bd5 [3204]" strokeweight=".5pt">
                <v:stroke joinstyle="miter"/>
              </v:line>
            </w:pict>
          </mc:Fallback>
        </mc:AlternateContent>
      </w:r>
      <w:r w:rsidR="004D1B72" w:rsidRPr="003A4CD9">
        <w:rPr>
          <w:rStyle w:val="Referenciasutil"/>
          <w:rFonts w:ascii="Palatino Linotype" w:eastAsiaTheme="majorEastAsia"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611A30" w:rsidRPr="003A4CD9">
        <w:rPr>
          <w:rStyle w:val="Referenciasutil"/>
          <w:rFonts w:ascii="Palatino Linotype" w:eastAsiaTheme="majorEastAsia" w:hAnsi="Palatino Linotype"/>
          <w:color w:val="auto"/>
        </w:rPr>
        <w:t xml:space="preserve"> EMITIENDO VOTO PARTICULAR</w:t>
      </w:r>
      <w:r w:rsidR="004D1B72" w:rsidRPr="003A4CD9">
        <w:rPr>
          <w:rStyle w:val="Referenciasutil"/>
          <w:rFonts w:ascii="Palatino Linotype" w:eastAsiaTheme="majorEastAsia" w:hAnsi="Palatino Linotype"/>
          <w:color w:val="auto"/>
        </w:rPr>
        <w:t xml:space="preserve">; LUIS GUSTAVO PARRA NORIEGA </w:t>
      </w:r>
      <w:r w:rsidR="00611A30" w:rsidRPr="003A4CD9">
        <w:rPr>
          <w:rStyle w:val="Referenciasutil"/>
          <w:rFonts w:ascii="Palatino Linotype" w:eastAsiaTheme="majorEastAsia" w:hAnsi="Palatino Linotype"/>
          <w:color w:val="auto"/>
        </w:rPr>
        <w:t xml:space="preserve">EMITIENDO VOTO PARTICULAR </w:t>
      </w:r>
      <w:r w:rsidR="004D1B72" w:rsidRPr="003A4CD9">
        <w:rPr>
          <w:rStyle w:val="Referenciasutil"/>
          <w:rFonts w:ascii="Palatino Linotype" w:eastAsiaTheme="majorEastAsia" w:hAnsi="Palatino Linotype"/>
          <w:color w:val="auto"/>
        </w:rPr>
        <w:t>Y GUADALUPE RAMÍREZ PEÑA; EN LA PRIMERA SESIÓN ORDINARIA CELEBRADA EL DIECISIETE (17) DE ENERO DE DOS MIL VEINTICUATRO, ANTE EL SECRETARIO TÉCNICO DEL PLENO ALEXIS TAPIA RAMÍREZ.</w:t>
      </w:r>
      <w:bookmarkStart w:id="44" w:name="_GoBack"/>
      <w:bookmarkEnd w:id="44"/>
      <w:r w:rsidR="004D1B72" w:rsidRPr="00BC5669">
        <w:rPr>
          <w:rStyle w:val="Referenciasutil"/>
          <w:rFonts w:ascii="Palatino Linotype" w:eastAsiaTheme="majorEastAsia" w:hAnsi="Palatino Linotype"/>
          <w:color w:val="auto"/>
        </w:rPr>
        <w:t xml:space="preserve"> </w:t>
      </w:r>
      <w:bookmarkEnd w:id="43"/>
    </w:p>
    <w:p w14:paraId="726078C2" w14:textId="77777777" w:rsidR="004D1B72" w:rsidRDefault="004D1B72" w:rsidP="004D1B72">
      <w:pPr>
        <w:spacing w:before="240" w:after="240" w:line="360" w:lineRule="auto"/>
        <w:ind w:firstLine="1"/>
        <w:jc w:val="both"/>
        <w:rPr>
          <w:rStyle w:val="Referenciasutil"/>
          <w:rFonts w:ascii="Palatino Linotype" w:eastAsiaTheme="majorEastAsia" w:hAnsi="Palatino Linotype"/>
          <w:color w:val="auto"/>
        </w:rPr>
      </w:pPr>
    </w:p>
    <w:p w14:paraId="7A059CAA" w14:textId="77777777" w:rsidR="004D1B72" w:rsidRDefault="004D1B72" w:rsidP="004D1B72">
      <w:pPr>
        <w:spacing w:before="240" w:after="240" w:line="360" w:lineRule="auto"/>
        <w:ind w:firstLine="1"/>
        <w:jc w:val="both"/>
        <w:rPr>
          <w:rStyle w:val="Referenciasutil"/>
          <w:rFonts w:ascii="Palatino Linotype" w:eastAsiaTheme="majorEastAsia" w:hAnsi="Palatino Linotype"/>
          <w:color w:val="auto"/>
        </w:rPr>
      </w:pPr>
    </w:p>
    <w:p w14:paraId="44581F11" w14:textId="77777777" w:rsidR="004D1B72" w:rsidRDefault="004D1B72" w:rsidP="004D1B72">
      <w:pPr>
        <w:spacing w:before="240" w:after="240" w:line="360" w:lineRule="auto"/>
        <w:ind w:firstLine="1"/>
        <w:jc w:val="both"/>
        <w:rPr>
          <w:rStyle w:val="Referenciasutil"/>
          <w:rFonts w:ascii="Palatino Linotype" w:eastAsiaTheme="majorEastAsia" w:hAnsi="Palatino Linotype"/>
          <w:color w:val="auto"/>
        </w:rPr>
      </w:pPr>
    </w:p>
    <w:p w14:paraId="03ACAC04" w14:textId="77777777" w:rsidR="004D1B72" w:rsidRDefault="004D1B72" w:rsidP="004D1B72">
      <w:pPr>
        <w:spacing w:before="240" w:after="240" w:line="360" w:lineRule="auto"/>
        <w:ind w:firstLine="1"/>
        <w:jc w:val="both"/>
        <w:rPr>
          <w:rStyle w:val="Referenciasutil"/>
          <w:rFonts w:ascii="Palatino Linotype" w:eastAsiaTheme="majorEastAsia" w:hAnsi="Palatino Linotype"/>
          <w:color w:val="auto"/>
        </w:rPr>
      </w:pPr>
    </w:p>
    <w:p w14:paraId="124FCAF4" w14:textId="77777777" w:rsidR="004D1B72" w:rsidRDefault="004D1B72" w:rsidP="004D1B72">
      <w:pPr>
        <w:spacing w:before="240" w:after="240" w:line="360" w:lineRule="auto"/>
        <w:ind w:firstLine="1"/>
        <w:jc w:val="both"/>
        <w:rPr>
          <w:rStyle w:val="Referenciasutil"/>
          <w:rFonts w:ascii="Palatino Linotype" w:eastAsiaTheme="majorEastAsia" w:hAnsi="Palatino Linotype"/>
          <w:color w:val="auto"/>
        </w:rPr>
      </w:pPr>
    </w:p>
    <w:p w14:paraId="1A29C0A5" w14:textId="77777777" w:rsidR="004D1B72" w:rsidRDefault="004D1B72" w:rsidP="004D1B72">
      <w:pPr>
        <w:spacing w:before="240" w:after="240" w:line="360" w:lineRule="auto"/>
        <w:ind w:firstLine="1"/>
        <w:jc w:val="both"/>
        <w:rPr>
          <w:rStyle w:val="Referenciasutil"/>
          <w:rFonts w:ascii="Palatino Linotype" w:eastAsiaTheme="majorEastAsia" w:hAnsi="Palatino Linotype"/>
          <w:color w:val="auto"/>
        </w:rPr>
      </w:pPr>
    </w:p>
    <w:p w14:paraId="4ED030CA" w14:textId="77777777" w:rsidR="004D1B72" w:rsidRDefault="004D1B72" w:rsidP="004D1B72">
      <w:pPr>
        <w:spacing w:before="240" w:after="240" w:line="360" w:lineRule="auto"/>
        <w:ind w:firstLine="1"/>
        <w:jc w:val="both"/>
        <w:rPr>
          <w:rStyle w:val="Referenciasutil"/>
          <w:rFonts w:ascii="Palatino Linotype" w:eastAsiaTheme="majorEastAsia" w:hAnsi="Palatino Linotype"/>
          <w:color w:val="auto"/>
        </w:rPr>
      </w:pPr>
    </w:p>
    <w:p w14:paraId="23EC8DBA" w14:textId="77777777" w:rsidR="00847857" w:rsidRPr="00EE465C" w:rsidRDefault="00847857" w:rsidP="00847857">
      <w:pPr>
        <w:spacing w:line="360" w:lineRule="auto"/>
        <w:jc w:val="both"/>
        <w:rPr>
          <w:rFonts w:ascii="Palatino Linotype" w:hAnsi="Palatino Linotype" w:cs="Arial"/>
        </w:rPr>
      </w:pPr>
    </w:p>
    <w:p w14:paraId="4505D1F7" w14:textId="77777777" w:rsidR="00847857" w:rsidRPr="00EE465C" w:rsidRDefault="00847857" w:rsidP="00847857">
      <w:pPr>
        <w:spacing w:line="360" w:lineRule="auto"/>
        <w:jc w:val="both"/>
        <w:rPr>
          <w:rFonts w:ascii="Palatino Linotype" w:hAnsi="Palatino Linotype" w:cs="Arial"/>
        </w:rPr>
      </w:pPr>
    </w:p>
    <w:p w14:paraId="0B54CFD1" w14:textId="77777777" w:rsidR="00847857" w:rsidRPr="00EE465C" w:rsidRDefault="00847857" w:rsidP="00847857">
      <w:pPr>
        <w:spacing w:line="360" w:lineRule="auto"/>
        <w:rPr>
          <w:rFonts w:ascii="Palatino Linotype" w:hAnsi="Palatino Linotype"/>
        </w:rPr>
      </w:pPr>
    </w:p>
    <w:p w14:paraId="4FB54BA8" w14:textId="77777777" w:rsidR="00847857" w:rsidRPr="00EE465C" w:rsidRDefault="00847857" w:rsidP="00847857">
      <w:pPr>
        <w:spacing w:line="360" w:lineRule="auto"/>
        <w:rPr>
          <w:rFonts w:ascii="Palatino Linotype" w:hAnsi="Palatino Linotype"/>
        </w:rPr>
      </w:pPr>
    </w:p>
    <w:p w14:paraId="792457DA" w14:textId="77777777" w:rsidR="00847857" w:rsidRPr="00EE465C" w:rsidRDefault="00847857" w:rsidP="00847857">
      <w:pPr>
        <w:spacing w:line="360" w:lineRule="auto"/>
        <w:rPr>
          <w:rFonts w:ascii="Palatino Linotype" w:hAnsi="Palatino Linotype"/>
        </w:rPr>
      </w:pPr>
    </w:p>
    <w:p w14:paraId="024B2EA6" w14:textId="77777777" w:rsidR="00847857" w:rsidRPr="00EE465C" w:rsidRDefault="00847857" w:rsidP="00847857">
      <w:pPr>
        <w:spacing w:line="360" w:lineRule="auto"/>
        <w:rPr>
          <w:rFonts w:ascii="Palatino Linotype" w:hAnsi="Palatino Linotype"/>
        </w:rPr>
      </w:pPr>
    </w:p>
    <w:p w14:paraId="194951E0" w14:textId="77777777" w:rsidR="00847857" w:rsidRPr="00EE465C" w:rsidRDefault="00847857" w:rsidP="00847857">
      <w:pPr>
        <w:spacing w:line="360" w:lineRule="auto"/>
        <w:rPr>
          <w:rFonts w:ascii="Palatino Linotype" w:hAnsi="Palatino Linotype"/>
        </w:rPr>
      </w:pPr>
    </w:p>
    <w:p w14:paraId="2CD6C15D" w14:textId="77777777" w:rsidR="00847857" w:rsidRPr="00EE465C" w:rsidRDefault="00847857" w:rsidP="00847857"/>
    <w:p w14:paraId="45C4E61A" w14:textId="77777777" w:rsidR="00D677C5" w:rsidRPr="00EE465C" w:rsidRDefault="00D677C5"/>
    <w:sectPr w:rsidR="00D677C5" w:rsidRPr="00EE465C" w:rsidSect="00D64A85">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BB67F" w14:textId="77777777" w:rsidR="008916DA" w:rsidRDefault="008916DA" w:rsidP="00847857">
      <w:r>
        <w:separator/>
      </w:r>
    </w:p>
  </w:endnote>
  <w:endnote w:type="continuationSeparator" w:id="0">
    <w:p w14:paraId="49DB9D9D" w14:textId="77777777" w:rsidR="008916DA" w:rsidRDefault="008916DA" w:rsidP="00847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等线 Light">
    <w:altName w:val="Segoe Print"/>
    <w:charset w:val="00"/>
    <w:family w:val="auto"/>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9B644" w14:textId="77777777" w:rsidR="00D64A85" w:rsidRDefault="00D64A85">
    <w:pPr>
      <w:pStyle w:val="Piedepgina"/>
      <w:jc w:val="right"/>
    </w:pPr>
    <w:r>
      <w:rPr>
        <w:lang w:val="es-ES"/>
      </w:rPr>
      <w:t xml:space="preserve">Página </w:t>
    </w:r>
    <w:r>
      <w:rPr>
        <w:b/>
        <w:bCs/>
      </w:rPr>
      <w:fldChar w:fldCharType="begin"/>
    </w:r>
    <w:r>
      <w:rPr>
        <w:b/>
        <w:bCs/>
      </w:rPr>
      <w:instrText>PAGE</w:instrText>
    </w:r>
    <w:r>
      <w:rPr>
        <w:b/>
        <w:bCs/>
      </w:rPr>
      <w:fldChar w:fldCharType="separate"/>
    </w:r>
    <w:r w:rsidR="003A4CD9">
      <w:rPr>
        <w:b/>
        <w:bCs/>
        <w:noProof/>
      </w:rPr>
      <w:t>40</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A4CD9">
      <w:rPr>
        <w:b/>
        <w:bCs/>
        <w:noProof/>
      </w:rPr>
      <w:t>42</w:t>
    </w:r>
    <w:r>
      <w:rPr>
        <w:b/>
        <w:bCs/>
      </w:rPr>
      <w:fldChar w:fldCharType="end"/>
    </w:r>
  </w:p>
  <w:p w14:paraId="45B1FF42" w14:textId="77777777" w:rsidR="00D64A85" w:rsidRDefault="00D64A8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1AF64" w14:textId="77777777" w:rsidR="00D64A85" w:rsidRDefault="00D64A85">
    <w:pPr>
      <w:pStyle w:val="Piedepgina"/>
      <w:jc w:val="right"/>
    </w:pPr>
    <w:r>
      <w:rPr>
        <w:lang w:val="es-ES"/>
      </w:rPr>
      <w:t xml:space="preserve">Página </w:t>
    </w:r>
    <w:r>
      <w:rPr>
        <w:b/>
        <w:bCs/>
      </w:rPr>
      <w:fldChar w:fldCharType="begin"/>
    </w:r>
    <w:r>
      <w:rPr>
        <w:b/>
        <w:bCs/>
      </w:rPr>
      <w:instrText>PAGE</w:instrText>
    </w:r>
    <w:r>
      <w:rPr>
        <w:b/>
        <w:bCs/>
      </w:rPr>
      <w:fldChar w:fldCharType="separate"/>
    </w:r>
    <w:r w:rsidR="003A4CD9">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A4CD9">
      <w:rPr>
        <w:b/>
        <w:bCs/>
        <w:noProof/>
      </w:rPr>
      <w:t>42</w:t>
    </w:r>
    <w:r>
      <w:rPr>
        <w:b/>
        <w:bCs/>
      </w:rPr>
      <w:fldChar w:fldCharType="end"/>
    </w:r>
  </w:p>
  <w:p w14:paraId="4E927B00" w14:textId="77777777" w:rsidR="00D64A85" w:rsidRDefault="00D64A8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27FAF" w14:textId="77777777" w:rsidR="008916DA" w:rsidRDefault="008916DA" w:rsidP="00847857">
      <w:r>
        <w:separator/>
      </w:r>
    </w:p>
  </w:footnote>
  <w:footnote w:type="continuationSeparator" w:id="0">
    <w:p w14:paraId="2A2E0276" w14:textId="77777777" w:rsidR="008916DA" w:rsidRDefault="008916DA" w:rsidP="00847857">
      <w:r>
        <w:continuationSeparator/>
      </w:r>
    </w:p>
  </w:footnote>
  <w:footnote w:id="1">
    <w:p w14:paraId="7EC0B5FC" w14:textId="77777777" w:rsidR="00D64A85" w:rsidRDefault="00D64A85" w:rsidP="00847857">
      <w:pPr>
        <w:pStyle w:val="Textonotapie"/>
      </w:pPr>
      <w:r>
        <w:rPr>
          <w:rStyle w:val="Refdenotaalpie"/>
        </w:rPr>
        <w:footnoteRef/>
      </w:r>
      <w:r>
        <w:t xml:space="preserve"> Convención Americana sobre Derechos Humanos. Artículo 13.</w:t>
      </w:r>
    </w:p>
  </w:footnote>
  <w:footnote w:id="2">
    <w:p w14:paraId="4212770A" w14:textId="77777777" w:rsidR="00D64A85" w:rsidRDefault="00D64A85" w:rsidP="00847857">
      <w:pPr>
        <w:pStyle w:val="Textonotapie"/>
      </w:pPr>
      <w:r>
        <w:rPr>
          <w:rStyle w:val="Refdenotaalpie"/>
        </w:rPr>
        <w:footnoteRef/>
      </w:r>
      <w:r>
        <w:t xml:space="preserve"> Constitución Política de los Estados Unidos Mexicanos. Artículo sexto, sección A, fracción I.</w:t>
      </w:r>
    </w:p>
  </w:footnote>
  <w:footnote w:id="3">
    <w:p w14:paraId="596D8316" w14:textId="77777777" w:rsidR="00D64A85" w:rsidRDefault="00D64A85" w:rsidP="0084785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594AD5A2" w14:textId="77777777" w:rsidR="00D64A85" w:rsidRDefault="00D64A85" w:rsidP="00847857">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8E9E6" w14:textId="77777777" w:rsidR="00D64A85" w:rsidRDefault="008916DA">
    <w:pPr>
      <w:pStyle w:val="Encabezado"/>
    </w:pPr>
    <w:r>
      <w:rPr>
        <w:noProof/>
      </w:rPr>
      <w:pict w14:anchorId="049671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D64A85" w:rsidRPr="005C106F" w14:paraId="6909C11A" w14:textId="77777777" w:rsidTr="00D64A85">
      <w:trPr>
        <w:trHeight w:val="1435"/>
      </w:trPr>
      <w:tc>
        <w:tcPr>
          <w:tcW w:w="2268" w:type="dxa"/>
          <w:shd w:val="clear" w:color="auto" w:fill="auto"/>
        </w:tcPr>
        <w:p w14:paraId="4131301C" w14:textId="77777777" w:rsidR="00D64A85" w:rsidRPr="005C106F" w:rsidRDefault="00D64A85" w:rsidP="00D64A85">
          <w:pPr>
            <w:tabs>
              <w:tab w:val="right" w:pos="4273"/>
            </w:tabs>
            <w:rPr>
              <w:rFonts w:ascii="Garamond" w:eastAsia="Calibri" w:hAnsi="Garamond"/>
              <w:sz w:val="16"/>
              <w:szCs w:val="16"/>
              <w:lang w:eastAsia="en-US"/>
            </w:rPr>
          </w:pPr>
        </w:p>
      </w:tc>
      <w:tc>
        <w:tcPr>
          <w:tcW w:w="6946" w:type="dxa"/>
          <w:shd w:val="clear" w:color="auto" w:fill="auto"/>
        </w:tcPr>
        <w:tbl>
          <w:tblPr>
            <w:tblW w:w="6095" w:type="dxa"/>
            <w:tblInd w:w="1168" w:type="dxa"/>
            <w:tblLayout w:type="fixed"/>
            <w:tblLook w:val="0420" w:firstRow="1" w:lastRow="0" w:firstColumn="0" w:lastColumn="0" w:noHBand="0" w:noVBand="1"/>
          </w:tblPr>
          <w:tblGrid>
            <w:gridCol w:w="2551"/>
            <w:gridCol w:w="3544"/>
          </w:tblGrid>
          <w:tr w:rsidR="00D64A85" w14:paraId="41DF9B49" w14:textId="77777777" w:rsidTr="00715738">
            <w:trPr>
              <w:trHeight w:val="150"/>
            </w:trPr>
            <w:tc>
              <w:tcPr>
                <w:tcW w:w="2551" w:type="dxa"/>
                <w:shd w:val="clear" w:color="auto" w:fill="auto"/>
              </w:tcPr>
              <w:p w14:paraId="170F7053" w14:textId="77777777" w:rsidR="00D64A85" w:rsidRPr="00020E73" w:rsidRDefault="00D64A85" w:rsidP="00D64A85">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3544" w:type="dxa"/>
                <w:shd w:val="clear" w:color="auto" w:fill="auto"/>
              </w:tcPr>
              <w:p w14:paraId="4654E4F0" w14:textId="77777777" w:rsidR="00D64A85" w:rsidRPr="00020E73" w:rsidRDefault="00D64A85" w:rsidP="00D64A85">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07003/INFOEM/IP/RR/2023</w:t>
                </w:r>
              </w:p>
            </w:tc>
          </w:tr>
          <w:tr w:rsidR="00D64A85" w14:paraId="047D3262" w14:textId="77777777" w:rsidTr="00715738">
            <w:trPr>
              <w:trHeight w:val="295"/>
            </w:trPr>
            <w:tc>
              <w:tcPr>
                <w:tcW w:w="2551" w:type="dxa"/>
                <w:shd w:val="clear" w:color="auto" w:fill="auto"/>
              </w:tcPr>
              <w:p w14:paraId="3A552007" w14:textId="77777777" w:rsidR="00D64A85" w:rsidRPr="00020E73" w:rsidRDefault="00D64A85" w:rsidP="00D64A85">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3544" w:type="dxa"/>
                <w:shd w:val="clear" w:color="auto" w:fill="auto"/>
              </w:tcPr>
              <w:p w14:paraId="6EBA8495" w14:textId="77777777" w:rsidR="00D64A85" w:rsidRPr="00A43A04" w:rsidRDefault="00D64A85" w:rsidP="00D64A85">
                <w:pPr>
                  <w:tabs>
                    <w:tab w:val="left" w:pos="2834"/>
                    <w:tab w:val="right" w:pos="8838"/>
                  </w:tabs>
                  <w:ind w:left="-108" w:right="-102"/>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Ayuntamiento de Lerma</w:t>
                </w:r>
              </w:p>
            </w:tc>
          </w:tr>
          <w:tr w:rsidR="00D64A85" w14:paraId="5058B062" w14:textId="77777777" w:rsidTr="00715738">
            <w:trPr>
              <w:trHeight w:val="295"/>
            </w:trPr>
            <w:tc>
              <w:tcPr>
                <w:tcW w:w="2551" w:type="dxa"/>
                <w:shd w:val="clear" w:color="auto" w:fill="auto"/>
              </w:tcPr>
              <w:p w14:paraId="52027C98" w14:textId="77777777" w:rsidR="00D64A85" w:rsidRPr="00020E73" w:rsidRDefault="00D64A85" w:rsidP="00D64A85">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3544" w:type="dxa"/>
                <w:shd w:val="clear" w:color="auto" w:fill="auto"/>
              </w:tcPr>
              <w:p w14:paraId="4472A664" w14:textId="77777777" w:rsidR="00D64A85" w:rsidRPr="00020E73" w:rsidRDefault="00D64A85" w:rsidP="00D64A85">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7D6615A1" w14:textId="77777777" w:rsidR="00D64A85" w:rsidRPr="00020E73" w:rsidRDefault="00D64A85" w:rsidP="00D64A85">
                <w:pPr>
                  <w:tabs>
                    <w:tab w:val="right" w:pos="8838"/>
                  </w:tabs>
                  <w:ind w:left="-108" w:right="171"/>
                  <w:jc w:val="both"/>
                  <w:rPr>
                    <w:rFonts w:ascii="Palatino Linotype" w:eastAsia="Calibri" w:hAnsi="Palatino Linotype" w:cs="Tahoma"/>
                    <w:b/>
                    <w:sz w:val="22"/>
                    <w:szCs w:val="22"/>
                    <w:lang w:val="es-ES" w:eastAsia="en-US"/>
                  </w:rPr>
                </w:pPr>
              </w:p>
            </w:tc>
          </w:tr>
        </w:tbl>
        <w:p w14:paraId="757372D8" w14:textId="77777777" w:rsidR="00D64A85" w:rsidRPr="005C106F" w:rsidRDefault="00D64A85" w:rsidP="00D64A85">
          <w:pPr>
            <w:tabs>
              <w:tab w:val="right" w:pos="8838"/>
            </w:tabs>
            <w:ind w:left="-28"/>
            <w:jc w:val="both"/>
            <w:rPr>
              <w:rFonts w:ascii="Arial" w:eastAsia="Calibri" w:hAnsi="Arial" w:cs="Arial"/>
              <w:b/>
              <w:sz w:val="22"/>
              <w:szCs w:val="22"/>
              <w:lang w:eastAsia="en-US"/>
            </w:rPr>
          </w:pPr>
        </w:p>
      </w:tc>
    </w:tr>
  </w:tbl>
  <w:p w14:paraId="3641ED5E" w14:textId="77777777" w:rsidR="00D64A85" w:rsidRPr="00443C6B" w:rsidRDefault="008916DA" w:rsidP="00D64A85">
    <w:pPr>
      <w:pStyle w:val="Encabezado"/>
      <w:rPr>
        <w:sz w:val="14"/>
      </w:rPr>
    </w:pPr>
    <w:r>
      <w:rPr>
        <w:noProof/>
        <w:sz w:val="14"/>
      </w:rPr>
      <w:pict w14:anchorId="1A94B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D64A85" w:rsidRPr="00330DA7" w14:paraId="11341981" w14:textId="77777777" w:rsidTr="00D64A85">
      <w:trPr>
        <w:trHeight w:val="1435"/>
      </w:trPr>
      <w:tc>
        <w:tcPr>
          <w:tcW w:w="2268" w:type="dxa"/>
          <w:shd w:val="clear" w:color="auto" w:fill="auto"/>
        </w:tcPr>
        <w:p w14:paraId="33CC1742" w14:textId="77777777" w:rsidR="00D64A85" w:rsidRPr="00330DA7" w:rsidRDefault="00D64A85" w:rsidP="00D64A85">
          <w:pPr>
            <w:tabs>
              <w:tab w:val="right" w:pos="4273"/>
            </w:tabs>
            <w:rPr>
              <w:rFonts w:ascii="Garamond" w:eastAsia="Calibri" w:hAnsi="Garamond"/>
              <w:sz w:val="22"/>
              <w:szCs w:val="22"/>
              <w:lang w:eastAsia="en-US"/>
            </w:rPr>
          </w:pPr>
        </w:p>
      </w:tc>
      <w:tc>
        <w:tcPr>
          <w:tcW w:w="6804" w:type="dxa"/>
          <w:shd w:val="clear" w:color="auto" w:fill="auto"/>
        </w:tcPr>
        <w:tbl>
          <w:tblPr>
            <w:tblW w:w="6804" w:type="dxa"/>
            <w:tblInd w:w="1168" w:type="dxa"/>
            <w:tblLayout w:type="fixed"/>
            <w:tblLook w:val="0420" w:firstRow="1" w:lastRow="0" w:firstColumn="0" w:lastColumn="0" w:noHBand="0" w:noVBand="1"/>
          </w:tblPr>
          <w:tblGrid>
            <w:gridCol w:w="2444"/>
            <w:gridCol w:w="4360"/>
          </w:tblGrid>
          <w:tr w:rsidR="00D64A85" w:rsidRPr="00330DA7" w14:paraId="3E71903D" w14:textId="77777777" w:rsidTr="00715738">
            <w:trPr>
              <w:trHeight w:val="144"/>
            </w:trPr>
            <w:tc>
              <w:tcPr>
                <w:tcW w:w="2444" w:type="dxa"/>
                <w:shd w:val="clear" w:color="auto" w:fill="auto"/>
              </w:tcPr>
              <w:p w14:paraId="37A4FE97" w14:textId="77777777" w:rsidR="00D64A85" w:rsidRPr="00020E73" w:rsidRDefault="00D64A85" w:rsidP="00D64A85">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360" w:type="dxa"/>
                <w:shd w:val="clear" w:color="auto" w:fill="auto"/>
              </w:tcPr>
              <w:p w14:paraId="4FC7C8DC" w14:textId="77777777" w:rsidR="00D64A85" w:rsidRPr="00020E73" w:rsidRDefault="00D64A85" w:rsidP="00D64A85">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07003/INFOEM/IP/RR/2023</w:t>
                </w:r>
                <w:r>
                  <w:rPr>
                    <w:rFonts w:ascii="Palatino Linotype" w:eastAsia="Calibri" w:hAnsi="Palatino Linotype" w:cs="Tahoma"/>
                    <w:b/>
                    <w:bCs/>
                    <w:sz w:val="22"/>
                    <w:szCs w:val="22"/>
                    <w:lang w:eastAsia="en-US"/>
                  </w:rPr>
                  <w:t xml:space="preserve"> </w:t>
                </w:r>
              </w:p>
            </w:tc>
          </w:tr>
          <w:tr w:rsidR="00D64A85" w:rsidRPr="00330DA7" w14:paraId="12ABF13E" w14:textId="77777777" w:rsidTr="00715738">
            <w:trPr>
              <w:trHeight w:val="144"/>
            </w:trPr>
            <w:tc>
              <w:tcPr>
                <w:tcW w:w="2444" w:type="dxa"/>
                <w:shd w:val="clear" w:color="auto" w:fill="auto"/>
              </w:tcPr>
              <w:p w14:paraId="25B758B7" w14:textId="77777777" w:rsidR="00D64A85" w:rsidRPr="00020E73" w:rsidRDefault="00D64A85" w:rsidP="00D64A85">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360" w:type="dxa"/>
                <w:shd w:val="clear" w:color="auto" w:fill="auto"/>
              </w:tcPr>
              <w:p w14:paraId="05D3352F" w14:textId="77777777" w:rsidR="00D64A85" w:rsidRPr="00A43A04" w:rsidRDefault="00D64A85" w:rsidP="00D64A85">
                <w:pPr>
                  <w:tabs>
                    <w:tab w:val="left" w:pos="3122"/>
                    <w:tab w:val="right" w:pos="8838"/>
                  </w:tabs>
                  <w:ind w:left="-74" w:right="-105"/>
                  <w:jc w:val="both"/>
                  <w:rPr>
                    <w:rFonts w:ascii="Palatino Linotype" w:eastAsia="Calibri" w:hAnsi="Palatino Linotype" w:cs="Tahoma"/>
                    <w:sz w:val="22"/>
                    <w:szCs w:val="22"/>
                    <w:lang w:val="es-ES" w:eastAsia="en-US"/>
                  </w:rPr>
                </w:pPr>
              </w:p>
            </w:tc>
          </w:tr>
          <w:tr w:rsidR="00D64A85" w:rsidRPr="00330DA7" w14:paraId="5A768AA0" w14:textId="77777777" w:rsidTr="00715738">
            <w:trPr>
              <w:trHeight w:val="283"/>
            </w:trPr>
            <w:tc>
              <w:tcPr>
                <w:tcW w:w="2444" w:type="dxa"/>
                <w:shd w:val="clear" w:color="auto" w:fill="auto"/>
              </w:tcPr>
              <w:p w14:paraId="69528E98" w14:textId="77777777" w:rsidR="00D64A85" w:rsidRPr="00020E73" w:rsidRDefault="00D64A85" w:rsidP="00D64A85">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360" w:type="dxa"/>
                <w:shd w:val="clear" w:color="auto" w:fill="auto"/>
              </w:tcPr>
              <w:p w14:paraId="1F354A77" w14:textId="77777777" w:rsidR="00D64A85" w:rsidRPr="00A43A04" w:rsidRDefault="00D64A85" w:rsidP="00847857">
                <w:pPr>
                  <w:tabs>
                    <w:tab w:val="left" w:pos="2834"/>
                    <w:tab w:val="right" w:pos="8838"/>
                  </w:tabs>
                  <w:ind w:left="-74" w:right="-105"/>
                  <w:jc w:val="both"/>
                  <w:rPr>
                    <w:rFonts w:ascii="Palatino Linotype" w:eastAsia="Calibri" w:hAnsi="Palatino Linotype" w:cs="Tahoma"/>
                    <w:sz w:val="22"/>
                    <w:szCs w:val="22"/>
                    <w:lang w:val="es-ES" w:eastAsia="en-US"/>
                  </w:rPr>
                </w:pPr>
                <w:r w:rsidRPr="00A43A04">
                  <w:rPr>
                    <w:rFonts w:ascii="Palatino Linotype" w:eastAsia="Calibri" w:hAnsi="Palatino Linotype" w:cs="Tahoma"/>
                    <w:bCs/>
                    <w:sz w:val="22"/>
                    <w:szCs w:val="22"/>
                    <w:lang w:eastAsia="en-US"/>
                  </w:rPr>
                  <w:t xml:space="preserve">Ayuntamiento de </w:t>
                </w:r>
                <w:r>
                  <w:rPr>
                    <w:rFonts w:ascii="Palatino Linotype" w:eastAsia="Calibri" w:hAnsi="Palatino Linotype" w:cs="Tahoma"/>
                    <w:bCs/>
                    <w:sz w:val="22"/>
                    <w:szCs w:val="22"/>
                    <w:lang w:eastAsia="en-US"/>
                  </w:rPr>
                  <w:t>Lerma</w:t>
                </w:r>
                <w:r w:rsidRPr="00A43A04">
                  <w:rPr>
                    <w:rFonts w:ascii="Palatino Linotype" w:eastAsia="Calibri" w:hAnsi="Palatino Linotype" w:cs="Tahoma"/>
                    <w:sz w:val="22"/>
                    <w:szCs w:val="22"/>
                    <w:lang w:eastAsia="en-US"/>
                  </w:rPr>
                  <w:t xml:space="preserve"> </w:t>
                </w:r>
              </w:p>
            </w:tc>
          </w:tr>
          <w:tr w:rsidR="00D64A85" w:rsidRPr="00330DA7" w14:paraId="50B6A2CF" w14:textId="77777777" w:rsidTr="00715738">
            <w:trPr>
              <w:trHeight w:val="283"/>
            </w:trPr>
            <w:tc>
              <w:tcPr>
                <w:tcW w:w="2444" w:type="dxa"/>
                <w:shd w:val="clear" w:color="auto" w:fill="auto"/>
              </w:tcPr>
              <w:p w14:paraId="10B0FC56" w14:textId="77777777" w:rsidR="00D64A85" w:rsidRPr="00020E73" w:rsidRDefault="00D64A85" w:rsidP="00D64A85">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360" w:type="dxa"/>
                <w:shd w:val="clear" w:color="auto" w:fill="auto"/>
              </w:tcPr>
              <w:p w14:paraId="70CD2B68" w14:textId="77777777" w:rsidR="00D64A85" w:rsidRPr="00020E73" w:rsidRDefault="00D64A85" w:rsidP="00D64A85">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A072F84" w14:textId="77777777" w:rsidR="00D64A85" w:rsidRPr="00020E73" w:rsidRDefault="00D64A85" w:rsidP="00D64A85">
                <w:pPr>
                  <w:tabs>
                    <w:tab w:val="right" w:pos="8838"/>
                  </w:tabs>
                  <w:ind w:left="-74" w:right="-105"/>
                  <w:jc w:val="both"/>
                  <w:rPr>
                    <w:rFonts w:ascii="Palatino Linotype" w:eastAsia="Calibri" w:hAnsi="Palatino Linotype" w:cs="Tahoma"/>
                    <w:b/>
                    <w:sz w:val="22"/>
                    <w:szCs w:val="22"/>
                    <w:lang w:val="es-ES" w:eastAsia="en-US"/>
                  </w:rPr>
                </w:pPr>
              </w:p>
            </w:tc>
          </w:tr>
        </w:tbl>
        <w:p w14:paraId="0990C076" w14:textId="77777777" w:rsidR="00D64A85" w:rsidRPr="00330DA7" w:rsidRDefault="00D64A85" w:rsidP="00D64A85">
          <w:pPr>
            <w:tabs>
              <w:tab w:val="right" w:pos="8838"/>
            </w:tabs>
            <w:ind w:left="-28"/>
            <w:jc w:val="both"/>
            <w:rPr>
              <w:rFonts w:ascii="Arial" w:eastAsia="Calibri" w:hAnsi="Arial" w:cs="Arial"/>
              <w:b/>
              <w:sz w:val="22"/>
              <w:szCs w:val="22"/>
              <w:lang w:eastAsia="en-US"/>
            </w:rPr>
          </w:pPr>
        </w:p>
      </w:tc>
    </w:tr>
  </w:tbl>
  <w:p w14:paraId="16C32AE7" w14:textId="77777777" w:rsidR="00D64A85" w:rsidRPr="00827FA0" w:rsidRDefault="008916DA" w:rsidP="00D64A85">
    <w:pPr>
      <w:pStyle w:val="Encabezado"/>
      <w:rPr>
        <w:sz w:val="2"/>
        <w:szCs w:val="22"/>
      </w:rPr>
    </w:pPr>
    <w:r>
      <w:rPr>
        <w:noProof/>
        <w:sz w:val="2"/>
        <w:szCs w:val="22"/>
      </w:rPr>
      <w:pict w14:anchorId="5574D9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53B3E"/>
    <w:multiLevelType w:val="multilevel"/>
    <w:tmpl w:val="035C4B2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16491F36"/>
    <w:multiLevelType w:val="hybridMultilevel"/>
    <w:tmpl w:val="0DE8FBF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15:restartNumberingAfterBreak="0">
    <w:nsid w:val="22293017"/>
    <w:multiLevelType w:val="hybridMultilevel"/>
    <w:tmpl w:val="2B082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23D2CD0"/>
    <w:multiLevelType w:val="hybridMultilevel"/>
    <w:tmpl w:val="A064C2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572189"/>
    <w:multiLevelType w:val="hybridMultilevel"/>
    <w:tmpl w:val="867818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12754A"/>
    <w:multiLevelType w:val="hybridMultilevel"/>
    <w:tmpl w:val="61349DB6"/>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3900690A"/>
    <w:multiLevelType w:val="hybridMultilevel"/>
    <w:tmpl w:val="FE2438BE"/>
    <w:lvl w:ilvl="0" w:tplc="080A0019">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10B7310"/>
    <w:multiLevelType w:val="hybridMultilevel"/>
    <w:tmpl w:val="1146FA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03A783C"/>
    <w:multiLevelType w:val="hybridMultilevel"/>
    <w:tmpl w:val="AB58E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4" w15:restartNumberingAfterBreak="0">
    <w:nsid w:val="56F5455E"/>
    <w:multiLevelType w:val="multilevel"/>
    <w:tmpl w:val="D434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2B190D"/>
    <w:multiLevelType w:val="hybridMultilevel"/>
    <w:tmpl w:val="62CCC48E"/>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7" w15:restartNumberingAfterBreak="0">
    <w:nsid w:val="644165A2"/>
    <w:multiLevelType w:val="hybridMultilevel"/>
    <w:tmpl w:val="90E06C2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90C37B8"/>
    <w:multiLevelType w:val="hybridMultilevel"/>
    <w:tmpl w:val="BD6EB79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6CD14D80"/>
    <w:multiLevelType w:val="hybridMultilevel"/>
    <w:tmpl w:val="EDF09800"/>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5651C7"/>
    <w:multiLevelType w:val="hybridMultilevel"/>
    <w:tmpl w:val="904C27D2"/>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70136A0"/>
    <w:multiLevelType w:val="hybridMultilevel"/>
    <w:tmpl w:val="90660488"/>
    <w:lvl w:ilvl="0" w:tplc="9216D5FA">
      <w:start w:val="1"/>
      <w:numFmt w:val="decimal"/>
      <w:lvlText w:val="%1."/>
      <w:lvlJc w:val="left"/>
      <w:pPr>
        <w:ind w:left="360" w:hanging="360"/>
      </w:pPr>
      <w:rPr>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6"/>
  </w:num>
  <w:num w:numId="3">
    <w:abstractNumId w:val="13"/>
  </w:num>
  <w:num w:numId="4">
    <w:abstractNumId w:val="1"/>
  </w:num>
  <w:num w:numId="5">
    <w:abstractNumId w:val="7"/>
  </w:num>
  <w:num w:numId="6">
    <w:abstractNumId w:val="12"/>
  </w:num>
  <w:num w:numId="7">
    <w:abstractNumId w:val="11"/>
  </w:num>
  <w:num w:numId="8">
    <w:abstractNumId w:val="4"/>
  </w:num>
  <w:num w:numId="9">
    <w:abstractNumId w:val="3"/>
  </w:num>
  <w:num w:numId="10">
    <w:abstractNumId w:val="20"/>
  </w:num>
  <w:num w:numId="11">
    <w:abstractNumId w:val="23"/>
  </w:num>
  <w:num w:numId="12">
    <w:abstractNumId w:val="9"/>
  </w:num>
  <w:num w:numId="13">
    <w:abstractNumId w:val="17"/>
  </w:num>
  <w:num w:numId="14">
    <w:abstractNumId w:val="6"/>
  </w:num>
  <w:num w:numId="15">
    <w:abstractNumId w:val="21"/>
  </w:num>
  <w:num w:numId="16">
    <w:abstractNumId w:val="14"/>
  </w:num>
  <w:num w:numId="17">
    <w:abstractNumId w:val="5"/>
  </w:num>
  <w:num w:numId="18">
    <w:abstractNumId w:val="0"/>
  </w:num>
  <w:num w:numId="19">
    <w:abstractNumId w:val="19"/>
  </w:num>
  <w:num w:numId="20">
    <w:abstractNumId w:val="10"/>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8"/>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857"/>
    <w:rsid w:val="00046FC4"/>
    <w:rsid w:val="000B2BDB"/>
    <w:rsid w:val="0015041A"/>
    <w:rsid w:val="001563FE"/>
    <w:rsid w:val="001E115E"/>
    <w:rsid w:val="002272C2"/>
    <w:rsid w:val="00330DEE"/>
    <w:rsid w:val="0033632A"/>
    <w:rsid w:val="003444EA"/>
    <w:rsid w:val="00346AA3"/>
    <w:rsid w:val="00361510"/>
    <w:rsid w:val="003A4CD9"/>
    <w:rsid w:val="003E6786"/>
    <w:rsid w:val="00433E26"/>
    <w:rsid w:val="00486F87"/>
    <w:rsid w:val="004D1B72"/>
    <w:rsid w:val="005D4A06"/>
    <w:rsid w:val="00611A30"/>
    <w:rsid w:val="00633427"/>
    <w:rsid w:val="0063600E"/>
    <w:rsid w:val="00666EE1"/>
    <w:rsid w:val="006879EB"/>
    <w:rsid w:val="006E268C"/>
    <w:rsid w:val="00715738"/>
    <w:rsid w:val="008254B6"/>
    <w:rsid w:val="00846DA0"/>
    <w:rsid w:val="00847857"/>
    <w:rsid w:val="008916DA"/>
    <w:rsid w:val="008F434B"/>
    <w:rsid w:val="0092408C"/>
    <w:rsid w:val="00924919"/>
    <w:rsid w:val="009577A0"/>
    <w:rsid w:val="00CC5098"/>
    <w:rsid w:val="00CF17CA"/>
    <w:rsid w:val="00D64A85"/>
    <w:rsid w:val="00D677C5"/>
    <w:rsid w:val="00D96FD2"/>
    <w:rsid w:val="00DB0D0B"/>
    <w:rsid w:val="00DF35B1"/>
    <w:rsid w:val="00DF40BD"/>
    <w:rsid w:val="00E13706"/>
    <w:rsid w:val="00E30219"/>
    <w:rsid w:val="00E769B1"/>
    <w:rsid w:val="00EE46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6406E0"/>
  <w15:chartTrackingRefBased/>
  <w15:docId w15:val="{37DE3A73-8F13-42AF-A396-72BC4965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857"/>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4785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47857"/>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7857"/>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847857"/>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847857"/>
    <w:pPr>
      <w:tabs>
        <w:tab w:val="center" w:pos="4419"/>
        <w:tab w:val="right" w:pos="8838"/>
      </w:tabs>
    </w:pPr>
  </w:style>
  <w:style w:type="character" w:customStyle="1" w:styleId="EncabezadoCar">
    <w:name w:val="Encabezado Car"/>
    <w:basedOn w:val="Fuentedeprrafopredeter"/>
    <w:link w:val="Encabezado"/>
    <w:uiPriority w:val="99"/>
    <w:rsid w:val="00847857"/>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847857"/>
    <w:pPr>
      <w:tabs>
        <w:tab w:val="center" w:pos="4419"/>
        <w:tab w:val="right" w:pos="8838"/>
      </w:tabs>
    </w:pPr>
  </w:style>
  <w:style w:type="character" w:customStyle="1" w:styleId="PiedepginaCar">
    <w:name w:val="Pie de página Car"/>
    <w:basedOn w:val="Fuentedeprrafopredeter"/>
    <w:link w:val="Piedepgina"/>
    <w:uiPriority w:val="99"/>
    <w:rsid w:val="00847857"/>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847857"/>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rsid w:val="00847857"/>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47857"/>
    <w:rPr>
      <w:color w:val="0563C1"/>
      <w:u w:val="single"/>
    </w:rPr>
  </w:style>
  <w:style w:type="paragraph" w:styleId="TDC1">
    <w:name w:val="toc 1"/>
    <w:basedOn w:val="Normal"/>
    <w:next w:val="Normal"/>
    <w:autoRedefine/>
    <w:uiPriority w:val="39"/>
    <w:unhideWhenUsed/>
    <w:rsid w:val="00847857"/>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847857"/>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47857"/>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47857"/>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47857"/>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47857"/>
    <w:rPr>
      <w:rFonts w:ascii="Times New Roman" w:eastAsia="Times New Roman" w:hAnsi="Times New Roman" w:cs="Times New Roman"/>
      <w:sz w:val="20"/>
      <w:szCs w:val="20"/>
      <w:lang w:eastAsia="es-MX"/>
    </w:rPr>
  </w:style>
  <w:style w:type="paragraph" w:styleId="TtulodeTDC">
    <w:name w:val="TOC Heading"/>
    <w:basedOn w:val="Ttulo1"/>
    <w:next w:val="Normal"/>
    <w:uiPriority w:val="39"/>
    <w:semiHidden/>
    <w:unhideWhenUsed/>
    <w:qFormat/>
    <w:rsid w:val="00847857"/>
    <w:pPr>
      <w:outlineLvl w:val="9"/>
    </w:pPr>
  </w:style>
  <w:style w:type="character" w:customStyle="1" w:styleId="apple-converted-space">
    <w:name w:val="apple-converted-space"/>
    <w:basedOn w:val="Fuentedeprrafopredeter"/>
    <w:qFormat/>
    <w:rsid w:val="00847857"/>
  </w:style>
  <w:style w:type="table" w:styleId="Tablaconcuadrcula">
    <w:name w:val="Table Grid"/>
    <w:basedOn w:val="Tablanormal"/>
    <w:uiPriority w:val="39"/>
    <w:rsid w:val="0084785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6concolores">
    <w:name w:val="Grid Table 6 Colorful"/>
    <w:basedOn w:val="Tablanormal"/>
    <w:uiPriority w:val="51"/>
    <w:rsid w:val="0084785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847857"/>
    <w:pPr>
      <w:spacing w:after="0" w:line="240" w:lineRule="auto"/>
    </w:pPr>
  </w:style>
  <w:style w:type="paragraph" w:styleId="TDC3">
    <w:name w:val="toc 3"/>
    <w:basedOn w:val="Normal"/>
    <w:next w:val="Normal"/>
    <w:autoRedefine/>
    <w:uiPriority w:val="39"/>
    <w:unhideWhenUsed/>
    <w:rsid w:val="00847857"/>
    <w:pPr>
      <w:spacing w:after="100"/>
      <w:ind w:left="480"/>
    </w:pPr>
  </w:style>
  <w:style w:type="paragraph" w:styleId="Sangradetextonormal">
    <w:name w:val="Body Text Indent"/>
    <w:basedOn w:val="Normal"/>
    <w:link w:val="SangradetextonormalCar"/>
    <w:unhideWhenUsed/>
    <w:rsid w:val="0033632A"/>
    <w:pPr>
      <w:spacing w:before="120" w:after="120"/>
      <w:ind w:left="283"/>
      <w:jc w:val="center"/>
    </w:pPr>
    <w:rPr>
      <w:rFonts w:ascii="Calibri" w:eastAsia="Calibri" w:hAnsi="Calibri"/>
      <w:sz w:val="22"/>
      <w:szCs w:val="22"/>
      <w:lang w:val="x-none" w:eastAsia="en-US"/>
    </w:rPr>
  </w:style>
  <w:style w:type="character" w:customStyle="1" w:styleId="SangradetextonormalCar">
    <w:name w:val="Sangría de texto normal Car"/>
    <w:basedOn w:val="Fuentedeprrafopredeter"/>
    <w:link w:val="Sangradetextonormal"/>
    <w:rsid w:val="0033632A"/>
    <w:rPr>
      <w:rFonts w:ascii="Calibri" w:eastAsia="Calibri" w:hAnsi="Calibri" w:cs="Times New Roman"/>
      <w:lang w:val="x-none"/>
    </w:rPr>
  </w:style>
  <w:style w:type="character" w:styleId="Hipervnculovisitado">
    <w:name w:val="FollowedHyperlink"/>
    <w:basedOn w:val="Fuentedeprrafopredeter"/>
    <w:uiPriority w:val="99"/>
    <w:semiHidden/>
    <w:unhideWhenUsed/>
    <w:rsid w:val="001E115E"/>
    <w:rPr>
      <w:color w:val="954F72" w:themeColor="followedHyperlink"/>
      <w:u w:val="single"/>
    </w:rPr>
  </w:style>
  <w:style w:type="character" w:styleId="Referenciasutil">
    <w:name w:val="Subtle Reference"/>
    <w:basedOn w:val="Fuentedeprrafopredeter"/>
    <w:uiPriority w:val="31"/>
    <w:qFormat/>
    <w:rsid w:val="004D1B72"/>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93302">
      <w:bodyDiv w:val="1"/>
      <w:marLeft w:val="0"/>
      <w:marRight w:val="0"/>
      <w:marTop w:val="0"/>
      <w:marBottom w:val="0"/>
      <w:divBdr>
        <w:top w:val="none" w:sz="0" w:space="0" w:color="auto"/>
        <w:left w:val="none" w:sz="0" w:space="0" w:color="auto"/>
        <w:bottom w:val="none" w:sz="0" w:space="0" w:color="auto"/>
        <w:right w:val="none" w:sz="0" w:space="0" w:color="auto"/>
      </w:divBdr>
    </w:div>
    <w:div w:id="131664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3/lgt/indice/LERMA/art_92_viii.web"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pomex.org.mx/ipo3/lgt/indice/LERMA/art_92_viii.web"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42</Pages>
  <Words>9352</Words>
  <Characters>51440</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60671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DTPDP578</cp:lastModifiedBy>
  <cp:revision>5</cp:revision>
  <cp:lastPrinted>2024-01-18T19:17:00Z</cp:lastPrinted>
  <dcterms:created xsi:type="dcterms:W3CDTF">2024-01-16T17:05:00Z</dcterms:created>
  <dcterms:modified xsi:type="dcterms:W3CDTF">2024-01-18T19:17:00Z</dcterms:modified>
</cp:coreProperties>
</file>