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3ABF05" w14:textId="77777777" w:rsidR="007601E8" w:rsidRPr="00652E2C" w:rsidRDefault="00DA5AD2">
      <w:pPr>
        <w:spacing w:before="240" w:after="240" w:line="360" w:lineRule="auto"/>
        <w:jc w:val="both"/>
        <w:rPr>
          <w:rFonts w:ascii="Palatino Linotype" w:eastAsia="Palatino Linotype" w:hAnsi="Palatino Linotype" w:cs="Palatino Linotype"/>
          <w:b/>
          <w:strike/>
          <w:sz w:val="22"/>
          <w:szCs w:val="22"/>
        </w:rPr>
      </w:pPr>
      <w:bookmarkStart w:id="0" w:name="_heading=h.1fob9te" w:colFirst="0" w:colLast="0"/>
      <w:bookmarkEnd w:id="0"/>
      <w:r w:rsidRPr="00652E2C">
        <w:rPr>
          <w:rFonts w:ascii="Palatino Linotype" w:eastAsia="Palatino Linotype" w:hAnsi="Palatino Linotype" w:cs="Palatino Linotype"/>
          <w:sz w:val="22"/>
          <w:szCs w:val="22"/>
        </w:rPr>
        <w:t xml:space="preserve">Resolución del Pleno del Instituto de Transparencia, Acceso a la Información Pública y Protección de Datos Personales del Estado de México y Municipios, con domicilio en Metepec, Estado de México, a </w:t>
      </w:r>
      <w:r w:rsidR="00963F4A" w:rsidRPr="00652E2C">
        <w:rPr>
          <w:rFonts w:ascii="Palatino Linotype" w:eastAsia="Palatino Linotype" w:hAnsi="Palatino Linotype" w:cs="Palatino Linotype"/>
          <w:b/>
          <w:sz w:val="22"/>
          <w:szCs w:val="22"/>
        </w:rPr>
        <w:t>seis de noviem</w:t>
      </w:r>
      <w:r w:rsidRPr="00652E2C">
        <w:rPr>
          <w:rFonts w:ascii="Palatino Linotype" w:eastAsia="Palatino Linotype" w:hAnsi="Palatino Linotype" w:cs="Palatino Linotype"/>
          <w:b/>
          <w:sz w:val="22"/>
          <w:szCs w:val="22"/>
        </w:rPr>
        <w:t>bre de dos mil veinticuatro</w:t>
      </w:r>
      <w:r w:rsidRPr="00652E2C">
        <w:rPr>
          <w:rFonts w:ascii="Palatino Linotype" w:eastAsia="Palatino Linotype" w:hAnsi="Palatino Linotype" w:cs="Palatino Linotype"/>
          <w:sz w:val="22"/>
          <w:szCs w:val="22"/>
        </w:rPr>
        <w:t xml:space="preserve">. </w:t>
      </w:r>
    </w:p>
    <w:p w14:paraId="06BF0008" w14:textId="484F0B76" w:rsidR="007601E8" w:rsidRPr="00652E2C" w:rsidRDefault="00DA5AD2">
      <w:pP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b/>
          <w:sz w:val="22"/>
          <w:szCs w:val="22"/>
        </w:rPr>
        <w:t>Visto</w:t>
      </w:r>
      <w:r w:rsidRPr="00652E2C">
        <w:rPr>
          <w:rFonts w:ascii="Palatino Linotype" w:eastAsia="Palatino Linotype" w:hAnsi="Palatino Linotype" w:cs="Palatino Linotype"/>
          <w:sz w:val="22"/>
          <w:szCs w:val="22"/>
        </w:rPr>
        <w:t xml:space="preserve"> el expediente formado con motivo del recurso de revisión </w:t>
      </w:r>
      <w:r w:rsidR="00EB6EEC" w:rsidRPr="00652E2C">
        <w:rPr>
          <w:rFonts w:ascii="Palatino Linotype" w:eastAsia="Palatino Linotype" w:hAnsi="Palatino Linotype" w:cs="Palatino Linotype"/>
          <w:b/>
          <w:sz w:val="22"/>
          <w:szCs w:val="22"/>
        </w:rPr>
        <w:t>05854/INFOEM/IP/RR/2024</w:t>
      </w:r>
      <w:r w:rsidRPr="00652E2C">
        <w:rPr>
          <w:rFonts w:ascii="Palatino Linotype" w:eastAsia="Palatino Linotype" w:hAnsi="Palatino Linotype" w:cs="Palatino Linotype"/>
          <w:sz w:val="22"/>
          <w:szCs w:val="22"/>
        </w:rPr>
        <w:t>, interpuesto por</w:t>
      </w:r>
      <w:r w:rsidRPr="00652E2C">
        <w:rPr>
          <w:rFonts w:ascii="Palatino Linotype" w:eastAsia="Palatino Linotype" w:hAnsi="Palatino Linotype" w:cs="Palatino Linotype"/>
          <w:b/>
          <w:sz w:val="22"/>
          <w:szCs w:val="22"/>
        </w:rPr>
        <w:t xml:space="preserve"> </w:t>
      </w:r>
      <w:r w:rsidR="00D20429" w:rsidRPr="00D20429">
        <w:rPr>
          <w:rFonts w:ascii="Palatino Linotype" w:eastAsia="Palatino Linotype" w:hAnsi="Palatino Linotype" w:cs="Palatino Linotype"/>
          <w:b/>
          <w:sz w:val="22"/>
          <w:szCs w:val="22"/>
        </w:rPr>
        <w:t>XXXXXX XXXXXXX XXXXX XXXXXXXXXXX</w:t>
      </w:r>
      <w:r w:rsidRPr="00652E2C">
        <w:rPr>
          <w:rFonts w:ascii="Palatino Linotype" w:eastAsia="Palatino Linotype" w:hAnsi="Palatino Linotype" w:cs="Palatino Linotype"/>
          <w:b/>
          <w:sz w:val="22"/>
          <w:szCs w:val="22"/>
        </w:rPr>
        <w:t>,</w:t>
      </w:r>
      <w:r w:rsidRPr="00652E2C">
        <w:rPr>
          <w:rFonts w:ascii="Palatino Linotype" w:eastAsia="Palatino Linotype" w:hAnsi="Palatino Linotype" w:cs="Palatino Linotype"/>
          <w:sz w:val="22"/>
          <w:szCs w:val="22"/>
        </w:rPr>
        <w:t xml:space="preserve"> en lo sucesivo</w:t>
      </w:r>
      <w:r w:rsidRPr="00652E2C">
        <w:rPr>
          <w:rFonts w:ascii="Palatino Linotype" w:eastAsia="Palatino Linotype" w:hAnsi="Palatino Linotype" w:cs="Palatino Linotype"/>
          <w:b/>
          <w:sz w:val="22"/>
          <w:szCs w:val="22"/>
        </w:rPr>
        <w:t xml:space="preserve"> la parte</w:t>
      </w:r>
      <w:r w:rsidRPr="00652E2C">
        <w:rPr>
          <w:rFonts w:ascii="Palatino Linotype" w:eastAsia="Palatino Linotype" w:hAnsi="Palatino Linotype" w:cs="Palatino Linotype"/>
          <w:sz w:val="22"/>
          <w:szCs w:val="22"/>
        </w:rPr>
        <w:t xml:space="preserve"> </w:t>
      </w:r>
      <w:r w:rsidRPr="00652E2C">
        <w:rPr>
          <w:rFonts w:ascii="Palatino Linotype" w:eastAsia="Palatino Linotype" w:hAnsi="Palatino Linotype" w:cs="Palatino Linotype"/>
          <w:b/>
          <w:sz w:val="22"/>
          <w:szCs w:val="22"/>
        </w:rPr>
        <w:t>Recurrente,</w:t>
      </w:r>
      <w:r w:rsidRPr="00652E2C">
        <w:rPr>
          <w:rFonts w:ascii="Palatino Linotype" w:eastAsia="Palatino Linotype" w:hAnsi="Palatino Linotype" w:cs="Palatino Linotype"/>
          <w:sz w:val="22"/>
          <w:szCs w:val="22"/>
        </w:rPr>
        <w:t xml:space="preserve"> en contra de la respue</w:t>
      </w:r>
      <w:r w:rsidR="00EB6EEC" w:rsidRPr="00652E2C">
        <w:rPr>
          <w:rFonts w:ascii="Palatino Linotype" w:eastAsia="Palatino Linotype" w:hAnsi="Palatino Linotype" w:cs="Palatino Linotype"/>
          <w:sz w:val="22"/>
          <w:szCs w:val="22"/>
        </w:rPr>
        <w:t>sta a su solicitud por parte de la</w:t>
      </w:r>
      <w:r w:rsidRPr="00652E2C">
        <w:rPr>
          <w:rFonts w:ascii="Palatino Linotype" w:eastAsia="Palatino Linotype" w:hAnsi="Palatino Linotype" w:cs="Palatino Linotype"/>
          <w:b/>
          <w:sz w:val="22"/>
          <w:szCs w:val="22"/>
        </w:rPr>
        <w:t xml:space="preserve"> </w:t>
      </w:r>
      <w:r w:rsidR="00EB6EEC" w:rsidRPr="00652E2C">
        <w:rPr>
          <w:rFonts w:ascii="Palatino Linotype" w:eastAsia="Palatino Linotype" w:hAnsi="Palatino Linotype" w:cs="Palatino Linotype"/>
          <w:b/>
          <w:sz w:val="22"/>
          <w:szCs w:val="22"/>
        </w:rPr>
        <w:t>Secretaría de Finanzas</w:t>
      </w:r>
      <w:r w:rsidRPr="00652E2C">
        <w:rPr>
          <w:rFonts w:ascii="Palatino Linotype" w:eastAsia="Palatino Linotype" w:hAnsi="Palatino Linotype" w:cs="Palatino Linotype"/>
          <w:b/>
          <w:sz w:val="22"/>
          <w:szCs w:val="22"/>
        </w:rPr>
        <w:t xml:space="preserve">, </w:t>
      </w:r>
      <w:r w:rsidRPr="00652E2C">
        <w:rPr>
          <w:rFonts w:ascii="Palatino Linotype" w:eastAsia="Palatino Linotype" w:hAnsi="Palatino Linotype" w:cs="Palatino Linotype"/>
          <w:sz w:val="22"/>
          <w:szCs w:val="22"/>
        </w:rPr>
        <w:t xml:space="preserve">en lo sucesivo el </w:t>
      </w:r>
      <w:r w:rsidRPr="00652E2C">
        <w:rPr>
          <w:rFonts w:ascii="Palatino Linotype" w:eastAsia="Palatino Linotype" w:hAnsi="Palatino Linotype" w:cs="Palatino Linotype"/>
          <w:b/>
          <w:sz w:val="22"/>
          <w:szCs w:val="22"/>
        </w:rPr>
        <w:t xml:space="preserve">Sujeto Obligado, </w:t>
      </w:r>
      <w:r w:rsidRPr="00652E2C">
        <w:rPr>
          <w:rFonts w:ascii="Palatino Linotype" w:eastAsia="Palatino Linotype" w:hAnsi="Palatino Linotype" w:cs="Palatino Linotype"/>
          <w:sz w:val="22"/>
          <w:szCs w:val="22"/>
        </w:rPr>
        <w:t xml:space="preserve">se procede a dictar la presente resolución con base en los siguientes: </w:t>
      </w:r>
    </w:p>
    <w:p w14:paraId="6870E4E2" w14:textId="77777777" w:rsidR="007601E8" w:rsidRPr="00652E2C" w:rsidRDefault="00DA5AD2">
      <w:pPr>
        <w:spacing w:before="240" w:after="240" w:line="360" w:lineRule="auto"/>
        <w:jc w:val="center"/>
        <w:rPr>
          <w:rFonts w:ascii="Palatino Linotype" w:eastAsia="Palatino Linotype" w:hAnsi="Palatino Linotype" w:cs="Palatino Linotype"/>
          <w:b/>
          <w:sz w:val="22"/>
          <w:szCs w:val="22"/>
        </w:rPr>
      </w:pPr>
      <w:r w:rsidRPr="00652E2C">
        <w:rPr>
          <w:rFonts w:ascii="Palatino Linotype" w:eastAsia="Palatino Linotype" w:hAnsi="Palatino Linotype" w:cs="Palatino Linotype"/>
          <w:b/>
          <w:sz w:val="22"/>
          <w:szCs w:val="22"/>
        </w:rPr>
        <w:t>I. A N T E C E D E N T E S</w:t>
      </w:r>
    </w:p>
    <w:p w14:paraId="4E0991DC" w14:textId="77777777" w:rsidR="007601E8" w:rsidRPr="00652E2C" w:rsidRDefault="00DA5AD2">
      <w:pP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b/>
          <w:sz w:val="22"/>
          <w:szCs w:val="22"/>
        </w:rPr>
        <w:t>1. Solicitud de acceso a la información.</w:t>
      </w:r>
      <w:r w:rsidR="009D0AEB" w:rsidRPr="00652E2C">
        <w:rPr>
          <w:rFonts w:ascii="Palatino Linotype" w:eastAsia="Palatino Linotype" w:hAnsi="Palatino Linotype" w:cs="Palatino Linotype"/>
          <w:sz w:val="22"/>
          <w:szCs w:val="22"/>
        </w:rPr>
        <w:t xml:space="preserve"> El </w:t>
      </w:r>
      <w:r w:rsidR="00EB6EEC" w:rsidRPr="00652E2C">
        <w:rPr>
          <w:rFonts w:ascii="Palatino Linotype" w:eastAsia="Palatino Linotype" w:hAnsi="Palatino Linotype" w:cs="Palatino Linotype"/>
          <w:b/>
          <w:sz w:val="22"/>
          <w:szCs w:val="22"/>
        </w:rPr>
        <w:t>tres</w:t>
      </w:r>
      <w:r w:rsidR="005A0293" w:rsidRPr="00652E2C">
        <w:rPr>
          <w:rFonts w:ascii="Palatino Linotype" w:eastAsia="Palatino Linotype" w:hAnsi="Palatino Linotype" w:cs="Palatino Linotype"/>
          <w:b/>
          <w:sz w:val="22"/>
          <w:szCs w:val="22"/>
        </w:rPr>
        <w:t xml:space="preserve"> </w:t>
      </w:r>
      <w:r w:rsidR="00EB6EEC" w:rsidRPr="00652E2C">
        <w:rPr>
          <w:rFonts w:ascii="Palatino Linotype" w:eastAsia="Palatino Linotype" w:hAnsi="Palatino Linotype" w:cs="Palatino Linotype"/>
          <w:b/>
          <w:sz w:val="22"/>
          <w:szCs w:val="22"/>
        </w:rPr>
        <w:t>de septiembre</w:t>
      </w:r>
      <w:r w:rsidRPr="00652E2C">
        <w:rPr>
          <w:rFonts w:ascii="Palatino Linotype" w:eastAsia="Palatino Linotype" w:hAnsi="Palatino Linotype" w:cs="Palatino Linotype"/>
          <w:b/>
          <w:sz w:val="22"/>
          <w:szCs w:val="22"/>
        </w:rPr>
        <w:t xml:space="preserve"> de</w:t>
      </w:r>
      <w:r w:rsidRPr="00652E2C">
        <w:rPr>
          <w:rFonts w:ascii="Palatino Linotype" w:eastAsia="Palatino Linotype" w:hAnsi="Palatino Linotype" w:cs="Palatino Linotype"/>
          <w:sz w:val="22"/>
          <w:szCs w:val="22"/>
        </w:rPr>
        <w:t xml:space="preserve"> </w:t>
      </w:r>
      <w:r w:rsidRPr="00652E2C">
        <w:rPr>
          <w:rFonts w:ascii="Palatino Linotype" w:eastAsia="Palatino Linotype" w:hAnsi="Palatino Linotype" w:cs="Palatino Linotype"/>
          <w:b/>
          <w:sz w:val="22"/>
          <w:szCs w:val="22"/>
        </w:rPr>
        <w:t>dos mil veinticuatro,</w:t>
      </w:r>
      <w:r w:rsidRPr="00652E2C">
        <w:rPr>
          <w:rFonts w:ascii="Palatino Linotype" w:eastAsia="Palatino Linotype" w:hAnsi="Palatino Linotype" w:cs="Palatino Linotype"/>
          <w:sz w:val="22"/>
          <w:szCs w:val="22"/>
        </w:rPr>
        <w:t xml:space="preserve"> </w:t>
      </w:r>
      <w:r w:rsidRPr="00652E2C">
        <w:rPr>
          <w:rFonts w:ascii="Palatino Linotype" w:eastAsia="Palatino Linotype" w:hAnsi="Palatino Linotype" w:cs="Palatino Linotype"/>
          <w:b/>
          <w:sz w:val="22"/>
          <w:szCs w:val="22"/>
        </w:rPr>
        <w:t>la parte</w:t>
      </w:r>
      <w:r w:rsidRPr="00652E2C">
        <w:rPr>
          <w:rFonts w:ascii="Palatino Linotype" w:eastAsia="Palatino Linotype" w:hAnsi="Palatino Linotype" w:cs="Palatino Linotype"/>
          <w:sz w:val="22"/>
          <w:szCs w:val="22"/>
        </w:rPr>
        <w:t xml:space="preserve"> </w:t>
      </w:r>
      <w:r w:rsidRPr="00652E2C">
        <w:rPr>
          <w:rFonts w:ascii="Palatino Linotype" w:eastAsia="Palatino Linotype" w:hAnsi="Palatino Linotype" w:cs="Palatino Linotype"/>
          <w:b/>
          <w:sz w:val="22"/>
          <w:szCs w:val="22"/>
        </w:rPr>
        <w:t xml:space="preserve">Recurrente </w:t>
      </w:r>
      <w:r w:rsidRPr="00652E2C">
        <w:rPr>
          <w:rFonts w:ascii="Palatino Linotype" w:eastAsia="Palatino Linotype" w:hAnsi="Palatino Linotype" w:cs="Palatino Linotype"/>
          <w:sz w:val="22"/>
          <w:szCs w:val="22"/>
        </w:rPr>
        <w:t xml:space="preserve">presentó, a través del Sistema de Acceso a la Información Mexiquense, en lo subsecuente el </w:t>
      </w:r>
      <w:r w:rsidRPr="00652E2C">
        <w:rPr>
          <w:rFonts w:ascii="Palatino Linotype" w:eastAsia="Palatino Linotype" w:hAnsi="Palatino Linotype" w:cs="Palatino Linotype"/>
          <w:b/>
          <w:sz w:val="22"/>
          <w:szCs w:val="22"/>
        </w:rPr>
        <w:t>SAIMEX,</w:t>
      </w:r>
      <w:r w:rsidRPr="00652E2C">
        <w:rPr>
          <w:rFonts w:ascii="Palatino Linotype" w:eastAsia="Palatino Linotype" w:hAnsi="Palatino Linotype" w:cs="Palatino Linotype"/>
          <w:sz w:val="22"/>
          <w:szCs w:val="22"/>
        </w:rPr>
        <w:t xml:space="preserve"> ante el </w:t>
      </w:r>
      <w:r w:rsidRPr="00652E2C">
        <w:rPr>
          <w:rFonts w:ascii="Palatino Linotype" w:eastAsia="Palatino Linotype" w:hAnsi="Palatino Linotype" w:cs="Palatino Linotype"/>
          <w:b/>
          <w:sz w:val="22"/>
          <w:szCs w:val="22"/>
        </w:rPr>
        <w:t>Sujeto Obligado</w:t>
      </w:r>
      <w:r w:rsidRPr="00652E2C">
        <w:rPr>
          <w:rFonts w:ascii="Palatino Linotype" w:eastAsia="Palatino Linotype" w:hAnsi="Palatino Linotype" w:cs="Palatino Linotype"/>
          <w:sz w:val="22"/>
          <w:szCs w:val="22"/>
        </w:rPr>
        <w:t>, la solicitud de acceso a la información pública, a la que se le asignó el número</w:t>
      </w:r>
      <w:r w:rsidRPr="00652E2C">
        <w:rPr>
          <w:rFonts w:ascii="Palatino Linotype" w:eastAsia="Palatino Linotype" w:hAnsi="Palatino Linotype" w:cs="Palatino Linotype"/>
          <w:b/>
          <w:sz w:val="22"/>
          <w:szCs w:val="22"/>
        </w:rPr>
        <w:t xml:space="preserve"> </w:t>
      </w:r>
      <w:r w:rsidR="00EB6EEC" w:rsidRPr="00652E2C">
        <w:rPr>
          <w:rFonts w:ascii="Palatino Linotype" w:eastAsia="Palatino Linotype" w:hAnsi="Palatino Linotype" w:cs="Palatino Linotype"/>
          <w:b/>
          <w:sz w:val="22"/>
          <w:szCs w:val="22"/>
        </w:rPr>
        <w:t>00587/SF/IP/2024</w:t>
      </w:r>
      <w:r w:rsidRPr="00652E2C">
        <w:rPr>
          <w:rFonts w:ascii="Palatino Linotype" w:eastAsia="Palatino Linotype" w:hAnsi="Palatino Linotype" w:cs="Palatino Linotype"/>
          <w:b/>
          <w:sz w:val="22"/>
          <w:szCs w:val="22"/>
        </w:rPr>
        <w:t xml:space="preserve">, </w:t>
      </w:r>
      <w:r w:rsidRPr="00652E2C">
        <w:rPr>
          <w:rFonts w:ascii="Palatino Linotype" w:eastAsia="Palatino Linotype" w:hAnsi="Palatino Linotype" w:cs="Palatino Linotype"/>
          <w:sz w:val="22"/>
          <w:szCs w:val="22"/>
        </w:rPr>
        <w:t xml:space="preserve">mediante la cual requirió la información siguiente: </w:t>
      </w:r>
    </w:p>
    <w:p w14:paraId="602D8401" w14:textId="77777777" w:rsidR="007601E8" w:rsidRPr="00652E2C" w:rsidRDefault="00DA5AD2">
      <w:pPr>
        <w:spacing w:before="240" w:after="240"/>
        <w:ind w:left="567" w:right="902"/>
        <w:jc w:val="both"/>
        <w:rPr>
          <w:rFonts w:ascii="Palatino Linotype" w:eastAsia="Palatino Linotype" w:hAnsi="Palatino Linotype" w:cs="Palatino Linotype"/>
          <w:b/>
          <w:i/>
          <w:sz w:val="22"/>
          <w:szCs w:val="22"/>
        </w:rPr>
      </w:pPr>
      <w:bookmarkStart w:id="1" w:name="_heading=h.gjdgxs" w:colFirst="0" w:colLast="0"/>
      <w:bookmarkEnd w:id="1"/>
      <w:r w:rsidRPr="00652E2C">
        <w:rPr>
          <w:rFonts w:ascii="Palatino Linotype" w:eastAsia="Palatino Linotype" w:hAnsi="Palatino Linotype" w:cs="Palatino Linotype"/>
          <w:i/>
          <w:sz w:val="22"/>
          <w:szCs w:val="22"/>
        </w:rPr>
        <w:t>“</w:t>
      </w:r>
      <w:r w:rsidR="00EB6EEC" w:rsidRPr="00652E2C">
        <w:rPr>
          <w:rFonts w:ascii="Palatino Linotype" w:eastAsia="Palatino Linotype" w:hAnsi="Palatino Linotype" w:cs="Palatino Linotype"/>
          <w:i/>
          <w:sz w:val="22"/>
          <w:szCs w:val="22"/>
        </w:rPr>
        <w:t xml:space="preserve">Se solicitan </w:t>
      </w:r>
      <w:r w:rsidR="00EB6EEC" w:rsidRPr="00652E2C">
        <w:rPr>
          <w:rFonts w:ascii="Palatino Linotype" w:eastAsia="Palatino Linotype" w:hAnsi="Palatino Linotype" w:cs="Palatino Linotype"/>
          <w:b/>
          <w:i/>
          <w:sz w:val="22"/>
          <w:szCs w:val="22"/>
          <w:u w:val="single"/>
        </w:rPr>
        <w:t xml:space="preserve">todos </w:t>
      </w:r>
      <w:r w:rsidR="00EB6EEC" w:rsidRPr="00652E2C">
        <w:rPr>
          <w:rFonts w:ascii="Palatino Linotype" w:eastAsia="Palatino Linotype" w:hAnsi="Palatino Linotype" w:cs="Palatino Linotype"/>
          <w:i/>
          <w:sz w:val="22"/>
          <w:szCs w:val="22"/>
        </w:rPr>
        <w:t xml:space="preserve">los correos electrónicos que remitió la C. Luz María Cuero Hernández, como </w:t>
      </w:r>
      <w:proofErr w:type="gramStart"/>
      <w:r w:rsidR="00EB6EEC" w:rsidRPr="00652E2C">
        <w:rPr>
          <w:rFonts w:ascii="Palatino Linotype" w:eastAsia="Palatino Linotype" w:hAnsi="Palatino Linotype" w:cs="Palatino Linotype"/>
          <w:i/>
          <w:sz w:val="22"/>
          <w:szCs w:val="22"/>
        </w:rPr>
        <w:t>Directora</w:t>
      </w:r>
      <w:proofErr w:type="gramEnd"/>
      <w:r w:rsidR="00EB6EEC" w:rsidRPr="00652E2C">
        <w:rPr>
          <w:rFonts w:ascii="Palatino Linotype" w:eastAsia="Palatino Linotype" w:hAnsi="Palatino Linotype" w:cs="Palatino Linotype"/>
          <w:i/>
          <w:sz w:val="22"/>
          <w:szCs w:val="22"/>
        </w:rPr>
        <w:t xml:space="preserve"> de Área de la Dirección General de Evaluación del Desempeño Institucional de la Secretaría de Finanzas del Gobierno del Estado de México, respaldos que obran en la Unidad de Tecnologías de Información y Comunicaciones, por lo que se requieren </w:t>
      </w:r>
      <w:r w:rsidR="00EB6EEC" w:rsidRPr="00652E2C">
        <w:rPr>
          <w:rFonts w:ascii="Palatino Linotype" w:eastAsia="Palatino Linotype" w:hAnsi="Palatino Linotype" w:cs="Palatino Linotype"/>
          <w:b/>
          <w:i/>
          <w:sz w:val="22"/>
          <w:szCs w:val="22"/>
          <w:u w:val="single"/>
        </w:rPr>
        <w:t>todos los recibidos y enviados</w:t>
      </w:r>
      <w:r w:rsidR="00EB6EEC" w:rsidRPr="00652E2C">
        <w:rPr>
          <w:rFonts w:ascii="Palatino Linotype" w:eastAsia="Palatino Linotype" w:hAnsi="Palatino Linotype" w:cs="Palatino Linotype"/>
          <w:i/>
          <w:sz w:val="22"/>
          <w:szCs w:val="22"/>
        </w:rPr>
        <w:t>.</w:t>
      </w:r>
      <w:r w:rsidRPr="00652E2C">
        <w:rPr>
          <w:rFonts w:ascii="Palatino Linotype" w:eastAsia="Palatino Linotype" w:hAnsi="Palatino Linotype" w:cs="Palatino Linotype"/>
          <w:i/>
          <w:sz w:val="22"/>
          <w:szCs w:val="22"/>
        </w:rPr>
        <w:t xml:space="preserve">” (Sic) </w:t>
      </w:r>
    </w:p>
    <w:p w14:paraId="4D2E0775" w14:textId="77777777" w:rsidR="007601E8" w:rsidRPr="00652E2C" w:rsidRDefault="00DA5AD2">
      <w:pP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b/>
          <w:sz w:val="22"/>
          <w:szCs w:val="22"/>
        </w:rPr>
        <w:t>Modalidad de Entrega:</w:t>
      </w:r>
      <w:r w:rsidRPr="00652E2C">
        <w:rPr>
          <w:rFonts w:ascii="Palatino Linotype" w:eastAsia="Palatino Linotype" w:hAnsi="Palatino Linotype" w:cs="Palatino Linotype"/>
          <w:sz w:val="22"/>
          <w:szCs w:val="22"/>
        </w:rPr>
        <w:t xml:space="preserve"> A través del </w:t>
      </w:r>
      <w:r w:rsidRPr="00652E2C">
        <w:rPr>
          <w:rFonts w:ascii="Palatino Linotype" w:eastAsia="Palatino Linotype" w:hAnsi="Palatino Linotype" w:cs="Palatino Linotype"/>
          <w:b/>
          <w:sz w:val="22"/>
          <w:szCs w:val="22"/>
        </w:rPr>
        <w:t>SAIMEX</w:t>
      </w:r>
    </w:p>
    <w:p w14:paraId="79E0FF53" w14:textId="77777777" w:rsidR="007601E8" w:rsidRPr="00652E2C" w:rsidRDefault="00DA5AD2">
      <w:pPr>
        <w:spacing w:before="240" w:after="240" w:line="360" w:lineRule="auto"/>
        <w:jc w:val="both"/>
        <w:rPr>
          <w:rFonts w:ascii="Palatino Linotype" w:eastAsia="Palatino Linotype" w:hAnsi="Palatino Linotype" w:cs="Palatino Linotype"/>
          <w:sz w:val="22"/>
          <w:szCs w:val="22"/>
        </w:rPr>
      </w:pPr>
      <w:bookmarkStart w:id="2" w:name="_heading=h.3dy6vkm" w:colFirst="0" w:colLast="0"/>
      <w:bookmarkEnd w:id="2"/>
      <w:r w:rsidRPr="00652E2C">
        <w:rPr>
          <w:rFonts w:ascii="Palatino Linotype" w:eastAsia="Palatino Linotype" w:hAnsi="Palatino Linotype" w:cs="Palatino Linotype"/>
          <w:b/>
          <w:sz w:val="22"/>
          <w:szCs w:val="22"/>
        </w:rPr>
        <w:t xml:space="preserve">2. Respuesta. </w:t>
      </w:r>
      <w:r w:rsidRPr="00652E2C">
        <w:rPr>
          <w:rFonts w:ascii="Palatino Linotype" w:eastAsia="Palatino Linotype" w:hAnsi="Palatino Linotype" w:cs="Palatino Linotype"/>
          <w:sz w:val="22"/>
          <w:szCs w:val="22"/>
        </w:rPr>
        <w:t xml:space="preserve">El </w:t>
      </w:r>
      <w:r w:rsidR="00EB6EEC" w:rsidRPr="00652E2C">
        <w:rPr>
          <w:rFonts w:ascii="Palatino Linotype" w:eastAsia="Palatino Linotype" w:hAnsi="Palatino Linotype" w:cs="Palatino Linotype"/>
          <w:b/>
          <w:sz w:val="22"/>
          <w:szCs w:val="22"/>
        </w:rPr>
        <w:t>veinticinco de septiembre</w:t>
      </w:r>
      <w:r w:rsidRPr="00652E2C">
        <w:rPr>
          <w:rFonts w:ascii="Palatino Linotype" w:eastAsia="Palatino Linotype" w:hAnsi="Palatino Linotype" w:cs="Palatino Linotype"/>
          <w:b/>
          <w:sz w:val="22"/>
          <w:szCs w:val="22"/>
        </w:rPr>
        <w:t xml:space="preserve"> de dos mil veinticuatro</w:t>
      </w:r>
      <w:r w:rsidRPr="00652E2C">
        <w:rPr>
          <w:rFonts w:ascii="Palatino Linotype" w:eastAsia="Palatino Linotype" w:hAnsi="Palatino Linotype" w:cs="Palatino Linotype"/>
          <w:sz w:val="22"/>
          <w:szCs w:val="22"/>
        </w:rPr>
        <w:t xml:space="preserve">, el </w:t>
      </w:r>
      <w:r w:rsidRPr="00652E2C">
        <w:rPr>
          <w:rFonts w:ascii="Palatino Linotype" w:eastAsia="Palatino Linotype" w:hAnsi="Palatino Linotype" w:cs="Palatino Linotype"/>
          <w:b/>
          <w:sz w:val="22"/>
          <w:szCs w:val="22"/>
        </w:rPr>
        <w:t xml:space="preserve">Sujeto Obligado </w:t>
      </w:r>
      <w:r w:rsidRPr="00652E2C">
        <w:rPr>
          <w:rFonts w:ascii="Palatino Linotype" w:eastAsia="Palatino Linotype" w:hAnsi="Palatino Linotype" w:cs="Palatino Linotype"/>
          <w:sz w:val="22"/>
          <w:szCs w:val="22"/>
        </w:rPr>
        <w:t xml:space="preserve">envió su respuesta a la solicitud de acceso a la información a través de SAIMEX, sustancialmente en los términos siguientes:   </w:t>
      </w:r>
    </w:p>
    <w:p w14:paraId="47AFFB9A" w14:textId="77777777" w:rsidR="00EB6EEC" w:rsidRPr="00652E2C" w:rsidRDefault="00EB6EEC" w:rsidP="00EB6EEC">
      <w:pPr>
        <w:spacing w:before="240" w:after="240"/>
        <w:ind w:left="567" w:right="902"/>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lastRenderedPageBreak/>
        <w:t>“En respuesta a la solicitud recibida, nos permitimos hacer de su conocimiento que con fundamento en el artículo 53, Fracciones: II, V y VI de la Ley de Transparencia y Acceso a la Información Pública del Estado de México y Municipios, le contestamos que:</w:t>
      </w:r>
    </w:p>
    <w:p w14:paraId="455424E0" w14:textId="77777777" w:rsidR="00EB6EEC" w:rsidRPr="00652E2C" w:rsidRDefault="00EB6EEC" w:rsidP="00EB6EEC">
      <w:pPr>
        <w:spacing w:before="240" w:after="240"/>
        <w:ind w:left="567" w:right="902"/>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Sobre el particular, sírvase encontrar en archivo adjunto copia del oficio de notificación número 20700004S/UT-1804/2024 mediante el cual se detalla lo referente a su solicitud, así como el acuerdo de clasificación número CT-2024-0155 emitido por el Comité de Transparencia de este Sujeto Obligado.</w:t>
      </w:r>
    </w:p>
    <w:p w14:paraId="48178EB9" w14:textId="77777777" w:rsidR="00EB6EEC" w:rsidRPr="00652E2C" w:rsidRDefault="00EB6EEC" w:rsidP="00EB6EEC">
      <w:pPr>
        <w:spacing w:before="240" w:after="240"/>
        <w:ind w:left="567" w:right="902"/>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ATENTAMENTE</w:t>
      </w:r>
    </w:p>
    <w:p w14:paraId="4ACB37E2" w14:textId="77777777" w:rsidR="007601E8" w:rsidRPr="00652E2C" w:rsidRDefault="00EB6EEC" w:rsidP="00EB6EEC">
      <w:pPr>
        <w:spacing w:before="240" w:after="240"/>
        <w:ind w:left="567" w:right="902"/>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M. en D. Mario Reyes Santos</w:t>
      </w:r>
      <w:r w:rsidR="00DA5AD2" w:rsidRPr="00652E2C">
        <w:rPr>
          <w:rFonts w:ascii="Palatino Linotype" w:eastAsia="Palatino Linotype" w:hAnsi="Palatino Linotype" w:cs="Palatino Linotype"/>
          <w:i/>
          <w:sz w:val="22"/>
          <w:szCs w:val="22"/>
        </w:rPr>
        <w:t xml:space="preserve">” </w:t>
      </w:r>
    </w:p>
    <w:p w14:paraId="712BA96C" w14:textId="77777777" w:rsidR="007601E8" w:rsidRPr="00652E2C" w:rsidRDefault="00DA5AD2">
      <w:pPr>
        <w:spacing w:before="240" w:after="240"/>
        <w:ind w:left="567" w:right="902"/>
        <w:jc w:val="both"/>
        <w:rPr>
          <w:rFonts w:ascii="Palatino Linotype" w:eastAsia="Palatino Linotype" w:hAnsi="Palatino Linotype" w:cs="Palatino Linotype"/>
          <w:b/>
          <w:sz w:val="22"/>
          <w:szCs w:val="22"/>
        </w:rPr>
      </w:pPr>
      <w:r w:rsidRPr="00652E2C">
        <w:rPr>
          <w:rFonts w:ascii="Palatino Linotype" w:eastAsia="Palatino Linotype" w:hAnsi="Palatino Linotype" w:cs="Palatino Linotype"/>
          <w:b/>
          <w:sz w:val="22"/>
          <w:szCs w:val="22"/>
        </w:rPr>
        <w:t xml:space="preserve">Archivos adjuntos: </w:t>
      </w:r>
    </w:p>
    <w:p w14:paraId="330F89A6" w14:textId="77777777" w:rsidR="00EB6EEC" w:rsidRPr="00652E2C" w:rsidRDefault="00EB6EEC" w:rsidP="00EB6EEC">
      <w:pPr>
        <w:spacing w:before="240" w:after="240" w:line="360" w:lineRule="auto"/>
        <w:ind w:left="567" w:right="902"/>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b/>
          <w:i/>
          <w:sz w:val="22"/>
          <w:szCs w:val="22"/>
        </w:rPr>
        <w:t xml:space="preserve">“ANEXOS 587.pdf”: </w:t>
      </w:r>
      <w:r w:rsidRPr="00652E2C">
        <w:rPr>
          <w:rFonts w:ascii="Palatino Linotype" w:eastAsia="Palatino Linotype" w:hAnsi="Palatino Linotype" w:cs="Palatino Linotype"/>
          <w:sz w:val="22"/>
          <w:szCs w:val="22"/>
        </w:rPr>
        <w:t>Documento que se compone de veintiocho fojas, en el que se aprecian diversos correos electrónicos enviados y recibidos durante algunos días del mes de septiembre de la presente anualidad.</w:t>
      </w:r>
    </w:p>
    <w:p w14:paraId="7620710E" w14:textId="77777777" w:rsidR="00EB6EEC" w:rsidRPr="00652E2C" w:rsidRDefault="00EB6EEC" w:rsidP="00EB6EEC">
      <w:pPr>
        <w:spacing w:before="240" w:after="240" w:line="360" w:lineRule="auto"/>
        <w:ind w:left="567" w:right="902"/>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b/>
          <w:i/>
          <w:sz w:val="22"/>
          <w:szCs w:val="22"/>
        </w:rPr>
        <w:t xml:space="preserve">“00587 SSPYP.pdf”: </w:t>
      </w:r>
      <w:r w:rsidRPr="00652E2C">
        <w:rPr>
          <w:rFonts w:ascii="Palatino Linotype" w:eastAsia="Palatino Linotype" w:hAnsi="Palatino Linotype" w:cs="Palatino Linotype"/>
          <w:sz w:val="22"/>
          <w:szCs w:val="22"/>
        </w:rPr>
        <w:t>Oficio suscrito por el Servidor Público Habilitado Suplente de la Subsecretaría de Planeación y Presupuesto, en el que solicita someter a consideración del Comité de Transparencia, la clasificación como confidencial de los datos personales que se desprendan de los correos electrónicos personales y teléfonos personales de particulares, que de manera anexa se remiten y que corresponden a los correos electrónicos enviados y recibidos de la servidora pública Luz María Cuero Hernández, que se anexan en digital.</w:t>
      </w:r>
    </w:p>
    <w:p w14:paraId="559E186D" w14:textId="77777777" w:rsidR="00EB6EEC" w:rsidRPr="00652E2C" w:rsidRDefault="00EB6EEC" w:rsidP="00EB6EEC">
      <w:pPr>
        <w:spacing w:before="240" w:after="240"/>
        <w:ind w:left="567" w:right="902"/>
        <w:jc w:val="both"/>
        <w:rPr>
          <w:rFonts w:ascii="Palatino Linotype" w:eastAsia="Palatino Linotype" w:hAnsi="Palatino Linotype" w:cs="Palatino Linotype"/>
          <w:sz w:val="22"/>
          <w:szCs w:val="22"/>
        </w:rPr>
      </w:pPr>
    </w:p>
    <w:p w14:paraId="2D1BEEA2" w14:textId="77777777" w:rsidR="00EB6EEC" w:rsidRPr="00652E2C" w:rsidRDefault="00EB6EEC" w:rsidP="00EB6EEC">
      <w:pPr>
        <w:spacing w:before="240" w:after="240" w:line="360" w:lineRule="auto"/>
        <w:ind w:left="567" w:right="902"/>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b/>
          <w:i/>
          <w:sz w:val="22"/>
          <w:szCs w:val="22"/>
        </w:rPr>
        <w:t xml:space="preserve">“00587 SOLICITANTE.pdf”: </w:t>
      </w:r>
      <w:r w:rsidRPr="00652E2C">
        <w:rPr>
          <w:rFonts w:ascii="Palatino Linotype" w:eastAsia="Palatino Linotype" w:hAnsi="Palatino Linotype" w:cs="Palatino Linotype"/>
          <w:sz w:val="22"/>
          <w:szCs w:val="22"/>
        </w:rPr>
        <w:t xml:space="preserve">Oficio por el que la persona Titular de la Unidad de Transparencia notifica a la persona solicitante, la respuesta </w:t>
      </w:r>
      <w:r w:rsidRPr="00652E2C">
        <w:rPr>
          <w:rFonts w:ascii="Palatino Linotype" w:eastAsia="Palatino Linotype" w:hAnsi="Palatino Linotype" w:cs="Palatino Linotype"/>
          <w:sz w:val="22"/>
          <w:szCs w:val="22"/>
        </w:rPr>
        <w:lastRenderedPageBreak/>
        <w:t>emitida por el Servidor Público Habilitado Suplente de la Subsecretaría de Planeación y Presupuesto.</w:t>
      </w:r>
    </w:p>
    <w:p w14:paraId="239E78F2" w14:textId="77777777" w:rsidR="00EB6EEC" w:rsidRPr="00652E2C" w:rsidRDefault="00EB6EEC" w:rsidP="00641B80">
      <w:pPr>
        <w:spacing w:before="240" w:after="240" w:line="360" w:lineRule="auto"/>
        <w:ind w:left="567" w:right="902"/>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b/>
          <w:i/>
          <w:sz w:val="22"/>
          <w:szCs w:val="22"/>
        </w:rPr>
        <w:t xml:space="preserve">“CT-2024-155.pdf”: </w:t>
      </w:r>
      <w:r w:rsidRPr="00652E2C">
        <w:rPr>
          <w:rFonts w:ascii="Palatino Linotype" w:eastAsia="Palatino Linotype" w:hAnsi="Palatino Linotype" w:cs="Palatino Linotype"/>
          <w:sz w:val="22"/>
          <w:szCs w:val="22"/>
        </w:rPr>
        <w:t>Acuerdo del Comi</w:t>
      </w:r>
      <w:r w:rsidR="00641B80" w:rsidRPr="00652E2C">
        <w:rPr>
          <w:rFonts w:ascii="Palatino Linotype" w:eastAsia="Palatino Linotype" w:hAnsi="Palatino Linotype" w:cs="Palatino Linotype"/>
          <w:sz w:val="22"/>
          <w:szCs w:val="22"/>
        </w:rPr>
        <w:t xml:space="preserve">té de Transparencia por el cual se clasifican como confidenciales los correos electrónicos personales y teléfonos particulares contenidos en los correos electrónicos enviados y recibidos por Luz María Cuero Hernández, en su carácter de </w:t>
      </w:r>
      <w:proofErr w:type="gramStart"/>
      <w:r w:rsidR="00641B80" w:rsidRPr="00652E2C">
        <w:rPr>
          <w:rFonts w:ascii="Palatino Linotype" w:eastAsia="Palatino Linotype" w:hAnsi="Palatino Linotype" w:cs="Palatino Linotype"/>
          <w:sz w:val="22"/>
          <w:szCs w:val="22"/>
        </w:rPr>
        <w:t>Directora</w:t>
      </w:r>
      <w:proofErr w:type="gramEnd"/>
      <w:r w:rsidR="00641B80" w:rsidRPr="00652E2C">
        <w:rPr>
          <w:rFonts w:ascii="Palatino Linotype" w:eastAsia="Palatino Linotype" w:hAnsi="Palatino Linotype" w:cs="Palatino Linotype"/>
          <w:sz w:val="22"/>
          <w:szCs w:val="22"/>
        </w:rPr>
        <w:t xml:space="preserve"> de Área de la Dirección General de Evaluación del Desempeño Institucional de la Secretaría de Finanzas. </w:t>
      </w:r>
    </w:p>
    <w:p w14:paraId="1192A951" w14:textId="77777777" w:rsidR="007601E8" w:rsidRPr="00652E2C" w:rsidRDefault="00DA5AD2">
      <w:pPr>
        <w:spacing w:before="240" w:after="240" w:line="360" w:lineRule="auto"/>
        <w:ind w:right="49"/>
        <w:jc w:val="both"/>
        <w:rPr>
          <w:rFonts w:ascii="Palatino Linotype" w:eastAsia="Palatino Linotype" w:hAnsi="Palatino Linotype" w:cs="Palatino Linotype"/>
          <w:b/>
          <w:sz w:val="22"/>
          <w:szCs w:val="22"/>
        </w:rPr>
      </w:pPr>
      <w:r w:rsidRPr="00652E2C">
        <w:rPr>
          <w:rFonts w:ascii="Palatino Linotype" w:eastAsia="Palatino Linotype" w:hAnsi="Palatino Linotype" w:cs="Palatino Linotype"/>
          <w:b/>
          <w:sz w:val="22"/>
          <w:szCs w:val="22"/>
        </w:rPr>
        <w:t xml:space="preserve">3. Interposición del recurso de revisión. </w:t>
      </w:r>
      <w:r w:rsidRPr="00652E2C">
        <w:rPr>
          <w:rFonts w:ascii="Palatino Linotype" w:eastAsia="Palatino Linotype" w:hAnsi="Palatino Linotype" w:cs="Palatino Linotype"/>
          <w:sz w:val="22"/>
          <w:szCs w:val="22"/>
        </w:rPr>
        <w:t xml:space="preserve">Inconforme con los términos de la respuesta emitida por parte del </w:t>
      </w:r>
      <w:r w:rsidRPr="00652E2C">
        <w:rPr>
          <w:rFonts w:ascii="Palatino Linotype" w:eastAsia="Palatino Linotype" w:hAnsi="Palatino Linotype" w:cs="Palatino Linotype"/>
          <w:b/>
          <w:sz w:val="22"/>
          <w:szCs w:val="22"/>
        </w:rPr>
        <w:t>Sujeto Obligado</w:t>
      </w:r>
      <w:r w:rsidRPr="00652E2C">
        <w:rPr>
          <w:rFonts w:ascii="Palatino Linotype" w:eastAsia="Palatino Linotype" w:hAnsi="Palatino Linotype" w:cs="Palatino Linotype"/>
          <w:sz w:val="22"/>
          <w:szCs w:val="22"/>
        </w:rPr>
        <w:t>, el</w:t>
      </w:r>
      <w:r w:rsidR="00641B80" w:rsidRPr="00652E2C">
        <w:rPr>
          <w:rFonts w:ascii="Palatino Linotype" w:eastAsia="Palatino Linotype" w:hAnsi="Palatino Linotype" w:cs="Palatino Linotype"/>
          <w:b/>
          <w:sz w:val="22"/>
          <w:szCs w:val="22"/>
        </w:rPr>
        <w:t xml:space="preserve"> veinticinco de septiembre</w:t>
      </w:r>
      <w:r w:rsidRPr="00652E2C">
        <w:rPr>
          <w:rFonts w:ascii="Palatino Linotype" w:eastAsia="Palatino Linotype" w:hAnsi="Palatino Linotype" w:cs="Palatino Linotype"/>
          <w:b/>
          <w:sz w:val="22"/>
          <w:szCs w:val="22"/>
        </w:rPr>
        <w:t xml:space="preserve"> de dos mil veinticuatro,</w:t>
      </w:r>
      <w:r w:rsidRPr="00652E2C">
        <w:rPr>
          <w:rFonts w:ascii="Palatino Linotype" w:eastAsia="Palatino Linotype" w:hAnsi="Palatino Linotype" w:cs="Palatino Linotype"/>
          <w:sz w:val="22"/>
          <w:szCs w:val="22"/>
        </w:rPr>
        <w:t xml:space="preserve"> la </w:t>
      </w:r>
      <w:r w:rsidRPr="00652E2C">
        <w:rPr>
          <w:rFonts w:ascii="Palatino Linotype" w:eastAsia="Palatino Linotype" w:hAnsi="Palatino Linotype" w:cs="Palatino Linotype"/>
          <w:b/>
          <w:sz w:val="22"/>
          <w:szCs w:val="22"/>
        </w:rPr>
        <w:t>parte</w:t>
      </w:r>
      <w:r w:rsidRPr="00652E2C">
        <w:rPr>
          <w:rFonts w:ascii="Palatino Linotype" w:eastAsia="Palatino Linotype" w:hAnsi="Palatino Linotype" w:cs="Palatino Linotype"/>
          <w:sz w:val="22"/>
          <w:szCs w:val="22"/>
        </w:rPr>
        <w:t xml:space="preserve"> </w:t>
      </w:r>
      <w:r w:rsidRPr="00652E2C">
        <w:rPr>
          <w:rFonts w:ascii="Palatino Linotype" w:eastAsia="Palatino Linotype" w:hAnsi="Palatino Linotype" w:cs="Palatino Linotype"/>
          <w:b/>
          <w:sz w:val="22"/>
          <w:szCs w:val="22"/>
        </w:rPr>
        <w:t>Recurrente</w:t>
      </w:r>
      <w:r w:rsidRPr="00652E2C">
        <w:rPr>
          <w:rFonts w:ascii="Palatino Linotype" w:eastAsia="Palatino Linotype" w:hAnsi="Palatino Linotype" w:cs="Palatino Linotype"/>
          <w:sz w:val="22"/>
          <w:szCs w:val="22"/>
        </w:rPr>
        <w:t xml:space="preserve"> interpuso el recurso de revisión a través de </w:t>
      </w:r>
      <w:r w:rsidRPr="00652E2C">
        <w:rPr>
          <w:rFonts w:ascii="Palatino Linotype" w:eastAsia="Palatino Linotype" w:hAnsi="Palatino Linotype" w:cs="Palatino Linotype"/>
          <w:b/>
          <w:sz w:val="22"/>
          <w:szCs w:val="22"/>
        </w:rPr>
        <w:t xml:space="preserve">SAIMEX, </w:t>
      </w:r>
      <w:r w:rsidRPr="00652E2C">
        <w:rPr>
          <w:rFonts w:ascii="Palatino Linotype" w:eastAsia="Palatino Linotype" w:hAnsi="Palatino Linotype" w:cs="Palatino Linotype"/>
          <w:sz w:val="22"/>
          <w:szCs w:val="22"/>
        </w:rPr>
        <w:t>en donde se manifestó de la siguiente manera:</w:t>
      </w:r>
    </w:p>
    <w:p w14:paraId="42765441" w14:textId="77777777" w:rsidR="007601E8" w:rsidRPr="00652E2C" w:rsidRDefault="00DA5AD2">
      <w:pPr>
        <w:tabs>
          <w:tab w:val="left" w:pos="2745"/>
        </w:tabs>
        <w:spacing w:before="240" w:after="240" w:line="276" w:lineRule="auto"/>
        <w:ind w:left="567" w:right="900"/>
        <w:jc w:val="both"/>
        <w:rPr>
          <w:rFonts w:ascii="Palatino Linotype" w:eastAsia="Palatino Linotype" w:hAnsi="Palatino Linotype" w:cs="Palatino Linotype"/>
          <w:b/>
        </w:rPr>
      </w:pPr>
      <w:r w:rsidRPr="00652E2C">
        <w:rPr>
          <w:rFonts w:ascii="Palatino Linotype" w:eastAsia="Palatino Linotype" w:hAnsi="Palatino Linotype" w:cs="Palatino Linotype"/>
          <w:b/>
          <w:sz w:val="22"/>
          <w:szCs w:val="22"/>
        </w:rPr>
        <w:t xml:space="preserve">a) Acto impugnado: </w:t>
      </w:r>
      <w:r w:rsidRPr="00652E2C">
        <w:rPr>
          <w:rFonts w:ascii="Palatino Linotype" w:eastAsia="Palatino Linotype" w:hAnsi="Palatino Linotype" w:cs="Palatino Linotype"/>
          <w:i/>
          <w:sz w:val="22"/>
          <w:szCs w:val="22"/>
        </w:rPr>
        <w:t>“</w:t>
      </w:r>
      <w:r w:rsidR="00641B80" w:rsidRPr="00652E2C">
        <w:rPr>
          <w:rFonts w:ascii="Palatino Linotype" w:eastAsia="Palatino Linotype" w:hAnsi="Palatino Linotype" w:cs="Palatino Linotype"/>
          <w:b/>
          <w:i/>
          <w:sz w:val="22"/>
          <w:szCs w:val="22"/>
          <w:u w:val="single"/>
        </w:rPr>
        <w:t>No se realizó la búsqueda exhaustiva, favor de proporcionar la información que se solicita de manera completa</w:t>
      </w:r>
      <w:r w:rsidR="00641B80" w:rsidRPr="00652E2C">
        <w:rPr>
          <w:rFonts w:ascii="Palatino Linotype" w:eastAsia="Palatino Linotype" w:hAnsi="Palatino Linotype" w:cs="Palatino Linotype"/>
          <w:i/>
          <w:sz w:val="22"/>
          <w:szCs w:val="22"/>
        </w:rPr>
        <w:t>, la solicitud a la letra dice "Se solicitan todos los correos electrónicos que remitió la C. Luz María Cuero Hernández, como Directora de Área de la Dirección General de Evaluación del Desempeño Institucional de la Secretaría de Finanzas del Gobierno del Estado de México, respaldos que obran en la Unidad de Tecnologías de Información y Comunicaciones, por lo que se requieren todos los recibidos y enviados.</w:t>
      </w:r>
      <w:r w:rsidRPr="00652E2C">
        <w:rPr>
          <w:rFonts w:ascii="Palatino Linotype" w:eastAsia="Palatino Linotype" w:hAnsi="Palatino Linotype" w:cs="Palatino Linotype"/>
          <w:i/>
          <w:sz w:val="22"/>
          <w:szCs w:val="22"/>
        </w:rPr>
        <w:t>” (Sic)</w:t>
      </w:r>
    </w:p>
    <w:p w14:paraId="508B148F" w14:textId="77777777" w:rsidR="007601E8" w:rsidRPr="00652E2C" w:rsidRDefault="00DA5AD2">
      <w:pPr>
        <w:spacing w:line="276" w:lineRule="auto"/>
        <w:ind w:left="567" w:right="900"/>
        <w:jc w:val="both"/>
        <w:rPr>
          <w:rFonts w:ascii="Palatino Linotype" w:eastAsia="Palatino Linotype" w:hAnsi="Palatino Linotype" w:cs="Palatino Linotype"/>
          <w:i/>
          <w:sz w:val="22"/>
          <w:szCs w:val="22"/>
        </w:rPr>
      </w:pPr>
      <w:bookmarkStart w:id="3" w:name="_heading=h.30j0zll" w:colFirst="0" w:colLast="0"/>
      <w:bookmarkEnd w:id="3"/>
      <w:r w:rsidRPr="00652E2C">
        <w:rPr>
          <w:rFonts w:ascii="Palatino Linotype" w:eastAsia="Palatino Linotype" w:hAnsi="Palatino Linotype" w:cs="Palatino Linotype"/>
          <w:b/>
          <w:sz w:val="22"/>
          <w:szCs w:val="22"/>
        </w:rPr>
        <w:t>b) Razones o motivos de inconformidad</w:t>
      </w:r>
      <w:r w:rsidRPr="00652E2C">
        <w:rPr>
          <w:rFonts w:ascii="Palatino Linotype" w:eastAsia="Palatino Linotype" w:hAnsi="Palatino Linotype" w:cs="Palatino Linotype"/>
          <w:sz w:val="22"/>
          <w:szCs w:val="22"/>
        </w:rPr>
        <w:t xml:space="preserve">: </w:t>
      </w:r>
      <w:r w:rsidR="00FA2E88" w:rsidRPr="00652E2C">
        <w:rPr>
          <w:rFonts w:ascii="Palatino Linotype" w:eastAsia="Palatino Linotype" w:hAnsi="Palatino Linotype" w:cs="Palatino Linotype"/>
          <w:sz w:val="22"/>
          <w:szCs w:val="22"/>
        </w:rPr>
        <w:t>“</w:t>
      </w:r>
      <w:r w:rsidR="00641B80" w:rsidRPr="00652E2C">
        <w:rPr>
          <w:rFonts w:ascii="Palatino Linotype" w:eastAsia="Palatino Linotype" w:hAnsi="Palatino Linotype" w:cs="Palatino Linotype"/>
          <w:i/>
          <w:sz w:val="22"/>
          <w:szCs w:val="22"/>
        </w:rPr>
        <w:t xml:space="preserve">Se solicitan todos los correos electrónicos que remitió la C. Luz María Cuero Hernández, como </w:t>
      </w:r>
      <w:proofErr w:type="gramStart"/>
      <w:r w:rsidR="00641B80" w:rsidRPr="00652E2C">
        <w:rPr>
          <w:rFonts w:ascii="Palatino Linotype" w:eastAsia="Palatino Linotype" w:hAnsi="Palatino Linotype" w:cs="Palatino Linotype"/>
          <w:i/>
          <w:sz w:val="22"/>
          <w:szCs w:val="22"/>
        </w:rPr>
        <w:t>Directora</w:t>
      </w:r>
      <w:proofErr w:type="gramEnd"/>
      <w:r w:rsidR="00641B80" w:rsidRPr="00652E2C">
        <w:rPr>
          <w:rFonts w:ascii="Palatino Linotype" w:eastAsia="Palatino Linotype" w:hAnsi="Palatino Linotype" w:cs="Palatino Linotype"/>
          <w:i/>
          <w:sz w:val="22"/>
          <w:szCs w:val="22"/>
        </w:rPr>
        <w:t xml:space="preserve"> de Área de la Dirección General de Evaluación del Desempeño Institucional de la Secretaría de Finanzas del Gobierno del Estado de México, respaldos que obran en la Unidad de Tecnologías de Información y Comunicaciones, por lo que se requieren todos los recibidos y enviados.</w:t>
      </w:r>
      <w:r w:rsidRPr="00652E2C">
        <w:rPr>
          <w:rFonts w:ascii="Palatino Linotype" w:eastAsia="Palatino Linotype" w:hAnsi="Palatino Linotype" w:cs="Palatino Linotype"/>
          <w:i/>
          <w:sz w:val="22"/>
          <w:szCs w:val="22"/>
        </w:rPr>
        <w:t>” (Sic)</w:t>
      </w:r>
    </w:p>
    <w:p w14:paraId="02A08EB7" w14:textId="77777777" w:rsidR="007601E8" w:rsidRPr="00652E2C" w:rsidRDefault="007601E8">
      <w:pPr>
        <w:spacing w:line="276" w:lineRule="auto"/>
        <w:ind w:left="567" w:right="900"/>
        <w:jc w:val="both"/>
        <w:rPr>
          <w:rFonts w:ascii="Palatino Linotype" w:eastAsia="Palatino Linotype" w:hAnsi="Palatino Linotype" w:cs="Palatino Linotype"/>
        </w:rPr>
      </w:pPr>
    </w:p>
    <w:p w14:paraId="648FB102" w14:textId="77777777" w:rsidR="007601E8" w:rsidRPr="00652E2C" w:rsidRDefault="00DA5AD2">
      <w:pPr>
        <w:spacing w:before="240" w:after="240" w:line="360" w:lineRule="auto"/>
        <w:ind w:right="51"/>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b/>
          <w:sz w:val="22"/>
          <w:szCs w:val="22"/>
        </w:rPr>
        <w:lastRenderedPageBreak/>
        <w:t xml:space="preserve">4. Turno. </w:t>
      </w:r>
      <w:r w:rsidRPr="00652E2C">
        <w:rPr>
          <w:rFonts w:ascii="Palatino Linotype" w:eastAsia="Palatino Linotype" w:hAnsi="Palatino Linotype" w:cs="Palatino Linotype"/>
          <w:sz w:val="22"/>
          <w:szCs w:val="22"/>
        </w:rPr>
        <w:t xml:space="preserve">De conformidad con el artículo 185 fracción I de la Ley de Transparencia y Acceso a la Información Pública del Estado de México y Municipios vigente, el presente recurso de revisión se turnó por el sistema electrónico del Instituto de Transparencia, Acceso a la Información Pública y Protección de Datos Personales del Estado de México y Municipios, a la Comisionada </w:t>
      </w:r>
      <w:r w:rsidRPr="00652E2C">
        <w:rPr>
          <w:rFonts w:ascii="Palatino Linotype" w:eastAsia="Palatino Linotype" w:hAnsi="Palatino Linotype" w:cs="Palatino Linotype"/>
          <w:b/>
          <w:sz w:val="22"/>
          <w:szCs w:val="22"/>
        </w:rPr>
        <w:t xml:space="preserve">Guadalupe Ramírez Peña, </w:t>
      </w:r>
      <w:r w:rsidRPr="00652E2C">
        <w:rPr>
          <w:rFonts w:ascii="Palatino Linotype" w:eastAsia="Palatino Linotype" w:hAnsi="Palatino Linotype" w:cs="Palatino Linotype"/>
          <w:sz w:val="22"/>
          <w:szCs w:val="22"/>
        </w:rPr>
        <w:t xml:space="preserve">a efecto de que analizara sobre su admisión o su </w:t>
      </w:r>
      <w:proofErr w:type="spellStart"/>
      <w:r w:rsidRPr="00652E2C">
        <w:rPr>
          <w:rFonts w:ascii="Palatino Linotype" w:eastAsia="Palatino Linotype" w:hAnsi="Palatino Linotype" w:cs="Palatino Linotype"/>
          <w:sz w:val="22"/>
          <w:szCs w:val="22"/>
        </w:rPr>
        <w:t>desechamiento</w:t>
      </w:r>
      <w:proofErr w:type="spellEnd"/>
      <w:r w:rsidRPr="00652E2C">
        <w:rPr>
          <w:rFonts w:ascii="Palatino Linotype" w:eastAsia="Palatino Linotype" w:hAnsi="Palatino Linotype" w:cs="Palatino Linotype"/>
          <w:sz w:val="22"/>
          <w:szCs w:val="22"/>
        </w:rPr>
        <w:t>.</w:t>
      </w:r>
    </w:p>
    <w:p w14:paraId="77869236" w14:textId="77777777" w:rsidR="007601E8" w:rsidRPr="00652E2C" w:rsidRDefault="00DA5AD2">
      <w:pP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b/>
          <w:sz w:val="22"/>
          <w:szCs w:val="22"/>
        </w:rPr>
        <w:t>5. Admisión del Recurso de revisión.</w:t>
      </w:r>
      <w:r w:rsidRPr="00652E2C">
        <w:rPr>
          <w:rFonts w:ascii="Palatino Linotype" w:eastAsia="Palatino Linotype" w:hAnsi="Palatino Linotype" w:cs="Palatino Linotype"/>
          <w:sz w:val="22"/>
          <w:szCs w:val="22"/>
        </w:rPr>
        <w:t xml:space="preserve"> El</w:t>
      </w:r>
      <w:r w:rsidRPr="00652E2C">
        <w:rPr>
          <w:rFonts w:ascii="Palatino Linotype" w:eastAsia="Palatino Linotype" w:hAnsi="Palatino Linotype" w:cs="Palatino Linotype"/>
          <w:b/>
          <w:sz w:val="22"/>
          <w:szCs w:val="22"/>
        </w:rPr>
        <w:t xml:space="preserve"> </w:t>
      </w:r>
      <w:r w:rsidR="00641B80" w:rsidRPr="00652E2C">
        <w:rPr>
          <w:rFonts w:ascii="Palatino Linotype" w:eastAsia="Palatino Linotype" w:hAnsi="Palatino Linotype" w:cs="Palatino Linotype"/>
          <w:b/>
          <w:sz w:val="22"/>
          <w:szCs w:val="22"/>
        </w:rPr>
        <w:t>treinta de septiembre</w:t>
      </w:r>
      <w:r w:rsidR="00E82AE4" w:rsidRPr="00652E2C">
        <w:rPr>
          <w:rFonts w:ascii="Palatino Linotype" w:eastAsia="Palatino Linotype" w:hAnsi="Palatino Linotype" w:cs="Palatino Linotype"/>
          <w:b/>
          <w:sz w:val="22"/>
          <w:szCs w:val="22"/>
        </w:rPr>
        <w:t xml:space="preserve"> </w:t>
      </w:r>
      <w:r w:rsidRPr="00652E2C">
        <w:rPr>
          <w:rFonts w:ascii="Palatino Linotype" w:eastAsia="Palatino Linotype" w:hAnsi="Palatino Linotype" w:cs="Palatino Linotype"/>
          <w:b/>
          <w:sz w:val="22"/>
          <w:szCs w:val="22"/>
        </w:rPr>
        <w:t xml:space="preserve">de dos mil veinticuatro, </w:t>
      </w:r>
      <w:r w:rsidRPr="00652E2C">
        <w:rPr>
          <w:rFonts w:ascii="Palatino Linotype" w:eastAsia="Palatino Linotype" w:hAnsi="Palatino Linotype" w:cs="Palatino Linotype"/>
          <w:sz w:val="22"/>
          <w:szCs w:val="22"/>
        </w:rPr>
        <w:t xml:space="preserve">este Instituto de Transparencia, Acceso a la Información Pública y Protección de Datos Personales del Estado de México y Municipios, admitió a trámite el recurso de revisión que ahora se resuelve, dando un plazo máximo de siete días hábiles para que las partes manifestaran lo que a su derecho resultara conveniente, ofrecieran pruebas, formularan alegatos y el </w:t>
      </w:r>
      <w:r w:rsidRPr="00652E2C">
        <w:rPr>
          <w:rFonts w:ascii="Palatino Linotype" w:eastAsia="Palatino Linotype" w:hAnsi="Palatino Linotype" w:cs="Palatino Linotype"/>
          <w:b/>
          <w:sz w:val="22"/>
          <w:szCs w:val="22"/>
        </w:rPr>
        <w:t xml:space="preserve">Sujeto Obligado </w:t>
      </w:r>
      <w:r w:rsidRPr="00652E2C">
        <w:rPr>
          <w:rFonts w:ascii="Palatino Linotype" w:eastAsia="Palatino Linotype" w:hAnsi="Palatino Linotype" w:cs="Palatino Linotype"/>
          <w:sz w:val="22"/>
          <w:szCs w:val="22"/>
        </w:rPr>
        <w:t>presentara su informe justificado.</w:t>
      </w:r>
    </w:p>
    <w:p w14:paraId="00A41576" w14:textId="77777777" w:rsidR="00FA2E88" w:rsidRPr="00652E2C" w:rsidRDefault="00DA5AD2">
      <w:pPr>
        <w:pBdr>
          <w:top w:val="nil"/>
          <w:left w:val="nil"/>
          <w:bottom w:val="nil"/>
          <w:right w:val="nil"/>
          <w:between w:val="nil"/>
        </w:pBdr>
        <w:tabs>
          <w:tab w:val="left" w:pos="284"/>
        </w:tabs>
        <w:spacing w:line="360" w:lineRule="auto"/>
        <w:ind w:right="49"/>
        <w:jc w:val="both"/>
        <w:rPr>
          <w:rFonts w:ascii="Palatino Linotype" w:eastAsia="Palatino Linotype" w:hAnsi="Palatino Linotype" w:cs="Palatino Linotype"/>
          <w:sz w:val="22"/>
          <w:szCs w:val="22"/>
        </w:rPr>
      </w:pPr>
      <w:bookmarkStart w:id="4" w:name="_heading=h.2s8eyo1" w:colFirst="0" w:colLast="0"/>
      <w:bookmarkEnd w:id="4"/>
      <w:r w:rsidRPr="00652E2C">
        <w:rPr>
          <w:rFonts w:ascii="Palatino Linotype" w:eastAsia="Palatino Linotype" w:hAnsi="Palatino Linotype" w:cs="Palatino Linotype"/>
          <w:b/>
          <w:sz w:val="22"/>
          <w:szCs w:val="22"/>
        </w:rPr>
        <w:t>6. Manifestaciones e Informe Justificado</w:t>
      </w:r>
      <w:r w:rsidRPr="00652E2C">
        <w:rPr>
          <w:rFonts w:ascii="Palatino Linotype" w:eastAsia="Palatino Linotype" w:hAnsi="Palatino Linotype" w:cs="Palatino Linotype"/>
          <w:sz w:val="22"/>
          <w:szCs w:val="22"/>
        </w:rPr>
        <w:t xml:space="preserve">. De las constancias que integran el expediente en que se actúa se advierte </w:t>
      </w:r>
      <w:proofErr w:type="gramStart"/>
      <w:r w:rsidRPr="00652E2C">
        <w:rPr>
          <w:rFonts w:ascii="Palatino Linotype" w:eastAsia="Palatino Linotype" w:hAnsi="Palatino Linotype" w:cs="Palatino Linotype"/>
          <w:sz w:val="22"/>
          <w:szCs w:val="22"/>
        </w:rPr>
        <w:t>que</w:t>
      </w:r>
      <w:proofErr w:type="gramEnd"/>
      <w:r w:rsidRPr="00652E2C">
        <w:rPr>
          <w:rFonts w:ascii="Palatino Linotype" w:eastAsia="Palatino Linotype" w:hAnsi="Palatino Linotype" w:cs="Palatino Linotype"/>
          <w:sz w:val="22"/>
          <w:szCs w:val="22"/>
        </w:rPr>
        <w:t xml:space="preserve"> durante el periodo de manifestaciones e informe justificado, </w:t>
      </w:r>
      <w:r w:rsidR="003667D3" w:rsidRPr="00652E2C">
        <w:rPr>
          <w:rFonts w:ascii="Palatino Linotype" w:eastAsia="Palatino Linotype" w:hAnsi="Palatino Linotype" w:cs="Palatino Linotype"/>
          <w:sz w:val="22"/>
          <w:szCs w:val="22"/>
        </w:rPr>
        <w:t xml:space="preserve">el </w:t>
      </w:r>
      <w:r w:rsidR="003667D3" w:rsidRPr="00652E2C">
        <w:rPr>
          <w:rFonts w:ascii="Palatino Linotype" w:eastAsia="Palatino Linotype" w:hAnsi="Palatino Linotype" w:cs="Palatino Linotype"/>
          <w:b/>
          <w:sz w:val="22"/>
          <w:szCs w:val="22"/>
        </w:rPr>
        <w:t>Sujeto Obligado</w:t>
      </w:r>
      <w:r w:rsidR="003667D3" w:rsidRPr="00652E2C">
        <w:rPr>
          <w:rFonts w:ascii="Palatino Linotype" w:eastAsia="Palatino Linotype" w:hAnsi="Palatino Linotype" w:cs="Palatino Linotype"/>
          <w:sz w:val="22"/>
          <w:szCs w:val="22"/>
        </w:rPr>
        <w:t xml:space="preserve"> adjuntó los documentos “</w:t>
      </w:r>
      <w:r w:rsidR="003667D3" w:rsidRPr="00652E2C">
        <w:rPr>
          <w:rFonts w:ascii="Palatino Linotype" w:eastAsia="Palatino Linotype" w:hAnsi="Palatino Linotype" w:cs="Palatino Linotype"/>
          <w:b/>
          <w:i/>
          <w:sz w:val="22"/>
          <w:szCs w:val="22"/>
        </w:rPr>
        <w:t>RR 05854-2024 INFORME JUSTIFICADO.pdf”</w:t>
      </w:r>
      <w:r w:rsidR="003667D3" w:rsidRPr="00652E2C">
        <w:rPr>
          <w:rFonts w:ascii="Palatino Linotype" w:eastAsia="Palatino Linotype" w:hAnsi="Palatino Linotype" w:cs="Palatino Linotype"/>
          <w:sz w:val="22"/>
          <w:szCs w:val="22"/>
        </w:rPr>
        <w:t xml:space="preserve"> y “</w:t>
      </w:r>
      <w:r w:rsidR="003667D3" w:rsidRPr="00652E2C">
        <w:rPr>
          <w:rFonts w:ascii="Palatino Linotype" w:eastAsia="Palatino Linotype" w:hAnsi="Palatino Linotype" w:cs="Palatino Linotype"/>
          <w:b/>
          <w:i/>
          <w:sz w:val="22"/>
          <w:szCs w:val="22"/>
        </w:rPr>
        <w:t xml:space="preserve">RR 05854-2024 SPP.pdf”, </w:t>
      </w:r>
      <w:r w:rsidR="003667D3" w:rsidRPr="00652E2C">
        <w:rPr>
          <w:rFonts w:ascii="Palatino Linotype" w:eastAsia="Palatino Linotype" w:hAnsi="Palatino Linotype" w:cs="Palatino Linotype"/>
          <w:sz w:val="22"/>
          <w:szCs w:val="22"/>
        </w:rPr>
        <w:t xml:space="preserve">los cuales medularmente ratifican la respuesta emitida inicialmente, asimismo por cuanto hace a </w:t>
      </w:r>
      <w:r w:rsidR="003667D3" w:rsidRPr="00652E2C">
        <w:rPr>
          <w:rFonts w:ascii="Palatino Linotype" w:eastAsia="Palatino Linotype" w:hAnsi="Palatino Linotype" w:cs="Palatino Linotype"/>
          <w:b/>
          <w:sz w:val="22"/>
          <w:szCs w:val="22"/>
        </w:rPr>
        <w:t>la parte Recurrente</w:t>
      </w:r>
      <w:r w:rsidR="003667D3" w:rsidRPr="00652E2C">
        <w:rPr>
          <w:rFonts w:ascii="Palatino Linotype" w:eastAsia="Palatino Linotype" w:hAnsi="Palatino Linotype" w:cs="Palatino Linotype"/>
          <w:sz w:val="22"/>
          <w:szCs w:val="22"/>
        </w:rPr>
        <w:t xml:space="preserve">, se tiene que esta fue omisa </w:t>
      </w:r>
      <w:r w:rsidRPr="00652E2C">
        <w:rPr>
          <w:rFonts w:ascii="Palatino Linotype" w:eastAsia="Palatino Linotype" w:hAnsi="Palatino Linotype" w:cs="Palatino Linotype"/>
          <w:sz w:val="22"/>
          <w:szCs w:val="22"/>
        </w:rPr>
        <w:t>en remitir documento alguno</w:t>
      </w:r>
      <w:r w:rsidR="00FA2E88" w:rsidRPr="00652E2C">
        <w:rPr>
          <w:rFonts w:ascii="Palatino Linotype" w:eastAsia="Palatino Linotype" w:hAnsi="Palatino Linotype" w:cs="Palatino Linotype"/>
          <w:noProof/>
        </w:rPr>
        <w:t xml:space="preserve">, </w:t>
      </w:r>
      <w:r w:rsidR="00FA2E88" w:rsidRPr="00652E2C">
        <w:rPr>
          <w:rFonts w:ascii="Palatino Linotype" w:eastAsia="Palatino Linotype" w:hAnsi="Palatino Linotype" w:cs="Palatino Linotype"/>
          <w:noProof/>
          <w:sz w:val="22"/>
        </w:rPr>
        <w:t xml:space="preserve">tal como se desprende de la siguiente ilustración: </w:t>
      </w:r>
    </w:p>
    <w:p w14:paraId="31D7FC73" w14:textId="77777777" w:rsidR="003667D3" w:rsidRPr="00652E2C" w:rsidRDefault="003667D3" w:rsidP="003667D3">
      <w:pPr>
        <w:pBdr>
          <w:top w:val="nil"/>
          <w:left w:val="nil"/>
          <w:bottom w:val="nil"/>
          <w:right w:val="nil"/>
          <w:between w:val="nil"/>
        </w:pBdr>
        <w:tabs>
          <w:tab w:val="left" w:pos="284"/>
        </w:tabs>
        <w:spacing w:line="360" w:lineRule="auto"/>
        <w:ind w:right="49"/>
        <w:jc w:val="center"/>
        <w:rPr>
          <w:rFonts w:ascii="Palatino Linotype" w:eastAsia="Palatino Linotype" w:hAnsi="Palatino Linotype" w:cs="Palatino Linotype"/>
          <w:noProof/>
          <w:sz w:val="22"/>
        </w:rPr>
      </w:pPr>
      <w:r w:rsidRPr="00652E2C">
        <w:rPr>
          <w:rFonts w:ascii="Palatino Linotype" w:eastAsia="Palatino Linotype" w:hAnsi="Palatino Linotype" w:cs="Palatino Linotype"/>
          <w:noProof/>
          <w:sz w:val="22"/>
        </w:rPr>
        <w:drawing>
          <wp:inline distT="0" distB="0" distL="0" distR="0" wp14:anchorId="39DFE0B3" wp14:editId="5CBC0226">
            <wp:extent cx="4297632" cy="1847850"/>
            <wp:effectExtent l="0" t="0" r="825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341991" cy="1866923"/>
                    </a:xfrm>
                    <a:prstGeom prst="rect">
                      <a:avLst/>
                    </a:prstGeom>
                  </pic:spPr>
                </pic:pic>
              </a:graphicData>
            </a:graphic>
          </wp:inline>
        </w:drawing>
      </w:r>
    </w:p>
    <w:p w14:paraId="45FCA48A" w14:textId="77777777" w:rsidR="007601E8" w:rsidRPr="00652E2C" w:rsidRDefault="00DA5AD2" w:rsidP="00F95938">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b/>
          <w:sz w:val="22"/>
          <w:szCs w:val="22"/>
        </w:rPr>
        <w:lastRenderedPageBreak/>
        <w:t xml:space="preserve">7. Cierre de instrucción. </w:t>
      </w:r>
      <w:r w:rsidRPr="00652E2C">
        <w:rPr>
          <w:rFonts w:ascii="Palatino Linotype" w:eastAsia="Palatino Linotype" w:hAnsi="Palatino Linotype" w:cs="Palatino Linotype"/>
          <w:sz w:val="22"/>
          <w:szCs w:val="22"/>
        </w:rPr>
        <w:t xml:space="preserve">Una vez transcurrido el periodo otorgado a las partes para realizar sus manifestaciones y no habiendo documentos que integrar al expediente, el </w:t>
      </w:r>
      <w:r w:rsidR="003667D3" w:rsidRPr="00652E2C">
        <w:rPr>
          <w:rFonts w:ascii="Palatino Linotype" w:eastAsia="Palatino Linotype" w:hAnsi="Palatino Linotype" w:cs="Palatino Linotype"/>
          <w:b/>
          <w:sz w:val="22"/>
          <w:szCs w:val="22"/>
        </w:rPr>
        <w:t>veintinueve</w:t>
      </w:r>
      <w:r w:rsidR="00F95938" w:rsidRPr="00652E2C">
        <w:rPr>
          <w:rFonts w:ascii="Palatino Linotype" w:eastAsia="Palatino Linotype" w:hAnsi="Palatino Linotype" w:cs="Palatino Linotype"/>
          <w:b/>
          <w:sz w:val="22"/>
          <w:szCs w:val="22"/>
        </w:rPr>
        <w:t xml:space="preserve"> de octu</w:t>
      </w:r>
      <w:r w:rsidRPr="00652E2C">
        <w:rPr>
          <w:rFonts w:ascii="Palatino Linotype" w:eastAsia="Palatino Linotype" w:hAnsi="Palatino Linotype" w:cs="Palatino Linotype"/>
          <w:b/>
          <w:sz w:val="22"/>
          <w:szCs w:val="22"/>
        </w:rPr>
        <w:t>bre de dos mil veinticuatro,</w:t>
      </w:r>
      <w:r w:rsidRPr="00652E2C">
        <w:rPr>
          <w:rFonts w:ascii="Palatino Linotype" w:eastAsia="Palatino Linotype" w:hAnsi="Palatino Linotype" w:cs="Palatino Linotype"/>
          <w:sz w:val="22"/>
          <w:szCs w:val="22"/>
        </w:rPr>
        <w:t xml:space="preserve"> la Comisionada Ponente determinó el cierre de instrucción en términos de la fracción VI del artículo 185 de la Ley de Transparencia y Acceso a la Información Pública del Estado de México y Municipios.</w:t>
      </w:r>
    </w:p>
    <w:p w14:paraId="08412288" w14:textId="77777777" w:rsidR="007601E8" w:rsidRPr="00652E2C" w:rsidRDefault="00DA5AD2">
      <w:pP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 xml:space="preserve">En razón de que fue debidamente sustanciado el expediente electrónico y no existe diligencia pendiente de desahogo, se emite la Resolución que conforme a Derecho proceda, de acuerdo con los siguientes: </w:t>
      </w:r>
    </w:p>
    <w:p w14:paraId="45D675DA" w14:textId="77777777" w:rsidR="007601E8" w:rsidRPr="00652E2C" w:rsidRDefault="00DA5AD2">
      <w:pPr>
        <w:widowControl w:val="0"/>
        <w:spacing w:before="240" w:after="240" w:line="360" w:lineRule="auto"/>
        <w:jc w:val="center"/>
        <w:rPr>
          <w:rFonts w:ascii="Palatino Linotype" w:eastAsia="Palatino Linotype" w:hAnsi="Palatino Linotype" w:cs="Palatino Linotype"/>
          <w:b/>
        </w:rPr>
      </w:pPr>
      <w:r w:rsidRPr="00652E2C">
        <w:rPr>
          <w:rFonts w:ascii="Palatino Linotype" w:eastAsia="Palatino Linotype" w:hAnsi="Palatino Linotype" w:cs="Palatino Linotype"/>
          <w:b/>
        </w:rPr>
        <w:t>II. C O N S I D E R A N D O S</w:t>
      </w:r>
    </w:p>
    <w:p w14:paraId="4F73F9BF" w14:textId="77777777" w:rsidR="007601E8" w:rsidRPr="00652E2C" w:rsidRDefault="00DA5AD2">
      <w:pP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b/>
          <w:sz w:val="22"/>
          <w:szCs w:val="22"/>
        </w:rPr>
        <w:t>Primero. Competencia.</w:t>
      </w:r>
      <w:r w:rsidRPr="00652E2C">
        <w:rPr>
          <w:rFonts w:ascii="Palatino Linotype" w:eastAsia="Palatino Linotype" w:hAnsi="Palatino Linotype" w:cs="Palatino Linotype"/>
          <w:sz w:val="22"/>
          <w:szCs w:val="22"/>
        </w:rPr>
        <w:t xml:space="preserve"> 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6, apartado A de la Constitución Política de los Estados Unidos Mexicanos; 5 párrafo</w:t>
      </w:r>
      <w:r w:rsidR="003667D3" w:rsidRPr="00652E2C">
        <w:rPr>
          <w:rFonts w:ascii="Palatino Linotype" w:eastAsia="Palatino Linotype" w:hAnsi="Palatino Linotype" w:cs="Palatino Linotype"/>
          <w:sz w:val="22"/>
          <w:szCs w:val="22"/>
        </w:rPr>
        <w:t>s trigésimo tercero, trigésimo cuarto y trigésimo quin</w:t>
      </w:r>
      <w:r w:rsidRPr="00652E2C">
        <w:rPr>
          <w:rFonts w:ascii="Palatino Linotype" w:eastAsia="Palatino Linotype" w:hAnsi="Palatino Linotype" w:cs="Palatino Linotype"/>
          <w:sz w:val="22"/>
          <w:szCs w:val="22"/>
        </w:rPr>
        <w:t>to fracciones IV y V de la Constitución Política del Estado Libre y Soberano de México; 2, fracción II; 29, 36 fracciones I y II; 176, 178, 181, 185, fracción I, 186 y 188 de la Ley Transparencia y Acceso a la Información Pública del Estado de México y Municipios; 9, fracciones I y XXIII y 11 del Reglamento Interior del Instituto de Transparencia, Acceso a la Información Pública y Protección de Datos Personales del Estado de México y Municipios.</w:t>
      </w:r>
    </w:p>
    <w:p w14:paraId="2F40EE27" w14:textId="77777777" w:rsidR="007601E8" w:rsidRPr="00652E2C" w:rsidRDefault="00DA5AD2">
      <w:pPr>
        <w:spacing w:before="240" w:after="240" w:line="360" w:lineRule="auto"/>
        <w:jc w:val="both"/>
        <w:rPr>
          <w:rFonts w:ascii="Palatino Linotype" w:eastAsia="Palatino Linotype" w:hAnsi="Palatino Linotype" w:cs="Palatino Linotype"/>
          <w:sz w:val="22"/>
          <w:szCs w:val="22"/>
        </w:rPr>
      </w:pPr>
      <w:bookmarkStart w:id="5" w:name="_heading=h.tyjcwt" w:colFirst="0" w:colLast="0"/>
      <w:bookmarkEnd w:id="5"/>
      <w:r w:rsidRPr="00652E2C">
        <w:rPr>
          <w:rFonts w:ascii="Palatino Linotype" w:eastAsia="Palatino Linotype" w:hAnsi="Palatino Linotype" w:cs="Palatino Linotype"/>
          <w:b/>
          <w:sz w:val="22"/>
          <w:szCs w:val="22"/>
        </w:rPr>
        <w:t>Segundo. Oportunidad y Procedibilidad del Recurso de Revisión</w:t>
      </w:r>
      <w:r w:rsidRPr="00652E2C">
        <w:rPr>
          <w:rFonts w:ascii="Palatino Linotype" w:eastAsia="Palatino Linotype" w:hAnsi="Palatino Linotype" w:cs="Palatino Linotype"/>
          <w:sz w:val="22"/>
          <w:szCs w:val="22"/>
        </w:rPr>
        <w:t>. Previo al estudio del fondo del asunto, se procede a analizar los requisitos de oportunidad y procedibilidad que debe reunir el recurso de revisión interpuesto, previstos en los artículos 178 y 180 de la Ley de Transparencia y Acceso a la Información Pública del Estado de México y Municipios.</w:t>
      </w:r>
    </w:p>
    <w:p w14:paraId="68FD18DF" w14:textId="77777777" w:rsidR="007601E8" w:rsidRPr="00652E2C" w:rsidRDefault="00DA5AD2">
      <w:pP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lastRenderedPageBreak/>
        <w:t xml:space="preserve">El recurso de revisión fue interpuesto dentro del plazo de quince días hábiles, previsto en el artículo 178 de la Ley de Transparencia y Acceso a la Información Pública del Estado de México y Municipios, toda vez que el </w:t>
      </w:r>
      <w:r w:rsidRPr="00652E2C">
        <w:rPr>
          <w:rFonts w:ascii="Palatino Linotype" w:eastAsia="Palatino Linotype" w:hAnsi="Palatino Linotype" w:cs="Palatino Linotype"/>
          <w:b/>
          <w:sz w:val="22"/>
          <w:szCs w:val="22"/>
        </w:rPr>
        <w:t xml:space="preserve">Sujeto Obligado </w:t>
      </w:r>
      <w:r w:rsidRPr="00652E2C">
        <w:rPr>
          <w:rFonts w:ascii="Palatino Linotype" w:eastAsia="Palatino Linotype" w:hAnsi="Palatino Linotype" w:cs="Palatino Linotype"/>
          <w:sz w:val="22"/>
          <w:szCs w:val="22"/>
        </w:rPr>
        <w:t xml:space="preserve">remitió la respuesta a la solicitud de información el </w:t>
      </w:r>
      <w:r w:rsidR="003667D3" w:rsidRPr="00652E2C">
        <w:rPr>
          <w:rFonts w:ascii="Palatino Linotype" w:eastAsia="Palatino Linotype" w:hAnsi="Palatino Linotype" w:cs="Palatino Linotype"/>
          <w:b/>
          <w:sz w:val="22"/>
          <w:szCs w:val="22"/>
        </w:rPr>
        <w:t>veinticinco de septiembre</w:t>
      </w:r>
      <w:r w:rsidRPr="00652E2C">
        <w:rPr>
          <w:rFonts w:ascii="Palatino Linotype" w:eastAsia="Palatino Linotype" w:hAnsi="Palatino Linotype" w:cs="Palatino Linotype"/>
          <w:sz w:val="22"/>
          <w:szCs w:val="22"/>
        </w:rPr>
        <w:t xml:space="preserve"> </w:t>
      </w:r>
      <w:r w:rsidR="00F95938" w:rsidRPr="00652E2C">
        <w:rPr>
          <w:rFonts w:ascii="Palatino Linotype" w:eastAsia="Palatino Linotype" w:hAnsi="Palatino Linotype" w:cs="Palatino Linotype"/>
          <w:b/>
          <w:sz w:val="22"/>
          <w:szCs w:val="22"/>
        </w:rPr>
        <w:t>de dos mil veinticuatro</w:t>
      </w:r>
      <w:r w:rsidRPr="00652E2C">
        <w:rPr>
          <w:rFonts w:ascii="Palatino Linotype" w:eastAsia="Palatino Linotype" w:hAnsi="Palatino Linotype" w:cs="Palatino Linotype"/>
          <w:b/>
          <w:sz w:val="22"/>
          <w:szCs w:val="22"/>
        </w:rPr>
        <w:t xml:space="preserve">, </w:t>
      </w:r>
      <w:r w:rsidRPr="00652E2C">
        <w:rPr>
          <w:rFonts w:ascii="Palatino Linotype" w:eastAsia="Palatino Linotype" w:hAnsi="Palatino Linotype" w:cs="Palatino Linotype"/>
          <w:sz w:val="22"/>
          <w:szCs w:val="22"/>
        </w:rPr>
        <w:t xml:space="preserve">mientras que el recurso de revisión interpuesto por </w:t>
      </w:r>
      <w:r w:rsidRPr="00652E2C">
        <w:rPr>
          <w:rFonts w:ascii="Palatino Linotype" w:eastAsia="Palatino Linotype" w:hAnsi="Palatino Linotype" w:cs="Palatino Linotype"/>
          <w:b/>
          <w:sz w:val="22"/>
          <w:szCs w:val="22"/>
        </w:rPr>
        <w:t>la parte Recurrente</w:t>
      </w:r>
      <w:r w:rsidRPr="00652E2C">
        <w:rPr>
          <w:rFonts w:ascii="Palatino Linotype" w:eastAsia="Palatino Linotype" w:hAnsi="Palatino Linotype" w:cs="Palatino Linotype"/>
          <w:sz w:val="22"/>
          <w:szCs w:val="22"/>
        </w:rPr>
        <w:t xml:space="preserve">, se tuvo por presentado el día </w:t>
      </w:r>
      <w:r w:rsidR="003667D3" w:rsidRPr="00652E2C">
        <w:rPr>
          <w:rFonts w:ascii="Palatino Linotype" w:eastAsia="Palatino Linotype" w:hAnsi="Palatino Linotype" w:cs="Palatino Linotype"/>
          <w:b/>
          <w:sz w:val="22"/>
          <w:szCs w:val="22"/>
        </w:rPr>
        <w:t>veinticinco de septiembre</w:t>
      </w:r>
      <w:r w:rsidRPr="00652E2C">
        <w:rPr>
          <w:rFonts w:ascii="Palatino Linotype" w:eastAsia="Palatino Linotype" w:hAnsi="Palatino Linotype" w:cs="Palatino Linotype"/>
          <w:sz w:val="22"/>
          <w:szCs w:val="22"/>
        </w:rPr>
        <w:t xml:space="preserve"> </w:t>
      </w:r>
      <w:r w:rsidR="00F95938" w:rsidRPr="00652E2C">
        <w:rPr>
          <w:rFonts w:ascii="Palatino Linotype" w:eastAsia="Palatino Linotype" w:hAnsi="Palatino Linotype" w:cs="Palatino Linotype"/>
          <w:b/>
          <w:sz w:val="22"/>
          <w:szCs w:val="22"/>
        </w:rPr>
        <w:t>de dos mil veinticuatro</w:t>
      </w:r>
      <w:r w:rsidRPr="00652E2C">
        <w:rPr>
          <w:rFonts w:ascii="Palatino Linotype" w:eastAsia="Palatino Linotype" w:hAnsi="Palatino Linotype" w:cs="Palatino Linotype"/>
          <w:b/>
          <w:sz w:val="22"/>
          <w:szCs w:val="22"/>
        </w:rPr>
        <w:t xml:space="preserve">, </w:t>
      </w:r>
      <w:r w:rsidR="003667D3" w:rsidRPr="00652E2C">
        <w:rPr>
          <w:rFonts w:ascii="Palatino Linotype" w:eastAsia="Palatino Linotype" w:hAnsi="Palatino Linotype" w:cs="Palatino Linotype"/>
          <w:sz w:val="22"/>
          <w:szCs w:val="22"/>
        </w:rPr>
        <w:t>esto es, e</w:t>
      </w:r>
      <w:r w:rsidRPr="00652E2C">
        <w:rPr>
          <w:rFonts w:ascii="Palatino Linotype" w:eastAsia="Palatino Linotype" w:hAnsi="Palatino Linotype" w:cs="Palatino Linotype"/>
          <w:sz w:val="22"/>
          <w:szCs w:val="22"/>
        </w:rPr>
        <w:t xml:space="preserve">l </w:t>
      </w:r>
      <w:r w:rsidR="003667D3" w:rsidRPr="00652E2C">
        <w:rPr>
          <w:rFonts w:ascii="Palatino Linotype" w:eastAsia="Palatino Linotype" w:hAnsi="Palatino Linotype" w:cs="Palatino Linotype"/>
          <w:b/>
          <w:sz w:val="22"/>
          <w:szCs w:val="22"/>
        </w:rPr>
        <w:t>mismo</w:t>
      </w:r>
      <w:r w:rsidR="00F95938" w:rsidRPr="00652E2C">
        <w:rPr>
          <w:rFonts w:ascii="Palatino Linotype" w:eastAsia="Palatino Linotype" w:hAnsi="Palatino Linotype" w:cs="Palatino Linotype"/>
          <w:b/>
          <w:sz w:val="22"/>
          <w:szCs w:val="22"/>
        </w:rPr>
        <w:t xml:space="preserve"> </w:t>
      </w:r>
      <w:r w:rsidRPr="00652E2C">
        <w:rPr>
          <w:rFonts w:ascii="Palatino Linotype" w:eastAsia="Palatino Linotype" w:hAnsi="Palatino Linotype" w:cs="Palatino Linotype"/>
          <w:b/>
          <w:sz w:val="22"/>
          <w:szCs w:val="22"/>
        </w:rPr>
        <w:t>día hábil</w:t>
      </w:r>
      <w:r w:rsidRPr="00652E2C">
        <w:rPr>
          <w:rFonts w:ascii="Palatino Linotype" w:eastAsia="Palatino Linotype" w:hAnsi="Palatino Linotype" w:cs="Palatino Linotype"/>
          <w:sz w:val="22"/>
          <w:szCs w:val="22"/>
        </w:rPr>
        <w:t xml:space="preserve"> siguiente al que tuvo conocimiento de la respuesta impugnada. </w:t>
      </w:r>
    </w:p>
    <w:p w14:paraId="50B00086" w14:textId="77777777" w:rsidR="003667D3" w:rsidRPr="00652E2C" w:rsidRDefault="003667D3" w:rsidP="003667D3">
      <w:pPr>
        <w:pStyle w:val="NormalWeb"/>
        <w:spacing w:before="240" w:beforeAutospacing="0" w:after="240" w:afterAutospacing="0" w:line="360" w:lineRule="auto"/>
        <w:jc w:val="both"/>
        <w:rPr>
          <w:sz w:val="22"/>
        </w:rPr>
      </w:pPr>
      <w:r w:rsidRPr="00652E2C">
        <w:rPr>
          <w:rFonts w:ascii="Palatino Linotype" w:hAnsi="Palatino Linotype"/>
          <w:sz w:val="22"/>
        </w:rPr>
        <w:t>Sin que contraríe a lo anterior, el artículo 178 en análisis, refiere que el plazo de quince días hábiles se contará a partir del día siguiente de la fecha en que el afectado tuvo conocimiento de la resolución materia de impugnación, ya que ello debe entenderse para el efecto de que transcurrido dicho plazo ya no podrá presentarse el medio de impugnación o si es que se presenta, el mismo se considerará extemporáneo, no así cuando el medio de defensa se interponga antes de que comience a correr el plazo legal; tiene aplicación por analogía, la jurisprudencia 1ª. /J.41/2015, publicada en el Semanario Judicial de la Federación y su Gaceta, Libro 19, Junio de 2015, Tomo I, página 569 de la Décima época que lleva por rubro y texto los siguientes:</w:t>
      </w:r>
    </w:p>
    <w:p w14:paraId="0B10E289" w14:textId="77777777" w:rsidR="003667D3" w:rsidRPr="00652E2C" w:rsidRDefault="003667D3" w:rsidP="003667D3">
      <w:pPr>
        <w:pStyle w:val="NormalWeb"/>
        <w:spacing w:before="120" w:beforeAutospacing="0" w:after="120" w:afterAutospacing="0" w:line="276" w:lineRule="auto"/>
        <w:ind w:left="860" w:right="900"/>
        <w:jc w:val="both"/>
      </w:pPr>
      <w:r w:rsidRPr="00652E2C">
        <w:rPr>
          <w:rFonts w:ascii="Palatino Linotype" w:hAnsi="Palatino Linotype"/>
          <w:b/>
          <w:bCs/>
          <w:i/>
          <w:iCs/>
          <w:sz w:val="22"/>
          <w:szCs w:val="22"/>
        </w:rPr>
        <w:t>“RECURSO DE RECLAMACIÓN. SU INTERPOSICIÓN NO ES EXTEMPORÁNEA SI SE REALIZA ANTES DE QUE INICIE EL PLAZO PARA HACERLO</w:t>
      </w:r>
      <w:r w:rsidRPr="00652E2C">
        <w:rPr>
          <w:rFonts w:ascii="Palatino Linotype" w:hAnsi="Palatino Linotype"/>
          <w:i/>
          <w:iCs/>
          <w:sz w:val="22"/>
          <w:szCs w:val="22"/>
        </w:rPr>
        <w:t>.</w:t>
      </w:r>
    </w:p>
    <w:p w14:paraId="21CF4AAF" w14:textId="77777777" w:rsidR="003667D3" w:rsidRPr="00652E2C" w:rsidRDefault="003667D3" w:rsidP="003667D3">
      <w:pPr>
        <w:pStyle w:val="NormalWeb"/>
        <w:spacing w:before="120" w:beforeAutospacing="0" w:after="120" w:afterAutospacing="0" w:line="276" w:lineRule="auto"/>
        <w:ind w:left="860" w:right="900"/>
        <w:jc w:val="both"/>
      </w:pPr>
      <w:r w:rsidRPr="00652E2C">
        <w:rPr>
          <w:rFonts w:ascii="Palatino Linotype" w:hAnsi="Palatino Linotype"/>
          <w:i/>
          <w:iCs/>
          <w:sz w:val="22"/>
          <w:szCs w:val="22"/>
        </w:rPr>
        <w:t xml:space="preserve">“Conforme al artículo 104, párrafo segundo, de la Ley de Amparo, el recurso de reclamación podrá interponerse por cualquiera de las partes, por escrito, dentro del término de tres días siguientes al en que surta efectos la notificación de la resolución impugnada. Ahora bien, dicho numeral sólo refiere que el aludido medio de defensa no puede hacerse valer después de tres días, por tanto, no impide que el escrito correspondiente se presente antes de iniciado ese término. De ahí </w:t>
      </w:r>
      <w:proofErr w:type="gramStart"/>
      <w:r w:rsidRPr="00652E2C">
        <w:rPr>
          <w:rFonts w:ascii="Palatino Linotype" w:hAnsi="Palatino Linotype"/>
          <w:i/>
          <w:iCs/>
          <w:sz w:val="22"/>
          <w:szCs w:val="22"/>
        </w:rPr>
        <w:t>que</w:t>
      </w:r>
      <w:proofErr w:type="gramEnd"/>
      <w:r w:rsidRPr="00652E2C">
        <w:rPr>
          <w:rFonts w:ascii="Palatino Linotype" w:hAnsi="Palatino Linotype"/>
          <w:i/>
          <w:iCs/>
          <w:sz w:val="22"/>
          <w:szCs w:val="22"/>
        </w:rPr>
        <w:t xml:space="preserve"> si dicho recurso se interpone antes de que inicie el plazo para hacerlo, su presentación no es extemporánea.”</w:t>
      </w:r>
    </w:p>
    <w:p w14:paraId="2870D5CC" w14:textId="77777777" w:rsidR="007601E8" w:rsidRPr="00652E2C" w:rsidRDefault="00DA5AD2">
      <w:pPr>
        <w:tabs>
          <w:tab w:val="left" w:pos="7938"/>
        </w:tabs>
        <w:spacing w:before="240" w:after="240" w:line="360" w:lineRule="auto"/>
        <w:jc w:val="both"/>
        <w:rPr>
          <w:rFonts w:ascii="Palatino Linotype" w:eastAsia="Palatino Linotype" w:hAnsi="Palatino Linotype" w:cs="Palatino Linotype"/>
          <w:sz w:val="22"/>
          <w:szCs w:val="22"/>
        </w:rPr>
      </w:pPr>
      <w:bookmarkStart w:id="6" w:name="_heading=h.3znysh7" w:colFirst="0" w:colLast="0"/>
      <w:bookmarkEnd w:id="6"/>
      <w:r w:rsidRPr="00652E2C">
        <w:rPr>
          <w:rFonts w:ascii="Palatino Linotype" w:eastAsia="Palatino Linotype" w:hAnsi="Palatino Linotype" w:cs="Palatino Linotype"/>
          <w:sz w:val="22"/>
          <w:szCs w:val="22"/>
        </w:rPr>
        <w:lastRenderedPageBreak/>
        <w:t>Al mismo tiempo, por cuanto hace a la procedibilidad del recurso de revisión, una vez realizado el análisis del formato de interposición del recurso, se concluye la acreditación plena de los elementos formales precisados por el artículo 180 de la Ley de Transparencia y Acceso a la Información Pública del Estado de México y Municipios, en atención a que fue presentado mediante el formato visible en el SAIMEX.</w:t>
      </w:r>
    </w:p>
    <w:p w14:paraId="0BC6ABC2" w14:textId="77777777" w:rsidR="007601E8" w:rsidRPr="00652E2C" w:rsidRDefault="00DA5AD2">
      <w:pP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 xml:space="preserve">Finalmente, se advierte que resulta procedente la interposición del recurso, según lo manifestado por </w:t>
      </w:r>
      <w:r w:rsidRPr="00652E2C">
        <w:rPr>
          <w:rFonts w:ascii="Palatino Linotype" w:eastAsia="Palatino Linotype" w:hAnsi="Palatino Linotype" w:cs="Palatino Linotype"/>
          <w:b/>
          <w:sz w:val="22"/>
          <w:szCs w:val="22"/>
        </w:rPr>
        <w:t>la parte</w:t>
      </w:r>
      <w:r w:rsidRPr="00652E2C">
        <w:rPr>
          <w:rFonts w:ascii="Palatino Linotype" w:eastAsia="Palatino Linotype" w:hAnsi="Palatino Linotype" w:cs="Palatino Linotype"/>
          <w:sz w:val="22"/>
          <w:szCs w:val="22"/>
        </w:rPr>
        <w:t xml:space="preserve"> </w:t>
      </w:r>
      <w:r w:rsidRPr="00652E2C">
        <w:rPr>
          <w:rFonts w:ascii="Palatino Linotype" w:eastAsia="Palatino Linotype" w:hAnsi="Palatino Linotype" w:cs="Palatino Linotype"/>
          <w:b/>
          <w:sz w:val="22"/>
          <w:szCs w:val="22"/>
        </w:rPr>
        <w:t>Recurrente</w:t>
      </w:r>
      <w:r w:rsidRPr="00652E2C">
        <w:rPr>
          <w:rFonts w:ascii="Palatino Linotype" w:eastAsia="Palatino Linotype" w:hAnsi="Palatino Linotype" w:cs="Palatino Linotype"/>
          <w:sz w:val="22"/>
          <w:szCs w:val="22"/>
        </w:rPr>
        <w:t xml:space="preserve"> en sus motivos de inconformidad, de acuerdo al artículo 179, </w:t>
      </w:r>
      <w:r w:rsidR="00211F73" w:rsidRPr="00652E2C">
        <w:rPr>
          <w:rFonts w:ascii="Palatino Linotype" w:eastAsia="Palatino Linotype" w:hAnsi="Palatino Linotype" w:cs="Palatino Linotype"/>
          <w:sz w:val="22"/>
          <w:szCs w:val="22"/>
        </w:rPr>
        <w:t>fraccio</w:t>
      </w:r>
      <w:r w:rsidR="00F95938" w:rsidRPr="00652E2C">
        <w:rPr>
          <w:rFonts w:ascii="Palatino Linotype" w:eastAsia="Palatino Linotype" w:hAnsi="Palatino Linotype" w:cs="Palatino Linotype"/>
          <w:sz w:val="22"/>
          <w:szCs w:val="22"/>
        </w:rPr>
        <w:t>n</w:t>
      </w:r>
      <w:r w:rsidR="00211F73" w:rsidRPr="00652E2C">
        <w:rPr>
          <w:rFonts w:ascii="Palatino Linotype" w:eastAsia="Palatino Linotype" w:hAnsi="Palatino Linotype" w:cs="Palatino Linotype"/>
          <w:sz w:val="22"/>
          <w:szCs w:val="22"/>
        </w:rPr>
        <w:t>es</w:t>
      </w:r>
      <w:r w:rsidR="00F95938" w:rsidRPr="00652E2C">
        <w:rPr>
          <w:rFonts w:ascii="Palatino Linotype" w:eastAsia="Palatino Linotype" w:hAnsi="Palatino Linotype" w:cs="Palatino Linotype"/>
          <w:sz w:val="22"/>
          <w:szCs w:val="22"/>
        </w:rPr>
        <w:t xml:space="preserve"> </w:t>
      </w:r>
      <w:r w:rsidR="00164F1D" w:rsidRPr="00652E2C">
        <w:rPr>
          <w:rFonts w:ascii="Palatino Linotype" w:eastAsia="Palatino Linotype" w:hAnsi="Palatino Linotype" w:cs="Palatino Linotype"/>
          <w:sz w:val="22"/>
          <w:szCs w:val="22"/>
        </w:rPr>
        <w:t>V</w:t>
      </w:r>
      <w:r w:rsidRPr="00652E2C">
        <w:rPr>
          <w:rFonts w:ascii="Palatino Linotype" w:eastAsia="Palatino Linotype" w:hAnsi="Palatino Linotype" w:cs="Palatino Linotype"/>
          <w:sz w:val="22"/>
          <w:szCs w:val="22"/>
        </w:rPr>
        <w:t xml:space="preserve"> </w:t>
      </w:r>
      <w:r w:rsidR="00211F73" w:rsidRPr="00652E2C">
        <w:rPr>
          <w:rFonts w:ascii="Palatino Linotype" w:eastAsia="Palatino Linotype" w:hAnsi="Palatino Linotype" w:cs="Palatino Linotype"/>
          <w:sz w:val="22"/>
          <w:szCs w:val="22"/>
        </w:rPr>
        <w:t xml:space="preserve">y XIII </w:t>
      </w:r>
      <w:r w:rsidRPr="00652E2C">
        <w:rPr>
          <w:rFonts w:ascii="Palatino Linotype" w:eastAsia="Palatino Linotype" w:hAnsi="Palatino Linotype" w:cs="Palatino Linotype"/>
          <w:sz w:val="22"/>
          <w:szCs w:val="22"/>
        </w:rPr>
        <w:t>del ordenamiento legal citado, que a la letra dice: </w:t>
      </w:r>
    </w:p>
    <w:p w14:paraId="5FB7F13D" w14:textId="77777777" w:rsidR="007601E8" w:rsidRPr="00652E2C" w:rsidRDefault="00DA5AD2">
      <w:pPr>
        <w:spacing w:before="120" w:after="120"/>
        <w:ind w:left="567" w:right="902"/>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w:t>
      </w:r>
      <w:r w:rsidRPr="00652E2C">
        <w:rPr>
          <w:rFonts w:ascii="Palatino Linotype" w:eastAsia="Palatino Linotype" w:hAnsi="Palatino Linotype" w:cs="Palatino Linotype"/>
          <w:b/>
          <w:i/>
          <w:sz w:val="22"/>
          <w:szCs w:val="22"/>
        </w:rPr>
        <w:t>Artículo 179.</w:t>
      </w:r>
      <w:r w:rsidRPr="00652E2C">
        <w:rPr>
          <w:rFonts w:ascii="Palatino Linotype" w:eastAsia="Palatino Linotype" w:hAnsi="Palatino Linotype" w:cs="Palatino Linotype"/>
          <w:i/>
          <w:sz w:val="22"/>
          <w:szCs w:val="22"/>
        </w:rPr>
        <w:t xml:space="preserve"> El recurso de revisión es un medio de protección que la Ley otorga a los particulares, para hacer valer su derecho de acceso a la información pública, y procederá en contra de las siguientes causas:</w:t>
      </w:r>
    </w:p>
    <w:p w14:paraId="2EAEA11B" w14:textId="77777777" w:rsidR="00164F1D" w:rsidRPr="00652E2C" w:rsidRDefault="00164F1D">
      <w:pPr>
        <w:spacing w:before="120" w:after="120"/>
        <w:ind w:left="567" w:right="902"/>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w:t>
      </w:r>
    </w:p>
    <w:p w14:paraId="7C674A84" w14:textId="77777777" w:rsidR="00211F73" w:rsidRPr="00652E2C" w:rsidRDefault="00164F1D" w:rsidP="00F95938">
      <w:pPr>
        <w:spacing w:before="120" w:after="120"/>
        <w:ind w:left="567"/>
        <w:rPr>
          <w:rFonts w:ascii="Palatino Linotype" w:eastAsia="Palatino Linotype" w:hAnsi="Palatino Linotype" w:cs="Palatino Linotype"/>
          <w:b/>
          <w:i/>
          <w:sz w:val="22"/>
          <w:szCs w:val="22"/>
          <w:u w:val="single"/>
        </w:rPr>
      </w:pPr>
      <w:r w:rsidRPr="00652E2C">
        <w:rPr>
          <w:rFonts w:ascii="Palatino Linotype" w:eastAsia="Palatino Linotype" w:hAnsi="Palatino Linotype" w:cs="Palatino Linotype"/>
          <w:b/>
          <w:i/>
          <w:sz w:val="22"/>
          <w:szCs w:val="22"/>
          <w:u w:val="single"/>
        </w:rPr>
        <w:t>V. La entrega de información incompleta</w:t>
      </w:r>
      <w:r w:rsidR="00DA5AD2" w:rsidRPr="00652E2C">
        <w:rPr>
          <w:rFonts w:ascii="Palatino Linotype" w:eastAsia="Palatino Linotype" w:hAnsi="Palatino Linotype" w:cs="Palatino Linotype"/>
          <w:b/>
          <w:i/>
          <w:sz w:val="22"/>
          <w:szCs w:val="22"/>
          <w:u w:val="single"/>
        </w:rPr>
        <w:t>;</w:t>
      </w:r>
    </w:p>
    <w:p w14:paraId="21A2B59F" w14:textId="77777777" w:rsidR="00211F73" w:rsidRPr="00652E2C" w:rsidRDefault="00211F73" w:rsidP="00F95938">
      <w:pPr>
        <w:spacing w:before="120" w:after="120"/>
        <w:ind w:left="567"/>
        <w:rPr>
          <w:rFonts w:ascii="Palatino Linotype" w:eastAsia="Palatino Linotype" w:hAnsi="Palatino Linotype" w:cs="Palatino Linotype"/>
          <w:b/>
          <w:i/>
          <w:sz w:val="22"/>
          <w:szCs w:val="22"/>
        </w:rPr>
      </w:pPr>
      <w:r w:rsidRPr="00652E2C">
        <w:rPr>
          <w:rFonts w:ascii="Palatino Linotype" w:eastAsia="Palatino Linotype" w:hAnsi="Palatino Linotype" w:cs="Palatino Linotype"/>
          <w:b/>
          <w:i/>
          <w:sz w:val="22"/>
          <w:szCs w:val="22"/>
        </w:rPr>
        <w:t>…</w:t>
      </w:r>
    </w:p>
    <w:p w14:paraId="7A1E5E6A" w14:textId="77777777" w:rsidR="007601E8" w:rsidRPr="00652E2C" w:rsidRDefault="00211F73" w:rsidP="00211F73">
      <w:pPr>
        <w:spacing w:before="120" w:after="120"/>
        <w:ind w:left="567" w:right="851"/>
        <w:rPr>
          <w:rFonts w:ascii="Palatino Linotype" w:eastAsia="Palatino Linotype" w:hAnsi="Palatino Linotype" w:cs="Palatino Linotype"/>
          <w:b/>
          <w:i/>
          <w:sz w:val="22"/>
          <w:szCs w:val="22"/>
          <w:u w:val="single"/>
        </w:rPr>
      </w:pPr>
      <w:r w:rsidRPr="00652E2C">
        <w:rPr>
          <w:rFonts w:ascii="Palatino Linotype" w:eastAsia="Palatino Linotype" w:hAnsi="Palatino Linotype" w:cs="Palatino Linotype"/>
          <w:b/>
          <w:i/>
          <w:sz w:val="22"/>
          <w:szCs w:val="22"/>
          <w:u w:val="single"/>
        </w:rPr>
        <w:t>XIII. La falta, deficiencia o insuficiencia de la fundamentación y/o motivación en la respuesta</w:t>
      </w:r>
      <w:r w:rsidRPr="00652E2C">
        <w:rPr>
          <w:rFonts w:ascii="Palatino Linotype" w:eastAsia="Palatino Linotype" w:hAnsi="Palatino Linotype" w:cs="Palatino Linotype"/>
          <w:b/>
          <w:i/>
          <w:sz w:val="22"/>
          <w:szCs w:val="22"/>
        </w:rPr>
        <w:t>; y</w:t>
      </w:r>
      <w:r w:rsidR="00DA5AD2" w:rsidRPr="00652E2C">
        <w:rPr>
          <w:rFonts w:ascii="Palatino Linotype" w:eastAsia="Palatino Linotype" w:hAnsi="Palatino Linotype" w:cs="Palatino Linotype"/>
          <w:b/>
          <w:i/>
          <w:sz w:val="22"/>
          <w:szCs w:val="22"/>
        </w:rPr>
        <w:t xml:space="preserve">” </w:t>
      </w:r>
      <w:r w:rsidR="00DA5AD2" w:rsidRPr="00652E2C">
        <w:rPr>
          <w:rFonts w:ascii="Palatino Linotype" w:eastAsia="Palatino Linotype" w:hAnsi="Palatino Linotype" w:cs="Palatino Linotype"/>
          <w:i/>
          <w:sz w:val="22"/>
          <w:szCs w:val="22"/>
        </w:rPr>
        <w:t>(Énfasis añadido)</w:t>
      </w:r>
    </w:p>
    <w:p w14:paraId="7A18F78C" w14:textId="77777777" w:rsidR="007601E8" w:rsidRPr="00652E2C" w:rsidRDefault="00DA5AD2">
      <w:pPr>
        <w:spacing w:before="240" w:after="240" w:line="360" w:lineRule="auto"/>
        <w:jc w:val="both"/>
        <w:rPr>
          <w:rFonts w:ascii="Palatino Linotype" w:eastAsia="Palatino Linotype" w:hAnsi="Palatino Linotype" w:cs="Palatino Linotype"/>
          <w:b/>
          <w:sz w:val="22"/>
          <w:szCs w:val="22"/>
        </w:rPr>
      </w:pPr>
      <w:r w:rsidRPr="00652E2C">
        <w:rPr>
          <w:rFonts w:ascii="Palatino Linotype" w:eastAsia="Palatino Linotype" w:hAnsi="Palatino Linotype" w:cs="Palatino Linotype"/>
          <w:b/>
          <w:sz w:val="22"/>
          <w:szCs w:val="22"/>
        </w:rPr>
        <w:t xml:space="preserve">Tercero. Materia de la revisión. </w:t>
      </w:r>
      <w:r w:rsidRPr="00652E2C">
        <w:rPr>
          <w:rFonts w:ascii="Palatino Linotype" w:eastAsia="Palatino Linotype" w:hAnsi="Palatino Linotype" w:cs="Palatino Linotype"/>
          <w:sz w:val="22"/>
          <w:szCs w:val="22"/>
        </w:rPr>
        <w:t xml:space="preserve">De la revisión a las constancias y documentos que obran en el expediente electrónico se advierte, que el tema sobre el que este Organismo Garante de Transparencia y Acceso a la Información se pronunciará será: </w:t>
      </w:r>
      <w:r w:rsidRPr="00652E2C">
        <w:rPr>
          <w:rFonts w:ascii="Palatino Linotype" w:eastAsia="Palatino Linotype" w:hAnsi="Palatino Linotype" w:cs="Palatino Linotype"/>
          <w:b/>
          <w:sz w:val="22"/>
          <w:szCs w:val="22"/>
        </w:rPr>
        <w:t xml:space="preserve">verificar si la respuesta </w:t>
      </w:r>
      <w:r w:rsidR="00211F73" w:rsidRPr="00652E2C">
        <w:rPr>
          <w:rFonts w:ascii="Palatino Linotype" w:eastAsia="Palatino Linotype" w:hAnsi="Palatino Linotype" w:cs="Palatino Linotype"/>
          <w:b/>
          <w:sz w:val="22"/>
          <w:szCs w:val="22"/>
        </w:rPr>
        <w:t>e informe justificado otorgados</w:t>
      </w:r>
      <w:r w:rsidRPr="00652E2C">
        <w:rPr>
          <w:rFonts w:ascii="Palatino Linotype" w:eastAsia="Palatino Linotype" w:hAnsi="Palatino Linotype" w:cs="Palatino Linotype"/>
          <w:b/>
          <w:sz w:val="22"/>
          <w:szCs w:val="22"/>
        </w:rPr>
        <w:t xml:space="preserve"> por el Sujeto Obligado </w:t>
      </w:r>
      <w:r w:rsidR="00211F73" w:rsidRPr="00652E2C">
        <w:rPr>
          <w:rFonts w:ascii="Palatino Linotype" w:eastAsia="Palatino Linotype" w:hAnsi="Palatino Linotype" w:cs="Palatino Linotype"/>
          <w:b/>
          <w:sz w:val="22"/>
          <w:szCs w:val="22"/>
        </w:rPr>
        <w:t>son</w:t>
      </w:r>
      <w:r w:rsidR="00164F1D" w:rsidRPr="00652E2C">
        <w:rPr>
          <w:rFonts w:ascii="Palatino Linotype" w:eastAsia="Palatino Linotype" w:hAnsi="Palatino Linotype" w:cs="Palatino Linotype"/>
          <w:b/>
          <w:sz w:val="22"/>
          <w:szCs w:val="22"/>
        </w:rPr>
        <w:t xml:space="preserve"> adecuada</w:t>
      </w:r>
      <w:r w:rsidR="00211F73" w:rsidRPr="00652E2C">
        <w:rPr>
          <w:rFonts w:ascii="Palatino Linotype" w:eastAsia="Palatino Linotype" w:hAnsi="Palatino Linotype" w:cs="Palatino Linotype"/>
          <w:b/>
          <w:sz w:val="22"/>
          <w:szCs w:val="22"/>
        </w:rPr>
        <w:t>s</w:t>
      </w:r>
      <w:r w:rsidRPr="00652E2C">
        <w:rPr>
          <w:rFonts w:ascii="Palatino Linotype" w:eastAsia="Palatino Linotype" w:hAnsi="Palatino Linotype" w:cs="Palatino Linotype"/>
          <w:b/>
          <w:sz w:val="22"/>
          <w:szCs w:val="22"/>
        </w:rPr>
        <w:t xml:space="preserve"> y suficiente</w:t>
      </w:r>
      <w:r w:rsidR="00211F73" w:rsidRPr="00652E2C">
        <w:rPr>
          <w:rFonts w:ascii="Palatino Linotype" w:eastAsia="Palatino Linotype" w:hAnsi="Palatino Linotype" w:cs="Palatino Linotype"/>
          <w:b/>
          <w:sz w:val="22"/>
          <w:szCs w:val="22"/>
        </w:rPr>
        <w:t>s</w:t>
      </w:r>
      <w:r w:rsidRPr="00652E2C">
        <w:rPr>
          <w:rFonts w:ascii="Palatino Linotype" w:eastAsia="Palatino Linotype" w:hAnsi="Palatino Linotype" w:cs="Palatino Linotype"/>
          <w:b/>
          <w:sz w:val="22"/>
          <w:szCs w:val="22"/>
        </w:rPr>
        <w:t xml:space="preserve"> para satisfacer el derecho de acceso a la información pública </w:t>
      </w:r>
      <w:r w:rsidRPr="00652E2C">
        <w:rPr>
          <w:rFonts w:ascii="Palatino Linotype" w:eastAsia="Palatino Linotype" w:hAnsi="Palatino Linotype" w:cs="Palatino Linotype"/>
          <w:sz w:val="22"/>
          <w:szCs w:val="22"/>
        </w:rPr>
        <w:t xml:space="preserve">de </w:t>
      </w:r>
      <w:r w:rsidRPr="00652E2C">
        <w:rPr>
          <w:rFonts w:ascii="Palatino Linotype" w:eastAsia="Palatino Linotype" w:hAnsi="Palatino Linotype" w:cs="Palatino Linotype"/>
          <w:b/>
          <w:sz w:val="22"/>
          <w:szCs w:val="22"/>
        </w:rPr>
        <w:t>la parte</w:t>
      </w:r>
      <w:r w:rsidRPr="00652E2C">
        <w:rPr>
          <w:rFonts w:ascii="Palatino Linotype" w:eastAsia="Palatino Linotype" w:hAnsi="Palatino Linotype" w:cs="Palatino Linotype"/>
          <w:sz w:val="22"/>
          <w:szCs w:val="22"/>
        </w:rPr>
        <w:t xml:space="preserve"> </w:t>
      </w:r>
      <w:r w:rsidRPr="00652E2C">
        <w:rPr>
          <w:rFonts w:ascii="Palatino Linotype" w:eastAsia="Palatino Linotype" w:hAnsi="Palatino Linotype" w:cs="Palatino Linotype"/>
          <w:b/>
          <w:sz w:val="22"/>
          <w:szCs w:val="22"/>
        </w:rPr>
        <w:t>Recurrente</w:t>
      </w:r>
      <w:r w:rsidRPr="00652E2C">
        <w:rPr>
          <w:rFonts w:ascii="Palatino Linotype" w:eastAsia="Palatino Linotype" w:hAnsi="Palatino Linotype" w:cs="Palatino Linotype"/>
          <w:sz w:val="22"/>
          <w:szCs w:val="22"/>
        </w:rPr>
        <w:t>, o en su defecto, en caso de ser procedente, ordenar la entrega de información.</w:t>
      </w:r>
    </w:p>
    <w:p w14:paraId="2ADDBD8E" w14:textId="77777777" w:rsidR="007601E8" w:rsidRPr="00652E2C" w:rsidRDefault="00DA5AD2">
      <w:pPr>
        <w:spacing w:before="240" w:after="240" w:line="360" w:lineRule="auto"/>
        <w:jc w:val="both"/>
        <w:rPr>
          <w:rFonts w:ascii="Palatino Linotype" w:eastAsia="Palatino Linotype" w:hAnsi="Palatino Linotype" w:cs="Palatino Linotype"/>
          <w:sz w:val="22"/>
          <w:szCs w:val="22"/>
        </w:rPr>
      </w:pPr>
      <w:bookmarkStart w:id="7" w:name="_heading=h.2et92p0" w:colFirst="0" w:colLast="0"/>
      <w:bookmarkEnd w:id="7"/>
      <w:r w:rsidRPr="00652E2C">
        <w:rPr>
          <w:rFonts w:ascii="Palatino Linotype" w:eastAsia="Palatino Linotype" w:hAnsi="Palatino Linotype" w:cs="Palatino Linotype"/>
          <w:b/>
          <w:sz w:val="22"/>
          <w:szCs w:val="22"/>
        </w:rPr>
        <w:t xml:space="preserve">Cuarto. Estudio del asunto. </w:t>
      </w:r>
      <w:r w:rsidRPr="00652E2C">
        <w:rPr>
          <w:rFonts w:ascii="Palatino Linotype" w:eastAsia="Palatino Linotype" w:hAnsi="Palatino Linotype" w:cs="Palatino Linotype"/>
          <w:sz w:val="22"/>
          <w:szCs w:val="22"/>
        </w:rPr>
        <w:t xml:space="preserve">En primer lugar, es conveniente mencionar que de conformidad con el artículo 4 de la Ley de Transparencia y Acceso a la Información Pública del Estado de México y Municipios toda la información generada, obtenida, adquirida, transformada, administrada o en posesión de los sujetos obligados es pública y accesible de </w:t>
      </w:r>
      <w:r w:rsidRPr="00652E2C">
        <w:rPr>
          <w:rFonts w:ascii="Palatino Linotype" w:eastAsia="Palatino Linotype" w:hAnsi="Palatino Linotype" w:cs="Palatino Linotype"/>
          <w:sz w:val="22"/>
          <w:szCs w:val="22"/>
        </w:rPr>
        <w:lastRenderedPageBreak/>
        <w:t>manera permanente a cualquier persona, privilegiando el principio de máxima publicidad, como así lo establece dicha determinación, que a continuación se trascribe para un mejor entendimiento:</w:t>
      </w:r>
    </w:p>
    <w:p w14:paraId="17BDC8A1" w14:textId="77777777" w:rsidR="007601E8" w:rsidRPr="00652E2C" w:rsidRDefault="00DA5AD2">
      <w:pPr>
        <w:spacing w:before="120" w:after="120"/>
        <w:ind w:left="851" w:right="902"/>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w:t>
      </w:r>
      <w:r w:rsidRPr="00652E2C">
        <w:rPr>
          <w:rFonts w:ascii="Palatino Linotype" w:eastAsia="Palatino Linotype" w:hAnsi="Palatino Linotype" w:cs="Palatino Linotype"/>
          <w:b/>
          <w:i/>
          <w:sz w:val="22"/>
          <w:szCs w:val="22"/>
        </w:rPr>
        <w:t>Artículo 4</w:t>
      </w:r>
      <w:r w:rsidRPr="00652E2C">
        <w:rPr>
          <w:rFonts w:ascii="Palatino Linotype" w:eastAsia="Palatino Linotype" w:hAnsi="Palatino Linotype" w:cs="Palatino Linotype"/>
          <w:i/>
          <w:sz w:val="22"/>
          <w:szCs w:val="22"/>
        </w:rPr>
        <w:t xml:space="preserve">. El derecho humano de acceso a la información pública es la prerrogativa de las personas para buscar, difundir, investigar, recabar, recibir y solicitar información pública, sin necesidad de acreditar personalidad ni interés jurídico. </w:t>
      </w:r>
    </w:p>
    <w:p w14:paraId="66C68C5F" w14:textId="77777777" w:rsidR="007601E8" w:rsidRPr="00652E2C" w:rsidRDefault="00DA5AD2">
      <w:pPr>
        <w:spacing w:before="120" w:after="120"/>
        <w:ind w:left="851" w:right="902"/>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Toda la información generada, obtenida, adquirida, transformada, administrada o en posesión de los sujetos obligados es pública y accesible de manera permanente a cualquier persona</w:t>
      </w:r>
      <w:r w:rsidRPr="00652E2C">
        <w:rPr>
          <w:rFonts w:ascii="Palatino Linotype" w:eastAsia="Palatino Linotype" w:hAnsi="Palatino Linotype" w:cs="Palatino Linotype"/>
          <w:i/>
          <w:sz w:val="22"/>
          <w:szCs w:val="22"/>
        </w:rPr>
        <w:t>,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Ley de Transparencia y Acceso a la Información Pública del Estado de México y Municipios 29 como reservada temporalmente por razones de interés público, en los términos de las causas legítimas y estrictamente necesarias previstas por esta Ley.</w:t>
      </w:r>
    </w:p>
    <w:p w14:paraId="6A040814" w14:textId="77777777" w:rsidR="007601E8" w:rsidRPr="00652E2C" w:rsidRDefault="00DA5AD2">
      <w:pPr>
        <w:spacing w:before="120" w:after="120"/>
        <w:ind w:left="851" w:right="902"/>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Los sujetos obligados deben poner en práctica, políticas y programas de acceso a la información que se apeguen a criterios de publicidad, veracidad, oportunidad, precisión y suficiencia en beneficio de los solicitantes</w:t>
      </w:r>
      <w:proofErr w:type="gramStart"/>
      <w:r w:rsidRPr="00652E2C">
        <w:rPr>
          <w:rFonts w:ascii="Palatino Linotype" w:eastAsia="Palatino Linotype" w:hAnsi="Palatino Linotype" w:cs="Palatino Linotype"/>
          <w:i/>
          <w:sz w:val="22"/>
          <w:szCs w:val="22"/>
        </w:rPr>
        <w:t>.”(</w:t>
      </w:r>
      <w:proofErr w:type="gramEnd"/>
      <w:r w:rsidRPr="00652E2C">
        <w:rPr>
          <w:rFonts w:ascii="Palatino Linotype" w:eastAsia="Palatino Linotype" w:hAnsi="Palatino Linotype" w:cs="Palatino Linotype"/>
          <w:i/>
          <w:sz w:val="22"/>
          <w:szCs w:val="22"/>
        </w:rPr>
        <w:t>Énfasis añadido)</w:t>
      </w:r>
      <w:r w:rsidR="0049164C" w:rsidRPr="00652E2C">
        <w:rPr>
          <w:rFonts w:ascii="Palatino Linotype" w:eastAsia="Palatino Linotype" w:hAnsi="Palatino Linotype" w:cs="Palatino Linotype"/>
          <w:i/>
          <w:sz w:val="22"/>
          <w:szCs w:val="22"/>
        </w:rPr>
        <w:t xml:space="preserve">  </w:t>
      </w:r>
    </w:p>
    <w:p w14:paraId="37B6D2DD" w14:textId="77777777" w:rsidR="007601E8" w:rsidRPr="00652E2C" w:rsidRDefault="00DA5AD2">
      <w:pP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Esto es, que los Sujetos Obligados tiene la obligación o deber de atender las solicitudes de acceso a la información pública que se les hagan de su conocimiento y proporcionar la información pública que obren en su poder conforme el estado que se encuentra y no hacer un procesamiento de la misma, ni presentarla conforme al interés del solicitante; como así lo establece el artículo 12 de la Ley de Transparencia y Acceso a la Información Pública del Estado de México y Municipios, que a la letra dice:</w:t>
      </w:r>
    </w:p>
    <w:p w14:paraId="7BC43BD4" w14:textId="77777777" w:rsidR="007601E8" w:rsidRPr="00652E2C" w:rsidRDefault="00DA5AD2">
      <w:pPr>
        <w:spacing w:before="120" w:after="120"/>
        <w:ind w:left="851" w:right="902"/>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“Artículo 12.-</w:t>
      </w:r>
      <w:r w:rsidRPr="00652E2C">
        <w:rPr>
          <w:rFonts w:ascii="Palatino Linotype" w:eastAsia="Palatino Linotype" w:hAnsi="Palatino Linotype" w:cs="Palatino Linotype"/>
          <w:i/>
          <w:sz w:val="22"/>
          <w:szCs w:val="22"/>
        </w:rPr>
        <w:t xml:space="preserve"> Quienes generen, recopilen, administren, manejen, procesen, archiven o conserven información pública serán responsables de la misma en los términos de las disposiciones jurídicas aplicables. </w:t>
      </w:r>
    </w:p>
    <w:p w14:paraId="32382229" w14:textId="77777777" w:rsidR="007601E8" w:rsidRPr="00652E2C" w:rsidRDefault="00DA5AD2">
      <w:pPr>
        <w:spacing w:before="120" w:after="120"/>
        <w:ind w:left="851" w:right="902"/>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 xml:space="preserve">Los sujetos obligados sólo proporcionarán la información pública que se les requiera y que obre en sus archivos y en el estado en que ésta se </w:t>
      </w:r>
      <w:r w:rsidRPr="00652E2C">
        <w:rPr>
          <w:rFonts w:ascii="Palatino Linotype" w:eastAsia="Palatino Linotype" w:hAnsi="Palatino Linotype" w:cs="Palatino Linotype"/>
          <w:b/>
          <w:i/>
          <w:sz w:val="22"/>
          <w:szCs w:val="22"/>
        </w:rPr>
        <w:lastRenderedPageBreak/>
        <w:t>encuentre</w:t>
      </w:r>
      <w:r w:rsidRPr="00652E2C">
        <w:rPr>
          <w:rFonts w:ascii="Palatino Linotype" w:eastAsia="Palatino Linotype" w:hAnsi="Palatino Linotype" w:cs="Palatino Linotype"/>
          <w:i/>
          <w:sz w:val="22"/>
          <w:szCs w:val="22"/>
        </w:rPr>
        <w:t xml:space="preserve">. </w:t>
      </w:r>
      <w:r w:rsidRPr="00652E2C">
        <w:rPr>
          <w:rFonts w:ascii="Palatino Linotype" w:eastAsia="Palatino Linotype" w:hAnsi="Palatino Linotype" w:cs="Palatino Linotype"/>
          <w:b/>
          <w:i/>
          <w:sz w:val="22"/>
          <w:szCs w:val="22"/>
        </w:rPr>
        <w:t xml:space="preserve">La obligación de proporcionar información no comprende el procesamiento de la misma, ni el presentarla conforme al interés del solicitante; no estarán obligados a generarla, resumirla, efectuar cálculos o practicar investigaciones.” </w:t>
      </w:r>
    </w:p>
    <w:p w14:paraId="2E835956" w14:textId="77777777" w:rsidR="007601E8" w:rsidRPr="00652E2C" w:rsidRDefault="00DA5AD2">
      <w:pPr>
        <w:spacing w:before="240" w:after="240" w:line="360" w:lineRule="auto"/>
        <w:ind w:right="-93"/>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Es decir, que todo sujeto obligado que genere, recopile, administre, procese, archive, posea o conserven, son responsables de la misma teniendo a su vez la obligación de proporcionar la información que se les requiera sin necesidad de resumirla, efectuar procedimientos para obtenerla, calcular y practicar investigaciones; en otras palabras, que los Sujetos Obligados solo se concretaran a proporcionar la información solicitada que tengan en su poder en el estado que se encuentran, sin necesidad de concretarse al interés o términos específicos del solicitante.</w:t>
      </w:r>
    </w:p>
    <w:p w14:paraId="0006F4F0" w14:textId="77777777" w:rsidR="007601E8" w:rsidRPr="00652E2C" w:rsidRDefault="00DA5AD2">
      <w:pPr>
        <w:spacing w:before="240" w:after="240" w:line="360" w:lineRule="auto"/>
        <w:jc w:val="both"/>
        <w:rPr>
          <w:rFonts w:ascii="Palatino Linotype" w:eastAsia="Palatino Linotype" w:hAnsi="Palatino Linotype" w:cs="Palatino Linotype"/>
          <w:b/>
          <w:sz w:val="22"/>
          <w:szCs w:val="22"/>
        </w:rPr>
      </w:pPr>
      <w:r w:rsidRPr="00652E2C">
        <w:rPr>
          <w:rFonts w:ascii="Palatino Linotype" w:eastAsia="Palatino Linotype" w:hAnsi="Palatino Linotype" w:cs="Palatino Linotype"/>
          <w:sz w:val="22"/>
          <w:szCs w:val="22"/>
        </w:rPr>
        <w:t xml:space="preserve">Sirve de apoyo a lo anterior, el criterio 03/17, emitido por el Instituto Nacional de Transparencia, Acceso a la Información y Protección de Datos Personales, </w:t>
      </w:r>
      <w:proofErr w:type="gramStart"/>
      <w:r w:rsidRPr="00652E2C">
        <w:rPr>
          <w:rFonts w:ascii="Palatino Linotype" w:eastAsia="Palatino Linotype" w:hAnsi="Palatino Linotype" w:cs="Palatino Linotype"/>
          <w:sz w:val="22"/>
          <w:szCs w:val="22"/>
        </w:rPr>
        <w:t>que</w:t>
      </w:r>
      <w:proofErr w:type="gramEnd"/>
      <w:r w:rsidRPr="00652E2C">
        <w:rPr>
          <w:rFonts w:ascii="Palatino Linotype" w:eastAsia="Palatino Linotype" w:hAnsi="Palatino Linotype" w:cs="Palatino Linotype"/>
          <w:sz w:val="22"/>
          <w:szCs w:val="22"/>
        </w:rPr>
        <w:t xml:space="preserve"> por rubro y texto, dispone lo siguiente:</w:t>
      </w:r>
      <w:r w:rsidRPr="00652E2C">
        <w:rPr>
          <w:rFonts w:ascii="Palatino Linotype" w:eastAsia="Palatino Linotype" w:hAnsi="Palatino Linotype" w:cs="Palatino Linotype"/>
          <w:b/>
          <w:sz w:val="22"/>
          <w:szCs w:val="22"/>
        </w:rPr>
        <w:t xml:space="preserve"> </w:t>
      </w:r>
    </w:p>
    <w:p w14:paraId="25EF539C" w14:textId="77777777" w:rsidR="007601E8" w:rsidRPr="00652E2C" w:rsidRDefault="00DA5AD2" w:rsidP="003A750A">
      <w:pPr>
        <w:spacing w:before="120" w:after="120"/>
        <w:ind w:left="567" w:right="902"/>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w:t>
      </w:r>
      <w:r w:rsidRPr="00652E2C">
        <w:rPr>
          <w:rFonts w:ascii="Palatino Linotype" w:eastAsia="Palatino Linotype" w:hAnsi="Palatino Linotype" w:cs="Palatino Linotype"/>
          <w:b/>
          <w:i/>
          <w:sz w:val="22"/>
          <w:szCs w:val="22"/>
        </w:rPr>
        <w:t>No existe obligación de elaborar documentos ad hoc para atender las solicitudes de acceso a la información.</w:t>
      </w:r>
      <w:r w:rsidRPr="00652E2C">
        <w:rPr>
          <w:rFonts w:ascii="Palatino Linotype" w:eastAsia="Palatino Linotype" w:hAnsi="Palatino Linotype" w:cs="Palatino Linotype"/>
          <w:i/>
          <w:sz w:val="22"/>
          <w:szCs w:val="22"/>
        </w:rPr>
        <w:t xml:space="preserve"> Los artículos 129 de la Ley General de Transparencia y Acceso a la Información Pública y 130, párrafo cuarto, de la Ley Federal de Transparencia y Acceso a la Información Pública, señalan que los sujetos obligados deberán otorgar acceso a los documentos que se encuentren en sus archivos o que estén obligados a documentar, de acuerdo con sus facultades, competencias o funciones, conforme a las características físicas de la información o del lugar donde se encuentre. Por lo anterior, los sujetos obligados deben garantizar el derecho de acceso a la información del particular, proporcionando la información con la que cuentan en el formato en que la misma obre en sus archivos; sin necesidad de elaborar documentos ad hoc para atender las solicitudes de información.”</w:t>
      </w:r>
    </w:p>
    <w:p w14:paraId="696758E5" w14:textId="77777777" w:rsidR="007601E8" w:rsidRPr="00652E2C" w:rsidRDefault="00DA5AD2">
      <w:pPr>
        <w:spacing w:before="120" w:after="12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En esa tesitura, el artículo 24 en su último párrafo de la Ley de la Materia, dispone que los Sujetos Obligados sólo proporcionarán la información pública que generen, administren o posean en el ejercicio de sus atribuciones; por consiguiente, la información pública se encuentra a disposición de cualquier persona, lo que implica que es deber de los Sujetos Obligados, garantizar el Derecho de Acceso a la Información Pública.</w:t>
      </w:r>
    </w:p>
    <w:p w14:paraId="3CCA2CC6" w14:textId="77777777" w:rsidR="007601E8" w:rsidRPr="00652E2C" w:rsidRDefault="00DA5AD2">
      <w:pPr>
        <w:spacing w:before="120" w:after="12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lastRenderedPageBreak/>
        <w:t xml:space="preserve">En conclusión, el derecho de acceso a la información pública, consiste en que la información solicitada conste en un documento en cualquiera de sus formas, a saber: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los que, podrán estar en cualquier medio, sea escrito, impreso, sonoro, visual, electrónico, informático u holográfico de conformidad con el artículo 3, fracción XI de la Ley de la materia, el cual señala lo siguiente: </w:t>
      </w:r>
    </w:p>
    <w:p w14:paraId="33246AC4" w14:textId="77777777" w:rsidR="007601E8" w:rsidRPr="00652E2C" w:rsidRDefault="00DA5AD2">
      <w:pPr>
        <w:spacing w:before="120" w:after="120"/>
        <w:ind w:left="567" w:right="902"/>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w:t>
      </w:r>
      <w:r w:rsidRPr="00652E2C">
        <w:rPr>
          <w:rFonts w:ascii="Palatino Linotype" w:eastAsia="Palatino Linotype" w:hAnsi="Palatino Linotype" w:cs="Palatino Linotype"/>
          <w:b/>
          <w:i/>
          <w:sz w:val="22"/>
          <w:szCs w:val="22"/>
        </w:rPr>
        <w:t xml:space="preserve">Artículo 3. </w:t>
      </w:r>
      <w:r w:rsidRPr="00652E2C">
        <w:rPr>
          <w:rFonts w:ascii="Palatino Linotype" w:eastAsia="Palatino Linotype" w:hAnsi="Palatino Linotype" w:cs="Palatino Linotype"/>
          <w:i/>
          <w:sz w:val="22"/>
          <w:szCs w:val="22"/>
        </w:rPr>
        <w:t>Para los efectos de la presente Ley se entenderá por:</w:t>
      </w:r>
    </w:p>
    <w:p w14:paraId="1720BBF2" w14:textId="77777777" w:rsidR="007601E8" w:rsidRPr="00652E2C" w:rsidRDefault="00DA5AD2">
      <w:pPr>
        <w:spacing w:before="120" w:after="120"/>
        <w:ind w:left="567" w:right="902"/>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w:t>
      </w:r>
    </w:p>
    <w:p w14:paraId="5DD6E51D" w14:textId="77777777" w:rsidR="007601E8" w:rsidRPr="00652E2C" w:rsidRDefault="00DA5AD2">
      <w:pPr>
        <w:spacing w:before="120" w:after="120"/>
        <w:ind w:left="567" w:right="902"/>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XI. Documento:</w:t>
      </w:r>
      <w:r w:rsidRPr="00652E2C">
        <w:rPr>
          <w:rFonts w:ascii="Palatino Linotype" w:eastAsia="Palatino Linotype" w:hAnsi="Palatino Linotype" w:cs="Palatino Linotype"/>
          <w:i/>
          <w:sz w:val="22"/>
          <w:szCs w:val="22"/>
        </w:rPr>
        <w:t xml:space="preserve"> Los expedientes, reportes, estudios, actas</w:t>
      </w:r>
      <w:r w:rsidRPr="00652E2C">
        <w:rPr>
          <w:rFonts w:ascii="Palatino Linotype" w:eastAsia="Palatino Linotype" w:hAnsi="Palatino Linotype" w:cs="Palatino Linotype"/>
          <w:b/>
          <w:i/>
          <w:sz w:val="22"/>
          <w:szCs w:val="22"/>
        </w:rPr>
        <w:t>,</w:t>
      </w:r>
      <w:r w:rsidRPr="00652E2C">
        <w:rPr>
          <w:rFonts w:ascii="Palatino Linotype" w:eastAsia="Palatino Linotype" w:hAnsi="Palatino Linotype" w:cs="Palatino Linotype"/>
          <w:i/>
          <w:sz w:val="22"/>
          <w:szCs w:val="22"/>
        </w:rPr>
        <w:t xml:space="preserve"> resoluciones, oficios, correspondencia, acuerdos, directivas, directrices, circulares, contratos, convenios, instructivos, notas, memorandos, estadísticas o bien, cualquier otro registro que documente el ejercicio de las facultades, funciones y competencias de los sujetos obligados, sus servidores públicos e integrantes, sin importar su fuente o fecha de elaboración. Los documentos podrán estar en cualquier medio, sea escrito, impreso, sonoro, visual, electrónico, informático u holográfico…” </w:t>
      </w:r>
    </w:p>
    <w:p w14:paraId="18207E34" w14:textId="77777777" w:rsidR="007601E8" w:rsidRPr="00652E2C" w:rsidRDefault="00DA5AD2">
      <w:pP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Siendo aplicable, el Criterio de interpretación en el orden administrativo número 0002-11, emitido por Acuerdo del Pleno del Instituto de Transparencia y Acceso a la Información Pública del Estado de México y Municipios; publicado en el Periódico Oficial del Gobierno del Estado Libre y Soberano de México “Gaceta del Gobierno”, el diecinueve de octubre de dos mil once, cuyo rubro y texto refieren lo siguiente:</w:t>
      </w:r>
    </w:p>
    <w:p w14:paraId="31963D40" w14:textId="77777777" w:rsidR="007601E8" w:rsidRPr="00652E2C" w:rsidRDefault="00DA5AD2">
      <w:pPr>
        <w:spacing w:before="120" w:after="120"/>
        <w:ind w:left="567" w:right="902"/>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sz w:val="22"/>
          <w:szCs w:val="22"/>
        </w:rPr>
        <w:t>“</w:t>
      </w:r>
      <w:r w:rsidRPr="00652E2C">
        <w:rPr>
          <w:rFonts w:ascii="Palatino Linotype" w:eastAsia="Palatino Linotype" w:hAnsi="Palatino Linotype" w:cs="Palatino Linotype"/>
          <w:b/>
          <w:i/>
          <w:sz w:val="22"/>
          <w:szCs w:val="22"/>
        </w:rPr>
        <w:t>INFORMACIÓN PÚBLICA, CONCEPTO DE, EN MATERIA DE TRANSPARENCIA. INTERPRETACIÓN SISTEMÁTICA DE LOS ARTÍCULOS 2°, FRACCIÓN V, XV, Y XVI, 3°, 4°, 11 Y 41.</w:t>
      </w:r>
      <w:r w:rsidRPr="00652E2C">
        <w:rPr>
          <w:rFonts w:ascii="Palatino Linotype" w:eastAsia="Palatino Linotype" w:hAnsi="Palatino Linotype" w:cs="Palatino Linotype"/>
          <w:i/>
          <w:sz w:val="22"/>
          <w:szCs w:val="22"/>
        </w:rPr>
        <w:t xml:space="preserve"> De conformidad con los artículos antes referidos, el derecho de acceso a la información pública, se define en cuanto a su alcance y resultado material, el acceso a los archivos, registros y documentos públicos, administrados, generados o en posesión de los órganos u organismos públicos, en virtud del ejercicio de sus funciones de derecho público, sin importar su fuente, soporte o fecha de elaboración.</w:t>
      </w:r>
    </w:p>
    <w:p w14:paraId="6BB8881B" w14:textId="77777777" w:rsidR="007601E8" w:rsidRPr="00652E2C" w:rsidRDefault="00DA5AD2">
      <w:pPr>
        <w:spacing w:before="120" w:after="120"/>
        <w:ind w:left="567" w:right="902"/>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lastRenderedPageBreak/>
        <w:t xml:space="preserve">En </w:t>
      </w:r>
      <w:proofErr w:type="gramStart"/>
      <w:r w:rsidRPr="00652E2C">
        <w:rPr>
          <w:rFonts w:ascii="Palatino Linotype" w:eastAsia="Palatino Linotype" w:hAnsi="Palatino Linotype" w:cs="Palatino Linotype"/>
          <w:i/>
          <w:sz w:val="22"/>
          <w:szCs w:val="22"/>
        </w:rPr>
        <w:t>consecuencia</w:t>
      </w:r>
      <w:proofErr w:type="gramEnd"/>
      <w:r w:rsidRPr="00652E2C">
        <w:rPr>
          <w:rFonts w:ascii="Palatino Linotype" w:eastAsia="Palatino Linotype" w:hAnsi="Palatino Linotype" w:cs="Palatino Linotype"/>
          <w:i/>
          <w:sz w:val="22"/>
          <w:szCs w:val="22"/>
        </w:rPr>
        <w:t xml:space="preserve"> el acceso a la información se refiere a que se cumplan cualquiera de los siguientes tres supuestos:</w:t>
      </w:r>
    </w:p>
    <w:p w14:paraId="214A5511" w14:textId="77777777" w:rsidR="007601E8" w:rsidRPr="00652E2C" w:rsidRDefault="00DA5AD2">
      <w:pPr>
        <w:spacing w:before="120" w:after="120"/>
        <w:ind w:left="567" w:right="902"/>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 xml:space="preserve">1) Que se trate de información registrada en cualquier soporte documental, </w:t>
      </w:r>
      <w:proofErr w:type="gramStart"/>
      <w:r w:rsidRPr="00652E2C">
        <w:rPr>
          <w:rFonts w:ascii="Palatino Linotype" w:eastAsia="Palatino Linotype" w:hAnsi="Palatino Linotype" w:cs="Palatino Linotype"/>
          <w:i/>
          <w:sz w:val="22"/>
          <w:szCs w:val="22"/>
        </w:rPr>
        <w:t>que</w:t>
      </w:r>
      <w:proofErr w:type="gramEnd"/>
      <w:r w:rsidRPr="00652E2C">
        <w:rPr>
          <w:rFonts w:ascii="Palatino Linotype" w:eastAsia="Palatino Linotype" w:hAnsi="Palatino Linotype" w:cs="Palatino Linotype"/>
          <w:i/>
          <w:sz w:val="22"/>
          <w:szCs w:val="22"/>
        </w:rPr>
        <w:t xml:space="preserve"> en ejercicio de las atribuciones conferidas, sea generada por los Sujetos Obligados;</w:t>
      </w:r>
    </w:p>
    <w:p w14:paraId="3BAE3E53" w14:textId="77777777" w:rsidR="007601E8" w:rsidRPr="00652E2C" w:rsidRDefault="00DA5AD2">
      <w:pPr>
        <w:spacing w:before="120" w:after="120"/>
        <w:ind w:left="567" w:right="902"/>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 xml:space="preserve">2) Que se trate de información registrada en cualquier soporte documental, </w:t>
      </w:r>
      <w:proofErr w:type="gramStart"/>
      <w:r w:rsidRPr="00652E2C">
        <w:rPr>
          <w:rFonts w:ascii="Palatino Linotype" w:eastAsia="Palatino Linotype" w:hAnsi="Palatino Linotype" w:cs="Palatino Linotype"/>
          <w:i/>
          <w:sz w:val="22"/>
          <w:szCs w:val="22"/>
        </w:rPr>
        <w:t>que</w:t>
      </w:r>
      <w:proofErr w:type="gramEnd"/>
      <w:r w:rsidRPr="00652E2C">
        <w:rPr>
          <w:rFonts w:ascii="Palatino Linotype" w:eastAsia="Palatino Linotype" w:hAnsi="Palatino Linotype" w:cs="Palatino Linotype"/>
          <w:i/>
          <w:sz w:val="22"/>
          <w:szCs w:val="22"/>
        </w:rPr>
        <w:t xml:space="preserve"> en ejercicio de las atribuciones conferidas, sea administrada por los Sujetos Obligados, y</w:t>
      </w:r>
    </w:p>
    <w:p w14:paraId="2699C521" w14:textId="77777777" w:rsidR="007601E8" w:rsidRPr="00652E2C" w:rsidRDefault="00DA5AD2">
      <w:pPr>
        <w:spacing w:before="120" w:after="120"/>
        <w:ind w:left="567" w:right="902"/>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 xml:space="preserve">3) Que se trate de información registrada en cualquier soporte documental, </w:t>
      </w:r>
      <w:proofErr w:type="gramStart"/>
      <w:r w:rsidRPr="00652E2C">
        <w:rPr>
          <w:rFonts w:ascii="Palatino Linotype" w:eastAsia="Palatino Linotype" w:hAnsi="Palatino Linotype" w:cs="Palatino Linotype"/>
          <w:i/>
          <w:sz w:val="22"/>
          <w:szCs w:val="22"/>
        </w:rPr>
        <w:t>que</w:t>
      </w:r>
      <w:proofErr w:type="gramEnd"/>
      <w:r w:rsidRPr="00652E2C">
        <w:rPr>
          <w:rFonts w:ascii="Palatino Linotype" w:eastAsia="Palatino Linotype" w:hAnsi="Palatino Linotype" w:cs="Palatino Linotype"/>
          <w:i/>
          <w:sz w:val="22"/>
          <w:szCs w:val="22"/>
        </w:rPr>
        <w:t xml:space="preserve"> en ejercicio de las atribuciones conferidas, se encuentre en posesión de los Sujetos Obligados.” </w:t>
      </w:r>
    </w:p>
    <w:p w14:paraId="742C47B2" w14:textId="77777777" w:rsidR="007601E8" w:rsidRPr="00652E2C" w:rsidRDefault="00DA5AD2">
      <w:pPr>
        <w:spacing w:before="240" w:after="240" w:line="360" w:lineRule="auto"/>
        <w:ind w:right="51"/>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Lo anterior, siempre y cuando no se trate de información clasificada como reservada o confidencial, cuya difusión pueda lesionar el interés jurídicamente protegido por la Ley, producir un daño mayor que el interés de conocerse, o bien, generar un daño en los derechos de las personas, debiendo tener audacia los Sujetos Obligados para cuidar esta información a través del acuerdo clasificatorio del comité de transparencia y la versión pública que emita el servidor público habilitado de cada Sujeto Obligado; como así se establece en la Ley de Transparencia y Acceso a la Información Pública del Estado de México y Municipios.</w:t>
      </w:r>
    </w:p>
    <w:p w14:paraId="61C76728" w14:textId="77777777" w:rsidR="007601E8" w:rsidRPr="00652E2C" w:rsidRDefault="00DA5AD2">
      <w:pP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 xml:space="preserve">En el mismo tenor, los artículos 6, apartado A, fracción I, de la Constitución Política de los Estados Unidos Mexicanos y 5, fracción I, de la Constitución Política del Estado Libre y Soberano de México, establecen que toda la información en posesión de cualquier autoridad, entidad, órgano y organismos de los Poderes Ejecutivo, Legislativo y Judicial, órganos autónomos, partidos políticos, fideicomisos y fondos públicos estatales y municipales, así como del gobierno y de la administración pública municipal y sus organismos descentralizados, asimismo de cualquier persona física, jurídica colectiva o sindicato que reciba y ejerza recursos públicos o realice actos de autoridad en el ámbito estatal y municipal, es pública y sólo podrá ser reservada temporalmente por las razones </w:t>
      </w:r>
      <w:r w:rsidRPr="00652E2C">
        <w:rPr>
          <w:rFonts w:ascii="Palatino Linotype" w:eastAsia="Palatino Linotype" w:hAnsi="Palatino Linotype" w:cs="Palatino Linotype"/>
          <w:sz w:val="22"/>
          <w:szCs w:val="22"/>
        </w:rPr>
        <w:lastRenderedPageBreak/>
        <w:t>previstas en la Constitución Federal por interés público y seguridad, en los términos que fijen las leyes de la materia.</w:t>
      </w:r>
    </w:p>
    <w:p w14:paraId="39CD4E29" w14:textId="77777777" w:rsidR="003A750A" w:rsidRPr="00652E2C" w:rsidRDefault="00DA5AD2" w:rsidP="003A750A">
      <w:pP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 xml:space="preserve">Ahora bien, del análisis de la solicitud de información, motivo del recurso de revisión que ahora se resuelve, se advierte que </w:t>
      </w:r>
      <w:r w:rsidRPr="00652E2C">
        <w:rPr>
          <w:rFonts w:ascii="Palatino Linotype" w:eastAsia="Palatino Linotype" w:hAnsi="Palatino Linotype" w:cs="Palatino Linotype"/>
          <w:b/>
          <w:sz w:val="22"/>
          <w:szCs w:val="22"/>
        </w:rPr>
        <w:t>la parte</w:t>
      </w:r>
      <w:r w:rsidRPr="00652E2C">
        <w:rPr>
          <w:rFonts w:ascii="Palatino Linotype" w:eastAsia="Palatino Linotype" w:hAnsi="Palatino Linotype" w:cs="Palatino Linotype"/>
          <w:sz w:val="22"/>
          <w:szCs w:val="22"/>
        </w:rPr>
        <w:t xml:space="preserve"> </w:t>
      </w:r>
      <w:r w:rsidRPr="00652E2C">
        <w:rPr>
          <w:rFonts w:ascii="Palatino Linotype" w:eastAsia="Palatino Linotype" w:hAnsi="Palatino Linotype" w:cs="Palatino Linotype"/>
          <w:b/>
          <w:sz w:val="22"/>
          <w:szCs w:val="22"/>
        </w:rPr>
        <w:t>Recurrente</w:t>
      </w:r>
      <w:r w:rsidRPr="00652E2C">
        <w:rPr>
          <w:rFonts w:ascii="Palatino Linotype" w:eastAsia="Palatino Linotype" w:hAnsi="Palatino Linotype" w:cs="Palatino Linotype"/>
          <w:sz w:val="22"/>
          <w:szCs w:val="22"/>
        </w:rPr>
        <w:t xml:space="preserve"> requirió al </w:t>
      </w:r>
      <w:r w:rsidRPr="00652E2C">
        <w:rPr>
          <w:rFonts w:ascii="Palatino Linotype" w:eastAsia="Palatino Linotype" w:hAnsi="Palatino Linotype" w:cs="Palatino Linotype"/>
          <w:b/>
          <w:sz w:val="22"/>
          <w:szCs w:val="22"/>
        </w:rPr>
        <w:t xml:space="preserve">Sujeto Obligado </w:t>
      </w:r>
      <w:r w:rsidRPr="00652E2C">
        <w:rPr>
          <w:rFonts w:ascii="Palatino Linotype" w:eastAsia="Palatino Linotype" w:hAnsi="Palatino Linotype" w:cs="Palatino Linotype"/>
          <w:sz w:val="22"/>
          <w:szCs w:val="22"/>
        </w:rPr>
        <w:t>le proporcione, información consistente en lo siguiente:</w:t>
      </w:r>
    </w:p>
    <w:p w14:paraId="143C5290" w14:textId="77777777" w:rsidR="0049164C" w:rsidRPr="00652E2C" w:rsidRDefault="0049164C" w:rsidP="00A60982">
      <w:pPr>
        <w:pStyle w:val="Prrafodelista"/>
        <w:numPr>
          <w:ilvl w:val="0"/>
          <w:numId w:val="12"/>
        </w:numPr>
        <w:spacing w:before="240" w:after="240" w:line="360" w:lineRule="auto"/>
        <w:ind w:left="567" w:right="851" w:hanging="283"/>
        <w:jc w:val="both"/>
        <w:rPr>
          <w:rFonts w:ascii="Palatino Linotype" w:eastAsia="Palatino Linotype" w:hAnsi="Palatino Linotype" w:cs="Palatino Linotype"/>
          <w:b/>
          <w:sz w:val="22"/>
          <w:szCs w:val="22"/>
        </w:rPr>
      </w:pPr>
      <w:r w:rsidRPr="00652E2C">
        <w:rPr>
          <w:rFonts w:ascii="Palatino Linotype" w:eastAsia="Palatino Linotype" w:hAnsi="Palatino Linotype" w:cs="Palatino Linotype"/>
          <w:b/>
          <w:sz w:val="22"/>
          <w:szCs w:val="22"/>
        </w:rPr>
        <w:t>T</w:t>
      </w:r>
      <w:r w:rsidRPr="00652E2C">
        <w:rPr>
          <w:rFonts w:ascii="Palatino Linotype" w:eastAsia="Palatino Linotype" w:hAnsi="Palatino Linotype" w:cs="Palatino Linotype"/>
          <w:b/>
          <w:sz w:val="22"/>
          <w:szCs w:val="22"/>
          <w:u w:val="single"/>
        </w:rPr>
        <w:t xml:space="preserve">odos </w:t>
      </w:r>
      <w:r w:rsidRPr="00652E2C">
        <w:rPr>
          <w:rFonts w:ascii="Palatino Linotype" w:eastAsia="Palatino Linotype" w:hAnsi="Palatino Linotype" w:cs="Palatino Linotype"/>
          <w:b/>
          <w:sz w:val="22"/>
          <w:szCs w:val="22"/>
        </w:rPr>
        <w:t xml:space="preserve">los correos electrónicos enviados y recibidos por la C. Luz María Cuero Hernández, como </w:t>
      </w:r>
      <w:proofErr w:type="gramStart"/>
      <w:r w:rsidRPr="00652E2C">
        <w:rPr>
          <w:rFonts w:ascii="Palatino Linotype" w:eastAsia="Palatino Linotype" w:hAnsi="Palatino Linotype" w:cs="Palatino Linotype"/>
          <w:b/>
          <w:sz w:val="22"/>
          <w:szCs w:val="22"/>
        </w:rPr>
        <w:t>Directora</w:t>
      </w:r>
      <w:proofErr w:type="gramEnd"/>
      <w:r w:rsidRPr="00652E2C">
        <w:rPr>
          <w:rFonts w:ascii="Palatino Linotype" w:eastAsia="Palatino Linotype" w:hAnsi="Palatino Linotype" w:cs="Palatino Linotype"/>
          <w:b/>
          <w:sz w:val="22"/>
          <w:szCs w:val="22"/>
        </w:rPr>
        <w:t xml:space="preserve"> de Área de la Dirección General de Evaluación del Desempeño Institucional de la Secretaría de Finanzas del Gobierno del Estado de México, respaldos que obran en la Unidad de Tecnologías de Información y Comunicaciones.</w:t>
      </w:r>
    </w:p>
    <w:p w14:paraId="693825B8" w14:textId="77777777" w:rsidR="0049164C" w:rsidRPr="00652E2C" w:rsidRDefault="00DA5AD2" w:rsidP="00164F1D">
      <w:pPr>
        <w:spacing w:before="240" w:after="240" w:line="360" w:lineRule="auto"/>
        <w:ind w:right="49"/>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 xml:space="preserve">En respuesta, el </w:t>
      </w:r>
      <w:r w:rsidRPr="00652E2C">
        <w:rPr>
          <w:rFonts w:ascii="Palatino Linotype" w:eastAsia="Palatino Linotype" w:hAnsi="Palatino Linotype" w:cs="Palatino Linotype"/>
          <w:b/>
          <w:sz w:val="22"/>
          <w:szCs w:val="22"/>
        </w:rPr>
        <w:t>Sujeto Obligado</w:t>
      </w:r>
      <w:r w:rsidR="003A750A" w:rsidRPr="00652E2C">
        <w:rPr>
          <w:rFonts w:ascii="Palatino Linotype" w:eastAsia="Palatino Linotype" w:hAnsi="Palatino Linotype" w:cs="Palatino Linotype"/>
          <w:sz w:val="22"/>
          <w:szCs w:val="22"/>
        </w:rPr>
        <w:t xml:space="preserve"> </w:t>
      </w:r>
      <w:r w:rsidR="0049164C" w:rsidRPr="00652E2C">
        <w:rPr>
          <w:rFonts w:ascii="Palatino Linotype" w:eastAsia="Palatino Linotype" w:hAnsi="Palatino Linotype" w:cs="Palatino Linotype"/>
          <w:sz w:val="22"/>
          <w:szCs w:val="22"/>
        </w:rPr>
        <w:t>se pronunció por conducto de</w:t>
      </w:r>
      <w:r w:rsidR="00A60982" w:rsidRPr="00652E2C">
        <w:rPr>
          <w:rFonts w:ascii="Palatino Linotype" w:eastAsia="Palatino Linotype" w:hAnsi="Palatino Linotype" w:cs="Palatino Linotype"/>
          <w:sz w:val="22"/>
          <w:szCs w:val="22"/>
        </w:rPr>
        <w:t>l Servidor Público Habilitado Suplente de la Subsecretaría de Planeación y Presupuesto, en el que solicita someter a consideración del Comité de Transparencia, la clasificación como confidencial de los datos personales que se desprendan de los correos electrónicos personales y teléfonos personales de particulares, que de manera anexa se remiten y que corresponden a los correos electrónicos enviados y recibidos de la servidora pública Luz María Cuero Hernández, que se anexan en digital.</w:t>
      </w:r>
    </w:p>
    <w:p w14:paraId="2A0BE1A8" w14:textId="77777777" w:rsidR="00A60982" w:rsidRPr="00652E2C" w:rsidRDefault="00DA5AD2">
      <w:pPr>
        <w:spacing w:before="240" w:after="240" w:line="360" w:lineRule="auto"/>
        <w:ind w:right="49"/>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Conocida la respuesta por la persona solicitante, al no estar conforme con los términos de la misma, interpuso el recurso de revisión que nos ocupa, mediante el cual se inconformó medularmente por</w:t>
      </w:r>
      <w:r w:rsidR="00A60982" w:rsidRPr="00652E2C">
        <w:rPr>
          <w:rFonts w:ascii="Palatino Linotype" w:eastAsia="Palatino Linotype" w:hAnsi="Palatino Linotype" w:cs="Palatino Linotype"/>
          <w:sz w:val="22"/>
          <w:szCs w:val="22"/>
        </w:rPr>
        <w:t>que a su consideración no se realizó una búsqueda exhaustiva en los respaldos que obran en la Unidad de Tecnologías de Información y Comunicaciones.</w:t>
      </w:r>
    </w:p>
    <w:p w14:paraId="24DCAD65" w14:textId="77777777" w:rsidR="007601E8" w:rsidRPr="00652E2C" w:rsidRDefault="00DA5AD2">
      <w:pPr>
        <w:spacing w:before="240" w:after="240" w:line="360" w:lineRule="auto"/>
        <w:ind w:right="49"/>
        <w:jc w:val="both"/>
        <w:rPr>
          <w:rFonts w:ascii="Palatino Linotype" w:eastAsia="Palatino Linotype" w:hAnsi="Palatino Linotype" w:cs="Palatino Linotype"/>
          <w:b/>
          <w:sz w:val="22"/>
          <w:szCs w:val="22"/>
        </w:rPr>
      </w:pPr>
      <w:r w:rsidRPr="00652E2C">
        <w:rPr>
          <w:rFonts w:ascii="Palatino Linotype" w:eastAsia="Palatino Linotype" w:hAnsi="Palatino Linotype" w:cs="Palatino Linotype"/>
          <w:sz w:val="22"/>
          <w:szCs w:val="22"/>
        </w:rPr>
        <w:lastRenderedPageBreak/>
        <w:t>Admitido el presente recurso de revisión, en términos del artículo 185 fracción II</w:t>
      </w:r>
      <w:r w:rsidRPr="00652E2C">
        <w:rPr>
          <w:rFonts w:ascii="Palatino Linotype" w:eastAsia="Palatino Linotype" w:hAnsi="Palatino Linotype" w:cs="Palatino Linotype"/>
          <w:sz w:val="22"/>
          <w:szCs w:val="22"/>
          <w:vertAlign w:val="superscript"/>
        </w:rPr>
        <w:footnoteReference w:id="1"/>
      </w:r>
      <w:r w:rsidRPr="00652E2C">
        <w:rPr>
          <w:rFonts w:ascii="Palatino Linotype" w:eastAsia="Palatino Linotype" w:hAnsi="Palatino Linotype" w:cs="Palatino Linotype"/>
          <w:sz w:val="22"/>
          <w:szCs w:val="22"/>
        </w:rPr>
        <w:t xml:space="preserve"> de la Ley de Transparencia y Acceso a la Información Pública del Estado de México y Municipios, se integró el expediente y se puso a disposición de las partes para que, en un plazo máximo de siete días hábiles, manifestaran lo que a su derecho resultara conveniente, teniendo así que</w:t>
      </w:r>
      <w:r w:rsidR="003A750A" w:rsidRPr="00652E2C">
        <w:rPr>
          <w:rFonts w:ascii="Palatino Linotype" w:eastAsia="Palatino Linotype" w:hAnsi="Palatino Linotype" w:cs="Palatino Linotype"/>
          <w:sz w:val="22"/>
          <w:szCs w:val="22"/>
        </w:rPr>
        <w:t xml:space="preserve"> </w:t>
      </w:r>
      <w:r w:rsidR="00A60982" w:rsidRPr="00652E2C">
        <w:rPr>
          <w:rFonts w:ascii="Palatino Linotype" w:eastAsia="Palatino Linotype" w:hAnsi="Palatino Linotype" w:cs="Palatino Linotype"/>
          <w:sz w:val="22"/>
          <w:szCs w:val="22"/>
        </w:rPr>
        <w:t xml:space="preserve">el </w:t>
      </w:r>
      <w:r w:rsidR="00A60982" w:rsidRPr="00652E2C">
        <w:rPr>
          <w:rFonts w:ascii="Palatino Linotype" w:eastAsia="Palatino Linotype" w:hAnsi="Palatino Linotype" w:cs="Palatino Linotype"/>
          <w:b/>
          <w:sz w:val="22"/>
          <w:szCs w:val="22"/>
        </w:rPr>
        <w:t>Sujeto Obligado</w:t>
      </w:r>
      <w:r w:rsidR="00A60982" w:rsidRPr="00652E2C">
        <w:rPr>
          <w:rFonts w:ascii="Palatino Linotype" w:eastAsia="Palatino Linotype" w:hAnsi="Palatino Linotype" w:cs="Palatino Linotype"/>
          <w:sz w:val="22"/>
          <w:szCs w:val="22"/>
        </w:rPr>
        <w:t xml:space="preserve"> ratificó los términos de su respuesta, mientras que </w:t>
      </w:r>
      <w:r w:rsidR="00A60982" w:rsidRPr="00652E2C">
        <w:rPr>
          <w:rFonts w:ascii="Palatino Linotype" w:eastAsia="Palatino Linotype" w:hAnsi="Palatino Linotype" w:cs="Palatino Linotype"/>
          <w:b/>
          <w:sz w:val="22"/>
          <w:szCs w:val="22"/>
        </w:rPr>
        <w:t xml:space="preserve">la parte Recurrente </w:t>
      </w:r>
      <w:r w:rsidR="003A750A" w:rsidRPr="00652E2C">
        <w:rPr>
          <w:rFonts w:ascii="Palatino Linotype" w:eastAsia="Palatino Linotype" w:hAnsi="Palatino Linotype" w:cs="Palatino Linotype"/>
          <w:sz w:val="22"/>
          <w:szCs w:val="22"/>
        </w:rPr>
        <w:t>fue omisa</w:t>
      </w:r>
      <w:r w:rsidRPr="00652E2C">
        <w:rPr>
          <w:rFonts w:ascii="Palatino Linotype" w:eastAsia="Palatino Linotype" w:hAnsi="Palatino Linotype" w:cs="Palatino Linotype"/>
          <w:sz w:val="22"/>
          <w:szCs w:val="22"/>
        </w:rPr>
        <w:t xml:space="preserve"> en remitir manifestaciones, por lo que se tiene por precluido su derecho para tal efecto.</w:t>
      </w:r>
      <w:r w:rsidRPr="00652E2C">
        <w:rPr>
          <w:rFonts w:ascii="Palatino Linotype" w:eastAsia="Palatino Linotype" w:hAnsi="Palatino Linotype" w:cs="Palatino Linotype"/>
          <w:b/>
          <w:sz w:val="22"/>
          <w:szCs w:val="22"/>
        </w:rPr>
        <w:t xml:space="preserve"> </w:t>
      </w:r>
    </w:p>
    <w:p w14:paraId="40F4BA7B" w14:textId="77777777" w:rsidR="00BF4A74" w:rsidRPr="00652E2C" w:rsidRDefault="00A60982" w:rsidP="003A750A">
      <w:pP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 xml:space="preserve">Una vez establecida la Litis del presente asunto, tenemos </w:t>
      </w:r>
      <w:proofErr w:type="gramStart"/>
      <w:r w:rsidRPr="00652E2C">
        <w:rPr>
          <w:rFonts w:ascii="Palatino Linotype" w:eastAsia="Palatino Linotype" w:hAnsi="Palatino Linotype" w:cs="Palatino Linotype"/>
          <w:sz w:val="22"/>
          <w:szCs w:val="22"/>
        </w:rPr>
        <w:t>que</w:t>
      </w:r>
      <w:proofErr w:type="gramEnd"/>
      <w:r w:rsidRPr="00652E2C">
        <w:rPr>
          <w:rFonts w:ascii="Palatino Linotype" w:eastAsia="Palatino Linotype" w:hAnsi="Palatino Linotype" w:cs="Palatino Linotype"/>
          <w:sz w:val="22"/>
          <w:szCs w:val="22"/>
        </w:rPr>
        <w:t xml:space="preserve"> </w:t>
      </w:r>
      <w:r w:rsidR="00BF4A74" w:rsidRPr="00652E2C">
        <w:rPr>
          <w:rFonts w:ascii="Palatino Linotype" w:eastAsia="Palatino Linotype" w:hAnsi="Palatino Linotype" w:cs="Palatino Linotype"/>
          <w:sz w:val="22"/>
          <w:szCs w:val="22"/>
        </w:rPr>
        <w:t>de una aproximación inicial a la respuesta, observamos que quien se pronunció es el Servidor Público Habilitado Suplente de la Subsecretaría de Planeación y Presupuesto</w:t>
      </w:r>
      <w:r w:rsidR="004B1606" w:rsidRPr="00652E2C">
        <w:rPr>
          <w:rFonts w:ascii="Palatino Linotype" w:eastAsia="Palatino Linotype" w:hAnsi="Palatino Linotype" w:cs="Palatino Linotype"/>
          <w:sz w:val="22"/>
          <w:szCs w:val="22"/>
        </w:rPr>
        <w:t>, persona que conforme a lo siguiente resulta competente para conocer de la solicitud de información:</w:t>
      </w:r>
    </w:p>
    <w:p w14:paraId="07A2E2C5" w14:textId="77777777" w:rsidR="004B1606" w:rsidRPr="00652E2C" w:rsidRDefault="004B1606" w:rsidP="003A750A">
      <w:pP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En primera instancia, el Reglamento Interior de la Secretaría de Finanzas, dispone lo siguiente:</w:t>
      </w:r>
    </w:p>
    <w:p w14:paraId="0EE24A21" w14:textId="77777777" w:rsidR="004B1606" w:rsidRPr="00652E2C" w:rsidRDefault="004B1606" w:rsidP="004B1606">
      <w:pPr>
        <w:spacing w:before="240" w:after="240" w:line="276" w:lineRule="auto"/>
        <w:ind w:left="567" w:right="85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 xml:space="preserve">“Artículo 22. </w:t>
      </w:r>
      <w:r w:rsidRPr="00652E2C">
        <w:rPr>
          <w:rFonts w:ascii="Palatino Linotype" w:eastAsia="Palatino Linotype" w:hAnsi="Palatino Linotype" w:cs="Palatino Linotype"/>
          <w:b/>
          <w:i/>
          <w:sz w:val="22"/>
          <w:szCs w:val="22"/>
        </w:rPr>
        <w:t>Quedan adscritas a la Subsecretaría de Planeación y Presupuesto</w:t>
      </w:r>
      <w:r w:rsidRPr="00652E2C">
        <w:rPr>
          <w:rFonts w:ascii="Palatino Linotype" w:eastAsia="Palatino Linotype" w:hAnsi="Palatino Linotype" w:cs="Palatino Linotype"/>
          <w:i/>
          <w:sz w:val="22"/>
          <w:szCs w:val="22"/>
        </w:rPr>
        <w:t>:</w:t>
      </w:r>
    </w:p>
    <w:p w14:paraId="1A428E0F" w14:textId="77777777" w:rsidR="004B1606" w:rsidRPr="00652E2C" w:rsidRDefault="004B1606" w:rsidP="004B1606">
      <w:pPr>
        <w:spacing w:before="240" w:after="240" w:line="276" w:lineRule="auto"/>
        <w:ind w:left="567" w:right="85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w:t>
      </w:r>
    </w:p>
    <w:p w14:paraId="0650A687" w14:textId="77777777" w:rsidR="004B1606" w:rsidRPr="00652E2C" w:rsidRDefault="004B1606" w:rsidP="004B1606">
      <w:pPr>
        <w:spacing w:before="240" w:after="240" w:line="276" w:lineRule="auto"/>
        <w:ind w:left="567" w:right="851"/>
        <w:jc w:val="both"/>
        <w:rPr>
          <w:rFonts w:ascii="Palatino Linotype" w:eastAsia="Palatino Linotype" w:hAnsi="Palatino Linotype" w:cs="Palatino Linotype"/>
          <w:b/>
          <w:i/>
          <w:sz w:val="22"/>
          <w:szCs w:val="22"/>
          <w:u w:val="single"/>
        </w:rPr>
      </w:pPr>
      <w:r w:rsidRPr="00652E2C">
        <w:rPr>
          <w:rFonts w:ascii="Palatino Linotype" w:eastAsia="Palatino Linotype" w:hAnsi="Palatino Linotype" w:cs="Palatino Linotype"/>
          <w:b/>
          <w:i/>
          <w:sz w:val="22"/>
          <w:szCs w:val="22"/>
          <w:u w:val="single"/>
        </w:rPr>
        <w:t>IV. Dirección General de Evaluación del Desempeño Institucional.”</w:t>
      </w:r>
    </w:p>
    <w:p w14:paraId="5F112AAF" w14:textId="77777777" w:rsidR="00BF4A74" w:rsidRPr="00652E2C" w:rsidRDefault="004B1606" w:rsidP="003A750A">
      <w:pP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 xml:space="preserve">Dicha premisa se refuerza al observar el organigrama vigente a la fecha de la solicitud: </w:t>
      </w:r>
    </w:p>
    <w:p w14:paraId="309F6AC5" w14:textId="77777777" w:rsidR="004B1606" w:rsidRPr="00652E2C" w:rsidRDefault="004B1606" w:rsidP="004B1606">
      <w:pPr>
        <w:spacing w:before="240" w:after="240" w:line="360" w:lineRule="auto"/>
        <w:jc w:val="center"/>
        <w:rPr>
          <w:rFonts w:ascii="Palatino Linotype" w:eastAsia="Palatino Linotype" w:hAnsi="Palatino Linotype" w:cs="Palatino Linotype"/>
          <w:sz w:val="22"/>
          <w:szCs w:val="22"/>
        </w:rPr>
      </w:pPr>
      <w:r w:rsidRPr="00652E2C">
        <w:rPr>
          <w:rFonts w:ascii="Palatino Linotype" w:eastAsia="Palatino Linotype" w:hAnsi="Palatino Linotype" w:cs="Palatino Linotype"/>
          <w:noProof/>
          <w:sz w:val="22"/>
          <w:szCs w:val="22"/>
        </w:rPr>
        <w:lastRenderedPageBreak/>
        <w:drawing>
          <wp:inline distT="0" distB="0" distL="0" distR="0" wp14:anchorId="33AB64D1" wp14:editId="514766D0">
            <wp:extent cx="5048250" cy="4219416"/>
            <wp:effectExtent l="19050" t="19050" r="19050" b="1016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065085" cy="4233487"/>
                    </a:xfrm>
                    <a:prstGeom prst="rect">
                      <a:avLst/>
                    </a:prstGeom>
                    <a:ln>
                      <a:solidFill>
                        <a:schemeClr val="tx1"/>
                      </a:solidFill>
                    </a:ln>
                  </pic:spPr>
                </pic:pic>
              </a:graphicData>
            </a:graphic>
          </wp:inline>
        </w:drawing>
      </w:r>
    </w:p>
    <w:p w14:paraId="6ECFD052" w14:textId="77777777" w:rsidR="004B1606" w:rsidRPr="00652E2C" w:rsidRDefault="004B1606" w:rsidP="003A750A">
      <w:pP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De tal suerte que como se desprende de la ilustración previamente insertada, es posible observar que la Subsecretaría de Planeación y Presupuesto cuenta con la Dirección General de Evaluación del Desempeño Institucional.</w:t>
      </w:r>
    </w:p>
    <w:p w14:paraId="3577C1F1" w14:textId="77777777" w:rsidR="00BF4A74" w:rsidRPr="00652E2C" w:rsidRDefault="004B1606" w:rsidP="003A750A">
      <w:pP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 xml:space="preserve">Ahora bien, de la consulta realizada al portal de Información Pública de Oficio Mexiquense (IPOMEX), se localizó que la persona servidora pública en referencia fungía a partir del 01 de mayo de 2023 como </w:t>
      </w:r>
      <w:proofErr w:type="gramStart"/>
      <w:r w:rsidRPr="00652E2C">
        <w:rPr>
          <w:rFonts w:ascii="Palatino Linotype" w:eastAsia="Palatino Linotype" w:hAnsi="Palatino Linotype" w:cs="Palatino Linotype"/>
          <w:sz w:val="22"/>
          <w:szCs w:val="22"/>
        </w:rPr>
        <w:t>Directora</w:t>
      </w:r>
      <w:proofErr w:type="gramEnd"/>
      <w:r w:rsidRPr="00652E2C">
        <w:rPr>
          <w:rFonts w:ascii="Palatino Linotype" w:eastAsia="Palatino Linotype" w:hAnsi="Palatino Linotype" w:cs="Palatino Linotype"/>
          <w:sz w:val="22"/>
          <w:szCs w:val="22"/>
        </w:rPr>
        <w:t xml:space="preserve"> de Monitoreo y Evaluación, tal como se aprecia en la siguiente ilustración:</w:t>
      </w:r>
    </w:p>
    <w:p w14:paraId="4E58009C" w14:textId="77777777" w:rsidR="00BF4A74" w:rsidRPr="00652E2C" w:rsidRDefault="004B1606" w:rsidP="003A750A">
      <w:pP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noProof/>
          <w:sz w:val="22"/>
          <w:szCs w:val="22"/>
        </w:rPr>
        <w:lastRenderedPageBreak/>
        <mc:AlternateContent>
          <mc:Choice Requires="wps">
            <w:drawing>
              <wp:anchor distT="0" distB="0" distL="114300" distR="114300" simplePos="0" relativeHeight="251659264" behindDoc="0" locked="0" layoutInCell="1" allowOverlap="1" wp14:anchorId="3B401EF1" wp14:editId="25EFD42D">
                <wp:simplePos x="0" y="0"/>
                <wp:positionH relativeFrom="column">
                  <wp:posOffset>91440</wp:posOffset>
                </wp:positionH>
                <wp:positionV relativeFrom="paragraph">
                  <wp:posOffset>894080</wp:posOffset>
                </wp:positionV>
                <wp:extent cx="4600575" cy="923925"/>
                <wp:effectExtent l="57150" t="38100" r="85725" b="104775"/>
                <wp:wrapNone/>
                <wp:docPr id="8" name="Rectángulo 8"/>
                <wp:cNvGraphicFramePr/>
                <a:graphic xmlns:a="http://schemas.openxmlformats.org/drawingml/2006/main">
                  <a:graphicData uri="http://schemas.microsoft.com/office/word/2010/wordprocessingShape">
                    <wps:wsp>
                      <wps:cNvSpPr/>
                      <wps:spPr>
                        <a:xfrm>
                          <a:off x="0" y="0"/>
                          <a:ext cx="4600575" cy="923925"/>
                        </a:xfrm>
                        <a:prstGeom prst="rect">
                          <a:avLst/>
                        </a:prstGeom>
                        <a:noFill/>
                        <a:ln w="38100">
                          <a:solidFill>
                            <a:srgbClr val="0000FF"/>
                          </a:solidFill>
                        </a:ln>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63F3299" id="Rectángulo 8" o:spid="_x0000_s1026" style="position:absolute;margin-left:7.2pt;margin-top:70.4pt;width:362.25pt;height:72.7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" filled="f" strokecolor="blue" strokeweight="3pt">
                <v:shadow on="t" color="black" opacity="22937f" origin=",.5" offset="0,.63889mm"/>
              </v:rect>
            </w:pict>
          </mc:Fallback>
        </mc:AlternateContent>
      </w:r>
      <w:r w:rsidRPr="00652E2C">
        <w:rPr>
          <w:rFonts w:ascii="Palatino Linotype" w:eastAsia="Palatino Linotype" w:hAnsi="Palatino Linotype" w:cs="Palatino Linotype"/>
          <w:noProof/>
          <w:sz w:val="22"/>
          <w:szCs w:val="22"/>
        </w:rPr>
        <w:drawing>
          <wp:inline distT="0" distB="0" distL="0" distR="0" wp14:anchorId="7CAB86E7" wp14:editId="5B6353D6">
            <wp:extent cx="5268060" cy="4296375"/>
            <wp:effectExtent l="19050" t="19050" r="8890" b="28575"/>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268060" cy="4296375"/>
                    </a:xfrm>
                    <a:prstGeom prst="rect">
                      <a:avLst/>
                    </a:prstGeom>
                    <a:ln>
                      <a:solidFill>
                        <a:schemeClr val="tx1"/>
                      </a:solidFill>
                    </a:ln>
                  </pic:spPr>
                </pic:pic>
              </a:graphicData>
            </a:graphic>
          </wp:inline>
        </w:drawing>
      </w:r>
    </w:p>
    <w:p w14:paraId="211C3425" w14:textId="77777777" w:rsidR="00372DCD" w:rsidRPr="00652E2C" w:rsidRDefault="00372DCD" w:rsidP="003A750A">
      <w:pP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 xml:space="preserve">Por lo anteriormente expuesto, tenemos que el </w:t>
      </w:r>
      <w:r w:rsidRPr="00652E2C">
        <w:rPr>
          <w:rFonts w:ascii="Palatino Linotype" w:eastAsia="Palatino Linotype" w:hAnsi="Palatino Linotype" w:cs="Palatino Linotype"/>
          <w:b/>
          <w:sz w:val="22"/>
          <w:szCs w:val="22"/>
        </w:rPr>
        <w:t xml:space="preserve">Sujeto Obligado </w:t>
      </w:r>
      <w:r w:rsidRPr="00652E2C">
        <w:rPr>
          <w:rFonts w:ascii="Palatino Linotype" w:eastAsia="Palatino Linotype" w:hAnsi="Palatino Linotype" w:cs="Palatino Linotype"/>
          <w:sz w:val="22"/>
          <w:szCs w:val="22"/>
        </w:rPr>
        <w:t>turnó la solicitud a la unidad administrativa competente</w:t>
      </w:r>
      <w:r w:rsidR="00ED3DBF" w:rsidRPr="00652E2C">
        <w:rPr>
          <w:rFonts w:ascii="Palatino Linotype" w:eastAsia="Palatino Linotype" w:hAnsi="Palatino Linotype" w:cs="Palatino Linotype"/>
          <w:sz w:val="22"/>
          <w:szCs w:val="22"/>
        </w:rPr>
        <w:t xml:space="preserve"> parcialmente</w:t>
      </w:r>
      <w:r w:rsidRPr="00652E2C">
        <w:rPr>
          <w:rFonts w:ascii="Palatino Linotype" w:eastAsia="Palatino Linotype" w:hAnsi="Palatino Linotype" w:cs="Palatino Linotype"/>
          <w:sz w:val="22"/>
          <w:szCs w:val="22"/>
        </w:rPr>
        <w:t xml:space="preserve"> para conocer de la solicitud de información, toda vez que se insiste, la Dirección de Monitoreo y Evaluación, depende de la Dirección General de Evaluación del Desempeño Institucional, la cual a su vez pertenece a la Subsecretaría de Planeación y Presupuesto, sin embargo, </w:t>
      </w:r>
      <w:r w:rsidR="00ED3DBF" w:rsidRPr="00652E2C">
        <w:rPr>
          <w:rFonts w:ascii="Palatino Linotype" w:eastAsia="Palatino Linotype" w:hAnsi="Palatino Linotype" w:cs="Palatino Linotype"/>
          <w:sz w:val="22"/>
          <w:szCs w:val="22"/>
        </w:rPr>
        <w:t xml:space="preserve">es de vital importancia precisar que </w:t>
      </w:r>
      <w:r w:rsidRPr="00652E2C">
        <w:rPr>
          <w:rFonts w:ascii="Palatino Linotype" w:eastAsia="Palatino Linotype" w:hAnsi="Palatino Linotype" w:cs="Palatino Linotype"/>
          <w:sz w:val="22"/>
          <w:szCs w:val="22"/>
        </w:rPr>
        <w:t xml:space="preserve">este Organismo Garante </w:t>
      </w:r>
      <w:r w:rsidR="00ED3DBF" w:rsidRPr="00652E2C">
        <w:rPr>
          <w:rFonts w:ascii="Palatino Linotype" w:eastAsia="Palatino Linotype" w:hAnsi="Palatino Linotype" w:cs="Palatino Linotype"/>
          <w:sz w:val="22"/>
          <w:szCs w:val="22"/>
        </w:rPr>
        <w:t>refiere que el turno a la solicitud fue parcialmente correcto, en razón que</w:t>
      </w:r>
      <w:r w:rsidRPr="00652E2C">
        <w:rPr>
          <w:rFonts w:ascii="Palatino Linotype" w:eastAsia="Palatino Linotype" w:hAnsi="Palatino Linotype" w:cs="Palatino Linotype"/>
          <w:sz w:val="22"/>
          <w:szCs w:val="22"/>
        </w:rPr>
        <w:t xml:space="preserve"> del análisis realizado al requerimiento de información</w:t>
      </w:r>
      <w:r w:rsidR="00C21C32" w:rsidRPr="00652E2C">
        <w:rPr>
          <w:rFonts w:ascii="Palatino Linotype" w:eastAsia="Palatino Linotype" w:hAnsi="Palatino Linotype" w:cs="Palatino Linotype"/>
          <w:sz w:val="22"/>
          <w:szCs w:val="22"/>
        </w:rPr>
        <w:t xml:space="preserve"> realizado por la persona solicitante, se aprecia que fue solicitada una búsqueda en los</w:t>
      </w:r>
      <w:r w:rsidRPr="00652E2C">
        <w:rPr>
          <w:rFonts w:ascii="Palatino Linotype" w:eastAsia="Palatino Linotype" w:hAnsi="Palatino Linotype" w:cs="Palatino Linotype"/>
          <w:sz w:val="22"/>
          <w:szCs w:val="22"/>
        </w:rPr>
        <w:t xml:space="preserve"> </w:t>
      </w:r>
      <w:r w:rsidR="00C21C32" w:rsidRPr="00652E2C">
        <w:rPr>
          <w:rFonts w:ascii="Palatino Linotype" w:eastAsia="Palatino Linotype" w:hAnsi="Palatino Linotype" w:cs="Palatino Linotype"/>
          <w:sz w:val="22"/>
          <w:szCs w:val="22"/>
        </w:rPr>
        <w:t>respaldos que obran en la Unidad de Tecnologías de Información y Comunicaciones para efecto de localizar los correos electrónicos enviados y recibidos por la persona servidora pública en comento.</w:t>
      </w:r>
    </w:p>
    <w:p w14:paraId="52093041" w14:textId="77777777" w:rsidR="00F67A73" w:rsidRPr="00652E2C" w:rsidRDefault="00ED3DBF" w:rsidP="003A750A">
      <w:pP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lastRenderedPageBreak/>
        <w:t>En tal sentido, es de destacar que dentro de la respuesta no se aprecia referencia alguna a que se haya pronunciado la Unidad de Tecnologías y Comunicaciones</w:t>
      </w:r>
      <w:r w:rsidR="00723073" w:rsidRPr="00652E2C">
        <w:rPr>
          <w:rFonts w:ascii="Palatino Linotype" w:eastAsia="Palatino Linotype" w:hAnsi="Palatino Linotype" w:cs="Palatino Linotype"/>
          <w:sz w:val="22"/>
          <w:szCs w:val="22"/>
        </w:rPr>
        <w:t xml:space="preserve"> adscrita a la Subsecretaría de Planeación y Presupuesto</w:t>
      </w:r>
      <w:r w:rsidRPr="00652E2C">
        <w:rPr>
          <w:rFonts w:ascii="Palatino Linotype" w:eastAsia="Palatino Linotype" w:hAnsi="Palatino Linotype" w:cs="Palatino Linotype"/>
          <w:sz w:val="22"/>
          <w:szCs w:val="22"/>
        </w:rPr>
        <w:t xml:space="preserve">, </w:t>
      </w:r>
      <w:r w:rsidR="00F67A73" w:rsidRPr="00652E2C">
        <w:rPr>
          <w:rFonts w:ascii="Palatino Linotype" w:eastAsia="Palatino Linotype" w:hAnsi="Palatino Linotype" w:cs="Palatino Linotype"/>
          <w:sz w:val="22"/>
          <w:szCs w:val="22"/>
        </w:rPr>
        <w:t xml:space="preserve">que </w:t>
      </w:r>
      <w:r w:rsidR="00723073" w:rsidRPr="00652E2C">
        <w:rPr>
          <w:rFonts w:ascii="Palatino Linotype" w:eastAsia="Palatino Linotype" w:hAnsi="Palatino Linotype" w:cs="Palatino Linotype"/>
          <w:sz w:val="22"/>
          <w:szCs w:val="22"/>
        </w:rPr>
        <w:t xml:space="preserve">es </w:t>
      </w:r>
      <w:r w:rsidR="00F67A73" w:rsidRPr="00652E2C">
        <w:rPr>
          <w:rFonts w:ascii="Palatino Linotype" w:eastAsia="Palatino Linotype" w:hAnsi="Palatino Linotype" w:cs="Palatino Linotype"/>
          <w:sz w:val="22"/>
          <w:szCs w:val="22"/>
        </w:rPr>
        <w:t>la unidad que solicitó el particular que se pronunciara concretamente en la presente solicitud de información.</w:t>
      </w:r>
    </w:p>
    <w:p w14:paraId="458D0C06" w14:textId="77777777" w:rsidR="00723073" w:rsidRPr="00652E2C" w:rsidRDefault="00F67A73" w:rsidP="003A750A">
      <w:pP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 xml:space="preserve">En esta consecución de ideas, es dable señalar </w:t>
      </w:r>
      <w:proofErr w:type="gramStart"/>
      <w:r w:rsidRPr="00652E2C">
        <w:rPr>
          <w:rFonts w:ascii="Palatino Linotype" w:eastAsia="Palatino Linotype" w:hAnsi="Palatino Linotype" w:cs="Palatino Linotype"/>
          <w:sz w:val="22"/>
          <w:szCs w:val="22"/>
        </w:rPr>
        <w:t>que</w:t>
      </w:r>
      <w:proofErr w:type="gramEnd"/>
      <w:r w:rsidRPr="00652E2C">
        <w:rPr>
          <w:rFonts w:ascii="Palatino Linotype" w:eastAsia="Palatino Linotype" w:hAnsi="Palatino Linotype" w:cs="Palatino Linotype"/>
          <w:sz w:val="22"/>
          <w:szCs w:val="22"/>
        </w:rPr>
        <w:t xml:space="preserve"> </w:t>
      </w:r>
      <w:r w:rsidR="00723073" w:rsidRPr="00652E2C">
        <w:rPr>
          <w:rFonts w:ascii="Palatino Linotype" w:eastAsia="Palatino Linotype" w:hAnsi="Palatino Linotype" w:cs="Palatino Linotype"/>
          <w:sz w:val="22"/>
          <w:szCs w:val="22"/>
        </w:rPr>
        <w:t xml:space="preserve">de conformidad con lo previsto por el Manual General de Organización de la Secretaría de Finanzas, dicha Unidad se conforma de la siguiente manera: </w:t>
      </w:r>
    </w:p>
    <w:p w14:paraId="4F1316EC" w14:textId="77777777" w:rsidR="00723073" w:rsidRPr="00652E2C" w:rsidRDefault="00723073" w:rsidP="00723073">
      <w:pPr>
        <w:spacing w:before="240" w:after="240" w:line="360" w:lineRule="auto"/>
        <w:jc w:val="center"/>
        <w:rPr>
          <w:rFonts w:ascii="Palatino Linotype" w:eastAsia="Palatino Linotype" w:hAnsi="Palatino Linotype" w:cs="Palatino Linotype"/>
          <w:sz w:val="22"/>
          <w:szCs w:val="22"/>
        </w:rPr>
      </w:pPr>
      <w:r w:rsidRPr="00652E2C">
        <w:rPr>
          <w:rFonts w:ascii="Palatino Linotype" w:eastAsia="Palatino Linotype" w:hAnsi="Palatino Linotype" w:cs="Palatino Linotype"/>
          <w:noProof/>
          <w:sz w:val="22"/>
          <w:szCs w:val="22"/>
        </w:rPr>
        <w:drawing>
          <wp:inline distT="0" distB="0" distL="0" distR="0" wp14:anchorId="0C9425C4" wp14:editId="2A798EB2">
            <wp:extent cx="4001058" cy="2829320"/>
            <wp:effectExtent l="19050" t="19050" r="19050" b="2857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001058" cy="2829320"/>
                    </a:xfrm>
                    <a:prstGeom prst="rect">
                      <a:avLst/>
                    </a:prstGeom>
                    <a:ln>
                      <a:solidFill>
                        <a:schemeClr val="tx1"/>
                      </a:solidFill>
                    </a:ln>
                  </pic:spPr>
                </pic:pic>
              </a:graphicData>
            </a:graphic>
          </wp:inline>
        </w:drawing>
      </w:r>
    </w:p>
    <w:p w14:paraId="2A634649" w14:textId="77777777" w:rsidR="007B23B8" w:rsidRPr="00652E2C" w:rsidRDefault="00723073" w:rsidP="00ED3DBF">
      <w:pPr>
        <w:spacing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Resultando de nuestro interés las funciones de la Subdirección de Redes y Telecomunicaciones, las cuales el multicitado manual dispone que son las siguientes:</w:t>
      </w:r>
    </w:p>
    <w:p w14:paraId="3D8C1D3C" w14:textId="77777777" w:rsidR="00723073" w:rsidRPr="00652E2C" w:rsidRDefault="00723073" w:rsidP="00ED3DBF">
      <w:pPr>
        <w:spacing w:line="360" w:lineRule="auto"/>
        <w:jc w:val="both"/>
        <w:rPr>
          <w:rFonts w:ascii="Palatino Linotype" w:eastAsia="Palatino Linotype" w:hAnsi="Palatino Linotype" w:cs="Palatino Linotype"/>
          <w:sz w:val="22"/>
          <w:szCs w:val="22"/>
        </w:rPr>
      </w:pPr>
    </w:p>
    <w:p w14:paraId="434A61E9" w14:textId="77777777" w:rsidR="00723073" w:rsidRPr="00652E2C" w:rsidRDefault="00723073" w:rsidP="00723073">
      <w:pPr>
        <w:spacing w:line="276" w:lineRule="auto"/>
        <w:ind w:left="567" w:right="85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“20704000040300S SUBDIRECCIÓN DE REDES Y TELECOMUNICACIONES</w:t>
      </w:r>
    </w:p>
    <w:p w14:paraId="179AFCB1" w14:textId="77777777" w:rsidR="00723073" w:rsidRPr="00652E2C" w:rsidRDefault="00723073" w:rsidP="00723073">
      <w:pPr>
        <w:spacing w:line="276" w:lineRule="auto"/>
        <w:ind w:left="567" w:right="85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 xml:space="preserve">OBJETIVO: </w:t>
      </w:r>
      <w:r w:rsidRPr="00652E2C">
        <w:rPr>
          <w:rFonts w:ascii="Palatino Linotype" w:eastAsia="Palatino Linotype" w:hAnsi="Palatino Linotype" w:cs="Palatino Linotype"/>
          <w:b/>
          <w:i/>
          <w:sz w:val="22"/>
          <w:szCs w:val="22"/>
        </w:rPr>
        <w:t>Asegurar que la operación de la infraestructura de</w:t>
      </w:r>
      <w:r w:rsidRPr="00652E2C">
        <w:rPr>
          <w:rFonts w:ascii="Palatino Linotype" w:eastAsia="Palatino Linotype" w:hAnsi="Palatino Linotype" w:cs="Palatino Linotype"/>
          <w:i/>
          <w:sz w:val="22"/>
          <w:szCs w:val="22"/>
        </w:rPr>
        <w:t xml:space="preserve"> tecnologías de la información y </w:t>
      </w:r>
      <w:r w:rsidRPr="00652E2C">
        <w:rPr>
          <w:rFonts w:ascii="Palatino Linotype" w:eastAsia="Palatino Linotype" w:hAnsi="Palatino Linotype" w:cs="Palatino Linotype"/>
          <w:b/>
          <w:i/>
          <w:sz w:val="22"/>
          <w:szCs w:val="22"/>
        </w:rPr>
        <w:t>comunicaciones sea confiable, íntegra y se encuentre disponible</w:t>
      </w:r>
      <w:r w:rsidRPr="00652E2C">
        <w:rPr>
          <w:rFonts w:ascii="Palatino Linotype" w:eastAsia="Palatino Linotype" w:hAnsi="Palatino Linotype" w:cs="Palatino Linotype"/>
          <w:i/>
          <w:sz w:val="22"/>
          <w:szCs w:val="22"/>
        </w:rPr>
        <w:t>, mediante el mantenimiento preventivo y correctivo de los equipos, periféricos, las redes de datos y telecomunicaciones.</w:t>
      </w:r>
    </w:p>
    <w:p w14:paraId="2FDCCBFF" w14:textId="77777777" w:rsidR="00723073" w:rsidRPr="00652E2C" w:rsidRDefault="00723073" w:rsidP="00723073">
      <w:pPr>
        <w:spacing w:line="276" w:lineRule="auto"/>
        <w:ind w:left="567" w:right="85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lastRenderedPageBreak/>
        <w:t>FUNCIONES:</w:t>
      </w:r>
    </w:p>
    <w:p w14:paraId="448ACA3B" w14:textId="77777777" w:rsidR="00723073" w:rsidRPr="00652E2C" w:rsidRDefault="00723073" w:rsidP="00723073">
      <w:pPr>
        <w:spacing w:line="276" w:lineRule="auto"/>
        <w:ind w:left="567" w:right="85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 xml:space="preserve">− </w:t>
      </w:r>
      <w:r w:rsidRPr="00652E2C">
        <w:rPr>
          <w:rFonts w:ascii="Palatino Linotype" w:eastAsia="Palatino Linotype" w:hAnsi="Palatino Linotype" w:cs="Palatino Linotype"/>
          <w:b/>
          <w:i/>
          <w:sz w:val="22"/>
          <w:szCs w:val="22"/>
          <w:u w:val="single"/>
        </w:rPr>
        <w:t>Realizar el monitoreo del desempeño y capacidad de la infraestructura de telecomunicaciones</w:t>
      </w:r>
      <w:r w:rsidRPr="00652E2C">
        <w:rPr>
          <w:rFonts w:ascii="Palatino Linotype" w:eastAsia="Palatino Linotype" w:hAnsi="Palatino Linotype" w:cs="Palatino Linotype"/>
          <w:i/>
          <w:sz w:val="22"/>
          <w:szCs w:val="22"/>
        </w:rPr>
        <w:t xml:space="preserve"> instalada, así como efectuar la recuperación de fallas.</w:t>
      </w:r>
    </w:p>
    <w:p w14:paraId="1B7D160C" w14:textId="77777777" w:rsidR="00723073" w:rsidRPr="00652E2C" w:rsidRDefault="00723073" w:rsidP="00723073">
      <w:pPr>
        <w:spacing w:line="276" w:lineRule="auto"/>
        <w:ind w:left="567" w:right="85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w:t>
      </w:r>
    </w:p>
    <w:p w14:paraId="28C39151" w14:textId="77777777" w:rsidR="00723073" w:rsidRPr="00652E2C" w:rsidRDefault="00723073" w:rsidP="00723073">
      <w:pPr>
        <w:spacing w:line="276" w:lineRule="auto"/>
        <w:ind w:left="567" w:right="85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 Promover la incorporación de nueva tecnología y a</w:t>
      </w:r>
      <w:r w:rsidRPr="00652E2C">
        <w:rPr>
          <w:rFonts w:ascii="Palatino Linotype" w:eastAsia="Palatino Linotype" w:hAnsi="Palatino Linotype" w:cs="Palatino Linotype"/>
          <w:b/>
          <w:i/>
          <w:sz w:val="22"/>
          <w:szCs w:val="22"/>
        </w:rPr>
        <w:t>mpliación a la red de telecomunicaciones</w:t>
      </w:r>
      <w:r w:rsidRPr="00652E2C">
        <w:rPr>
          <w:rFonts w:ascii="Palatino Linotype" w:eastAsia="Palatino Linotype" w:hAnsi="Palatino Linotype" w:cs="Palatino Linotype"/>
          <w:i/>
          <w:sz w:val="22"/>
          <w:szCs w:val="22"/>
        </w:rPr>
        <w:t xml:space="preserve"> y a la red privada de voz </w:t>
      </w:r>
      <w:r w:rsidRPr="00652E2C">
        <w:rPr>
          <w:rFonts w:ascii="Palatino Linotype" w:eastAsia="Palatino Linotype" w:hAnsi="Palatino Linotype" w:cs="Palatino Linotype"/>
          <w:b/>
          <w:i/>
          <w:sz w:val="22"/>
          <w:szCs w:val="22"/>
        </w:rPr>
        <w:t>de la Subsecretaría de Planeación y Presupuesto</w:t>
      </w:r>
      <w:r w:rsidRPr="00652E2C">
        <w:rPr>
          <w:rFonts w:ascii="Palatino Linotype" w:eastAsia="Palatino Linotype" w:hAnsi="Palatino Linotype" w:cs="Palatino Linotype"/>
          <w:i/>
          <w:sz w:val="22"/>
          <w:szCs w:val="22"/>
        </w:rPr>
        <w:t>, vigilando el cumplimiento de las políticas y lineamientos establecidos.”</w:t>
      </w:r>
      <w:r w:rsidRPr="00652E2C">
        <w:rPr>
          <w:rFonts w:ascii="Palatino Linotype" w:eastAsia="Palatino Linotype" w:hAnsi="Palatino Linotype" w:cs="Palatino Linotype"/>
          <w:i/>
          <w:sz w:val="22"/>
          <w:szCs w:val="22"/>
        </w:rPr>
        <w:cr/>
      </w:r>
    </w:p>
    <w:p w14:paraId="71AAAAC9" w14:textId="77777777" w:rsidR="00723073" w:rsidRPr="00652E2C" w:rsidRDefault="00723073" w:rsidP="00ED3DBF">
      <w:pPr>
        <w:spacing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De tal suerte que como se observa de la cita previamente insertada, la Unidad de Tecnologías de Información y Comunicaciones a través de la Subdirección de Redes y Telecomunicaciones cuenta con la facultad de monitorear el desempeño y capacidad de la infraestru</w:t>
      </w:r>
      <w:r w:rsidR="00921768" w:rsidRPr="00652E2C">
        <w:rPr>
          <w:rFonts w:ascii="Palatino Linotype" w:eastAsia="Palatino Linotype" w:hAnsi="Palatino Linotype" w:cs="Palatino Linotype"/>
          <w:sz w:val="22"/>
          <w:szCs w:val="22"/>
        </w:rPr>
        <w:t>ctura de las telecomunicaciones, por ende, cabe la posibilidad de que pudiera generarse un respaldo de los correos electrónicos como un medio de telecomunicación.</w:t>
      </w:r>
    </w:p>
    <w:p w14:paraId="3B66E378" w14:textId="77777777" w:rsidR="00921768" w:rsidRPr="00652E2C" w:rsidRDefault="00921768" w:rsidP="00ED3DBF">
      <w:pPr>
        <w:spacing w:line="360" w:lineRule="auto"/>
        <w:jc w:val="both"/>
        <w:rPr>
          <w:rFonts w:ascii="Palatino Linotype" w:eastAsia="Palatino Linotype" w:hAnsi="Palatino Linotype" w:cs="Palatino Linotype"/>
          <w:sz w:val="22"/>
          <w:szCs w:val="22"/>
        </w:rPr>
      </w:pPr>
    </w:p>
    <w:p w14:paraId="75315592" w14:textId="77777777" w:rsidR="00921768" w:rsidRPr="00652E2C" w:rsidRDefault="00921768" w:rsidP="00921768">
      <w:pPr>
        <w:spacing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En tal sentido, es dable afirmar que no se realizó un turno correcto de las solicitudes de información pues, se insiste que compete a los sujetos obligados seguir el procedimiento para la atención a las solicitudes de acceso a la información, establecido en los artículos 151, 160, 162, 163, 164, 165 y 166, de la Ley de Transparencia y Acceso a la Información Pública del Estado de México y Municipios, el cual es el siguiente: </w:t>
      </w:r>
    </w:p>
    <w:p w14:paraId="00ACC039" w14:textId="77777777" w:rsidR="00921768" w:rsidRPr="00652E2C" w:rsidRDefault="00921768" w:rsidP="00921768">
      <w:pPr>
        <w:spacing w:line="360" w:lineRule="auto"/>
        <w:jc w:val="both"/>
        <w:rPr>
          <w:rFonts w:ascii="Palatino Linotype" w:eastAsia="Palatino Linotype" w:hAnsi="Palatino Linotype" w:cs="Palatino Linotype"/>
          <w:sz w:val="22"/>
          <w:szCs w:val="22"/>
        </w:rPr>
      </w:pPr>
    </w:p>
    <w:p w14:paraId="7E56F9AF" w14:textId="77777777" w:rsidR="00921768" w:rsidRPr="00652E2C" w:rsidRDefault="00921768" w:rsidP="00921768">
      <w:pPr>
        <w:spacing w:after="240" w:line="360" w:lineRule="auto"/>
        <w:jc w:val="both"/>
        <w:rPr>
          <w:sz w:val="22"/>
          <w:szCs w:val="22"/>
        </w:rPr>
      </w:pPr>
      <w:r w:rsidRPr="00652E2C">
        <w:rPr>
          <w:rFonts w:ascii="Palatino Linotype" w:eastAsia="Palatino Linotype" w:hAnsi="Palatino Linotype" w:cs="Palatino Linotype"/>
          <w:sz w:val="22"/>
          <w:szCs w:val="22"/>
        </w:rPr>
        <w:t>• Las Unidades de Transparencia de los sujetos obligados deben garantizar las medidas y condiciones de accesibilidad para que toda persona pueda ejercer el derecho de acceso a la información; por lo que, son las responsables de hacer las notificaciones correspondientes, además de llevar a cabo todas las gestiones necesarias para facilitar el acceso de la información; </w:t>
      </w:r>
    </w:p>
    <w:p w14:paraId="69B5AA81" w14:textId="77777777" w:rsidR="00921768" w:rsidRPr="00652E2C" w:rsidRDefault="00921768" w:rsidP="00921768">
      <w:pPr>
        <w:spacing w:after="240" w:line="360" w:lineRule="auto"/>
        <w:jc w:val="both"/>
        <w:rPr>
          <w:sz w:val="22"/>
          <w:szCs w:val="22"/>
        </w:rPr>
      </w:pPr>
      <w:r w:rsidRPr="00652E2C">
        <w:rPr>
          <w:rFonts w:ascii="Palatino Linotype" w:eastAsia="Palatino Linotype" w:hAnsi="Palatino Linotype" w:cs="Palatino Linotype"/>
          <w:sz w:val="22"/>
          <w:szCs w:val="22"/>
        </w:rPr>
        <w:lastRenderedPageBreak/>
        <w:t>• La respuesta a los requerimientos informativos, deberá notificarse al interesado en el menor tiempo posible, que no podrá exceder de quince días hábiles, contados a partir del día siguiente a la presentación de esta. </w:t>
      </w:r>
    </w:p>
    <w:p w14:paraId="795B0CDF" w14:textId="77777777" w:rsidR="00921768" w:rsidRPr="00652E2C" w:rsidRDefault="00921768" w:rsidP="00921768">
      <w:pPr>
        <w:spacing w:after="240" w:line="360" w:lineRule="auto"/>
        <w:jc w:val="both"/>
        <w:rPr>
          <w:sz w:val="22"/>
          <w:szCs w:val="22"/>
        </w:rPr>
      </w:pPr>
      <w:r w:rsidRPr="00652E2C">
        <w:rPr>
          <w:rFonts w:ascii="Palatino Linotype" w:eastAsia="Palatino Linotype" w:hAnsi="Palatino Linotype" w:cs="Palatino Linotype"/>
          <w:sz w:val="22"/>
          <w:szCs w:val="22"/>
        </w:rPr>
        <w:t>Excepcionalmente, el plazo referido podrá ampliarse por siete días hábiles más, cuando existan razones fundadas y motivadas, a través del Comité de Transparencia; </w:t>
      </w:r>
    </w:p>
    <w:p w14:paraId="3509CA70" w14:textId="77777777" w:rsidR="00921768" w:rsidRPr="00652E2C" w:rsidRDefault="00921768" w:rsidP="00921768">
      <w:pPr>
        <w:spacing w:after="240" w:line="360" w:lineRule="auto"/>
        <w:jc w:val="both"/>
        <w:rPr>
          <w:sz w:val="22"/>
          <w:szCs w:val="22"/>
        </w:rPr>
      </w:pPr>
      <w:r w:rsidRPr="00652E2C">
        <w:rPr>
          <w:rFonts w:ascii="Palatino Linotype" w:eastAsia="Palatino Linotype" w:hAnsi="Palatino Linotype" w:cs="Palatino Linotype"/>
          <w:sz w:val="22"/>
          <w:szCs w:val="22"/>
        </w:rPr>
        <w:t>• Las Unidades de Transparencia garantizarán que las solicitudes se turnen a todas las áreas competentes que cuenten con la información o deban tenerla de acuerdo a sus facultades, funciones y atribuciones, para que realicen una búsqueda exhaustiva y razonable de la documentación solicitada, con el fin de que proporcionen las expresiones documentales que se encuentren en sus archivos o que estén constreñidos a elaborar; </w:t>
      </w:r>
    </w:p>
    <w:p w14:paraId="53A7F53E" w14:textId="77777777" w:rsidR="00921768" w:rsidRPr="00652E2C" w:rsidRDefault="00921768" w:rsidP="00921768">
      <w:pPr>
        <w:spacing w:after="240" w:line="360" w:lineRule="auto"/>
        <w:jc w:val="both"/>
        <w:rPr>
          <w:sz w:val="22"/>
          <w:szCs w:val="22"/>
        </w:rPr>
      </w:pPr>
      <w:r w:rsidRPr="00652E2C">
        <w:rPr>
          <w:rFonts w:ascii="Palatino Linotype" w:eastAsia="Palatino Linotype" w:hAnsi="Palatino Linotype" w:cs="Palatino Linotype"/>
          <w:sz w:val="22"/>
          <w:szCs w:val="22"/>
        </w:rPr>
        <w:t xml:space="preserve">• El acceso se dará en la modalidad de entrega y en su caso, de envío elegido por la solicitante, cuando no pueda entregarse en dicha modalidad, el </w:t>
      </w:r>
      <w:r w:rsidRPr="00652E2C">
        <w:rPr>
          <w:rFonts w:ascii="Palatino Linotype" w:eastAsia="Palatino Linotype" w:hAnsi="Palatino Linotype" w:cs="Palatino Linotype"/>
          <w:b/>
          <w:sz w:val="22"/>
          <w:szCs w:val="22"/>
        </w:rPr>
        <w:t>Sujeto Obligado</w:t>
      </w:r>
      <w:r w:rsidRPr="00652E2C">
        <w:rPr>
          <w:rFonts w:ascii="Palatino Linotype" w:eastAsia="Palatino Linotype" w:hAnsi="Palatino Linotype" w:cs="Palatino Linotype"/>
          <w:sz w:val="22"/>
          <w:szCs w:val="22"/>
        </w:rPr>
        <w:t xml:space="preserve"> deberá ofrecer otras; por lo cual, deberá fundar y motivar la necesidad de modificar el medio de entrega, y </w:t>
      </w:r>
    </w:p>
    <w:p w14:paraId="6D781B18" w14:textId="77777777" w:rsidR="00921768" w:rsidRPr="00652E2C" w:rsidRDefault="00921768" w:rsidP="00921768">
      <w:pPr>
        <w:spacing w:after="240" w:line="360" w:lineRule="auto"/>
        <w:jc w:val="both"/>
        <w:rPr>
          <w:sz w:val="22"/>
          <w:szCs w:val="22"/>
        </w:rPr>
      </w:pPr>
      <w:r w:rsidRPr="00652E2C">
        <w:rPr>
          <w:rFonts w:ascii="Palatino Linotype" w:eastAsia="Palatino Linotype" w:hAnsi="Palatino Linotype" w:cs="Palatino Linotype"/>
          <w:sz w:val="22"/>
          <w:szCs w:val="22"/>
        </w:rPr>
        <w:t>• Las Unidades de Transparencia, tendrán disponible la información requerida durante un plazo mínimo de sesenta días hábiles, contados a partir de que la solicitante hubiere realizado, en su caso, el pago respectivo, el cual deberá efectuarse en un plazo no mayor a treinta días hábiles; por lo que, una vez trascurrida dicha temporalidad, los Sujetos Obligados darán por concluida la solicitud y procederán de ser el caso, a la destrucción del material;</w:t>
      </w:r>
    </w:p>
    <w:p w14:paraId="33B4642D" w14:textId="77777777" w:rsidR="00921768" w:rsidRPr="00652E2C" w:rsidRDefault="00921768" w:rsidP="00921768">
      <w:pPr>
        <w:spacing w:after="240" w:line="360" w:lineRule="auto"/>
        <w:ind w:right="49"/>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 xml:space="preserve">Por lo insertado con anterioridad, se determina que el </w:t>
      </w:r>
      <w:r w:rsidRPr="00652E2C">
        <w:rPr>
          <w:rFonts w:ascii="Palatino Linotype" w:eastAsia="Palatino Linotype" w:hAnsi="Palatino Linotype" w:cs="Palatino Linotype"/>
          <w:b/>
          <w:sz w:val="22"/>
          <w:szCs w:val="22"/>
        </w:rPr>
        <w:t>Sujeto Obligado</w:t>
      </w:r>
      <w:r w:rsidRPr="00652E2C">
        <w:rPr>
          <w:rFonts w:ascii="Palatino Linotype" w:eastAsia="Palatino Linotype" w:hAnsi="Palatino Linotype" w:cs="Palatino Linotype"/>
          <w:sz w:val="22"/>
          <w:szCs w:val="22"/>
        </w:rPr>
        <w:t xml:space="preserve"> cuenta con la obligación de turnar a todas las áreas que se consideren competentes para que realicen una búsqueda exhaustiva y razonable de la información solicitada a fin de que esta sea entregada a los solicitantes.</w:t>
      </w:r>
    </w:p>
    <w:p w14:paraId="2A73E0F3" w14:textId="77777777" w:rsidR="00921768" w:rsidRPr="00652E2C" w:rsidRDefault="00921768" w:rsidP="00921768">
      <w:pPr>
        <w:spacing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lastRenderedPageBreak/>
        <w:t>Así, se debe entender que el trámite interno que se realice a las solicitudes de acceso a la información, es con el propósito de que se realice una búsqueda exhaustiva y razonable de la información entre sus archivos y, en su caso, se entregue la información de interés para el particular.</w:t>
      </w:r>
    </w:p>
    <w:p w14:paraId="3A899282" w14:textId="77777777" w:rsidR="00723073" w:rsidRPr="00652E2C" w:rsidRDefault="00723073" w:rsidP="00ED3DBF">
      <w:pPr>
        <w:spacing w:line="360" w:lineRule="auto"/>
        <w:jc w:val="both"/>
        <w:rPr>
          <w:rFonts w:ascii="Palatino Linotype" w:eastAsia="Palatino Linotype" w:hAnsi="Palatino Linotype" w:cs="Palatino Linotype"/>
          <w:sz w:val="22"/>
          <w:szCs w:val="22"/>
        </w:rPr>
      </w:pPr>
    </w:p>
    <w:p w14:paraId="4AC662F6" w14:textId="77777777" w:rsidR="00921768" w:rsidRPr="00652E2C" w:rsidRDefault="00921768" w:rsidP="00ED3DBF">
      <w:pPr>
        <w:spacing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 xml:space="preserve">Ahora bien, entrando al análisis de la información solicitada, tenemos que el </w:t>
      </w:r>
      <w:r w:rsidRPr="00652E2C">
        <w:rPr>
          <w:rFonts w:ascii="Palatino Linotype" w:eastAsia="Palatino Linotype" w:hAnsi="Palatino Linotype" w:cs="Palatino Linotype"/>
          <w:b/>
          <w:sz w:val="22"/>
          <w:szCs w:val="22"/>
        </w:rPr>
        <w:t>Sujeto Obligado</w:t>
      </w:r>
      <w:r w:rsidRPr="00652E2C">
        <w:rPr>
          <w:rFonts w:ascii="Palatino Linotype" w:eastAsia="Palatino Linotype" w:hAnsi="Palatino Linotype" w:cs="Palatino Linotype"/>
          <w:sz w:val="22"/>
          <w:szCs w:val="22"/>
        </w:rPr>
        <w:t xml:space="preserve"> tuvo a bien proporcionar en un archivo de veintiocho fojas, </w:t>
      </w:r>
      <w:r w:rsidR="00267810" w:rsidRPr="00652E2C">
        <w:rPr>
          <w:rFonts w:ascii="Palatino Linotype" w:eastAsia="Palatino Linotype" w:hAnsi="Palatino Linotype" w:cs="Palatino Linotype"/>
          <w:sz w:val="22"/>
          <w:szCs w:val="22"/>
        </w:rPr>
        <w:t xml:space="preserve">diversos correos enviados y recibidos por la persona servidora pública en comento, sin embargo, estos corresponden a algunos días del mes de septiembre, por lo tanto, si contemplamos que el requerimiento de información estipula que la persona solicitante requiere todos los correos enviados y recibidos por la persona servidora pública en comento, tenemos que nuestra temporalidad contemplará a partir de la fecha de alta, es decir del primero de mayo de dos mil veintitrés a la fecha de baja de la servidora pública o bien, a la fecha de la solicitud, por lo tanto, </w:t>
      </w:r>
      <w:r w:rsidR="00F40323" w:rsidRPr="00652E2C">
        <w:rPr>
          <w:rFonts w:ascii="Palatino Linotype" w:eastAsia="Palatino Linotype" w:hAnsi="Palatino Linotype" w:cs="Palatino Linotype"/>
          <w:sz w:val="22"/>
          <w:szCs w:val="22"/>
        </w:rPr>
        <w:t xml:space="preserve">al contrastar la información proporcionada en respuesta con nuestra temporalidad, observamos que a todas luces, la información se encuentra incompleta, por ende, </w:t>
      </w:r>
      <w:r w:rsidR="00267810" w:rsidRPr="00652E2C">
        <w:rPr>
          <w:rFonts w:ascii="Palatino Linotype" w:eastAsia="Palatino Linotype" w:hAnsi="Palatino Linotype" w:cs="Palatino Linotype"/>
          <w:sz w:val="22"/>
          <w:szCs w:val="22"/>
        </w:rPr>
        <w:t>a efecto de dar cumplimiento al presente fallo, deberá hacer entrega de los correos electrónicos faltantes.</w:t>
      </w:r>
    </w:p>
    <w:p w14:paraId="37CF5A20" w14:textId="77777777" w:rsidR="00267810" w:rsidRPr="00652E2C" w:rsidRDefault="00267810" w:rsidP="00ED3DBF">
      <w:pPr>
        <w:spacing w:line="360" w:lineRule="auto"/>
        <w:jc w:val="both"/>
        <w:rPr>
          <w:rFonts w:ascii="Palatino Linotype" w:eastAsia="Palatino Linotype" w:hAnsi="Palatino Linotype" w:cs="Palatino Linotype"/>
          <w:sz w:val="22"/>
          <w:szCs w:val="22"/>
        </w:rPr>
      </w:pPr>
    </w:p>
    <w:p w14:paraId="28C1408A" w14:textId="77777777" w:rsidR="00267810" w:rsidRPr="00652E2C" w:rsidRDefault="00267810" w:rsidP="00ED3DBF">
      <w:pPr>
        <w:spacing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 xml:space="preserve">En otro orden de ideas, </w:t>
      </w:r>
      <w:r w:rsidR="00F40323" w:rsidRPr="00652E2C">
        <w:rPr>
          <w:rFonts w:ascii="Palatino Linotype" w:eastAsia="Palatino Linotype" w:hAnsi="Palatino Linotype" w:cs="Palatino Linotype"/>
          <w:sz w:val="22"/>
          <w:szCs w:val="22"/>
        </w:rPr>
        <w:t>respecto a</w:t>
      </w:r>
      <w:r w:rsidRPr="00652E2C">
        <w:rPr>
          <w:rFonts w:ascii="Palatino Linotype" w:eastAsia="Palatino Linotype" w:hAnsi="Palatino Linotype" w:cs="Palatino Linotype"/>
          <w:sz w:val="22"/>
          <w:szCs w:val="22"/>
        </w:rPr>
        <w:t xml:space="preserve"> los correos elec</w:t>
      </w:r>
      <w:r w:rsidR="005A1122" w:rsidRPr="00652E2C">
        <w:rPr>
          <w:rFonts w:ascii="Palatino Linotype" w:eastAsia="Palatino Linotype" w:hAnsi="Palatino Linotype" w:cs="Palatino Linotype"/>
          <w:sz w:val="22"/>
          <w:szCs w:val="22"/>
        </w:rPr>
        <w:t xml:space="preserve">trónicos aportados en respuesta, observamos que estos </w:t>
      </w:r>
      <w:r w:rsidRPr="00652E2C">
        <w:rPr>
          <w:rFonts w:ascii="Palatino Linotype" w:eastAsia="Palatino Linotype" w:hAnsi="Palatino Linotype" w:cs="Palatino Linotype"/>
          <w:sz w:val="22"/>
          <w:szCs w:val="22"/>
        </w:rPr>
        <w:t xml:space="preserve">se presentaron en versión pública, </w:t>
      </w:r>
      <w:r w:rsidR="005A1122" w:rsidRPr="00652E2C">
        <w:rPr>
          <w:rFonts w:ascii="Palatino Linotype" w:eastAsia="Palatino Linotype" w:hAnsi="Palatino Linotype" w:cs="Palatino Linotype"/>
          <w:sz w:val="22"/>
          <w:szCs w:val="22"/>
        </w:rPr>
        <w:t xml:space="preserve">esto es, </w:t>
      </w:r>
      <w:r w:rsidRPr="00652E2C">
        <w:rPr>
          <w:rFonts w:ascii="Palatino Linotype" w:eastAsia="Palatino Linotype" w:hAnsi="Palatino Linotype" w:cs="Palatino Linotype"/>
          <w:sz w:val="22"/>
          <w:szCs w:val="22"/>
        </w:rPr>
        <w:t xml:space="preserve">adjuntando el respectivo acuerdo de clasificación, esto, clasificando datos como </w:t>
      </w:r>
      <w:r w:rsidRPr="00652E2C">
        <w:rPr>
          <w:rFonts w:ascii="Palatino Linotype" w:eastAsia="Palatino Linotype" w:hAnsi="Palatino Linotype" w:cs="Palatino Linotype"/>
          <w:b/>
          <w:sz w:val="22"/>
          <w:szCs w:val="22"/>
        </w:rPr>
        <w:t>números telefónicos y correos electrónicos particulares</w:t>
      </w:r>
      <w:r w:rsidRPr="00652E2C">
        <w:rPr>
          <w:rFonts w:ascii="Palatino Linotype" w:eastAsia="Palatino Linotype" w:hAnsi="Palatino Linotype" w:cs="Palatino Linotype"/>
          <w:sz w:val="22"/>
          <w:szCs w:val="22"/>
        </w:rPr>
        <w:t>, por lo que se procede al análisis de dichos datos:</w:t>
      </w:r>
    </w:p>
    <w:p w14:paraId="18D5A97B" w14:textId="77777777" w:rsidR="00267810" w:rsidRPr="00652E2C" w:rsidRDefault="00267810" w:rsidP="00ED3DBF">
      <w:pPr>
        <w:spacing w:line="360" w:lineRule="auto"/>
        <w:jc w:val="both"/>
        <w:rPr>
          <w:rFonts w:ascii="Palatino Linotype" w:eastAsia="Palatino Linotype" w:hAnsi="Palatino Linotype" w:cs="Palatino Linotype"/>
          <w:sz w:val="22"/>
          <w:szCs w:val="22"/>
        </w:rPr>
      </w:pPr>
    </w:p>
    <w:p w14:paraId="57D381C3" w14:textId="77777777" w:rsidR="00267810" w:rsidRPr="00652E2C" w:rsidRDefault="00267810" w:rsidP="00267810">
      <w:pPr>
        <w:pStyle w:val="Prrafodelista"/>
        <w:numPr>
          <w:ilvl w:val="0"/>
          <w:numId w:val="12"/>
        </w:numPr>
        <w:spacing w:line="360" w:lineRule="auto"/>
        <w:ind w:left="567" w:hanging="141"/>
        <w:jc w:val="both"/>
        <w:rPr>
          <w:rFonts w:ascii="Palatino Linotype" w:eastAsia="Palatino Linotype" w:hAnsi="Palatino Linotype" w:cs="Palatino Linotype"/>
          <w:b/>
          <w:sz w:val="22"/>
          <w:szCs w:val="22"/>
        </w:rPr>
      </w:pPr>
      <w:r w:rsidRPr="00652E2C">
        <w:rPr>
          <w:rFonts w:ascii="Palatino Linotype" w:eastAsia="Palatino Linotype" w:hAnsi="Palatino Linotype" w:cs="Palatino Linotype"/>
          <w:b/>
          <w:sz w:val="22"/>
          <w:szCs w:val="22"/>
        </w:rPr>
        <w:t>Número telefónico</w:t>
      </w:r>
    </w:p>
    <w:p w14:paraId="68260AE0" w14:textId="77777777" w:rsidR="00267810" w:rsidRPr="00652E2C" w:rsidRDefault="00267810" w:rsidP="00267810">
      <w:pPr>
        <w:spacing w:line="360" w:lineRule="auto"/>
        <w:jc w:val="both"/>
        <w:rPr>
          <w:rFonts w:ascii="Palatino Linotype" w:eastAsia="Palatino Linotype" w:hAnsi="Palatino Linotype" w:cs="Palatino Linotype"/>
          <w:b/>
          <w:sz w:val="22"/>
          <w:szCs w:val="22"/>
        </w:rPr>
      </w:pPr>
    </w:p>
    <w:p w14:paraId="167C28F1" w14:textId="77777777" w:rsidR="00267810" w:rsidRPr="00652E2C" w:rsidRDefault="00267810" w:rsidP="00267810">
      <w:pPr>
        <w:spacing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 xml:space="preserve">Por lo que corresponde al número telefónico, éste es asignado a un teléfono particular y/o celular, y permite localizar a una persona física o moral identificada o identificable, por lo </w:t>
      </w:r>
      <w:r w:rsidRPr="00652E2C">
        <w:rPr>
          <w:rFonts w:ascii="Palatino Linotype" w:eastAsia="Palatino Linotype" w:hAnsi="Palatino Linotype" w:cs="Palatino Linotype"/>
          <w:sz w:val="22"/>
          <w:szCs w:val="22"/>
        </w:rPr>
        <w:lastRenderedPageBreak/>
        <w:t xml:space="preserve">que se considera como un dato personal y, consecuentemente, de carácter confidencial; por ello, se estima procedente considerarlo como confidencial. Lo anterior de conformidad con lo dispuesto en el artículo 143 fracción I de la Ley de Transparencia y Acceso </w:t>
      </w:r>
      <w:r w:rsidR="005A1122" w:rsidRPr="00652E2C">
        <w:rPr>
          <w:rFonts w:ascii="Palatino Linotype" w:eastAsia="Palatino Linotype" w:hAnsi="Palatino Linotype" w:cs="Palatino Linotype"/>
          <w:sz w:val="22"/>
          <w:szCs w:val="22"/>
        </w:rPr>
        <w:t>a la Información Pública local.</w:t>
      </w:r>
    </w:p>
    <w:p w14:paraId="343B58CE" w14:textId="77777777" w:rsidR="00267810" w:rsidRPr="00652E2C" w:rsidRDefault="00267810" w:rsidP="00267810">
      <w:pPr>
        <w:pStyle w:val="Prrafodelista"/>
        <w:numPr>
          <w:ilvl w:val="0"/>
          <w:numId w:val="12"/>
        </w:numPr>
        <w:spacing w:line="360" w:lineRule="auto"/>
        <w:jc w:val="both"/>
        <w:rPr>
          <w:rFonts w:ascii="Palatino Linotype" w:eastAsia="Palatino Linotype" w:hAnsi="Palatino Linotype" w:cs="Palatino Linotype"/>
          <w:b/>
          <w:sz w:val="22"/>
          <w:szCs w:val="22"/>
        </w:rPr>
      </w:pPr>
      <w:r w:rsidRPr="00652E2C">
        <w:rPr>
          <w:rFonts w:ascii="Palatino Linotype" w:eastAsia="Palatino Linotype" w:hAnsi="Palatino Linotype" w:cs="Palatino Linotype"/>
          <w:b/>
          <w:sz w:val="22"/>
          <w:szCs w:val="22"/>
        </w:rPr>
        <w:t>Correo electrónico</w:t>
      </w:r>
    </w:p>
    <w:p w14:paraId="63CA939A" w14:textId="77777777" w:rsidR="005A1122" w:rsidRPr="00652E2C" w:rsidRDefault="005A1122" w:rsidP="005A1122">
      <w:pPr>
        <w:pStyle w:val="Prrafodelista"/>
        <w:spacing w:line="360" w:lineRule="auto"/>
        <w:jc w:val="both"/>
        <w:rPr>
          <w:rFonts w:ascii="Palatino Linotype" w:eastAsia="Palatino Linotype" w:hAnsi="Palatino Linotype" w:cs="Palatino Linotype"/>
          <w:b/>
          <w:sz w:val="22"/>
          <w:szCs w:val="22"/>
        </w:rPr>
      </w:pPr>
    </w:p>
    <w:p w14:paraId="6D8D60B2" w14:textId="77777777" w:rsidR="00267810" w:rsidRPr="00652E2C" w:rsidRDefault="00267810" w:rsidP="00267810">
      <w:pPr>
        <w:spacing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El correo electrónico se puede asimilar al teléfono o domicilio particular, cuyo número o ubicación, respectivamente, se considera como un dato personal, toda vez que es otro medio para comunicarse con la persona titular del mismo y la hace localizable. Así también, Así también, se trata de información de una persona física identificada o identificable que, al darse a conocer, afectaría la intimidad de la persona.</w:t>
      </w:r>
    </w:p>
    <w:p w14:paraId="63C38020" w14:textId="77777777" w:rsidR="00267810" w:rsidRPr="00652E2C" w:rsidRDefault="00267810" w:rsidP="00267810">
      <w:pPr>
        <w:spacing w:line="360" w:lineRule="auto"/>
        <w:jc w:val="both"/>
        <w:rPr>
          <w:rFonts w:ascii="Palatino Linotype" w:eastAsia="Palatino Linotype" w:hAnsi="Palatino Linotype" w:cs="Palatino Linotype"/>
          <w:sz w:val="22"/>
          <w:szCs w:val="22"/>
        </w:rPr>
      </w:pPr>
    </w:p>
    <w:p w14:paraId="5E174861" w14:textId="77777777" w:rsidR="00267810" w:rsidRPr="00652E2C" w:rsidRDefault="00267810" w:rsidP="00267810">
      <w:pPr>
        <w:spacing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En virtud de lo anterior, el correo electrónico de un particular constituye un dato personal confidencial, conforme a lo dispuesto en el artículo 143 fracción I de la Ley de Transparencia Local.</w:t>
      </w:r>
    </w:p>
    <w:p w14:paraId="3E409BA3" w14:textId="77777777" w:rsidR="005A1122" w:rsidRPr="00652E2C" w:rsidRDefault="005A1122" w:rsidP="00267810">
      <w:pPr>
        <w:spacing w:line="360" w:lineRule="auto"/>
        <w:jc w:val="both"/>
        <w:rPr>
          <w:rFonts w:ascii="Palatino Linotype" w:eastAsia="Palatino Linotype" w:hAnsi="Palatino Linotype" w:cs="Palatino Linotype"/>
          <w:sz w:val="22"/>
          <w:szCs w:val="22"/>
        </w:rPr>
      </w:pPr>
    </w:p>
    <w:p w14:paraId="4F9F935B" w14:textId="77777777" w:rsidR="005A1122" w:rsidRPr="00652E2C" w:rsidRDefault="005A1122" w:rsidP="00267810">
      <w:pPr>
        <w:spacing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 xml:space="preserve">Continuando con el análisis del acuerdo de clasificación, observamos que el </w:t>
      </w:r>
      <w:r w:rsidRPr="00652E2C">
        <w:rPr>
          <w:rFonts w:ascii="Palatino Linotype" w:eastAsia="Palatino Linotype" w:hAnsi="Palatino Linotype" w:cs="Palatino Linotype"/>
          <w:b/>
          <w:sz w:val="22"/>
          <w:szCs w:val="22"/>
        </w:rPr>
        <w:t>Sujeto Obligado</w:t>
      </w:r>
      <w:r w:rsidRPr="00652E2C">
        <w:rPr>
          <w:rFonts w:ascii="Palatino Linotype" w:eastAsia="Palatino Linotype" w:hAnsi="Palatino Linotype" w:cs="Palatino Linotype"/>
          <w:sz w:val="22"/>
          <w:szCs w:val="22"/>
        </w:rPr>
        <w:t xml:space="preserve"> invocó estos preceptos normativos y además justificó las razones por las que a la información clasificada les reviste la calidad de confidencial, tal como se desprende de las siguientes ilustraciones:</w:t>
      </w:r>
    </w:p>
    <w:p w14:paraId="37E4ED6A" w14:textId="77777777" w:rsidR="005A1122" w:rsidRPr="00652E2C" w:rsidRDefault="005A1122" w:rsidP="00267810">
      <w:pPr>
        <w:spacing w:line="360" w:lineRule="auto"/>
        <w:jc w:val="both"/>
        <w:rPr>
          <w:rFonts w:ascii="Palatino Linotype" w:eastAsia="Palatino Linotype" w:hAnsi="Palatino Linotype" w:cs="Palatino Linotype"/>
          <w:sz w:val="22"/>
          <w:szCs w:val="22"/>
        </w:rPr>
      </w:pPr>
    </w:p>
    <w:p w14:paraId="6474CFCD" w14:textId="77777777" w:rsidR="005A1122" w:rsidRPr="00652E2C" w:rsidRDefault="005A1122" w:rsidP="00267810">
      <w:pPr>
        <w:spacing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noProof/>
          <w:sz w:val="22"/>
          <w:szCs w:val="22"/>
        </w:rPr>
        <w:drawing>
          <wp:inline distT="0" distB="0" distL="0" distR="0" wp14:anchorId="146408E0" wp14:editId="5CB5346B">
            <wp:extent cx="5581015" cy="1045210"/>
            <wp:effectExtent l="0" t="0" r="635" b="254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581015" cy="1045210"/>
                    </a:xfrm>
                    <a:prstGeom prst="rect">
                      <a:avLst/>
                    </a:prstGeom>
                  </pic:spPr>
                </pic:pic>
              </a:graphicData>
            </a:graphic>
          </wp:inline>
        </w:drawing>
      </w:r>
    </w:p>
    <w:p w14:paraId="7054D292" w14:textId="77777777" w:rsidR="005A1122" w:rsidRPr="00652E2C" w:rsidRDefault="005A1122" w:rsidP="00267810">
      <w:pPr>
        <w:spacing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noProof/>
          <w:sz w:val="22"/>
          <w:szCs w:val="22"/>
        </w:rPr>
        <w:lastRenderedPageBreak/>
        <w:drawing>
          <wp:inline distT="0" distB="0" distL="0" distR="0" wp14:anchorId="2EA8CBCE" wp14:editId="1C9F7CFF">
            <wp:extent cx="5581015" cy="2314575"/>
            <wp:effectExtent l="0" t="0" r="635" b="9525"/>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581015" cy="2314575"/>
                    </a:xfrm>
                    <a:prstGeom prst="rect">
                      <a:avLst/>
                    </a:prstGeom>
                  </pic:spPr>
                </pic:pic>
              </a:graphicData>
            </a:graphic>
          </wp:inline>
        </w:drawing>
      </w:r>
    </w:p>
    <w:p w14:paraId="011F28D9" w14:textId="77777777" w:rsidR="005A1122" w:rsidRPr="00652E2C" w:rsidRDefault="005A1122" w:rsidP="00267810">
      <w:pPr>
        <w:spacing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noProof/>
          <w:sz w:val="22"/>
          <w:szCs w:val="22"/>
        </w:rPr>
        <w:drawing>
          <wp:inline distT="0" distB="0" distL="0" distR="0" wp14:anchorId="2D8B1057" wp14:editId="4AFE9AF1">
            <wp:extent cx="5581015" cy="2205355"/>
            <wp:effectExtent l="0" t="0" r="635" b="4445"/>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581015" cy="2205355"/>
                    </a:xfrm>
                    <a:prstGeom prst="rect">
                      <a:avLst/>
                    </a:prstGeom>
                  </pic:spPr>
                </pic:pic>
              </a:graphicData>
            </a:graphic>
          </wp:inline>
        </w:drawing>
      </w:r>
    </w:p>
    <w:p w14:paraId="236EBF69" w14:textId="77777777" w:rsidR="005A1122" w:rsidRPr="00652E2C" w:rsidRDefault="005A1122" w:rsidP="00267810">
      <w:pPr>
        <w:spacing w:line="360" w:lineRule="auto"/>
        <w:jc w:val="both"/>
        <w:rPr>
          <w:rFonts w:ascii="Palatino Linotype" w:eastAsia="Palatino Linotype" w:hAnsi="Palatino Linotype" w:cs="Palatino Linotype"/>
          <w:sz w:val="22"/>
          <w:szCs w:val="22"/>
        </w:rPr>
      </w:pPr>
    </w:p>
    <w:p w14:paraId="6AB1E9EC" w14:textId="77777777" w:rsidR="00F40323" w:rsidRPr="00652E2C" w:rsidRDefault="00F40323" w:rsidP="00F40323">
      <w:pPr>
        <w:pStyle w:val="Prrafodelista"/>
        <w:spacing w:before="240" w:after="240" w:line="360" w:lineRule="auto"/>
        <w:ind w:left="0" w:right="49"/>
        <w:jc w:val="both"/>
        <w:rPr>
          <w:rFonts w:ascii="Palatino Linotype" w:eastAsia="Palatino Linotype" w:hAnsi="Palatino Linotype" w:cs="Palatino Linotype"/>
          <w:sz w:val="22"/>
          <w:lang w:val="es-ES"/>
        </w:rPr>
      </w:pPr>
      <w:r w:rsidRPr="00652E2C">
        <w:rPr>
          <w:rFonts w:ascii="Palatino Linotype" w:eastAsia="Palatino Linotype" w:hAnsi="Palatino Linotype" w:cs="Palatino Linotype"/>
          <w:sz w:val="22"/>
          <w:lang w:val="es-ES"/>
        </w:rPr>
        <w:t xml:space="preserve">En esta tesitura, para mejor proveer del presente asunto, se procede a analizar el acuerdo emitido por el </w:t>
      </w:r>
      <w:r w:rsidRPr="00652E2C">
        <w:rPr>
          <w:rFonts w:ascii="Palatino Linotype" w:eastAsia="Palatino Linotype" w:hAnsi="Palatino Linotype" w:cs="Palatino Linotype"/>
          <w:sz w:val="22"/>
          <w:szCs w:val="22"/>
          <w:lang w:val="es-ES"/>
        </w:rPr>
        <w:t>Comité de Transparencia, respecto a los elementos de forma, ello con el propósito de determinar si se realizó conforme a derecho, para esto se inserta el siguiente cuadro de análisis:</w:t>
      </w:r>
    </w:p>
    <w:tbl>
      <w:tblPr>
        <w:tblW w:w="90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548"/>
        <w:gridCol w:w="7"/>
        <w:gridCol w:w="6013"/>
        <w:gridCol w:w="1499"/>
      </w:tblGrid>
      <w:tr w:rsidR="00652E2C" w:rsidRPr="00652E2C" w14:paraId="516A2B55" w14:textId="77777777" w:rsidTr="009B41B3">
        <w:trPr>
          <w:trHeight w:val="569"/>
        </w:trPr>
        <w:tc>
          <w:tcPr>
            <w:tcW w:w="1548" w:type="dxa"/>
            <w:shd w:val="clear" w:color="auto" w:fill="D6E3BC" w:themeFill="accent3" w:themeFillTint="66"/>
          </w:tcPr>
          <w:p w14:paraId="4667F2B7" w14:textId="77777777" w:rsidR="00F40323" w:rsidRPr="00652E2C" w:rsidRDefault="00F40323" w:rsidP="009B41B3">
            <w:pPr>
              <w:spacing w:before="100" w:after="200" w:line="276" w:lineRule="auto"/>
              <w:jc w:val="center"/>
              <w:rPr>
                <w:rFonts w:ascii="Palatino Linotype" w:eastAsia="Palatino Linotype" w:hAnsi="Palatino Linotype" w:cs="Palatino Linotype"/>
                <w:b/>
                <w:sz w:val="18"/>
                <w:szCs w:val="18"/>
                <w:lang w:val="es-ES"/>
              </w:rPr>
            </w:pPr>
            <w:r w:rsidRPr="00652E2C">
              <w:rPr>
                <w:rFonts w:ascii="Palatino Linotype" w:eastAsia="Palatino Linotype" w:hAnsi="Palatino Linotype" w:cs="Palatino Linotype"/>
                <w:b/>
                <w:sz w:val="18"/>
                <w:szCs w:val="18"/>
                <w:lang w:val="es-ES"/>
              </w:rPr>
              <w:t>Elementos del acuerdo de clasificación</w:t>
            </w:r>
          </w:p>
        </w:tc>
        <w:tc>
          <w:tcPr>
            <w:tcW w:w="6020" w:type="dxa"/>
            <w:gridSpan w:val="2"/>
            <w:shd w:val="clear" w:color="auto" w:fill="D6E3BC" w:themeFill="accent3" w:themeFillTint="66"/>
          </w:tcPr>
          <w:p w14:paraId="1CD72EE6" w14:textId="77777777" w:rsidR="00F40323" w:rsidRPr="00652E2C" w:rsidRDefault="00F40323" w:rsidP="009B41B3">
            <w:pPr>
              <w:spacing w:before="100" w:after="200" w:line="276" w:lineRule="auto"/>
              <w:jc w:val="center"/>
              <w:rPr>
                <w:rFonts w:ascii="Palatino Linotype" w:eastAsia="Palatino Linotype" w:hAnsi="Palatino Linotype" w:cs="Palatino Linotype"/>
                <w:b/>
                <w:sz w:val="18"/>
                <w:szCs w:val="18"/>
                <w:lang w:val="es-ES"/>
              </w:rPr>
            </w:pPr>
            <w:r w:rsidRPr="00652E2C">
              <w:rPr>
                <w:rFonts w:ascii="Palatino Linotype" w:eastAsia="Palatino Linotype" w:hAnsi="Palatino Linotype" w:cs="Palatino Linotype"/>
                <w:b/>
                <w:sz w:val="18"/>
                <w:szCs w:val="18"/>
                <w:lang w:val="es-ES"/>
              </w:rPr>
              <w:t>Contenido</w:t>
            </w:r>
          </w:p>
        </w:tc>
        <w:tc>
          <w:tcPr>
            <w:tcW w:w="1499" w:type="dxa"/>
            <w:shd w:val="clear" w:color="auto" w:fill="D6E3BC" w:themeFill="accent3" w:themeFillTint="66"/>
          </w:tcPr>
          <w:p w14:paraId="062EEDEC" w14:textId="77777777" w:rsidR="00F40323" w:rsidRPr="00652E2C" w:rsidRDefault="00F40323" w:rsidP="009B41B3">
            <w:pPr>
              <w:spacing w:before="100" w:after="200" w:line="276" w:lineRule="auto"/>
              <w:jc w:val="center"/>
              <w:rPr>
                <w:rFonts w:ascii="Palatino Linotype" w:eastAsia="Palatino Linotype" w:hAnsi="Palatino Linotype" w:cs="Palatino Linotype"/>
                <w:b/>
                <w:sz w:val="18"/>
                <w:szCs w:val="18"/>
                <w:lang w:val="es-ES"/>
              </w:rPr>
            </w:pPr>
            <w:r w:rsidRPr="00652E2C">
              <w:rPr>
                <w:rFonts w:ascii="Palatino Linotype" w:eastAsia="Palatino Linotype" w:hAnsi="Palatino Linotype" w:cs="Palatino Linotype"/>
                <w:b/>
                <w:sz w:val="18"/>
                <w:szCs w:val="18"/>
                <w:lang w:val="es-ES"/>
              </w:rPr>
              <w:t>¿Cumple?</w:t>
            </w:r>
          </w:p>
        </w:tc>
      </w:tr>
      <w:tr w:rsidR="00652E2C" w:rsidRPr="00652E2C" w14:paraId="24291D52" w14:textId="77777777" w:rsidTr="009B41B3">
        <w:tc>
          <w:tcPr>
            <w:tcW w:w="1548" w:type="dxa"/>
          </w:tcPr>
          <w:p w14:paraId="710D4959" w14:textId="77777777" w:rsidR="00F40323" w:rsidRPr="00652E2C" w:rsidRDefault="00F40323" w:rsidP="009B41B3">
            <w:pPr>
              <w:spacing w:before="100" w:after="200" w:line="276" w:lineRule="auto"/>
              <w:jc w:val="center"/>
              <w:rPr>
                <w:rFonts w:ascii="Palatino Linotype" w:eastAsia="Palatino Linotype" w:hAnsi="Palatino Linotype" w:cs="Palatino Linotype"/>
                <w:sz w:val="18"/>
                <w:szCs w:val="18"/>
                <w:lang w:val="es-ES"/>
              </w:rPr>
            </w:pPr>
            <w:r w:rsidRPr="00652E2C">
              <w:rPr>
                <w:rFonts w:ascii="Palatino Linotype" w:eastAsia="Palatino Linotype" w:hAnsi="Palatino Linotype" w:cs="Palatino Linotype"/>
                <w:b/>
                <w:sz w:val="18"/>
                <w:szCs w:val="18"/>
                <w:lang w:val="es-ES"/>
              </w:rPr>
              <w:lastRenderedPageBreak/>
              <w:t>Referencia de la información solicitada</w:t>
            </w:r>
          </w:p>
        </w:tc>
        <w:tc>
          <w:tcPr>
            <w:tcW w:w="6020" w:type="dxa"/>
            <w:gridSpan w:val="2"/>
          </w:tcPr>
          <w:p w14:paraId="25C3C3A2" w14:textId="77777777" w:rsidR="00F40323" w:rsidRPr="00652E2C" w:rsidRDefault="00F40323" w:rsidP="009B41B3">
            <w:pPr>
              <w:spacing w:before="100" w:after="200" w:line="276" w:lineRule="auto"/>
              <w:rPr>
                <w:rFonts w:ascii="Palatino Linotype" w:eastAsia="Palatino Linotype" w:hAnsi="Palatino Linotype" w:cs="Palatino Linotype"/>
                <w:lang w:val="es-ES"/>
              </w:rPr>
            </w:pPr>
            <w:r w:rsidRPr="00652E2C">
              <w:rPr>
                <w:rFonts w:ascii="Palatino Linotype" w:eastAsia="Palatino Linotype" w:hAnsi="Palatino Linotype" w:cs="Palatino Linotype"/>
                <w:noProof/>
              </w:rPr>
              <w:drawing>
                <wp:inline distT="0" distB="0" distL="0" distR="0" wp14:anchorId="248AF861" wp14:editId="02675924">
                  <wp:extent cx="3685540" cy="631825"/>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3685540" cy="631825"/>
                          </a:xfrm>
                          <a:prstGeom prst="rect">
                            <a:avLst/>
                          </a:prstGeom>
                        </pic:spPr>
                      </pic:pic>
                    </a:graphicData>
                  </a:graphic>
                </wp:inline>
              </w:drawing>
            </w:r>
          </w:p>
        </w:tc>
        <w:tc>
          <w:tcPr>
            <w:tcW w:w="1499" w:type="dxa"/>
          </w:tcPr>
          <w:p w14:paraId="6234F1B2" w14:textId="77777777" w:rsidR="00F40323" w:rsidRPr="00652E2C" w:rsidRDefault="00F40323" w:rsidP="009B41B3">
            <w:pPr>
              <w:spacing w:before="100" w:after="200" w:line="276" w:lineRule="auto"/>
              <w:jc w:val="center"/>
              <w:rPr>
                <w:rFonts w:ascii="Palatino Linotype" w:eastAsia="Palatino Linotype" w:hAnsi="Palatino Linotype" w:cs="Palatino Linotype"/>
                <w:b/>
                <w:sz w:val="22"/>
                <w:szCs w:val="22"/>
                <w:lang w:val="es-ES"/>
              </w:rPr>
            </w:pPr>
            <w:r w:rsidRPr="00652E2C">
              <w:rPr>
                <w:rFonts w:ascii="Palatino Linotype" w:eastAsia="Palatino Linotype" w:hAnsi="Palatino Linotype" w:cs="Palatino Linotype"/>
                <w:b/>
                <w:sz w:val="22"/>
                <w:szCs w:val="22"/>
                <w:lang w:val="es-ES"/>
              </w:rPr>
              <w:t>Sí</w:t>
            </w:r>
          </w:p>
        </w:tc>
      </w:tr>
      <w:tr w:rsidR="00F40323" w:rsidRPr="00652E2C" w14:paraId="59A4575A" w14:textId="77777777" w:rsidTr="009B41B3">
        <w:tc>
          <w:tcPr>
            <w:tcW w:w="1555" w:type="dxa"/>
            <w:gridSpan w:val="2"/>
            <w:shd w:val="clear" w:color="auto" w:fill="auto"/>
          </w:tcPr>
          <w:p w14:paraId="58569C98" w14:textId="77777777" w:rsidR="00F40323" w:rsidRPr="00652E2C" w:rsidRDefault="00F40323" w:rsidP="009B41B3">
            <w:pPr>
              <w:spacing w:before="100" w:after="200" w:line="276" w:lineRule="auto"/>
              <w:jc w:val="center"/>
              <w:rPr>
                <w:rFonts w:ascii="Palatino Linotype" w:eastAsia="Palatino Linotype" w:hAnsi="Palatino Linotype" w:cs="Palatino Linotype"/>
                <w:b/>
                <w:sz w:val="22"/>
                <w:szCs w:val="22"/>
                <w:lang w:val="es-ES"/>
              </w:rPr>
            </w:pPr>
            <w:r w:rsidRPr="00652E2C">
              <w:rPr>
                <w:rFonts w:ascii="Palatino Linotype" w:eastAsia="Palatino Linotype" w:hAnsi="Palatino Linotype" w:cs="Palatino Linotype"/>
                <w:b/>
                <w:sz w:val="18"/>
                <w:szCs w:val="18"/>
                <w:lang w:val="es-ES"/>
              </w:rPr>
              <w:t>Autoridades competentes.</w:t>
            </w:r>
          </w:p>
        </w:tc>
        <w:tc>
          <w:tcPr>
            <w:tcW w:w="6013" w:type="dxa"/>
            <w:shd w:val="clear" w:color="auto" w:fill="auto"/>
          </w:tcPr>
          <w:p w14:paraId="0DC249D7" w14:textId="77777777" w:rsidR="00F40323" w:rsidRPr="00652E2C" w:rsidRDefault="00F40323" w:rsidP="009B41B3">
            <w:pPr>
              <w:spacing w:before="100" w:after="200" w:line="276" w:lineRule="auto"/>
              <w:rPr>
                <w:rFonts w:ascii="Cambria" w:eastAsia="Cambria" w:hAnsi="Cambria" w:cs="Cambria"/>
                <w:lang w:val="es-ES"/>
              </w:rPr>
            </w:pPr>
            <w:r w:rsidRPr="00652E2C">
              <w:rPr>
                <w:rFonts w:ascii="Cambria" w:eastAsia="Cambria" w:hAnsi="Cambria" w:cs="Cambria"/>
                <w:lang w:val="es-ES"/>
              </w:rPr>
              <w:t xml:space="preserve"> </w:t>
            </w:r>
            <w:r w:rsidRPr="00652E2C">
              <w:rPr>
                <w:rFonts w:ascii="Cambria" w:eastAsia="Cambria" w:hAnsi="Cambria" w:cs="Cambria"/>
                <w:noProof/>
              </w:rPr>
              <w:drawing>
                <wp:inline distT="0" distB="0" distL="0" distR="0" wp14:anchorId="51D35A85" wp14:editId="3444931C">
                  <wp:extent cx="3681095" cy="263525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681095" cy="2635250"/>
                          </a:xfrm>
                          <a:prstGeom prst="rect">
                            <a:avLst/>
                          </a:prstGeom>
                        </pic:spPr>
                      </pic:pic>
                    </a:graphicData>
                  </a:graphic>
                </wp:inline>
              </w:drawing>
            </w:r>
          </w:p>
        </w:tc>
        <w:tc>
          <w:tcPr>
            <w:tcW w:w="1499" w:type="dxa"/>
            <w:shd w:val="clear" w:color="auto" w:fill="auto"/>
          </w:tcPr>
          <w:p w14:paraId="71976FAE" w14:textId="77777777" w:rsidR="00F40323" w:rsidRPr="00652E2C" w:rsidRDefault="00F40323" w:rsidP="009B41B3">
            <w:pPr>
              <w:spacing w:before="100" w:after="200" w:line="276" w:lineRule="auto"/>
              <w:jc w:val="center"/>
              <w:rPr>
                <w:rFonts w:ascii="Palatino Linotype" w:eastAsia="Palatino Linotype" w:hAnsi="Palatino Linotype" w:cs="Palatino Linotype"/>
                <w:b/>
                <w:sz w:val="22"/>
                <w:szCs w:val="22"/>
                <w:lang w:val="es-ES"/>
              </w:rPr>
            </w:pPr>
            <w:r w:rsidRPr="00652E2C">
              <w:rPr>
                <w:rFonts w:ascii="Palatino Linotype" w:eastAsia="Palatino Linotype" w:hAnsi="Palatino Linotype" w:cs="Palatino Linotype"/>
                <w:b/>
                <w:sz w:val="18"/>
                <w:szCs w:val="18"/>
                <w:lang w:val="es-ES"/>
              </w:rPr>
              <w:t>Si</w:t>
            </w:r>
          </w:p>
        </w:tc>
      </w:tr>
    </w:tbl>
    <w:p w14:paraId="10B7FC54" w14:textId="77777777" w:rsidR="00F40323" w:rsidRPr="00652E2C" w:rsidRDefault="00F40323" w:rsidP="00F40323">
      <w:pPr>
        <w:spacing w:line="360" w:lineRule="auto"/>
        <w:ind w:right="49"/>
        <w:jc w:val="both"/>
        <w:rPr>
          <w:rFonts w:ascii="Palatino Linotype" w:eastAsia="Palatino Linotype" w:hAnsi="Palatino Linotype" w:cs="Palatino Linotype"/>
          <w:lang w:val="es-ES"/>
        </w:rPr>
      </w:pPr>
    </w:p>
    <w:p w14:paraId="7D57D3D1" w14:textId="77777777" w:rsidR="00F40323" w:rsidRPr="00652E2C" w:rsidRDefault="00F40323" w:rsidP="00F40323">
      <w:pPr>
        <w:spacing w:line="360" w:lineRule="auto"/>
        <w:ind w:right="49"/>
        <w:jc w:val="both"/>
        <w:rPr>
          <w:rFonts w:ascii="Palatino Linotype" w:eastAsia="Palatino Linotype" w:hAnsi="Palatino Linotype" w:cs="Palatino Linotype"/>
          <w:sz w:val="22"/>
          <w:lang w:val="es-ES"/>
        </w:rPr>
      </w:pPr>
      <w:r w:rsidRPr="00652E2C">
        <w:rPr>
          <w:rFonts w:ascii="Palatino Linotype" w:eastAsia="Palatino Linotype" w:hAnsi="Palatino Linotype" w:cs="Palatino Linotype"/>
          <w:sz w:val="22"/>
          <w:lang w:val="es-ES"/>
        </w:rPr>
        <w:t>De tal suerte que con lo anteriormente analizado se concluye que efectivamente, el acuerdo de clasificación que acompaña a dichos correos cumple con todas las formalidades previstas por la normatividad, toda vez que se hace referencia a la información solicitada, la fundamentación y motivación de la clasificación es correcta y además cuenta con las firmas de los integrantes del Comité de Transparencia.</w:t>
      </w:r>
    </w:p>
    <w:p w14:paraId="2D65E6B2" w14:textId="77777777" w:rsidR="00921768" w:rsidRPr="00652E2C" w:rsidRDefault="00921768" w:rsidP="00ED3DBF">
      <w:pPr>
        <w:spacing w:line="360" w:lineRule="auto"/>
        <w:jc w:val="both"/>
        <w:rPr>
          <w:rFonts w:ascii="Palatino Linotype" w:eastAsia="Palatino Linotype" w:hAnsi="Palatino Linotype" w:cs="Palatino Linotype"/>
          <w:sz w:val="22"/>
          <w:szCs w:val="22"/>
        </w:rPr>
      </w:pPr>
    </w:p>
    <w:p w14:paraId="3950188D" w14:textId="77777777" w:rsidR="007B23B8" w:rsidRPr="00652E2C" w:rsidRDefault="00921768" w:rsidP="007B23B8">
      <w:pPr>
        <w:spacing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Por otro lado</w:t>
      </w:r>
      <w:r w:rsidR="007B23B8" w:rsidRPr="00652E2C">
        <w:rPr>
          <w:rFonts w:ascii="Palatino Linotype" w:eastAsia="Palatino Linotype" w:hAnsi="Palatino Linotype" w:cs="Palatino Linotype"/>
          <w:sz w:val="22"/>
          <w:szCs w:val="22"/>
        </w:rPr>
        <w:t xml:space="preserve">, </w:t>
      </w:r>
      <w:r w:rsidR="00F40323" w:rsidRPr="00652E2C">
        <w:rPr>
          <w:rFonts w:ascii="Palatino Linotype" w:eastAsia="Palatino Linotype" w:hAnsi="Palatino Linotype" w:cs="Palatino Linotype"/>
          <w:sz w:val="22"/>
          <w:szCs w:val="22"/>
        </w:rPr>
        <w:t>respecto a la información faltante, es importante citar el contenido de</w:t>
      </w:r>
      <w:r w:rsidR="007B23B8" w:rsidRPr="00652E2C">
        <w:rPr>
          <w:rFonts w:ascii="Palatino Linotype" w:eastAsia="Palatino Linotype" w:hAnsi="Palatino Linotype" w:cs="Palatino Linotype"/>
          <w:sz w:val="22"/>
          <w:szCs w:val="22"/>
        </w:rPr>
        <w:t xml:space="preserve"> los artículos 12, 41, 42, 43, 44 y 45 de la Ley General de Archivos establecen lo siguiente: </w:t>
      </w:r>
    </w:p>
    <w:p w14:paraId="50CAA38D" w14:textId="77777777" w:rsidR="007B23B8" w:rsidRPr="00652E2C" w:rsidRDefault="007B23B8" w:rsidP="007B23B8">
      <w:pPr>
        <w:spacing w:line="360" w:lineRule="auto"/>
        <w:jc w:val="both"/>
        <w:rPr>
          <w:rFonts w:ascii="Palatino Linotype" w:eastAsia="Palatino Linotype" w:hAnsi="Palatino Linotype" w:cs="Palatino Linotype"/>
          <w:sz w:val="22"/>
          <w:szCs w:val="22"/>
        </w:rPr>
      </w:pPr>
    </w:p>
    <w:p w14:paraId="08F13942" w14:textId="77777777" w:rsidR="007B23B8" w:rsidRPr="00652E2C" w:rsidRDefault="007B23B8" w:rsidP="007B23B8">
      <w:pPr>
        <w:spacing w:line="276" w:lineRule="auto"/>
        <w:ind w:left="851" w:right="616"/>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 xml:space="preserve">“Artículo 12. Los sujetos obligados deberán mantener los documentos contenidos en </w:t>
      </w:r>
      <w:r w:rsidRPr="00652E2C">
        <w:rPr>
          <w:rFonts w:ascii="Palatino Linotype" w:eastAsia="Palatino Linotype" w:hAnsi="Palatino Linotype" w:cs="Palatino Linotype"/>
          <w:b/>
          <w:i/>
          <w:sz w:val="22"/>
          <w:szCs w:val="22"/>
        </w:rPr>
        <w:t>sus archivos en el orden original en que fueron producidos</w:t>
      </w:r>
      <w:r w:rsidRPr="00652E2C">
        <w:rPr>
          <w:rFonts w:ascii="Palatino Linotype" w:eastAsia="Palatino Linotype" w:hAnsi="Palatino Linotype" w:cs="Palatino Linotype"/>
          <w:i/>
          <w:sz w:val="22"/>
          <w:szCs w:val="22"/>
        </w:rPr>
        <w:t xml:space="preserve">, conforme a los procesos de gestión documental que incluyen la producción, organización, acceso, </w:t>
      </w:r>
      <w:r w:rsidRPr="00652E2C">
        <w:rPr>
          <w:rFonts w:ascii="Palatino Linotype" w:eastAsia="Palatino Linotype" w:hAnsi="Palatino Linotype" w:cs="Palatino Linotype"/>
          <w:i/>
          <w:sz w:val="22"/>
          <w:szCs w:val="22"/>
        </w:rPr>
        <w:lastRenderedPageBreak/>
        <w:t>consulta, valoración documental, disposición documental y conservación, en los términos que establezcan el Consejo Nacional y las disposiciones jurídicas aplicables.</w:t>
      </w:r>
    </w:p>
    <w:p w14:paraId="292E5512" w14:textId="77777777" w:rsidR="007B23B8" w:rsidRPr="00652E2C" w:rsidRDefault="007B23B8" w:rsidP="007B23B8">
      <w:pPr>
        <w:spacing w:line="276" w:lineRule="auto"/>
        <w:ind w:left="851" w:right="616"/>
        <w:jc w:val="both"/>
        <w:rPr>
          <w:rFonts w:ascii="Palatino Linotype" w:eastAsia="Palatino Linotype" w:hAnsi="Palatino Linotype" w:cs="Palatino Linotype"/>
          <w:i/>
          <w:sz w:val="22"/>
          <w:szCs w:val="22"/>
        </w:rPr>
      </w:pPr>
    </w:p>
    <w:p w14:paraId="718260F0" w14:textId="77777777" w:rsidR="007B23B8" w:rsidRPr="00652E2C" w:rsidRDefault="007B23B8" w:rsidP="007B23B8">
      <w:pPr>
        <w:spacing w:line="276" w:lineRule="auto"/>
        <w:ind w:left="851" w:right="616"/>
        <w:jc w:val="center"/>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CAPÍTULO IX</w:t>
      </w:r>
    </w:p>
    <w:p w14:paraId="31CDC961" w14:textId="77777777" w:rsidR="007B23B8" w:rsidRPr="00652E2C" w:rsidRDefault="007B23B8" w:rsidP="007B23B8">
      <w:pPr>
        <w:spacing w:line="276" w:lineRule="auto"/>
        <w:ind w:left="851" w:right="616"/>
        <w:jc w:val="center"/>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DE LOS DOCUMENTOS DE ARCHIVO ELECTRÓNICOS</w:t>
      </w:r>
    </w:p>
    <w:p w14:paraId="3EB3612F" w14:textId="77777777" w:rsidR="007B23B8" w:rsidRPr="00652E2C" w:rsidRDefault="007B23B8" w:rsidP="007B23B8">
      <w:pPr>
        <w:spacing w:line="276" w:lineRule="auto"/>
        <w:ind w:left="851" w:right="616"/>
        <w:jc w:val="both"/>
        <w:rPr>
          <w:rFonts w:ascii="Palatino Linotype" w:eastAsia="Palatino Linotype" w:hAnsi="Palatino Linotype" w:cs="Palatino Linotype"/>
          <w:i/>
          <w:sz w:val="22"/>
          <w:szCs w:val="22"/>
        </w:rPr>
      </w:pPr>
    </w:p>
    <w:p w14:paraId="02A424D7" w14:textId="77777777" w:rsidR="007B23B8" w:rsidRPr="00652E2C" w:rsidRDefault="007B23B8" w:rsidP="007B23B8">
      <w:pPr>
        <w:spacing w:line="276" w:lineRule="auto"/>
        <w:ind w:left="851" w:right="616"/>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Artículo 41. Además de los procesos de gestión previstos en el artículo 12 de esta Ley, se deberá contemplar para la gestión documental electrónica la incorporación, asignación de acceso, seguridad, almacenamiento, uso y trazabilidad.</w:t>
      </w:r>
    </w:p>
    <w:p w14:paraId="6E25FAA2" w14:textId="77777777" w:rsidR="007B23B8" w:rsidRPr="00652E2C" w:rsidRDefault="007B23B8" w:rsidP="007B23B8">
      <w:pPr>
        <w:spacing w:line="276" w:lineRule="auto"/>
        <w:ind w:left="851" w:right="616"/>
        <w:jc w:val="both"/>
        <w:rPr>
          <w:rFonts w:ascii="Palatino Linotype" w:eastAsia="Palatino Linotype" w:hAnsi="Palatino Linotype" w:cs="Palatino Linotype"/>
          <w:i/>
          <w:sz w:val="22"/>
          <w:szCs w:val="22"/>
        </w:rPr>
      </w:pPr>
    </w:p>
    <w:p w14:paraId="420D1157" w14:textId="77777777" w:rsidR="007B23B8" w:rsidRPr="00652E2C" w:rsidRDefault="007B23B8" w:rsidP="007B23B8">
      <w:pPr>
        <w:spacing w:line="276" w:lineRule="auto"/>
        <w:ind w:left="851" w:right="616"/>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 xml:space="preserve">Artículo 42. Los sujetos obligados establecerán en su programa anual los procedimientos </w:t>
      </w:r>
      <w:r w:rsidRPr="00652E2C">
        <w:rPr>
          <w:rFonts w:ascii="Palatino Linotype" w:eastAsia="Palatino Linotype" w:hAnsi="Palatino Linotype" w:cs="Palatino Linotype"/>
          <w:b/>
          <w:i/>
          <w:sz w:val="22"/>
          <w:szCs w:val="22"/>
        </w:rPr>
        <w:t>para la generación, administración, uso, control y migración de formatos electrónicos</w:t>
      </w:r>
      <w:r w:rsidRPr="00652E2C">
        <w:rPr>
          <w:rFonts w:ascii="Palatino Linotype" w:eastAsia="Palatino Linotype" w:hAnsi="Palatino Linotype" w:cs="Palatino Linotype"/>
          <w:i/>
          <w:sz w:val="22"/>
          <w:szCs w:val="22"/>
        </w:rPr>
        <w:t xml:space="preserve">, así como </w:t>
      </w:r>
      <w:r w:rsidRPr="00652E2C">
        <w:rPr>
          <w:rFonts w:ascii="Palatino Linotype" w:eastAsia="Palatino Linotype" w:hAnsi="Palatino Linotype" w:cs="Palatino Linotype"/>
          <w:b/>
          <w:i/>
          <w:sz w:val="22"/>
          <w:szCs w:val="22"/>
        </w:rPr>
        <w:t>planes de preservación y conservación de largo plazo que contemplen la migración</w:t>
      </w:r>
      <w:r w:rsidRPr="00652E2C">
        <w:rPr>
          <w:rFonts w:ascii="Palatino Linotype" w:eastAsia="Palatino Linotype" w:hAnsi="Palatino Linotype" w:cs="Palatino Linotype"/>
          <w:i/>
          <w:sz w:val="22"/>
          <w:szCs w:val="22"/>
        </w:rPr>
        <w:t>, la emulación o cualquier otro método de preservación y conservación de los documentos de archivo electrónicos, apoyándose en las disposiciones emanadas del Consejo Nacional.</w:t>
      </w:r>
    </w:p>
    <w:p w14:paraId="0A5F0429" w14:textId="77777777" w:rsidR="007B23B8" w:rsidRPr="00652E2C" w:rsidRDefault="007B23B8" w:rsidP="007B23B8">
      <w:pPr>
        <w:spacing w:line="276" w:lineRule="auto"/>
        <w:ind w:left="851" w:right="616"/>
        <w:jc w:val="both"/>
        <w:rPr>
          <w:rFonts w:ascii="Palatino Linotype" w:eastAsia="Palatino Linotype" w:hAnsi="Palatino Linotype" w:cs="Palatino Linotype"/>
          <w:i/>
          <w:sz w:val="22"/>
          <w:szCs w:val="22"/>
        </w:rPr>
      </w:pPr>
    </w:p>
    <w:p w14:paraId="7A2F4C4B" w14:textId="77777777" w:rsidR="007B23B8" w:rsidRPr="00652E2C" w:rsidRDefault="007B23B8" w:rsidP="007B23B8">
      <w:pPr>
        <w:spacing w:line="276" w:lineRule="auto"/>
        <w:ind w:left="851" w:right="616"/>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 xml:space="preserve">Artículo 43. Los sujetos obligados establecerán en el programa anual la </w:t>
      </w:r>
      <w:r w:rsidRPr="00652E2C">
        <w:rPr>
          <w:rFonts w:ascii="Palatino Linotype" w:eastAsia="Palatino Linotype" w:hAnsi="Palatino Linotype" w:cs="Palatino Linotype"/>
          <w:b/>
          <w:i/>
          <w:sz w:val="22"/>
          <w:szCs w:val="22"/>
        </w:rPr>
        <w:t>estrategia de preservación a largo plazo de los documentos de archivo electrónico</w:t>
      </w:r>
      <w:r w:rsidRPr="00652E2C">
        <w:rPr>
          <w:rFonts w:ascii="Palatino Linotype" w:eastAsia="Palatino Linotype" w:hAnsi="Palatino Linotype" w:cs="Palatino Linotype"/>
          <w:i/>
          <w:sz w:val="22"/>
          <w:szCs w:val="22"/>
        </w:rPr>
        <w:t xml:space="preserve"> y las acciones que garanticen los procesos de gestión documental electrónica.</w:t>
      </w:r>
    </w:p>
    <w:p w14:paraId="038ECA51" w14:textId="77777777" w:rsidR="007B23B8" w:rsidRPr="00652E2C" w:rsidRDefault="007B23B8" w:rsidP="007B23B8">
      <w:pPr>
        <w:spacing w:line="276" w:lineRule="auto"/>
        <w:ind w:left="851" w:right="616"/>
        <w:jc w:val="both"/>
        <w:rPr>
          <w:rFonts w:ascii="Palatino Linotype" w:eastAsia="Palatino Linotype" w:hAnsi="Palatino Linotype" w:cs="Palatino Linotype"/>
          <w:i/>
          <w:sz w:val="22"/>
          <w:szCs w:val="22"/>
        </w:rPr>
      </w:pPr>
    </w:p>
    <w:p w14:paraId="17F43CA7" w14:textId="77777777" w:rsidR="007B23B8" w:rsidRPr="00652E2C" w:rsidRDefault="007B23B8" w:rsidP="007B23B8">
      <w:pPr>
        <w:spacing w:line="276" w:lineRule="auto"/>
        <w:ind w:left="851" w:right="616"/>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Los documentos de archivo electrónicos que pertenezcan a series documentales con valor histórico se deberán conservar en sus formatos originales</w:t>
      </w:r>
      <w:r w:rsidRPr="00652E2C">
        <w:rPr>
          <w:rFonts w:ascii="Palatino Linotype" w:eastAsia="Palatino Linotype" w:hAnsi="Palatino Linotype" w:cs="Palatino Linotype"/>
          <w:i/>
          <w:sz w:val="22"/>
          <w:szCs w:val="22"/>
        </w:rPr>
        <w:t>, así como una copia de su representación gráfica o visual, además de todos los metadatos descriptivos.</w:t>
      </w:r>
    </w:p>
    <w:p w14:paraId="0FC78120" w14:textId="77777777" w:rsidR="007B23B8" w:rsidRPr="00652E2C" w:rsidRDefault="007B23B8" w:rsidP="007B23B8">
      <w:pPr>
        <w:spacing w:line="276" w:lineRule="auto"/>
        <w:ind w:left="851" w:right="616"/>
        <w:jc w:val="both"/>
        <w:rPr>
          <w:rFonts w:ascii="Palatino Linotype" w:eastAsia="Palatino Linotype" w:hAnsi="Palatino Linotype" w:cs="Palatino Linotype"/>
          <w:i/>
          <w:sz w:val="22"/>
          <w:szCs w:val="22"/>
        </w:rPr>
      </w:pPr>
    </w:p>
    <w:p w14:paraId="73B173C6" w14:textId="77777777" w:rsidR="007B23B8" w:rsidRPr="00652E2C" w:rsidRDefault="007B23B8" w:rsidP="007B23B8">
      <w:pPr>
        <w:spacing w:line="276" w:lineRule="auto"/>
        <w:ind w:left="851" w:right="616"/>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 xml:space="preserve">Artículo 44. Los sujetos obligados adoptarán las </w:t>
      </w:r>
      <w:r w:rsidRPr="00652E2C">
        <w:rPr>
          <w:rFonts w:ascii="Palatino Linotype" w:eastAsia="Palatino Linotype" w:hAnsi="Palatino Linotype" w:cs="Palatino Linotype"/>
          <w:b/>
          <w:i/>
          <w:sz w:val="22"/>
          <w:szCs w:val="22"/>
        </w:rPr>
        <w:t>medidas de organización, técnicas y tecnológicas para garantizar la recuperación y preservación de los documentos</w:t>
      </w:r>
      <w:r w:rsidRPr="00652E2C">
        <w:rPr>
          <w:rFonts w:ascii="Palatino Linotype" w:eastAsia="Palatino Linotype" w:hAnsi="Palatino Linotype" w:cs="Palatino Linotype"/>
          <w:i/>
          <w:sz w:val="22"/>
          <w:szCs w:val="22"/>
        </w:rPr>
        <w:t xml:space="preserve"> de archivo electrónicos producidos y recibidos que se encuentren en un sistema automatizado para la gestión documental y </w:t>
      </w:r>
      <w:r w:rsidRPr="00652E2C">
        <w:rPr>
          <w:rFonts w:ascii="Palatino Linotype" w:eastAsia="Palatino Linotype" w:hAnsi="Palatino Linotype" w:cs="Palatino Linotype"/>
          <w:b/>
          <w:i/>
          <w:sz w:val="22"/>
          <w:szCs w:val="22"/>
        </w:rPr>
        <w:t>administración de</w:t>
      </w:r>
      <w:r w:rsidRPr="00652E2C">
        <w:rPr>
          <w:rFonts w:ascii="Palatino Linotype" w:eastAsia="Palatino Linotype" w:hAnsi="Palatino Linotype" w:cs="Palatino Linotype"/>
          <w:i/>
          <w:sz w:val="22"/>
          <w:szCs w:val="22"/>
        </w:rPr>
        <w:t xml:space="preserve"> archivos, bases de datos y </w:t>
      </w:r>
      <w:r w:rsidRPr="00652E2C">
        <w:rPr>
          <w:rFonts w:ascii="Palatino Linotype" w:eastAsia="Palatino Linotype" w:hAnsi="Palatino Linotype" w:cs="Palatino Linotype"/>
          <w:b/>
          <w:i/>
          <w:sz w:val="22"/>
          <w:szCs w:val="22"/>
          <w:u w:val="single"/>
        </w:rPr>
        <w:t>correos electrónicos</w:t>
      </w:r>
      <w:r w:rsidRPr="00652E2C">
        <w:rPr>
          <w:rFonts w:ascii="Palatino Linotype" w:eastAsia="Palatino Linotype" w:hAnsi="Palatino Linotype" w:cs="Palatino Linotype"/>
          <w:i/>
          <w:sz w:val="22"/>
          <w:szCs w:val="22"/>
        </w:rPr>
        <w:t xml:space="preserve"> a lo largo de su ciclo vital.</w:t>
      </w:r>
    </w:p>
    <w:p w14:paraId="79B37A3F" w14:textId="77777777" w:rsidR="007B23B8" w:rsidRPr="00652E2C" w:rsidRDefault="007B23B8" w:rsidP="007B23B8">
      <w:pPr>
        <w:spacing w:line="276" w:lineRule="auto"/>
        <w:ind w:left="851" w:right="616"/>
        <w:jc w:val="both"/>
        <w:rPr>
          <w:rFonts w:ascii="Palatino Linotype" w:eastAsia="Palatino Linotype" w:hAnsi="Palatino Linotype" w:cs="Palatino Linotype"/>
          <w:i/>
          <w:sz w:val="22"/>
          <w:szCs w:val="22"/>
        </w:rPr>
      </w:pPr>
    </w:p>
    <w:p w14:paraId="7565C4E2" w14:textId="77777777" w:rsidR="007B23B8" w:rsidRPr="00652E2C" w:rsidRDefault="007B23B8" w:rsidP="007B23B8">
      <w:pPr>
        <w:spacing w:line="276" w:lineRule="auto"/>
        <w:ind w:left="851" w:right="616"/>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 xml:space="preserve">Artículo 45. Los sujetos obligados deberán implementar sistemas automatizados para la gestión documental y administración de archivos que permitan registrar y </w:t>
      </w:r>
      <w:r w:rsidRPr="00652E2C">
        <w:rPr>
          <w:rFonts w:ascii="Palatino Linotype" w:eastAsia="Palatino Linotype" w:hAnsi="Palatino Linotype" w:cs="Palatino Linotype"/>
          <w:i/>
          <w:sz w:val="22"/>
          <w:szCs w:val="22"/>
        </w:rPr>
        <w:lastRenderedPageBreak/>
        <w:t>controlar los procesos señalados en el artículo 12 de esta Ley, los cuales deberán cumplir las especificaciones que para el efecto se emitan. Las herramientas informáticas de gestión y control para la organización y conservación de documentos de archivo electrónicos que los sujetos obligados desarrollen o adquieran, deberán cumplir los lineamientos que para el efecto se emitan.”</w:t>
      </w:r>
    </w:p>
    <w:p w14:paraId="5C3F17FF" w14:textId="77777777" w:rsidR="007B23B8" w:rsidRPr="00652E2C" w:rsidRDefault="007B23B8" w:rsidP="007B23B8">
      <w:pPr>
        <w:spacing w:line="360" w:lineRule="auto"/>
        <w:jc w:val="both"/>
        <w:rPr>
          <w:rFonts w:ascii="Palatino Linotype" w:eastAsia="Palatino Linotype" w:hAnsi="Palatino Linotype" w:cs="Palatino Linotype"/>
          <w:sz w:val="22"/>
          <w:szCs w:val="22"/>
        </w:rPr>
      </w:pPr>
    </w:p>
    <w:p w14:paraId="7B888240" w14:textId="77777777" w:rsidR="007B23B8" w:rsidRPr="00652E2C" w:rsidRDefault="007B23B8" w:rsidP="007B23B8">
      <w:pPr>
        <w:spacing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 xml:space="preserve">Aunado a lo anterior, el numeral Quincuagésimo sexto de los Lineamientos para la Organización y Conservación de los Archivos emitidos por el Consejo Nacional del Sistema Nacional de Transparencia, Acceso a la Información Pública y Protección de Datos Personales, contempla lo siguiente: </w:t>
      </w:r>
    </w:p>
    <w:p w14:paraId="3EF9D1AD" w14:textId="77777777" w:rsidR="007B23B8" w:rsidRPr="00652E2C" w:rsidRDefault="007B23B8" w:rsidP="007B23B8">
      <w:pPr>
        <w:shd w:val="clear" w:color="auto" w:fill="FFFFFF"/>
        <w:spacing w:line="276" w:lineRule="auto"/>
        <w:ind w:left="851" w:right="616"/>
        <w:jc w:val="both"/>
        <w:rPr>
          <w:rFonts w:ascii="Palatino Linotype" w:eastAsia="Palatino Linotype" w:hAnsi="Palatino Linotype" w:cs="Palatino Linotype"/>
          <w:b/>
          <w:i/>
          <w:sz w:val="22"/>
          <w:szCs w:val="22"/>
        </w:rPr>
      </w:pPr>
    </w:p>
    <w:p w14:paraId="10EDC094" w14:textId="77777777" w:rsidR="007B23B8" w:rsidRPr="00652E2C" w:rsidRDefault="007B23B8" w:rsidP="007B23B8">
      <w:pPr>
        <w:shd w:val="clear" w:color="auto" w:fill="FFFFFF"/>
        <w:spacing w:line="276" w:lineRule="auto"/>
        <w:ind w:left="567" w:right="85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“Quincuagésimo sexto. </w:t>
      </w:r>
      <w:r w:rsidRPr="00652E2C">
        <w:rPr>
          <w:rFonts w:ascii="Palatino Linotype" w:eastAsia="Palatino Linotype" w:hAnsi="Palatino Linotype" w:cs="Palatino Linotype"/>
          <w:b/>
          <w:i/>
          <w:sz w:val="22"/>
          <w:szCs w:val="22"/>
          <w:u w:val="single"/>
        </w:rPr>
        <w:t>Los correos electrónicos que deriven del ejercicio de las facultades, competencias o funciones de los Sujetos obligados</w:t>
      </w:r>
      <w:r w:rsidRPr="00652E2C">
        <w:rPr>
          <w:rFonts w:ascii="Palatino Linotype" w:eastAsia="Palatino Linotype" w:hAnsi="Palatino Linotype" w:cs="Palatino Linotype"/>
          <w:i/>
          <w:sz w:val="22"/>
          <w:szCs w:val="22"/>
        </w:rPr>
        <w:t xml:space="preserve"> </w:t>
      </w:r>
      <w:r w:rsidRPr="00652E2C">
        <w:rPr>
          <w:rFonts w:ascii="Palatino Linotype" w:eastAsia="Palatino Linotype" w:hAnsi="Palatino Linotype" w:cs="Palatino Linotype"/>
          <w:b/>
          <w:i/>
          <w:sz w:val="22"/>
          <w:szCs w:val="22"/>
        </w:rPr>
        <w:t xml:space="preserve">deberán </w:t>
      </w:r>
      <w:r w:rsidRPr="00652E2C">
        <w:rPr>
          <w:rFonts w:ascii="Palatino Linotype" w:eastAsia="Palatino Linotype" w:hAnsi="Palatino Linotype" w:cs="Palatino Linotype"/>
          <w:b/>
          <w:i/>
          <w:sz w:val="22"/>
          <w:szCs w:val="22"/>
          <w:u w:val="single"/>
        </w:rPr>
        <w:t>organizarse y conservarse</w:t>
      </w:r>
      <w:r w:rsidRPr="00652E2C">
        <w:rPr>
          <w:rFonts w:ascii="Palatino Linotype" w:eastAsia="Palatino Linotype" w:hAnsi="Palatino Linotype" w:cs="Palatino Linotype"/>
          <w:b/>
          <w:i/>
          <w:sz w:val="22"/>
          <w:szCs w:val="22"/>
        </w:rPr>
        <w:t xml:space="preserve"> </w:t>
      </w:r>
      <w:r w:rsidRPr="00652E2C">
        <w:rPr>
          <w:rFonts w:ascii="Palatino Linotype" w:eastAsia="Palatino Linotype" w:hAnsi="Palatino Linotype" w:cs="Palatino Linotype"/>
          <w:i/>
          <w:sz w:val="22"/>
          <w:szCs w:val="22"/>
        </w:rPr>
        <w:t>de acuerdo con las series documentales establecidas en el Cuadro general de clasificación archivística, y a los plazos de conservación señalados en el Catálogo de disposición documental.</w:t>
      </w:r>
    </w:p>
    <w:p w14:paraId="0C01A25E" w14:textId="77777777" w:rsidR="007B23B8" w:rsidRPr="00652E2C" w:rsidRDefault="007B23B8" w:rsidP="007B23B8">
      <w:pPr>
        <w:shd w:val="clear" w:color="auto" w:fill="FFFFFF"/>
        <w:spacing w:line="276" w:lineRule="auto"/>
        <w:ind w:left="567" w:right="851"/>
        <w:jc w:val="both"/>
        <w:rPr>
          <w:rFonts w:ascii="Palatino Linotype" w:eastAsia="Palatino Linotype" w:hAnsi="Palatino Linotype" w:cs="Palatino Linotype"/>
          <w:i/>
          <w:sz w:val="22"/>
          <w:szCs w:val="22"/>
        </w:rPr>
      </w:pPr>
    </w:p>
    <w:p w14:paraId="35BEB742" w14:textId="77777777" w:rsidR="007B23B8" w:rsidRPr="00652E2C" w:rsidRDefault="007B23B8" w:rsidP="007B23B8">
      <w:pPr>
        <w:shd w:val="clear" w:color="auto" w:fill="FFFFFF"/>
        <w:spacing w:line="276" w:lineRule="auto"/>
        <w:ind w:left="567" w:right="85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Cuadragésimo séptimo. </w:t>
      </w:r>
      <w:r w:rsidRPr="00652E2C">
        <w:rPr>
          <w:rFonts w:ascii="Palatino Linotype" w:eastAsia="Palatino Linotype" w:hAnsi="Palatino Linotype" w:cs="Palatino Linotype"/>
          <w:i/>
          <w:sz w:val="22"/>
          <w:szCs w:val="22"/>
        </w:rPr>
        <w:t>Para la gestión de las cuentas de correo electrónico institucional se podrán utilizar plantillas que contengan por lo menos la siguiente información:</w:t>
      </w:r>
    </w:p>
    <w:p w14:paraId="708920E9" w14:textId="77777777" w:rsidR="007B23B8" w:rsidRPr="00652E2C" w:rsidRDefault="007B23B8" w:rsidP="007B23B8">
      <w:pPr>
        <w:shd w:val="clear" w:color="auto" w:fill="FFFFFF"/>
        <w:spacing w:line="276" w:lineRule="auto"/>
        <w:ind w:left="567" w:right="85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I.</w:t>
      </w:r>
      <w:r w:rsidRPr="00652E2C">
        <w:rPr>
          <w:rFonts w:ascii="Palatino Linotype" w:eastAsia="Palatino Linotype" w:hAnsi="Palatino Linotype" w:cs="Palatino Linotype"/>
          <w:i/>
          <w:sz w:val="22"/>
          <w:szCs w:val="22"/>
        </w:rPr>
        <w:t>          Nombre y cargo del emisor;</w:t>
      </w:r>
    </w:p>
    <w:p w14:paraId="57C084DA" w14:textId="77777777" w:rsidR="007B23B8" w:rsidRPr="00652E2C" w:rsidRDefault="007B23B8" w:rsidP="007B23B8">
      <w:pPr>
        <w:shd w:val="clear" w:color="auto" w:fill="FFFFFF"/>
        <w:spacing w:line="276" w:lineRule="auto"/>
        <w:ind w:left="567" w:right="85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II.</w:t>
      </w:r>
      <w:r w:rsidRPr="00652E2C">
        <w:rPr>
          <w:rFonts w:ascii="Palatino Linotype" w:eastAsia="Palatino Linotype" w:hAnsi="Palatino Linotype" w:cs="Palatino Linotype"/>
          <w:i/>
          <w:sz w:val="22"/>
          <w:szCs w:val="22"/>
        </w:rPr>
        <w:t>         Nombre y cargo del receptor, y</w:t>
      </w:r>
    </w:p>
    <w:p w14:paraId="0FB582EE" w14:textId="77777777" w:rsidR="007B23B8" w:rsidRPr="00652E2C" w:rsidRDefault="007B23B8" w:rsidP="007B23B8">
      <w:pPr>
        <w:shd w:val="clear" w:color="auto" w:fill="FFFFFF"/>
        <w:spacing w:line="276" w:lineRule="auto"/>
        <w:ind w:left="567" w:right="85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III.</w:t>
      </w:r>
      <w:r w:rsidRPr="00652E2C">
        <w:rPr>
          <w:rFonts w:ascii="Palatino Linotype" w:eastAsia="Palatino Linotype" w:hAnsi="Palatino Linotype" w:cs="Palatino Linotype"/>
          <w:i/>
          <w:sz w:val="22"/>
          <w:szCs w:val="22"/>
        </w:rPr>
        <w:t>        Aviso: "La información de este correo, así como la contenida en los documentos que se adjuntan, </w:t>
      </w:r>
      <w:r w:rsidRPr="00652E2C">
        <w:rPr>
          <w:rFonts w:ascii="Palatino Linotype" w:eastAsia="Palatino Linotype" w:hAnsi="Palatino Linotype" w:cs="Palatino Linotype"/>
          <w:b/>
          <w:i/>
          <w:sz w:val="22"/>
          <w:szCs w:val="22"/>
          <w:u w:val="single"/>
        </w:rPr>
        <w:t>puede ser objeto de solicitudes de acceso a la información</w:t>
      </w:r>
      <w:r w:rsidRPr="00652E2C">
        <w:rPr>
          <w:rFonts w:ascii="Palatino Linotype" w:eastAsia="Palatino Linotype" w:hAnsi="Palatino Linotype" w:cs="Palatino Linotype"/>
          <w:i/>
          <w:sz w:val="22"/>
          <w:szCs w:val="22"/>
        </w:rPr>
        <w:t>".</w:t>
      </w:r>
    </w:p>
    <w:p w14:paraId="416C8EDF" w14:textId="77777777" w:rsidR="007B23B8" w:rsidRPr="00652E2C" w:rsidRDefault="007B23B8" w:rsidP="007B23B8">
      <w:pPr>
        <w:spacing w:line="360" w:lineRule="auto"/>
        <w:jc w:val="both"/>
        <w:rPr>
          <w:rFonts w:ascii="Palatino Linotype" w:eastAsia="Palatino Linotype" w:hAnsi="Palatino Linotype" w:cs="Palatino Linotype"/>
          <w:sz w:val="22"/>
          <w:szCs w:val="22"/>
        </w:rPr>
      </w:pPr>
    </w:p>
    <w:p w14:paraId="7CB1D381" w14:textId="77777777" w:rsidR="007B23B8" w:rsidRPr="00652E2C" w:rsidRDefault="007B23B8" w:rsidP="007B23B8">
      <w:pPr>
        <w:spacing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 xml:space="preserve">De los Lineamientos previamente citados, se observa que los correos electrónicos que deriven del ejercicio de las facultades, competencias o funciones de los Sujetos Obligados deben organizarse y conservarse  de acuerdo con las series documentales establecidas en el cuadro general de clasificación archivística, y a los plazos de conservación señalados en el </w:t>
      </w:r>
      <w:r w:rsidRPr="00652E2C">
        <w:rPr>
          <w:rFonts w:ascii="Palatino Linotype" w:eastAsia="Palatino Linotype" w:hAnsi="Palatino Linotype" w:cs="Palatino Linotype"/>
          <w:sz w:val="22"/>
          <w:szCs w:val="22"/>
        </w:rPr>
        <w:lastRenderedPageBreak/>
        <w:t>catálogo de disposición documental, toda vez, que los documentos que se adjuntan en ellos pueden ser objeto de solicitudes de acceso a la información.</w:t>
      </w:r>
    </w:p>
    <w:p w14:paraId="4D0BFB8A" w14:textId="77777777" w:rsidR="00A653F6" w:rsidRPr="00652E2C" w:rsidRDefault="00A653F6" w:rsidP="007B23B8">
      <w:pPr>
        <w:spacing w:line="360" w:lineRule="auto"/>
        <w:jc w:val="both"/>
        <w:rPr>
          <w:rFonts w:ascii="Palatino Linotype" w:eastAsia="Palatino Linotype" w:hAnsi="Palatino Linotype" w:cs="Palatino Linotype"/>
          <w:sz w:val="22"/>
          <w:szCs w:val="22"/>
        </w:rPr>
      </w:pPr>
    </w:p>
    <w:p w14:paraId="5FBDCAC0" w14:textId="77777777" w:rsidR="00392B9C" w:rsidRPr="00652E2C" w:rsidRDefault="00435F56" w:rsidP="007213EA">
      <w:pPr>
        <w:spacing w:line="360" w:lineRule="auto"/>
        <w:jc w:val="both"/>
        <w:rPr>
          <w:rFonts w:ascii="Palatino Linotype" w:eastAsia="Palatino Linotype" w:hAnsi="Palatino Linotype" w:cs="Palatino Linotype"/>
          <w:b/>
          <w:sz w:val="22"/>
          <w:szCs w:val="22"/>
        </w:rPr>
      </w:pPr>
      <w:r w:rsidRPr="00652E2C">
        <w:rPr>
          <w:rFonts w:ascii="Palatino Linotype" w:eastAsia="Palatino Linotype" w:hAnsi="Palatino Linotype" w:cs="Palatino Linotype"/>
          <w:sz w:val="22"/>
          <w:szCs w:val="22"/>
        </w:rPr>
        <w:t xml:space="preserve">Por lo anteriormente expuesto es que se determina que </w:t>
      </w:r>
      <w:r w:rsidR="00DA5AD2" w:rsidRPr="00652E2C">
        <w:rPr>
          <w:rFonts w:ascii="Palatino Linotype" w:eastAsia="Palatino Linotype" w:hAnsi="Palatino Linotype" w:cs="Palatino Linotype"/>
          <w:sz w:val="22"/>
          <w:szCs w:val="22"/>
        </w:rPr>
        <w:t xml:space="preserve">los agravios </w:t>
      </w:r>
      <w:r w:rsidR="007213EA" w:rsidRPr="00652E2C">
        <w:rPr>
          <w:rFonts w:ascii="Palatino Linotype" w:eastAsia="Palatino Linotype" w:hAnsi="Palatino Linotype" w:cs="Palatino Linotype"/>
          <w:sz w:val="22"/>
          <w:szCs w:val="22"/>
        </w:rPr>
        <w:t xml:space="preserve">de </w:t>
      </w:r>
      <w:r w:rsidR="007213EA" w:rsidRPr="00652E2C">
        <w:rPr>
          <w:rFonts w:ascii="Palatino Linotype" w:eastAsia="Palatino Linotype" w:hAnsi="Palatino Linotype" w:cs="Palatino Linotype"/>
          <w:b/>
          <w:sz w:val="22"/>
          <w:szCs w:val="22"/>
        </w:rPr>
        <w:t>la parte Recurrente</w:t>
      </w:r>
      <w:r w:rsidR="007213EA" w:rsidRPr="00652E2C">
        <w:rPr>
          <w:rFonts w:ascii="Palatino Linotype" w:eastAsia="Palatino Linotype" w:hAnsi="Palatino Linotype" w:cs="Palatino Linotype"/>
          <w:sz w:val="22"/>
          <w:szCs w:val="22"/>
        </w:rPr>
        <w:t xml:space="preserve"> </w:t>
      </w:r>
      <w:r w:rsidR="00DA5AD2" w:rsidRPr="00652E2C">
        <w:rPr>
          <w:rFonts w:ascii="Palatino Linotype" w:eastAsia="Palatino Linotype" w:hAnsi="Palatino Linotype" w:cs="Palatino Linotype"/>
          <w:sz w:val="22"/>
          <w:szCs w:val="22"/>
        </w:rPr>
        <w:t xml:space="preserve">resultan </w:t>
      </w:r>
      <w:r w:rsidR="00DA5AD2" w:rsidRPr="00652E2C">
        <w:rPr>
          <w:rFonts w:ascii="Palatino Linotype" w:eastAsia="Palatino Linotype" w:hAnsi="Palatino Linotype" w:cs="Palatino Linotype"/>
          <w:b/>
          <w:sz w:val="22"/>
          <w:szCs w:val="22"/>
        </w:rPr>
        <w:t>FUNDADOS</w:t>
      </w:r>
      <w:r w:rsidR="00DA5AD2" w:rsidRPr="00652E2C">
        <w:rPr>
          <w:rFonts w:ascii="Palatino Linotype" w:eastAsia="Palatino Linotype" w:hAnsi="Palatino Linotype" w:cs="Palatino Linotype"/>
          <w:sz w:val="22"/>
          <w:szCs w:val="22"/>
        </w:rPr>
        <w:t xml:space="preserve"> y es por ello que este Organismo Garante determina </w:t>
      </w:r>
      <w:r w:rsidR="00DA5AD2" w:rsidRPr="00652E2C">
        <w:rPr>
          <w:rFonts w:ascii="Palatino Linotype" w:eastAsia="Palatino Linotype" w:hAnsi="Palatino Linotype" w:cs="Palatino Linotype"/>
          <w:b/>
          <w:sz w:val="22"/>
          <w:szCs w:val="22"/>
        </w:rPr>
        <w:t xml:space="preserve">MODIFICAR </w:t>
      </w:r>
      <w:r w:rsidR="00DA5AD2" w:rsidRPr="00652E2C">
        <w:rPr>
          <w:rFonts w:ascii="Palatino Linotype" w:eastAsia="Palatino Linotype" w:hAnsi="Palatino Linotype" w:cs="Palatino Linotype"/>
          <w:sz w:val="22"/>
          <w:szCs w:val="22"/>
        </w:rPr>
        <w:t xml:space="preserve">la respuesta del recurso de revisión </w:t>
      </w:r>
      <w:r w:rsidR="007213EA" w:rsidRPr="00652E2C">
        <w:rPr>
          <w:rFonts w:ascii="Palatino Linotype" w:eastAsia="Palatino Linotype" w:hAnsi="Palatino Linotype" w:cs="Palatino Linotype"/>
          <w:b/>
          <w:sz w:val="22"/>
          <w:szCs w:val="22"/>
        </w:rPr>
        <w:t>05854/INFOEM/IP/RR/2024</w:t>
      </w:r>
      <w:r w:rsidR="00DA5AD2" w:rsidRPr="00652E2C">
        <w:rPr>
          <w:rFonts w:ascii="Palatino Linotype" w:eastAsia="Palatino Linotype" w:hAnsi="Palatino Linotype" w:cs="Palatino Linotype"/>
          <w:sz w:val="22"/>
          <w:szCs w:val="22"/>
        </w:rPr>
        <w:t xml:space="preserve">, para ordenar </w:t>
      </w:r>
      <w:r w:rsidR="00DA5AD2" w:rsidRPr="00652E2C">
        <w:rPr>
          <w:rFonts w:ascii="Palatino Linotype" w:eastAsia="Palatino Linotype" w:hAnsi="Palatino Linotype" w:cs="Palatino Linotype"/>
          <w:b/>
          <w:sz w:val="22"/>
          <w:szCs w:val="22"/>
        </w:rPr>
        <w:t>la entrega de</w:t>
      </w:r>
      <w:r w:rsidR="007213EA" w:rsidRPr="00652E2C">
        <w:rPr>
          <w:rFonts w:ascii="Palatino Linotype" w:eastAsia="Palatino Linotype" w:hAnsi="Palatino Linotype" w:cs="Palatino Linotype"/>
          <w:b/>
          <w:sz w:val="22"/>
          <w:szCs w:val="22"/>
        </w:rPr>
        <w:t xml:space="preserve"> los correos</w:t>
      </w:r>
      <w:r w:rsidR="00F40323" w:rsidRPr="00652E2C">
        <w:rPr>
          <w:rFonts w:ascii="Palatino Linotype" w:eastAsia="Palatino Linotype" w:hAnsi="Palatino Linotype" w:cs="Palatino Linotype"/>
          <w:b/>
          <w:sz w:val="22"/>
          <w:szCs w:val="22"/>
        </w:rPr>
        <w:t xml:space="preserve"> electrónicos, faltantes, </w:t>
      </w:r>
      <w:r w:rsidR="007213EA" w:rsidRPr="00652E2C">
        <w:rPr>
          <w:rFonts w:ascii="Palatino Linotype" w:eastAsia="Palatino Linotype" w:hAnsi="Palatino Linotype" w:cs="Palatino Linotype"/>
          <w:b/>
          <w:sz w:val="22"/>
          <w:szCs w:val="22"/>
        </w:rPr>
        <w:t xml:space="preserve">enviados y recibidos por la persona servidora pública referida en la solicitud de información 00587/SF/IP/2024, </w:t>
      </w:r>
      <w:r w:rsidR="00F40323" w:rsidRPr="00652E2C">
        <w:rPr>
          <w:rFonts w:ascii="Palatino Linotype" w:eastAsia="Palatino Linotype" w:hAnsi="Palatino Linotype" w:cs="Palatino Linotype"/>
          <w:b/>
          <w:sz w:val="22"/>
          <w:szCs w:val="22"/>
        </w:rPr>
        <w:t>generados del primero de mayo de dos mil veintitrés a la fecha de baja de la servidora pública o bien, al tres de septiembre de dos mil veinticuatro</w:t>
      </w:r>
      <w:r w:rsidR="00DA5AD2" w:rsidRPr="00652E2C">
        <w:rPr>
          <w:rFonts w:ascii="Palatino Linotype" w:eastAsia="Palatino Linotype" w:hAnsi="Palatino Linotype" w:cs="Palatino Linotype"/>
          <w:sz w:val="22"/>
          <w:szCs w:val="22"/>
        </w:rPr>
        <w:t>, en versión pública de ser procedente, conforme al considerando quinto.</w:t>
      </w:r>
    </w:p>
    <w:p w14:paraId="0F181DFD" w14:textId="77777777" w:rsidR="00F40323" w:rsidRPr="00652E2C" w:rsidRDefault="00F40323" w:rsidP="00F40323">
      <w:pPr>
        <w:pStyle w:val="NormalWeb"/>
        <w:spacing w:before="240" w:beforeAutospacing="0" w:after="240" w:afterAutospacing="0" w:line="360" w:lineRule="auto"/>
        <w:jc w:val="both"/>
      </w:pPr>
      <w:r w:rsidRPr="00652E2C">
        <w:rPr>
          <w:rFonts w:ascii="Palatino Linotype" w:hAnsi="Palatino Linotype"/>
          <w:sz w:val="22"/>
          <w:szCs w:val="22"/>
        </w:rPr>
        <w:t xml:space="preserve">No obstante lo anterior, para el caso de no localizar información respecto a los correos electrónicos faltantes que se ordenan, </w:t>
      </w:r>
      <w:r w:rsidRPr="00652E2C">
        <w:rPr>
          <w:rFonts w:ascii="Palatino Linotype" w:hAnsi="Palatino Linotype"/>
          <w:sz w:val="22"/>
          <w:szCs w:val="22"/>
          <w:u w:val="single"/>
        </w:rPr>
        <w:t>en razón de que dentro de la temporalidad ordenada no se generaron más correos electrónicos</w:t>
      </w:r>
      <w:r w:rsidRPr="00652E2C">
        <w:rPr>
          <w:rFonts w:ascii="Palatino Linotype" w:hAnsi="Palatino Linotype"/>
          <w:sz w:val="22"/>
          <w:szCs w:val="22"/>
        </w:rPr>
        <w:t>, bastará con que así se haga del conocimiento de la persona solicitante para tener por satisfecho el requerimiento de información, en los términos del artículo 19, párrafo segundo de la Ley de Transparencia y Acceso a la Información Pública del Estado de México y Municipios, a saber:</w:t>
      </w:r>
    </w:p>
    <w:p w14:paraId="2B433E84" w14:textId="77777777" w:rsidR="00F40323" w:rsidRPr="00652E2C" w:rsidRDefault="00F40323" w:rsidP="00F40323">
      <w:pPr>
        <w:pStyle w:val="NormalWeb"/>
        <w:spacing w:before="120" w:beforeAutospacing="0" w:after="120" w:afterAutospacing="0"/>
        <w:ind w:left="851" w:right="902"/>
        <w:jc w:val="both"/>
      </w:pPr>
      <w:r w:rsidRPr="00652E2C">
        <w:rPr>
          <w:rFonts w:ascii="Palatino Linotype" w:hAnsi="Palatino Linotype"/>
          <w:i/>
          <w:iCs/>
          <w:sz w:val="22"/>
          <w:szCs w:val="22"/>
        </w:rPr>
        <w:t>“</w:t>
      </w:r>
      <w:r w:rsidRPr="00652E2C">
        <w:rPr>
          <w:rFonts w:ascii="Palatino Linotype" w:hAnsi="Palatino Linotype"/>
          <w:b/>
          <w:bCs/>
          <w:i/>
          <w:iCs/>
          <w:sz w:val="22"/>
          <w:szCs w:val="22"/>
        </w:rPr>
        <w:t>Artículo 19</w:t>
      </w:r>
      <w:r w:rsidRPr="00652E2C">
        <w:rPr>
          <w:rFonts w:ascii="Palatino Linotype" w:hAnsi="Palatino Linotype"/>
          <w:i/>
          <w:iCs/>
          <w:sz w:val="22"/>
          <w:szCs w:val="22"/>
        </w:rPr>
        <w:t>…</w:t>
      </w:r>
    </w:p>
    <w:p w14:paraId="4DC20BFE" w14:textId="77777777" w:rsidR="00CC0F6E" w:rsidRPr="00652E2C" w:rsidRDefault="00F40323" w:rsidP="00F40323">
      <w:pPr>
        <w:pStyle w:val="NormalWeb"/>
        <w:spacing w:before="120" w:beforeAutospacing="0" w:after="120" w:afterAutospacing="0"/>
        <w:ind w:left="851" w:right="902"/>
        <w:jc w:val="both"/>
      </w:pPr>
      <w:r w:rsidRPr="00652E2C">
        <w:rPr>
          <w:rFonts w:ascii="Palatino Linotype" w:hAnsi="Palatino Linotype"/>
          <w:i/>
          <w:iCs/>
          <w:sz w:val="22"/>
          <w:szCs w:val="22"/>
        </w:rPr>
        <w:t>En los casos en que ciertas facultades, competencias o funciones no se hayan ejercido, se debe motivar la respuesta en función de las causas que motiven tal circunstancia.”</w:t>
      </w:r>
    </w:p>
    <w:p w14:paraId="2852F866" w14:textId="77777777" w:rsidR="00FA34EA" w:rsidRPr="00652E2C" w:rsidRDefault="00435F56" w:rsidP="00435F56">
      <w:pPr>
        <w:spacing w:before="240" w:after="240" w:line="360" w:lineRule="auto"/>
        <w:ind w:right="49"/>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b/>
          <w:sz w:val="22"/>
          <w:szCs w:val="22"/>
        </w:rPr>
        <w:t xml:space="preserve">Quinto. Versión Pública. </w:t>
      </w:r>
      <w:r w:rsidRPr="00652E2C">
        <w:rPr>
          <w:rFonts w:ascii="Palatino Linotype" w:eastAsia="Palatino Linotype" w:hAnsi="Palatino Linotype" w:cs="Palatino Linotype"/>
          <w:sz w:val="22"/>
          <w:szCs w:val="22"/>
        </w:rPr>
        <w:t xml:space="preserve">Para la entrega de la información, en razón de que el derecho de acceso a la información pública no es absoluto, sino que encuentra como excepciones que la información sobre la cual se peticiona el acceso, sea o contenga datos que deban ser clasificados en los términos que la misma Ley de la Materia señala, el Sujeto Obligado tendrá que hacer la elaboración de una versión pública de los documentos que vaya </w:t>
      </w:r>
      <w:r w:rsidRPr="00652E2C">
        <w:rPr>
          <w:rFonts w:ascii="Palatino Linotype" w:eastAsia="Palatino Linotype" w:hAnsi="Palatino Linotype" w:cs="Palatino Linotype"/>
          <w:sz w:val="22"/>
          <w:szCs w:val="22"/>
        </w:rPr>
        <w:lastRenderedPageBreak/>
        <w:t xml:space="preserve">entregar para dar cumplimiento a esta resolución, a fin de satisfacer el derecho de acceso a la información pública de </w:t>
      </w:r>
      <w:r w:rsidRPr="00652E2C">
        <w:rPr>
          <w:rFonts w:ascii="Palatino Linotype" w:eastAsia="Palatino Linotype" w:hAnsi="Palatino Linotype" w:cs="Palatino Linotype"/>
          <w:b/>
          <w:sz w:val="22"/>
          <w:szCs w:val="22"/>
        </w:rPr>
        <w:t>la parte</w:t>
      </w:r>
      <w:r w:rsidRPr="00652E2C">
        <w:rPr>
          <w:rFonts w:ascii="Palatino Linotype" w:eastAsia="Palatino Linotype" w:hAnsi="Palatino Linotype" w:cs="Palatino Linotype"/>
          <w:sz w:val="22"/>
          <w:szCs w:val="22"/>
        </w:rPr>
        <w:t xml:space="preserve"> </w:t>
      </w:r>
      <w:r w:rsidRPr="00652E2C">
        <w:rPr>
          <w:rFonts w:ascii="Palatino Linotype" w:eastAsia="Palatino Linotype" w:hAnsi="Palatino Linotype" w:cs="Palatino Linotype"/>
          <w:b/>
          <w:sz w:val="22"/>
          <w:szCs w:val="22"/>
        </w:rPr>
        <w:t>Recurrente</w:t>
      </w:r>
      <w:r w:rsidRPr="00652E2C">
        <w:rPr>
          <w:rFonts w:ascii="Palatino Linotype" w:eastAsia="Palatino Linotype" w:hAnsi="Palatino Linotype" w:cs="Palatino Linotype"/>
          <w:sz w:val="22"/>
          <w:szCs w:val="22"/>
        </w:rPr>
        <w:t xml:space="preserve"> sin menoscabar el derecho a la protección de los datos personales de terceros.</w:t>
      </w:r>
    </w:p>
    <w:p w14:paraId="121034D4" w14:textId="77777777" w:rsidR="00435F56" w:rsidRPr="00652E2C" w:rsidRDefault="00435F56" w:rsidP="00435F56">
      <w:pPr>
        <w:spacing w:before="240" w:after="240" w:line="360" w:lineRule="auto"/>
        <w:ind w:right="49"/>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Lo anterior, de conformidad a lo que señalan los artículos 3, fracciones IX, XX, XXXII, XLV; 6, 137 y 143 fracción I, de la Ley de Transparencia y Acceso a la Información Pública del Estado de México y Municipios vigente, que se leen como sigue:</w:t>
      </w:r>
    </w:p>
    <w:p w14:paraId="12C75F57" w14:textId="77777777" w:rsidR="00435F56" w:rsidRPr="00652E2C" w:rsidRDefault="00435F56" w:rsidP="00435F56">
      <w:pPr>
        <w:ind w:left="993" w:right="1041"/>
        <w:jc w:val="both"/>
        <w:rPr>
          <w:rFonts w:ascii="Palatino Linotype" w:eastAsia="Palatino Linotype" w:hAnsi="Palatino Linotype" w:cs="Palatino Linotype"/>
          <w:b/>
          <w:i/>
          <w:sz w:val="22"/>
          <w:szCs w:val="22"/>
        </w:rPr>
      </w:pPr>
      <w:r w:rsidRPr="00652E2C">
        <w:rPr>
          <w:rFonts w:ascii="Palatino Linotype" w:eastAsia="Palatino Linotype" w:hAnsi="Palatino Linotype" w:cs="Palatino Linotype"/>
          <w:b/>
          <w:i/>
          <w:sz w:val="22"/>
          <w:szCs w:val="22"/>
        </w:rPr>
        <w:t xml:space="preserve"> “Artículo 3. Para los efectos de la presente Ley se entenderá por:</w:t>
      </w:r>
    </w:p>
    <w:p w14:paraId="05A15A89" w14:textId="77777777" w:rsidR="00435F56" w:rsidRPr="00652E2C" w:rsidRDefault="00435F56" w:rsidP="00435F56">
      <w:pPr>
        <w:ind w:left="993" w:right="104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IX. Datos personales:</w:t>
      </w:r>
      <w:r w:rsidRPr="00652E2C">
        <w:rPr>
          <w:rFonts w:ascii="Palatino Linotype" w:eastAsia="Palatino Linotype" w:hAnsi="Palatino Linotype" w:cs="Palatino Linotype"/>
          <w:i/>
          <w:sz w:val="22"/>
          <w:szCs w:val="22"/>
        </w:rPr>
        <w:t xml:space="preserve"> </w:t>
      </w:r>
      <w:r w:rsidRPr="00652E2C">
        <w:rPr>
          <w:rFonts w:ascii="Palatino Linotype" w:eastAsia="Palatino Linotype" w:hAnsi="Palatino Linotype" w:cs="Palatino Linotype"/>
          <w:b/>
          <w:i/>
          <w:sz w:val="22"/>
          <w:szCs w:val="22"/>
        </w:rPr>
        <w:t>La información concerniente a una persona, identificada o identificable</w:t>
      </w:r>
      <w:r w:rsidRPr="00652E2C">
        <w:rPr>
          <w:rFonts w:ascii="Palatino Linotype" w:eastAsia="Palatino Linotype" w:hAnsi="Palatino Linotype" w:cs="Palatino Linotype"/>
          <w:i/>
          <w:sz w:val="22"/>
          <w:szCs w:val="22"/>
        </w:rPr>
        <w:t xml:space="preserve"> según lo dispuesto por la Ley de Protección de Datos Personales del Estado de México;</w:t>
      </w:r>
    </w:p>
    <w:p w14:paraId="1A1AE9A7" w14:textId="77777777" w:rsidR="00435F56" w:rsidRPr="00652E2C" w:rsidRDefault="00435F56" w:rsidP="00435F56">
      <w:pPr>
        <w:ind w:left="993" w:right="104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XX. Información clasificada:</w:t>
      </w:r>
      <w:r w:rsidRPr="00652E2C">
        <w:rPr>
          <w:rFonts w:ascii="Palatino Linotype" w:eastAsia="Palatino Linotype" w:hAnsi="Palatino Linotype" w:cs="Palatino Linotype"/>
          <w:i/>
          <w:sz w:val="22"/>
          <w:szCs w:val="22"/>
        </w:rPr>
        <w:t xml:space="preserve"> Aquella considerada por la presente Ley como reservada o confidencial;</w:t>
      </w:r>
    </w:p>
    <w:p w14:paraId="158261C5" w14:textId="77777777" w:rsidR="00435F56" w:rsidRPr="00652E2C" w:rsidRDefault="00435F56" w:rsidP="00435F56">
      <w:pPr>
        <w:ind w:left="993" w:right="104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XXXII. Protección de Datos Personales:</w:t>
      </w:r>
      <w:r w:rsidRPr="00652E2C">
        <w:rPr>
          <w:rFonts w:ascii="Palatino Linotype" w:eastAsia="Palatino Linotype" w:hAnsi="Palatino Linotype" w:cs="Palatino Linotype"/>
          <w:i/>
          <w:sz w:val="22"/>
          <w:szCs w:val="22"/>
        </w:rPr>
        <w:t xml:space="preserve"> Derecho humano que tutela la privacidad de datos personales en poder de los sujetos obligados y sujetos particulares;</w:t>
      </w:r>
    </w:p>
    <w:p w14:paraId="45ED7B96" w14:textId="77777777" w:rsidR="00435F56" w:rsidRPr="00652E2C" w:rsidRDefault="00435F56" w:rsidP="00435F56">
      <w:pPr>
        <w:ind w:left="993" w:right="104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XLV. Versión pública</w:t>
      </w:r>
      <w:r w:rsidRPr="00652E2C">
        <w:rPr>
          <w:rFonts w:ascii="Palatino Linotype" w:eastAsia="Palatino Linotype" w:hAnsi="Palatino Linotype" w:cs="Palatino Linotype"/>
          <w:i/>
          <w:sz w:val="22"/>
          <w:szCs w:val="22"/>
        </w:rPr>
        <w:t>: Documento en el que se elimine, suprime o borra la información clasificada como reservada o confidencial para permitir su acceso.”</w:t>
      </w:r>
    </w:p>
    <w:p w14:paraId="42AB0C19" w14:textId="77777777" w:rsidR="00435F56" w:rsidRPr="00652E2C" w:rsidRDefault="00435F56" w:rsidP="00435F56">
      <w:pPr>
        <w:ind w:left="993" w:right="1041"/>
        <w:jc w:val="both"/>
        <w:rPr>
          <w:rFonts w:ascii="Palatino Linotype" w:eastAsia="Palatino Linotype" w:hAnsi="Palatino Linotype" w:cs="Palatino Linotype"/>
          <w:i/>
          <w:sz w:val="22"/>
          <w:szCs w:val="22"/>
        </w:rPr>
      </w:pPr>
    </w:p>
    <w:p w14:paraId="36FBF66C" w14:textId="77777777" w:rsidR="00435F56" w:rsidRPr="00652E2C" w:rsidRDefault="00435F56" w:rsidP="00435F56">
      <w:pPr>
        <w:ind w:left="993" w:right="104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“Artículo 6.</w:t>
      </w:r>
      <w:r w:rsidRPr="00652E2C">
        <w:rPr>
          <w:rFonts w:ascii="Palatino Linotype" w:eastAsia="Palatino Linotype" w:hAnsi="Palatino Linotype" w:cs="Palatino Linotype"/>
          <w:i/>
          <w:sz w:val="22"/>
          <w:szCs w:val="22"/>
        </w:rPr>
        <w:t xml:space="preserve"> Los datos personales son irrenunciables, intransferibles e indelegables, por lo que los sujetos obligados no deberán proporcionar o hacer pública la información que contenga, con excepción de aquellos casos en que deban hacerlo en observancia de las disposiciones aplicables. En el caso de los derechos de acceso, rectificación, cancelación u oposición; los principios, procedimientos, medidas de seguridad en el tratamiento y demás disposiciones en materia de datos personales, se deberá estar a lo dispuesto en las leyes de la materia.”</w:t>
      </w:r>
    </w:p>
    <w:p w14:paraId="7B2950D1" w14:textId="77777777" w:rsidR="00435F56" w:rsidRPr="00652E2C" w:rsidRDefault="00435F56" w:rsidP="00435F56">
      <w:pPr>
        <w:ind w:left="993" w:right="1041"/>
        <w:jc w:val="both"/>
        <w:rPr>
          <w:rFonts w:ascii="Palatino Linotype" w:eastAsia="Palatino Linotype" w:hAnsi="Palatino Linotype" w:cs="Palatino Linotype"/>
          <w:i/>
          <w:sz w:val="22"/>
          <w:szCs w:val="22"/>
        </w:rPr>
      </w:pPr>
    </w:p>
    <w:p w14:paraId="7B0E5BFB" w14:textId="77777777" w:rsidR="00435F56" w:rsidRPr="00652E2C" w:rsidRDefault="00435F56" w:rsidP="00435F56">
      <w:pPr>
        <w:ind w:left="993" w:right="1041"/>
        <w:jc w:val="both"/>
        <w:rPr>
          <w:rFonts w:ascii="Palatino Linotype" w:eastAsia="Palatino Linotype" w:hAnsi="Palatino Linotype" w:cs="Palatino Linotype"/>
          <w:b/>
          <w:i/>
          <w:sz w:val="22"/>
          <w:szCs w:val="22"/>
        </w:rPr>
      </w:pPr>
      <w:r w:rsidRPr="00652E2C">
        <w:rPr>
          <w:rFonts w:ascii="Palatino Linotype" w:eastAsia="Palatino Linotype" w:hAnsi="Palatino Linotype" w:cs="Palatino Linotype"/>
          <w:b/>
          <w:i/>
          <w:sz w:val="22"/>
          <w:szCs w:val="22"/>
        </w:rPr>
        <w:t>“Artículo 137.</w:t>
      </w:r>
      <w:r w:rsidRPr="00652E2C">
        <w:rPr>
          <w:rFonts w:ascii="Palatino Linotype" w:eastAsia="Palatino Linotype" w:hAnsi="Palatino Linotype" w:cs="Palatino Linotype"/>
          <w:i/>
          <w:sz w:val="22"/>
          <w:szCs w:val="22"/>
        </w:rPr>
        <w:t xml:space="preserve"> Cuando un mismo medio, impreso o electrónico, contenga información pública y reservada o confidencial, la Unidad de Transparencia para efectos de atender una solicitud de información, deberán elaborar una versión pública en la que se testen las partes o secciones clasificadas, indicando su contenido de manera genérica y fundando y motivando su clasificación.”</w:t>
      </w:r>
    </w:p>
    <w:p w14:paraId="70EBA856" w14:textId="77777777" w:rsidR="00435F56" w:rsidRPr="00652E2C" w:rsidRDefault="00435F56" w:rsidP="00435F56">
      <w:pPr>
        <w:ind w:left="993" w:right="1041"/>
        <w:jc w:val="both"/>
        <w:rPr>
          <w:rFonts w:ascii="Palatino Linotype" w:eastAsia="Palatino Linotype" w:hAnsi="Palatino Linotype" w:cs="Palatino Linotype"/>
          <w:b/>
          <w:i/>
          <w:sz w:val="22"/>
          <w:szCs w:val="22"/>
        </w:rPr>
      </w:pPr>
    </w:p>
    <w:p w14:paraId="1BA5EAB3" w14:textId="77777777" w:rsidR="00435F56" w:rsidRPr="00652E2C" w:rsidRDefault="00435F56" w:rsidP="00435F56">
      <w:pPr>
        <w:ind w:left="993" w:right="104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lastRenderedPageBreak/>
        <w:t>“Artículo 143</w:t>
      </w:r>
      <w:r w:rsidRPr="00652E2C">
        <w:rPr>
          <w:rFonts w:ascii="Palatino Linotype" w:eastAsia="Palatino Linotype" w:hAnsi="Palatino Linotype" w:cs="Palatino Linotype"/>
          <w:i/>
          <w:sz w:val="22"/>
          <w:szCs w:val="22"/>
        </w:rPr>
        <w:t>. Para los efectos de esta Ley se considera información confidencial, la clasificada como tal, de manera permanente, por su naturaleza, cuando:</w:t>
      </w:r>
    </w:p>
    <w:p w14:paraId="47298774" w14:textId="77777777" w:rsidR="00435F56" w:rsidRPr="00652E2C" w:rsidRDefault="00435F56" w:rsidP="00435F56">
      <w:pPr>
        <w:ind w:left="993" w:right="104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I.</w:t>
      </w:r>
      <w:r w:rsidRPr="00652E2C">
        <w:rPr>
          <w:rFonts w:ascii="Palatino Linotype" w:eastAsia="Palatino Linotype" w:hAnsi="Palatino Linotype" w:cs="Palatino Linotype"/>
          <w:i/>
          <w:sz w:val="22"/>
          <w:szCs w:val="22"/>
        </w:rPr>
        <w:t xml:space="preserve"> Se refiera a la información privada y los datos personales concernientes a una persona física o jurídica colectiva identificada o identificable;</w:t>
      </w:r>
    </w:p>
    <w:p w14:paraId="1F3E5059" w14:textId="77777777" w:rsidR="00435F56" w:rsidRPr="00652E2C" w:rsidRDefault="00435F56" w:rsidP="00435F56">
      <w:pPr>
        <w:ind w:left="993" w:right="104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II. Los secretos bancario, fiduciario, industrial, comercial, fiscal, bursátil y postal, cuya titularidad corresponda a particulares, sujetos de derecho internacional o a sujetos obligados cuando no involucren el ejercicio de recursos públicos; y</w:t>
      </w:r>
    </w:p>
    <w:p w14:paraId="349D2CB1" w14:textId="77777777" w:rsidR="00435F56" w:rsidRPr="00652E2C" w:rsidRDefault="00435F56" w:rsidP="00435F56">
      <w:pPr>
        <w:ind w:left="993" w:right="104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 xml:space="preserve">III. La que presenten los particulares a los sujetos obligados, de conformidad con lo dispuesto por las leyes o los tratados internacionales.” </w:t>
      </w:r>
    </w:p>
    <w:p w14:paraId="0CC84B49" w14:textId="77777777" w:rsidR="00435F56" w:rsidRPr="00652E2C" w:rsidRDefault="00435F56" w:rsidP="00435F56">
      <w:pPr>
        <w:ind w:left="993" w:right="1041"/>
        <w:jc w:val="both"/>
        <w:rPr>
          <w:rFonts w:ascii="Palatino Linotype" w:eastAsia="Palatino Linotype" w:hAnsi="Palatino Linotype" w:cs="Palatino Linotype"/>
          <w:i/>
          <w:sz w:val="22"/>
          <w:szCs w:val="22"/>
        </w:rPr>
      </w:pPr>
    </w:p>
    <w:p w14:paraId="7AFCDFD8" w14:textId="77777777" w:rsidR="00435F56" w:rsidRPr="00652E2C" w:rsidRDefault="00435F56" w:rsidP="00435F56">
      <w:pPr>
        <w:spacing w:line="360" w:lineRule="auto"/>
        <w:ind w:right="51"/>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 xml:space="preserve">De los preceptos anteriores se desprende que cuando un documento que vaya a ser entregado vía acceso a la información pública, contenga tanto información de interés público como información que debe ser clasificada, se hará la entrega del mismo, testando las secciones o datos que deban ser clasificados; por ende el </w:t>
      </w:r>
      <w:r w:rsidRPr="00652E2C">
        <w:rPr>
          <w:rFonts w:ascii="Palatino Linotype" w:eastAsia="Palatino Linotype" w:hAnsi="Palatino Linotype" w:cs="Palatino Linotype"/>
          <w:b/>
          <w:sz w:val="22"/>
          <w:szCs w:val="22"/>
        </w:rPr>
        <w:t>Sujeto Obligado</w:t>
      </w:r>
      <w:r w:rsidRPr="00652E2C">
        <w:rPr>
          <w:rFonts w:ascii="Palatino Linotype" w:eastAsia="Palatino Linotype" w:hAnsi="Palatino Linotype" w:cs="Palatino Linotype"/>
          <w:sz w:val="22"/>
          <w:szCs w:val="22"/>
        </w:rPr>
        <w:t xml:space="preserve"> deberá proceder a testar los datos personales que se encuentren contenidos en los documentos a entregar para satisfacer el derecho de acceso a la información pública de </w:t>
      </w:r>
      <w:r w:rsidRPr="00652E2C">
        <w:rPr>
          <w:rFonts w:ascii="Palatino Linotype" w:eastAsia="Palatino Linotype" w:hAnsi="Palatino Linotype" w:cs="Palatino Linotype"/>
          <w:b/>
          <w:sz w:val="22"/>
          <w:szCs w:val="22"/>
        </w:rPr>
        <w:t>la parte</w:t>
      </w:r>
      <w:r w:rsidRPr="00652E2C">
        <w:rPr>
          <w:rFonts w:ascii="Palatino Linotype" w:eastAsia="Palatino Linotype" w:hAnsi="Palatino Linotype" w:cs="Palatino Linotype"/>
          <w:sz w:val="22"/>
          <w:szCs w:val="22"/>
        </w:rPr>
        <w:t xml:space="preserve"> </w:t>
      </w:r>
      <w:r w:rsidRPr="00652E2C">
        <w:rPr>
          <w:rFonts w:ascii="Palatino Linotype" w:eastAsia="Palatino Linotype" w:hAnsi="Palatino Linotype" w:cs="Palatino Linotype"/>
          <w:b/>
          <w:sz w:val="22"/>
          <w:szCs w:val="22"/>
        </w:rPr>
        <w:t>Recurrente</w:t>
      </w:r>
      <w:r w:rsidRPr="00652E2C">
        <w:rPr>
          <w:rFonts w:ascii="Palatino Linotype" w:eastAsia="Palatino Linotype" w:hAnsi="Palatino Linotype" w:cs="Palatino Linotype"/>
          <w:sz w:val="22"/>
          <w:szCs w:val="22"/>
        </w:rPr>
        <w:t>, esto es, los datos concernientes a una persona identificada o identificable, o aquellos datos que tengan el carácter de sensibles, es decir los que afectan la esfera más íntima de su titular o cuya utilización indebida pueda dar origen a discriminación o conlleven un riesgo grave para aquel de acuerdo a lo que señala la fracción XII del artículo 4 de la Ley de Protección de Datos Personales en Posesión de Sujetos Obligados del Estado de México.</w:t>
      </w:r>
    </w:p>
    <w:p w14:paraId="522467BD" w14:textId="77777777" w:rsidR="00435F56" w:rsidRPr="00652E2C" w:rsidRDefault="00435F56" w:rsidP="00435F56">
      <w:pPr>
        <w:spacing w:line="360" w:lineRule="auto"/>
        <w:ind w:right="51"/>
        <w:jc w:val="both"/>
        <w:rPr>
          <w:rFonts w:ascii="Palatino Linotype" w:eastAsia="Palatino Linotype" w:hAnsi="Palatino Linotype" w:cs="Palatino Linotype"/>
          <w:sz w:val="22"/>
          <w:szCs w:val="22"/>
        </w:rPr>
      </w:pPr>
    </w:p>
    <w:p w14:paraId="59ACAAAE" w14:textId="77777777" w:rsidR="00435F56" w:rsidRPr="00652E2C" w:rsidRDefault="00435F56" w:rsidP="00435F56">
      <w:pPr>
        <w:spacing w:line="360" w:lineRule="auto"/>
        <w:ind w:right="50"/>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Datos que deberá clasificar como confidenciales por tratarse precisamente de información privada, puesto que los datos personales son irrenunciables, intransferibles e indelegables y los Sujetos Obligados no deberán hacer entrega de los mismos a personas ajenas a su titular.</w:t>
      </w:r>
    </w:p>
    <w:p w14:paraId="501CBA10" w14:textId="77777777" w:rsidR="00435F56" w:rsidRPr="00652E2C" w:rsidRDefault="00435F56" w:rsidP="00435F56">
      <w:pPr>
        <w:spacing w:line="360" w:lineRule="auto"/>
        <w:ind w:right="51"/>
        <w:jc w:val="both"/>
        <w:rPr>
          <w:rFonts w:ascii="Palatino Linotype" w:eastAsia="Palatino Linotype" w:hAnsi="Palatino Linotype" w:cs="Palatino Linotype"/>
          <w:sz w:val="22"/>
          <w:szCs w:val="22"/>
        </w:rPr>
      </w:pPr>
    </w:p>
    <w:p w14:paraId="791AE461" w14:textId="77777777" w:rsidR="00435F56" w:rsidRPr="00652E2C" w:rsidRDefault="00435F56" w:rsidP="00435F56">
      <w:pPr>
        <w:spacing w:line="360" w:lineRule="auto"/>
        <w:ind w:right="51"/>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lastRenderedPageBreak/>
        <w:t xml:space="preserve">Por ende, la clasificación de la información no opera con la simple supresión de datos que se haga en los documentos de que se trate o con la simple decisión que tome el Servidor Público Habilitado o el </w:t>
      </w:r>
      <w:proofErr w:type="gramStart"/>
      <w:r w:rsidRPr="00652E2C">
        <w:rPr>
          <w:rFonts w:ascii="Palatino Linotype" w:eastAsia="Palatino Linotype" w:hAnsi="Palatino Linotype" w:cs="Palatino Linotype"/>
          <w:sz w:val="22"/>
          <w:szCs w:val="22"/>
        </w:rPr>
        <w:t>Responsable</w:t>
      </w:r>
      <w:proofErr w:type="gramEnd"/>
      <w:r w:rsidRPr="00652E2C">
        <w:rPr>
          <w:rFonts w:ascii="Palatino Linotype" w:eastAsia="Palatino Linotype" w:hAnsi="Palatino Linotype" w:cs="Palatino Linotype"/>
          <w:sz w:val="22"/>
          <w:szCs w:val="22"/>
        </w:rPr>
        <w:t xml:space="preserve"> de la Unidad de Transparencia del </w:t>
      </w:r>
      <w:r w:rsidRPr="00652E2C">
        <w:rPr>
          <w:rFonts w:ascii="Palatino Linotype" w:eastAsia="Palatino Linotype" w:hAnsi="Palatino Linotype" w:cs="Palatino Linotype"/>
          <w:b/>
          <w:sz w:val="22"/>
          <w:szCs w:val="22"/>
        </w:rPr>
        <w:t>Sujeto Obligado</w:t>
      </w:r>
      <w:r w:rsidRPr="00652E2C">
        <w:rPr>
          <w:rFonts w:ascii="Palatino Linotype" w:eastAsia="Palatino Linotype" w:hAnsi="Palatino Linotype" w:cs="Palatino Linotype"/>
          <w:sz w:val="22"/>
          <w:szCs w:val="22"/>
        </w:rPr>
        <w:t>, sino que ello deberá realizarse en términos de lo que disponen los artículos 49 fracción VIII, 53, fracción X y 59, fracción V, de la Ley en consulta, cuyo sentido literal es el siguiente:</w:t>
      </w:r>
    </w:p>
    <w:p w14:paraId="17B86503" w14:textId="77777777" w:rsidR="00435F56" w:rsidRPr="00652E2C" w:rsidRDefault="00435F56" w:rsidP="00435F56">
      <w:pPr>
        <w:spacing w:line="360" w:lineRule="auto"/>
        <w:ind w:right="51"/>
        <w:jc w:val="both"/>
        <w:rPr>
          <w:rFonts w:ascii="Palatino Linotype" w:eastAsia="Palatino Linotype" w:hAnsi="Palatino Linotype" w:cs="Palatino Linotype"/>
          <w:sz w:val="22"/>
          <w:szCs w:val="22"/>
        </w:rPr>
      </w:pPr>
    </w:p>
    <w:p w14:paraId="1807DCAA" w14:textId="77777777" w:rsidR="00435F56" w:rsidRPr="00652E2C" w:rsidRDefault="00435F56" w:rsidP="00435F56">
      <w:pPr>
        <w:ind w:left="992" w:right="1043"/>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“Artículo 49.</w:t>
      </w:r>
      <w:r w:rsidRPr="00652E2C">
        <w:rPr>
          <w:rFonts w:ascii="Palatino Linotype" w:eastAsia="Palatino Linotype" w:hAnsi="Palatino Linotype" w:cs="Palatino Linotype"/>
          <w:i/>
          <w:sz w:val="22"/>
          <w:szCs w:val="22"/>
        </w:rPr>
        <w:t xml:space="preserve"> </w:t>
      </w:r>
      <w:r w:rsidRPr="00652E2C">
        <w:rPr>
          <w:rFonts w:ascii="Palatino Linotype" w:eastAsia="Palatino Linotype" w:hAnsi="Palatino Linotype" w:cs="Palatino Linotype"/>
          <w:b/>
          <w:i/>
          <w:sz w:val="22"/>
          <w:szCs w:val="22"/>
        </w:rPr>
        <w:t>Los Comités de Transparencia</w:t>
      </w:r>
      <w:r w:rsidRPr="00652E2C">
        <w:rPr>
          <w:rFonts w:ascii="Palatino Linotype" w:eastAsia="Palatino Linotype" w:hAnsi="Palatino Linotype" w:cs="Palatino Linotype"/>
          <w:i/>
          <w:sz w:val="22"/>
          <w:szCs w:val="22"/>
        </w:rPr>
        <w:t xml:space="preserve"> tendrán las siguientes atribuciones:</w:t>
      </w:r>
    </w:p>
    <w:p w14:paraId="00A91E8F" w14:textId="77777777" w:rsidR="00435F56" w:rsidRPr="00652E2C" w:rsidRDefault="00435F56" w:rsidP="00435F56">
      <w:pPr>
        <w:ind w:left="992" w:right="1043"/>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VIII. Aprobar, modificar o revocar la clasificación de la información</w:t>
      </w:r>
      <w:r w:rsidRPr="00652E2C">
        <w:rPr>
          <w:rFonts w:ascii="Palatino Linotype" w:eastAsia="Palatino Linotype" w:hAnsi="Palatino Linotype" w:cs="Palatino Linotype"/>
          <w:i/>
          <w:sz w:val="22"/>
          <w:szCs w:val="22"/>
        </w:rPr>
        <w:t>…”</w:t>
      </w:r>
    </w:p>
    <w:p w14:paraId="7305FB49" w14:textId="77777777" w:rsidR="00435F56" w:rsidRPr="00652E2C" w:rsidRDefault="00435F56" w:rsidP="00435F56">
      <w:pPr>
        <w:ind w:left="992" w:right="1043"/>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w:t>
      </w:r>
      <w:r w:rsidRPr="00652E2C">
        <w:rPr>
          <w:rFonts w:ascii="Palatino Linotype" w:eastAsia="Palatino Linotype" w:hAnsi="Palatino Linotype" w:cs="Palatino Linotype"/>
          <w:b/>
          <w:i/>
          <w:sz w:val="22"/>
          <w:szCs w:val="22"/>
        </w:rPr>
        <w:t>Artículo 53.</w:t>
      </w:r>
      <w:r w:rsidRPr="00652E2C">
        <w:rPr>
          <w:rFonts w:ascii="Palatino Linotype" w:eastAsia="Palatino Linotype" w:hAnsi="Palatino Linotype" w:cs="Palatino Linotype"/>
          <w:i/>
          <w:sz w:val="22"/>
          <w:szCs w:val="22"/>
        </w:rPr>
        <w:t xml:space="preserve"> Las </w:t>
      </w:r>
      <w:r w:rsidRPr="00652E2C">
        <w:rPr>
          <w:rFonts w:ascii="Palatino Linotype" w:eastAsia="Palatino Linotype" w:hAnsi="Palatino Linotype" w:cs="Palatino Linotype"/>
          <w:b/>
          <w:i/>
          <w:sz w:val="22"/>
          <w:szCs w:val="22"/>
        </w:rPr>
        <w:t>Unidades de Transparencia</w:t>
      </w:r>
      <w:r w:rsidRPr="00652E2C">
        <w:rPr>
          <w:rFonts w:ascii="Palatino Linotype" w:eastAsia="Palatino Linotype" w:hAnsi="Palatino Linotype" w:cs="Palatino Linotype"/>
          <w:i/>
          <w:sz w:val="22"/>
          <w:szCs w:val="22"/>
        </w:rPr>
        <w:t xml:space="preserve"> tendrán las siguientes </w:t>
      </w:r>
      <w:r w:rsidRPr="00652E2C">
        <w:rPr>
          <w:rFonts w:ascii="Palatino Linotype" w:eastAsia="Palatino Linotype" w:hAnsi="Palatino Linotype" w:cs="Palatino Linotype"/>
          <w:b/>
          <w:i/>
          <w:sz w:val="22"/>
          <w:szCs w:val="22"/>
        </w:rPr>
        <w:t>funciones</w:t>
      </w:r>
      <w:r w:rsidRPr="00652E2C">
        <w:rPr>
          <w:rFonts w:ascii="Palatino Linotype" w:eastAsia="Palatino Linotype" w:hAnsi="Palatino Linotype" w:cs="Palatino Linotype"/>
          <w:i/>
          <w:sz w:val="22"/>
          <w:szCs w:val="22"/>
        </w:rPr>
        <w:t>:</w:t>
      </w:r>
    </w:p>
    <w:p w14:paraId="47860739" w14:textId="77777777" w:rsidR="00435F56" w:rsidRPr="00652E2C" w:rsidRDefault="00435F56" w:rsidP="00435F56">
      <w:pPr>
        <w:ind w:left="992" w:right="1043"/>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X. Presentar ante el Comité, el proyecto de clasificación de información</w:t>
      </w:r>
      <w:r w:rsidRPr="00652E2C">
        <w:rPr>
          <w:rFonts w:ascii="Palatino Linotype" w:eastAsia="Palatino Linotype" w:hAnsi="Palatino Linotype" w:cs="Palatino Linotype"/>
          <w:i/>
          <w:sz w:val="22"/>
          <w:szCs w:val="22"/>
        </w:rPr>
        <w:t xml:space="preserve">…” </w:t>
      </w:r>
    </w:p>
    <w:p w14:paraId="7BCFE3B4" w14:textId="77777777" w:rsidR="00435F56" w:rsidRPr="00652E2C" w:rsidRDefault="00435F56" w:rsidP="00435F56">
      <w:pPr>
        <w:ind w:left="992" w:right="1043"/>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“Artículo 59.</w:t>
      </w:r>
      <w:r w:rsidRPr="00652E2C">
        <w:rPr>
          <w:rFonts w:ascii="Palatino Linotype" w:eastAsia="Palatino Linotype" w:hAnsi="Palatino Linotype" w:cs="Palatino Linotype"/>
          <w:i/>
          <w:sz w:val="22"/>
          <w:szCs w:val="22"/>
        </w:rPr>
        <w:t xml:space="preserve"> Los </w:t>
      </w:r>
      <w:r w:rsidRPr="00652E2C">
        <w:rPr>
          <w:rFonts w:ascii="Palatino Linotype" w:eastAsia="Palatino Linotype" w:hAnsi="Palatino Linotype" w:cs="Palatino Linotype"/>
          <w:b/>
          <w:i/>
          <w:sz w:val="22"/>
          <w:szCs w:val="22"/>
        </w:rPr>
        <w:t>servidores públicos habilitados</w:t>
      </w:r>
      <w:r w:rsidRPr="00652E2C">
        <w:rPr>
          <w:rFonts w:ascii="Palatino Linotype" w:eastAsia="Palatino Linotype" w:hAnsi="Palatino Linotype" w:cs="Palatino Linotype"/>
          <w:i/>
          <w:sz w:val="22"/>
          <w:szCs w:val="22"/>
        </w:rPr>
        <w:t xml:space="preserve"> tendrán las </w:t>
      </w:r>
      <w:r w:rsidRPr="00652E2C">
        <w:rPr>
          <w:rFonts w:ascii="Palatino Linotype" w:eastAsia="Palatino Linotype" w:hAnsi="Palatino Linotype" w:cs="Palatino Linotype"/>
          <w:b/>
          <w:i/>
          <w:sz w:val="22"/>
          <w:szCs w:val="22"/>
        </w:rPr>
        <w:t>funciones</w:t>
      </w:r>
      <w:r w:rsidRPr="00652E2C">
        <w:rPr>
          <w:rFonts w:ascii="Palatino Linotype" w:eastAsia="Palatino Linotype" w:hAnsi="Palatino Linotype" w:cs="Palatino Linotype"/>
          <w:i/>
          <w:sz w:val="22"/>
          <w:szCs w:val="22"/>
        </w:rPr>
        <w:t xml:space="preserve"> siguientes:</w:t>
      </w:r>
    </w:p>
    <w:p w14:paraId="715F73F6" w14:textId="77777777" w:rsidR="00435F56" w:rsidRPr="00652E2C" w:rsidRDefault="00435F56" w:rsidP="00435F56">
      <w:pPr>
        <w:ind w:left="992" w:right="1043"/>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V. Integrar y presentar al responsable de la Unidad de Transparencia la propuesta de clasificación de información</w:t>
      </w:r>
      <w:r w:rsidRPr="00652E2C">
        <w:rPr>
          <w:rFonts w:ascii="Palatino Linotype" w:eastAsia="Palatino Linotype" w:hAnsi="Palatino Linotype" w:cs="Palatino Linotype"/>
          <w:i/>
          <w:sz w:val="22"/>
          <w:szCs w:val="22"/>
        </w:rPr>
        <w:t xml:space="preserve">, la cual tendrá los fundamentos y argumentos en que se basa dicha propuesta…” </w:t>
      </w:r>
    </w:p>
    <w:p w14:paraId="75F0A311" w14:textId="77777777" w:rsidR="00435F56" w:rsidRPr="00652E2C" w:rsidRDefault="00435F56" w:rsidP="00435F56">
      <w:pPr>
        <w:ind w:left="992" w:right="1043"/>
        <w:jc w:val="both"/>
        <w:rPr>
          <w:rFonts w:ascii="Palatino Linotype" w:eastAsia="Palatino Linotype" w:hAnsi="Palatino Linotype" w:cs="Palatino Linotype"/>
          <w:i/>
          <w:sz w:val="22"/>
          <w:szCs w:val="22"/>
        </w:rPr>
      </w:pPr>
    </w:p>
    <w:p w14:paraId="2BACC960" w14:textId="77777777" w:rsidR="00435F56" w:rsidRPr="00652E2C" w:rsidRDefault="00435F56" w:rsidP="00435F56">
      <w:pPr>
        <w:spacing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Denotándose de dichos elementos normativos que el determinar la clasificación de la información es un trabajo en conjunto tanto de los Servidores Públicos Habilitados, de las Unidades de Transparencia y del Comité de Transparencia del Sujeto Obligado, teniendo el deber los primeros de ellos de presentar ante la Unidad de Transparencia la propuesta de la clasificación de la información, para que luego ésta presente ante al Comité de Transparencia de así resultar procedente el proyecto de clasificación de la información y finalmente sea éste último quien apruebe, modifique o revoque la clasificación de la información solicitada.</w:t>
      </w:r>
    </w:p>
    <w:p w14:paraId="1EB627A4" w14:textId="77777777" w:rsidR="00435F56" w:rsidRPr="00652E2C" w:rsidRDefault="00435F56" w:rsidP="00435F56">
      <w:pPr>
        <w:spacing w:line="360" w:lineRule="auto"/>
        <w:jc w:val="both"/>
        <w:rPr>
          <w:rFonts w:ascii="Palatino Linotype" w:eastAsia="Palatino Linotype" w:hAnsi="Palatino Linotype" w:cs="Palatino Linotype"/>
          <w:sz w:val="22"/>
          <w:szCs w:val="22"/>
        </w:rPr>
      </w:pPr>
    </w:p>
    <w:p w14:paraId="4D1B8828" w14:textId="77777777" w:rsidR="00435F56" w:rsidRPr="00652E2C" w:rsidRDefault="00435F56" w:rsidP="00435F56">
      <w:pPr>
        <w:spacing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Para lo cual, a su vez en el caso de información de carácter confidencial, se debe atender a lo que señala el artículo 149 de la Ley de Transparencia Local vigente, que se lee como sigue:</w:t>
      </w:r>
    </w:p>
    <w:p w14:paraId="34434E9C" w14:textId="77777777" w:rsidR="00435F56" w:rsidRPr="00652E2C" w:rsidRDefault="00435F56" w:rsidP="00435F56">
      <w:pPr>
        <w:spacing w:after="240"/>
        <w:ind w:left="993" w:right="1041"/>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lastRenderedPageBreak/>
        <w:t>“</w:t>
      </w:r>
      <w:r w:rsidRPr="00652E2C">
        <w:rPr>
          <w:rFonts w:ascii="Palatino Linotype" w:eastAsia="Palatino Linotype" w:hAnsi="Palatino Linotype" w:cs="Palatino Linotype"/>
          <w:b/>
          <w:i/>
          <w:sz w:val="22"/>
          <w:szCs w:val="22"/>
        </w:rPr>
        <w:t>Artículo 149.</w:t>
      </w:r>
      <w:r w:rsidRPr="00652E2C">
        <w:rPr>
          <w:rFonts w:ascii="Palatino Linotype" w:eastAsia="Palatino Linotype" w:hAnsi="Palatino Linotype" w:cs="Palatino Linotype"/>
          <w:i/>
          <w:sz w:val="22"/>
          <w:szCs w:val="22"/>
        </w:rPr>
        <w:t xml:space="preserve"> El </w:t>
      </w:r>
      <w:r w:rsidRPr="00652E2C">
        <w:rPr>
          <w:rFonts w:ascii="Palatino Linotype" w:eastAsia="Palatino Linotype" w:hAnsi="Palatino Linotype" w:cs="Palatino Linotype"/>
          <w:b/>
          <w:i/>
          <w:sz w:val="22"/>
          <w:szCs w:val="22"/>
        </w:rPr>
        <w:t>acuerdo que clasifique la información como confidencial</w:t>
      </w:r>
      <w:r w:rsidRPr="00652E2C">
        <w:rPr>
          <w:rFonts w:ascii="Palatino Linotype" w:eastAsia="Palatino Linotype" w:hAnsi="Palatino Linotype" w:cs="Palatino Linotype"/>
          <w:i/>
          <w:sz w:val="22"/>
          <w:szCs w:val="22"/>
        </w:rPr>
        <w:t xml:space="preserve"> deberá contener un razonamiento lógico en el que demuestre que la información se encuentra en alguna o algunas de las hipótesis previstas en la presente Ley.”</w:t>
      </w:r>
    </w:p>
    <w:p w14:paraId="152B759D" w14:textId="77777777" w:rsidR="00435F56" w:rsidRPr="00652E2C" w:rsidRDefault="00435F56" w:rsidP="00435F56">
      <w:pPr>
        <w:spacing w:line="360" w:lineRule="auto"/>
        <w:ind w:right="51"/>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 xml:space="preserve">Es decir, el </w:t>
      </w:r>
      <w:r w:rsidRPr="00652E2C">
        <w:rPr>
          <w:rFonts w:ascii="Palatino Linotype" w:eastAsia="Palatino Linotype" w:hAnsi="Palatino Linotype" w:cs="Palatino Linotype"/>
          <w:b/>
          <w:sz w:val="22"/>
          <w:szCs w:val="22"/>
        </w:rPr>
        <w:t>Sujeto Obligado</w:t>
      </w:r>
      <w:r w:rsidRPr="00652E2C">
        <w:rPr>
          <w:rFonts w:ascii="Palatino Linotype" w:eastAsia="Palatino Linotype" w:hAnsi="Palatino Linotype" w:cs="Palatino Linotype"/>
          <w:sz w:val="22"/>
          <w:szCs w:val="22"/>
        </w:rPr>
        <w:t xml:space="preserve"> a través de su Comité de Transparencia, deberá elaborar acuerdo que contenga un razonamiento lógico con el que se demuestre que la información que se testa de las versiones públicas que se sirva elaborar, encuadra en alguna de las hipótesis que contempla la Ley de la Materia en su artículo 143; ya que de lo contrario, se crearía la incertidumbre jurídica en relación a si lo entregado es formalmente una versión pública, o un documento ilegible, incompleto o tachado; en otras palabras si no se exponen de manera puntual las razones de la versión pública de la documentación entregada se estaría violentando el derecho de acceso a la información de la parte solicitante.</w:t>
      </w:r>
    </w:p>
    <w:p w14:paraId="3F4BD1B1" w14:textId="77777777" w:rsidR="00435F56" w:rsidRPr="00652E2C" w:rsidRDefault="00435F56" w:rsidP="00435F56">
      <w:pPr>
        <w:spacing w:line="360" w:lineRule="auto"/>
        <w:jc w:val="both"/>
        <w:rPr>
          <w:rFonts w:ascii="Palatino Linotype" w:eastAsia="Palatino Linotype" w:hAnsi="Palatino Linotype" w:cs="Palatino Linotype"/>
          <w:sz w:val="22"/>
          <w:szCs w:val="22"/>
        </w:rPr>
      </w:pPr>
    </w:p>
    <w:p w14:paraId="5AB83BFB" w14:textId="77777777" w:rsidR="00435F56" w:rsidRPr="00652E2C" w:rsidRDefault="00435F56" w:rsidP="00435F56">
      <w:pPr>
        <w:spacing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 xml:space="preserve">Al respecto, se destaca que la versión pública que elabore el </w:t>
      </w:r>
      <w:r w:rsidRPr="00652E2C">
        <w:rPr>
          <w:rFonts w:ascii="Palatino Linotype" w:eastAsia="Palatino Linotype" w:hAnsi="Palatino Linotype" w:cs="Palatino Linotype"/>
          <w:b/>
          <w:sz w:val="22"/>
          <w:szCs w:val="22"/>
        </w:rPr>
        <w:t>Sujeto Obligado</w:t>
      </w:r>
      <w:r w:rsidRPr="00652E2C">
        <w:rPr>
          <w:rFonts w:ascii="Palatino Linotype" w:eastAsia="Palatino Linotype" w:hAnsi="Palatino Linotype" w:cs="Palatino Linotype"/>
          <w:sz w:val="22"/>
          <w:szCs w:val="22"/>
        </w:rPr>
        <w:t xml:space="preserve"> debe cumplir con las formalidades exigidas en la Ley; es decir, resulta necesario que el Comité de Transparencia del Sujeto Obligado emita el Acuerdo de Clasificación correspondiente debidamente fundado y motivado, que sustente la versión pública, el cual deberá cumplir cabalmente con las formalidades previstas en el artículo 137 de la Ley de Transparencia y Acceso a la Información Pública del Estado de México y Municipios, ya expuesto; así como con los numerales aplicables de los </w:t>
      </w:r>
      <w:r w:rsidRPr="00652E2C">
        <w:rPr>
          <w:rFonts w:ascii="Palatino Linotype" w:eastAsia="Palatino Linotype" w:hAnsi="Palatino Linotype" w:cs="Palatino Linotype"/>
          <w:b/>
          <w:sz w:val="22"/>
          <w:szCs w:val="22"/>
        </w:rPr>
        <w:t>LINEAMIENTOS GENERALES EN MATERIA DE CLASIFICACIÓN Y DESCLASIFICACIÓN DE LA INFORMACIÓN, ASÍ COMO PARA LA ELABORACIÓN DE VERSIONES PÚBLICAS</w:t>
      </w:r>
      <w:r w:rsidRPr="00652E2C">
        <w:rPr>
          <w:rFonts w:ascii="Palatino Linotype" w:eastAsia="Palatino Linotype" w:hAnsi="Palatino Linotype" w:cs="Palatino Linotype"/>
          <w:sz w:val="22"/>
          <w:szCs w:val="22"/>
        </w:rPr>
        <w:t>, publicados en el Diario Oficial de la Federación en fecha dieciocho de noviembre del año dos mil veintidós, mediante Acuerdo del Consejo Nacional del Sistema Nacional de Transparencia, Acceso a la Información Pública y Protección de Datos Personales, que literalmente expresan:</w:t>
      </w:r>
    </w:p>
    <w:p w14:paraId="68E1ED5D" w14:textId="77777777" w:rsidR="00435F56" w:rsidRPr="00652E2C" w:rsidRDefault="00435F56" w:rsidP="00435F56">
      <w:pPr>
        <w:ind w:left="709" w:right="709"/>
        <w:jc w:val="both"/>
        <w:rPr>
          <w:rFonts w:ascii="Palatino Linotype" w:eastAsia="Palatino Linotype" w:hAnsi="Palatino Linotype" w:cs="Palatino Linotype"/>
          <w:b/>
          <w:i/>
          <w:sz w:val="22"/>
          <w:szCs w:val="22"/>
        </w:rPr>
      </w:pPr>
    </w:p>
    <w:p w14:paraId="3E5BF92E" w14:textId="77777777" w:rsidR="00435F56" w:rsidRPr="00652E2C" w:rsidRDefault="00435F56" w:rsidP="00435F56">
      <w:pPr>
        <w:pBdr>
          <w:top w:val="nil"/>
          <w:left w:val="nil"/>
          <w:bottom w:val="nil"/>
          <w:right w:val="nil"/>
          <w:between w:val="nil"/>
        </w:pBdr>
        <w:ind w:left="709" w:right="709"/>
        <w:jc w:val="both"/>
        <w:rPr>
          <w:sz w:val="22"/>
          <w:szCs w:val="22"/>
        </w:rPr>
      </w:pPr>
      <w:r w:rsidRPr="00652E2C">
        <w:rPr>
          <w:rFonts w:ascii="Palatino Linotype" w:eastAsia="Palatino Linotype" w:hAnsi="Palatino Linotype" w:cs="Palatino Linotype"/>
          <w:b/>
          <w:i/>
          <w:sz w:val="22"/>
          <w:szCs w:val="22"/>
        </w:rPr>
        <w:t>“Lineamientos Generales en materia de Clasificación y Desclasificación de la Información, así como para la elaboración de Versiones Públicas</w:t>
      </w:r>
    </w:p>
    <w:p w14:paraId="69731EDE" w14:textId="77777777" w:rsidR="00435F56" w:rsidRPr="00652E2C" w:rsidRDefault="00435F56" w:rsidP="00435F56">
      <w:pPr>
        <w:pBdr>
          <w:top w:val="nil"/>
          <w:left w:val="nil"/>
          <w:bottom w:val="nil"/>
          <w:right w:val="nil"/>
          <w:between w:val="nil"/>
        </w:pBdr>
        <w:ind w:left="709" w:right="709"/>
        <w:jc w:val="both"/>
        <w:rPr>
          <w:sz w:val="22"/>
          <w:szCs w:val="22"/>
        </w:rPr>
      </w:pPr>
      <w:r w:rsidRPr="00652E2C">
        <w:rPr>
          <w:rFonts w:ascii="Palatino Linotype" w:eastAsia="Palatino Linotype" w:hAnsi="Palatino Linotype" w:cs="Palatino Linotype"/>
          <w:i/>
          <w:sz w:val="22"/>
          <w:szCs w:val="22"/>
        </w:rPr>
        <w:t>“</w:t>
      </w:r>
      <w:proofErr w:type="gramStart"/>
      <w:r w:rsidRPr="00652E2C">
        <w:rPr>
          <w:rFonts w:ascii="Palatino Linotype" w:eastAsia="Palatino Linotype" w:hAnsi="Palatino Linotype" w:cs="Palatino Linotype"/>
          <w:b/>
          <w:i/>
          <w:sz w:val="22"/>
          <w:szCs w:val="22"/>
        </w:rPr>
        <w:t>Segundo.-</w:t>
      </w:r>
      <w:proofErr w:type="gramEnd"/>
      <w:r w:rsidRPr="00652E2C">
        <w:rPr>
          <w:rFonts w:ascii="Palatino Linotype" w:eastAsia="Palatino Linotype" w:hAnsi="Palatino Linotype" w:cs="Palatino Linotype"/>
          <w:i/>
          <w:sz w:val="22"/>
          <w:szCs w:val="22"/>
        </w:rPr>
        <w:t xml:space="preserve"> Para efectos de los presentes Lineamientos Generales, se entenderá por:</w:t>
      </w:r>
    </w:p>
    <w:p w14:paraId="00741D98" w14:textId="77777777" w:rsidR="00435F56" w:rsidRPr="00652E2C" w:rsidRDefault="00435F56" w:rsidP="00435F56">
      <w:pPr>
        <w:pBdr>
          <w:top w:val="nil"/>
          <w:left w:val="nil"/>
          <w:bottom w:val="nil"/>
          <w:right w:val="nil"/>
          <w:between w:val="nil"/>
        </w:pBdr>
        <w:ind w:left="709" w:right="709"/>
        <w:jc w:val="both"/>
        <w:rPr>
          <w:sz w:val="22"/>
          <w:szCs w:val="22"/>
        </w:rPr>
      </w:pPr>
      <w:r w:rsidRPr="00652E2C">
        <w:rPr>
          <w:rFonts w:ascii="Palatino Linotype" w:eastAsia="Palatino Linotype" w:hAnsi="Palatino Linotype" w:cs="Palatino Linotype"/>
          <w:b/>
          <w:i/>
          <w:sz w:val="22"/>
          <w:szCs w:val="22"/>
        </w:rPr>
        <w:lastRenderedPageBreak/>
        <w:t>XVIII.</w:t>
      </w:r>
      <w:r w:rsidRPr="00652E2C">
        <w:rPr>
          <w:rFonts w:ascii="Palatino Linotype" w:eastAsia="Palatino Linotype" w:hAnsi="Palatino Linotype" w:cs="Palatino Linotype"/>
          <w:i/>
          <w:sz w:val="22"/>
          <w:szCs w:val="22"/>
        </w:rPr>
        <w:t xml:space="preserve"> </w:t>
      </w:r>
      <w:r w:rsidRPr="00652E2C">
        <w:rPr>
          <w:rFonts w:ascii="Palatino Linotype" w:eastAsia="Palatino Linotype" w:hAnsi="Palatino Linotype" w:cs="Palatino Linotype"/>
          <w:b/>
          <w:i/>
          <w:sz w:val="22"/>
          <w:szCs w:val="22"/>
        </w:rPr>
        <w:t>Versión pública:</w:t>
      </w:r>
      <w:r w:rsidRPr="00652E2C">
        <w:rPr>
          <w:rFonts w:ascii="Palatino Linotype" w:eastAsia="Palatino Linotype" w:hAnsi="Palatino Linotype" w:cs="Palatino Linotype"/>
          <w:i/>
          <w:sz w:val="22"/>
          <w:szCs w:val="22"/>
        </w:rPr>
        <w:t xml:space="preserve"> El documento a partir del que se otorga acceso a la información, en el que se testan partes o secciones clasificadas, indicando el contenido de éstas de manera genérica, </w:t>
      </w:r>
      <w:r w:rsidRPr="00652E2C">
        <w:rPr>
          <w:rFonts w:ascii="Palatino Linotype" w:eastAsia="Palatino Linotype" w:hAnsi="Palatino Linotype" w:cs="Palatino Linotype"/>
          <w:b/>
          <w:i/>
          <w:sz w:val="22"/>
          <w:szCs w:val="22"/>
          <w:u w:val="single"/>
        </w:rPr>
        <w:t>fundando y motivando la</w:t>
      </w:r>
      <w:r w:rsidRPr="00652E2C">
        <w:rPr>
          <w:rFonts w:ascii="Palatino Linotype" w:eastAsia="Palatino Linotype" w:hAnsi="Palatino Linotype" w:cs="Palatino Linotype"/>
          <w:i/>
          <w:sz w:val="22"/>
          <w:szCs w:val="22"/>
        </w:rPr>
        <w:t xml:space="preserve"> reserva o </w:t>
      </w:r>
      <w:r w:rsidRPr="00652E2C">
        <w:rPr>
          <w:rFonts w:ascii="Palatino Linotype" w:eastAsia="Palatino Linotype" w:hAnsi="Palatino Linotype" w:cs="Palatino Linotype"/>
          <w:b/>
          <w:i/>
          <w:sz w:val="22"/>
          <w:szCs w:val="22"/>
          <w:u w:val="single"/>
        </w:rPr>
        <w:t>confidencialidad</w:t>
      </w:r>
      <w:r w:rsidRPr="00652E2C">
        <w:rPr>
          <w:rFonts w:ascii="Palatino Linotype" w:eastAsia="Palatino Linotype" w:hAnsi="Palatino Linotype" w:cs="Palatino Linotype"/>
          <w:i/>
          <w:sz w:val="22"/>
          <w:szCs w:val="22"/>
        </w:rPr>
        <w:t>, a través de la resolución que para tal efecto emita el Comité de Transparencia.</w:t>
      </w:r>
    </w:p>
    <w:p w14:paraId="019FF5C3" w14:textId="77777777" w:rsidR="00435F56" w:rsidRPr="00652E2C" w:rsidRDefault="00435F56" w:rsidP="00435F56">
      <w:pPr>
        <w:pBdr>
          <w:top w:val="nil"/>
          <w:left w:val="nil"/>
          <w:bottom w:val="nil"/>
          <w:right w:val="nil"/>
          <w:between w:val="nil"/>
        </w:pBdr>
        <w:ind w:left="709" w:right="709"/>
        <w:jc w:val="both"/>
        <w:rPr>
          <w:sz w:val="22"/>
          <w:szCs w:val="22"/>
        </w:rPr>
      </w:pPr>
      <w:r w:rsidRPr="00652E2C">
        <w:rPr>
          <w:rFonts w:ascii="Palatino Linotype" w:eastAsia="Palatino Linotype" w:hAnsi="Palatino Linotype" w:cs="Palatino Linotype"/>
          <w:b/>
          <w:i/>
          <w:sz w:val="22"/>
          <w:szCs w:val="22"/>
        </w:rPr>
        <w:t>Cuarto.</w:t>
      </w:r>
      <w:r w:rsidRPr="00652E2C">
        <w:rPr>
          <w:rFonts w:ascii="Palatino Linotype" w:eastAsia="Palatino Linotype" w:hAnsi="Palatino Linotype" w:cs="Palatino Linotype"/>
          <w:i/>
          <w:sz w:val="22"/>
          <w:szCs w:val="22"/>
        </w:rPr>
        <w:t xml:space="preserve"> Para clasificar la información como reservada o confidencial, de manera total o parcial, el titular del área del sujeto obligado deberá atender lo dispuesto por el Título Sexto de la Ley General, en relación con las disposiciones contenidas en los presentes lineamientos, así como en aquellas disposiciones legales aplicables a la materia en el ámbito de sus respectivas competencias, en tanto estas últimas no contravengan lo dispuesto en la Ley General.</w:t>
      </w:r>
    </w:p>
    <w:p w14:paraId="70A3ED64" w14:textId="77777777" w:rsidR="00435F56" w:rsidRPr="00652E2C" w:rsidRDefault="00435F56" w:rsidP="00435F56">
      <w:pPr>
        <w:pBdr>
          <w:top w:val="nil"/>
          <w:left w:val="nil"/>
          <w:bottom w:val="nil"/>
          <w:right w:val="nil"/>
          <w:between w:val="nil"/>
        </w:pBdr>
        <w:ind w:left="709" w:right="709"/>
        <w:jc w:val="both"/>
        <w:rPr>
          <w:sz w:val="22"/>
          <w:szCs w:val="22"/>
        </w:rPr>
      </w:pPr>
      <w:r w:rsidRPr="00652E2C">
        <w:rPr>
          <w:rFonts w:ascii="Palatino Linotype" w:eastAsia="Palatino Linotype" w:hAnsi="Palatino Linotype" w:cs="Palatino Linotype"/>
          <w:i/>
          <w:sz w:val="22"/>
          <w:szCs w:val="22"/>
        </w:rPr>
        <w:t>Los sujetos obligados deberán aplicar, de manera estricta, las excepciones al derecho de acceso a la información y sólo podrán invocarlas cuando acrediten su procedencia.</w:t>
      </w:r>
    </w:p>
    <w:p w14:paraId="5BD6F977" w14:textId="77777777" w:rsidR="00435F56" w:rsidRPr="00652E2C" w:rsidRDefault="00435F56" w:rsidP="00435F56">
      <w:pPr>
        <w:pBdr>
          <w:top w:val="nil"/>
          <w:left w:val="nil"/>
          <w:bottom w:val="nil"/>
          <w:right w:val="nil"/>
          <w:between w:val="nil"/>
        </w:pBdr>
        <w:ind w:left="709" w:right="709"/>
        <w:jc w:val="both"/>
        <w:rPr>
          <w:sz w:val="22"/>
          <w:szCs w:val="22"/>
        </w:rPr>
      </w:pPr>
      <w:r w:rsidRPr="00652E2C">
        <w:rPr>
          <w:rFonts w:ascii="Palatino Linotype" w:eastAsia="Palatino Linotype" w:hAnsi="Palatino Linotype" w:cs="Palatino Linotype"/>
          <w:b/>
          <w:i/>
          <w:sz w:val="22"/>
          <w:szCs w:val="22"/>
        </w:rPr>
        <w:t>Quinto.</w:t>
      </w:r>
      <w:r w:rsidRPr="00652E2C">
        <w:rPr>
          <w:rFonts w:ascii="Palatino Linotype" w:eastAsia="Palatino Linotype" w:hAnsi="Palatino Linotype" w:cs="Palatino Linotype"/>
          <w:i/>
          <w:sz w:val="22"/>
          <w:szCs w:val="22"/>
        </w:rPr>
        <w:t xml:space="preserve"> La carga de la prueba para justificar toda negativa de acceso a la información, por actualizarse cualquiera de los supuestos de clasificación previstos en la Ley General, la Ley Federal y leyes estatales, corresponderá a los sujetos obligados, por lo que deberán fundar y motivar debidamente la clasificación de la información ante una solicitud de acceso o al momento en que generen versiones públicas para dar cumplimiento a las obligaciones de transparencia, observando lo dispuesto en la Ley General y las demás disposiciones aplicables en la materia.</w:t>
      </w:r>
    </w:p>
    <w:p w14:paraId="612D3D8B" w14:textId="77777777" w:rsidR="00435F56" w:rsidRPr="00652E2C" w:rsidRDefault="00435F56" w:rsidP="00435F56">
      <w:pPr>
        <w:pBdr>
          <w:top w:val="nil"/>
          <w:left w:val="nil"/>
          <w:bottom w:val="nil"/>
          <w:right w:val="nil"/>
          <w:between w:val="nil"/>
        </w:pBdr>
        <w:ind w:left="709" w:right="709"/>
        <w:jc w:val="both"/>
        <w:rPr>
          <w:sz w:val="22"/>
          <w:szCs w:val="22"/>
        </w:rPr>
      </w:pPr>
      <w:r w:rsidRPr="00652E2C">
        <w:rPr>
          <w:rFonts w:ascii="Palatino Linotype" w:eastAsia="Palatino Linotype" w:hAnsi="Palatino Linotype" w:cs="Palatino Linotype"/>
          <w:b/>
          <w:i/>
          <w:sz w:val="22"/>
          <w:szCs w:val="22"/>
        </w:rPr>
        <w:t>…</w:t>
      </w:r>
    </w:p>
    <w:p w14:paraId="1F9EEC3E" w14:textId="77777777" w:rsidR="00435F56" w:rsidRPr="00652E2C" w:rsidRDefault="00435F56" w:rsidP="00435F56">
      <w:pPr>
        <w:pBdr>
          <w:top w:val="nil"/>
          <w:left w:val="nil"/>
          <w:bottom w:val="nil"/>
          <w:right w:val="nil"/>
          <w:between w:val="nil"/>
        </w:pBdr>
        <w:ind w:left="709" w:right="709"/>
        <w:jc w:val="both"/>
        <w:rPr>
          <w:sz w:val="22"/>
          <w:szCs w:val="22"/>
        </w:rPr>
      </w:pPr>
      <w:r w:rsidRPr="00652E2C">
        <w:rPr>
          <w:rFonts w:ascii="Palatino Linotype" w:eastAsia="Palatino Linotype" w:hAnsi="Palatino Linotype" w:cs="Palatino Linotype"/>
          <w:b/>
          <w:i/>
          <w:sz w:val="22"/>
          <w:szCs w:val="22"/>
        </w:rPr>
        <w:t>Séptimo.</w:t>
      </w:r>
      <w:r w:rsidRPr="00652E2C">
        <w:rPr>
          <w:rFonts w:ascii="Palatino Linotype" w:eastAsia="Palatino Linotype" w:hAnsi="Palatino Linotype" w:cs="Palatino Linotype"/>
          <w:i/>
          <w:sz w:val="22"/>
          <w:szCs w:val="22"/>
        </w:rPr>
        <w:t xml:space="preserve"> La clasificación de la información se llevará a cabo en el momento en que:</w:t>
      </w:r>
    </w:p>
    <w:p w14:paraId="2ED9CBD5" w14:textId="77777777" w:rsidR="00435F56" w:rsidRPr="00652E2C" w:rsidRDefault="00435F56" w:rsidP="00435F56">
      <w:pPr>
        <w:pBdr>
          <w:top w:val="nil"/>
          <w:left w:val="nil"/>
          <w:bottom w:val="nil"/>
          <w:right w:val="nil"/>
          <w:between w:val="nil"/>
        </w:pBdr>
        <w:ind w:left="709" w:right="709"/>
        <w:jc w:val="both"/>
        <w:rPr>
          <w:sz w:val="22"/>
          <w:szCs w:val="22"/>
        </w:rPr>
      </w:pPr>
      <w:r w:rsidRPr="00652E2C">
        <w:rPr>
          <w:rFonts w:ascii="Palatino Linotype" w:eastAsia="Palatino Linotype" w:hAnsi="Palatino Linotype" w:cs="Palatino Linotype"/>
          <w:b/>
          <w:i/>
          <w:sz w:val="22"/>
          <w:szCs w:val="22"/>
        </w:rPr>
        <w:t>I.</w:t>
      </w:r>
      <w:r w:rsidRPr="00652E2C">
        <w:rPr>
          <w:rFonts w:ascii="Palatino Linotype" w:eastAsia="Palatino Linotype" w:hAnsi="Palatino Linotype" w:cs="Palatino Linotype"/>
          <w:i/>
          <w:sz w:val="22"/>
          <w:szCs w:val="22"/>
        </w:rPr>
        <w:t xml:space="preserve"> Se reciba una solicitud de acceso a la información;</w:t>
      </w:r>
    </w:p>
    <w:p w14:paraId="746D84E4" w14:textId="77777777" w:rsidR="00435F56" w:rsidRPr="00652E2C" w:rsidRDefault="00435F56" w:rsidP="00435F56">
      <w:pPr>
        <w:pBdr>
          <w:top w:val="nil"/>
          <w:left w:val="nil"/>
          <w:bottom w:val="nil"/>
          <w:right w:val="nil"/>
          <w:between w:val="nil"/>
        </w:pBdr>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II.</w:t>
      </w:r>
      <w:r w:rsidRPr="00652E2C">
        <w:rPr>
          <w:rFonts w:ascii="Palatino Linotype" w:eastAsia="Palatino Linotype" w:hAnsi="Palatino Linotype" w:cs="Palatino Linotype"/>
          <w:i/>
          <w:sz w:val="22"/>
          <w:szCs w:val="22"/>
        </w:rPr>
        <w:t xml:space="preserve"> </w:t>
      </w:r>
      <w:proofErr w:type="gramStart"/>
      <w:r w:rsidRPr="00652E2C">
        <w:rPr>
          <w:rFonts w:ascii="Palatino Linotype" w:eastAsia="Palatino Linotype" w:hAnsi="Palatino Linotype" w:cs="Palatino Linotype"/>
          <w:i/>
          <w:sz w:val="22"/>
          <w:szCs w:val="22"/>
        </w:rPr>
        <w:t>Se  determine</w:t>
      </w:r>
      <w:proofErr w:type="gramEnd"/>
      <w:r w:rsidRPr="00652E2C">
        <w:rPr>
          <w:rFonts w:ascii="Palatino Linotype" w:eastAsia="Palatino Linotype" w:hAnsi="Palatino Linotype" w:cs="Palatino Linotype"/>
          <w:i/>
          <w:sz w:val="22"/>
          <w:szCs w:val="22"/>
        </w:rPr>
        <w:t xml:space="preserve"> mediante resolución del Comité de Transparencia, el órgano garante </w:t>
      </w:r>
    </w:p>
    <w:p w14:paraId="289008DA" w14:textId="77777777" w:rsidR="00435F56" w:rsidRPr="00652E2C" w:rsidRDefault="00435F56" w:rsidP="00435F56">
      <w:pPr>
        <w:pBdr>
          <w:top w:val="nil"/>
          <w:left w:val="nil"/>
          <w:bottom w:val="nil"/>
          <w:right w:val="nil"/>
          <w:between w:val="nil"/>
        </w:pBdr>
        <w:ind w:left="709" w:right="709"/>
        <w:jc w:val="both"/>
        <w:rPr>
          <w:sz w:val="22"/>
          <w:szCs w:val="22"/>
        </w:rPr>
      </w:pPr>
      <w:r w:rsidRPr="00652E2C">
        <w:rPr>
          <w:rFonts w:ascii="Palatino Linotype" w:eastAsia="Palatino Linotype" w:hAnsi="Palatino Linotype" w:cs="Palatino Linotype"/>
          <w:i/>
          <w:sz w:val="22"/>
          <w:szCs w:val="22"/>
        </w:rPr>
        <w:t>competente, o en cumplimiento a una sentencia del Poder Judicial; o</w:t>
      </w:r>
    </w:p>
    <w:p w14:paraId="38B06DEF" w14:textId="77777777" w:rsidR="00435F56" w:rsidRPr="00652E2C" w:rsidRDefault="00435F56" w:rsidP="00435F56">
      <w:pPr>
        <w:pBdr>
          <w:top w:val="nil"/>
          <w:left w:val="nil"/>
          <w:bottom w:val="nil"/>
          <w:right w:val="nil"/>
          <w:between w:val="nil"/>
        </w:pBdr>
        <w:ind w:left="709" w:right="709"/>
        <w:jc w:val="both"/>
        <w:rPr>
          <w:sz w:val="22"/>
          <w:szCs w:val="22"/>
        </w:rPr>
      </w:pPr>
      <w:r w:rsidRPr="00652E2C">
        <w:rPr>
          <w:rFonts w:ascii="Palatino Linotype" w:eastAsia="Palatino Linotype" w:hAnsi="Palatino Linotype" w:cs="Palatino Linotype"/>
          <w:b/>
          <w:i/>
          <w:sz w:val="22"/>
          <w:szCs w:val="22"/>
        </w:rPr>
        <w:t>III.</w:t>
      </w:r>
      <w:r w:rsidRPr="00652E2C">
        <w:rPr>
          <w:rFonts w:ascii="Palatino Linotype" w:eastAsia="Palatino Linotype" w:hAnsi="Palatino Linotype" w:cs="Palatino Linotype"/>
          <w:i/>
          <w:sz w:val="22"/>
          <w:szCs w:val="22"/>
        </w:rPr>
        <w:t xml:space="preserve"> Se generen versiones públicas para dar cumplimiento a las obligaciones de transparencia previstas en la Ley General, la Ley Federal y las correspondientes de las entidades federativas.</w:t>
      </w:r>
    </w:p>
    <w:p w14:paraId="63764263" w14:textId="77777777" w:rsidR="00435F56" w:rsidRPr="00652E2C" w:rsidRDefault="00435F56" w:rsidP="00435F56">
      <w:pPr>
        <w:pBdr>
          <w:top w:val="nil"/>
          <w:left w:val="nil"/>
          <w:bottom w:val="nil"/>
          <w:right w:val="nil"/>
          <w:between w:val="nil"/>
        </w:pBdr>
        <w:ind w:left="709" w:right="709"/>
        <w:jc w:val="both"/>
        <w:rPr>
          <w:sz w:val="22"/>
          <w:szCs w:val="22"/>
        </w:rPr>
      </w:pPr>
      <w:r w:rsidRPr="00652E2C">
        <w:rPr>
          <w:rFonts w:ascii="Palatino Linotype" w:eastAsia="Palatino Linotype" w:hAnsi="Palatino Linotype" w:cs="Palatino Linotype"/>
          <w:i/>
          <w:sz w:val="22"/>
          <w:szCs w:val="22"/>
        </w:rPr>
        <w:t>Los titulares de las áreas deberán revisar la clasificación al momento de la recepción de una solicitud de acceso a la información, para verificar si encuadra en una causal de reserva o de confidencialidad.</w:t>
      </w:r>
    </w:p>
    <w:p w14:paraId="4ADDC4A1" w14:textId="77777777" w:rsidR="00435F56" w:rsidRPr="00652E2C" w:rsidRDefault="00435F56" w:rsidP="00435F56">
      <w:pPr>
        <w:pBdr>
          <w:top w:val="nil"/>
          <w:left w:val="nil"/>
          <w:bottom w:val="nil"/>
          <w:right w:val="nil"/>
          <w:between w:val="nil"/>
        </w:pBdr>
        <w:ind w:left="709" w:right="709"/>
        <w:jc w:val="both"/>
        <w:rPr>
          <w:sz w:val="22"/>
          <w:szCs w:val="22"/>
        </w:rPr>
      </w:pPr>
      <w:r w:rsidRPr="00652E2C">
        <w:rPr>
          <w:rFonts w:ascii="Palatino Linotype" w:eastAsia="Palatino Linotype" w:hAnsi="Palatino Linotype" w:cs="Palatino Linotype"/>
          <w:b/>
          <w:i/>
          <w:sz w:val="22"/>
          <w:szCs w:val="22"/>
        </w:rPr>
        <w:t>Octavo.</w:t>
      </w:r>
      <w:r w:rsidRPr="00652E2C">
        <w:rPr>
          <w:rFonts w:ascii="Palatino Linotype" w:eastAsia="Palatino Linotype" w:hAnsi="Palatino Linotype" w:cs="Palatino Linotype"/>
          <w:i/>
          <w:sz w:val="22"/>
          <w:szCs w:val="22"/>
        </w:rPr>
        <w:t xml:space="preserve"> Para fundar la clasificación de la información se debe señalar el artículo, fracción, inciso, párrafo o numeral de la ley o tratado internacional suscrito por el Estado mexicano que expresamente le otorga el carácter de reservada o confidencial.</w:t>
      </w:r>
    </w:p>
    <w:p w14:paraId="38CD2736" w14:textId="77777777" w:rsidR="00435F56" w:rsidRPr="00652E2C" w:rsidRDefault="00435F56" w:rsidP="00435F56">
      <w:pPr>
        <w:pBdr>
          <w:top w:val="nil"/>
          <w:left w:val="nil"/>
          <w:bottom w:val="nil"/>
          <w:right w:val="nil"/>
          <w:between w:val="nil"/>
        </w:pBdr>
        <w:ind w:left="709" w:right="709"/>
        <w:jc w:val="both"/>
        <w:rPr>
          <w:sz w:val="22"/>
          <w:szCs w:val="22"/>
        </w:rPr>
      </w:pPr>
      <w:r w:rsidRPr="00652E2C">
        <w:rPr>
          <w:rFonts w:ascii="Palatino Linotype" w:eastAsia="Palatino Linotype" w:hAnsi="Palatino Linotype" w:cs="Palatino Linotype"/>
          <w:i/>
          <w:sz w:val="22"/>
          <w:szCs w:val="22"/>
        </w:rPr>
        <w:t>Para motivar la clasificación se deberán señalar las razones o circunstancias especiales que lo llevaron a concluir que el caso particular se ajusta al supuesto previsto por la norma legal invocada como fundamento.</w:t>
      </w:r>
    </w:p>
    <w:p w14:paraId="31660A7A" w14:textId="77777777" w:rsidR="00435F56" w:rsidRPr="00652E2C" w:rsidRDefault="00435F56" w:rsidP="00435F56">
      <w:pPr>
        <w:pBdr>
          <w:top w:val="nil"/>
          <w:left w:val="nil"/>
          <w:bottom w:val="nil"/>
          <w:right w:val="nil"/>
          <w:between w:val="nil"/>
        </w:pBdr>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 xml:space="preserve">En caso de referirse a información reservada, la motivación de la clasificación deberá comprender el análisis de la prueba de daño a que hace referencia el artículo 104 de </w:t>
      </w:r>
      <w:r w:rsidRPr="00652E2C">
        <w:rPr>
          <w:rFonts w:ascii="Palatino Linotype" w:eastAsia="Palatino Linotype" w:hAnsi="Palatino Linotype" w:cs="Palatino Linotype"/>
          <w:i/>
          <w:sz w:val="22"/>
          <w:szCs w:val="22"/>
        </w:rPr>
        <w:lastRenderedPageBreak/>
        <w:t xml:space="preserve">la Ley General, en relación con el artículo trigésimo tercero de los presentes lineamientos, así como las circunstancias que justifican el establecimiento de determinado plazo de reserva. </w:t>
      </w:r>
    </w:p>
    <w:p w14:paraId="32ACA537" w14:textId="77777777" w:rsidR="00435F56" w:rsidRPr="00652E2C" w:rsidRDefault="00435F56" w:rsidP="00435F56">
      <w:pPr>
        <w:pBdr>
          <w:top w:val="nil"/>
          <w:left w:val="nil"/>
          <w:bottom w:val="nil"/>
          <w:right w:val="nil"/>
          <w:between w:val="nil"/>
        </w:pBdr>
        <w:ind w:left="709" w:right="709"/>
        <w:jc w:val="both"/>
        <w:rPr>
          <w:sz w:val="22"/>
          <w:szCs w:val="22"/>
        </w:rPr>
      </w:pPr>
      <w:r w:rsidRPr="00652E2C">
        <w:rPr>
          <w:rFonts w:ascii="Palatino Linotype" w:eastAsia="Palatino Linotype" w:hAnsi="Palatino Linotype" w:cs="Palatino Linotype"/>
          <w:b/>
          <w:i/>
          <w:sz w:val="22"/>
          <w:szCs w:val="22"/>
        </w:rPr>
        <w:t>Noveno.</w:t>
      </w:r>
      <w:r w:rsidRPr="00652E2C">
        <w:rPr>
          <w:rFonts w:ascii="Palatino Linotype" w:eastAsia="Palatino Linotype" w:hAnsi="Palatino Linotype" w:cs="Palatino Linotype"/>
          <w:i/>
          <w:sz w:val="22"/>
          <w:szCs w:val="22"/>
        </w:rPr>
        <w:t xml:space="preserve"> En los casos en que se solicite un documento o expediente que contenga partes o secciones clasificadas, los titulares de las áreas deberán elaborar una versión pública fundando y motivando la clasificación de las partes o secciones que se testen, siguiendo los procedimientos establecidos en el Capítulo IX de los presentes lineamientos.</w:t>
      </w:r>
    </w:p>
    <w:p w14:paraId="244AFFFB" w14:textId="77777777" w:rsidR="00435F56" w:rsidRPr="00652E2C" w:rsidRDefault="00435F56" w:rsidP="00435F56">
      <w:pPr>
        <w:pBdr>
          <w:top w:val="nil"/>
          <w:left w:val="nil"/>
          <w:bottom w:val="nil"/>
          <w:right w:val="nil"/>
          <w:between w:val="nil"/>
        </w:pBdr>
        <w:ind w:left="709" w:right="709"/>
        <w:jc w:val="both"/>
        <w:rPr>
          <w:sz w:val="22"/>
          <w:szCs w:val="22"/>
        </w:rPr>
      </w:pPr>
      <w:r w:rsidRPr="00652E2C">
        <w:rPr>
          <w:rFonts w:ascii="Palatino Linotype" w:eastAsia="Palatino Linotype" w:hAnsi="Palatino Linotype" w:cs="Palatino Linotype"/>
          <w:b/>
          <w:i/>
          <w:sz w:val="22"/>
          <w:szCs w:val="22"/>
        </w:rPr>
        <w:t>Décimo.</w:t>
      </w:r>
      <w:r w:rsidRPr="00652E2C">
        <w:rPr>
          <w:rFonts w:ascii="Palatino Linotype" w:eastAsia="Palatino Linotype" w:hAnsi="Palatino Linotype" w:cs="Palatino Linotype"/>
          <w:i/>
          <w:sz w:val="22"/>
          <w:szCs w:val="22"/>
        </w:rPr>
        <w:t xml:space="preserve"> Los titulares de las áreas, deberán tener conocimiento y llevar un registro del personal que, por la naturaleza de sus atribuciones, tenga acceso a los documentos clasificados. Asimismo, deberán asegurarse de que dicho personal cuente con los conocimientos técnicos y legales que le permitan manejar adecuadamente la información clasificada, en los términos de la Ley General de Archivos, Lineamientos para la Organización y Conservación de Archivos y demás normatividad aplicable.</w:t>
      </w:r>
    </w:p>
    <w:p w14:paraId="6C4B0138" w14:textId="77777777" w:rsidR="00435F56" w:rsidRPr="00652E2C" w:rsidRDefault="00435F56" w:rsidP="00435F56">
      <w:pPr>
        <w:pBdr>
          <w:top w:val="nil"/>
          <w:left w:val="nil"/>
          <w:bottom w:val="nil"/>
          <w:right w:val="nil"/>
          <w:between w:val="nil"/>
        </w:pBdr>
        <w:ind w:left="709" w:right="709"/>
        <w:jc w:val="both"/>
        <w:rPr>
          <w:sz w:val="22"/>
          <w:szCs w:val="22"/>
        </w:rPr>
      </w:pPr>
      <w:r w:rsidRPr="00652E2C">
        <w:rPr>
          <w:rFonts w:ascii="Palatino Linotype" w:eastAsia="Palatino Linotype" w:hAnsi="Palatino Linotype" w:cs="Palatino Linotype"/>
          <w:i/>
          <w:sz w:val="22"/>
          <w:szCs w:val="22"/>
        </w:rPr>
        <w:t>En ausencia de los titulares de las áreas, la información será clasificada o desclasificada por la persona que lo supla, en términos de la normativa que rija la actuación del sujeto obligado.</w:t>
      </w:r>
    </w:p>
    <w:p w14:paraId="147AB4A9" w14:textId="77777777" w:rsidR="00435F56" w:rsidRPr="00652E2C" w:rsidRDefault="00435F56" w:rsidP="00435F56">
      <w:pPr>
        <w:pBdr>
          <w:top w:val="nil"/>
          <w:left w:val="nil"/>
          <w:bottom w:val="nil"/>
          <w:right w:val="nil"/>
          <w:between w:val="nil"/>
        </w:pBdr>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Décimo primero.</w:t>
      </w:r>
      <w:r w:rsidRPr="00652E2C">
        <w:rPr>
          <w:rFonts w:ascii="Palatino Linotype" w:eastAsia="Palatino Linotype" w:hAnsi="Palatino Linotype" w:cs="Palatino Linotype"/>
          <w:i/>
          <w:sz w:val="22"/>
          <w:szCs w:val="22"/>
        </w:rPr>
        <w:t xml:space="preserve"> En el intercambio de información entre sujetos obligados para el ejercicio de sus atribuciones, los documentos que se encuentren clasificados deberán llevar la leyenda correspondiente de conformidad con lo dispuesto en el Capítulo VIII de los presentes lineamientos.</w:t>
      </w:r>
    </w:p>
    <w:p w14:paraId="42717FDA" w14:textId="77777777" w:rsidR="00435F56" w:rsidRPr="00652E2C" w:rsidRDefault="00435F56" w:rsidP="00435F56">
      <w:pPr>
        <w:pBdr>
          <w:top w:val="nil"/>
          <w:left w:val="nil"/>
          <w:bottom w:val="nil"/>
          <w:right w:val="nil"/>
          <w:between w:val="nil"/>
        </w:pBdr>
        <w:ind w:right="709"/>
        <w:jc w:val="both"/>
        <w:rPr>
          <w:sz w:val="22"/>
          <w:szCs w:val="22"/>
        </w:rPr>
      </w:pPr>
    </w:p>
    <w:p w14:paraId="17429A7A" w14:textId="77777777" w:rsidR="00435F56" w:rsidRPr="00652E2C" w:rsidRDefault="00435F56" w:rsidP="00435F56">
      <w:pPr>
        <w:pBdr>
          <w:top w:val="nil"/>
          <w:left w:val="nil"/>
          <w:bottom w:val="nil"/>
          <w:right w:val="nil"/>
          <w:between w:val="nil"/>
        </w:pBdr>
        <w:ind w:left="709" w:right="709"/>
        <w:jc w:val="both"/>
        <w:rPr>
          <w:sz w:val="22"/>
          <w:szCs w:val="22"/>
        </w:rPr>
      </w:pPr>
      <w:r w:rsidRPr="00652E2C">
        <w:rPr>
          <w:rFonts w:ascii="Palatino Linotype" w:eastAsia="Palatino Linotype" w:hAnsi="Palatino Linotype" w:cs="Palatino Linotype"/>
          <w:i/>
          <w:sz w:val="22"/>
          <w:szCs w:val="22"/>
        </w:rPr>
        <w:t>[…]</w:t>
      </w:r>
    </w:p>
    <w:p w14:paraId="712CEA59" w14:textId="77777777" w:rsidR="00435F56" w:rsidRPr="00652E2C" w:rsidRDefault="00435F56" w:rsidP="00435F56">
      <w:pPr>
        <w:pBdr>
          <w:top w:val="nil"/>
          <w:left w:val="nil"/>
          <w:bottom w:val="nil"/>
          <w:right w:val="nil"/>
          <w:between w:val="nil"/>
        </w:pBdr>
        <w:ind w:left="709" w:right="709"/>
        <w:jc w:val="center"/>
        <w:rPr>
          <w:sz w:val="22"/>
          <w:szCs w:val="22"/>
        </w:rPr>
      </w:pPr>
      <w:r w:rsidRPr="00652E2C">
        <w:rPr>
          <w:rFonts w:ascii="Palatino Linotype" w:eastAsia="Palatino Linotype" w:hAnsi="Palatino Linotype" w:cs="Palatino Linotype"/>
          <w:b/>
          <w:i/>
          <w:sz w:val="22"/>
          <w:szCs w:val="22"/>
        </w:rPr>
        <w:t>CAPÍTULO VIII</w:t>
      </w:r>
    </w:p>
    <w:p w14:paraId="632742BA" w14:textId="77777777" w:rsidR="00435F56" w:rsidRPr="00652E2C" w:rsidRDefault="00435F56" w:rsidP="00435F56">
      <w:pPr>
        <w:pBdr>
          <w:top w:val="nil"/>
          <w:left w:val="nil"/>
          <w:bottom w:val="nil"/>
          <w:right w:val="nil"/>
          <w:between w:val="nil"/>
        </w:pBdr>
        <w:spacing w:after="160"/>
        <w:ind w:left="709" w:right="709"/>
        <w:jc w:val="center"/>
        <w:rPr>
          <w:rFonts w:ascii="Palatino Linotype" w:eastAsia="Palatino Linotype" w:hAnsi="Palatino Linotype" w:cs="Palatino Linotype"/>
          <w:b/>
          <w:i/>
          <w:sz w:val="22"/>
          <w:szCs w:val="22"/>
        </w:rPr>
      </w:pPr>
      <w:r w:rsidRPr="00652E2C">
        <w:rPr>
          <w:rFonts w:ascii="Palatino Linotype" w:eastAsia="Palatino Linotype" w:hAnsi="Palatino Linotype" w:cs="Palatino Linotype"/>
          <w:b/>
          <w:i/>
          <w:sz w:val="22"/>
          <w:szCs w:val="22"/>
        </w:rPr>
        <w:t>DE LOS ELEMENTOS PARA LA CLASIFICACIÓN</w:t>
      </w:r>
    </w:p>
    <w:p w14:paraId="7437D713" w14:textId="77777777" w:rsidR="00435F56" w:rsidRPr="00652E2C" w:rsidRDefault="00435F56" w:rsidP="00435F56">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Quincuagésimo</w:t>
      </w:r>
      <w:r w:rsidRPr="00652E2C">
        <w:rPr>
          <w:rFonts w:ascii="Palatino Linotype" w:eastAsia="Palatino Linotype" w:hAnsi="Palatino Linotype" w:cs="Palatino Linotype"/>
          <w:i/>
          <w:sz w:val="22"/>
          <w:szCs w:val="22"/>
        </w:rPr>
        <w:t>. Los titulares de las áreas de los sujetos obligados podrán establecer sus propios modelos o formatos para la elaboración de versiones públicas de documentos o expedientes, siempre y cuando cumplan lo establecido en los presentes Lineamientos, así como en las correspondientes Leyes Generales.</w:t>
      </w:r>
    </w:p>
    <w:p w14:paraId="1D42D742" w14:textId="77777777" w:rsidR="00435F56" w:rsidRPr="00652E2C" w:rsidRDefault="00435F56" w:rsidP="00435F56">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Quincuagésimo primero</w:t>
      </w:r>
      <w:r w:rsidRPr="00652E2C">
        <w:rPr>
          <w:rFonts w:ascii="Palatino Linotype" w:eastAsia="Palatino Linotype" w:hAnsi="Palatino Linotype" w:cs="Palatino Linotype"/>
          <w:i/>
          <w:sz w:val="22"/>
          <w:szCs w:val="22"/>
        </w:rPr>
        <w:t>. Toda acta del Comité de Transparencia deberá contener:</w:t>
      </w:r>
    </w:p>
    <w:p w14:paraId="2848D36C" w14:textId="77777777" w:rsidR="00435F56" w:rsidRPr="00652E2C" w:rsidRDefault="00435F56" w:rsidP="00435F56">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 xml:space="preserve">I. El número de sesión y fecha; </w:t>
      </w:r>
    </w:p>
    <w:p w14:paraId="0CE3A4EA" w14:textId="77777777" w:rsidR="00435F56" w:rsidRPr="00652E2C" w:rsidRDefault="00435F56" w:rsidP="00435F56">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II. El nombre del área que solicitó la clasificación de información;</w:t>
      </w:r>
    </w:p>
    <w:p w14:paraId="143A4DD9" w14:textId="77777777" w:rsidR="00435F56" w:rsidRPr="00652E2C" w:rsidRDefault="00435F56" w:rsidP="00435F56">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III. La fundamentación legal y motivación correspondiente;</w:t>
      </w:r>
    </w:p>
    <w:p w14:paraId="1BC93116" w14:textId="77777777" w:rsidR="00435F56" w:rsidRPr="00652E2C" w:rsidRDefault="00435F56" w:rsidP="00435F56">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IV. La resolución o resoluciones aprobadas; y</w:t>
      </w:r>
    </w:p>
    <w:p w14:paraId="106CD5C3" w14:textId="77777777" w:rsidR="00435F56" w:rsidRPr="00652E2C" w:rsidRDefault="00435F56" w:rsidP="00435F56">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 xml:space="preserve">V. La rúbrica o firma digital de cada integrante del Comité de Transparencia. </w:t>
      </w:r>
    </w:p>
    <w:p w14:paraId="3A51593B" w14:textId="77777777" w:rsidR="00435F56" w:rsidRPr="00652E2C" w:rsidRDefault="00435F56" w:rsidP="00435F56">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lastRenderedPageBreak/>
        <w:t>Las resoluciones del Comité en las que se haya determinado confirmar o modificar la clasificación de información pública como reservada, deberán incluir, cuando menos:</w:t>
      </w:r>
    </w:p>
    <w:p w14:paraId="5DD8F989" w14:textId="77777777" w:rsidR="00435F56" w:rsidRPr="00652E2C" w:rsidRDefault="00435F56" w:rsidP="00435F56">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I. Los motivos y razonamientos que sustenten la confirmación o modificación de la prueba de daño;</w:t>
      </w:r>
    </w:p>
    <w:p w14:paraId="67E9D316" w14:textId="77777777" w:rsidR="00435F56" w:rsidRPr="00652E2C" w:rsidRDefault="00435F56" w:rsidP="00435F56">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II. Descripción de las partes o secciones reservadas, en caso de clasificación parcial;</w:t>
      </w:r>
    </w:p>
    <w:p w14:paraId="1053D66D" w14:textId="77777777" w:rsidR="00435F56" w:rsidRPr="00652E2C" w:rsidRDefault="00435F56" w:rsidP="00435F56">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III. El periodo por el que mantendrá su clasificación y fecha de expiración; y</w:t>
      </w:r>
    </w:p>
    <w:p w14:paraId="7B55C87E" w14:textId="77777777" w:rsidR="00435F56" w:rsidRPr="00652E2C" w:rsidRDefault="00435F56" w:rsidP="00435F56">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IV. El nombre del titular y área encargada de realizar la versión pública del documento, en su caso.</w:t>
      </w:r>
    </w:p>
    <w:p w14:paraId="24F9931E" w14:textId="77777777" w:rsidR="00435F56" w:rsidRPr="00652E2C" w:rsidRDefault="00435F56" w:rsidP="00435F56">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 xml:space="preserve">En los casos en que se clasifique la información como reservada siempre se entregará o anexará la prueba de daño con la respuesta al solicitante. </w:t>
      </w:r>
    </w:p>
    <w:p w14:paraId="158DBDCB" w14:textId="77777777" w:rsidR="00435F56" w:rsidRPr="00652E2C" w:rsidRDefault="00435F56" w:rsidP="00435F56">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En los casos de resoluciones del Comité de Transparencia en las que se confirme la clasificación de información confidencial solo se deberán de identificar los tipos de datos protegidos, de conformidad con el lineamiento trigésimo octavo.</w:t>
      </w:r>
    </w:p>
    <w:p w14:paraId="79B6CAB1" w14:textId="77777777" w:rsidR="00435F56" w:rsidRPr="00652E2C" w:rsidRDefault="00435F56" w:rsidP="00435F56">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b/>
          <w:i/>
          <w:sz w:val="22"/>
          <w:szCs w:val="22"/>
        </w:rPr>
        <w:t>Quincuagésimo segundo</w:t>
      </w:r>
      <w:r w:rsidRPr="00652E2C">
        <w:rPr>
          <w:rFonts w:ascii="Palatino Linotype" w:eastAsia="Palatino Linotype" w:hAnsi="Palatino Linotype" w:cs="Palatino Linotype"/>
          <w:i/>
          <w:sz w:val="22"/>
          <w:szCs w:val="22"/>
        </w:rPr>
        <w:t>. Para la clasificación y elaboración de versiones públicas de documentos que contengan información clasificada como reservada o confidencial, las áreas de los sujetos obligados deberán tomar las medidas pertinentes tendientes a asegurar que el espacio utilizado para testar la información no podrá ser empleado para la sobreposición de contenido distinto al autorizado por el Comité.</w:t>
      </w:r>
    </w:p>
    <w:p w14:paraId="748AE01C" w14:textId="77777777" w:rsidR="00435F56" w:rsidRPr="00652E2C" w:rsidRDefault="00435F56" w:rsidP="00435F56">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En el caso específico de la clasificación y elaboración de versiones públicas de documentos que contengan información confidencial, las áreas de los sujetos obligados deberán:</w:t>
      </w:r>
    </w:p>
    <w:p w14:paraId="0EC47D19" w14:textId="77777777" w:rsidR="00435F56" w:rsidRPr="00652E2C" w:rsidRDefault="00435F56" w:rsidP="00435F56">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I. Fijar la fecha en que se elaboró la versión pública y la fecha en la cual el Comité de Transparencia confirmó dicha versión;</w:t>
      </w:r>
    </w:p>
    <w:p w14:paraId="22FFE35A" w14:textId="77777777" w:rsidR="00435F56" w:rsidRPr="00652E2C" w:rsidRDefault="00435F56" w:rsidP="00435F56">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II. Señalar dentro del documento el tipo de información confidencial que fue testada en cada caso específico, de conformidad con el lineamiento trigésimo octavo; y</w:t>
      </w:r>
    </w:p>
    <w:p w14:paraId="4DC1C12C" w14:textId="77777777" w:rsidR="00435F56" w:rsidRPr="00652E2C" w:rsidRDefault="00435F56" w:rsidP="00435F56">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III. Señalar las personas o instancias autorizadas a acceder a la información clasificada.</w:t>
      </w:r>
    </w:p>
    <w:p w14:paraId="1D1C87C8" w14:textId="77777777" w:rsidR="00435F56" w:rsidRPr="00652E2C" w:rsidRDefault="00435F56" w:rsidP="00435F56">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En los documentos de difusión electrónica, señalar en la primera hoja y en el nombre del archivo, que la versión pública corresponde a un documento que contiene información confidencial.</w:t>
      </w:r>
    </w:p>
    <w:p w14:paraId="6A91D27B" w14:textId="77777777" w:rsidR="00435F56" w:rsidRPr="00652E2C" w:rsidRDefault="00435F56" w:rsidP="00435F56">
      <w:pPr>
        <w:pBdr>
          <w:top w:val="nil"/>
          <w:left w:val="nil"/>
          <w:bottom w:val="nil"/>
          <w:right w:val="nil"/>
          <w:between w:val="nil"/>
        </w:pBdr>
        <w:spacing w:after="160"/>
        <w:ind w:left="709" w:right="709"/>
        <w:jc w:val="both"/>
        <w:rPr>
          <w:sz w:val="22"/>
          <w:szCs w:val="22"/>
        </w:rPr>
      </w:pPr>
      <w:r w:rsidRPr="00652E2C">
        <w:rPr>
          <w:rFonts w:ascii="Palatino Linotype" w:eastAsia="Palatino Linotype" w:hAnsi="Palatino Linotype" w:cs="Palatino Linotype"/>
          <w:i/>
          <w:sz w:val="22"/>
          <w:szCs w:val="22"/>
        </w:rPr>
        <w:t xml:space="preserve">Quincuagésimo quinto. Cada área del sujeto obligado podrá designar formalmente a una o más personas como responsables del </w:t>
      </w:r>
      <w:proofErr w:type="spellStart"/>
      <w:r w:rsidRPr="00652E2C">
        <w:rPr>
          <w:rFonts w:ascii="Palatino Linotype" w:eastAsia="Palatino Linotype" w:hAnsi="Palatino Linotype" w:cs="Palatino Linotype"/>
          <w:i/>
          <w:sz w:val="22"/>
          <w:szCs w:val="22"/>
        </w:rPr>
        <w:t>testado</w:t>
      </w:r>
      <w:proofErr w:type="spellEnd"/>
      <w:r w:rsidRPr="00652E2C">
        <w:rPr>
          <w:rFonts w:ascii="Palatino Linotype" w:eastAsia="Palatino Linotype" w:hAnsi="Palatino Linotype" w:cs="Palatino Linotype"/>
          <w:i/>
          <w:sz w:val="22"/>
          <w:szCs w:val="22"/>
        </w:rPr>
        <w:t xml:space="preserve">, que sean encargadas de la adecuada elaboración o supervisión de las versiones públicas de los documentos o </w:t>
      </w:r>
      <w:r w:rsidRPr="00652E2C">
        <w:rPr>
          <w:rFonts w:ascii="Palatino Linotype" w:eastAsia="Palatino Linotype" w:hAnsi="Palatino Linotype" w:cs="Palatino Linotype"/>
          <w:i/>
          <w:sz w:val="22"/>
          <w:szCs w:val="22"/>
        </w:rPr>
        <w:lastRenderedPageBreak/>
        <w:t xml:space="preserve">expedientes, verificando que cumplan con los requisitos señalados en las Leyes Generales, los presentes Lineamientos y demás normativa aplicable antes de su confirmación por el Comité de Transparencia.” </w:t>
      </w:r>
    </w:p>
    <w:p w14:paraId="774495D1" w14:textId="77777777" w:rsidR="00435F56" w:rsidRPr="00652E2C" w:rsidRDefault="00435F56" w:rsidP="00435F56">
      <w:pPr>
        <w:rPr>
          <w:sz w:val="22"/>
          <w:szCs w:val="22"/>
        </w:rPr>
      </w:pPr>
    </w:p>
    <w:p w14:paraId="1D346AAA" w14:textId="77777777" w:rsidR="00435F56" w:rsidRPr="00652E2C" w:rsidRDefault="00435F56" w:rsidP="00435F56">
      <w:pPr>
        <w:spacing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Efectivamente, cuando se clasifica información como confidencial es importante someterlo al Comité de Transparencia, quien debe confirmar, modificar o revocar la clasificación.</w:t>
      </w:r>
    </w:p>
    <w:p w14:paraId="7EECB96C" w14:textId="77777777" w:rsidR="00435F56" w:rsidRPr="00652E2C" w:rsidRDefault="00435F56" w:rsidP="00435F56">
      <w:pPr>
        <w:spacing w:line="360" w:lineRule="auto"/>
        <w:jc w:val="both"/>
        <w:rPr>
          <w:rFonts w:ascii="Palatino Linotype" w:eastAsia="Palatino Linotype" w:hAnsi="Palatino Linotype" w:cs="Palatino Linotype"/>
          <w:sz w:val="22"/>
          <w:szCs w:val="22"/>
        </w:rPr>
      </w:pPr>
    </w:p>
    <w:p w14:paraId="5A9250E1" w14:textId="77777777" w:rsidR="00435F56" w:rsidRPr="00652E2C" w:rsidRDefault="00435F56" w:rsidP="00435F56">
      <w:pPr>
        <w:shd w:val="clear" w:color="auto" w:fill="FFFFFF"/>
        <w:spacing w:line="360" w:lineRule="auto"/>
        <w:ind w:right="51"/>
        <w:jc w:val="both"/>
        <w:rPr>
          <w:rFonts w:ascii="Palatino Linotype" w:eastAsia="Palatino Linotype" w:hAnsi="Palatino Linotype" w:cs="Palatino Linotype"/>
          <w:sz w:val="22"/>
          <w:szCs w:val="22"/>
        </w:rPr>
      </w:pPr>
      <w:bookmarkStart w:id="8" w:name="_heading=h.4d34og8" w:colFirst="0" w:colLast="0"/>
      <w:bookmarkEnd w:id="8"/>
      <w:r w:rsidRPr="00652E2C">
        <w:rPr>
          <w:rFonts w:ascii="Palatino Linotype" w:eastAsia="Palatino Linotype" w:hAnsi="Palatino Linotype" w:cs="Palatino Linotype"/>
          <w:sz w:val="22"/>
          <w:szCs w:val="22"/>
        </w:rPr>
        <w:t xml:space="preserve">Por lo tanto, la entrega de documentos en su versión pública debe acompañarse necesariamente del Acuerdo del Comité de Transparencia que la sustente, en el que se expongan los fundamentos y razonamientos que llevaron al </w:t>
      </w:r>
      <w:r w:rsidRPr="00652E2C">
        <w:rPr>
          <w:rFonts w:ascii="Palatino Linotype" w:eastAsia="Palatino Linotype" w:hAnsi="Palatino Linotype" w:cs="Palatino Linotype"/>
          <w:b/>
          <w:sz w:val="22"/>
          <w:szCs w:val="22"/>
        </w:rPr>
        <w:t>Sujeto Obligado</w:t>
      </w:r>
      <w:r w:rsidRPr="00652E2C">
        <w:rPr>
          <w:rFonts w:ascii="Palatino Linotype" w:eastAsia="Palatino Linotype" w:hAnsi="Palatino Linotype" w:cs="Palatino Linotype"/>
          <w:sz w:val="22"/>
          <w:szCs w:val="22"/>
        </w:rPr>
        <w:t xml:space="preserve"> a testar, suprimir o eliminar datos de dicho soporte documental, ya que no hacerlo implica que lo entregado no es legal ni formalmente una versión pública, sino más bien una documentación ilegible, incompleta o tachada; pues no señalar las razones por las que no se aprecian determinados datos -ya sea porque se testan o suprimen- deja al solicitante en estado de incertidumbre, al no conocer o comprender porque no aparecen en la documentación respectiva, es decir, si no se exponen de manera puntual las razones de ello se estaría violentando desde un inicio el derecho de acceso a la información del solicitante, por lo que el acuerdo respectivo, deberá hacerse del conocimiento de </w:t>
      </w:r>
      <w:r w:rsidRPr="00652E2C">
        <w:rPr>
          <w:rFonts w:ascii="Palatino Linotype" w:eastAsia="Palatino Linotype" w:hAnsi="Palatino Linotype" w:cs="Palatino Linotype"/>
          <w:b/>
          <w:sz w:val="22"/>
          <w:szCs w:val="22"/>
        </w:rPr>
        <w:t>la parte</w:t>
      </w:r>
      <w:r w:rsidRPr="00652E2C">
        <w:rPr>
          <w:rFonts w:ascii="Palatino Linotype" w:eastAsia="Palatino Linotype" w:hAnsi="Palatino Linotype" w:cs="Palatino Linotype"/>
          <w:sz w:val="22"/>
          <w:szCs w:val="22"/>
        </w:rPr>
        <w:t xml:space="preserve"> </w:t>
      </w:r>
      <w:r w:rsidRPr="00652E2C">
        <w:rPr>
          <w:rFonts w:ascii="Palatino Linotype" w:eastAsia="Palatino Linotype" w:hAnsi="Palatino Linotype" w:cs="Palatino Linotype"/>
          <w:b/>
          <w:sz w:val="22"/>
          <w:szCs w:val="22"/>
        </w:rPr>
        <w:t>Recurrente</w:t>
      </w:r>
      <w:r w:rsidRPr="00652E2C">
        <w:rPr>
          <w:rFonts w:ascii="Palatino Linotype" w:eastAsia="Palatino Linotype" w:hAnsi="Palatino Linotype" w:cs="Palatino Linotype"/>
          <w:sz w:val="22"/>
          <w:szCs w:val="22"/>
        </w:rPr>
        <w:t>.</w:t>
      </w:r>
    </w:p>
    <w:p w14:paraId="3A35B044" w14:textId="77777777" w:rsidR="007601E8" w:rsidRPr="00652E2C" w:rsidRDefault="00DA5AD2">
      <w:pPr>
        <w:pBdr>
          <w:top w:val="nil"/>
          <w:left w:val="nil"/>
          <w:bottom w:val="nil"/>
          <w:right w:val="nil"/>
          <w:between w:val="nil"/>
        </w:pBd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sz w:val="22"/>
          <w:szCs w:val="22"/>
        </w:rPr>
        <w:t>Así, con fundamento en lo prescrito en los artículos 5 párrafos trigésimo segundo, trigésimo tercero y trigésimo cuarto de la Constitución Política del Estado Libre y Soberano de México; 2, fracción II; 29, 36 fracciones I y II; 176, 178, 181, 185 y 186 fracción II de la Ley de Transparencia y Acceso a la Información Pública del Estado de México y Municipios, este Pleno:</w:t>
      </w:r>
    </w:p>
    <w:p w14:paraId="38B7E317" w14:textId="77777777" w:rsidR="007601E8" w:rsidRPr="00652E2C" w:rsidRDefault="00DA5AD2">
      <w:pPr>
        <w:pBdr>
          <w:top w:val="nil"/>
          <w:left w:val="nil"/>
          <w:bottom w:val="nil"/>
          <w:right w:val="nil"/>
          <w:between w:val="nil"/>
        </w:pBdr>
        <w:spacing w:before="240" w:after="240" w:line="360" w:lineRule="auto"/>
        <w:jc w:val="center"/>
        <w:rPr>
          <w:rFonts w:ascii="Palatino Linotype" w:eastAsia="Palatino Linotype" w:hAnsi="Palatino Linotype" w:cs="Palatino Linotype"/>
          <w:b/>
          <w:sz w:val="22"/>
          <w:szCs w:val="22"/>
        </w:rPr>
      </w:pPr>
      <w:bookmarkStart w:id="9" w:name="_heading=h.ijv98pntcd5s" w:colFirst="0" w:colLast="0"/>
      <w:bookmarkEnd w:id="9"/>
      <w:r w:rsidRPr="00652E2C">
        <w:rPr>
          <w:rFonts w:ascii="Palatino Linotype" w:eastAsia="Palatino Linotype" w:hAnsi="Palatino Linotype" w:cs="Palatino Linotype"/>
          <w:b/>
          <w:sz w:val="22"/>
          <w:szCs w:val="22"/>
        </w:rPr>
        <w:t>III. R E S U E L V E</w:t>
      </w:r>
    </w:p>
    <w:p w14:paraId="018FC0A7" w14:textId="77777777" w:rsidR="007601E8" w:rsidRPr="00652E2C" w:rsidRDefault="00DA5AD2">
      <w:pPr>
        <w:spacing w:before="240" w:after="240" w:line="360" w:lineRule="auto"/>
        <w:jc w:val="both"/>
        <w:rPr>
          <w:rFonts w:ascii="Palatino Linotype" w:eastAsia="Palatino Linotype" w:hAnsi="Palatino Linotype" w:cs="Palatino Linotype"/>
          <w:sz w:val="22"/>
          <w:szCs w:val="22"/>
        </w:rPr>
      </w:pPr>
      <w:bookmarkStart w:id="10" w:name="_heading=h.26in1rg" w:colFirst="0" w:colLast="0"/>
      <w:bookmarkEnd w:id="10"/>
      <w:r w:rsidRPr="00652E2C">
        <w:rPr>
          <w:rFonts w:ascii="Palatino Linotype" w:eastAsia="Palatino Linotype" w:hAnsi="Palatino Linotype" w:cs="Palatino Linotype"/>
          <w:b/>
          <w:sz w:val="22"/>
          <w:szCs w:val="22"/>
        </w:rPr>
        <w:t xml:space="preserve">Primero. </w:t>
      </w:r>
      <w:r w:rsidRPr="00652E2C">
        <w:rPr>
          <w:rFonts w:ascii="Palatino Linotype" w:eastAsia="Palatino Linotype" w:hAnsi="Palatino Linotype" w:cs="Palatino Linotype"/>
          <w:sz w:val="22"/>
          <w:szCs w:val="22"/>
        </w:rPr>
        <w:t xml:space="preserve">Resultan </w:t>
      </w:r>
      <w:r w:rsidRPr="00652E2C">
        <w:rPr>
          <w:rFonts w:ascii="Palatino Linotype" w:eastAsia="Palatino Linotype" w:hAnsi="Palatino Linotype" w:cs="Palatino Linotype"/>
          <w:b/>
          <w:sz w:val="22"/>
          <w:szCs w:val="22"/>
        </w:rPr>
        <w:t>fundadas</w:t>
      </w:r>
      <w:r w:rsidRPr="00652E2C">
        <w:rPr>
          <w:rFonts w:ascii="Palatino Linotype" w:eastAsia="Palatino Linotype" w:hAnsi="Palatino Linotype" w:cs="Palatino Linotype"/>
          <w:sz w:val="22"/>
          <w:szCs w:val="22"/>
        </w:rPr>
        <w:t xml:space="preserve"> las razones o motivos de inconformidad hechos valer por </w:t>
      </w:r>
      <w:r w:rsidRPr="00652E2C">
        <w:rPr>
          <w:rFonts w:ascii="Palatino Linotype" w:eastAsia="Palatino Linotype" w:hAnsi="Palatino Linotype" w:cs="Palatino Linotype"/>
          <w:b/>
          <w:sz w:val="22"/>
          <w:szCs w:val="22"/>
        </w:rPr>
        <w:t>la parte Recurrente</w:t>
      </w:r>
      <w:r w:rsidRPr="00652E2C">
        <w:rPr>
          <w:rFonts w:ascii="Palatino Linotype" w:eastAsia="Palatino Linotype" w:hAnsi="Palatino Linotype" w:cs="Palatino Linotype"/>
          <w:sz w:val="22"/>
          <w:szCs w:val="22"/>
        </w:rPr>
        <w:t xml:space="preserve"> en el recurso de revisión </w:t>
      </w:r>
      <w:r w:rsidR="007213EA" w:rsidRPr="00652E2C">
        <w:rPr>
          <w:rFonts w:ascii="Palatino Linotype" w:eastAsia="Palatino Linotype" w:hAnsi="Palatino Linotype" w:cs="Palatino Linotype"/>
          <w:b/>
          <w:sz w:val="22"/>
          <w:szCs w:val="22"/>
        </w:rPr>
        <w:t>05854/INFOEM/IP/RR/2024</w:t>
      </w:r>
      <w:r w:rsidRPr="00652E2C">
        <w:rPr>
          <w:rFonts w:ascii="Palatino Linotype" w:eastAsia="Palatino Linotype" w:hAnsi="Palatino Linotype" w:cs="Palatino Linotype"/>
          <w:sz w:val="22"/>
          <w:szCs w:val="22"/>
        </w:rPr>
        <w:t xml:space="preserve">; por lo que, en </w:t>
      </w:r>
      <w:r w:rsidRPr="00652E2C">
        <w:rPr>
          <w:rFonts w:ascii="Palatino Linotype" w:eastAsia="Palatino Linotype" w:hAnsi="Palatino Linotype" w:cs="Palatino Linotype"/>
          <w:sz w:val="22"/>
          <w:szCs w:val="22"/>
        </w:rPr>
        <w:lastRenderedPageBreak/>
        <w:t xml:space="preserve">términos del </w:t>
      </w:r>
      <w:r w:rsidRPr="00652E2C">
        <w:rPr>
          <w:rFonts w:ascii="Palatino Linotype" w:eastAsia="Palatino Linotype" w:hAnsi="Palatino Linotype" w:cs="Palatino Linotype"/>
          <w:b/>
          <w:sz w:val="22"/>
          <w:szCs w:val="22"/>
        </w:rPr>
        <w:t>Considerando</w:t>
      </w:r>
      <w:r w:rsidRPr="00652E2C">
        <w:rPr>
          <w:rFonts w:ascii="Palatino Linotype" w:eastAsia="Palatino Linotype" w:hAnsi="Palatino Linotype" w:cs="Palatino Linotype"/>
          <w:sz w:val="22"/>
          <w:szCs w:val="22"/>
        </w:rPr>
        <w:t xml:space="preserve"> </w:t>
      </w:r>
      <w:r w:rsidRPr="00652E2C">
        <w:rPr>
          <w:rFonts w:ascii="Palatino Linotype" w:eastAsia="Palatino Linotype" w:hAnsi="Palatino Linotype" w:cs="Palatino Linotype"/>
          <w:b/>
          <w:sz w:val="22"/>
          <w:szCs w:val="22"/>
        </w:rPr>
        <w:t xml:space="preserve">Cuarto </w:t>
      </w:r>
      <w:r w:rsidRPr="00652E2C">
        <w:rPr>
          <w:rFonts w:ascii="Palatino Linotype" w:eastAsia="Palatino Linotype" w:hAnsi="Palatino Linotype" w:cs="Palatino Linotype"/>
          <w:sz w:val="22"/>
          <w:szCs w:val="22"/>
        </w:rPr>
        <w:t xml:space="preserve">de esta resolución, se </w:t>
      </w:r>
      <w:r w:rsidR="00954A49" w:rsidRPr="00652E2C">
        <w:rPr>
          <w:rFonts w:ascii="Palatino Linotype" w:eastAsia="Palatino Linotype" w:hAnsi="Palatino Linotype" w:cs="Palatino Linotype"/>
          <w:b/>
          <w:sz w:val="22"/>
          <w:szCs w:val="22"/>
        </w:rPr>
        <w:t>MODIFI</w:t>
      </w:r>
      <w:r w:rsidRPr="00652E2C">
        <w:rPr>
          <w:rFonts w:ascii="Palatino Linotype" w:eastAsia="Palatino Linotype" w:hAnsi="Palatino Linotype" w:cs="Palatino Linotype"/>
          <w:b/>
          <w:sz w:val="22"/>
          <w:szCs w:val="22"/>
        </w:rPr>
        <w:t xml:space="preserve">CA </w:t>
      </w:r>
      <w:r w:rsidRPr="00652E2C">
        <w:rPr>
          <w:rFonts w:ascii="Palatino Linotype" w:eastAsia="Palatino Linotype" w:hAnsi="Palatino Linotype" w:cs="Palatino Linotype"/>
          <w:sz w:val="22"/>
          <w:szCs w:val="22"/>
        </w:rPr>
        <w:t xml:space="preserve">la respuesta emitida por el </w:t>
      </w:r>
      <w:r w:rsidRPr="00652E2C">
        <w:rPr>
          <w:rFonts w:ascii="Palatino Linotype" w:eastAsia="Palatino Linotype" w:hAnsi="Palatino Linotype" w:cs="Palatino Linotype"/>
          <w:b/>
          <w:sz w:val="22"/>
          <w:szCs w:val="22"/>
        </w:rPr>
        <w:t xml:space="preserve">Sujeto Obligado. </w:t>
      </w:r>
    </w:p>
    <w:p w14:paraId="02DE6B3D" w14:textId="77777777" w:rsidR="00F40323" w:rsidRPr="00652E2C" w:rsidRDefault="00DA5AD2" w:rsidP="00F40323">
      <w:pPr>
        <w:spacing w:before="240" w:after="240" w:line="360" w:lineRule="auto"/>
        <w:ind w:right="49"/>
        <w:jc w:val="both"/>
        <w:rPr>
          <w:rFonts w:ascii="Palatino Linotype" w:eastAsia="Palatino Linotype" w:hAnsi="Palatino Linotype" w:cs="Palatino Linotype"/>
          <w:b/>
          <w:sz w:val="22"/>
          <w:szCs w:val="22"/>
        </w:rPr>
      </w:pPr>
      <w:r w:rsidRPr="00652E2C">
        <w:rPr>
          <w:rFonts w:ascii="Palatino Linotype" w:eastAsia="Palatino Linotype" w:hAnsi="Palatino Linotype" w:cs="Palatino Linotype"/>
          <w:b/>
          <w:sz w:val="22"/>
          <w:szCs w:val="22"/>
        </w:rPr>
        <w:t xml:space="preserve">Segundo. </w:t>
      </w:r>
      <w:r w:rsidRPr="00652E2C">
        <w:rPr>
          <w:rFonts w:ascii="Palatino Linotype" w:eastAsia="Palatino Linotype" w:hAnsi="Palatino Linotype" w:cs="Palatino Linotype"/>
          <w:sz w:val="22"/>
          <w:szCs w:val="22"/>
        </w:rPr>
        <w:t xml:space="preserve">Se </w:t>
      </w:r>
      <w:r w:rsidRPr="00652E2C">
        <w:rPr>
          <w:rFonts w:ascii="Palatino Linotype" w:eastAsia="Palatino Linotype" w:hAnsi="Palatino Linotype" w:cs="Palatino Linotype"/>
          <w:b/>
          <w:sz w:val="22"/>
          <w:szCs w:val="22"/>
        </w:rPr>
        <w:t xml:space="preserve">Ordena </w:t>
      </w:r>
      <w:r w:rsidRPr="00652E2C">
        <w:rPr>
          <w:rFonts w:ascii="Palatino Linotype" w:eastAsia="Palatino Linotype" w:hAnsi="Palatino Linotype" w:cs="Palatino Linotype"/>
          <w:sz w:val="22"/>
          <w:szCs w:val="22"/>
        </w:rPr>
        <w:t xml:space="preserve">al </w:t>
      </w:r>
      <w:r w:rsidRPr="00652E2C">
        <w:rPr>
          <w:rFonts w:ascii="Palatino Linotype" w:eastAsia="Palatino Linotype" w:hAnsi="Palatino Linotype" w:cs="Palatino Linotype"/>
          <w:b/>
          <w:sz w:val="22"/>
          <w:szCs w:val="22"/>
        </w:rPr>
        <w:t>Sujeto Obligado</w:t>
      </w:r>
      <w:r w:rsidRPr="00652E2C">
        <w:rPr>
          <w:rFonts w:ascii="Palatino Linotype" w:eastAsia="Palatino Linotype" w:hAnsi="Palatino Linotype" w:cs="Palatino Linotype"/>
          <w:sz w:val="22"/>
          <w:szCs w:val="22"/>
        </w:rPr>
        <w:t xml:space="preserve"> haga entrega, </w:t>
      </w:r>
      <w:r w:rsidRPr="00652E2C">
        <w:rPr>
          <w:rFonts w:ascii="Palatino Linotype" w:eastAsia="Palatino Linotype" w:hAnsi="Palatino Linotype" w:cs="Palatino Linotype"/>
          <w:b/>
          <w:sz w:val="22"/>
          <w:szCs w:val="22"/>
        </w:rPr>
        <w:t>de ser procedente en</w:t>
      </w:r>
      <w:r w:rsidRPr="00652E2C">
        <w:rPr>
          <w:rFonts w:ascii="Palatino Linotype" w:eastAsia="Palatino Linotype" w:hAnsi="Palatino Linotype" w:cs="Palatino Linotype"/>
          <w:sz w:val="22"/>
          <w:szCs w:val="22"/>
        </w:rPr>
        <w:t xml:space="preserve"> </w:t>
      </w:r>
      <w:r w:rsidRPr="00652E2C">
        <w:rPr>
          <w:rFonts w:ascii="Palatino Linotype" w:eastAsia="Palatino Linotype" w:hAnsi="Palatino Linotype" w:cs="Palatino Linotype"/>
          <w:b/>
          <w:sz w:val="22"/>
          <w:szCs w:val="22"/>
        </w:rPr>
        <w:t>versión pública</w:t>
      </w:r>
      <w:r w:rsidR="00F40323" w:rsidRPr="00652E2C">
        <w:rPr>
          <w:rFonts w:ascii="Palatino Linotype" w:eastAsia="Palatino Linotype" w:hAnsi="Palatino Linotype" w:cs="Palatino Linotype"/>
          <w:sz w:val="22"/>
          <w:szCs w:val="22"/>
        </w:rPr>
        <w:t xml:space="preserve">, </w:t>
      </w:r>
      <w:r w:rsidR="00F40323" w:rsidRPr="00652E2C">
        <w:rPr>
          <w:rFonts w:ascii="Palatino Linotype" w:eastAsia="Palatino Linotype" w:hAnsi="Palatino Linotype" w:cs="Palatino Linotype"/>
          <w:b/>
          <w:sz w:val="22"/>
          <w:szCs w:val="22"/>
        </w:rPr>
        <w:t>previa búsqueda exhaustiva y razonable</w:t>
      </w:r>
      <w:r w:rsidR="00F40323" w:rsidRPr="00652E2C">
        <w:rPr>
          <w:rFonts w:ascii="Palatino Linotype" w:eastAsia="Palatino Linotype" w:hAnsi="Palatino Linotype" w:cs="Palatino Linotype"/>
          <w:sz w:val="22"/>
          <w:szCs w:val="22"/>
        </w:rPr>
        <w:t xml:space="preserve">, </w:t>
      </w:r>
      <w:r w:rsidRPr="00652E2C">
        <w:rPr>
          <w:rFonts w:ascii="Palatino Linotype" w:eastAsia="Palatino Linotype" w:hAnsi="Palatino Linotype" w:cs="Palatino Linotype"/>
          <w:sz w:val="22"/>
          <w:szCs w:val="22"/>
        </w:rPr>
        <w:t>a</w:t>
      </w:r>
      <w:r w:rsidRPr="00652E2C">
        <w:rPr>
          <w:rFonts w:ascii="Palatino Linotype" w:eastAsia="Palatino Linotype" w:hAnsi="Palatino Linotype" w:cs="Palatino Linotype"/>
          <w:b/>
          <w:sz w:val="22"/>
          <w:szCs w:val="22"/>
        </w:rPr>
        <w:t xml:space="preserve"> la parte Recurrente,</w:t>
      </w:r>
      <w:r w:rsidRPr="00652E2C">
        <w:rPr>
          <w:rFonts w:ascii="Palatino Linotype" w:eastAsia="Palatino Linotype" w:hAnsi="Palatino Linotype" w:cs="Palatino Linotype"/>
          <w:sz w:val="22"/>
          <w:szCs w:val="22"/>
        </w:rPr>
        <w:t xml:space="preserve"> vía </w:t>
      </w:r>
      <w:r w:rsidRPr="00652E2C">
        <w:rPr>
          <w:rFonts w:ascii="Palatino Linotype" w:eastAsia="Palatino Linotype" w:hAnsi="Palatino Linotype" w:cs="Palatino Linotype"/>
          <w:b/>
          <w:sz w:val="22"/>
          <w:szCs w:val="22"/>
        </w:rPr>
        <w:t xml:space="preserve">SAIMEX, </w:t>
      </w:r>
      <w:r w:rsidRPr="00652E2C">
        <w:rPr>
          <w:rFonts w:ascii="Palatino Linotype" w:eastAsia="Palatino Linotype" w:hAnsi="Palatino Linotype" w:cs="Palatino Linotype"/>
          <w:sz w:val="22"/>
          <w:szCs w:val="22"/>
        </w:rPr>
        <w:t xml:space="preserve">en términos de los </w:t>
      </w:r>
      <w:r w:rsidRPr="00652E2C">
        <w:rPr>
          <w:rFonts w:ascii="Palatino Linotype" w:eastAsia="Palatino Linotype" w:hAnsi="Palatino Linotype" w:cs="Palatino Linotype"/>
          <w:b/>
          <w:sz w:val="22"/>
          <w:szCs w:val="22"/>
        </w:rPr>
        <w:t>Considerandos</w:t>
      </w:r>
      <w:r w:rsidRPr="00652E2C">
        <w:rPr>
          <w:rFonts w:ascii="Palatino Linotype" w:eastAsia="Palatino Linotype" w:hAnsi="Palatino Linotype" w:cs="Palatino Linotype"/>
          <w:sz w:val="22"/>
          <w:szCs w:val="22"/>
        </w:rPr>
        <w:t xml:space="preserve"> </w:t>
      </w:r>
      <w:r w:rsidRPr="00652E2C">
        <w:rPr>
          <w:rFonts w:ascii="Palatino Linotype" w:eastAsia="Palatino Linotype" w:hAnsi="Palatino Linotype" w:cs="Palatino Linotype"/>
          <w:b/>
          <w:sz w:val="22"/>
          <w:szCs w:val="22"/>
        </w:rPr>
        <w:t>Cuarto y Quinto, de lo siguiente:</w:t>
      </w:r>
      <w:r w:rsidR="00CC0F6E" w:rsidRPr="00652E2C">
        <w:rPr>
          <w:rFonts w:ascii="Palatino Linotype" w:eastAsia="Palatino Linotype" w:hAnsi="Palatino Linotype" w:cs="Palatino Linotype"/>
          <w:b/>
          <w:sz w:val="22"/>
          <w:szCs w:val="22"/>
        </w:rPr>
        <w:t xml:space="preserve"> </w:t>
      </w:r>
    </w:p>
    <w:p w14:paraId="29C4A8DA" w14:textId="77777777" w:rsidR="00392B9C" w:rsidRPr="00652E2C" w:rsidRDefault="00F40323" w:rsidP="00F40323">
      <w:pPr>
        <w:pStyle w:val="Prrafodelista"/>
        <w:numPr>
          <w:ilvl w:val="0"/>
          <w:numId w:val="12"/>
        </w:numPr>
        <w:spacing w:before="240" w:after="240" w:line="276" w:lineRule="auto"/>
        <w:ind w:left="567" w:right="851" w:hanging="141"/>
        <w:jc w:val="both"/>
        <w:rPr>
          <w:rFonts w:ascii="Palatino Linotype" w:eastAsia="Palatino Linotype" w:hAnsi="Palatino Linotype" w:cs="Palatino Linotype"/>
          <w:b/>
          <w:sz w:val="22"/>
          <w:szCs w:val="22"/>
        </w:rPr>
      </w:pPr>
      <w:r w:rsidRPr="00652E2C">
        <w:rPr>
          <w:rFonts w:ascii="Palatino Linotype" w:eastAsia="Palatino Linotype" w:hAnsi="Palatino Linotype" w:cs="Palatino Linotype"/>
          <w:b/>
          <w:i/>
          <w:sz w:val="22"/>
          <w:szCs w:val="22"/>
        </w:rPr>
        <w:t>Los correos electrónicos, faltantes, enviados y recibidos por la persona servidora pública referida en la solicitud de información 00587/SF/IP/2024, generados del primero de mayo de dos mil veintitrés a la fecha de baja de la servidora pública o bien, al tres de septiembre de dos mil veinticuatro</w:t>
      </w:r>
      <w:r w:rsidR="00392B9C" w:rsidRPr="00652E2C">
        <w:rPr>
          <w:rFonts w:ascii="Palatino Linotype" w:eastAsia="Palatino Linotype" w:hAnsi="Palatino Linotype" w:cs="Palatino Linotype"/>
          <w:b/>
          <w:i/>
          <w:sz w:val="22"/>
          <w:szCs w:val="22"/>
        </w:rPr>
        <w:t xml:space="preserve">. </w:t>
      </w:r>
    </w:p>
    <w:p w14:paraId="788E802E" w14:textId="77777777" w:rsidR="00392B9C" w:rsidRPr="00652E2C" w:rsidRDefault="00DA5AD2" w:rsidP="00954A49">
      <w:pPr>
        <w:pBdr>
          <w:top w:val="nil"/>
          <w:left w:val="nil"/>
          <w:bottom w:val="nil"/>
          <w:right w:val="nil"/>
          <w:between w:val="nil"/>
        </w:pBdr>
        <w:tabs>
          <w:tab w:val="left" w:pos="7655"/>
        </w:tabs>
        <w:spacing w:after="120"/>
        <w:ind w:left="567" w:right="900"/>
        <w:jc w:val="both"/>
        <w:rPr>
          <w:rFonts w:ascii="Palatino Linotype" w:eastAsia="Palatino Linotype" w:hAnsi="Palatino Linotype" w:cs="Palatino Linotype"/>
          <w:i/>
          <w:sz w:val="22"/>
          <w:szCs w:val="22"/>
        </w:rPr>
      </w:pPr>
      <w:r w:rsidRPr="00652E2C">
        <w:rPr>
          <w:rFonts w:ascii="Palatino Linotype" w:eastAsia="Palatino Linotype" w:hAnsi="Palatino Linotype" w:cs="Palatino Linotype"/>
          <w:i/>
          <w:sz w:val="22"/>
          <w:szCs w:val="22"/>
        </w:rPr>
        <w:t xml:space="preserve">Deberá emitir el Acuerdo del Comité de Transparencia en términos de la Ley de Transparencia y Acceso a la Información Pública del Estado de México y Municipios, en el que funde y motive las razones sobre los datos que se supriman o eliminen y se ponga a disposición de </w:t>
      </w:r>
      <w:r w:rsidRPr="00652E2C">
        <w:rPr>
          <w:rFonts w:ascii="Palatino Linotype" w:eastAsia="Palatino Linotype" w:hAnsi="Palatino Linotype" w:cs="Palatino Linotype"/>
          <w:b/>
          <w:i/>
          <w:sz w:val="22"/>
          <w:szCs w:val="22"/>
        </w:rPr>
        <w:t>la parte</w:t>
      </w:r>
      <w:r w:rsidRPr="00652E2C">
        <w:rPr>
          <w:rFonts w:ascii="Palatino Linotype" w:eastAsia="Palatino Linotype" w:hAnsi="Palatino Linotype" w:cs="Palatino Linotype"/>
          <w:i/>
          <w:sz w:val="22"/>
          <w:szCs w:val="22"/>
        </w:rPr>
        <w:t xml:space="preserve"> </w:t>
      </w:r>
      <w:r w:rsidRPr="00652E2C">
        <w:rPr>
          <w:rFonts w:ascii="Palatino Linotype" w:eastAsia="Palatino Linotype" w:hAnsi="Palatino Linotype" w:cs="Palatino Linotype"/>
          <w:b/>
          <w:i/>
          <w:sz w:val="22"/>
          <w:szCs w:val="22"/>
        </w:rPr>
        <w:t>Recurrente</w:t>
      </w:r>
      <w:r w:rsidRPr="00652E2C">
        <w:rPr>
          <w:rFonts w:ascii="Palatino Linotype" w:eastAsia="Palatino Linotype" w:hAnsi="Palatino Linotype" w:cs="Palatino Linotype"/>
          <w:i/>
          <w:sz w:val="22"/>
          <w:szCs w:val="22"/>
        </w:rPr>
        <w:t>.</w:t>
      </w:r>
    </w:p>
    <w:p w14:paraId="0DD8531F" w14:textId="77777777" w:rsidR="00F40323" w:rsidRPr="00652E2C" w:rsidRDefault="00F40323" w:rsidP="00F40323">
      <w:pPr>
        <w:pStyle w:val="NormalWeb"/>
        <w:spacing w:before="240" w:beforeAutospacing="0" w:after="240" w:afterAutospacing="0"/>
        <w:ind w:left="567" w:right="900"/>
        <w:jc w:val="both"/>
      </w:pPr>
      <w:r w:rsidRPr="00652E2C">
        <w:rPr>
          <w:rFonts w:ascii="Palatino Linotype" w:hAnsi="Palatino Linotype"/>
          <w:i/>
          <w:iCs/>
          <w:sz w:val="22"/>
          <w:szCs w:val="22"/>
        </w:rPr>
        <w:t xml:space="preserve">En el supuesto que la información ordenada no obre en los archivos del </w:t>
      </w:r>
      <w:r w:rsidRPr="00652E2C">
        <w:rPr>
          <w:rFonts w:ascii="Palatino Linotype" w:hAnsi="Palatino Linotype"/>
          <w:b/>
          <w:bCs/>
          <w:i/>
          <w:iCs/>
          <w:sz w:val="22"/>
          <w:szCs w:val="22"/>
        </w:rPr>
        <w:t>Sujeto Obligado</w:t>
      </w:r>
      <w:r w:rsidRPr="00652E2C">
        <w:rPr>
          <w:rFonts w:ascii="Palatino Linotype" w:hAnsi="Palatino Linotype"/>
          <w:i/>
          <w:iCs/>
          <w:sz w:val="22"/>
          <w:szCs w:val="22"/>
        </w:rPr>
        <w:t xml:space="preserve">, </w:t>
      </w:r>
      <w:r w:rsidRPr="00652E2C">
        <w:rPr>
          <w:rFonts w:ascii="Palatino Linotype" w:hAnsi="Palatino Linotype"/>
          <w:i/>
          <w:iCs/>
          <w:sz w:val="22"/>
          <w:szCs w:val="22"/>
          <w:u w:val="single"/>
        </w:rPr>
        <w:t>en razón de que dentro de la temporalidad ordenada no se generaron más correos electrónicos</w:t>
      </w:r>
      <w:r w:rsidRPr="00652E2C">
        <w:rPr>
          <w:rFonts w:ascii="Palatino Linotype" w:hAnsi="Palatino Linotype"/>
          <w:i/>
          <w:iCs/>
          <w:sz w:val="22"/>
          <w:szCs w:val="22"/>
        </w:rPr>
        <w:t xml:space="preserve">, bastará con que así lo haga del conocimiento de la parte </w:t>
      </w:r>
      <w:r w:rsidRPr="00652E2C">
        <w:rPr>
          <w:rFonts w:ascii="Palatino Linotype" w:hAnsi="Palatino Linotype"/>
          <w:b/>
          <w:bCs/>
          <w:i/>
          <w:iCs/>
          <w:sz w:val="22"/>
          <w:szCs w:val="22"/>
        </w:rPr>
        <w:t>Recurrente</w:t>
      </w:r>
      <w:r w:rsidRPr="00652E2C">
        <w:rPr>
          <w:rFonts w:ascii="Palatino Linotype" w:hAnsi="Palatino Linotype"/>
          <w:i/>
          <w:iCs/>
          <w:sz w:val="22"/>
          <w:szCs w:val="22"/>
        </w:rPr>
        <w:t>, de manera fundada y motivada, en términos del artículo 19, párrafo segundo de la Ley de Transparencia y Acceso a la Información Pública del Estado de México y Municipios, para tener por colmado el requerimiento de información.</w:t>
      </w:r>
    </w:p>
    <w:p w14:paraId="3EF9856F" w14:textId="77777777" w:rsidR="007601E8" w:rsidRPr="00652E2C" w:rsidRDefault="00DA5AD2">
      <w:pPr>
        <w:spacing w:before="240" w:after="240" w:line="360" w:lineRule="auto"/>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b/>
          <w:sz w:val="22"/>
          <w:szCs w:val="22"/>
        </w:rPr>
        <w:t xml:space="preserve">Tercero.  Notifíquese vía SAIMEX, </w:t>
      </w:r>
      <w:r w:rsidRPr="00652E2C">
        <w:rPr>
          <w:rFonts w:ascii="Palatino Linotype" w:eastAsia="Palatino Linotype" w:hAnsi="Palatino Linotype" w:cs="Palatino Linotype"/>
          <w:sz w:val="22"/>
          <w:szCs w:val="22"/>
        </w:rPr>
        <w:t>la presente resolución al Titular de la Unidad de Transparencia del Sujeto Obligado,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0580BD82" w14:textId="77777777" w:rsidR="007601E8" w:rsidRPr="00652E2C" w:rsidRDefault="00DA5AD2">
      <w:pPr>
        <w:spacing w:before="240" w:after="240" w:line="360" w:lineRule="auto"/>
        <w:ind w:right="49"/>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b/>
          <w:sz w:val="22"/>
          <w:szCs w:val="22"/>
        </w:rPr>
        <w:lastRenderedPageBreak/>
        <w:t xml:space="preserve">Cuarto. </w:t>
      </w:r>
      <w:r w:rsidRPr="00652E2C">
        <w:rPr>
          <w:rFonts w:ascii="Palatino Linotype" w:eastAsia="Palatino Linotype" w:hAnsi="Palatino Linotype" w:cs="Palatino Linotype"/>
          <w:sz w:val="22"/>
          <w:szCs w:val="22"/>
        </w:rPr>
        <w:t>De conformidad con el artículo 198 de la Ley de Transparencia y Acceso a la Información Pública del Estado de México y Municipios, de considerarlo procedente, el Sujeto Obligado de manera fundada y motivada, podrá solicitar una ampliación de plazo para el cumplimiento de la presente resolución.</w:t>
      </w:r>
    </w:p>
    <w:p w14:paraId="36F2D0F6" w14:textId="77777777" w:rsidR="00392B9C" w:rsidRPr="00652E2C" w:rsidRDefault="00DA5AD2" w:rsidP="002502B5">
      <w:pPr>
        <w:spacing w:before="240" w:after="240" w:line="360" w:lineRule="auto"/>
        <w:ind w:right="49"/>
        <w:jc w:val="both"/>
        <w:rPr>
          <w:rFonts w:ascii="Palatino Linotype" w:eastAsia="Palatino Linotype" w:hAnsi="Palatino Linotype" w:cs="Palatino Linotype"/>
          <w:sz w:val="22"/>
          <w:szCs w:val="22"/>
        </w:rPr>
      </w:pPr>
      <w:r w:rsidRPr="00652E2C">
        <w:rPr>
          <w:rFonts w:ascii="Palatino Linotype" w:eastAsia="Palatino Linotype" w:hAnsi="Palatino Linotype" w:cs="Palatino Linotype"/>
          <w:b/>
          <w:sz w:val="22"/>
          <w:szCs w:val="22"/>
        </w:rPr>
        <w:t xml:space="preserve">Quinto. Notifíquese vía SAIMEX, </w:t>
      </w:r>
      <w:r w:rsidRPr="00652E2C">
        <w:rPr>
          <w:rFonts w:ascii="Palatino Linotype" w:eastAsia="Palatino Linotype" w:hAnsi="Palatino Linotype" w:cs="Palatino Linotype"/>
          <w:sz w:val="22"/>
          <w:szCs w:val="22"/>
        </w:rPr>
        <w:t>a</w:t>
      </w:r>
      <w:r w:rsidRPr="00652E2C">
        <w:rPr>
          <w:rFonts w:ascii="Palatino Linotype" w:eastAsia="Palatino Linotype" w:hAnsi="Palatino Linotype" w:cs="Palatino Linotype"/>
          <w:b/>
          <w:sz w:val="22"/>
          <w:szCs w:val="22"/>
        </w:rPr>
        <w:t xml:space="preserve"> la parte Recurrente</w:t>
      </w:r>
      <w:r w:rsidRPr="00652E2C">
        <w:rPr>
          <w:rFonts w:ascii="Palatino Linotype" w:eastAsia="Palatino Linotype" w:hAnsi="Palatino Linotype" w:cs="Palatino Linotype"/>
          <w:sz w:val="22"/>
          <w:szCs w:val="22"/>
        </w:rPr>
        <w:t xml:space="preserve"> la presente resolución, así como que podrá impugnar vía Juicio de Amparo en los términos de las leyes aplicables, de conformidad con lo establecido en el artículo 196 de la Ley de Transparencia y Acceso a la Información Pública del Estado de México y Municipios. </w:t>
      </w:r>
    </w:p>
    <w:p w14:paraId="1C4731B4" w14:textId="77777777" w:rsidR="007601E8" w:rsidRPr="00652E2C" w:rsidRDefault="00DA5AD2">
      <w:pPr>
        <w:spacing w:line="360" w:lineRule="auto"/>
        <w:jc w:val="both"/>
        <w:rPr>
          <w:rFonts w:ascii="Palatino Linotype" w:eastAsia="Palatino Linotype" w:hAnsi="Palatino Linotype" w:cs="Palatino Linotype"/>
        </w:rPr>
      </w:pPr>
      <w:bookmarkStart w:id="11" w:name="_heading=h.17dp8vu" w:colFirst="0" w:colLast="0"/>
      <w:bookmarkEnd w:id="11"/>
      <w:r w:rsidRPr="00652E2C">
        <w:rPr>
          <w:rFonts w:ascii="Palatino Linotype" w:eastAsia="Palatino Linotype" w:hAnsi="Palatino Linotype" w:cs="Palatino Linotype"/>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w:t>
      </w:r>
      <w:r w:rsidR="00540985" w:rsidRPr="00652E2C">
        <w:rPr>
          <w:rFonts w:ascii="Palatino Linotype" w:eastAsia="Palatino Linotype" w:hAnsi="Palatino Linotype" w:cs="Palatino Linotype"/>
        </w:rPr>
        <w:t xml:space="preserve"> </w:t>
      </w:r>
      <w:r w:rsidRPr="00652E2C">
        <w:rPr>
          <w:rFonts w:ascii="Palatino Linotype" w:eastAsia="Palatino Linotype" w:hAnsi="Palatino Linotype" w:cs="Palatino Linotype"/>
        </w:rPr>
        <w:t xml:space="preserve">Y GUADALUPE RAMÍREZ PEÑA; EN LA TRIGÉSIMA </w:t>
      </w:r>
      <w:r w:rsidR="00954A49" w:rsidRPr="00652E2C">
        <w:rPr>
          <w:rFonts w:ascii="Palatino Linotype" w:eastAsia="Palatino Linotype" w:hAnsi="Palatino Linotype" w:cs="Palatino Linotype"/>
        </w:rPr>
        <w:t>OCTAVA</w:t>
      </w:r>
      <w:r w:rsidRPr="00652E2C">
        <w:rPr>
          <w:rFonts w:ascii="Palatino Linotype" w:eastAsia="Palatino Linotype" w:hAnsi="Palatino Linotype" w:cs="Palatino Linotype"/>
        </w:rPr>
        <w:t xml:space="preserve"> SESIÓN ORDINARIA, CELEBRADA EL </w:t>
      </w:r>
      <w:r w:rsidR="00954A49" w:rsidRPr="00652E2C">
        <w:rPr>
          <w:rFonts w:ascii="Palatino Linotype" w:eastAsia="Palatino Linotype" w:hAnsi="Palatino Linotype" w:cs="Palatino Linotype"/>
        </w:rPr>
        <w:t>SEIS DE NOVIEM</w:t>
      </w:r>
      <w:r w:rsidRPr="00652E2C">
        <w:rPr>
          <w:rFonts w:ascii="Palatino Linotype" w:eastAsia="Palatino Linotype" w:hAnsi="Palatino Linotype" w:cs="Palatino Linotype"/>
        </w:rPr>
        <w:t xml:space="preserve">BRE DE DOS MIL VEINTICUATRO, ANTE EL SECRETARIO TÉCNICO DEL PLENO ALEXIS TAPIA RAMÍREZ. </w:t>
      </w:r>
    </w:p>
    <w:p w14:paraId="724A930A" w14:textId="77777777" w:rsidR="007601E8" w:rsidRPr="00652E2C" w:rsidRDefault="007601E8">
      <w:pPr>
        <w:rPr>
          <w:rFonts w:ascii="Palatino Linotype" w:eastAsia="Palatino Linotype" w:hAnsi="Palatino Linotype" w:cs="Palatino Linotype"/>
        </w:rPr>
      </w:pPr>
    </w:p>
    <w:p w14:paraId="31F7DFDE" w14:textId="77777777" w:rsidR="007601E8" w:rsidRPr="00652E2C" w:rsidRDefault="007601E8">
      <w:pPr>
        <w:rPr>
          <w:rFonts w:ascii="Palatino Linotype" w:eastAsia="Palatino Linotype" w:hAnsi="Palatino Linotype" w:cs="Palatino Linotype"/>
        </w:rPr>
      </w:pPr>
    </w:p>
    <w:p w14:paraId="0D541D98" w14:textId="77777777" w:rsidR="007601E8" w:rsidRPr="00652E2C" w:rsidRDefault="007601E8">
      <w:pPr>
        <w:spacing w:line="360" w:lineRule="auto"/>
        <w:jc w:val="both"/>
        <w:rPr>
          <w:rFonts w:ascii="Palatino Linotype" w:eastAsia="Palatino Linotype" w:hAnsi="Palatino Linotype" w:cs="Palatino Linotype"/>
        </w:rPr>
      </w:pPr>
      <w:bookmarkStart w:id="12" w:name="_heading=h.3rdcrjn" w:colFirst="0" w:colLast="0"/>
      <w:bookmarkEnd w:id="12"/>
    </w:p>
    <w:p w14:paraId="6F0010CE" w14:textId="77777777" w:rsidR="007601E8" w:rsidRPr="00652E2C" w:rsidRDefault="007601E8">
      <w:pPr>
        <w:spacing w:line="360" w:lineRule="auto"/>
        <w:jc w:val="both"/>
        <w:rPr>
          <w:rFonts w:ascii="Palatino Linotype" w:eastAsia="Palatino Linotype" w:hAnsi="Palatino Linotype" w:cs="Palatino Linotype"/>
        </w:rPr>
      </w:pPr>
    </w:p>
    <w:p w14:paraId="70919EB4" w14:textId="77777777" w:rsidR="007601E8" w:rsidRPr="00652E2C" w:rsidRDefault="007601E8">
      <w:pPr>
        <w:spacing w:line="360" w:lineRule="auto"/>
        <w:jc w:val="both"/>
        <w:rPr>
          <w:rFonts w:ascii="Palatino Linotype" w:eastAsia="Palatino Linotype" w:hAnsi="Palatino Linotype" w:cs="Palatino Linotype"/>
        </w:rPr>
      </w:pPr>
    </w:p>
    <w:p w14:paraId="1D824093" w14:textId="77777777" w:rsidR="007601E8" w:rsidRPr="00652E2C" w:rsidRDefault="007601E8">
      <w:pPr>
        <w:spacing w:line="360" w:lineRule="auto"/>
        <w:jc w:val="both"/>
        <w:rPr>
          <w:rFonts w:ascii="Palatino Linotype" w:eastAsia="Palatino Linotype" w:hAnsi="Palatino Linotype" w:cs="Palatino Linotype"/>
        </w:rPr>
      </w:pPr>
      <w:bookmarkStart w:id="13" w:name="_heading=h.1t3h5sf" w:colFirst="0" w:colLast="0"/>
      <w:bookmarkEnd w:id="13"/>
    </w:p>
    <w:p w14:paraId="28F41182" w14:textId="77777777" w:rsidR="007601E8" w:rsidRPr="00652E2C" w:rsidRDefault="007601E8">
      <w:pPr>
        <w:spacing w:line="360" w:lineRule="auto"/>
        <w:jc w:val="both"/>
        <w:rPr>
          <w:rFonts w:ascii="Palatino Linotype" w:eastAsia="Palatino Linotype" w:hAnsi="Palatino Linotype" w:cs="Palatino Linotype"/>
        </w:rPr>
      </w:pPr>
    </w:p>
    <w:p w14:paraId="3650745B" w14:textId="77777777" w:rsidR="007601E8" w:rsidRPr="00652E2C" w:rsidRDefault="007601E8">
      <w:pPr>
        <w:spacing w:line="360" w:lineRule="auto"/>
        <w:jc w:val="both"/>
        <w:rPr>
          <w:rFonts w:ascii="Palatino Linotype" w:eastAsia="Palatino Linotype" w:hAnsi="Palatino Linotype" w:cs="Palatino Linotype"/>
        </w:rPr>
      </w:pPr>
    </w:p>
    <w:p w14:paraId="478C8F84" w14:textId="77777777" w:rsidR="007601E8" w:rsidRPr="00652E2C" w:rsidRDefault="007601E8">
      <w:pPr>
        <w:spacing w:line="360" w:lineRule="auto"/>
        <w:jc w:val="both"/>
        <w:rPr>
          <w:rFonts w:ascii="Palatino Linotype" w:eastAsia="Palatino Linotype" w:hAnsi="Palatino Linotype" w:cs="Palatino Linotype"/>
        </w:rPr>
      </w:pPr>
    </w:p>
    <w:p w14:paraId="766A873A" w14:textId="77777777" w:rsidR="007601E8" w:rsidRPr="00652E2C" w:rsidRDefault="007601E8">
      <w:pPr>
        <w:spacing w:line="360" w:lineRule="auto"/>
        <w:jc w:val="both"/>
        <w:rPr>
          <w:rFonts w:ascii="Palatino Linotype" w:eastAsia="Palatino Linotype" w:hAnsi="Palatino Linotype" w:cs="Palatino Linotype"/>
        </w:rPr>
      </w:pPr>
    </w:p>
    <w:p w14:paraId="6FD2B8D3" w14:textId="77777777" w:rsidR="007601E8" w:rsidRPr="00652E2C" w:rsidRDefault="007601E8">
      <w:pPr>
        <w:spacing w:line="360" w:lineRule="auto"/>
        <w:jc w:val="both"/>
        <w:rPr>
          <w:rFonts w:ascii="Palatino Linotype" w:eastAsia="Palatino Linotype" w:hAnsi="Palatino Linotype" w:cs="Palatino Linotype"/>
        </w:rPr>
      </w:pPr>
    </w:p>
    <w:p w14:paraId="02096121" w14:textId="77777777" w:rsidR="007601E8" w:rsidRPr="00652E2C" w:rsidRDefault="007601E8">
      <w:pPr>
        <w:spacing w:line="360" w:lineRule="auto"/>
        <w:jc w:val="both"/>
        <w:rPr>
          <w:rFonts w:ascii="Palatino Linotype" w:eastAsia="Palatino Linotype" w:hAnsi="Palatino Linotype" w:cs="Palatino Linotype"/>
        </w:rPr>
      </w:pPr>
    </w:p>
    <w:p w14:paraId="3CDFE6CF" w14:textId="77777777" w:rsidR="007601E8" w:rsidRPr="00652E2C" w:rsidRDefault="007601E8">
      <w:pPr>
        <w:spacing w:line="360" w:lineRule="auto"/>
        <w:jc w:val="both"/>
        <w:rPr>
          <w:rFonts w:ascii="Palatino Linotype" w:eastAsia="Palatino Linotype" w:hAnsi="Palatino Linotype" w:cs="Palatino Linotype"/>
        </w:rPr>
      </w:pPr>
    </w:p>
    <w:p w14:paraId="74A67967" w14:textId="77777777" w:rsidR="007601E8" w:rsidRPr="00652E2C" w:rsidRDefault="007601E8">
      <w:pPr>
        <w:spacing w:line="360" w:lineRule="auto"/>
        <w:jc w:val="both"/>
        <w:rPr>
          <w:rFonts w:ascii="Palatino Linotype" w:eastAsia="Palatino Linotype" w:hAnsi="Palatino Linotype" w:cs="Palatino Linotype"/>
        </w:rPr>
      </w:pPr>
    </w:p>
    <w:p w14:paraId="318C4BF8" w14:textId="77777777" w:rsidR="007601E8" w:rsidRPr="00652E2C" w:rsidRDefault="007601E8">
      <w:pPr>
        <w:spacing w:line="360" w:lineRule="auto"/>
        <w:jc w:val="both"/>
        <w:rPr>
          <w:rFonts w:ascii="Palatino Linotype" w:eastAsia="Palatino Linotype" w:hAnsi="Palatino Linotype" w:cs="Palatino Linotype"/>
        </w:rPr>
      </w:pPr>
    </w:p>
    <w:p w14:paraId="6E4B4421" w14:textId="77777777" w:rsidR="007601E8" w:rsidRPr="00652E2C" w:rsidRDefault="007601E8">
      <w:pPr>
        <w:spacing w:line="360" w:lineRule="auto"/>
        <w:jc w:val="both"/>
        <w:rPr>
          <w:rFonts w:ascii="Palatino Linotype" w:eastAsia="Palatino Linotype" w:hAnsi="Palatino Linotype" w:cs="Palatino Linotype"/>
        </w:rPr>
      </w:pPr>
    </w:p>
    <w:p w14:paraId="58819A6D" w14:textId="77777777" w:rsidR="007601E8" w:rsidRPr="00652E2C" w:rsidRDefault="007601E8">
      <w:pPr>
        <w:spacing w:line="360" w:lineRule="auto"/>
        <w:jc w:val="both"/>
        <w:rPr>
          <w:rFonts w:ascii="Palatino Linotype" w:eastAsia="Palatino Linotype" w:hAnsi="Palatino Linotype" w:cs="Palatino Linotype"/>
        </w:rPr>
      </w:pPr>
    </w:p>
    <w:p w14:paraId="7F0E2BEC" w14:textId="77777777" w:rsidR="007601E8" w:rsidRPr="00652E2C" w:rsidRDefault="007601E8">
      <w:pPr>
        <w:spacing w:line="360" w:lineRule="auto"/>
        <w:jc w:val="both"/>
        <w:rPr>
          <w:rFonts w:ascii="Palatino Linotype" w:eastAsia="Palatino Linotype" w:hAnsi="Palatino Linotype" w:cs="Palatino Linotype"/>
        </w:rPr>
      </w:pPr>
    </w:p>
    <w:p w14:paraId="5DB80541" w14:textId="77777777" w:rsidR="007601E8" w:rsidRPr="00652E2C" w:rsidRDefault="007601E8">
      <w:pPr>
        <w:spacing w:line="360" w:lineRule="auto"/>
        <w:jc w:val="both"/>
        <w:rPr>
          <w:rFonts w:ascii="Palatino Linotype" w:eastAsia="Palatino Linotype" w:hAnsi="Palatino Linotype" w:cs="Palatino Linotype"/>
        </w:rPr>
      </w:pPr>
    </w:p>
    <w:p w14:paraId="77AE66A7" w14:textId="77777777" w:rsidR="007601E8" w:rsidRPr="00652E2C" w:rsidRDefault="007601E8">
      <w:pPr>
        <w:spacing w:line="360" w:lineRule="auto"/>
        <w:jc w:val="both"/>
        <w:rPr>
          <w:rFonts w:ascii="Palatino Linotype" w:eastAsia="Palatino Linotype" w:hAnsi="Palatino Linotype" w:cs="Palatino Linotype"/>
        </w:rPr>
      </w:pPr>
    </w:p>
    <w:p w14:paraId="78A4FEEA" w14:textId="77777777" w:rsidR="007601E8" w:rsidRPr="00652E2C" w:rsidRDefault="007601E8">
      <w:pPr>
        <w:spacing w:line="360" w:lineRule="auto"/>
        <w:jc w:val="both"/>
        <w:rPr>
          <w:rFonts w:ascii="Palatino Linotype" w:eastAsia="Palatino Linotype" w:hAnsi="Palatino Linotype" w:cs="Palatino Linotype"/>
        </w:rPr>
      </w:pPr>
    </w:p>
    <w:p w14:paraId="6CD446B9" w14:textId="77777777" w:rsidR="007601E8" w:rsidRPr="00652E2C" w:rsidRDefault="007601E8">
      <w:pPr>
        <w:spacing w:line="360" w:lineRule="auto"/>
        <w:jc w:val="both"/>
        <w:rPr>
          <w:rFonts w:ascii="Palatino Linotype" w:eastAsia="Palatino Linotype" w:hAnsi="Palatino Linotype" w:cs="Palatino Linotype"/>
        </w:rPr>
      </w:pPr>
    </w:p>
    <w:p w14:paraId="26AA20D1" w14:textId="77777777" w:rsidR="007601E8" w:rsidRPr="00652E2C" w:rsidRDefault="007601E8">
      <w:pPr>
        <w:spacing w:line="360" w:lineRule="auto"/>
        <w:jc w:val="both"/>
        <w:rPr>
          <w:rFonts w:ascii="Palatino Linotype" w:eastAsia="Palatino Linotype" w:hAnsi="Palatino Linotype" w:cs="Palatino Linotype"/>
        </w:rPr>
      </w:pPr>
    </w:p>
    <w:p w14:paraId="67B9C445" w14:textId="77777777" w:rsidR="007601E8" w:rsidRPr="00652E2C" w:rsidRDefault="007601E8">
      <w:pPr>
        <w:spacing w:line="360" w:lineRule="auto"/>
        <w:jc w:val="both"/>
        <w:rPr>
          <w:rFonts w:ascii="Palatino Linotype" w:eastAsia="Palatino Linotype" w:hAnsi="Palatino Linotype" w:cs="Palatino Linotype"/>
        </w:rPr>
      </w:pPr>
    </w:p>
    <w:p w14:paraId="5CAB7CCE" w14:textId="77777777" w:rsidR="007601E8" w:rsidRPr="00652E2C" w:rsidRDefault="007601E8">
      <w:pPr>
        <w:spacing w:line="360" w:lineRule="auto"/>
        <w:jc w:val="both"/>
        <w:rPr>
          <w:rFonts w:ascii="Palatino Linotype" w:eastAsia="Palatino Linotype" w:hAnsi="Palatino Linotype" w:cs="Palatino Linotype"/>
        </w:rPr>
      </w:pPr>
    </w:p>
    <w:sectPr w:rsidR="007601E8" w:rsidRPr="00652E2C" w:rsidSect="00060775">
      <w:headerReference w:type="default" r:id="rId17"/>
      <w:footerReference w:type="default" r:id="rId18"/>
      <w:headerReference w:type="first" r:id="rId19"/>
      <w:footerReference w:type="first" r:id="rId20"/>
      <w:pgSz w:w="12240" w:h="15840"/>
      <w:pgMar w:top="1985" w:right="1750" w:bottom="1701" w:left="1701" w:header="709"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8DBA3C" w14:textId="77777777" w:rsidR="009249B7" w:rsidRDefault="009249B7">
      <w:r>
        <w:separator/>
      </w:r>
    </w:p>
  </w:endnote>
  <w:endnote w:type="continuationSeparator" w:id="0">
    <w:p w14:paraId="6CCD5363" w14:textId="77777777" w:rsidR="009249B7" w:rsidRDefault="009249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8DE5F" w14:textId="77777777" w:rsidR="00267810" w:rsidRDefault="00267810">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FE2A68">
      <w:rPr>
        <w:rFonts w:ascii="Palatino Linotype" w:eastAsia="Palatino Linotype" w:hAnsi="Palatino Linotype" w:cs="Palatino Linotype"/>
        <w:b/>
        <w:noProof/>
        <w:color w:val="000000"/>
        <w:sz w:val="20"/>
        <w:szCs w:val="20"/>
      </w:rPr>
      <w:t>36</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FE2A68">
      <w:rPr>
        <w:rFonts w:ascii="Palatino Linotype" w:eastAsia="Palatino Linotype" w:hAnsi="Palatino Linotype" w:cs="Palatino Linotype"/>
        <w:b/>
        <w:noProof/>
        <w:color w:val="000000"/>
        <w:sz w:val="20"/>
        <w:szCs w:val="20"/>
      </w:rPr>
      <w:t>36</w:t>
    </w:r>
    <w:r>
      <w:rPr>
        <w:rFonts w:ascii="Palatino Linotype" w:eastAsia="Palatino Linotype" w:hAnsi="Palatino Linotype" w:cs="Palatino Linotype"/>
        <w:b/>
        <w:color w:val="000000"/>
        <w:sz w:val="20"/>
        <w:szCs w:val="20"/>
      </w:rPr>
      <w:fldChar w:fldCharType="end"/>
    </w:r>
  </w:p>
  <w:p w14:paraId="76C7AAE4" w14:textId="77777777" w:rsidR="00267810" w:rsidRDefault="00267810">
    <w:pPr>
      <w:pBdr>
        <w:top w:val="nil"/>
        <w:left w:val="nil"/>
        <w:bottom w:val="nil"/>
        <w:right w:val="nil"/>
        <w:between w:val="nil"/>
      </w:pBdr>
      <w:tabs>
        <w:tab w:val="center" w:pos="4252"/>
        <w:tab w:val="right" w:pos="8504"/>
      </w:tabs>
      <w:ind w:firstLine="708"/>
      <w:rPr>
        <w:rFonts w:ascii="Cambria" w:eastAsia="Cambria" w:hAnsi="Cambria" w:cs="Cambria"/>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DC1491" w14:textId="77777777" w:rsidR="00267810" w:rsidRDefault="00267810">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FE2A68">
      <w:rPr>
        <w:rFonts w:ascii="Palatino Linotype" w:eastAsia="Palatino Linotype" w:hAnsi="Palatino Linotype" w:cs="Palatino Linotype"/>
        <w:b/>
        <w:noProof/>
        <w:color w:val="000000"/>
        <w:sz w:val="20"/>
        <w:szCs w:val="20"/>
      </w:rPr>
      <w:t>1</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FE2A68">
      <w:rPr>
        <w:rFonts w:ascii="Palatino Linotype" w:eastAsia="Palatino Linotype" w:hAnsi="Palatino Linotype" w:cs="Palatino Linotype"/>
        <w:b/>
        <w:noProof/>
        <w:color w:val="000000"/>
        <w:sz w:val="20"/>
        <w:szCs w:val="20"/>
      </w:rPr>
      <w:t>36</w:t>
    </w:r>
    <w:r>
      <w:rPr>
        <w:rFonts w:ascii="Palatino Linotype" w:eastAsia="Palatino Linotype" w:hAnsi="Palatino Linotype" w:cs="Palatino Linotype"/>
        <w:b/>
        <w:color w:val="000000"/>
        <w:sz w:val="20"/>
        <w:szCs w:val="20"/>
      </w:rPr>
      <w:fldChar w:fldCharType="end"/>
    </w:r>
  </w:p>
  <w:p w14:paraId="0D0DEF99" w14:textId="77777777" w:rsidR="00267810" w:rsidRDefault="00267810">
    <w:pPr>
      <w:pBdr>
        <w:top w:val="nil"/>
        <w:left w:val="nil"/>
        <w:bottom w:val="nil"/>
        <w:right w:val="nil"/>
        <w:between w:val="nil"/>
      </w:pBdr>
      <w:tabs>
        <w:tab w:val="center" w:pos="4252"/>
        <w:tab w:val="right" w:pos="8504"/>
      </w:tabs>
      <w:rPr>
        <w:rFonts w:ascii="Cambria" w:eastAsia="Cambria" w:hAnsi="Cambria" w:cs="Cambria"/>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CC6E24" w14:textId="77777777" w:rsidR="009249B7" w:rsidRDefault="009249B7">
      <w:r>
        <w:separator/>
      </w:r>
    </w:p>
  </w:footnote>
  <w:footnote w:type="continuationSeparator" w:id="0">
    <w:p w14:paraId="72A02E55" w14:textId="77777777" w:rsidR="009249B7" w:rsidRDefault="009249B7">
      <w:r>
        <w:continuationSeparator/>
      </w:r>
    </w:p>
  </w:footnote>
  <w:footnote w:id="1">
    <w:p w14:paraId="66BFB88C" w14:textId="77777777" w:rsidR="00267810" w:rsidRDefault="00267810">
      <w:pPr>
        <w:pBdr>
          <w:top w:val="nil"/>
          <w:left w:val="nil"/>
          <w:bottom w:val="nil"/>
          <w:right w:val="nil"/>
          <w:between w:val="nil"/>
        </w:pBdr>
        <w:ind w:left="720" w:hanging="720"/>
        <w:jc w:val="both"/>
        <w:rPr>
          <w:rFonts w:ascii="Palatino Linotype" w:eastAsia="Palatino Linotype" w:hAnsi="Palatino Linotype" w:cs="Palatino Linotype"/>
          <w:color w:val="000000"/>
          <w:sz w:val="16"/>
          <w:szCs w:val="16"/>
        </w:rPr>
      </w:pPr>
      <w:r>
        <w:rPr>
          <w:vertAlign w:val="superscript"/>
        </w:rPr>
        <w:footnoteRef/>
      </w:r>
      <w:r>
        <w:rPr>
          <w:rFonts w:ascii="Palatino Linotype" w:eastAsia="Palatino Linotype" w:hAnsi="Palatino Linotype" w:cs="Palatino Linotype"/>
          <w:color w:val="000000"/>
          <w:sz w:val="16"/>
          <w:szCs w:val="16"/>
        </w:rPr>
        <w:t xml:space="preserve"> “</w:t>
      </w:r>
      <w:r>
        <w:rPr>
          <w:rFonts w:ascii="Palatino Linotype" w:eastAsia="Palatino Linotype" w:hAnsi="Palatino Linotype" w:cs="Palatino Linotype"/>
          <w:b/>
          <w:color w:val="000000"/>
          <w:sz w:val="16"/>
          <w:szCs w:val="16"/>
        </w:rPr>
        <w:t>Artículo 185.</w:t>
      </w:r>
      <w:r>
        <w:rPr>
          <w:rFonts w:ascii="Palatino Linotype" w:eastAsia="Palatino Linotype" w:hAnsi="Palatino Linotype" w:cs="Palatino Linotype"/>
          <w:color w:val="000000"/>
          <w:sz w:val="16"/>
          <w:szCs w:val="16"/>
        </w:rPr>
        <w:t xml:space="preserve"> El Instituto resolverá el recurso de revisión conforme a lo siguiente: (…)</w:t>
      </w:r>
    </w:p>
    <w:p w14:paraId="6417C92B" w14:textId="77777777" w:rsidR="00267810" w:rsidRDefault="00267810">
      <w:pPr>
        <w:pBdr>
          <w:top w:val="nil"/>
          <w:left w:val="nil"/>
          <w:bottom w:val="nil"/>
          <w:right w:val="nil"/>
          <w:between w:val="nil"/>
        </w:pBdr>
        <w:jc w:val="both"/>
        <w:rPr>
          <w:rFonts w:ascii="Palatino Linotype" w:eastAsia="Palatino Linotype" w:hAnsi="Palatino Linotype" w:cs="Palatino Linotype"/>
          <w:color w:val="000000"/>
          <w:sz w:val="16"/>
          <w:szCs w:val="16"/>
        </w:rPr>
      </w:pPr>
      <w:r>
        <w:rPr>
          <w:rFonts w:ascii="Palatino Linotype" w:eastAsia="Palatino Linotype" w:hAnsi="Palatino Linotype" w:cs="Palatino Linotype"/>
          <w:color w:val="000000"/>
          <w:sz w:val="16"/>
          <w:szCs w:val="16"/>
        </w:rPr>
        <w:t>II. Admitido el recurso de revisión, la o el Comisionado ponente deberá integrar un expediente y ponerlo a disposición de las partes, para que, en un plazo máximo de siete días hábiles, manifiesten lo que a su derecho convenga;”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F1FD3" w14:textId="77777777" w:rsidR="00267810" w:rsidRDefault="00267810">
    <w:pPr>
      <w:rPr>
        <w:rFonts w:ascii="Cambria" w:eastAsia="Cambria" w:hAnsi="Cambria" w:cs="Cambria"/>
        <w:color w:val="000000"/>
      </w:rPr>
    </w:pPr>
    <w:r>
      <w:rPr>
        <w:noProof/>
      </w:rPr>
      <w:drawing>
        <wp:anchor distT="0" distB="0" distL="0" distR="0" simplePos="0" relativeHeight="251658240" behindDoc="1" locked="0" layoutInCell="1" hidden="0" allowOverlap="1" wp14:anchorId="053614A2" wp14:editId="06C24C1E">
          <wp:simplePos x="0" y="0"/>
          <wp:positionH relativeFrom="page">
            <wp:align>left</wp:align>
          </wp:positionH>
          <wp:positionV relativeFrom="paragraph">
            <wp:posOffset>-503555</wp:posOffset>
          </wp:positionV>
          <wp:extent cx="7809865" cy="10165715"/>
          <wp:effectExtent l="0" t="0" r="635" b="6985"/>
          <wp:wrapNone/>
          <wp:docPr id="1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
                  <a:srcRect/>
                  <a:stretch>
                    <a:fillRect/>
                  </a:stretch>
                </pic:blipFill>
                <pic:spPr>
                  <a:xfrm>
                    <a:off x="0" y="0"/>
                    <a:ext cx="7809865" cy="10165715"/>
                  </a:xfrm>
                  <a:prstGeom prst="rect">
                    <a:avLst/>
                  </a:prstGeom>
                  <a:ln/>
                </pic:spPr>
              </pic:pic>
            </a:graphicData>
          </a:graphic>
          <wp14:sizeRelH relativeFrom="margin">
            <wp14:pctWidth>0</wp14:pctWidth>
          </wp14:sizeRelH>
          <wp14:sizeRelV relativeFrom="margin">
            <wp14:pctHeight>0</wp14:pctHeight>
          </wp14:sizeRelV>
        </wp:anchor>
      </w:drawing>
    </w:r>
  </w:p>
  <w:tbl>
    <w:tblPr>
      <w:tblStyle w:val="a9"/>
      <w:tblW w:w="5953" w:type="dxa"/>
      <w:tblInd w:w="3261" w:type="dxa"/>
      <w:tblLayout w:type="fixed"/>
      <w:tblLook w:val="0400" w:firstRow="0" w:lastRow="0" w:firstColumn="0" w:lastColumn="0" w:noHBand="0" w:noVBand="1"/>
    </w:tblPr>
    <w:tblGrid>
      <w:gridCol w:w="2489"/>
      <w:gridCol w:w="3464"/>
    </w:tblGrid>
    <w:tr w:rsidR="00267810" w14:paraId="5C444315" w14:textId="77777777">
      <w:tc>
        <w:tcPr>
          <w:tcW w:w="2489" w:type="dxa"/>
          <w:shd w:val="clear" w:color="auto" w:fill="auto"/>
        </w:tcPr>
        <w:p w14:paraId="33349D26" w14:textId="77777777" w:rsidR="00267810" w:rsidRDefault="00267810">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464" w:type="dxa"/>
          <w:shd w:val="clear" w:color="auto" w:fill="auto"/>
          <w:vAlign w:val="center"/>
        </w:tcPr>
        <w:p w14:paraId="047D76D4" w14:textId="77777777" w:rsidR="00267810" w:rsidRDefault="00267810">
          <w:pPr>
            <w:ind w:right="175"/>
            <w:jc w:val="both"/>
            <w:rPr>
              <w:rFonts w:ascii="Palatino Linotype" w:eastAsia="Palatino Linotype" w:hAnsi="Palatino Linotype" w:cs="Palatino Linotype"/>
              <w:b/>
              <w:sz w:val="22"/>
              <w:szCs w:val="22"/>
            </w:rPr>
          </w:pPr>
          <w:r w:rsidRPr="00EB6EEC">
            <w:rPr>
              <w:rFonts w:ascii="Palatino Linotype" w:eastAsia="Palatino Linotype" w:hAnsi="Palatino Linotype" w:cs="Palatino Linotype"/>
              <w:b/>
              <w:sz w:val="22"/>
              <w:szCs w:val="22"/>
            </w:rPr>
            <w:t>05854/INFOEM/IP/RR/2024</w:t>
          </w:r>
        </w:p>
      </w:tc>
    </w:tr>
    <w:tr w:rsidR="00267810" w14:paraId="62BA378B" w14:textId="77777777">
      <w:trPr>
        <w:trHeight w:val="228"/>
      </w:trPr>
      <w:tc>
        <w:tcPr>
          <w:tcW w:w="2489" w:type="dxa"/>
          <w:shd w:val="clear" w:color="auto" w:fill="auto"/>
          <w:vAlign w:val="center"/>
        </w:tcPr>
        <w:p w14:paraId="41CE72F1" w14:textId="77777777" w:rsidR="00267810" w:rsidRDefault="00267810">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464" w:type="dxa"/>
          <w:shd w:val="clear" w:color="auto" w:fill="auto"/>
          <w:vAlign w:val="center"/>
        </w:tcPr>
        <w:p w14:paraId="281C5A20" w14:textId="77777777" w:rsidR="00267810" w:rsidRDefault="00267810" w:rsidP="009D0AEB">
          <w:pPr>
            <w:ind w:right="452"/>
            <w:jc w:val="both"/>
            <w:rPr>
              <w:rFonts w:ascii="Palatino Linotype" w:eastAsia="Palatino Linotype" w:hAnsi="Palatino Linotype" w:cs="Palatino Linotype"/>
              <w:b/>
              <w:sz w:val="22"/>
              <w:szCs w:val="22"/>
            </w:rPr>
          </w:pPr>
          <w:r w:rsidRPr="00EB6EEC">
            <w:rPr>
              <w:rFonts w:ascii="Palatino Linotype" w:eastAsia="Palatino Linotype" w:hAnsi="Palatino Linotype" w:cs="Palatino Linotype"/>
              <w:b/>
              <w:sz w:val="22"/>
              <w:szCs w:val="22"/>
            </w:rPr>
            <w:t>Secretaría de Finanzas</w:t>
          </w:r>
        </w:p>
      </w:tc>
    </w:tr>
    <w:tr w:rsidR="00267810" w14:paraId="063D728D" w14:textId="77777777">
      <w:tc>
        <w:tcPr>
          <w:tcW w:w="2489" w:type="dxa"/>
          <w:shd w:val="clear" w:color="auto" w:fill="auto"/>
          <w:vAlign w:val="center"/>
        </w:tcPr>
        <w:p w14:paraId="1CF1B8FF" w14:textId="77777777" w:rsidR="00267810" w:rsidRDefault="00267810">
          <w:pPr>
            <w:ind w:right="-108"/>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464" w:type="dxa"/>
          <w:shd w:val="clear" w:color="auto" w:fill="auto"/>
          <w:vAlign w:val="center"/>
        </w:tcPr>
        <w:p w14:paraId="0052DEE4" w14:textId="77777777" w:rsidR="00267810" w:rsidRDefault="00267810">
          <w:pPr>
            <w:ind w:right="17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Guadalupe Ramírez Peña</w:t>
          </w:r>
        </w:p>
      </w:tc>
    </w:tr>
  </w:tbl>
  <w:p w14:paraId="7E6034A8" w14:textId="77777777" w:rsidR="00267810" w:rsidRDefault="00267810">
    <w:pPr>
      <w:rPr>
        <w:rFonts w:ascii="Cambria" w:eastAsia="Cambria" w:hAnsi="Cambria" w:cs="Cambria"/>
        <w:color w:val="000000"/>
      </w:rPr>
    </w:pPr>
    <w:r>
      <w:rPr>
        <w:rFonts w:ascii="Cambria" w:eastAsia="Cambria" w:hAnsi="Cambria" w:cs="Cambria"/>
        <w:color w:val="000000"/>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58116" w14:textId="77777777" w:rsidR="00267810" w:rsidRDefault="00267810">
    <w:pPr>
      <w:widowControl w:val="0"/>
      <w:pBdr>
        <w:top w:val="nil"/>
        <w:left w:val="nil"/>
        <w:bottom w:val="nil"/>
        <w:right w:val="nil"/>
        <w:between w:val="nil"/>
      </w:pBdr>
      <w:spacing w:line="276" w:lineRule="auto"/>
      <w:rPr>
        <w:rFonts w:ascii="Palatino Linotype" w:eastAsia="Palatino Linotype" w:hAnsi="Palatino Linotype" w:cs="Palatino Linotype"/>
        <w:color w:val="000000"/>
        <w:sz w:val="16"/>
        <w:szCs w:val="16"/>
      </w:rPr>
    </w:pPr>
    <w:r>
      <w:rPr>
        <w:noProof/>
      </w:rPr>
      <w:drawing>
        <wp:anchor distT="0" distB="0" distL="0" distR="0" simplePos="0" relativeHeight="251659264" behindDoc="1" locked="0" layoutInCell="1" hidden="0" allowOverlap="1" wp14:anchorId="66EED664" wp14:editId="73A39CB5">
          <wp:simplePos x="0" y="0"/>
          <wp:positionH relativeFrom="column">
            <wp:posOffset>-1079491</wp:posOffset>
          </wp:positionH>
          <wp:positionV relativeFrom="paragraph">
            <wp:posOffset>-328920</wp:posOffset>
          </wp:positionV>
          <wp:extent cx="7809865" cy="10165715"/>
          <wp:effectExtent l="0" t="0" r="0" b="0"/>
          <wp:wrapNone/>
          <wp:docPr id="15"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
                  <a:srcRect/>
                  <a:stretch>
                    <a:fillRect/>
                  </a:stretch>
                </pic:blipFill>
                <pic:spPr>
                  <a:xfrm>
                    <a:off x="0" y="0"/>
                    <a:ext cx="7809865" cy="10165715"/>
                  </a:xfrm>
                  <a:prstGeom prst="rect">
                    <a:avLst/>
                  </a:prstGeom>
                  <a:ln/>
                </pic:spPr>
              </pic:pic>
            </a:graphicData>
          </a:graphic>
        </wp:anchor>
      </w:drawing>
    </w:r>
  </w:p>
  <w:tbl>
    <w:tblPr>
      <w:tblStyle w:val="aa"/>
      <w:tblW w:w="6378" w:type="dxa"/>
      <w:tblInd w:w="3261" w:type="dxa"/>
      <w:tblLayout w:type="fixed"/>
      <w:tblLook w:val="0400" w:firstRow="0" w:lastRow="0" w:firstColumn="0" w:lastColumn="0" w:noHBand="0" w:noVBand="1"/>
    </w:tblPr>
    <w:tblGrid>
      <w:gridCol w:w="2551"/>
      <w:gridCol w:w="3827"/>
    </w:tblGrid>
    <w:tr w:rsidR="00267810" w14:paraId="7FFCD753" w14:textId="77777777">
      <w:tc>
        <w:tcPr>
          <w:tcW w:w="2551" w:type="dxa"/>
          <w:shd w:val="clear" w:color="auto" w:fill="auto"/>
          <w:vAlign w:val="center"/>
        </w:tcPr>
        <w:p w14:paraId="28F619FC" w14:textId="77777777" w:rsidR="00267810" w:rsidRDefault="00267810">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827" w:type="dxa"/>
          <w:shd w:val="clear" w:color="auto" w:fill="auto"/>
          <w:vAlign w:val="center"/>
        </w:tcPr>
        <w:p w14:paraId="044FAF18" w14:textId="77777777" w:rsidR="00267810" w:rsidRDefault="00267810">
          <w:pPr>
            <w:tabs>
              <w:tab w:val="left" w:pos="3153"/>
            </w:tabs>
            <w:ind w:left="-45"/>
            <w:jc w:val="both"/>
            <w:rPr>
              <w:rFonts w:ascii="Palatino Linotype" w:eastAsia="Palatino Linotype" w:hAnsi="Palatino Linotype" w:cs="Palatino Linotype"/>
              <w:b/>
              <w:sz w:val="22"/>
              <w:szCs w:val="22"/>
            </w:rPr>
          </w:pPr>
          <w:r w:rsidRPr="00EB6EEC">
            <w:rPr>
              <w:rFonts w:ascii="Palatino Linotype" w:eastAsia="Palatino Linotype" w:hAnsi="Palatino Linotype" w:cs="Palatino Linotype"/>
              <w:b/>
              <w:sz w:val="22"/>
              <w:szCs w:val="22"/>
            </w:rPr>
            <w:t>05854/INFOEM/IP/RR/2024</w:t>
          </w:r>
        </w:p>
      </w:tc>
    </w:tr>
    <w:tr w:rsidR="00267810" w14:paraId="5868A228" w14:textId="77777777">
      <w:trPr>
        <w:trHeight w:val="130"/>
      </w:trPr>
      <w:tc>
        <w:tcPr>
          <w:tcW w:w="2551" w:type="dxa"/>
          <w:shd w:val="clear" w:color="auto" w:fill="auto"/>
          <w:vAlign w:val="center"/>
        </w:tcPr>
        <w:p w14:paraId="21DD806B" w14:textId="77777777" w:rsidR="00267810" w:rsidRDefault="00267810">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Recurrente:</w:t>
          </w:r>
        </w:p>
      </w:tc>
      <w:tc>
        <w:tcPr>
          <w:tcW w:w="3827" w:type="dxa"/>
          <w:shd w:val="clear" w:color="auto" w:fill="auto"/>
          <w:vAlign w:val="center"/>
        </w:tcPr>
        <w:p w14:paraId="499446B0" w14:textId="3B1C358E" w:rsidR="00267810" w:rsidRDefault="00D20429">
          <w:pPr>
            <w:ind w:left="-45" w:right="593"/>
            <w:jc w:val="both"/>
            <w:rPr>
              <w:rFonts w:ascii="Palatino Linotype" w:eastAsia="Palatino Linotype" w:hAnsi="Palatino Linotype" w:cs="Palatino Linotype"/>
              <w:b/>
              <w:sz w:val="22"/>
              <w:szCs w:val="22"/>
            </w:rPr>
          </w:pPr>
          <w:r w:rsidRPr="00D20429">
            <w:rPr>
              <w:rFonts w:ascii="Palatino Linotype" w:eastAsia="Palatino Linotype" w:hAnsi="Palatino Linotype" w:cs="Palatino Linotype"/>
              <w:b/>
              <w:sz w:val="22"/>
              <w:szCs w:val="22"/>
            </w:rPr>
            <w:t>XXXXXX XXXXXXX XXXXX XXXXXXXXXXX</w:t>
          </w:r>
        </w:p>
      </w:tc>
    </w:tr>
    <w:tr w:rsidR="00267810" w14:paraId="78F57B47" w14:textId="77777777">
      <w:trPr>
        <w:trHeight w:val="228"/>
      </w:trPr>
      <w:tc>
        <w:tcPr>
          <w:tcW w:w="2551" w:type="dxa"/>
          <w:shd w:val="clear" w:color="auto" w:fill="auto"/>
          <w:vAlign w:val="center"/>
        </w:tcPr>
        <w:p w14:paraId="4121B8AA" w14:textId="77777777" w:rsidR="00267810" w:rsidRDefault="00267810">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827" w:type="dxa"/>
          <w:shd w:val="clear" w:color="auto" w:fill="auto"/>
          <w:vAlign w:val="center"/>
        </w:tcPr>
        <w:p w14:paraId="45B62D52" w14:textId="77777777" w:rsidR="00267810" w:rsidRDefault="00267810" w:rsidP="009D0AEB">
          <w:pPr>
            <w:ind w:left="-45" w:right="1019"/>
            <w:jc w:val="both"/>
            <w:rPr>
              <w:rFonts w:ascii="Palatino Linotype" w:eastAsia="Palatino Linotype" w:hAnsi="Palatino Linotype" w:cs="Palatino Linotype"/>
              <w:b/>
              <w:sz w:val="22"/>
              <w:szCs w:val="22"/>
            </w:rPr>
          </w:pPr>
          <w:r w:rsidRPr="00EB6EEC">
            <w:rPr>
              <w:rFonts w:ascii="Palatino Linotype" w:eastAsia="Palatino Linotype" w:hAnsi="Palatino Linotype" w:cs="Palatino Linotype"/>
              <w:b/>
              <w:sz w:val="22"/>
              <w:szCs w:val="22"/>
            </w:rPr>
            <w:t>Secretaría de Finanzas</w:t>
          </w:r>
        </w:p>
      </w:tc>
    </w:tr>
    <w:tr w:rsidR="00267810" w14:paraId="05ABCF2C" w14:textId="77777777">
      <w:tc>
        <w:tcPr>
          <w:tcW w:w="2551" w:type="dxa"/>
          <w:shd w:val="clear" w:color="auto" w:fill="auto"/>
          <w:vAlign w:val="center"/>
        </w:tcPr>
        <w:p w14:paraId="7C87407C" w14:textId="77777777" w:rsidR="00267810" w:rsidRDefault="00267810">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827" w:type="dxa"/>
          <w:shd w:val="clear" w:color="auto" w:fill="auto"/>
          <w:vAlign w:val="center"/>
        </w:tcPr>
        <w:p w14:paraId="6BC1D240" w14:textId="77777777" w:rsidR="00267810" w:rsidRDefault="00267810">
          <w:pPr>
            <w:ind w:left="-45" w:right="-533"/>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Guadalupe Ramírez Peña</w:t>
          </w:r>
        </w:p>
      </w:tc>
    </w:tr>
  </w:tbl>
  <w:p w14:paraId="2B379072" w14:textId="77777777" w:rsidR="00267810" w:rsidRDefault="00267810">
    <w:pPr>
      <w:pBdr>
        <w:top w:val="nil"/>
        <w:left w:val="nil"/>
        <w:bottom w:val="nil"/>
        <w:right w:val="nil"/>
        <w:between w:val="nil"/>
      </w:pBdr>
      <w:tabs>
        <w:tab w:val="center" w:pos="4252"/>
        <w:tab w:val="right" w:pos="8504"/>
      </w:tabs>
      <w:rPr>
        <w:rFonts w:ascii="Cambria" w:eastAsia="Cambria" w:hAnsi="Cambria" w:cs="Cambria"/>
        <w:color w:val="000000"/>
      </w:rPr>
    </w:pPr>
  </w:p>
  <w:p w14:paraId="0DAD2781" w14:textId="77777777" w:rsidR="00267810" w:rsidRDefault="00267810"/>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EF361F"/>
    <w:multiLevelType w:val="hybridMultilevel"/>
    <w:tmpl w:val="E11811B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94426CA"/>
    <w:multiLevelType w:val="multilevel"/>
    <w:tmpl w:val="8D58036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CB82423"/>
    <w:multiLevelType w:val="multilevel"/>
    <w:tmpl w:val="F7003E7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21F26706"/>
    <w:multiLevelType w:val="multilevel"/>
    <w:tmpl w:val="330CCF10"/>
    <w:lvl w:ilvl="0">
      <w:start w:val="1"/>
      <w:numFmt w:val="bullet"/>
      <w:lvlText w:val="●"/>
      <w:lvlJc w:val="left"/>
      <w:pPr>
        <w:ind w:left="1287" w:hanging="360"/>
      </w:pPr>
      <w:rPr>
        <w:rFonts w:ascii="Noto Sans Symbols" w:eastAsia="Noto Sans Symbols" w:hAnsi="Noto Sans Symbols" w:cs="Noto Sans Symbols"/>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4" w15:restartNumberingAfterBreak="0">
    <w:nsid w:val="39FC2BB3"/>
    <w:multiLevelType w:val="hybridMultilevel"/>
    <w:tmpl w:val="67CC6140"/>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3B2A6A7A"/>
    <w:multiLevelType w:val="multilevel"/>
    <w:tmpl w:val="42AAECB6"/>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4399765B"/>
    <w:multiLevelType w:val="multilevel"/>
    <w:tmpl w:val="C7CA11EA"/>
    <w:lvl w:ilvl="0">
      <w:start w:val="1"/>
      <w:numFmt w:val="lowerLetter"/>
      <w:lvlText w:val="%1)"/>
      <w:lvlJc w:val="left"/>
      <w:pPr>
        <w:ind w:left="927" w:hanging="360"/>
      </w:pPr>
      <w:rPr>
        <w:b/>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7" w15:restartNumberingAfterBreak="0">
    <w:nsid w:val="43D90FDB"/>
    <w:multiLevelType w:val="hybridMultilevel"/>
    <w:tmpl w:val="76B2EEE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4E9F7342"/>
    <w:multiLevelType w:val="hybridMultilevel"/>
    <w:tmpl w:val="F98CF652"/>
    <w:lvl w:ilvl="0" w:tplc="682A7C5A">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53F23E16"/>
    <w:multiLevelType w:val="multilevel"/>
    <w:tmpl w:val="3F08A964"/>
    <w:lvl w:ilvl="0">
      <w:start w:val="1"/>
      <w:numFmt w:val="decimal"/>
      <w:pStyle w:val="Listaconvietas3"/>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 w15:restartNumberingAfterBreak="0">
    <w:nsid w:val="568C06B6"/>
    <w:multiLevelType w:val="hybridMultilevel"/>
    <w:tmpl w:val="556C70E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59E023E4"/>
    <w:multiLevelType w:val="hybridMultilevel"/>
    <w:tmpl w:val="49F01074"/>
    <w:lvl w:ilvl="0" w:tplc="080A000F">
      <w:start w:val="1"/>
      <w:numFmt w:val="decimal"/>
      <w:lvlText w:val="%1."/>
      <w:lvlJc w:val="left"/>
      <w:pPr>
        <w:ind w:left="1287" w:hanging="360"/>
      </w:pPr>
    </w:lvl>
    <w:lvl w:ilvl="1" w:tplc="080A0019" w:tentative="1">
      <w:start w:val="1"/>
      <w:numFmt w:val="lowerLetter"/>
      <w:lvlText w:val="%2."/>
      <w:lvlJc w:val="left"/>
      <w:pPr>
        <w:ind w:left="2007" w:hanging="360"/>
      </w:pPr>
    </w:lvl>
    <w:lvl w:ilvl="2" w:tplc="080A001B" w:tentative="1">
      <w:start w:val="1"/>
      <w:numFmt w:val="lowerRoman"/>
      <w:lvlText w:val="%3."/>
      <w:lvlJc w:val="right"/>
      <w:pPr>
        <w:ind w:left="2727" w:hanging="180"/>
      </w:pPr>
    </w:lvl>
    <w:lvl w:ilvl="3" w:tplc="080A000F" w:tentative="1">
      <w:start w:val="1"/>
      <w:numFmt w:val="decimal"/>
      <w:lvlText w:val="%4."/>
      <w:lvlJc w:val="left"/>
      <w:pPr>
        <w:ind w:left="3447" w:hanging="360"/>
      </w:pPr>
    </w:lvl>
    <w:lvl w:ilvl="4" w:tplc="080A0019" w:tentative="1">
      <w:start w:val="1"/>
      <w:numFmt w:val="lowerLetter"/>
      <w:lvlText w:val="%5."/>
      <w:lvlJc w:val="left"/>
      <w:pPr>
        <w:ind w:left="4167" w:hanging="360"/>
      </w:pPr>
    </w:lvl>
    <w:lvl w:ilvl="5" w:tplc="080A001B" w:tentative="1">
      <w:start w:val="1"/>
      <w:numFmt w:val="lowerRoman"/>
      <w:lvlText w:val="%6."/>
      <w:lvlJc w:val="right"/>
      <w:pPr>
        <w:ind w:left="4887" w:hanging="180"/>
      </w:pPr>
    </w:lvl>
    <w:lvl w:ilvl="6" w:tplc="080A000F" w:tentative="1">
      <w:start w:val="1"/>
      <w:numFmt w:val="decimal"/>
      <w:lvlText w:val="%7."/>
      <w:lvlJc w:val="left"/>
      <w:pPr>
        <w:ind w:left="5607" w:hanging="360"/>
      </w:pPr>
    </w:lvl>
    <w:lvl w:ilvl="7" w:tplc="080A0019" w:tentative="1">
      <w:start w:val="1"/>
      <w:numFmt w:val="lowerLetter"/>
      <w:lvlText w:val="%8."/>
      <w:lvlJc w:val="left"/>
      <w:pPr>
        <w:ind w:left="6327" w:hanging="360"/>
      </w:pPr>
    </w:lvl>
    <w:lvl w:ilvl="8" w:tplc="080A001B" w:tentative="1">
      <w:start w:val="1"/>
      <w:numFmt w:val="lowerRoman"/>
      <w:lvlText w:val="%9."/>
      <w:lvlJc w:val="right"/>
      <w:pPr>
        <w:ind w:left="7047" w:hanging="180"/>
      </w:pPr>
    </w:lvl>
  </w:abstractNum>
  <w:abstractNum w:abstractNumId="12" w15:restartNumberingAfterBreak="0">
    <w:nsid w:val="69290B62"/>
    <w:multiLevelType w:val="multilevel"/>
    <w:tmpl w:val="BF40833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788D16D7"/>
    <w:multiLevelType w:val="hybridMultilevel"/>
    <w:tmpl w:val="0E5AD2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6"/>
  </w:num>
  <w:num w:numId="4">
    <w:abstractNumId w:val="9"/>
  </w:num>
  <w:num w:numId="5">
    <w:abstractNumId w:val="11"/>
  </w:num>
  <w:num w:numId="6">
    <w:abstractNumId w:val="8"/>
  </w:num>
  <w:num w:numId="7">
    <w:abstractNumId w:val="10"/>
  </w:num>
  <w:num w:numId="8">
    <w:abstractNumId w:val="4"/>
  </w:num>
  <w:num w:numId="9">
    <w:abstractNumId w:val="7"/>
  </w:num>
  <w:num w:numId="10">
    <w:abstractNumId w:val="12"/>
  </w:num>
  <w:num w:numId="11">
    <w:abstractNumId w:val="0"/>
  </w:num>
  <w:num w:numId="12">
    <w:abstractNumId w:val="13"/>
  </w:num>
  <w:num w:numId="13">
    <w:abstractNumId w:val="2"/>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01E8"/>
    <w:rsid w:val="00011A59"/>
    <w:rsid w:val="00060775"/>
    <w:rsid w:val="0007379B"/>
    <w:rsid w:val="00087B60"/>
    <w:rsid w:val="001515F9"/>
    <w:rsid w:val="00164F1D"/>
    <w:rsid w:val="001B3519"/>
    <w:rsid w:val="001B6E2D"/>
    <w:rsid w:val="001E6CEB"/>
    <w:rsid w:val="00211F73"/>
    <w:rsid w:val="002502B5"/>
    <w:rsid w:val="00267810"/>
    <w:rsid w:val="002F28FC"/>
    <w:rsid w:val="0030582D"/>
    <w:rsid w:val="0034617F"/>
    <w:rsid w:val="0035662B"/>
    <w:rsid w:val="003667D3"/>
    <w:rsid w:val="00372DCD"/>
    <w:rsid w:val="00392B9C"/>
    <w:rsid w:val="003A750A"/>
    <w:rsid w:val="003D56B9"/>
    <w:rsid w:val="00435F56"/>
    <w:rsid w:val="0049164C"/>
    <w:rsid w:val="004946F2"/>
    <w:rsid w:val="004B1606"/>
    <w:rsid w:val="00540985"/>
    <w:rsid w:val="00587D5E"/>
    <w:rsid w:val="005A0293"/>
    <w:rsid w:val="005A1122"/>
    <w:rsid w:val="006034DE"/>
    <w:rsid w:val="00637871"/>
    <w:rsid w:val="00641B80"/>
    <w:rsid w:val="00652E2C"/>
    <w:rsid w:val="00657737"/>
    <w:rsid w:val="006960C2"/>
    <w:rsid w:val="006C3DF9"/>
    <w:rsid w:val="006D72B5"/>
    <w:rsid w:val="007213EA"/>
    <w:rsid w:val="00723073"/>
    <w:rsid w:val="007601E8"/>
    <w:rsid w:val="00780690"/>
    <w:rsid w:val="007B23B8"/>
    <w:rsid w:val="007C6C3A"/>
    <w:rsid w:val="00921768"/>
    <w:rsid w:val="009249B7"/>
    <w:rsid w:val="00954A49"/>
    <w:rsid w:val="00963F4A"/>
    <w:rsid w:val="00972FC1"/>
    <w:rsid w:val="00986E86"/>
    <w:rsid w:val="009D0AEB"/>
    <w:rsid w:val="00A01F9C"/>
    <w:rsid w:val="00A60982"/>
    <w:rsid w:val="00A653F6"/>
    <w:rsid w:val="00AD00E5"/>
    <w:rsid w:val="00BA66F7"/>
    <w:rsid w:val="00BF4A74"/>
    <w:rsid w:val="00C21C32"/>
    <w:rsid w:val="00CC0F6E"/>
    <w:rsid w:val="00D20429"/>
    <w:rsid w:val="00DA5AD2"/>
    <w:rsid w:val="00E56BA9"/>
    <w:rsid w:val="00E711DF"/>
    <w:rsid w:val="00E82AE4"/>
    <w:rsid w:val="00EB6EEC"/>
    <w:rsid w:val="00EC237F"/>
    <w:rsid w:val="00ED3DBF"/>
    <w:rsid w:val="00F25D63"/>
    <w:rsid w:val="00F40323"/>
    <w:rsid w:val="00F67A73"/>
    <w:rsid w:val="00F84B1E"/>
    <w:rsid w:val="00F95938"/>
    <w:rsid w:val="00FA2E88"/>
    <w:rsid w:val="00FA34EA"/>
    <w:rsid w:val="00FE2A6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A5F8038"/>
  <w15:docId w15:val="{64D97943-5479-4CB8-BF73-87296E895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750A"/>
  </w:style>
  <w:style w:type="paragraph" w:styleId="Ttulo1">
    <w:name w:val="heading 1"/>
    <w:basedOn w:val="Normal"/>
    <w:next w:val="Normal"/>
    <w:pPr>
      <w:keepNext/>
      <w:keepLines/>
      <w:spacing w:before="240"/>
      <w:outlineLvl w:val="0"/>
    </w:pPr>
    <w:rPr>
      <w:rFonts w:ascii="Calibri" w:eastAsia="Calibri" w:hAnsi="Calibri" w:cs="Calibri"/>
      <w:color w:val="366091"/>
      <w:sz w:val="32"/>
      <w:szCs w:val="32"/>
    </w:rPr>
  </w:style>
  <w:style w:type="paragraph" w:styleId="Ttulo2">
    <w:name w:val="heading 2"/>
    <w:basedOn w:val="Normal"/>
    <w:next w:val="Normal"/>
    <w:pPr>
      <w:keepNext/>
      <w:keepLines/>
      <w:spacing w:before="40"/>
      <w:outlineLvl w:val="1"/>
    </w:pPr>
    <w:rPr>
      <w:rFonts w:ascii="Calibri" w:eastAsia="Calibri" w:hAnsi="Calibri" w:cs="Calibri"/>
      <w:color w:val="366091"/>
      <w:sz w:val="26"/>
      <w:szCs w:val="26"/>
    </w:rPr>
  </w:style>
  <w:style w:type="paragraph" w:styleId="Ttulo3">
    <w:name w:val="heading 3"/>
    <w:basedOn w:val="Normal"/>
    <w:next w:val="Normal"/>
    <w:pPr>
      <w:keepNext/>
      <w:spacing w:before="240" w:after="60"/>
      <w:ind w:left="2160" w:hanging="720"/>
      <w:outlineLvl w:val="2"/>
    </w:pPr>
    <w:rPr>
      <w:rFonts w:ascii="Calibri" w:eastAsia="Calibri" w:hAnsi="Calibri" w:cs="Calibri"/>
      <w:b/>
      <w:sz w:val="26"/>
      <w:szCs w:val="26"/>
    </w:rPr>
  </w:style>
  <w:style w:type="paragraph" w:styleId="Ttulo4">
    <w:name w:val="heading 4"/>
    <w:basedOn w:val="Normal"/>
    <w:next w:val="Normal"/>
    <w:pPr>
      <w:keepNext/>
      <w:spacing w:before="240" w:after="60"/>
      <w:ind w:left="2880" w:hanging="720"/>
      <w:outlineLvl w:val="3"/>
    </w:pPr>
    <w:rPr>
      <w:rFonts w:ascii="Cambria" w:eastAsia="Cambria" w:hAnsi="Cambria" w:cs="Cambria"/>
      <w:b/>
      <w:sz w:val="28"/>
      <w:szCs w:val="28"/>
    </w:rPr>
  </w:style>
  <w:style w:type="paragraph" w:styleId="Ttulo5">
    <w:name w:val="heading 5"/>
    <w:basedOn w:val="Normal"/>
    <w:next w:val="Normal"/>
    <w:pPr>
      <w:spacing w:before="240" w:after="60"/>
      <w:ind w:left="3600" w:hanging="720"/>
      <w:outlineLvl w:val="4"/>
    </w:pPr>
    <w:rPr>
      <w:rFonts w:ascii="Cambria" w:eastAsia="Cambria" w:hAnsi="Cambria" w:cs="Cambria"/>
      <w:b/>
      <w:i/>
      <w:sz w:val="26"/>
      <w:szCs w:val="26"/>
    </w:rPr>
  </w:style>
  <w:style w:type="paragraph" w:styleId="Ttulo6">
    <w:name w:val="heading 6"/>
    <w:basedOn w:val="Normal"/>
    <w:next w:val="Normal"/>
    <w:pPr>
      <w:spacing w:before="240" w:after="60"/>
      <w:ind w:left="4320" w:hanging="720"/>
      <w:outlineLvl w:val="5"/>
    </w:pPr>
    <w:rPr>
      <w:b/>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4"/>
    <w:tblPr>
      <w:tblStyleRowBandSize w:val="1"/>
      <w:tblStyleColBandSize w:val="1"/>
      <w:tblCellMar>
        <w:left w:w="115" w:type="dxa"/>
        <w:right w:w="115" w:type="dxa"/>
      </w:tblCellMar>
    </w:tblPr>
  </w:style>
  <w:style w:type="table" w:customStyle="1" w:styleId="a0">
    <w:basedOn w:val="TableNormal4"/>
    <w:tblPr>
      <w:tblStyleRowBandSize w:val="1"/>
      <w:tblStyleColBandSize w:val="1"/>
      <w:tblCellMar>
        <w:left w:w="115" w:type="dxa"/>
        <w:right w:w="115" w:type="dxa"/>
      </w:tblCellMar>
    </w:tblPr>
  </w:style>
  <w:style w:type="paragraph" w:styleId="Encabezado">
    <w:name w:val="header"/>
    <w:basedOn w:val="Normal"/>
    <w:link w:val="EncabezadoCar"/>
    <w:uiPriority w:val="99"/>
    <w:unhideWhenUsed/>
    <w:rsid w:val="00B215CF"/>
    <w:pPr>
      <w:tabs>
        <w:tab w:val="center" w:pos="4419"/>
        <w:tab w:val="right" w:pos="8838"/>
      </w:tabs>
    </w:pPr>
  </w:style>
  <w:style w:type="character" w:customStyle="1" w:styleId="EncabezadoCar">
    <w:name w:val="Encabezado Car"/>
    <w:basedOn w:val="Fuentedeprrafopredeter"/>
    <w:link w:val="Encabezado"/>
    <w:uiPriority w:val="99"/>
    <w:rsid w:val="00B215CF"/>
  </w:style>
  <w:style w:type="paragraph" w:styleId="Piedepgina">
    <w:name w:val="footer"/>
    <w:basedOn w:val="Normal"/>
    <w:link w:val="PiedepginaCar"/>
    <w:uiPriority w:val="99"/>
    <w:unhideWhenUsed/>
    <w:rsid w:val="00B215CF"/>
    <w:pPr>
      <w:tabs>
        <w:tab w:val="center" w:pos="4419"/>
        <w:tab w:val="right" w:pos="8838"/>
      </w:tabs>
    </w:pPr>
  </w:style>
  <w:style w:type="character" w:customStyle="1" w:styleId="PiedepginaCar">
    <w:name w:val="Pie de página Car"/>
    <w:basedOn w:val="Fuentedeprrafopredeter"/>
    <w:link w:val="Piedepgina"/>
    <w:uiPriority w:val="99"/>
    <w:rsid w:val="00B215CF"/>
  </w:style>
  <w:style w:type="paragraph" w:styleId="NormalWeb">
    <w:name w:val="Normal (Web)"/>
    <w:basedOn w:val="Normal"/>
    <w:uiPriority w:val="99"/>
    <w:unhideWhenUsed/>
    <w:rsid w:val="00DA0443"/>
    <w:pPr>
      <w:spacing w:before="100" w:beforeAutospacing="1" w:after="100" w:afterAutospacing="1"/>
    </w:p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0038B1"/>
    <w:pPr>
      <w:ind w:left="720"/>
      <w:contextualSpacing/>
    </w:pPr>
  </w:style>
  <w:style w:type="table" w:customStyle="1" w:styleId="a1">
    <w:basedOn w:val="TableNormal4"/>
    <w:tblPr>
      <w:tblStyleRowBandSize w:val="1"/>
      <w:tblStyleColBandSize w:val="1"/>
      <w:tblCellMar>
        <w:left w:w="115" w:type="dxa"/>
        <w:right w:w="115" w:type="dxa"/>
      </w:tblCellMar>
    </w:tblPr>
  </w:style>
  <w:style w:type="table" w:customStyle="1" w:styleId="a2">
    <w:basedOn w:val="TableNormal4"/>
    <w:tblPr>
      <w:tblStyleRowBandSize w:val="1"/>
      <w:tblStyleColBandSize w:val="1"/>
      <w:tblCellMar>
        <w:left w:w="115" w:type="dxa"/>
        <w:right w:w="115" w:type="dxa"/>
      </w:tblCellMar>
    </w:tblPr>
  </w:style>
  <w:style w:type="table" w:customStyle="1" w:styleId="a3">
    <w:basedOn w:val="TableNormal3"/>
    <w:tblPr>
      <w:tblStyleRowBandSize w:val="1"/>
      <w:tblStyleColBandSize w:val="1"/>
      <w:tblCellMar>
        <w:left w:w="115" w:type="dxa"/>
        <w:right w:w="115" w:type="dxa"/>
      </w:tblCellMar>
    </w:tblPr>
  </w:style>
  <w:style w:type="table" w:customStyle="1" w:styleId="a4">
    <w:basedOn w:val="TableNormal3"/>
    <w:tblPr>
      <w:tblStyleRowBandSize w:val="1"/>
      <w:tblStyleColBandSize w:val="1"/>
      <w:tblCellMar>
        <w:left w:w="115" w:type="dxa"/>
        <w:right w:w="115" w:type="dxa"/>
      </w:tblCellMar>
    </w:tblPr>
  </w:style>
  <w:style w:type="table" w:customStyle="1" w:styleId="a5">
    <w:basedOn w:val="TableNormal2"/>
    <w:tblPr>
      <w:tblStyleRowBandSize w:val="1"/>
      <w:tblStyleColBandSize w:val="1"/>
      <w:tblCellMar>
        <w:left w:w="115" w:type="dxa"/>
        <w:right w:w="115" w:type="dxa"/>
      </w:tblCellMar>
    </w:tblPr>
  </w:style>
  <w:style w:type="table" w:customStyle="1" w:styleId="a6">
    <w:basedOn w:val="TableNormal2"/>
    <w:tblPr>
      <w:tblStyleRowBandSize w:val="1"/>
      <w:tblStyleColBandSize w:val="1"/>
      <w:tblCellMar>
        <w:left w:w="115" w:type="dxa"/>
        <w:right w:w="115" w:type="dxa"/>
      </w:tblCellMar>
    </w:tblPr>
  </w:style>
  <w:style w:type="character" w:styleId="Hipervnculo">
    <w:name w:val="Hyperlink"/>
    <w:basedOn w:val="Fuentedeprrafopredeter"/>
    <w:uiPriority w:val="99"/>
    <w:unhideWhenUsed/>
    <w:rsid w:val="00455091"/>
    <w:rPr>
      <w:color w:val="0000FF" w:themeColor="hyperlink"/>
      <w:u w:val="single"/>
    </w:rPr>
  </w:style>
  <w:style w:type="paragraph" w:styleId="Listaconvietas3">
    <w:name w:val="List Bullet 3"/>
    <w:basedOn w:val="Normal"/>
    <w:uiPriority w:val="99"/>
    <w:unhideWhenUsed/>
    <w:rsid w:val="00210E50"/>
    <w:pPr>
      <w:numPr>
        <w:numId w:val="4"/>
      </w:numPr>
      <w:contextualSpacing/>
    </w:pPr>
    <w:rPr>
      <w:lang w:val="es-ES"/>
    </w:rPr>
  </w:style>
  <w:style w:type="table" w:customStyle="1" w:styleId="a7">
    <w:basedOn w:val="TableNormal1"/>
    <w:tblPr>
      <w:tblStyleRowBandSize w:val="1"/>
      <w:tblStyleColBandSize w:val="1"/>
      <w:tblCellMar>
        <w:left w:w="115" w:type="dxa"/>
        <w:right w:w="115" w:type="dxa"/>
      </w:tblCellMar>
    </w:tblPr>
  </w:style>
  <w:style w:type="table" w:customStyle="1" w:styleId="a8">
    <w:basedOn w:val="TableNormal1"/>
    <w:tblPr>
      <w:tblStyleRowBandSize w:val="1"/>
      <w:tblStyleColBandSize w:val="1"/>
      <w:tblCellMar>
        <w:left w:w="115" w:type="dxa"/>
        <w:right w:w="115" w:type="dxa"/>
      </w:tblCellMar>
    </w:tblPr>
  </w:style>
  <w:style w:type="table" w:customStyle="1" w:styleId="a9">
    <w:basedOn w:val="TableNormal0"/>
    <w:tblPr>
      <w:tblStyleRowBandSize w:val="1"/>
      <w:tblStyleColBandSize w:val="1"/>
      <w:tblCellMar>
        <w:left w:w="115" w:type="dxa"/>
        <w:right w:w="115" w:type="dxa"/>
      </w:tblCellMar>
    </w:tblPr>
  </w:style>
  <w:style w:type="table" w:customStyle="1" w:styleId="aa">
    <w:basedOn w:val="TableNormal0"/>
    <w:tblPr>
      <w:tblStyleRowBandSize w:val="1"/>
      <w:tblStyleColBandSize w:val="1"/>
      <w:tblCellMar>
        <w:left w:w="115" w:type="dxa"/>
        <w:right w:w="115" w:type="dxa"/>
      </w:tblCellMar>
    </w:tbl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F403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4172331">
      <w:bodyDiv w:val="1"/>
      <w:marLeft w:val="0"/>
      <w:marRight w:val="0"/>
      <w:marTop w:val="0"/>
      <w:marBottom w:val="0"/>
      <w:divBdr>
        <w:top w:val="none" w:sz="0" w:space="0" w:color="auto"/>
        <w:left w:val="none" w:sz="0" w:space="0" w:color="auto"/>
        <w:bottom w:val="none" w:sz="0" w:space="0" w:color="auto"/>
        <w:right w:val="none" w:sz="0" w:space="0" w:color="auto"/>
      </w:divBdr>
    </w:div>
    <w:div w:id="1238713092">
      <w:bodyDiv w:val="1"/>
      <w:marLeft w:val="0"/>
      <w:marRight w:val="0"/>
      <w:marTop w:val="0"/>
      <w:marBottom w:val="0"/>
      <w:divBdr>
        <w:top w:val="none" w:sz="0" w:space="0" w:color="auto"/>
        <w:left w:val="none" w:sz="0" w:space="0" w:color="auto"/>
        <w:bottom w:val="none" w:sz="0" w:space="0" w:color="auto"/>
        <w:right w:val="none" w:sz="0" w:space="0" w:color="auto"/>
      </w:divBdr>
    </w:div>
    <w:div w:id="1246960734">
      <w:bodyDiv w:val="1"/>
      <w:marLeft w:val="0"/>
      <w:marRight w:val="0"/>
      <w:marTop w:val="0"/>
      <w:marBottom w:val="0"/>
      <w:divBdr>
        <w:top w:val="none" w:sz="0" w:space="0" w:color="auto"/>
        <w:left w:val="none" w:sz="0" w:space="0" w:color="auto"/>
        <w:bottom w:val="none" w:sz="0" w:space="0" w:color="auto"/>
        <w:right w:val="none" w:sz="0" w:space="0" w:color="auto"/>
      </w:divBdr>
    </w:div>
    <w:div w:id="1300259500">
      <w:bodyDiv w:val="1"/>
      <w:marLeft w:val="0"/>
      <w:marRight w:val="0"/>
      <w:marTop w:val="0"/>
      <w:marBottom w:val="0"/>
      <w:divBdr>
        <w:top w:val="none" w:sz="0" w:space="0" w:color="auto"/>
        <w:left w:val="none" w:sz="0" w:space="0" w:color="auto"/>
        <w:bottom w:val="none" w:sz="0" w:space="0" w:color="auto"/>
        <w:right w:val="none" w:sz="0" w:space="0" w:color="auto"/>
      </w:divBdr>
    </w:div>
    <w:div w:id="1481340210">
      <w:bodyDiv w:val="1"/>
      <w:marLeft w:val="0"/>
      <w:marRight w:val="0"/>
      <w:marTop w:val="0"/>
      <w:marBottom w:val="0"/>
      <w:divBdr>
        <w:top w:val="none" w:sz="0" w:space="0" w:color="auto"/>
        <w:left w:val="none" w:sz="0" w:space="0" w:color="auto"/>
        <w:bottom w:val="none" w:sz="0" w:space="0" w:color="auto"/>
        <w:right w:val="none" w:sz="0" w:space="0" w:color="auto"/>
      </w:divBdr>
    </w:div>
    <w:div w:id="1713918781">
      <w:bodyDiv w:val="1"/>
      <w:marLeft w:val="0"/>
      <w:marRight w:val="0"/>
      <w:marTop w:val="0"/>
      <w:marBottom w:val="0"/>
      <w:divBdr>
        <w:top w:val="none" w:sz="0" w:space="0" w:color="auto"/>
        <w:left w:val="none" w:sz="0" w:space="0" w:color="auto"/>
        <w:bottom w:val="none" w:sz="0" w:space="0" w:color="auto"/>
        <w:right w:val="none" w:sz="0" w:space="0" w:color="auto"/>
      </w:divBdr>
    </w:div>
    <w:div w:id="172028384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0.png"/></Relationships>
</file>

<file path=word/_rels/header2.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nMCcDjTnnN6YzR38K8bXcD2TT4A==">CgMxLjAyCWguMWZvYjl0ZTIIaC5namRneHMyCWguM2R5NnZrbTIJaC4zMGowemxsMgloLjJzOGV5bzEyCGgudHlqY3d0MgloLjN6bnlzaDcyCWguMmV0OTJwMDIJaC40ZDM0b2c4MgloLjM1bmt1bjIyDmguaWp2OThwbnRjZDVzMgloLjI2aW4xcmcyCWguMTdkcDh2dTIJaC4zcmRjcmpuMgloLjF0M2g1c2Y4AHIhMU52ZkdnZWdvZXFBUFYzYmpKYzFWakxtckhyMkdtTng5</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36</Pages>
  <Words>9306</Words>
  <Characters>51186</Characters>
  <Application>Microsoft Office Word</Application>
  <DocSecurity>0</DocSecurity>
  <Lines>426</Lines>
  <Paragraphs>120</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60372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USUARIO</dc:creator>
  <cp:lastModifiedBy>Maricela Villagómez Martínez</cp:lastModifiedBy>
  <cp:revision>2</cp:revision>
  <cp:lastPrinted>2024-11-07T23:42:00Z</cp:lastPrinted>
  <dcterms:created xsi:type="dcterms:W3CDTF">2024-11-29T19:25:00Z</dcterms:created>
  <dcterms:modified xsi:type="dcterms:W3CDTF">2024-11-29T19:25:00Z</dcterms:modified>
</cp:coreProperties>
</file>