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3E" w:rsidRPr="00613727" w:rsidRDefault="00F92F3E" w:rsidP="00F92F3E">
      <w:pPr>
        <w:spacing w:line="360" w:lineRule="auto"/>
        <w:jc w:val="both"/>
        <w:rPr>
          <w:rFonts w:ascii="Palatino Linotype" w:eastAsiaTheme="minorEastAsia" w:hAnsi="Palatino Linotype"/>
          <w:lang w:val="es-ES_tradnl" w:eastAsia="es-ES"/>
        </w:rPr>
      </w:pPr>
      <w:r w:rsidRPr="00613727">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 de Méxic</w:t>
      </w:r>
      <w:r w:rsidR="003D70CB" w:rsidRPr="00613727">
        <w:rPr>
          <w:rFonts w:ascii="Palatino Linotype" w:eastAsiaTheme="minorEastAsia" w:hAnsi="Palatino Linotype"/>
          <w:lang w:val="es-ES_tradnl" w:eastAsia="es-ES"/>
        </w:rPr>
        <w:t>o; de</w:t>
      </w:r>
      <w:r w:rsidR="00613727">
        <w:rPr>
          <w:rFonts w:ascii="Palatino Linotype" w:eastAsiaTheme="minorEastAsia" w:hAnsi="Palatino Linotype"/>
          <w:lang w:val="es-ES_tradnl" w:eastAsia="es-ES"/>
        </w:rPr>
        <w:t xml:space="preserve"> fecha </w:t>
      </w:r>
      <w:r w:rsidR="003D70CB" w:rsidRPr="00613727">
        <w:rPr>
          <w:rFonts w:ascii="Palatino Linotype" w:eastAsiaTheme="minorEastAsia" w:hAnsi="Palatino Linotype"/>
          <w:lang w:val="es-ES_tradnl" w:eastAsia="es-ES"/>
        </w:rPr>
        <w:t>veinti</w:t>
      </w:r>
      <w:r w:rsidR="00613727">
        <w:rPr>
          <w:rFonts w:ascii="Palatino Linotype" w:eastAsiaTheme="minorEastAsia" w:hAnsi="Palatino Linotype"/>
          <w:lang w:val="es-ES_tradnl" w:eastAsia="es-ES"/>
        </w:rPr>
        <w:t>siete (27)</w:t>
      </w:r>
      <w:r w:rsidRPr="00613727">
        <w:rPr>
          <w:rFonts w:ascii="Palatino Linotype" w:eastAsiaTheme="minorEastAsia" w:hAnsi="Palatino Linotype"/>
          <w:lang w:val="es-ES_tradnl" w:eastAsia="es-ES"/>
        </w:rPr>
        <w:t xml:space="preserve"> de </w:t>
      </w:r>
      <w:r w:rsidR="00DC4D63">
        <w:rPr>
          <w:rFonts w:ascii="Palatino Linotype" w:eastAsiaTheme="minorEastAsia" w:hAnsi="Palatino Linotype"/>
          <w:lang w:val="es-ES_tradnl" w:eastAsia="es-ES"/>
        </w:rPr>
        <w:t xml:space="preserve">noviembre de </w:t>
      </w:r>
      <w:r w:rsidRPr="00613727">
        <w:rPr>
          <w:rFonts w:ascii="Palatino Linotype" w:eastAsiaTheme="minorEastAsia" w:hAnsi="Palatino Linotype"/>
          <w:lang w:val="es-ES_tradnl" w:eastAsia="es-ES"/>
        </w:rPr>
        <w:t xml:space="preserve">dos mil veinticuatro. </w:t>
      </w:r>
    </w:p>
    <w:p w:rsidR="00F92F3E" w:rsidRPr="00613727" w:rsidRDefault="00F92F3E" w:rsidP="00F92F3E">
      <w:pPr>
        <w:spacing w:line="360" w:lineRule="auto"/>
        <w:jc w:val="both"/>
        <w:rPr>
          <w:rFonts w:ascii="Palatino Linotype" w:eastAsiaTheme="minorEastAsia" w:hAnsi="Palatino Linotype"/>
          <w:lang w:val="es-ES_tradnl" w:eastAsia="es-ES"/>
        </w:rPr>
      </w:pPr>
    </w:p>
    <w:p w:rsidR="00F92F3E" w:rsidRPr="00613727" w:rsidRDefault="00F92F3E" w:rsidP="00F92F3E">
      <w:pPr>
        <w:spacing w:line="360" w:lineRule="auto"/>
        <w:jc w:val="both"/>
        <w:rPr>
          <w:rFonts w:ascii="Palatino Linotype" w:hAnsi="Palatino Linotype"/>
        </w:rPr>
      </w:pPr>
      <w:r w:rsidRPr="00613727">
        <w:rPr>
          <w:rFonts w:ascii="Palatino Linotype" w:hAnsi="Palatino Linotype"/>
          <w:b/>
        </w:rPr>
        <w:t>VISTO</w:t>
      </w:r>
      <w:r w:rsidRPr="00613727">
        <w:rPr>
          <w:rFonts w:ascii="Palatino Linotype" w:hAnsi="Palatino Linotype"/>
        </w:rPr>
        <w:t xml:space="preserve"> el expediente electrónico formado con motivo del recurso de revisión </w:t>
      </w:r>
      <w:r w:rsidR="003D70CB" w:rsidRPr="00613727">
        <w:rPr>
          <w:rFonts w:ascii="Palatino Linotype" w:hAnsi="Palatino Linotype"/>
          <w:b/>
        </w:rPr>
        <w:t>04218</w:t>
      </w:r>
      <w:r w:rsidRPr="00613727">
        <w:rPr>
          <w:rFonts w:ascii="Palatino Linotype" w:hAnsi="Palatino Linotype"/>
          <w:b/>
        </w:rPr>
        <w:t>/INFOEM/IP/RR/2024,</w:t>
      </w:r>
      <w:r w:rsidRPr="00613727">
        <w:rPr>
          <w:rFonts w:ascii="Palatino Linotype" w:hAnsi="Palatino Linotype" w:cs="Arial"/>
          <w:b/>
          <w:bCs/>
        </w:rPr>
        <w:t xml:space="preserve"> </w:t>
      </w:r>
      <w:r w:rsidRPr="00613727">
        <w:rPr>
          <w:rFonts w:ascii="Palatino Linotype" w:eastAsiaTheme="minorEastAsia" w:hAnsi="Palatino Linotype"/>
          <w:lang w:val="es-ES_tradnl" w:eastAsia="es-ES"/>
        </w:rPr>
        <w:t xml:space="preserve">promovido </w:t>
      </w:r>
      <w:r w:rsidRPr="00613727">
        <w:rPr>
          <w:rFonts w:ascii="Palatino Linotype" w:eastAsiaTheme="minorEastAsia" w:hAnsi="Palatino Linotype"/>
          <w:b/>
          <w:bCs/>
          <w:lang w:eastAsia="es-ES"/>
        </w:rPr>
        <w:t> </w:t>
      </w:r>
      <w:r w:rsidR="003D70CB" w:rsidRPr="00613727">
        <w:rPr>
          <w:rFonts w:ascii="Palatino Linotype" w:eastAsiaTheme="minorEastAsia" w:hAnsi="Palatino Linotype"/>
          <w:b/>
          <w:bCs/>
          <w:lang w:eastAsia="es-ES"/>
        </w:rPr>
        <w:t>por un usuario que no proporcionó nombre</w:t>
      </w:r>
      <w:r w:rsidR="00613727">
        <w:rPr>
          <w:rFonts w:ascii="Palatino Linotype" w:eastAsiaTheme="minorEastAsia" w:hAnsi="Palatino Linotype"/>
          <w:b/>
          <w:bCs/>
          <w:lang w:eastAsia="es-ES"/>
        </w:rPr>
        <w:t xml:space="preserve"> alguno</w:t>
      </w:r>
      <w:r w:rsidRPr="00613727">
        <w:rPr>
          <w:rFonts w:ascii="Palatino Linotype" w:eastAsiaTheme="minorEastAsia" w:hAnsi="Palatino Linotype"/>
          <w:b/>
          <w:lang w:val="es-ES_tradnl" w:eastAsia="es-ES"/>
        </w:rPr>
        <w:t>,</w:t>
      </w:r>
      <w:r w:rsidRPr="00613727">
        <w:rPr>
          <w:rFonts w:ascii="Palatino Linotype" w:hAnsi="Palatino Linotype"/>
        </w:rPr>
        <w:t xml:space="preserve"> </w:t>
      </w:r>
      <w:r w:rsidR="00613727">
        <w:rPr>
          <w:rFonts w:ascii="Palatino Linotype" w:hAnsi="Palatino Linotype"/>
        </w:rPr>
        <w:t xml:space="preserve">a </w:t>
      </w:r>
      <w:r w:rsidRPr="00613727">
        <w:rPr>
          <w:rFonts w:ascii="Palatino Linotype" w:hAnsi="Palatino Linotype"/>
        </w:rPr>
        <w:t xml:space="preserve">quien en lo sucesivo se identificará como </w:t>
      </w:r>
      <w:r w:rsidRPr="00613727">
        <w:rPr>
          <w:rFonts w:ascii="Palatino Linotype" w:hAnsi="Palatino Linotype"/>
          <w:b/>
        </w:rPr>
        <w:t xml:space="preserve">EL </w:t>
      </w:r>
      <w:r w:rsidRPr="00613727">
        <w:rPr>
          <w:rFonts w:ascii="Palatino Linotype" w:hAnsi="Palatino Linotype" w:cs="Arial"/>
          <w:b/>
        </w:rPr>
        <w:t>RECURRENTE</w:t>
      </w:r>
      <w:r w:rsidRPr="00613727">
        <w:rPr>
          <w:rFonts w:ascii="Palatino Linotype" w:hAnsi="Palatino Linotype" w:cs="Arial"/>
        </w:rPr>
        <w:t xml:space="preserve">, en contra de la respuesta del </w:t>
      </w:r>
      <w:r w:rsidR="003D70CB" w:rsidRPr="00613727">
        <w:rPr>
          <w:rFonts w:ascii="Palatino Linotype" w:hAnsi="Palatino Linotype" w:cs="Arial"/>
          <w:b/>
          <w:bCs/>
        </w:rPr>
        <w:t>Sistema Municipal Para el Desarrollo Integral de la Familia de la Paz</w:t>
      </w:r>
      <w:r w:rsidRPr="00613727">
        <w:rPr>
          <w:rFonts w:ascii="Palatino Linotype" w:hAnsi="Palatino Linotype" w:cs="Arial"/>
          <w:b/>
        </w:rPr>
        <w:t>,</w:t>
      </w:r>
      <w:r w:rsidRPr="00613727">
        <w:rPr>
          <w:rFonts w:ascii="Palatino Linotype" w:hAnsi="Palatino Linotype"/>
          <w:b/>
        </w:rPr>
        <w:t xml:space="preserve"> </w:t>
      </w:r>
      <w:r w:rsidRPr="00613727">
        <w:rPr>
          <w:rFonts w:ascii="Palatino Linotype" w:hAnsi="Palatino Linotype"/>
        </w:rPr>
        <w:t xml:space="preserve">en </w:t>
      </w:r>
      <w:r w:rsidR="00613727">
        <w:rPr>
          <w:rFonts w:ascii="Palatino Linotype" w:hAnsi="Palatino Linotype"/>
        </w:rPr>
        <w:t>adelante</w:t>
      </w:r>
      <w:r w:rsidRPr="00613727">
        <w:rPr>
          <w:rFonts w:ascii="Palatino Linotype" w:hAnsi="Palatino Linotype"/>
        </w:rPr>
        <w:t xml:space="preserve"> el</w:t>
      </w:r>
      <w:r w:rsidRPr="00613727">
        <w:rPr>
          <w:rFonts w:ascii="Palatino Linotype" w:hAnsi="Palatino Linotype"/>
          <w:b/>
        </w:rPr>
        <w:t xml:space="preserve"> SUJETO OBLIGADO</w:t>
      </w:r>
      <w:r w:rsidRPr="00613727">
        <w:rPr>
          <w:rFonts w:ascii="Palatino Linotype" w:hAnsi="Palatino Linotype"/>
        </w:rPr>
        <w:t>, por lo que se procede a dictar la presente resolución, con base en los siguientes:</w:t>
      </w:r>
    </w:p>
    <w:p w:rsidR="00F92F3E" w:rsidRPr="00613727" w:rsidRDefault="00F92F3E" w:rsidP="00F92F3E">
      <w:pPr>
        <w:spacing w:line="360" w:lineRule="auto"/>
        <w:jc w:val="both"/>
        <w:rPr>
          <w:rFonts w:ascii="Palatino Linotype" w:hAnsi="Palatino Linotype"/>
          <w:b/>
        </w:rPr>
      </w:pPr>
    </w:p>
    <w:p w:rsidR="00F92F3E" w:rsidRPr="00613727" w:rsidRDefault="00F92F3E" w:rsidP="00F92F3E">
      <w:pPr>
        <w:keepNext/>
        <w:keepLines/>
        <w:spacing w:line="360" w:lineRule="auto"/>
        <w:jc w:val="center"/>
        <w:outlineLvl w:val="0"/>
        <w:rPr>
          <w:rFonts w:ascii="Palatino Linotype" w:eastAsiaTheme="majorEastAsia" w:hAnsi="Palatino Linotype" w:cstheme="majorBidi"/>
          <w:b/>
        </w:rPr>
      </w:pPr>
      <w:bookmarkStart w:id="0" w:name="_Toc66992241"/>
      <w:r w:rsidRPr="00613727">
        <w:rPr>
          <w:rFonts w:ascii="Palatino Linotype" w:eastAsiaTheme="majorEastAsia" w:hAnsi="Palatino Linotype" w:cstheme="majorBidi"/>
          <w:b/>
        </w:rPr>
        <w:t>A</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N</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T</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E</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C</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E</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D</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E</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N</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T</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E</w:t>
      </w:r>
      <w:r w:rsidR="00613727">
        <w:rPr>
          <w:rFonts w:ascii="Palatino Linotype" w:eastAsiaTheme="majorEastAsia" w:hAnsi="Palatino Linotype" w:cstheme="majorBidi"/>
          <w:b/>
        </w:rPr>
        <w:t xml:space="preserve"> </w:t>
      </w:r>
      <w:r w:rsidRPr="00613727">
        <w:rPr>
          <w:rFonts w:ascii="Palatino Linotype" w:eastAsiaTheme="majorEastAsia" w:hAnsi="Palatino Linotype" w:cstheme="majorBidi"/>
          <w:b/>
        </w:rPr>
        <w:t>S</w:t>
      </w:r>
      <w:bookmarkEnd w:id="0"/>
    </w:p>
    <w:p w:rsidR="00F92F3E" w:rsidRPr="00613727" w:rsidRDefault="00F92F3E" w:rsidP="00F92F3E">
      <w:pPr>
        <w:spacing w:line="360" w:lineRule="auto"/>
        <w:rPr>
          <w:rFonts w:ascii="Palatino Linotype" w:eastAsiaTheme="minorEastAsia" w:hAnsi="Palatino Linotype"/>
        </w:rPr>
      </w:pPr>
    </w:p>
    <w:p w:rsidR="00F92F3E" w:rsidRPr="00613727" w:rsidRDefault="003D70CB"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eastAsia="Calibri" w:hAnsi="Palatino Linotype" w:cs="Arial"/>
          <w:sz w:val="24"/>
          <w:lang w:val="es-ES" w:eastAsia="es-ES"/>
        </w:rPr>
        <w:t>El catorce (14) de junio</w:t>
      </w:r>
      <w:r w:rsidR="00F92F3E" w:rsidRPr="00613727">
        <w:rPr>
          <w:rFonts w:ascii="Palatino Linotype" w:eastAsia="Calibri" w:hAnsi="Palatino Linotype" w:cs="Arial"/>
          <w:sz w:val="24"/>
          <w:lang w:val="es-ES" w:eastAsia="es-ES"/>
        </w:rPr>
        <w:t xml:space="preserve"> de dos mil veinticuatro,</w:t>
      </w:r>
      <w:r w:rsidR="00F92F3E" w:rsidRPr="00613727">
        <w:rPr>
          <w:rFonts w:ascii="Palatino Linotype" w:eastAsia="Calibri" w:hAnsi="Palatino Linotype"/>
          <w:sz w:val="24"/>
          <w:lang w:val="es-ES" w:eastAsia="es-ES"/>
        </w:rPr>
        <w:t xml:space="preserve"> </w:t>
      </w:r>
      <w:r w:rsidR="00F92F3E" w:rsidRPr="00613727">
        <w:rPr>
          <w:rFonts w:ascii="Palatino Linotype" w:eastAsia="Calibri" w:hAnsi="Palatino Linotype"/>
          <w:b/>
          <w:sz w:val="24"/>
          <w:lang w:val="es-ES" w:eastAsia="es-ES"/>
        </w:rPr>
        <w:t>EL RECURRENTE</w:t>
      </w:r>
      <w:r w:rsidR="00F92F3E" w:rsidRPr="00613727">
        <w:rPr>
          <w:rFonts w:ascii="Palatino Linotype" w:eastAsiaTheme="minorEastAsia" w:hAnsi="Palatino Linotype"/>
          <w:b/>
          <w:sz w:val="24"/>
          <w:lang w:val="es-ES_tradnl" w:eastAsia="es-ES"/>
        </w:rPr>
        <w:t>,</w:t>
      </w:r>
      <w:r w:rsidR="00F92F3E" w:rsidRPr="00613727">
        <w:rPr>
          <w:rFonts w:ascii="Palatino Linotype" w:eastAsia="Calibri" w:hAnsi="Palatino Linotype" w:cs="Arial"/>
          <w:sz w:val="24"/>
          <w:lang w:val="es-ES" w:eastAsia="es-ES"/>
        </w:rPr>
        <w:t xml:space="preserve"> ante el </w:t>
      </w:r>
      <w:r w:rsidR="00F92F3E" w:rsidRPr="00613727">
        <w:rPr>
          <w:rFonts w:ascii="Palatino Linotype" w:eastAsia="Calibri" w:hAnsi="Palatino Linotype" w:cs="Arial"/>
          <w:b/>
          <w:sz w:val="24"/>
          <w:lang w:val="es-ES" w:eastAsia="es-ES"/>
        </w:rPr>
        <w:t>SUJETO OBLIGADO</w:t>
      </w:r>
      <w:r w:rsidR="00F92F3E" w:rsidRPr="00613727">
        <w:rPr>
          <w:rFonts w:ascii="Palatino Linotype" w:eastAsia="Calibri" w:hAnsi="Palatino Linotype" w:cs="Arial"/>
          <w:sz w:val="24"/>
          <w:lang w:val="es-ES_tradnl" w:eastAsia="es-ES"/>
        </w:rPr>
        <w:t xml:space="preserve"> a través del Sistema de Acceso a la Información Mexiquense (SAIMEX)</w:t>
      </w:r>
      <w:r w:rsidR="00F92F3E" w:rsidRPr="00613727">
        <w:rPr>
          <w:rFonts w:ascii="Palatino Linotype" w:eastAsia="Calibri" w:hAnsi="Palatino Linotype" w:cs="Arial"/>
          <w:sz w:val="24"/>
          <w:lang w:val="es-ES" w:eastAsia="es-ES"/>
        </w:rPr>
        <w:t xml:space="preserve">, presentó una solicitud de información registrada con el número </w:t>
      </w:r>
      <w:r w:rsidRPr="00613727">
        <w:rPr>
          <w:rFonts w:ascii="Palatino Linotype" w:hAnsi="Palatino Linotype"/>
          <w:b/>
          <w:bCs/>
          <w:sz w:val="24"/>
        </w:rPr>
        <w:t>00056/DIFLAPAZ/IP/2024</w:t>
      </w:r>
      <w:r w:rsidR="00F92F3E" w:rsidRPr="00613727">
        <w:rPr>
          <w:rFonts w:ascii="Palatino Linotype" w:eastAsiaTheme="minorEastAsia" w:hAnsi="Palatino Linotype"/>
          <w:b/>
          <w:sz w:val="24"/>
          <w:lang w:val="es-ES_tradnl" w:eastAsia="es-ES"/>
        </w:rPr>
        <w:t xml:space="preserve">, </w:t>
      </w:r>
      <w:r w:rsidR="00613727">
        <w:rPr>
          <w:rFonts w:ascii="Palatino Linotype" w:eastAsia="Calibri" w:hAnsi="Palatino Linotype" w:cs="Arial"/>
          <w:sz w:val="24"/>
          <w:lang w:val="es-ES" w:eastAsia="es-ES"/>
        </w:rPr>
        <w:t xml:space="preserve">en la que se </w:t>
      </w:r>
      <w:r w:rsidR="00F92F3E" w:rsidRPr="00613727">
        <w:rPr>
          <w:rFonts w:ascii="Palatino Linotype" w:eastAsia="Calibri" w:hAnsi="Palatino Linotype" w:cs="Arial"/>
          <w:sz w:val="24"/>
          <w:lang w:val="es-ES" w:eastAsia="es-ES"/>
        </w:rPr>
        <w:t>solicitó lo siguiente:</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p>
    <w:p w:rsidR="00F92F3E" w:rsidRPr="00613727" w:rsidRDefault="00F92F3E" w:rsidP="003D70CB">
      <w:pPr>
        <w:pStyle w:val="Prrafodelista"/>
        <w:spacing w:line="360" w:lineRule="auto"/>
        <w:ind w:left="851" w:right="822"/>
        <w:jc w:val="both"/>
        <w:rPr>
          <w:rFonts w:ascii="Palatino Linotype" w:hAnsi="Palatino Linotype"/>
          <w:i/>
          <w:color w:val="000000"/>
          <w:sz w:val="24"/>
        </w:rPr>
      </w:pPr>
      <w:r w:rsidRPr="00613727">
        <w:rPr>
          <w:rFonts w:ascii="Palatino Linotype" w:hAnsi="Palatino Linotype"/>
          <w:i/>
          <w:color w:val="000000"/>
          <w:sz w:val="24"/>
        </w:rPr>
        <w:t>“</w:t>
      </w:r>
      <w:r w:rsidR="003D70CB" w:rsidRPr="00613727">
        <w:rPr>
          <w:rFonts w:ascii="Palatino Linotype" w:hAnsi="Palatino Linotype"/>
          <w:i/>
          <w:color w:val="000000"/>
          <w:sz w:val="24"/>
        </w:rPr>
        <w:t xml:space="preserve">REQUIERO CONOCER CUALES HAN SIDO LAS ACCIONES QUE SE IMPLEMENTARON PARA LA protección a la mujer y a las niñas, niños y adolescentes DURANTE TODA LA PRESENTE ADMINISTRACIÓN 2022-2024. SI REALMENTE HUBO ALGUNA MEJORÍA RESPECTO DE LA ADMINISTRACIÓN PASADA. YA QUE SE QUERÍAN QUEDAR A ROER EL HUESO POR TRES AÑOS MAS, ME INTERESA MUCHO SABER Y CONOCER CUAL FUE LA MEJORÍA Y SU DIQUE CAPACIDAD PARA </w:t>
      </w:r>
      <w:r w:rsidR="003D70CB" w:rsidRPr="00613727">
        <w:rPr>
          <w:rFonts w:ascii="Palatino Linotype" w:hAnsi="Palatino Linotype"/>
          <w:i/>
          <w:color w:val="000000"/>
          <w:sz w:val="24"/>
        </w:rPr>
        <w:lastRenderedPageBreak/>
        <w:t>GOBERNAR. SOLICITO AMABLEMENTE QUE ME ENVIEN UN INFORME COMPARATIVO SOBRE ESE TEMA, RESPECTO DE LA PRESENTE Y PASADA ADMINISTRACION DEL SISTEMA DIF LA PAZ GRACIAS :)</w:t>
      </w:r>
      <w:r w:rsidRPr="00613727">
        <w:rPr>
          <w:rFonts w:ascii="Palatino Linotype" w:hAnsi="Palatino Linotype"/>
          <w:i/>
          <w:color w:val="000000"/>
          <w:sz w:val="24"/>
        </w:rPr>
        <w:t xml:space="preserve">” (Sic) </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hAnsi="Palatino Linotype" w:cs="Arial"/>
          <w:sz w:val="24"/>
          <w:lang w:val="es-ES" w:eastAsia="es-ES"/>
        </w:rPr>
        <w:t>Se señaló como modalidad de entrega a través de SAIMEX.</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p>
    <w:p w:rsidR="00F92F3E" w:rsidRPr="00613727" w:rsidRDefault="003D70CB"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hAnsi="Palatino Linotype" w:cs="Arial"/>
          <w:sz w:val="24"/>
          <w:lang w:val="es-ES" w:eastAsia="es-ES"/>
        </w:rPr>
        <w:t>El ocho (08) de julio</w:t>
      </w:r>
      <w:r w:rsidR="00F92F3E" w:rsidRPr="00613727">
        <w:rPr>
          <w:rFonts w:ascii="Palatino Linotype" w:hAnsi="Palatino Linotype" w:cs="Arial"/>
          <w:sz w:val="24"/>
          <w:lang w:val="es-ES" w:eastAsia="es-ES"/>
        </w:rPr>
        <w:t xml:space="preserve"> de dos mil veinticuatro, se realizó un requerimiento al servidor público habilitado. </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hAnsi="Palatino Linotype" w:cs="Arial"/>
          <w:sz w:val="24"/>
          <w:lang w:val="es-ES" w:eastAsia="es-ES"/>
        </w:rPr>
        <w:t xml:space="preserve">El </w:t>
      </w:r>
      <w:r w:rsidR="003D70CB" w:rsidRPr="00613727">
        <w:rPr>
          <w:rFonts w:ascii="Palatino Linotype" w:hAnsi="Palatino Linotype" w:cs="Arial"/>
          <w:sz w:val="24"/>
          <w:lang w:val="es-ES" w:eastAsia="es-ES"/>
        </w:rPr>
        <w:t xml:space="preserve">ocho (08) de julio </w:t>
      </w:r>
      <w:r w:rsidRPr="00613727">
        <w:rPr>
          <w:rFonts w:ascii="Palatino Linotype" w:hAnsi="Palatino Linotype" w:cs="Arial"/>
          <w:sz w:val="24"/>
          <w:lang w:val="es-ES" w:eastAsia="es-ES"/>
        </w:rPr>
        <w:t>de dos mil veinticuatro, El Sujeto Obligado dio respuesta a la solicitud de información en los siguientes términos:</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p>
    <w:tbl>
      <w:tblPr>
        <w:tblW w:w="7552" w:type="dxa"/>
        <w:jc w:val="center"/>
        <w:tblCellSpacing w:w="0" w:type="dxa"/>
        <w:tblCellMar>
          <w:left w:w="0" w:type="dxa"/>
          <w:right w:w="0" w:type="dxa"/>
        </w:tblCellMar>
        <w:tblLook w:val="04A0" w:firstRow="1" w:lastRow="0" w:firstColumn="1" w:lastColumn="0" w:noHBand="0" w:noVBand="1"/>
      </w:tblPr>
      <w:tblGrid>
        <w:gridCol w:w="7552"/>
      </w:tblGrid>
      <w:tr w:rsidR="003D70CB" w:rsidRPr="00613727" w:rsidTr="003D70CB">
        <w:trPr>
          <w:trHeight w:val="323"/>
          <w:tblCellSpacing w:w="0" w:type="dxa"/>
          <w:jc w:val="center"/>
        </w:trPr>
        <w:tc>
          <w:tcPr>
            <w:tcW w:w="0" w:type="auto"/>
            <w:vAlign w:val="center"/>
            <w:hideMark/>
          </w:tcPr>
          <w:p w:rsidR="003D70CB" w:rsidRPr="00613727" w:rsidRDefault="003D70CB" w:rsidP="003D70CB">
            <w:pPr>
              <w:jc w:val="right"/>
              <w:rPr>
                <w:rFonts w:ascii="Palatino Linotype" w:hAnsi="Palatino Linotype"/>
                <w:i/>
                <w:sz w:val="22"/>
              </w:rPr>
            </w:pPr>
            <w:r w:rsidRPr="00613727">
              <w:rPr>
                <w:rFonts w:ascii="Palatino Linotype" w:hAnsi="Palatino Linotype"/>
                <w:i/>
                <w:sz w:val="22"/>
              </w:rPr>
              <w:t>l Para el Desarrollo Integral de la Familia de la Paz, México a 08 de Julio de 2024</w:t>
            </w:r>
          </w:p>
        </w:tc>
      </w:tr>
      <w:tr w:rsidR="003D70CB" w:rsidRPr="00613727" w:rsidTr="003D70CB">
        <w:trPr>
          <w:trHeight w:val="323"/>
          <w:tblCellSpacing w:w="0" w:type="dxa"/>
          <w:jc w:val="center"/>
        </w:trPr>
        <w:tc>
          <w:tcPr>
            <w:tcW w:w="0" w:type="auto"/>
            <w:vAlign w:val="center"/>
            <w:hideMark/>
          </w:tcPr>
          <w:p w:rsidR="003D70CB" w:rsidRPr="00613727" w:rsidRDefault="003D70CB" w:rsidP="003D70CB">
            <w:pPr>
              <w:jc w:val="right"/>
              <w:rPr>
                <w:rFonts w:ascii="Palatino Linotype" w:hAnsi="Palatino Linotype"/>
                <w:i/>
                <w:sz w:val="22"/>
              </w:rPr>
            </w:pPr>
            <w:r w:rsidRPr="00613727">
              <w:rPr>
                <w:rFonts w:ascii="Palatino Linotype" w:hAnsi="Palatino Linotype"/>
                <w:i/>
                <w:sz w:val="22"/>
              </w:rPr>
              <w:t>Nombre del solicitante: C. Solicitante</w:t>
            </w:r>
          </w:p>
        </w:tc>
      </w:tr>
      <w:tr w:rsidR="003D70CB" w:rsidRPr="00613727" w:rsidTr="003D70CB">
        <w:trPr>
          <w:trHeight w:val="323"/>
          <w:tblCellSpacing w:w="0" w:type="dxa"/>
          <w:jc w:val="center"/>
        </w:trPr>
        <w:tc>
          <w:tcPr>
            <w:tcW w:w="0" w:type="auto"/>
            <w:vAlign w:val="center"/>
            <w:hideMark/>
          </w:tcPr>
          <w:p w:rsidR="003D70CB" w:rsidRPr="00613727" w:rsidRDefault="003D70CB" w:rsidP="003D70CB">
            <w:pPr>
              <w:jc w:val="right"/>
              <w:rPr>
                <w:rFonts w:ascii="Palatino Linotype" w:hAnsi="Palatino Linotype"/>
                <w:i/>
                <w:sz w:val="22"/>
              </w:rPr>
            </w:pPr>
            <w:r w:rsidRPr="00613727">
              <w:rPr>
                <w:rFonts w:ascii="Palatino Linotype" w:hAnsi="Palatino Linotype"/>
                <w:i/>
                <w:sz w:val="22"/>
              </w:rPr>
              <w:t>Folio de la solicitud: 00056/DIFLAPAZ/IP/2024</w:t>
            </w:r>
          </w:p>
        </w:tc>
      </w:tr>
      <w:tr w:rsidR="003D70CB" w:rsidRPr="00613727" w:rsidTr="003D70CB">
        <w:trPr>
          <w:trHeight w:val="485"/>
          <w:tblCellSpacing w:w="0" w:type="dxa"/>
          <w:jc w:val="center"/>
        </w:trPr>
        <w:tc>
          <w:tcPr>
            <w:tcW w:w="0" w:type="auto"/>
            <w:vAlign w:val="center"/>
            <w:hideMark/>
          </w:tcPr>
          <w:p w:rsidR="003D70CB" w:rsidRPr="00613727" w:rsidRDefault="003D70CB" w:rsidP="003D70CB">
            <w:pPr>
              <w:jc w:val="right"/>
              <w:rPr>
                <w:rFonts w:ascii="Palatino Linotype" w:hAnsi="Palatino Linotype"/>
                <w:i/>
                <w:sz w:val="22"/>
              </w:rPr>
            </w:pPr>
          </w:p>
        </w:tc>
      </w:tr>
      <w:tr w:rsidR="003D70CB" w:rsidRPr="00613727" w:rsidTr="003D70CB">
        <w:trPr>
          <w:trHeight w:val="161"/>
          <w:tblCellSpacing w:w="0" w:type="dxa"/>
          <w:jc w:val="center"/>
        </w:trPr>
        <w:tc>
          <w:tcPr>
            <w:tcW w:w="0" w:type="auto"/>
            <w:vAlign w:val="center"/>
            <w:hideMark/>
          </w:tcPr>
          <w:p w:rsidR="003D70CB" w:rsidRPr="00613727" w:rsidRDefault="003D70CB" w:rsidP="003D70CB">
            <w:pPr>
              <w:jc w:val="both"/>
              <w:rPr>
                <w:rFonts w:ascii="Palatino Linotype" w:hAnsi="Palatino Linotype"/>
                <w:i/>
                <w:sz w:val="22"/>
              </w:rPr>
            </w:pPr>
            <w:r w:rsidRPr="00613727">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D70CB" w:rsidRPr="00613727" w:rsidTr="003D70CB">
        <w:trPr>
          <w:trHeight w:val="404"/>
          <w:tblCellSpacing w:w="0" w:type="dxa"/>
          <w:jc w:val="center"/>
        </w:trPr>
        <w:tc>
          <w:tcPr>
            <w:tcW w:w="0" w:type="auto"/>
            <w:vAlign w:val="center"/>
            <w:hideMark/>
          </w:tcPr>
          <w:p w:rsidR="003D70CB" w:rsidRPr="00613727" w:rsidRDefault="003D70CB" w:rsidP="003D70CB">
            <w:pPr>
              <w:jc w:val="both"/>
              <w:rPr>
                <w:rFonts w:ascii="Palatino Linotype" w:hAnsi="Palatino Linotype"/>
                <w:i/>
                <w:sz w:val="22"/>
              </w:rPr>
            </w:pPr>
          </w:p>
        </w:tc>
      </w:tr>
      <w:tr w:rsidR="003D70CB" w:rsidRPr="00613727" w:rsidTr="003D70CB">
        <w:trPr>
          <w:trHeight w:val="161"/>
          <w:tblCellSpacing w:w="0" w:type="dxa"/>
          <w:jc w:val="center"/>
        </w:trPr>
        <w:tc>
          <w:tcPr>
            <w:tcW w:w="0" w:type="auto"/>
            <w:vAlign w:val="center"/>
            <w:hideMark/>
          </w:tcPr>
          <w:p w:rsidR="003D70CB" w:rsidRPr="00613727" w:rsidRDefault="003D70CB" w:rsidP="003D70CB">
            <w:pPr>
              <w:jc w:val="both"/>
              <w:rPr>
                <w:rFonts w:ascii="Palatino Linotype" w:hAnsi="Palatino Linotype"/>
                <w:i/>
                <w:sz w:val="22"/>
              </w:rPr>
            </w:pPr>
            <w:r w:rsidRPr="00613727">
              <w:rPr>
                <w:rFonts w:ascii="Palatino Linotype" w:hAnsi="Palatino Linotype"/>
                <w:i/>
                <w:sz w:val="22"/>
              </w:rPr>
              <w:t xml:space="preserve">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w:t>
            </w:r>
            <w:r w:rsidRPr="00613727">
              <w:rPr>
                <w:rFonts w:ascii="Palatino Linotype" w:hAnsi="Palatino Linotype"/>
                <w:i/>
                <w:sz w:val="22"/>
              </w:rPr>
              <w:lastRenderedPageBreak/>
              <w:t>TRANSPARENCIA DEL SISTEMA MUNICIPAL PARA EL DESARROLLO INTEGRAL FAMILIAR LA PAZ, ESTADO DE MÉXICO.</w:t>
            </w:r>
          </w:p>
        </w:tc>
      </w:tr>
      <w:tr w:rsidR="003D70CB" w:rsidRPr="00613727" w:rsidTr="003D70CB">
        <w:trPr>
          <w:trHeight w:val="404"/>
          <w:tblCellSpacing w:w="0" w:type="dxa"/>
          <w:jc w:val="center"/>
        </w:trPr>
        <w:tc>
          <w:tcPr>
            <w:tcW w:w="0" w:type="auto"/>
            <w:vAlign w:val="center"/>
            <w:hideMark/>
          </w:tcPr>
          <w:p w:rsidR="003D70CB" w:rsidRPr="00613727" w:rsidRDefault="003D70CB" w:rsidP="003D70CB">
            <w:pPr>
              <w:rPr>
                <w:rFonts w:ascii="Palatino Linotype" w:hAnsi="Palatino Linotype"/>
                <w:i/>
                <w:sz w:val="22"/>
              </w:rPr>
            </w:pPr>
          </w:p>
        </w:tc>
      </w:tr>
      <w:tr w:rsidR="003D70CB" w:rsidRPr="00613727" w:rsidTr="003D70CB">
        <w:trPr>
          <w:trHeight w:val="161"/>
          <w:tblCellSpacing w:w="0" w:type="dxa"/>
          <w:jc w:val="center"/>
        </w:trPr>
        <w:tc>
          <w:tcPr>
            <w:tcW w:w="0" w:type="auto"/>
            <w:vAlign w:val="center"/>
            <w:hideMark/>
          </w:tcPr>
          <w:p w:rsidR="003D70CB" w:rsidRPr="00613727" w:rsidRDefault="003D70CB" w:rsidP="003D70CB">
            <w:pPr>
              <w:jc w:val="center"/>
              <w:rPr>
                <w:rFonts w:ascii="Palatino Linotype" w:hAnsi="Palatino Linotype"/>
                <w:i/>
                <w:sz w:val="22"/>
              </w:rPr>
            </w:pPr>
          </w:p>
        </w:tc>
      </w:tr>
      <w:tr w:rsidR="003D70CB" w:rsidRPr="00613727" w:rsidTr="003D70CB">
        <w:trPr>
          <w:trHeight w:val="161"/>
          <w:tblCellSpacing w:w="0" w:type="dxa"/>
          <w:jc w:val="center"/>
        </w:trPr>
        <w:tc>
          <w:tcPr>
            <w:tcW w:w="0" w:type="auto"/>
            <w:vAlign w:val="center"/>
            <w:hideMark/>
          </w:tcPr>
          <w:p w:rsidR="003D70CB" w:rsidRPr="00613727" w:rsidRDefault="003D70CB" w:rsidP="003D70CB">
            <w:pPr>
              <w:rPr>
                <w:rFonts w:ascii="Palatino Linotype" w:hAnsi="Palatino Linotype"/>
                <w:i/>
                <w:sz w:val="22"/>
              </w:rPr>
            </w:pPr>
          </w:p>
        </w:tc>
      </w:tr>
      <w:tr w:rsidR="003D70CB" w:rsidRPr="00613727" w:rsidTr="003D70CB">
        <w:trPr>
          <w:trHeight w:val="161"/>
          <w:tblCellSpacing w:w="0" w:type="dxa"/>
          <w:jc w:val="center"/>
        </w:trPr>
        <w:tc>
          <w:tcPr>
            <w:tcW w:w="0" w:type="auto"/>
            <w:vAlign w:val="center"/>
            <w:hideMark/>
          </w:tcPr>
          <w:p w:rsidR="003D70CB" w:rsidRPr="00613727" w:rsidRDefault="003D70CB" w:rsidP="003D70CB">
            <w:pPr>
              <w:rPr>
                <w:rFonts w:ascii="Palatino Linotype" w:hAnsi="Palatino Linotype"/>
                <w:i/>
                <w:sz w:val="22"/>
              </w:rPr>
            </w:pPr>
            <w:r w:rsidRPr="00613727">
              <w:rPr>
                <w:rFonts w:ascii="Palatino Linotype" w:hAnsi="Palatino Linotype"/>
                <w:i/>
                <w:sz w:val="22"/>
              </w:rPr>
              <w:t>ATENTAMENTE</w:t>
            </w:r>
          </w:p>
        </w:tc>
      </w:tr>
      <w:tr w:rsidR="003D70CB" w:rsidRPr="00613727" w:rsidTr="003D70CB">
        <w:trPr>
          <w:trHeight w:val="242"/>
          <w:tblCellSpacing w:w="0" w:type="dxa"/>
          <w:jc w:val="center"/>
        </w:trPr>
        <w:tc>
          <w:tcPr>
            <w:tcW w:w="0" w:type="auto"/>
            <w:vAlign w:val="center"/>
            <w:hideMark/>
          </w:tcPr>
          <w:p w:rsidR="003D70CB" w:rsidRPr="00613727" w:rsidRDefault="003D70CB" w:rsidP="003D70CB">
            <w:pPr>
              <w:rPr>
                <w:rFonts w:ascii="Palatino Linotype" w:hAnsi="Palatino Linotype"/>
                <w:i/>
                <w:sz w:val="22"/>
              </w:rPr>
            </w:pPr>
          </w:p>
        </w:tc>
      </w:tr>
      <w:tr w:rsidR="003D70CB" w:rsidRPr="00613727" w:rsidTr="003D70CB">
        <w:trPr>
          <w:trHeight w:val="161"/>
          <w:tblCellSpacing w:w="0" w:type="dxa"/>
          <w:jc w:val="center"/>
        </w:trPr>
        <w:tc>
          <w:tcPr>
            <w:tcW w:w="0" w:type="auto"/>
            <w:vAlign w:val="center"/>
            <w:hideMark/>
          </w:tcPr>
          <w:p w:rsidR="003D70CB" w:rsidRPr="00613727" w:rsidRDefault="003D70CB" w:rsidP="003D70CB">
            <w:pPr>
              <w:rPr>
                <w:rFonts w:ascii="Palatino Linotype" w:hAnsi="Palatino Linotype"/>
                <w:i/>
                <w:sz w:val="22"/>
              </w:rPr>
            </w:pPr>
            <w:r w:rsidRPr="00613727">
              <w:rPr>
                <w:rFonts w:ascii="Palatino Linotype" w:hAnsi="Palatino Linotype"/>
                <w:i/>
                <w:sz w:val="22"/>
              </w:rPr>
              <w:t>LIC. YETNALESSI SELENE DE LÁZARO CRUZ</w:t>
            </w:r>
          </w:p>
        </w:tc>
      </w:tr>
    </w:tbl>
    <w:p w:rsidR="00F92F3E" w:rsidRPr="00613727" w:rsidRDefault="00F92F3E" w:rsidP="00F92F3E">
      <w:pPr>
        <w:pStyle w:val="Prrafodelista"/>
        <w:spacing w:line="360" w:lineRule="auto"/>
        <w:jc w:val="both"/>
        <w:rPr>
          <w:rFonts w:ascii="Palatino Linotype" w:hAnsi="Palatino Linotype" w:cs="Arial"/>
          <w:b/>
          <w:sz w:val="24"/>
          <w:lang w:val="es-ES" w:eastAsia="es-ES"/>
        </w:rPr>
      </w:pP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eastAsia="Calibri" w:hAnsi="Palatino Linotype" w:cs="Arial"/>
          <w:sz w:val="24"/>
          <w:lang w:val="es-AR" w:eastAsia="es-ES"/>
        </w:rPr>
        <w:t xml:space="preserve">El </w:t>
      </w:r>
      <w:r w:rsidR="003D70CB" w:rsidRPr="00613727">
        <w:rPr>
          <w:rFonts w:ascii="Palatino Linotype" w:eastAsia="Calibri" w:hAnsi="Palatino Linotype" w:cs="Arial"/>
          <w:sz w:val="24"/>
          <w:lang w:val="es-AR" w:eastAsia="es-ES"/>
        </w:rPr>
        <w:t>nueve (09) de julio</w:t>
      </w:r>
      <w:r w:rsidRPr="00613727">
        <w:rPr>
          <w:rFonts w:ascii="Palatino Linotype" w:eastAsia="Calibri" w:hAnsi="Palatino Linotype" w:cs="Arial"/>
          <w:sz w:val="24"/>
          <w:lang w:val="es-AR" w:eastAsia="es-ES"/>
        </w:rPr>
        <w:t xml:space="preserve"> de dos mil veinticuatro</w:t>
      </w:r>
      <w:r w:rsidRPr="00613727">
        <w:rPr>
          <w:rFonts w:ascii="Palatino Linotype" w:hAnsi="Palatino Linotype" w:cs="Arial"/>
          <w:sz w:val="24"/>
          <w:lang w:val="es-ES" w:eastAsia="es-ES"/>
        </w:rPr>
        <w:t xml:space="preserve">, </w:t>
      </w:r>
      <w:r w:rsidRPr="00613727">
        <w:rPr>
          <w:rFonts w:ascii="Palatino Linotype" w:eastAsiaTheme="minorEastAsia" w:hAnsi="Palatino Linotype"/>
          <w:b/>
          <w:sz w:val="24"/>
          <w:lang w:val="es-ES_tradnl" w:eastAsia="es-ES"/>
        </w:rPr>
        <w:t>EL RECURRENTE</w:t>
      </w:r>
      <w:r w:rsidRPr="00613727">
        <w:rPr>
          <w:rFonts w:ascii="Palatino Linotype" w:hAnsi="Palatino Linotype" w:cs="Arial"/>
          <w:sz w:val="24"/>
          <w:lang w:val="es-ES" w:eastAsia="es-ES"/>
        </w:rPr>
        <w:t xml:space="preserve"> interpuso el recurso de revisión, en contra de la respuesta, señalando como:</w:t>
      </w:r>
    </w:p>
    <w:p w:rsidR="00F92F3E" w:rsidRPr="00613727" w:rsidRDefault="00F92F3E" w:rsidP="00613727">
      <w:pPr>
        <w:pStyle w:val="Prrafodelista"/>
        <w:numPr>
          <w:ilvl w:val="0"/>
          <w:numId w:val="16"/>
        </w:numPr>
        <w:spacing w:line="360" w:lineRule="auto"/>
        <w:ind w:right="1105"/>
        <w:jc w:val="both"/>
        <w:rPr>
          <w:rFonts w:ascii="Palatino Linotype" w:eastAsia="Calibri" w:hAnsi="Palatino Linotype" w:cs="Arial"/>
          <w:i/>
          <w:lang w:val="es-ES" w:eastAsia="es-ES"/>
        </w:rPr>
      </w:pPr>
      <w:r w:rsidRPr="00613727">
        <w:rPr>
          <w:rFonts w:ascii="Palatino Linotype" w:eastAsiaTheme="minorEastAsia" w:hAnsi="Palatino Linotype"/>
          <w:b/>
          <w:lang w:val="es-ES_tradnl" w:eastAsia="es-ES"/>
        </w:rPr>
        <w:t>Acto impugnado</w:t>
      </w:r>
      <w:r w:rsidRPr="00613727">
        <w:rPr>
          <w:rFonts w:ascii="Palatino Linotype" w:eastAsiaTheme="minorEastAsia" w:hAnsi="Palatino Linotype"/>
          <w:b/>
          <w:i/>
          <w:lang w:val="es-ES_tradnl" w:eastAsia="es-ES"/>
        </w:rPr>
        <w:t>:</w:t>
      </w:r>
      <w:r w:rsidRPr="00613727">
        <w:rPr>
          <w:rFonts w:ascii="Palatino Linotype" w:hAnsi="Palatino Linotype"/>
          <w:i/>
          <w:color w:val="000000"/>
        </w:rPr>
        <w:t xml:space="preserve"> “</w:t>
      </w:r>
      <w:r w:rsidR="003D70CB" w:rsidRPr="00613727">
        <w:rPr>
          <w:rFonts w:ascii="Palatino Linotype" w:hAnsi="Palatino Linotype"/>
          <w:i/>
          <w:color w:val="000000"/>
        </w:rPr>
        <w:t xml:space="preserve">EL SISTEMA DIF ENVIA UNA RESPUESTA EN BLANCO CON LA FINALIDAD DE NO HACER LA ENTREGA DE LA INFORMACIÓN SOLICITADA </w:t>
      </w:r>
      <w:r w:rsidRPr="00613727">
        <w:rPr>
          <w:rFonts w:ascii="Palatino Linotype" w:hAnsi="Palatino Linotype"/>
          <w:i/>
          <w:color w:val="000000"/>
        </w:rPr>
        <w:t>" (Sic)</w:t>
      </w:r>
    </w:p>
    <w:p w:rsidR="00F92F3E" w:rsidRPr="00613727" w:rsidRDefault="00F92F3E" w:rsidP="00613727">
      <w:pPr>
        <w:pStyle w:val="Prrafodelista"/>
        <w:numPr>
          <w:ilvl w:val="0"/>
          <w:numId w:val="16"/>
        </w:numPr>
        <w:spacing w:line="360" w:lineRule="auto"/>
        <w:ind w:right="1105"/>
        <w:jc w:val="both"/>
        <w:rPr>
          <w:rFonts w:ascii="Palatino Linotype" w:eastAsiaTheme="minorEastAsia" w:hAnsi="Palatino Linotype"/>
          <w:b/>
          <w:lang w:val="es-ES_tradnl" w:eastAsia="es-ES"/>
        </w:rPr>
      </w:pPr>
      <w:r w:rsidRPr="00613727">
        <w:rPr>
          <w:rFonts w:ascii="Palatino Linotype" w:eastAsiaTheme="minorEastAsia" w:hAnsi="Palatino Linotype"/>
          <w:b/>
          <w:lang w:val="es-ES_tradnl" w:eastAsia="es-ES"/>
        </w:rPr>
        <w:t xml:space="preserve">Razones o Motivos de inconformidad: </w:t>
      </w:r>
      <w:r w:rsidRPr="00613727">
        <w:rPr>
          <w:rFonts w:ascii="Palatino Linotype" w:eastAsiaTheme="minorEastAsia" w:hAnsi="Palatino Linotype"/>
          <w:i/>
          <w:lang w:eastAsia="es-ES"/>
        </w:rPr>
        <w:t>"</w:t>
      </w:r>
      <w:r w:rsidR="003D70CB" w:rsidRPr="00613727">
        <w:rPr>
          <w:rFonts w:ascii="Palatino Linotype" w:eastAsiaTheme="minorEastAsia" w:hAnsi="Palatino Linotype"/>
          <w:i/>
          <w:lang w:eastAsia="es-ES"/>
        </w:rPr>
        <w:t xml:space="preserve">EL SISTEMA DIF ENVIA UNA RESPUESTA EN BLANCO CON LA FINALIDAD DE NO HACER LA ENTREGA DE LA INFORMACIÓN SOLICITADA </w:t>
      </w:r>
      <w:r w:rsidRPr="00613727">
        <w:rPr>
          <w:rFonts w:ascii="Palatino Linotype" w:eastAsiaTheme="minorEastAsia" w:hAnsi="Palatino Linotype"/>
          <w:i/>
          <w:lang w:eastAsia="es-ES"/>
        </w:rPr>
        <w:t>" (Sic)</w:t>
      </w:r>
    </w:p>
    <w:p w:rsidR="00F92F3E" w:rsidRPr="00613727" w:rsidRDefault="00F92F3E" w:rsidP="00F92F3E">
      <w:pPr>
        <w:spacing w:line="360" w:lineRule="auto"/>
        <w:ind w:right="567"/>
        <w:contextualSpacing/>
        <w:jc w:val="both"/>
        <w:rPr>
          <w:rFonts w:ascii="Palatino Linotype" w:hAnsi="Palatino Linotype" w:cs="Arial"/>
        </w:rPr>
      </w:pP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hAnsi="Palatino Linotype" w:cs="Arial"/>
          <w:sz w:val="24"/>
          <w:lang w:val="es-ES" w:eastAsia="es-ES"/>
        </w:rPr>
        <w:t xml:space="preserve">Se registró el recurso de revisión bajo el número de expediente </w:t>
      </w:r>
      <w:r w:rsidRPr="00613727">
        <w:rPr>
          <w:rFonts w:ascii="Palatino Linotype" w:eastAsiaTheme="minorEastAsia" w:hAnsi="Palatino Linotype" w:cs="Arial"/>
          <w:bCs/>
          <w:sz w:val="24"/>
          <w:lang w:val="es-ES_tradnl" w:eastAsia="es-ES"/>
        </w:rPr>
        <w:t xml:space="preserve">al rubro indicado, asimismo con fundamento en lo dispuesto por el </w:t>
      </w:r>
      <w:r w:rsidRPr="00613727">
        <w:rPr>
          <w:rFonts w:ascii="Palatino Linotype" w:eastAsia="Calibri" w:hAnsi="Palatino Linotype" w:cs="Arial"/>
          <w:sz w:val="24"/>
          <w:lang w:val="es-ES" w:eastAsia="es-ES"/>
        </w:rPr>
        <w:t xml:space="preserve">artículo 185 fracción I de la </w:t>
      </w:r>
      <w:r w:rsidRPr="00613727">
        <w:rPr>
          <w:rFonts w:ascii="Palatino Linotype" w:eastAsia="Calibri" w:hAnsi="Palatino Linotype" w:cs="Arial"/>
          <w:b/>
          <w:sz w:val="24"/>
          <w:lang w:val="es-ES" w:eastAsia="es-ES"/>
        </w:rPr>
        <w:t xml:space="preserve">Ley de Transparencia y Acceso a la Información Pública del Estado de México y Municipios </w:t>
      </w:r>
      <w:r w:rsidR="00613727">
        <w:rPr>
          <w:rFonts w:ascii="Palatino Linotype" w:hAnsi="Palatino Linotype" w:cs="Arial"/>
          <w:sz w:val="24"/>
          <w:lang w:val="es-ES" w:eastAsia="es-ES"/>
        </w:rPr>
        <w:t>se turna</w:t>
      </w:r>
      <w:r w:rsidRPr="00613727">
        <w:rPr>
          <w:rFonts w:ascii="Palatino Linotype" w:hAnsi="Palatino Linotype" w:cs="Arial"/>
          <w:sz w:val="24"/>
          <w:lang w:val="es-ES" w:eastAsia="es-ES"/>
        </w:rPr>
        <w:t xml:space="preserve"> a la </w:t>
      </w:r>
      <w:r w:rsidRPr="00613727">
        <w:rPr>
          <w:rFonts w:ascii="Palatino Linotype" w:hAnsi="Palatino Linotype" w:cs="Arial"/>
          <w:b/>
          <w:sz w:val="24"/>
          <w:lang w:val="es-ES" w:eastAsia="es-ES"/>
        </w:rPr>
        <w:t xml:space="preserve">Comisionada María del Rosario Mejía Ayala, </w:t>
      </w:r>
      <w:r w:rsidR="00613727">
        <w:rPr>
          <w:rFonts w:ascii="Palatino Linotype" w:hAnsi="Palatino Linotype" w:cs="Arial"/>
          <w:sz w:val="24"/>
          <w:lang w:val="es-ES" w:eastAsia="es-ES"/>
        </w:rPr>
        <w:t>para</w:t>
      </w:r>
      <w:r w:rsidRPr="00613727">
        <w:rPr>
          <w:rFonts w:ascii="Palatino Linotype" w:hAnsi="Palatino Linotype" w:cs="Arial"/>
          <w:sz w:val="24"/>
          <w:lang w:val="es-ES" w:eastAsia="es-ES"/>
        </w:rPr>
        <w:t xml:space="preserve"> </w:t>
      </w:r>
      <w:r w:rsidRPr="00613727">
        <w:rPr>
          <w:rFonts w:ascii="Palatino Linotype" w:hAnsi="Palatino Linotype" w:cs="Arial"/>
          <w:sz w:val="24"/>
          <w:lang w:eastAsia="es-ES"/>
        </w:rPr>
        <w:t xml:space="preserve">su análisis. </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p>
    <w:p w:rsidR="00F92F3E" w:rsidRPr="00613727" w:rsidRDefault="00613727"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La Comisionada</w:t>
      </w:r>
      <w:r w:rsidR="00F92F3E" w:rsidRPr="00613727">
        <w:rPr>
          <w:rFonts w:ascii="Palatino Linotype" w:eastAsia="Calibri" w:hAnsi="Palatino Linotype" w:cs="Arial"/>
          <w:sz w:val="24"/>
          <w:lang w:val="es-ES" w:eastAsia="es-ES"/>
        </w:rPr>
        <w:t xml:space="preserve"> Ponente con fundamento en lo dispuesto por el artículo 185 fracción II de la ley de la materia, a través del acuerdo de admisión del </w:t>
      </w:r>
      <w:r w:rsidR="003D70CB" w:rsidRPr="00613727">
        <w:rPr>
          <w:rFonts w:ascii="Palatino Linotype" w:eastAsia="Calibri" w:hAnsi="Palatino Linotype" w:cs="Arial"/>
          <w:sz w:val="24"/>
          <w:lang w:val="es-ES" w:eastAsia="es-ES"/>
        </w:rPr>
        <w:t>doce (12) de julio</w:t>
      </w:r>
      <w:r w:rsidR="00F92F3E" w:rsidRPr="00613727">
        <w:rPr>
          <w:rFonts w:ascii="Palatino Linotype" w:eastAsia="Calibri" w:hAnsi="Palatino Linotype" w:cs="Arial"/>
          <w:sz w:val="24"/>
          <w:lang w:val="es-ES" w:eastAsia="es-ES"/>
        </w:rPr>
        <w:t xml:space="preserve"> de dos mil veinticuatro, puso a disposición de las partes el expediente electrónico </w:t>
      </w:r>
      <w:r w:rsidR="00F92F3E" w:rsidRPr="00613727">
        <w:rPr>
          <w:rFonts w:ascii="Palatino Linotype" w:eastAsia="Calibri" w:hAnsi="Palatino Linotype" w:cs="Arial"/>
          <w:sz w:val="24"/>
          <w:lang w:val="es-ES_tradnl" w:eastAsia="es-ES"/>
        </w:rPr>
        <w:t xml:space="preserve">vía </w:t>
      </w:r>
      <w:r w:rsidR="00F92F3E" w:rsidRPr="00613727">
        <w:rPr>
          <w:rFonts w:ascii="Palatino Linotype" w:eastAsia="Calibri" w:hAnsi="Palatino Linotype" w:cs="Arial"/>
          <w:b/>
          <w:sz w:val="24"/>
          <w:lang w:val="es-ES" w:eastAsia="es-ES"/>
        </w:rPr>
        <w:t xml:space="preserve">SAIMEX </w:t>
      </w:r>
      <w:r w:rsidR="00F92F3E" w:rsidRPr="00613727">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00F92F3E" w:rsidRPr="00613727">
        <w:rPr>
          <w:rFonts w:ascii="Palatino Linotype" w:eastAsia="Calibri" w:hAnsi="Palatino Linotype" w:cs="Arial"/>
          <w:b/>
          <w:sz w:val="24"/>
          <w:lang w:val="es-ES" w:eastAsia="es-ES"/>
        </w:rPr>
        <w:t>SUJETO OBLIGADO</w:t>
      </w:r>
      <w:r w:rsidR="00F92F3E" w:rsidRPr="00613727">
        <w:rPr>
          <w:rFonts w:ascii="Palatino Linotype" w:eastAsia="Calibri" w:hAnsi="Palatino Linotype" w:cs="Arial"/>
          <w:sz w:val="24"/>
          <w:lang w:val="es-ES" w:eastAsia="es-ES"/>
        </w:rPr>
        <w:t xml:space="preserve"> presentara el informe justificado procedente. </w:t>
      </w: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eastAsia="Calibri" w:hAnsi="Palatino Linotype" w:cs="Arial"/>
          <w:sz w:val="24"/>
          <w:lang w:val="es-ES" w:eastAsia="es-ES"/>
        </w:rPr>
        <w:lastRenderedPageBreak/>
        <w:t xml:space="preserve">De las constancias del expediente electrónico SAIMEX se advierte que el Recurrente no realizó manifestaciones; </w:t>
      </w:r>
      <w:r w:rsidRPr="00613727">
        <w:rPr>
          <w:rFonts w:ascii="Palatino Linotype" w:hAnsi="Palatino Linotype" w:cs="Arial"/>
          <w:sz w:val="24"/>
          <w:lang w:val="es-ES" w:eastAsia="es-ES"/>
        </w:rPr>
        <w:t>p</w:t>
      </w:r>
      <w:r w:rsidRPr="00613727">
        <w:rPr>
          <w:rFonts w:ascii="Palatino Linotype" w:eastAsia="Calibri" w:hAnsi="Palatino Linotype" w:cs="Arial"/>
          <w:sz w:val="24"/>
          <w:lang w:val="es-ES" w:eastAsia="es-ES"/>
        </w:rPr>
        <w:t>or su parte, el Sujeto Obligado</w:t>
      </w:r>
      <w:r w:rsidR="003D70CB" w:rsidRPr="00613727">
        <w:rPr>
          <w:rFonts w:ascii="Palatino Linotype" w:eastAsia="Calibri" w:hAnsi="Palatino Linotype" w:cs="Arial"/>
          <w:sz w:val="24"/>
          <w:lang w:val="es-ES" w:eastAsia="es-ES"/>
        </w:rPr>
        <w:t xml:space="preserve"> no</w:t>
      </w:r>
      <w:r w:rsidRPr="00613727">
        <w:rPr>
          <w:rFonts w:ascii="Palatino Linotype" w:eastAsia="Calibri" w:hAnsi="Palatino Linotype" w:cs="Arial"/>
          <w:sz w:val="24"/>
          <w:lang w:val="es-ES" w:eastAsia="es-ES"/>
        </w:rPr>
        <w:t xml:space="preserve"> entregó informe justificado</w:t>
      </w:r>
      <w:r w:rsidR="003D70CB" w:rsidRPr="00613727">
        <w:rPr>
          <w:rFonts w:ascii="Palatino Linotype" w:eastAsia="Calibri" w:hAnsi="Palatino Linotype" w:cs="Arial"/>
          <w:sz w:val="24"/>
          <w:lang w:val="es-ES" w:eastAsia="es-ES"/>
        </w:rPr>
        <w:t>.</w:t>
      </w:r>
    </w:p>
    <w:p w:rsidR="003D70CB" w:rsidRPr="00613727" w:rsidRDefault="003D70CB" w:rsidP="003D70CB">
      <w:pPr>
        <w:pStyle w:val="Prrafodelista"/>
        <w:rPr>
          <w:rFonts w:ascii="Palatino Linotype" w:hAnsi="Palatino Linotype" w:cs="Arial"/>
          <w:sz w:val="24"/>
          <w:lang w:val="es-ES" w:eastAsia="es-ES"/>
        </w:rPr>
      </w:pPr>
    </w:p>
    <w:p w:rsidR="003D70CB" w:rsidRPr="00613727" w:rsidRDefault="003D70CB"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hAnsi="Palatino Linotype" w:cs="Arial"/>
          <w:sz w:val="24"/>
          <w:lang w:val="es-ES" w:eastAsia="es-ES"/>
        </w:rPr>
        <w:t xml:space="preserve">El cinco (05) de septiembre de dos mil veinticuatro, se notificó el acuerdo mediante el cual se aprobó la ampliación de plazo para emitir resolución. </w:t>
      </w:r>
    </w:p>
    <w:p w:rsidR="004716E2" w:rsidRPr="00613727" w:rsidRDefault="004716E2" w:rsidP="004716E2">
      <w:pPr>
        <w:pStyle w:val="Prrafodelista"/>
        <w:rPr>
          <w:rFonts w:ascii="Palatino Linotype" w:hAnsi="Palatino Linotype" w:cs="Arial"/>
          <w:sz w:val="24"/>
          <w:lang w:val="es-ES" w:eastAsia="es-ES"/>
        </w:rPr>
      </w:pPr>
    </w:p>
    <w:p w:rsidR="004716E2" w:rsidRPr="00613727" w:rsidRDefault="004716E2" w:rsidP="00613727">
      <w:pPr>
        <w:pStyle w:val="Prrafodelista"/>
        <w:numPr>
          <w:ilvl w:val="0"/>
          <w:numId w:val="1"/>
        </w:numPr>
        <w:spacing w:line="360" w:lineRule="auto"/>
        <w:ind w:left="0" w:right="113" w:firstLine="0"/>
        <w:jc w:val="both"/>
        <w:rPr>
          <w:sz w:val="24"/>
        </w:rPr>
      </w:pPr>
      <w:r w:rsidRPr="00613727">
        <w:rPr>
          <w:rFonts w:ascii="Palatino Linotype" w:eastAsia="Palatino Linotype" w:hAnsi="Palatino Linotype" w:cs="Palatino Linotype"/>
          <w:sz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4716E2" w:rsidRPr="00613727" w:rsidRDefault="004716E2" w:rsidP="00613727">
      <w:pPr>
        <w:spacing w:line="360" w:lineRule="auto"/>
        <w:ind w:right="113"/>
        <w:jc w:val="both"/>
        <w:rPr>
          <w:rFonts w:ascii="Palatino Linotype" w:eastAsia="Palatino Linotype" w:hAnsi="Palatino Linotype" w:cs="Palatino Linotype"/>
        </w:rPr>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716E2" w:rsidRPr="00613727" w:rsidRDefault="004716E2" w:rsidP="00613727">
      <w:pPr>
        <w:pBdr>
          <w:top w:val="nil"/>
          <w:left w:val="nil"/>
          <w:bottom w:val="nil"/>
          <w:right w:val="nil"/>
          <w:between w:val="nil"/>
        </w:pBdr>
        <w:ind w:left="720" w:right="113"/>
        <w:rPr>
          <w:rFonts w:ascii="Palatino Linotype" w:eastAsia="Palatino Linotype" w:hAnsi="Palatino Linotype" w:cs="Palatino Linotype"/>
          <w:color w:val="000000"/>
        </w:rPr>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716E2" w:rsidRPr="00613727" w:rsidRDefault="004716E2" w:rsidP="00613727">
      <w:pPr>
        <w:pBdr>
          <w:top w:val="nil"/>
          <w:left w:val="nil"/>
          <w:bottom w:val="nil"/>
          <w:right w:val="nil"/>
          <w:between w:val="nil"/>
        </w:pBdr>
        <w:ind w:left="720" w:right="113"/>
        <w:rPr>
          <w:rFonts w:ascii="Palatino Linotype" w:eastAsia="Palatino Linotype" w:hAnsi="Palatino Linotype" w:cs="Palatino Linotype"/>
          <w:color w:val="000000"/>
        </w:rPr>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716E2" w:rsidRPr="00613727" w:rsidRDefault="004716E2" w:rsidP="00613727">
      <w:pPr>
        <w:pBdr>
          <w:top w:val="nil"/>
          <w:left w:val="nil"/>
          <w:bottom w:val="nil"/>
          <w:right w:val="nil"/>
          <w:between w:val="nil"/>
        </w:pBdr>
        <w:ind w:left="720" w:right="113"/>
        <w:rPr>
          <w:rFonts w:ascii="Palatino Linotype" w:eastAsia="Palatino Linotype" w:hAnsi="Palatino Linotype" w:cs="Palatino Linotype"/>
          <w:color w:val="000000"/>
        </w:rPr>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4716E2" w:rsidRPr="00613727" w:rsidRDefault="004716E2" w:rsidP="00613727">
      <w:pPr>
        <w:spacing w:line="360" w:lineRule="auto"/>
        <w:ind w:right="113"/>
        <w:jc w:val="both"/>
        <w:rPr>
          <w:rFonts w:ascii="Palatino Linotype" w:eastAsia="Palatino Linotype" w:hAnsi="Palatino Linotype" w:cs="Palatino Linotype"/>
          <w:color w:val="000000"/>
        </w:rPr>
      </w:pPr>
      <w:r w:rsidRPr="00613727">
        <w:rPr>
          <w:rFonts w:ascii="Palatino Linotype" w:eastAsia="Palatino Linotype" w:hAnsi="Palatino Linotype" w:cs="Palatino Linotype"/>
        </w:rPr>
        <w:t xml:space="preserve">  </w:t>
      </w:r>
      <w:r w:rsidRPr="00613727">
        <w:rPr>
          <w:rFonts w:ascii="Palatino Linotype" w:eastAsia="Palatino Linotype" w:hAnsi="Palatino Linotype" w:cs="Palatino Linotype"/>
          <w:color w:val="000000"/>
        </w:rPr>
        <w:t xml:space="preserve">Complejidad del </w:t>
      </w:r>
      <w:r w:rsidRPr="00613727">
        <w:rPr>
          <w:rFonts w:ascii="Palatino Linotype" w:eastAsia="Palatino Linotype" w:hAnsi="Palatino Linotype" w:cs="Palatino Linotype"/>
        </w:rPr>
        <w:t>asunto</w:t>
      </w:r>
      <w:r w:rsidRPr="00613727">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4716E2" w:rsidRPr="00613727" w:rsidRDefault="004716E2" w:rsidP="00613727">
      <w:pPr>
        <w:numPr>
          <w:ilvl w:val="0"/>
          <w:numId w:val="5"/>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613727">
        <w:rPr>
          <w:rFonts w:ascii="Palatino Linotype" w:eastAsia="Palatino Linotype" w:hAnsi="Palatino Linotype" w:cs="Palatino Linotype"/>
          <w:color w:val="000000"/>
        </w:rPr>
        <w:t>Actividad Procesal del interesado. Acciones u omisiones del interesado.</w:t>
      </w:r>
    </w:p>
    <w:p w:rsidR="004716E2" w:rsidRPr="00613727" w:rsidRDefault="004716E2" w:rsidP="00613727">
      <w:pPr>
        <w:numPr>
          <w:ilvl w:val="0"/>
          <w:numId w:val="5"/>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61372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4716E2" w:rsidRPr="00613727" w:rsidRDefault="004716E2" w:rsidP="00613727">
      <w:pPr>
        <w:spacing w:line="360" w:lineRule="auto"/>
        <w:ind w:left="567" w:right="113"/>
        <w:jc w:val="both"/>
        <w:rPr>
          <w:rFonts w:ascii="Palatino Linotype" w:eastAsia="Palatino Linotype" w:hAnsi="Palatino Linotype" w:cs="Palatino Linotype"/>
        </w:rPr>
      </w:pPr>
      <w:r w:rsidRPr="00613727">
        <w:rPr>
          <w:rFonts w:ascii="Palatino Linotype" w:eastAsia="Palatino Linotype" w:hAnsi="Palatino Linotype" w:cs="Palatino Linotype"/>
        </w:rPr>
        <w:t>d) La afectación generada en la situación jurídica de la persona involucrada en el proceso: Violación a sus derechos humanos.</w:t>
      </w:r>
    </w:p>
    <w:p w:rsidR="004716E2" w:rsidRPr="00613727" w:rsidRDefault="004716E2" w:rsidP="00613727">
      <w:pPr>
        <w:spacing w:line="360" w:lineRule="auto"/>
        <w:ind w:right="113"/>
        <w:rPr>
          <w:rFonts w:ascii="Palatino Linotype" w:eastAsia="Palatino Linotype" w:hAnsi="Palatino Linotype" w:cs="Palatino Linotype"/>
        </w:rPr>
      </w:pPr>
    </w:p>
    <w:p w:rsidR="004716E2" w:rsidRPr="00613727" w:rsidRDefault="004716E2" w:rsidP="00613727">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b/>
          <w:color w:val="000000"/>
        </w:rPr>
      </w:pPr>
      <w:r w:rsidRPr="0061372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716E2" w:rsidRPr="00613727" w:rsidRDefault="004716E2" w:rsidP="00613727">
      <w:pPr>
        <w:spacing w:line="360" w:lineRule="auto"/>
        <w:ind w:right="113"/>
        <w:jc w:val="both"/>
        <w:rPr>
          <w:rFonts w:ascii="Palatino Linotype" w:eastAsia="Palatino Linotype" w:hAnsi="Palatino Linotype" w:cs="Palatino Linotype"/>
          <w:b/>
        </w:rPr>
      </w:pPr>
    </w:p>
    <w:p w:rsidR="004716E2" w:rsidRPr="00613727" w:rsidRDefault="004716E2" w:rsidP="00613727">
      <w:pPr>
        <w:numPr>
          <w:ilvl w:val="0"/>
          <w:numId w:val="1"/>
        </w:numPr>
        <w:spacing w:line="360" w:lineRule="auto"/>
        <w:ind w:left="0" w:right="113" w:firstLine="0"/>
        <w:jc w:val="both"/>
        <w:rPr>
          <w:rFonts w:ascii="Palatino Linotype" w:eastAsia="Palatino Linotype" w:hAnsi="Palatino Linotype" w:cs="Palatino Linotype"/>
          <w:b/>
        </w:rPr>
      </w:pPr>
      <w:r w:rsidRPr="00613727">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613727">
        <w:rPr>
          <w:rFonts w:ascii="Palatino Linotype" w:eastAsia="Palatino Linotype" w:hAnsi="Palatino Linotype" w:cs="Palatino Linotype"/>
          <w:i/>
        </w:rPr>
        <w:t xml:space="preserve">“TÉRMINOS PROCESALES. PARA DETERMINAR SI UN FUNCIONARIO JUDICIAL ACTUÓ INDEBIDAMENTE POR NO </w:t>
      </w:r>
      <w:r w:rsidRPr="00613727">
        <w:rPr>
          <w:rFonts w:ascii="Palatino Linotype" w:eastAsia="Palatino Linotype" w:hAnsi="Palatino Linotype" w:cs="Palatino Linotype"/>
          <w:i/>
        </w:rPr>
        <w:lastRenderedPageBreak/>
        <w:t>RESPETARLOS SE DEBE ATENDER AL PRESUPUESTO QUE CONSIDERÓ EL LEGISLADOR AL FIJARLOS Y LAS CARACTERÍSTICAS DEL CASO.”</w:t>
      </w:r>
      <w:r w:rsidRPr="00613727">
        <w:rPr>
          <w:rFonts w:ascii="Palatino Linotype" w:eastAsia="Palatino Linotype" w:hAnsi="Palatino Linotype" w:cs="Palatino Linotype"/>
        </w:rPr>
        <w:t>, visible en la Gaceta del Semanario Judicial de la Federación con el registro digital 205635.</w:t>
      </w:r>
    </w:p>
    <w:p w:rsidR="004716E2" w:rsidRPr="00613727" w:rsidRDefault="004716E2" w:rsidP="00613727">
      <w:pPr>
        <w:spacing w:line="360" w:lineRule="auto"/>
        <w:ind w:right="113"/>
        <w:rPr>
          <w:rFonts w:ascii="Palatino Linotype" w:eastAsia="Palatino Linotype" w:hAnsi="Palatino Linotype" w:cs="Palatino Linotype"/>
        </w:rPr>
      </w:pPr>
    </w:p>
    <w:p w:rsidR="004716E2" w:rsidRPr="00613727" w:rsidRDefault="004716E2" w:rsidP="00613727">
      <w:pPr>
        <w:numPr>
          <w:ilvl w:val="0"/>
          <w:numId w:val="1"/>
        </w:numPr>
        <w:spacing w:line="360" w:lineRule="auto"/>
        <w:ind w:left="0" w:right="113" w:firstLine="0"/>
        <w:jc w:val="both"/>
        <w:rPr>
          <w:rFonts w:ascii="Palatino Linotype" w:eastAsia="Palatino Linotype" w:hAnsi="Palatino Linotype" w:cs="Palatino Linotype"/>
          <w:b/>
        </w:rPr>
      </w:pPr>
      <w:r w:rsidRPr="0061372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716E2" w:rsidRPr="00613727" w:rsidRDefault="004716E2" w:rsidP="00613727">
      <w:pPr>
        <w:spacing w:line="360" w:lineRule="auto"/>
        <w:ind w:right="113"/>
        <w:rPr>
          <w:rFonts w:ascii="Palatino Linotype" w:eastAsia="Palatino Linotype" w:hAnsi="Palatino Linotype" w:cs="Palatino Linotype"/>
        </w:rPr>
      </w:pPr>
    </w:p>
    <w:p w:rsidR="004716E2" w:rsidRPr="00613727" w:rsidRDefault="004716E2" w:rsidP="00613727">
      <w:pPr>
        <w:numPr>
          <w:ilvl w:val="0"/>
          <w:numId w:val="1"/>
        </w:numPr>
        <w:spacing w:line="360" w:lineRule="auto"/>
        <w:ind w:left="0" w:right="113" w:firstLine="0"/>
        <w:jc w:val="both"/>
        <w:rPr>
          <w:rFonts w:ascii="Palatino Linotype" w:eastAsia="Palatino Linotype" w:hAnsi="Palatino Linotype" w:cs="Palatino Linotype"/>
          <w:b/>
        </w:rPr>
      </w:pPr>
      <w:r w:rsidRPr="00613727">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4716E2" w:rsidRPr="00613727" w:rsidRDefault="004716E2" w:rsidP="00613727">
      <w:pPr>
        <w:spacing w:line="360" w:lineRule="auto"/>
        <w:ind w:right="113"/>
        <w:rPr>
          <w:rFonts w:ascii="Palatino Linotype" w:eastAsia="Palatino Linotype" w:hAnsi="Palatino Linotype" w:cs="Palatino Linotype"/>
        </w:rPr>
      </w:pPr>
    </w:p>
    <w:p w:rsidR="004716E2" w:rsidRPr="00613727" w:rsidRDefault="004716E2" w:rsidP="00613727">
      <w:pPr>
        <w:numPr>
          <w:ilvl w:val="0"/>
          <w:numId w:val="1"/>
        </w:numPr>
        <w:spacing w:line="360" w:lineRule="auto"/>
        <w:ind w:left="0" w:right="113" w:firstLine="0"/>
        <w:jc w:val="both"/>
        <w:rPr>
          <w:rFonts w:ascii="Palatino Linotype" w:eastAsia="Palatino Linotype" w:hAnsi="Palatino Linotype" w:cs="Palatino Linotype"/>
          <w:b/>
        </w:rPr>
      </w:pPr>
      <w:r w:rsidRPr="0061372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4716E2" w:rsidRPr="00613727" w:rsidRDefault="004716E2" w:rsidP="00613727">
      <w:pPr>
        <w:spacing w:line="360" w:lineRule="auto"/>
        <w:ind w:left="851" w:right="1105"/>
        <w:jc w:val="both"/>
        <w:rPr>
          <w:rFonts w:ascii="Palatino Linotype" w:eastAsia="Palatino Linotype" w:hAnsi="Palatino Linotype" w:cs="Palatino Linotype"/>
          <w:sz w:val="22"/>
        </w:rPr>
      </w:pPr>
      <w:r w:rsidRPr="00613727">
        <w:rPr>
          <w:rFonts w:ascii="Palatino Linotype" w:eastAsia="Palatino Linotype" w:hAnsi="Palatino Linotype" w:cs="Palatino Linotype"/>
          <w:sz w:val="22"/>
        </w:rPr>
        <w:t xml:space="preserve"> </w:t>
      </w:r>
      <w:r w:rsidRPr="00613727">
        <w:rPr>
          <w:rFonts w:ascii="Palatino Linotype" w:eastAsia="Palatino Linotype" w:hAnsi="Palatino Linotype" w:cs="Palatino Linotype"/>
          <w:i/>
          <w:sz w:val="22"/>
        </w:rPr>
        <w:t>“PLAZO RAZONABLE PARA RESOLVER. DIMENSIÓN Y EFECTOS DE ESTE CONCEPTO CUANDO SE ADUCE EXCESIVA CARGA DE TRABAJO.”</w:t>
      </w:r>
      <w:r w:rsidRPr="00613727">
        <w:rPr>
          <w:rFonts w:ascii="Palatino Linotype" w:eastAsia="Palatino Linotype" w:hAnsi="Palatino Linotype" w:cs="Palatino Linotype"/>
          <w:sz w:val="22"/>
        </w:rPr>
        <w:t xml:space="preserve"> consultable en el Semanario Judicial de la Federación y su gaceta, con el registro digital 2002351.</w:t>
      </w:r>
    </w:p>
    <w:p w:rsidR="004716E2" w:rsidRPr="00613727" w:rsidRDefault="004716E2" w:rsidP="00613727">
      <w:pPr>
        <w:spacing w:line="360" w:lineRule="auto"/>
        <w:ind w:left="851" w:right="1105"/>
        <w:jc w:val="both"/>
        <w:rPr>
          <w:rFonts w:ascii="Palatino Linotype" w:eastAsia="Palatino Linotype" w:hAnsi="Palatino Linotype" w:cs="Palatino Linotype"/>
          <w:sz w:val="22"/>
        </w:rPr>
      </w:pPr>
      <w:r w:rsidRPr="00613727">
        <w:rPr>
          <w:rFonts w:ascii="Palatino Linotype" w:eastAsia="Palatino Linotype" w:hAnsi="Palatino Linotype" w:cs="Palatino Linotype"/>
          <w:i/>
          <w:sz w:val="22"/>
        </w:rPr>
        <w:lastRenderedPageBreak/>
        <w:t>“PLAZO RAZONABLE PARA RESOLVER. CONCEPTO Y ELEMENTOS QUE LO INTEGRAN A LA LUZ DEL DERECHO INTERNACIONAL DE LOS DERECHOS HUMANOS.”</w:t>
      </w:r>
      <w:r w:rsidRPr="00613727">
        <w:rPr>
          <w:rFonts w:ascii="Palatino Linotype" w:eastAsia="Palatino Linotype" w:hAnsi="Palatino Linotype" w:cs="Palatino Linotype"/>
          <w:sz w:val="22"/>
        </w:rPr>
        <w:t>, visible en el Semanario Judicial de la Federación y su gaceta, con el registro digital 2002350.</w:t>
      </w:r>
    </w:p>
    <w:p w:rsidR="004716E2" w:rsidRPr="00613727" w:rsidRDefault="004716E2" w:rsidP="00613727">
      <w:pPr>
        <w:spacing w:line="360" w:lineRule="auto"/>
        <w:ind w:right="113"/>
        <w:jc w:val="both"/>
        <w:rPr>
          <w:rFonts w:ascii="Palatino Linotype" w:eastAsia="Palatino Linotype" w:hAnsi="Palatino Linotype" w:cs="Palatino Linotype"/>
          <w:i/>
        </w:rPr>
      </w:pPr>
    </w:p>
    <w:p w:rsidR="004716E2" w:rsidRPr="00613727" w:rsidRDefault="004716E2" w:rsidP="00613727">
      <w:pPr>
        <w:numPr>
          <w:ilvl w:val="0"/>
          <w:numId w:val="1"/>
        </w:numPr>
        <w:pBdr>
          <w:top w:val="nil"/>
          <w:left w:val="nil"/>
          <w:bottom w:val="nil"/>
          <w:right w:val="nil"/>
          <w:between w:val="nil"/>
        </w:pBdr>
        <w:spacing w:line="360" w:lineRule="auto"/>
        <w:ind w:left="0" w:right="113" w:firstLine="0"/>
        <w:jc w:val="both"/>
        <w:rPr>
          <w:color w:val="000000"/>
        </w:rPr>
      </w:pPr>
      <w:r w:rsidRPr="00613727">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3D70CB" w:rsidRPr="00613727" w:rsidRDefault="003D70CB" w:rsidP="003D70CB">
      <w:pPr>
        <w:pStyle w:val="Prrafodelista"/>
        <w:spacing w:line="360" w:lineRule="auto"/>
        <w:ind w:left="0"/>
        <w:jc w:val="both"/>
        <w:rPr>
          <w:rFonts w:ascii="Palatino Linotype" w:hAnsi="Palatino Linotype" w:cs="Arial"/>
          <w:sz w:val="24"/>
          <w:lang w:val="es-ES" w:eastAsia="es-ES"/>
        </w:rPr>
      </w:pP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eastAsiaTheme="minorEastAsia" w:hAnsi="Palatino Linotype"/>
          <w:sz w:val="24"/>
          <w:lang w:val="es-ES_tradnl" w:eastAsia="es-ES"/>
        </w:rPr>
        <w:t>La Comisionada Ponente decretó el cierre de instrucción</w:t>
      </w:r>
      <w:r w:rsidRPr="00613727">
        <w:rPr>
          <w:rFonts w:ascii="Palatino Linotype" w:eastAsiaTheme="minorEastAsia" w:hAnsi="Palatino Linotype" w:cs="Arial"/>
          <w:sz w:val="24"/>
          <w:lang w:val="es-ES_tradnl" w:eastAsia="es-ES"/>
        </w:rPr>
        <w:t xml:space="preserve"> </w:t>
      </w:r>
      <w:r w:rsidRPr="00613727">
        <w:rPr>
          <w:rFonts w:ascii="Palatino Linotype" w:eastAsiaTheme="minorEastAsia" w:hAnsi="Palatino Linotype"/>
          <w:sz w:val="24"/>
          <w:lang w:val="es-ES_tradnl" w:eastAsia="es-ES"/>
        </w:rPr>
        <w:t>mediante el acuerdo del tres (03) de septiembre de dos mil veinticuatro.</w:t>
      </w:r>
    </w:p>
    <w:p w:rsidR="00F92F3E" w:rsidRPr="00613727" w:rsidRDefault="00F92F3E" w:rsidP="00F92F3E">
      <w:pPr>
        <w:spacing w:line="360" w:lineRule="auto"/>
        <w:rPr>
          <w:rFonts w:ascii="Palatino Linotype" w:hAnsi="Palatino Linotype" w:cs="Arial"/>
          <w:lang w:val="es-ES" w:eastAsia="es-ES"/>
        </w:rPr>
      </w:pPr>
    </w:p>
    <w:p w:rsidR="00F92F3E" w:rsidRPr="00613727" w:rsidRDefault="00F92F3E" w:rsidP="00F92F3E">
      <w:pPr>
        <w:spacing w:line="360" w:lineRule="auto"/>
        <w:jc w:val="center"/>
        <w:rPr>
          <w:rFonts w:ascii="Palatino Linotype" w:hAnsi="Palatino Linotype" w:cs="Arial"/>
          <w:lang w:eastAsia="es-ES"/>
        </w:rPr>
      </w:pPr>
      <w:bookmarkStart w:id="1" w:name="_Toc66992242"/>
      <w:r w:rsidRPr="00613727">
        <w:rPr>
          <w:rFonts w:ascii="Palatino Linotype" w:hAnsi="Palatino Linotype" w:cs="Arial"/>
          <w:b/>
          <w:lang w:eastAsia="es-ES"/>
        </w:rPr>
        <w:t>C</w:t>
      </w:r>
      <w:r w:rsidR="00613727">
        <w:rPr>
          <w:rFonts w:ascii="Palatino Linotype" w:hAnsi="Palatino Linotype" w:cs="Arial"/>
          <w:b/>
          <w:lang w:eastAsia="es-ES"/>
        </w:rPr>
        <w:t xml:space="preserve"> </w:t>
      </w:r>
      <w:r w:rsidRPr="00613727">
        <w:rPr>
          <w:rFonts w:ascii="Palatino Linotype" w:hAnsi="Palatino Linotype" w:cs="Arial"/>
          <w:b/>
          <w:lang w:eastAsia="es-ES"/>
        </w:rPr>
        <w:t>O</w:t>
      </w:r>
      <w:r w:rsidR="00613727">
        <w:rPr>
          <w:rFonts w:ascii="Palatino Linotype" w:hAnsi="Palatino Linotype" w:cs="Arial"/>
          <w:b/>
          <w:lang w:eastAsia="es-ES"/>
        </w:rPr>
        <w:t xml:space="preserve"> </w:t>
      </w:r>
      <w:r w:rsidRPr="00613727">
        <w:rPr>
          <w:rFonts w:ascii="Palatino Linotype" w:hAnsi="Palatino Linotype" w:cs="Arial"/>
          <w:b/>
          <w:lang w:eastAsia="es-ES"/>
        </w:rPr>
        <w:t>N</w:t>
      </w:r>
      <w:r w:rsidR="00613727">
        <w:rPr>
          <w:rFonts w:ascii="Palatino Linotype" w:hAnsi="Palatino Linotype" w:cs="Arial"/>
          <w:b/>
          <w:lang w:eastAsia="es-ES"/>
        </w:rPr>
        <w:t xml:space="preserve"> </w:t>
      </w:r>
      <w:r w:rsidRPr="00613727">
        <w:rPr>
          <w:rFonts w:ascii="Palatino Linotype" w:hAnsi="Palatino Linotype" w:cs="Arial"/>
          <w:b/>
          <w:lang w:eastAsia="es-ES"/>
        </w:rPr>
        <w:t>S</w:t>
      </w:r>
      <w:r w:rsidR="00613727">
        <w:rPr>
          <w:rFonts w:ascii="Palatino Linotype" w:hAnsi="Palatino Linotype" w:cs="Arial"/>
          <w:b/>
          <w:lang w:eastAsia="es-ES"/>
        </w:rPr>
        <w:t xml:space="preserve"> </w:t>
      </w:r>
      <w:r w:rsidRPr="00613727">
        <w:rPr>
          <w:rFonts w:ascii="Palatino Linotype" w:hAnsi="Palatino Linotype" w:cs="Arial"/>
          <w:b/>
          <w:lang w:eastAsia="es-ES"/>
        </w:rPr>
        <w:t>I</w:t>
      </w:r>
      <w:r w:rsidR="00613727">
        <w:rPr>
          <w:rFonts w:ascii="Palatino Linotype" w:hAnsi="Palatino Linotype" w:cs="Arial"/>
          <w:b/>
          <w:lang w:eastAsia="es-ES"/>
        </w:rPr>
        <w:t xml:space="preserve"> </w:t>
      </w:r>
      <w:r w:rsidRPr="00613727">
        <w:rPr>
          <w:rFonts w:ascii="Palatino Linotype" w:hAnsi="Palatino Linotype" w:cs="Arial"/>
          <w:b/>
          <w:lang w:eastAsia="es-ES"/>
        </w:rPr>
        <w:t>D</w:t>
      </w:r>
      <w:r w:rsidR="00613727">
        <w:rPr>
          <w:rFonts w:ascii="Palatino Linotype" w:hAnsi="Palatino Linotype" w:cs="Arial"/>
          <w:b/>
          <w:lang w:eastAsia="es-ES"/>
        </w:rPr>
        <w:t xml:space="preserve"> </w:t>
      </w:r>
      <w:r w:rsidRPr="00613727">
        <w:rPr>
          <w:rFonts w:ascii="Palatino Linotype" w:hAnsi="Palatino Linotype" w:cs="Arial"/>
          <w:b/>
          <w:lang w:eastAsia="es-ES"/>
        </w:rPr>
        <w:t>E</w:t>
      </w:r>
      <w:r w:rsidR="00613727">
        <w:rPr>
          <w:rFonts w:ascii="Palatino Linotype" w:hAnsi="Palatino Linotype" w:cs="Arial"/>
          <w:b/>
          <w:lang w:eastAsia="es-ES"/>
        </w:rPr>
        <w:t xml:space="preserve"> </w:t>
      </w:r>
      <w:r w:rsidRPr="00613727">
        <w:rPr>
          <w:rFonts w:ascii="Palatino Linotype" w:hAnsi="Palatino Linotype" w:cs="Arial"/>
          <w:b/>
          <w:lang w:eastAsia="es-ES"/>
        </w:rPr>
        <w:t>R</w:t>
      </w:r>
      <w:r w:rsidR="00613727">
        <w:rPr>
          <w:rFonts w:ascii="Palatino Linotype" w:hAnsi="Palatino Linotype" w:cs="Arial"/>
          <w:b/>
          <w:lang w:eastAsia="es-ES"/>
        </w:rPr>
        <w:t xml:space="preserve"> </w:t>
      </w:r>
      <w:r w:rsidRPr="00613727">
        <w:rPr>
          <w:rFonts w:ascii="Palatino Linotype" w:hAnsi="Palatino Linotype" w:cs="Arial"/>
          <w:b/>
          <w:lang w:eastAsia="es-ES"/>
        </w:rPr>
        <w:t>A</w:t>
      </w:r>
      <w:r w:rsidR="00613727">
        <w:rPr>
          <w:rFonts w:ascii="Palatino Linotype" w:hAnsi="Palatino Linotype" w:cs="Arial"/>
          <w:b/>
          <w:lang w:eastAsia="es-ES"/>
        </w:rPr>
        <w:t xml:space="preserve"> </w:t>
      </w:r>
      <w:r w:rsidRPr="00613727">
        <w:rPr>
          <w:rFonts w:ascii="Palatino Linotype" w:hAnsi="Palatino Linotype" w:cs="Arial"/>
          <w:b/>
          <w:lang w:eastAsia="es-ES"/>
        </w:rPr>
        <w:t>N</w:t>
      </w:r>
      <w:r w:rsidR="00613727">
        <w:rPr>
          <w:rFonts w:ascii="Palatino Linotype" w:hAnsi="Palatino Linotype" w:cs="Arial"/>
          <w:b/>
          <w:lang w:eastAsia="es-ES"/>
        </w:rPr>
        <w:t xml:space="preserve"> </w:t>
      </w:r>
      <w:r w:rsidRPr="00613727">
        <w:rPr>
          <w:rFonts w:ascii="Palatino Linotype" w:hAnsi="Palatino Linotype" w:cs="Arial"/>
          <w:b/>
          <w:lang w:eastAsia="es-ES"/>
        </w:rPr>
        <w:t>D</w:t>
      </w:r>
      <w:r w:rsidR="00613727">
        <w:rPr>
          <w:rFonts w:ascii="Palatino Linotype" w:hAnsi="Palatino Linotype" w:cs="Arial"/>
          <w:b/>
          <w:lang w:eastAsia="es-ES"/>
        </w:rPr>
        <w:t xml:space="preserve"> </w:t>
      </w:r>
      <w:r w:rsidRPr="00613727">
        <w:rPr>
          <w:rFonts w:ascii="Palatino Linotype" w:hAnsi="Palatino Linotype" w:cs="Arial"/>
          <w:b/>
          <w:lang w:eastAsia="es-ES"/>
        </w:rPr>
        <w:t>O</w:t>
      </w:r>
      <w:bookmarkEnd w:id="1"/>
      <w:r w:rsidR="00613727">
        <w:rPr>
          <w:rFonts w:ascii="Palatino Linotype" w:hAnsi="Palatino Linotype" w:cs="Arial"/>
          <w:b/>
          <w:lang w:eastAsia="es-ES"/>
        </w:rPr>
        <w:t xml:space="preserve"> </w:t>
      </w:r>
    </w:p>
    <w:p w:rsidR="00F92F3E" w:rsidRPr="00613727" w:rsidRDefault="00F92F3E" w:rsidP="00F92F3E">
      <w:pPr>
        <w:spacing w:line="360" w:lineRule="auto"/>
        <w:jc w:val="center"/>
        <w:rPr>
          <w:rFonts w:ascii="Palatino Linotype" w:hAnsi="Palatino Linotype" w:cs="Arial"/>
          <w:lang w:eastAsia="es-ES"/>
        </w:rPr>
      </w:pPr>
    </w:p>
    <w:p w:rsidR="00F92F3E" w:rsidRPr="00613727" w:rsidRDefault="00F92F3E" w:rsidP="00F92F3E">
      <w:pPr>
        <w:spacing w:line="360" w:lineRule="auto"/>
        <w:jc w:val="both"/>
        <w:rPr>
          <w:rFonts w:ascii="Palatino Linotype" w:hAnsi="Palatino Linotype" w:cs="Arial"/>
          <w:b/>
          <w:lang w:eastAsia="es-ES"/>
        </w:rPr>
      </w:pPr>
      <w:bookmarkStart w:id="2" w:name="_Toc66992243"/>
      <w:r w:rsidRPr="00613727">
        <w:rPr>
          <w:rFonts w:ascii="Palatino Linotype" w:hAnsi="Palatino Linotype" w:cs="Arial"/>
          <w:b/>
          <w:lang w:eastAsia="es-ES"/>
        </w:rPr>
        <w:t>PRIMERO. De la competencia</w:t>
      </w:r>
      <w:bookmarkEnd w:id="2"/>
    </w:p>
    <w:p w:rsidR="00F92F3E" w:rsidRPr="00613727" w:rsidRDefault="00F92F3E" w:rsidP="00F92F3E">
      <w:pPr>
        <w:pStyle w:val="Prrafodelista"/>
        <w:numPr>
          <w:ilvl w:val="0"/>
          <w:numId w:val="1"/>
        </w:numPr>
        <w:spacing w:before="240" w:after="240" w:line="360" w:lineRule="auto"/>
        <w:ind w:left="0" w:firstLine="0"/>
        <w:jc w:val="both"/>
        <w:rPr>
          <w:rFonts w:ascii="Palatino Linotype" w:hAnsi="Palatino Linotype"/>
          <w:sz w:val="24"/>
        </w:rPr>
      </w:pPr>
      <w:r w:rsidRPr="00613727">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F92F3E" w:rsidRPr="00613727" w:rsidRDefault="00F92F3E" w:rsidP="00F92F3E">
      <w:pPr>
        <w:keepNext/>
        <w:keepLines/>
        <w:spacing w:line="360" w:lineRule="auto"/>
        <w:outlineLvl w:val="1"/>
        <w:rPr>
          <w:rFonts w:ascii="Palatino Linotype" w:eastAsiaTheme="majorEastAsia" w:hAnsi="Palatino Linotype" w:cstheme="majorBidi"/>
          <w:b/>
        </w:rPr>
      </w:pPr>
      <w:bookmarkStart w:id="3" w:name="_Toc66992244"/>
      <w:r w:rsidRPr="00613727">
        <w:rPr>
          <w:rFonts w:ascii="Palatino Linotype" w:eastAsiaTheme="majorEastAsia" w:hAnsi="Palatino Linotype" w:cstheme="majorBidi"/>
          <w:b/>
        </w:rPr>
        <w:lastRenderedPageBreak/>
        <w:t>SEGUNDO. De la oportunidad y procedencia.</w:t>
      </w:r>
      <w:bookmarkEnd w:id="3"/>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eastAsia="Calibri" w:hAnsi="Palatino Linotype" w:cs="Arial"/>
          <w:sz w:val="24"/>
          <w:lang w:val="es-ES_tradnl" w:eastAsia="es-ES"/>
        </w:rPr>
        <w:t xml:space="preserve">El medio de impugnación fue presentado a través del </w:t>
      </w:r>
      <w:r w:rsidRPr="00613727">
        <w:rPr>
          <w:rFonts w:ascii="Palatino Linotype" w:eastAsia="Calibri" w:hAnsi="Palatino Linotype" w:cs="Arial"/>
          <w:b/>
          <w:sz w:val="24"/>
          <w:lang w:val="es-ES_tradnl" w:eastAsia="es-ES"/>
        </w:rPr>
        <w:t>SAIMEX,</w:t>
      </w:r>
      <w:r w:rsidRPr="00613727">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613727">
        <w:rPr>
          <w:rFonts w:ascii="Palatino Linotype" w:eastAsia="Calibri" w:hAnsi="Palatino Linotype" w:cs="Arial"/>
          <w:b/>
          <w:sz w:val="24"/>
          <w:lang w:val="es-ES_tradnl" w:eastAsia="es-ES"/>
        </w:rPr>
        <w:t>SUJETO OBLIGADO</w:t>
      </w:r>
      <w:r w:rsidRPr="00613727">
        <w:rPr>
          <w:rFonts w:ascii="Palatino Linotype" w:eastAsia="Calibri" w:hAnsi="Palatino Linotype" w:cs="Arial"/>
          <w:sz w:val="24"/>
          <w:lang w:val="es-ES_tradnl" w:eastAsia="es-ES"/>
        </w:rPr>
        <w:t xml:space="preserve"> entregó respuesta a la solicitud el día </w:t>
      </w:r>
      <w:r w:rsidR="004716E2" w:rsidRPr="00613727">
        <w:rPr>
          <w:rFonts w:ascii="Palatino Linotype" w:eastAsia="Calibri" w:hAnsi="Palatino Linotype" w:cs="Arial"/>
          <w:sz w:val="24"/>
          <w:lang w:val="es-ES_tradnl" w:eastAsia="es-ES"/>
        </w:rPr>
        <w:t>ocho (08) de julio</w:t>
      </w:r>
      <w:r w:rsidRPr="00613727">
        <w:rPr>
          <w:rFonts w:ascii="Palatino Linotype" w:eastAsia="Calibri" w:hAnsi="Palatino Linotype" w:cs="Arial"/>
          <w:sz w:val="24"/>
          <w:lang w:val="es-ES_tradnl" w:eastAsia="es-ES"/>
        </w:rPr>
        <w:t xml:space="preserve"> de dos mil veinticuatro, </w:t>
      </w:r>
      <w:r w:rsidRPr="00613727">
        <w:rPr>
          <w:rFonts w:ascii="Palatino Linotype" w:eastAsiaTheme="minorEastAsia" w:hAnsi="Palatino Linotype" w:cs="Arial"/>
          <w:sz w:val="24"/>
          <w:lang w:val="es-ES_tradnl" w:eastAsia="es-ES"/>
        </w:rPr>
        <w:t xml:space="preserve">de tal forma que el plazo para interponer el recurso de revisión transcurrió del </w:t>
      </w:r>
      <w:r w:rsidR="004716E2" w:rsidRPr="00613727">
        <w:rPr>
          <w:rFonts w:ascii="Palatino Linotype" w:eastAsiaTheme="minorEastAsia" w:hAnsi="Palatino Linotype" w:cs="Arial"/>
          <w:sz w:val="24"/>
          <w:lang w:val="es-ES_tradnl" w:eastAsia="es-ES"/>
        </w:rPr>
        <w:t>nueve (09) de julio al doce (12) de agosto</w:t>
      </w:r>
      <w:r w:rsidRPr="00613727">
        <w:rPr>
          <w:rFonts w:ascii="Palatino Linotype" w:eastAsiaTheme="minorEastAsia" w:hAnsi="Palatino Linotype" w:cs="Arial"/>
          <w:sz w:val="24"/>
          <w:lang w:val="es-ES_tradnl" w:eastAsia="es-ES"/>
        </w:rPr>
        <w:t xml:space="preserve"> de dos mil veinticuatro</w:t>
      </w:r>
      <w:r w:rsidR="004716E2" w:rsidRPr="00613727">
        <w:rPr>
          <w:rFonts w:ascii="Palatino Linotype" w:eastAsiaTheme="minorEastAsia" w:hAnsi="Palatino Linotype" w:cs="Arial"/>
          <w:sz w:val="24"/>
          <w:lang w:val="es-ES_tradnl" w:eastAsia="es-ES"/>
        </w:rPr>
        <w:t>, en términos del calendario oficial del Instituto de Transparencia, Acceso a la Información Pública y Protección de Datos Personales del Estado de México y Municipios</w:t>
      </w:r>
      <w:r w:rsidRPr="00613727">
        <w:rPr>
          <w:rFonts w:ascii="Palatino Linotype" w:eastAsiaTheme="minorEastAsia" w:hAnsi="Palatino Linotype" w:cs="Arial"/>
          <w:sz w:val="24"/>
          <w:lang w:val="es-ES_tradnl" w:eastAsia="es-ES"/>
        </w:rPr>
        <w:t xml:space="preserve">; en consecuencia, presentó su inconformidad el </w:t>
      </w:r>
      <w:r w:rsidR="004716E2" w:rsidRPr="00613727">
        <w:rPr>
          <w:rFonts w:ascii="Palatino Linotype" w:eastAsiaTheme="minorEastAsia" w:hAnsi="Palatino Linotype" w:cs="Arial"/>
          <w:sz w:val="24"/>
          <w:lang w:val="es-ES_tradnl" w:eastAsia="es-ES"/>
        </w:rPr>
        <w:t>nueve (09) de julio</w:t>
      </w:r>
      <w:r w:rsidRPr="00613727">
        <w:rPr>
          <w:rFonts w:ascii="Palatino Linotype" w:eastAsiaTheme="minorEastAsia" w:hAnsi="Palatino Linotype" w:cs="Arial"/>
          <w:sz w:val="24"/>
          <w:lang w:val="es-ES_tradnl" w:eastAsia="es-ES"/>
        </w:rPr>
        <w:t xml:space="preserve"> de dos mil veinticuatro, por lo que se encuentra dentro de los márgenes temporales previstos en el artículo 178 de la </w:t>
      </w:r>
      <w:r w:rsidRPr="00613727">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613727">
        <w:rPr>
          <w:rFonts w:ascii="Palatino Linotype" w:eastAsiaTheme="minorEastAsia" w:hAnsi="Palatino Linotype" w:cs="Arial"/>
          <w:sz w:val="24"/>
          <w:lang w:val="es-ES_tradnl" w:eastAsia="es-ES"/>
        </w:rPr>
        <w:t>vigente.</w:t>
      </w:r>
    </w:p>
    <w:p w:rsidR="004716E2" w:rsidRPr="00613727" w:rsidRDefault="004716E2" w:rsidP="004716E2">
      <w:pPr>
        <w:pStyle w:val="Prrafodelista"/>
        <w:spacing w:line="360" w:lineRule="auto"/>
        <w:ind w:left="0"/>
        <w:jc w:val="both"/>
        <w:rPr>
          <w:rFonts w:ascii="Palatino Linotype" w:hAnsi="Palatino Linotype" w:cs="Arial"/>
          <w:sz w:val="24"/>
          <w:lang w:val="es-ES" w:eastAsia="es-ES"/>
        </w:rPr>
      </w:pPr>
    </w:p>
    <w:p w:rsidR="004716E2" w:rsidRPr="00613727" w:rsidRDefault="004716E2" w:rsidP="004716E2">
      <w:pPr>
        <w:numPr>
          <w:ilvl w:val="0"/>
          <w:numId w:val="1"/>
        </w:numPr>
        <w:spacing w:line="360" w:lineRule="auto"/>
        <w:ind w:left="0" w:firstLine="0"/>
        <w:contextualSpacing/>
        <w:jc w:val="both"/>
        <w:rPr>
          <w:rFonts w:ascii="Palatino Linotype" w:eastAsia="Calibri" w:hAnsi="Palatino Linotype" w:cs="Arial"/>
          <w:lang w:val="es-ES_tradnl" w:eastAsia="es-ES"/>
        </w:rPr>
      </w:pPr>
      <w:r w:rsidRPr="00613727">
        <w:rPr>
          <w:rFonts w:ascii="Palatino Linotype" w:eastAsia="Calibri" w:hAnsi="Palatino Linotype" w:cs="Arial"/>
          <w:lang w:val="es-ES_tradnl" w:eastAsia="es-ES"/>
        </w:rPr>
        <w:t xml:space="preserve">Por otra parte, de la revisión al expediente electrónico del </w:t>
      </w:r>
      <w:r w:rsidRPr="00613727">
        <w:rPr>
          <w:rFonts w:ascii="Palatino Linotype" w:eastAsia="Calibri" w:hAnsi="Palatino Linotype" w:cs="Arial"/>
          <w:b/>
          <w:lang w:val="es-ES_tradnl" w:eastAsia="es-ES"/>
        </w:rPr>
        <w:t>SAIMEX</w:t>
      </w:r>
      <w:r w:rsidRPr="00613727">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4716E2" w:rsidRPr="00613727" w:rsidRDefault="004716E2" w:rsidP="004716E2">
      <w:pPr>
        <w:pStyle w:val="Prrafodelista"/>
        <w:ind w:left="0"/>
        <w:rPr>
          <w:rFonts w:ascii="Palatino Linotype" w:eastAsia="Calibri" w:hAnsi="Palatino Linotype" w:cs="Arial"/>
          <w:sz w:val="24"/>
          <w:lang w:val="es-ES_tradnl" w:eastAsia="es-ES"/>
        </w:rPr>
      </w:pPr>
    </w:p>
    <w:p w:rsidR="004716E2" w:rsidRPr="00613727" w:rsidRDefault="004716E2" w:rsidP="004716E2">
      <w:pPr>
        <w:numPr>
          <w:ilvl w:val="0"/>
          <w:numId w:val="1"/>
        </w:numPr>
        <w:spacing w:line="360" w:lineRule="auto"/>
        <w:ind w:left="0" w:firstLine="0"/>
        <w:contextualSpacing/>
        <w:jc w:val="both"/>
        <w:rPr>
          <w:rFonts w:ascii="Palatino Linotype" w:eastAsia="Calibri" w:hAnsi="Palatino Linotype" w:cs="Arial"/>
          <w:lang w:val="es-ES_tradnl" w:eastAsia="es-ES"/>
        </w:rPr>
      </w:pPr>
      <w:r w:rsidRPr="00613727">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613727">
        <w:rPr>
          <w:rFonts w:ascii="Palatino Linotype" w:eastAsia="Calibri" w:hAnsi="Palatino Linotype" w:cs="Arial"/>
          <w:bCs/>
          <w:lang w:val="es-ES" w:eastAsia="es-ES"/>
        </w:rPr>
        <w:t xml:space="preserve">5, párrafos vigésimo, vigésimo primero y vigésimo </w:t>
      </w:r>
      <w:r w:rsidR="00613727" w:rsidRPr="00613727">
        <w:rPr>
          <w:rFonts w:ascii="Palatino Linotype" w:eastAsia="Calibri" w:hAnsi="Palatino Linotype" w:cs="Arial"/>
          <w:bCs/>
          <w:lang w:val="es-ES" w:eastAsia="es-ES"/>
        </w:rPr>
        <w:t>segundo</w:t>
      </w:r>
      <w:r w:rsidRPr="00613727">
        <w:rPr>
          <w:rFonts w:ascii="Palatino Linotype" w:eastAsia="Calibri" w:hAnsi="Palatino Linotype" w:cs="Arial"/>
          <w:bCs/>
          <w:lang w:val="es-ES" w:eastAsia="es-ES"/>
        </w:rPr>
        <w:t> fracciones IV y V </w:t>
      </w:r>
      <w:r w:rsidRPr="00613727">
        <w:rPr>
          <w:rFonts w:ascii="Palatino Linotype" w:eastAsia="Calibri" w:hAnsi="Palatino Linotype" w:cs="Arial"/>
          <w:lang w:val="es-ES_tradnl" w:eastAsia="es-ES"/>
        </w:rPr>
        <w:t xml:space="preserve">de la Constitución Política del Estado Libre y </w:t>
      </w:r>
      <w:r w:rsidRPr="00613727">
        <w:rPr>
          <w:rFonts w:ascii="Palatino Linotype" w:eastAsia="Calibri" w:hAnsi="Palatino Linotype" w:cs="Arial"/>
          <w:lang w:val="es-ES_tradnl" w:eastAsia="es-ES"/>
        </w:rPr>
        <w:lastRenderedPageBreak/>
        <w:t>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4716E2" w:rsidRPr="00613727" w:rsidRDefault="004716E2" w:rsidP="004716E2">
      <w:pPr>
        <w:pStyle w:val="Prrafodelista"/>
        <w:ind w:left="0"/>
        <w:rPr>
          <w:rFonts w:ascii="Palatino Linotype" w:eastAsia="Calibri" w:hAnsi="Palatino Linotype" w:cs="Arial"/>
          <w:sz w:val="24"/>
          <w:lang w:val="es-ES_tradnl" w:eastAsia="es-ES"/>
        </w:rPr>
      </w:pPr>
    </w:p>
    <w:p w:rsidR="004716E2" w:rsidRPr="00613727" w:rsidRDefault="004716E2" w:rsidP="004716E2">
      <w:pPr>
        <w:numPr>
          <w:ilvl w:val="0"/>
          <w:numId w:val="1"/>
        </w:numPr>
        <w:spacing w:line="360" w:lineRule="auto"/>
        <w:ind w:left="0" w:firstLine="0"/>
        <w:contextualSpacing/>
        <w:jc w:val="both"/>
        <w:rPr>
          <w:rFonts w:ascii="Palatino Linotype" w:eastAsia="Calibri" w:hAnsi="Palatino Linotype" w:cs="Arial"/>
          <w:lang w:val="es-ES_tradnl" w:eastAsia="es-ES"/>
        </w:rPr>
      </w:pPr>
      <w:r w:rsidRPr="00613727">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4716E2" w:rsidRPr="00613727" w:rsidRDefault="004716E2" w:rsidP="004716E2">
      <w:pPr>
        <w:pStyle w:val="Prrafodelista"/>
        <w:ind w:left="0"/>
        <w:rPr>
          <w:rFonts w:ascii="Palatino Linotype" w:eastAsia="Calibri" w:hAnsi="Palatino Linotype" w:cs="Arial"/>
          <w:sz w:val="24"/>
          <w:lang w:val="es-ES_tradnl" w:eastAsia="es-ES"/>
        </w:rPr>
      </w:pPr>
    </w:p>
    <w:p w:rsidR="004716E2" w:rsidRPr="00613727" w:rsidRDefault="004716E2" w:rsidP="004716E2">
      <w:pPr>
        <w:numPr>
          <w:ilvl w:val="0"/>
          <w:numId w:val="1"/>
        </w:numPr>
        <w:spacing w:line="360" w:lineRule="auto"/>
        <w:ind w:left="0" w:firstLine="0"/>
        <w:contextualSpacing/>
        <w:jc w:val="both"/>
        <w:rPr>
          <w:rFonts w:ascii="Palatino Linotype" w:eastAsia="Calibri" w:hAnsi="Palatino Linotype" w:cs="Arial"/>
          <w:lang w:val="es-ES_tradnl" w:eastAsia="es-ES"/>
        </w:rPr>
      </w:pPr>
      <w:r w:rsidRPr="00613727">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4716E2" w:rsidRPr="00613727" w:rsidRDefault="004716E2" w:rsidP="004716E2">
      <w:pPr>
        <w:pStyle w:val="Prrafodelista"/>
        <w:ind w:left="0"/>
        <w:rPr>
          <w:rFonts w:ascii="Palatino Linotype" w:eastAsia="Calibri" w:hAnsi="Palatino Linotype" w:cs="Arial"/>
          <w:sz w:val="24"/>
          <w:lang w:val="es-ES_tradnl" w:eastAsia="es-ES"/>
        </w:rPr>
      </w:pPr>
    </w:p>
    <w:p w:rsidR="00F92F3E" w:rsidRPr="00613727" w:rsidRDefault="004716E2" w:rsidP="004716E2">
      <w:pPr>
        <w:numPr>
          <w:ilvl w:val="0"/>
          <w:numId w:val="1"/>
        </w:numPr>
        <w:spacing w:line="360" w:lineRule="auto"/>
        <w:ind w:left="0" w:firstLine="0"/>
        <w:contextualSpacing/>
        <w:jc w:val="both"/>
        <w:rPr>
          <w:rFonts w:ascii="Palatino Linotype" w:eastAsia="Calibri" w:hAnsi="Palatino Linotype" w:cs="Arial"/>
          <w:lang w:val="es-ES_tradnl" w:eastAsia="es-ES"/>
        </w:rPr>
      </w:pPr>
      <w:r w:rsidRPr="00613727">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rsidR="004716E2" w:rsidRPr="00613727" w:rsidRDefault="004716E2" w:rsidP="004716E2">
      <w:pPr>
        <w:spacing w:line="360" w:lineRule="auto"/>
        <w:contextualSpacing/>
        <w:jc w:val="both"/>
        <w:rPr>
          <w:rFonts w:ascii="Palatino Linotype" w:eastAsia="Calibri" w:hAnsi="Palatino Linotype" w:cs="Arial"/>
          <w:lang w:val="es-ES_tradnl" w:eastAsia="es-ES"/>
        </w:rPr>
      </w:pPr>
    </w:p>
    <w:p w:rsidR="00F92F3E" w:rsidRPr="00613727" w:rsidRDefault="00F92F3E" w:rsidP="00F92F3E">
      <w:pPr>
        <w:pStyle w:val="Prrafodelista"/>
        <w:numPr>
          <w:ilvl w:val="0"/>
          <w:numId w:val="1"/>
        </w:numPr>
        <w:spacing w:line="360" w:lineRule="auto"/>
        <w:ind w:left="0" w:firstLine="0"/>
        <w:jc w:val="both"/>
        <w:rPr>
          <w:rFonts w:ascii="Palatino Linotype" w:hAnsi="Palatino Linotype" w:cs="Arial"/>
          <w:sz w:val="24"/>
          <w:lang w:val="es-ES" w:eastAsia="es-ES"/>
        </w:rPr>
      </w:pPr>
      <w:r w:rsidRPr="00613727">
        <w:rPr>
          <w:rFonts w:ascii="Palatino Linotype" w:eastAsia="Calibri" w:hAnsi="Palatino Linotype" w:cs="Arial"/>
          <w:sz w:val="24"/>
          <w:lang w:val="es-ES_tradnl" w:eastAsia="es-ES"/>
        </w:rPr>
        <w:t xml:space="preserve">Por otro lado, el escrito contiene las formalidades previstas por el artículo 180 último párrafo de la Ley de la materia actual, por lo que es procedente que este Instituto de </w:t>
      </w:r>
      <w:r w:rsidRPr="00613727">
        <w:rPr>
          <w:rFonts w:ascii="Palatino Linotype" w:eastAsia="Calibri" w:hAnsi="Palatino Linotype" w:cs="Arial"/>
          <w:sz w:val="24"/>
          <w:lang w:val="es-ES_tradnl" w:eastAsia="es-ES"/>
        </w:rPr>
        <w:lastRenderedPageBreak/>
        <w:t>Transparencia, Acceso a la Información Pública y Protección de Datos Personales del Estado de México y Municipios, conozca y resuelva el presente recurso.</w:t>
      </w:r>
    </w:p>
    <w:p w:rsidR="00F92F3E" w:rsidRPr="00613727" w:rsidRDefault="00F92F3E" w:rsidP="00F92F3E">
      <w:pPr>
        <w:pStyle w:val="Prrafodelista"/>
        <w:rPr>
          <w:rFonts w:ascii="Palatino Linotype" w:hAnsi="Palatino Linotype" w:cs="Arial"/>
          <w:sz w:val="24"/>
          <w:lang w:val="es-ES" w:eastAsia="es-ES"/>
        </w:rPr>
      </w:pPr>
    </w:p>
    <w:p w:rsidR="00F92F3E" w:rsidRPr="00613727" w:rsidRDefault="00F92F3E" w:rsidP="00F92F3E">
      <w:pPr>
        <w:pStyle w:val="Prrafodelista"/>
        <w:shd w:val="clear" w:color="auto" w:fill="FFFFFF"/>
        <w:tabs>
          <w:tab w:val="left" w:pos="284"/>
        </w:tabs>
        <w:spacing w:line="360" w:lineRule="auto"/>
        <w:ind w:left="0"/>
        <w:jc w:val="both"/>
        <w:rPr>
          <w:rFonts w:ascii="Palatino Linotype" w:hAnsi="Palatino Linotype" w:cs="Arial"/>
          <w:sz w:val="24"/>
        </w:rPr>
      </w:pPr>
      <w:bookmarkStart w:id="4" w:name="_Toc529263621"/>
      <w:bookmarkStart w:id="5" w:name="_Toc530650937"/>
      <w:bookmarkStart w:id="6" w:name="_Toc535334654"/>
      <w:bookmarkStart w:id="7" w:name="_Toc2248735"/>
    </w:p>
    <w:p w:rsidR="004716E2" w:rsidRPr="00613727" w:rsidRDefault="004716E2" w:rsidP="004716E2">
      <w:pPr>
        <w:keepNext/>
        <w:keepLines/>
        <w:spacing w:line="360" w:lineRule="auto"/>
        <w:ind w:right="-734"/>
        <w:rPr>
          <w:rFonts w:ascii="Palatino Linotype" w:eastAsia="Palatino Linotype" w:hAnsi="Palatino Linotype" w:cs="Palatino Linotype"/>
          <w:b/>
        </w:rPr>
      </w:pPr>
      <w:r w:rsidRPr="00613727">
        <w:rPr>
          <w:rFonts w:ascii="Palatino Linotype" w:eastAsia="Palatino Linotype" w:hAnsi="Palatino Linotype" w:cs="Palatino Linotype"/>
          <w:b/>
        </w:rPr>
        <w:t>TERCERO. Planteamiento de la Litis.</w:t>
      </w:r>
    </w:p>
    <w:p w:rsidR="004716E2" w:rsidRPr="00613727" w:rsidRDefault="004716E2" w:rsidP="00613727">
      <w:pPr>
        <w:pStyle w:val="Prrafodelista"/>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i/>
          <w:color w:val="000000"/>
          <w:sz w:val="24"/>
        </w:rPr>
      </w:pPr>
      <w:r w:rsidRPr="00613727">
        <w:rPr>
          <w:rFonts w:ascii="Palatino Linotype" w:eastAsia="Palatino Linotype" w:hAnsi="Palatino Linotype" w:cs="Palatino Linotype"/>
          <w:color w:val="000000"/>
          <w:sz w:val="24"/>
        </w:rPr>
        <w:t xml:space="preserve">El particular solicitó, las acciones que se implementaron para la protección de la mujer, niños y adolescentes durante la administración pública 2022-2024, </w:t>
      </w:r>
      <w:r w:rsidR="00A818CF" w:rsidRPr="00613727">
        <w:rPr>
          <w:rFonts w:ascii="Palatino Linotype" w:eastAsia="Palatino Linotype" w:hAnsi="Palatino Linotype" w:cs="Palatino Linotype"/>
          <w:color w:val="000000"/>
          <w:sz w:val="24"/>
        </w:rPr>
        <w:t xml:space="preserve">saber y conocer la mejoría y capacidad para gobernar y un informe comparativo sobre el tema respecto de la presente y pasada administración. </w:t>
      </w:r>
    </w:p>
    <w:p w:rsidR="004716E2" w:rsidRPr="00613727" w:rsidRDefault="004716E2" w:rsidP="00613727">
      <w:pPr>
        <w:pStyle w:val="Prrafodelista"/>
        <w:pBdr>
          <w:top w:val="nil"/>
          <w:left w:val="nil"/>
          <w:bottom w:val="nil"/>
          <w:right w:val="nil"/>
          <w:between w:val="nil"/>
        </w:pBdr>
        <w:spacing w:line="360" w:lineRule="auto"/>
        <w:ind w:left="0" w:right="113"/>
        <w:jc w:val="both"/>
        <w:rPr>
          <w:rFonts w:ascii="Palatino Linotype" w:eastAsia="Palatino Linotype" w:hAnsi="Palatino Linotype" w:cs="Palatino Linotype"/>
          <w:i/>
          <w:color w:val="000000"/>
          <w:sz w:val="24"/>
        </w:rPr>
      </w:pPr>
    </w:p>
    <w:p w:rsidR="004716E2" w:rsidRPr="00613727" w:rsidRDefault="004716E2" w:rsidP="00613727">
      <w:pPr>
        <w:numPr>
          <w:ilvl w:val="0"/>
          <w:numId w:val="1"/>
        </w:numPr>
        <w:pBdr>
          <w:top w:val="nil"/>
          <w:left w:val="nil"/>
          <w:bottom w:val="nil"/>
          <w:right w:val="nil"/>
          <w:between w:val="nil"/>
        </w:pBdr>
        <w:spacing w:line="360" w:lineRule="auto"/>
        <w:ind w:left="0" w:right="113" w:firstLine="0"/>
        <w:jc w:val="both"/>
        <w:rPr>
          <w:color w:val="000000"/>
        </w:rPr>
      </w:pPr>
      <w:r w:rsidRPr="00613727">
        <w:rPr>
          <w:rFonts w:ascii="Palatino Linotype" w:eastAsia="Palatino Linotype" w:hAnsi="Palatino Linotype" w:cs="Palatino Linotype"/>
          <w:color w:val="000000"/>
        </w:rPr>
        <w:t xml:space="preserve">En respuesta, el </w:t>
      </w:r>
      <w:r w:rsidR="00A818CF" w:rsidRPr="00613727">
        <w:rPr>
          <w:rFonts w:ascii="Palatino Linotype" w:eastAsia="Palatino Linotype" w:hAnsi="Palatino Linotype" w:cs="Palatino Linotype"/>
          <w:color w:val="000000"/>
        </w:rPr>
        <w:t xml:space="preserve">Sujeto Obligado señaló que se adjunta archivo de respuesta, posteriormente, el Recurrente interpuso recurso de revisión en el que señaló “EL SISTEMA DIF ENVIA UNA RESPUESTA EN BLANCO CON LA FINALIDAD DE NO HACER LA ENTREGA DE LA INFORMACIÓN SOLICITADA”. </w:t>
      </w:r>
    </w:p>
    <w:p w:rsidR="004716E2" w:rsidRPr="00613727" w:rsidRDefault="004716E2" w:rsidP="00613727">
      <w:pPr>
        <w:tabs>
          <w:tab w:val="left" w:pos="0"/>
        </w:tabs>
        <w:spacing w:line="360" w:lineRule="auto"/>
        <w:ind w:right="113"/>
        <w:jc w:val="both"/>
        <w:rPr>
          <w:rFonts w:ascii="Palatino Linotype" w:eastAsia="Palatino Linotype" w:hAnsi="Palatino Linotype" w:cs="Palatino Linotype"/>
          <w:i/>
        </w:rPr>
      </w:pPr>
    </w:p>
    <w:p w:rsidR="004716E2" w:rsidRPr="00613727" w:rsidRDefault="004716E2" w:rsidP="00613727">
      <w:pPr>
        <w:numPr>
          <w:ilvl w:val="0"/>
          <w:numId w:val="1"/>
        </w:numPr>
        <w:pBdr>
          <w:top w:val="nil"/>
          <w:left w:val="nil"/>
          <w:bottom w:val="nil"/>
          <w:right w:val="nil"/>
          <w:between w:val="nil"/>
        </w:pBdr>
        <w:spacing w:line="360" w:lineRule="auto"/>
        <w:ind w:left="0" w:right="113" w:firstLine="0"/>
        <w:jc w:val="both"/>
        <w:rPr>
          <w:color w:val="000000"/>
        </w:rPr>
      </w:pPr>
      <w:r w:rsidRPr="00613727">
        <w:rPr>
          <w:rFonts w:ascii="Palatino Linotype" w:eastAsia="Palatino Linotype" w:hAnsi="Palatino Linotype" w:cs="Palatino Linotype"/>
          <w:color w:val="000000"/>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rsidR="004716E2" w:rsidRPr="00613727" w:rsidRDefault="004716E2" w:rsidP="00613727">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rsidR="004716E2" w:rsidRPr="00613727" w:rsidRDefault="004716E2" w:rsidP="00613727">
      <w:pPr>
        <w:pStyle w:val="Ttulo1"/>
        <w:spacing w:before="0" w:line="360" w:lineRule="auto"/>
        <w:ind w:right="113"/>
        <w:rPr>
          <w:rFonts w:ascii="Palatino Linotype" w:eastAsia="Palatino Linotype" w:hAnsi="Palatino Linotype" w:cs="Palatino Linotype"/>
          <w:b/>
          <w:color w:val="000000"/>
          <w:sz w:val="24"/>
          <w:szCs w:val="24"/>
        </w:rPr>
      </w:pPr>
      <w:bookmarkStart w:id="8" w:name="_heading=h.3dy6vkm" w:colFirst="0" w:colLast="0"/>
      <w:bookmarkEnd w:id="8"/>
      <w:r w:rsidRPr="00613727">
        <w:rPr>
          <w:rFonts w:ascii="Palatino Linotype" w:eastAsia="Palatino Linotype" w:hAnsi="Palatino Linotype" w:cs="Palatino Linotype"/>
          <w:b/>
          <w:color w:val="000000"/>
          <w:sz w:val="24"/>
          <w:szCs w:val="24"/>
        </w:rPr>
        <w:t>CUARTO. Del estudio y resolución del recurso de revisión.</w:t>
      </w:r>
    </w:p>
    <w:p w:rsidR="004716E2" w:rsidRPr="00613727" w:rsidRDefault="004716E2" w:rsidP="00613727">
      <w:pPr>
        <w:numPr>
          <w:ilvl w:val="0"/>
          <w:numId w:val="1"/>
        </w:numPr>
        <w:pBdr>
          <w:top w:val="nil"/>
          <w:left w:val="nil"/>
          <w:bottom w:val="nil"/>
          <w:right w:val="nil"/>
          <w:between w:val="nil"/>
        </w:pBdr>
        <w:spacing w:line="360" w:lineRule="auto"/>
        <w:ind w:left="0" w:right="113" w:firstLine="0"/>
        <w:jc w:val="both"/>
        <w:rPr>
          <w:color w:val="000000"/>
        </w:rPr>
      </w:pPr>
      <w:bookmarkStart w:id="9" w:name="_heading=h.4d34og8" w:colFirst="0" w:colLast="0"/>
      <w:bookmarkEnd w:id="9"/>
      <w:r w:rsidRPr="00613727">
        <w:rPr>
          <w:rFonts w:ascii="Palatino Linotype" w:eastAsia="Palatino Linotype" w:hAnsi="Palatino Linotype" w:cs="Palatino Linotype"/>
          <w:color w:val="000000"/>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w:t>
      </w:r>
      <w:r w:rsidRPr="00613727">
        <w:rPr>
          <w:rFonts w:ascii="Palatino Linotype" w:eastAsia="Palatino Linotype" w:hAnsi="Palatino Linotype" w:cs="Palatino Linotype"/>
          <w:color w:val="000000"/>
        </w:rPr>
        <w:lastRenderedPageBreak/>
        <w:t>establecido en el artículo 8 de la Ley de Transparencia y Acceso a la Información Pública del Estado de México y Municipios.</w:t>
      </w:r>
    </w:p>
    <w:p w:rsidR="004716E2" w:rsidRPr="00613727" w:rsidRDefault="004716E2" w:rsidP="00613727">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rsidR="004716E2" w:rsidRPr="00613727" w:rsidRDefault="004716E2" w:rsidP="00613727">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613727">
        <w:rPr>
          <w:rFonts w:ascii="Palatino Linotype" w:eastAsia="Palatino Linotype" w:hAnsi="Palatino Linotype" w:cs="Palatino Linotype"/>
          <w:color w:val="000000"/>
        </w:rPr>
        <w:t xml:space="preserve">Primeramente, debemos recapitular que el particular solicitó </w:t>
      </w:r>
      <w:r w:rsidR="00467741" w:rsidRPr="00613727">
        <w:rPr>
          <w:rFonts w:ascii="Palatino Linotype" w:eastAsia="Palatino Linotype" w:hAnsi="Palatino Linotype" w:cs="Palatino Linotype"/>
          <w:i/>
          <w:color w:val="000000"/>
        </w:rPr>
        <w:t>“REQUIERO CONOCER CUALES HAN SIDO LAS ACCIONES QUE SE IMPLEMENTARON PARA LA protección a la mujer y a las niñas, niños y adolescentes DURANTE TODA LA PRESENTE ADMINISTRACIÓN 2022-2024. SI REALMENTE HUBO ALGUNA MEJORÍA RESPECTO DE LA ADMINISTRACIÓN PASADA. YA QUE SE QUERÍAN QUEDAR A ROER EL HUESO POR TRES AÑOS MAS, ME INTERESA MUCHO SABER Y CONOCER CUAL FUE LA MEJORÍA Y SU DIQUE CAPACIDAD PARA GOBERNAR. SOLICITO AMABLEMENTE QUE ME ENVIEN UN INFORME COMPARATIVO SOBRE ESE TEMA, RESPECTO DE LA PRESENTE Y PASADA ADMINISTRACION DEL SISTEMA DIF LA PAZ GRACIAS :)”.</w:t>
      </w:r>
    </w:p>
    <w:p w:rsidR="00A818CF" w:rsidRPr="00613727" w:rsidRDefault="00A818CF" w:rsidP="00613727">
      <w:pPr>
        <w:pStyle w:val="Prrafodelista"/>
        <w:ind w:right="113"/>
        <w:rPr>
          <w:rFonts w:ascii="Palatino Linotype" w:eastAsia="Palatino Linotype" w:hAnsi="Palatino Linotype" w:cs="Palatino Linotype"/>
          <w:color w:val="000000"/>
          <w:sz w:val="24"/>
        </w:rPr>
      </w:pPr>
    </w:p>
    <w:p w:rsidR="00467741" w:rsidRPr="00613727" w:rsidRDefault="00A818CF" w:rsidP="00613727">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613727">
        <w:rPr>
          <w:rFonts w:ascii="Palatino Linotype" w:eastAsia="Palatino Linotype" w:hAnsi="Palatino Linotype" w:cs="Palatino Linotype"/>
          <w:color w:val="000000"/>
        </w:rPr>
        <w:t xml:space="preserve">Ahora bien, </w:t>
      </w:r>
      <w:r w:rsidR="00467741" w:rsidRPr="00613727">
        <w:rPr>
          <w:rFonts w:ascii="Palatino Linotype" w:eastAsia="MS Mincho" w:hAnsi="Palatino Linotype" w:cs="Arial"/>
          <w:lang w:val="es-ES_tradnl" w:eastAsia="es-ES"/>
        </w:rPr>
        <w:t>relativo a “</w:t>
      </w:r>
      <w:r w:rsidR="00467741" w:rsidRPr="00613727">
        <w:rPr>
          <w:rFonts w:ascii="Palatino Linotype" w:eastAsia="MS Mincho" w:hAnsi="Palatino Linotype" w:cs="Arial"/>
          <w:i/>
          <w:lang w:eastAsia="es-ES"/>
        </w:rPr>
        <w:t>SI REALMENTE HUBO ALGUNA MEJORÍA RESPECTO DE LA ADMINISTRACIÓN PASADA. YA QUE SE QUERÍAN QUEDAR A ROER EL HUESO POR TRES AÑOS MAS, ME INTERESA MUCHO SABER Y CONOCER CUAL FUE LA MEJORÍA Y SU DIQUE CAPACIDAD PARA GOBERNAR. SOLICITO AMABLEMENTE QUE ME ENVIEN UN INFORME COMPARATIVO SOBRE ESE TEMA, RESPECTO DE LA PRESENTE Y PASADA ADMINISTRACION DEL SISTEMA DIF LA PAZ GRACIAS :)”.”</w:t>
      </w:r>
      <w:r w:rsidR="00467741" w:rsidRPr="00613727">
        <w:rPr>
          <w:rFonts w:ascii="Palatino Linotype" w:eastAsia="MS Mincho" w:hAnsi="Palatino Linotype" w:cs="Arial"/>
          <w:lang w:val="es-ES_tradnl" w:eastAsia="es-ES"/>
        </w:rPr>
        <w:t xml:space="preserve"> </w:t>
      </w:r>
      <w:r w:rsidR="00467741" w:rsidRPr="00613727">
        <w:rPr>
          <w:rFonts w:ascii="Palatino Linotype" w:eastAsia="MS Mincho" w:hAnsi="Palatino Linotype" w:cs="Arial"/>
          <w:i/>
          <w:lang w:val="es-ES_tradnl"/>
        </w:rPr>
        <w:t xml:space="preserve"> </w:t>
      </w:r>
      <w:r w:rsidR="00467741" w:rsidRPr="00613727">
        <w:rPr>
          <w:rFonts w:ascii="Palatino Linotype" w:eastAsia="MS Mincho" w:hAnsi="Palatino Linotype" w:cs="Arial"/>
          <w:lang w:val="es-ES_tradnl"/>
        </w:rPr>
        <w:t xml:space="preserve">al respecto, </w:t>
      </w:r>
      <w:r w:rsidR="00467741" w:rsidRPr="00613727">
        <w:rPr>
          <w:rFonts w:ascii="Palatino Linotype" w:eastAsia="MS Mincho" w:hAnsi="Palatino Linotype"/>
          <w:lang w:val="es-ES_tradnl"/>
        </w:rPr>
        <w:t xml:space="preserve">este Órgano Garante advierte que </w:t>
      </w:r>
      <w:r w:rsidR="00467741" w:rsidRPr="00613727">
        <w:rPr>
          <w:rFonts w:ascii="Palatino Linotype" w:eastAsia="MS Mincho" w:hAnsi="Palatino Linotype" w:cs="Arial"/>
          <w:lang w:val="es-ES_tradnl" w:eastAsia="es-ES"/>
        </w:rPr>
        <w:t xml:space="preserve">dicha solicitud no constituye un derecho de acceso a la información pública, sino más bien un derecho de petición, debido a que se tratan de manifestaciones subjetivas, interrogantes y declaraciones que no se colman con la entrega de documentos, situación que conlleva a afirmar que se está en presencia del ejercicio del derecho enunciado. </w:t>
      </w:r>
    </w:p>
    <w:p w:rsidR="00467741" w:rsidRPr="00613727" w:rsidRDefault="00467741" w:rsidP="00467741">
      <w:pPr>
        <w:autoSpaceDE w:val="0"/>
        <w:autoSpaceDN w:val="0"/>
        <w:adjustRightInd w:val="0"/>
        <w:spacing w:line="360" w:lineRule="auto"/>
        <w:ind w:left="720"/>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autoSpaceDE w:val="0"/>
        <w:autoSpaceDN w:val="0"/>
        <w:adjustRightInd w:val="0"/>
        <w:spacing w:before="240" w:after="240" w:line="360" w:lineRule="auto"/>
        <w:ind w:left="0" w:right="113"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lastRenderedPageBreak/>
        <w:t>Bajo ese contexto, es importante dejar en claro lo que debe entenderse por derecho de petición y por derecho de acceso a la información pública.</w:t>
      </w:r>
    </w:p>
    <w:p w:rsidR="00467741" w:rsidRPr="00613727" w:rsidRDefault="00467741" w:rsidP="00467741">
      <w:pPr>
        <w:autoSpaceDE w:val="0"/>
        <w:autoSpaceDN w:val="0"/>
        <w:adjustRightInd w:val="0"/>
        <w:spacing w:line="360" w:lineRule="auto"/>
        <w:ind w:right="113"/>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autoSpaceDE w:val="0"/>
        <w:autoSpaceDN w:val="0"/>
        <w:adjustRightInd w:val="0"/>
        <w:spacing w:before="240" w:after="240" w:line="360" w:lineRule="auto"/>
        <w:ind w:left="0" w:right="113"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Por lo que respecta a la definición de Derecho de Petición, el Maestro Ignacio Burgoa Orihuela refiere: </w:t>
      </w:r>
    </w:p>
    <w:p w:rsidR="00467741" w:rsidRPr="00613727" w:rsidRDefault="00467741" w:rsidP="00467741">
      <w:pPr>
        <w:autoSpaceDE w:val="0"/>
        <w:autoSpaceDN w:val="0"/>
        <w:adjustRightInd w:val="0"/>
        <w:spacing w:line="360" w:lineRule="auto"/>
        <w:ind w:left="851" w:right="901"/>
        <w:jc w:val="both"/>
        <w:rPr>
          <w:rFonts w:ascii="Palatino Linotype" w:eastAsia="MS Mincho" w:hAnsi="Palatino Linotype" w:cs="Arial"/>
          <w:i/>
          <w:sz w:val="22"/>
          <w:lang w:val="es-ES_tradnl" w:eastAsia="es-ES"/>
        </w:rPr>
      </w:pPr>
      <w:r w:rsidRPr="00613727">
        <w:rPr>
          <w:rFonts w:ascii="Palatino Linotype" w:eastAsia="MS Mincho" w:hAnsi="Palatino Linotype" w:cs="Arial"/>
          <w:b/>
          <w:sz w:val="22"/>
          <w:lang w:val="es-ES_tradnl" w:eastAsia="es-ES"/>
        </w:rPr>
        <w:t>“</w:t>
      </w:r>
      <w:r w:rsidRPr="00613727">
        <w:rPr>
          <w:rFonts w:ascii="Palatino Linotype" w:eastAsia="MS Mincho" w:hAnsi="Palatino Linotype" w:cs="Arial"/>
          <w:sz w:val="22"/>
          <w:lang w:val="es-ES_tradnl" w:eastAsia="es-ES"/>
        </w:rPr>
        <w:t>…</w:t>
      </w:r>
      <w:r w:rsidRPr="00613727">
        <w:rPr>
          <w:rFonts w:ascii="Palatino Linotype" w:eastAsia="MS Mincho" w:hAnsi="Palatino Linotype" w:cs="Arial"/>
          <w:i/>
          <w:sz w:val="22"/>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613727">
        <w:rPr>
          <w:rFonts w:ascii="Palatino Linotype" w:eastAsia="MS Mincho" w:hAnsi="Palatino Linotype"/>
          <w:b/>
          <w:i/>
          <w:sz w:val="22"/>
          <w:lang w:val="es-ES_tradnl" w:eastAsia="es-ES"/>
        </w:rPr>
        <w:t>“</w:t>
      </w:r>
      <w:r w:rsidRPr="00613727">
        <w:rPr>
          <w:rFonts w:ascii="Palatino Linotype" w:eastAsia="MS Mincho" w:hAnsi="Palatino Linotype" w:cs="Arial"/>
          <w:i/>
          <w:sz w:val="22"/>
          <w:lang w:val="es-ES_tradnl" w:eastAsia="es-ES"/>
        </w:rPr>
        <w:t xml:space="preserve"> (sic)</w:t>
      </w:r>
    </w:p>
    <w:p w:rsidR="00467741" w:rsidRPr="00613727" w:rsidRDefault="00467741" w:rsidP="00467741">
      <w:pPr>
        <w:autoSpaceDE w:val="0"/>
        <w:autoSpaceDN w:val="0"/>
        <w:adjustRightInd w:val="0"/>
        <w:spacing w:line="360" w:lineRule="auto"/>
        <w:ind w:left="720" w:right="901"/>
        <w:contextualSpacing/>
        <w:jc w:val="both"/>
        <w:rPr>
          <w:rFonts w:ascii="Palatino Linotype" w:eastAsia="MS Mincho" w:hAnsi="Palatino Linotype" w:cs="Arial"/>
          <w:i/>
          <w:lang w:val="es-ES_tradnl" w:eastAsia="es-ES"/>
        </w:rPr>
      </w:pPr>
    </w:p>
    <w:p w:rsidR="00467741" w:rsidRPr="00613727" w:rsidRDefault="00467741" w:rsidP="00467741">
      <w:pPr>
        <w:numPr>
          <w:ilvl w:val="0"/>
          <w:numId w:val="1"/>
        </w:numPr>
        <w:autoSpaceDE w:val="0"/>
        <w:autoSpaceDN w:val="0"/>
        <w:adjustRightInd w:val="0"/>
        <w:spacing w:before="240" w:after="240" w:line="360" w:lineRule="auto"/>
        <w:ind w:left="0" w:right="113"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Por su parte, David Cienfuegos Salgado, concibe al derecho de petición como: </w:t>
      </w:r>
    </w:p>
    <w:p w:rsidR="00467741" w:rsidRPr="00613727" w:rsidRDefault="00467741" w:rsidP="00467741">
      <w:pPr>
        <w:autoSpaceDE w:val="0"/>
        <w:autoSpaceDN w:val="0"/>
        <w:adjustRightInd w:val="0"/>
        <w:spacing w:line="276" w:lineRule="auto"/>
        <w:ind w:left="720" w:right="901"/>
        <w:contextualSpacing/>
        <w:jc w:val="both"/>
        <w:rPr>
          <w:rFonts w:ascii="Palatino Linotype" w:eastAsia="MS Mincho" w:hAnsi="Palatino Linotype" w:cs="Arial"/>
          <w:i/>
          <w:lang w:val="es-ES_tradnl" w:eastAsia="es-ES"/>
        </w:rPr>
      </w:pPr>
      <w:r w:rsidRPr="00613727">
        <w:rPr>
          <w:rFonts w:ascii="Palatino Linotype" w:eastAsia="MS Mincho" w:hAnsi="Palatino Linotype" w:cs="Arial"/>
          <w:b/>
          <w:i/>
          <w:lang w:val="es-ES_tradnl" w:eastAsia="es-ES"/>
        </w:rPr>
        <w:t>“</w:t>
      </w:r>
      <w:r w:rsidRPr="00613727">
        <w:rPr>
          <w:rFonts w:ascii="Palatino Linotype" w:eastAsia="MS Mincho" w:hAnsi="Palatino Linotype" w:cs="Arial"/>
          <w:i/>
          <w:lang w:val="es-ES_tradnl" w:eastAsia="es-ES"/>
        </w:rPr>
        <w:t>el derecho de toda persona a ser escuchado por quienes ejercen el poder público.</w:t>
      </w:r>
      <w:r w:rsidRPr="00613727">
        <w:rPr>
          <w:rFonts w:ascii="Palatino Linotype" w:eastAsia="MS Mincho" w:hAnsi="Palatino Linotype" w:cs="Arial"/>
          <w:b/>
          <w:i/>
          <w:lang w:val="es-ES_tradnl" w:eastAsia="es-ES"/>
        </w:rPr>
        <w:t>”</w:t>
      </w:r>
      <w:r w:rsidRPr="00613727">
        <w:rPr>
          <w:rFonts w:ascii="Palatino Linotype" w:eastAsia="MS Mincho" w:hAnsi="Palatino Linotype" w:cs="Arial"/>
          <w:i/>
          <w:lang w:val="es-ES_tradnl" w:eastAsia="es-ES"/>
        </w:rPr>
        <w:t xml:space="preserve"> (sic) </w:t>
      </w:r>
    </w:p>
    <w:p w:rsidR="00467741" w:rsidRPr="00613727" w:rsidRDefault="00467741" w:rsidP="00467741">
      <w:pPr>
        <w:autoSpaceDE w:val="0"/>
        <w:autoSpaceDN w:val="0"/>
        <w:adjustRightInd w:val="0"/>
        <w:spacing w:line="276" w:lineRule="auto"/>
        <w:ind w:left="720" w:right="901"/>
        <w:contextualSpacing/>
        <w:jc w:val="both"/>
        <w:rPr>
          <w:rFonts w:ascii="Palatino Linotype" w:eastAsia="MS Mincho" w:hAnsi="Palatino Linotype" w:cs="Arial"/>
          <w:i/>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 A este respecto, para diferenciar el derecho de petición al derecho de acceso a la información, resulta conducente señalar que José Guadalupe Robles, conceptualiza el derecho a la información como: </w:t>
      </w:r>
    </w:p>
    <w:p w:rsidR="00467741" w:rsidRPr="00613727" w:rsidRDefault="00467741" w:rsidP="00467741">
      <w:pPr>
        <w:autoSpaceDE w:val="0"/>
        <w:autoSpaceDN w:val="0"/>
        <w:adjustRightInd w:val="0"/>
        <w:spacing w:before="240" w:after="240" w:line="360" w:lineRule="auto"/>
        <w:ind w:left="851" w:right="616"/>
        <w:contextualSpacing/>
        <w:jc w:val="both"/>
        <w:rPr>
          <w:rFonts w:ascii="Palatino Linotype" w:eastAsia="MS Mincho" w:hAnsi="Palatino Linotype" w:cs="Arial"/>
          <w:i/>
          <w:sz w:val="22"/>
          <w:lang w:val="es-ES_tradnl" w:eastAsia="es-ES"/>
        </w:rPr>
      </w:pPr>
      <w:r w:rsidRPr="00613727">
        <w:rPr>
          <w:rFonts w:ascii="Palatino Linotype" w:eastAsia="MS Mincho" w:hAnsi="Palatino Linotype" w:cs="Arial"/>
          <w:b/>
          <w:i/>
          <w:sz w:val="22"/>
          <w:lang w:val="es-ES_tradnl" w:eastAsia="es-ES"/>
        </w:rPr>
        <w:t>“</w:t>
      </w:r>
      <w:r w:rsidRPr="00613727">
        <w:rPr>
          <w:rFonts w:ascii="Palatino Linotype" w:eastAsia="MS Mincho" w:hAnsi="Palatino Linotype" w:cs="Arial"/>
          <w:i/>
          <w:sz w:val="22"/>
          <w:lang w:val="es-ES_tradnl" w:eastAsia="es-ES"/>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613727">
        <w:rPr>
          <w:rFonts w:ascii="Palatino Linotype" w:eastAsia="MS Mincho" w:hAnsi="Palatino Linotype" w:cs="Arial"/>
          <w:b/>
          <w:i/>
          <w:sz w:val="22"/>
          <w:lang w:val="es-ES_tradnl" w:eastAsia="es-ES"/>
        </w:rPr>
        <w:t>”</w:t>
      </w:r>
      <w:r w:rsidRPr="00613727">
        <w:rPr>
          <w:rFonts w:ascii="Palatino Linotype" w:eastAsia="MS Mincho" w:hAnsi="Palatino Linotype" w:cs="Arial"/>
          <w:i/>
          <w:sz w:val="22"/>
          <w:lang w:val="es-ES_tradnl" w:eastAsia="es-ES"/>
        </w:rPr>
        <w:t xml:space="preserve"> (sic) </w:t>
      </w:r>
    </w:p>
    <w:p w:rsidR="00467741" w:rsidRPr="00613727" w:rsidRDefault="00467741" w:rsidP="00467741">
      <w:pPr>
        <w:spacing w:line="360" w:lineRule="auto"/>
        <w:ind w:left="720" w:right="901"/>
        <w:contextualSpacing/>
        <w:jc w:val="both"/>
        <w:rPr>
          <w:rFonts w:ascii="Palatino Linotype" w:eastAsia="MS Mincho" w:hAnsi="Palatino Linotype" w:cs="Arial"/>
          <w:i/>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lang w:val="es-ES_tradnl" w:eastAsia="es-ES"/>
        </w:rPr>
      </w:pPr>
      <w:r w:rsidRPr="00613727">
        <w:rPr>
          <w:rFonts w:ascii="Palatino Linotype" w:eastAsia="MS Mincho" w:hAnsi="Palatino Linotype" w:cs="Arial"/>
          <w:lang w:val="es-ES_tradnl" w:eastAsia="es-ES"/>
        </w:rPr>
        <w:t xml:space="preserve">Ahora bien, el derecho </w:t>
      </w:r>
      <w:r w:rsidRPr="00613727">
        <w:rPr>
          <w:rFonts w:ascii="Palatino Linotype" w:eastAsia="MS Mincho" w:hAnsi="Palatino Linotype"/>
          <w:lang w:val="es-ES_tradnl" w:eastAsia="es-ES"/>
        </w:rPr>
        <w:t xml:space="preserve">de acceso a la información pública por disposición del artículo 4 de la Ley de Transparencia y Acceso a la Información Pública del Estado de México y </w:t>
      </w:r>
      <w:r w:rsidRPr="00613727">
        <w:rPr>
          <w:rFonts w:ascii="Palatino Linotype" w:eastAsia="MS Mincho" w:hAnsi="Palatino Linotype"/>
          <w:lang w:val="es-ES_tradnl" w:eastAsia="es-ES"/>
        </w:rPr>
        <w:lastRenderedPageBreak/>
        <w:t xml:space="preserve">Municipios es la prerrogativa de las personas para buscar, difundir, investigar, recabar, recibir y solicitar información pública.  </w:t>
      </w:r>
    </w:p>
    <w:p w:rsidR="00467741" w:rsidRPr="00613727" w:rsidRDefault="00467741" w:rsidP="00467741">
      <w:pPr>
        <w:spacing w:line="360" w:lineRule="auto"/>
        <w:contextualSpacing/>
        <w:jc w:val="both"/>
        <w:rPr>
          <w:rFonts w:ascii="Palatino Linotype" w:eastAsia="MS Mincho" w:hAnsi="Palatino Linotype"/>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467741" w:rsidRPr="00613727" w:rsidRDefault="00467741" w:rsidP="00467741">
      <w:pPr>
        <w:spacing w:line="360" w:lineRule="auto"/>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rsidR="00467741" w:rsidRPr="00613727" w:rsidRDefault="00467741" w:rsidP="00467741">
      <w:pPr>
        <w:spacing w:line="360" w:lineRule="auto"/>
        <w:ind w:left="720"/>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derecho de acceso a la información pública se centra en la potestad de los particulares para conocer el contenido de </w:t>
      </w:r>
      <w:r w:rsidRPr="00613727">
        <w:rPr>
          <w:rFonts w:ascii="Palatino Linotype" w:eastAsia="MS Mincho" w:hAnsi="Palatino Linotype" w:cs="Arial"/>
          <w:lang w:val="es-ES_tradnl" w:eastAsia="es-ES"/>
        </w:rPr>
        <w:lastRenderedPageBreak/>
        <w:t>los documentos que obren en los archivos de los Sujetos Obligados, ya sea porque los generen en el uso de sus atribuciones, los administren o simplemente los posean.</w:t>
      </w:r>
    </w:p>
    <w:p w:rsidR="00467741" w:rsidRPr="00613727" w:rsidRDefault="00467741" w:rsidP="00467741">
      <w:pPr>
        <w:spacing w:line="360" w:lineRule="auto"/>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467741" w:rsidRPr="00613727" w:rsidRDefault="00467741" w:rsidP="00467741">
      <w:pPr>
        <w:spacing w:line="360" w:lineRule="auto"/>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rsidR="00467741" w:rsidRPr="00613727" w:rsidRDefault="00467741" w:rsidP="00467741">
      <w:pPr>
        <w:spacing w:line="360" w:lineRule="auto"/>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rPr>
      </w:pPr>
      <w:r w:rsidRPr="00613727">
        <w:rPr>
          <w:rFonts w:ascii="Palatino Linotype" w:eastAsia="MS Mincho" w:hAnsi="Palatino Linotype" w:cs="Arial"/>
          <w:lang w:val="es-ES_tradnl"/>
        </w:rPr>
        <w:t xml:space="preserve">Corolario a lo anterior, el doctrinario Ernesto Villanueva Villanueva define al derecho de acceso a la información como: </w:t>
      </w:r>
    </w:p>
    <w:p w:rsidR="00467741" w:rsidRPr="00613727" w:rsidRDefault="00467741" w:rsidP="00613727">
      <w:pPr>
        <w:spacing w:line="360" w:lineRule="auto"/>
        <w:ind w:left="720" w:right="1105"/>
        <w:contextualSpacing/>
        <w:jc w:val="both"/>
        <w:rPr>
          <w:rFonts w:ascii="Palatino Linotype" w:eastAsia="MS Mincho" w:hAnsi="Palatino Linotype" w:cs="Arial"/>
          <w:i/>
          <w:sz w:val="22"/>
          <w:lang w:val="es-ES_tradnl"/>
        </w:rPr>
      </w:pPr>
      <w:r w:rsidRPr="00613727">
        <w:rPr>
          <w:rFonts w:ascii="Palatino Linotype" w:eastAsia="MS Mincho" w:hAnsi="Palatino Linotype" w:cs="Arial"/>
          <w:b/>
          <w:i/>
          <w:sz w:val="22"/>
          <w:lang w:val="es-ES_tradnl"/>
        </w:rPr>
        <w:t>“</w:t>
      </w:r>
      <w:r w:rsidRPr="00613727">
        <w:rPr>
          <w:rFonts w:ascii="Palatino Linotype" w:eastAsia="MS Mincho" w:hAnsi="Palatino Linotype" w:cs="Arial"/>
          <w:i/>
          <w:sz w:val="22"/>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613727">
        <w:rPr>
          <w:rFonts w:ascii="Palatino Linotype" w:eastAsia="MS Mincho" w:hAnsi="Palatino Linotype" w:cs="Arial"/>
          <w:b/>
          <w:i/>
          <w:sz w:val="22"/>
          <w:lang w:val="es-ES_tradnl"/>
        </w:rPr>
        <w:t>”</w:t>
      </w:r>
      <w:r w:rsidRPr="00613727">
        <w:rPr>
          <w:rFonts w:ascii="Palatino Linotype" w:eastAsia="MS Mincho" w:hAnsi="Palatino Linotype" w:cs="Arial"/>
          <w:i/>
          <w:sz w:val="22"/>
          <w:vertAlign w:val="superscript"/>
          <w:lang w:val="es-ES_tradnl"/>
        </w:rPr>
        <w:t xml:space="preserve"> </w:t>
      </w:r>
      <w:r w:rsidRPr="00613727">
        <w:rPr>
          <w:rFonts w:ascii="Palatino Linotype" w:eastAsia="MS Mincho" w:hAnsi="Palatino Linotype" w:cs="Arial"/>
          <w:i/>
          <w:sz w:val="22"/>
          <w:lang w:val="es-ES_tradnl"/>
        </w:rPr>
        <w:t xml:space="preserve">(sic) </w:t>
      </w:r>
    </w:p>
    <w:p w:rsidR="00467741" w:rsidRPr="00613727" w:rsidRDefault="00467741" w:rsidP="00467741">
      <w:pPr>
        <w:spacing w:line="360" w:lineRule="auto"/>
        <w:ind w:left="720" w:right="902"/>
        <w:contextualSpacing/>
        <w:jc w:val="both"/>
        <w:rPr>
          <w:rFonts w:ascii="Palatino Linotype" w:eastAsia="MS Mincho" w:hAnsi="Palatino Linotype" w:cs="Arial"/>
          <w:i/>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b/>
          <w:u w:val="single"/>
          <w:lang w:val="es-ES_tradnl" w:eastAsia="es-ES"/>
        </w:rPr>
      </w:pPr>
      <w:r w:rsidRPr="00613727">
        <w:rPr>
          <w:rFonts w:ascii="Palatino Linotype" w:eastAsia="MS Mincho" w:hAnsi="Palatino Linotype" w:cs="Arial"/>
          <w:lang w:val="es-ES_tradnl" w:eastAsia="es-ES"/>
        </w:rPr>
        <w:lastRenderedPageBreak/>
        <w:t xml:space="preserve">De lo anterior, se puede concluir que la distinción entre el derecho de petición y el derecho de acceso a la información estriba principalmente en que en el primero de ellos, </w:t>
      </w:r>
      <w:r w:rsidRPr="00613727">
        <w:rPr>
          <w:rFonts w:ascii="Palatino Linotype" w:eastAsia="MS Mincho" w:hAnsi="Palatino Linotype" w:cs="Arial"/>
          <w:color w:val="000000"/>
          <w:lang w:val="es-ES_tradnl"/>
        </w:rPr>
        <w:t xml:space="preserve">la pretensión del peticionario consiste generalmente en obligar a la autoridad responsable a que actúe en el sentido de contestar lo solicitado, mientras que en el </w:t>
      </w:r>
      <w:r w:rsidRPr="00613727">
        <w:rPr>
          <w:rFonts w:ascii="Palatino Linotype" w:eastAsia="MS Mincho" w:hAnsi="Palatino Linotype" w:cs="Arial"/>
          <w:bCs/>
          <w:lang w:val="es-ES_tradnl" w:eastAsia="es-CO"/>
        </w:rPr>
        <w:t xml:space="preserve">segundo supuesto </w:t>
      </w:r>
      <w:r w:rsidRPr="00613727">
        <w:rPr>
          <w:rFonts w:ascii="Palatino Linotype" w:eastAsia="MS Mincho" w:hAnsi="Palatino Linotype" w:cs="Arial"/>
          <w:b/>
          <w:bCs/>
          <w:u w:val="single"/>
          <w:lang w:val="es-ES_tradnl" w:eastAsia="es-CO"/>
        </w:rPr>
        <w:t>la solicitud de acceso a la información pública se encamina primordialmente a</w:t>
      </w:r>
      <w:r w:rsidRPr="00613727">
        <w:rPr>
          <w:rFonts w:ascii="Palatino Linotype" w:eastAsia="MS Mincho" w:hAnsi="Palatino Linotype" w:cs="Arial"/>
          <w:b/>
          <w:u w:val="single"/>
          <w:lang w:val="es-ES_tradnl" w:eastAsia="es-ES"/>
        </w:rPr>
        <w:t xml:space="preserve"> permitir el </w:t>
      </w:r>
      <w:r w:rsidRPr="00613727">
        <w:rPr>
          <w:rFonts w:ascii="Palatino Linotype" w:eastAsia="MS Mincho" w:hAnsi="Palatino Linotype" w:cs="Arial"/>
          <w:b/>
          <w:u w:val="single"/>
          <w:lang w:val="es-ES_tradnl" w:eastAsia="es-CO"/>
        </w:rPr>
        <w:t xml:space="preserve">acceso a datos, registros y todo tipo de información pública que conste en documentos, sea generada o se encuentre en posesión de </w:t>
      </w:r>
      <w:r w:rsidRPr="00613727">
        <w:rPr>
          <w:rFonts w:ascii="Palatino Linotype" w:eastAsia="MS Mincho" w:hAnsi="Palatino Linotype" w:cs="Arial"/>
          <w:b/>
          <w:u w:val="single"/>
          <w:lang w:val="es-ES_tradnl" w:eastAsia="es-ES"/>
        </w:rPr>
        <w:t xml:space="preserve">la autoridad. </w:t>
      </w:r>
    </w:p>
    <w:p w:rsidR="00467741" w:rsidRPr="00613727" w:rsidRDefault="00467741" w:rsidP="00467741">
      <w:pPr>
        <w:spacing w:line="360" w:lineRule="auto"/>
        <w:ind w:left="720"/>
        <w:contextualSpacing/>
        <w:jc w:val="both"/>
        <w:rPr>
          <w:rFonts w:ascii="Palatino Linotype" w:eastAsia="MS Mincho" w:hAnsi="Palatino Linotype" w:cs="Arial"/>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Así las cosas, debe señalarse que el particular solicita saber a través de un soporte documental “</w:t>
      </w:r>
      <w:r w:rsidRPr="00613727">
        <w:rPr>
          <w:rFonts w:ascii="Palatino Linotype" w:eastAsia="MS Mincho" w:hAnsi="Palatino Linotype" w:cs="Arial"/>
          <w:lang w:eastAsia="es-ES"/>
        </w:rPr>
        <w:t>SI REALMENTE HUBO ALGUNA MEJORÍA RESPECTO DE LA ADMINISTRACIÓN PASADA. YA QUE SE QUERÍAN QUEDAR A ROER EL HUESO POR TRES AÑOS MAS, ME INTERESA MUCHO SABER Y CONOCER CUAL FUE LA MEJORÍA Y SU DIQUE CAPACIDAD PARA GOBERNAR. SOLICITO AMABLEMENTE QUE ME ENVIEN UN INFORME COMPARATIVO SOBRE ESE TEMA, RESPECTO DE LA PRESENTE Y PASADA ADMINISTRACION DEL SISTEMA DIF LA PAZ GRACIAS”</w:t>
      </w:r>
      <w:r w:rsidRPr="00613727">
        <w:rPr>
          <w:rFonts w:ascii="Palatino Linotype" w:eastAsia="MS Mincho" w:hAnsi="Palatino Linotype" w:cs="Arial"/>
          <w:lang w:val="es-ES_tradnl" w:eastAsia="es-ES"/>
        </w:rPr>
        <w:t xml:space="preserve">; por lo que se desprende que no hay una solicitud expresa de obtener un documento específico o que requiera el acceso a información pública. Es decir, </w:t>
      </w:r>
      <w:r w:rsidRPr="00613727">
        <w:rPr>
          <w:rFonts w:ascii="Palatino Linotype" w:eastAsia="MS Mincho" w:hAnsi="Palatino Linotype" w:cs="Arial"/>
          <w:b/>
          <w:lang w:val="es-ES_tradnl" w:eastAsia="es-ES"/>
        </w:rPr>
        <w:t>EL</w:t>
      </w:r>
      <w:r w:rsidRPr="00613727">
        <w:rPr>
          <w:rFonts w:ascii="Palatino Linotype" w:eastAsia="MS Mincho" w:hAnsi="Palatino Linotype" w:cs="Arial"/>
          <w:lang w:val="es-ES_tradnl" w:eastAsia="es-ES"/>
        </w:rPr>
        <w:t xml:space="preserve"> </w:t>
      </w:r>
      <w:r w:rsidRPr="00613727">
        <w:rPr>
          <w:rFonts w:ascii="Palatino Linotype" w:eastAsia="MS Mincho" w:hAnsi="Palatino Linotype" w:cs="Arial"/>
          <w:b/>
          <w:lang w:val="es-ES_tradnl" w:eastAsia="es-ES"/>
        </w:rPr>
        <w:t>RECURRENTE</w:t>
      </w:r>
      <w:r w:rsidRPr="00613727">
        <w:rPr>
          <w:rFonts w:ascii="Palatino Linotype" w:eastAsia="MS Mincho" w:hAnsi="Palatino Linotype" w:cs="Arial"/>
          <w:lang w:val="es-ES_tradnl" w:eastAsia="es-ES"/>
        </w:rPr>
        <w:t xml:space="preserve"> desea una contestación a su petición, mediante un documento ad hoc para satisfacer su pretensión, aunado a que como quedó asentado previamente este Órgano Garante del derecho de acceso a la Información pública no se encuentra facultado para ordenar al </w:t>
      </w:r>
      <w:r w:rsidRPr="00613727">
        <w:rPr>
          <w:rFonts w:ascii="Palatino Linotype" w:eastAsia="MS Mincho" w:hAnsi="Palatino Linotype" w:cs="Arial"/>
          <w:b/>
          <w:lang w:val="es-ES_tradnl" w:eastAsia="es-ES"/>
        </w:rPr>
        <w:t xml:space="preserve">SUJETO OBLIGADO </w:t>
      </w:r>
      <w:r w:rsidRPr="00613727">
        <w:rPr>
          <w:rFonts w:ascii="Palatino Linotype" w:eastAsia="MS Mincho" w:hAnsi="Palatino Linotype" w:cs="Arial"/>
          <w:lang w:val="es-ES_tradnl" w:eastAsia="es-ES"/>
        </w:rPr>
        <w:t>a realizar acciones respecto de cuestionamientos a manera de petición.</w:t>
      </w:r>
    </w:p>
    <w:p w:rsidR="00467741" w:rsidRPr="00613727" w:rsidRDefault="00467741" w:rsidP="00467741">
      <w:pPr>
        <w:spacing w:line="360" w:lineRule="auto"/>
        <w:ind w:left="720"/>
        <w:contextualSpacing/>
        <w:jc w:val="both"/>
        <w:rPr>
          <w:rFonts w:ascii="Palatino Linotype" w:eastAsia="MS Mincho" w:hAnsi="Palatino Linotype" w:cs="Arial"/>
          <w:b/>
          <w:u w:val="single"/>
          <w:lang w:val="es-ES_tradnl" w:eastAsia="es-ES"/>
        </w:rPr>
      </w:pPr>
    </w:p>
    <w:p w:rsidR="00467741" w:rsidRPr="00613727" w:rsidRDefault="00467741" w:rsidP="00467741">
      <w:pPr>
        <w:numPr>
          <w:ilvl w:val="0"/>
          <w:numId w:val="1"/>
        </w:numPr>
        <w:spacing w:before="240" w:after="240" w:line="360" w:lineRule="auto"/>
        <w:ind w:left="0" w:firstLine="0"/>
        <w:contextualSpacing/>
        <w:jc w:val="both"/>
        <w:rPr>
          <w:rFonts w:ascii="Palatino Linotype" w:eastAsia="MS Mincho" w:hAnsi="Palatino Linotype" w:cs="Arial"/>
          <w:lang w:val="es-ES_tradnl" w:eastAsia="es-ES"/>
        </w:rPr>
      </w:pPr>
      <w:r w:rsidRPr="00613727">
        <w:rPr>
          <w:rFonts w:ascii="Palatino Linotype" w:eastAsia="MS Mincho" w:hAnsi="Palatino Linotype" w:cs="Arial"/>
          <w:lang w:val="es-ES_tradnl" w:eastAsia="es-ES"/>
        </w:rPr>
        <w:t xml:space="preserve">Por lo que la entrega de una razón o un razonamiento por parte de </w:t>
      </w:r>
      <w:r w:rsidRPr="00613727">
        <w:rPr>
          <w:rFonts w:ascii="Palatino Linotype" w:eastAsia="MS Mincho" w:hAnsi="Palatino Linotype" w:cs="Arial"/>
          <w:b/>
        </w:rPr>
        <w:t>EL SUJETO OBLIGADO</w:t>
      </w:r>
      <w:r w:rsidRPr="00613727">
        <w:rPr>
          <w:rFonts w:ascii="Palatino Linotype" w:eastAsia="MS Mincho" w:hAnsi="Palatino Linotype" w:cs="Arial"/>
          <w:lang w:val="es-ES_tradnl" w:eastAsia="es-ES"/>
        </w:rPr>
        <w:t xml:space="preserve"> no es algo que la ley establezca como atribución, derecho, o facultad; pues ello </w:t>
      </w:r>
      <w:r w:rsidRPr="00613727">
        <w:rPr>
          <w:rFonts w:ascii="Palatino Linotype" w:eastAsia="MS Mincho" w:hAnsi="Palatino Linotype" w:cs="Arial"/>
          <w:lang w:val="es-ES_tradnl" w:eastAsia="es-ES"/>
        </w:rPr>
        <w:lastRenderedPageBreak/>
        <w:t xml:space="preserve">implicaría un juicio de valor referente a un cuestionamiento realizado, los cuales, al constituir interrogantes, inquietudes y manifestaciones se satisfacen vía derecho de petición. </w:t>
      </w:r>
    </w:p>
    <w:p w:rsidR="00A818CF" w:rsidRPr="00613727" w:rsidRDefault="00A818CF" w:rsidP="00647EB8">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rsidR="00467741" w:rsidRPr="00613727" w:rsidRDefault="00467741" w:rsidP="00647EB8">
      <w:pPr>
        <w:numPr>
          <w:ilvl w:val="0"/>
          <w:numId w:val="1"/>
        </w:numPr>
        <w:spacing w:line="360" w:lineRule="auto"/>
        <w:ind w:left="0" w:right="113" w:firstLine="0"/>
        <w:jc w:val="both"/>
        <w:rPr>
          <w:rFonts w:ascii="Palatino Linotype" w:eastAsia="Palatino Linotype" w:hAnsi="Palatino Linotype" w:cs="Palatino Linotype"/>
        </w:rPr>
      </w:pPr>
      <w:r w:rsidRPr="00613727">
        <w:rPr>
          <w:rFonts w:ascii="Palatino Linotype" w:hAnsi="Palatino Linotype"/>
        </w:rPr>
        <w:t xml:space="preserve">Por otro lado, </w:t>
      </w:r>
      <w:r w:rsidR="00E752E8" w:rsidRPr="00613727">
        <w:rPr>
          <w:rFonts w:ascii="Palatino Linotype" w:hAnsi="Palatino Linotype"/>
        </w:rPr>
        <w:t>la Ley que crea los Organismos Públicos Descentralizados de Asistencia Social, de Carácter Municipal, denominados "Sistemas Municipales para el Desarrollo Integral de la Familia"</w:t>
      </w:r>
      <w:r w:rsidR="00A60EAE" w:rsidRPr="00613727">
        <w:rPr>
          <w:rFonts w:ascii="Palatino Linotype" w:hAnsi="Palatino Linotype"/>
        </w:rPr>
        <w:t xml:space="preserve"> establece en su artículo tercero lo siguiente:</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“Artículo 3. Los organismos a que se refiere esta Ley tendrán los siguientes objetivos de asistencia social, protección de niñas, niños y adolescentes y beneficio colectivo: </w:t>
      </w:r>
    </w:p>
    <w:p w:rsidR="00A60EAE" w:rsidRPr="00613727" w:rsidRDefault="00A60EAE" w:rsidP="00613727">
      <w:pPr>
        <w:spacing w:line="360" w:lineRule="auto"/>
        <w:ind w:left="851" w:right="1105"/>
        <w:jc w:val="both"/>
        <w:rPr>
          <w:rFonts w:ascii="Palatino Linotype" w:hAnsi="Palatino Linotype"/>
          <w:i/>
          <w:sz w:val="22"/>
        </w:rPr>
      </w:pP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I. 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II. Promover los mínimos de bienestar social y el desarrollo de la comunidad, para crear mejores condiciones de vida a los habitantes del Municipio;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III. Fomentar la educación escolar y extra-escolar e impulsar el sano crecimiento físico y mental de la niñez;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IV. Coordinar las actividades que en materia de asistencia social realicen otras Instituciones públicas o privadas en el municipio;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V. Impulsar, promover o gestionar la creación de Instituciones o establecimientos de asistencia social, en beneficio de niñas, niños y adolescentes en estado de abandono, de adultos mayores y de personas con discapacidad sin recursos.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VI. Prestar servicios jurídicos y de orientación social a niñas, niños adolescentes, adultos mayores y personas con discapacidad carentes de recursos económicos, así como a la familia para su integración y bienestar.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lastRenderedPageBreak/>
        <w:t xml:space="preserve">VII. Proteger de manera integral los derechos de niñas, niños y adolescentes y restituirlos en caso de vulneración de los mismos, a través de las medidas especiales de protección que sean necesarias.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 xml:space="preserve">VIII. Procurar permanentemente la adecuación de los objetivos y programas del Sistema Municipal y los que lleve a cabo el Sistema para el Desarrollo Integral de la Familia del Estado de México, a través de acuerdos, convenios o cualquier figura jurídica, encaminados a la protección de la infancia y adolescencia y la obtención del bienestar social. </w:t>
      </w:r>
    </w:p>
    <w:p w:rsidR="00A60EAE" w:rsidRPr="00613727" w:rsidRDefault="00A60EAE" w:rsidP="00613727">
      <w:pPr>
        <w:spacing w:line="360" w:lineRule="auto"/>
        <w:ind w:left="851" w:right="1105"/>
        <w:jc w:val="both"/>
        <w:rPr>
          <w:rFonts w:ascii="Palatino Linotype" w:hAnsi="Palatino Linotype"/>
          <w:i/>
          <w:sz w:val="22"/>
        </w:rPr>
      </w:pPr>
      <w:r w:rsidRPr="00613727">
        <w:rPr>
          <w:rFonts w:ascii="Palatino Linotype" w:hAnsi="Palatino Linotype"/>
          <w:i/>
          <w:sz w:val="22"/>
        </w:rPr>
        <w:t>IX. Impulsar acciones para promover el desarrollo humano integral de los adultos mayores, coadyuvando para que sus distintas capacidades sean valoradas y aprovechadas en el desarrollo comunitario, económico y social.</w:t>
      </w:r>
    </w:p>
    <w:p w:rsidR="00A60EAE" w:rsidRPr="00613727" w:rsidRDefault="00A60EAE" w:rsidP="00613727">
      <w:pPr>
        <w:spacing w:line="360" w:lineRule="auto"/>
        <w:ind w:left="851" w:right="1105"/>
        <w:jc w:val="both"/>
        <w:rPr>
          <w:rFonts w:ascii="Palatino Linotype" w:eastAsia="Palatino Linotype" w:hAnsi="Palatino Linotype" w:cs="Palatino Linotype"/>
          <w:i/>
          <w:sz w:val="22"/>
        </w:rPr>
      </w:pPr>
      <w:r w:rsidRPr="00613727">
        <w:rPr>
          <w:rFonts w:ascii="Palatino Linotype" w:hAnsi="Palatino Linotype"/>
          <w:i/>
          <w:sz w:val="22"/>
        </w:rPr>
        <w:t>…”</w:t>
      </w:r>
    </w:p>
    <w:p w:rsidR="00467741" w:rsidRPr="00613727" w:rsidRDefault="00467741" w:rsidP="00467741">
      <w:pPr>
        <w:spacing w:line="360" w:lineRule="auto"/>
        <w:ind w:right="-734"/>
        <w:jc w:val="both"/>
        <w:rPr>
          <w:rFonts w:ascii="Palatino Linotype" w:eastAsia="Palatino Linotype" w:hAnsi="Palatino Linotype" w:cs="Palatino Linotype"/>
        </w:rPr>
      </w:pPr>
    </w:p>
    <w:p w:rsidR="00467741" w:rsidRPr="00613727" w:rsidRDefault="00A60EAE" w:rsidP="00613727">
      <w:pPr>
        <w:numPr>
          <w:ilvl w:val="0"/>
          <w:numId w:val="1"/>
        </w:numPr>
        <w:spacing w:line="360" w:lineRule="auto"/>
        <w:ind w:left="0" w:right="255" w:firstLine="0"/>
        <w:jc w:val="both"/>
        <w:rPr>
          <w:rFonts w:ascii="Palatino Linotype" w:hAnsi="Palatino Linotype"/>
          <w:b/>
        </w:rPr>
      </w:pPr>
      <w:r w:rsidRPr="00613727">
        <w:rPr>
          <w:rFonts w:ascii="Palatino Linotype" w:hAnsi="Palatino Linotype"/>
        </w:rPr>
        <w:t xml:space="preserve">Por su parte, el artículo </w:t>
      </w:r>
      <w:r w:rsidR="007639CF" w:rsidRPr="00613727">
        <w:rPr>
          <w:rFonts w:ascii="Palatino Linotype" w:hAnsi="Palatino Linotype"/>
        </w:rPr>
        <w:t>1</w:t>
      </w:r>
      <w:r w:rsidRPr="00613727">
        <w:rPr>
          <w:rFonts w:ascii="Palatino Linotype" w:hAnsi="Palatino Linotype"/>
        </w:rPr>
        <w:t>30 del Bando Municipal de</w:t>
      </w:r>
      <w:r w:rsidR="00294ED5" w:rsidRPr="00613727">
        <w:rPr>
          <w:rFonts w:ascii="Palatino Linotype" w:hAnsi="Palatino Linotype"/>
        </w:rPr>
        <w:t>l Ayuntamiento de la Paz establece que el Sistema Municipal para el Desarrollo Integral de la Familia de La Paz se desempeñará en estricto apego a las normativas y leyes aplicables</w:t>
      </w:r>
      <w:r w:rsidR="00294ED5" w:rsidRPr="00613727">
        <w:rPr>
          <w:rFonts w:ascii="Palatino Linotype" w:hAnsi="Palatino Linotype"/>
          <w:b/>
        </w:rPr>
        <w:t>, las estrategias, acciones y actividades</w:t>
      </w:r>
      <w:r w:rsidR="00294ED5" w:rsidRPr="00613727">
        <w:rPr>
          <w:rFonts w:ascii="Palatino Linotype" w:hAnsi="Palatino Linotype"/>
        </w:rPr>
        <w:t xml:space="preserve"> en favor de la población más vulnerable del Municipio</w:t>
      </w:r>
      <w:r w:rsidR="00294ED5" w:rsidRPr="00613727">
        <w:rPr>
          <w:rFonts w:ascii="Palatino Linotype" w:hAnsi="Palatino Linotype"/>
          <w:b/>
        </w:rPr>
        <w:t>, adultos mayores, personas con discapacidad y la Protección de las niñas, niños y adolescentes</w:t>
      </w:r>
      <w:r w:rsidR="007639CF" w:rsidRPr="00613727">
        <w:rPr>
          <w:rFonts w:ascii="Palatino Linotype" w:hAnsi="Palatino Linotype"/>
          <w:b/>
        </w:rPr>
        <w:t>, con las siguientes atribuciones:</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I. Asegurar la atención permanente a la población con mayor grado de vulnerabilidad del Municipio, dotándola de servicios integrales de asistencia social, enmarcadas en las normas Estatales y Federales;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II. Gestionar, fomentar, coordinar acciones de asistencia social, salud, alimentación, prevención, educación, igualdad y procuración de justicia que garanticen el interés superior de las niñas, niños, adolescentes, adultos mayores y personas con discapacidad;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lastRenderedPageBreak/>
        <w:t xml:space="preserve">III. Proporcionar asesoría, servicios jurídicos de representación y de asistencia social para garantizar el respeto a los derechos de las y los niños, mujeres, adolescentes, discapacitados y adultos mayores en estado de vulnerabilidad;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IV. Albergar a los menores que han sido sujetos de vulneración de derechos;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V. Promover el desarrollo integral de la familia, a través de acciones tendientes a prevenir conductas antisociales y de riesgo;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VI. Promover mecanismos que permitan prevenir problemas de tabaquismo, alcoholismo y drogadicción, estimulando el desarrollo físico, intelectual y emocional de los integrantes del núcleo familiar;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VII. Desarrollar estrategias que permitan una adecuada orientación psicológica a la población objetivo, brindando atención a las familias marginadas que carecen de servicios de seguridad social, a fin de favorecer la integración y protección de la familia;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VIII. Brindar servicios de educación inicial a madres, padres y tutores que no cuentan con espacios seguros para el resguardo de sus hijos durante su jornada laboral;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IX. Otorgar atención médica a personas de escasos recursos que carecen de servicios de seguridad social, y crear estrategia para la prevención y sensibilización que permite minimizar los índices de morbilidad y mortalidad entre la población del Municipio;</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 Proporcionar atención buco-dental para abatir el índice de caries y enfermedades estomatológicas con actividades curativas, preventivas y rehabilitadoras a los de escasos recursos del Municipio;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XI. Formular los programas tendientes a mejorar el estado nutricional de los grupos más vulnerables del Municipio, así como ejecutar de manera correcta los programas alimentarios;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XII. Proporcionar servicios de rehabilitación no hospitalaria a personas con discapacidad, a través de programas de valoración y tratamiento integral, así como sensibilización e identificación de personas con discapacidad a fin de lograr el respeto y la integración;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lastRenderedPageBreak/>
        <w:t xml:space="preserve">XIII. Diseñar acciones encaminadas a los adultos mayores, a través de espacios y acciones de integración que permitan un envejecimiento sano;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XIV. Proporcionar apoyo a mujeres, hombres y adultos mayores con mayor grado de vulnerabilidad de derechos, a fin de garantizar el respeto y la igualdad de género;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XV. Establecer acciones que contribuyan de manera directa al cumplimiento de los Objetivos para el Desarrollo Sostenible (ODS) de la Agenda 2030;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XVI. Implementar y coordinar programas, sesiones educativas, terapias ocupacionales y acciones para lograr la resiliencia y auto sustentabilidad en la alimentación y la nutrición familiar de los sectores más desfavorecidos y vulnerables, así como denotar el interés superior de la niñez en su etapa de educación básica;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XVII. Formar y fomentar profesionalismo, capacitación, especialización y actualización de los servicios públicos de salud y asistencia social prestados por el Sistema Municipal para el Desarrollo Integral de la Familia de La Paz, siendo humanos, cálidos, eficaces y eficientes, con estricto apego a los Derechos Universales;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XVIII. Fomentar el interés superior y la protección, así como la defensa de los derechos de las niñas, niños y adolescentes en cualquier forma de vulnerabilidad, a través de los diferentes servicios de asistencia jurídica, así como orientación social y salud;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XIX. El Sistema Municipal para el Desarrollo Integral de la Familia de La Paz, deberá en coordinación con la Administración Pública Municipal, proporcionar servicios de salud y asistencia social de calidad a las niñas, niños, adolescentes, mujeres y en su caso víctimas de cualquier tipo de violencia, personas con algún tipo de discapacidad y adultos mayores;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XX. El Sistema para el Desarrollo Integral de la Familia del Estado de México establecerá los criterios que permitan la operación de la Procuraduría de Protección Municipal de Niñas, Niños y Adolescentes y Asesoría Jurídico Familiar a fin de lograr una coordinación y mejor cobertura en el territorio estatal, de conformidad con lo establecido en la Ley de los Derechos de Niñas, Niños y Adolescentes del Estado de México y su Reglamento;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lastRenderedPageBreak/>
        <w:t xml:space="preserve">XXI. Crear y fomentar acciones y programas que denotan el interés superior del desarrollo de la familia, la paternidad responsable y la planificación e integración familiar. </w:t>
      </w:r>
    </w:p>
    <w:p w:rsidR="007639CF" w:rsidRPr="00613727" w:rsidRDefault="007639CF" w:rsidP="00613727">
      <w:pPr>
        <w:pStyle w:val="Prrafodelista"/>
        <w:spacing w:line="360" w:lineRule="auto"/>
        <w:ind w:left="851" w:right="1105"/>
        <w:jc w:val="both"/>
        <w:rPr>
          <w:rFonts w:ascii="Palatino Linotype" w:hAnsi="Palatino Linotype"/>
          <w:i/>
        </w:rPr>
      </w:pPr>
      <w:r w:rsidRPr="00613727">
        <w:rPr>
          <w:rFonts w:ascii="Palatino Linotype" w:hAnsi="Palatino Linotype"/>
          <w:i/>
        </w:rPr>
        <w:t xml:space="preserve">XXII. Coadyuvar en la ayuda humanitaria en casos de desastres naturales, así como con sus damnificados, coordinándose con las diferentes Dependencias y Organismos Auxiliares de la Administración Pública Municipal, Estatal y Federal en los términos de las disposiciones jurídicas Aplicables; y </w:t>
      </w:r>
    </w:p>
    <w:p w:rsidR="007639CF" w:rsidRPr="00613727" w:rsidRDefault="007639CF" w:rsidP="00613727">
      <w:pPr>
        <w:pStyle w:val="Prrafodelista"/>
        <w:spacing w:line="360" w:lineRule="auto"/>
        <w:ind w:left="851" w:right="1105"/>
        <w:jc w:val="both"/>
        <w:rPr>
          <w:rFonts w:ascii="Palatino Linotype" w:hAnsi="Palatino Linotype"/>
          <w:b/>
          <w:i/>
        </w:rPr>
      </w:pPr>
      <w:r w:rsidRPr="00613727">
        <w:rPr>
          <w:rFonts w:ascii="Palatino Linotype" w:hAnsi="Palatino Linotype"/>
          <w:i/>
        </w:rPr>
        <w:t>XXIII. Las demás que les faculte en otros ordenamientos jurídicos o reglamentarios.</w:t>
      </w:r>
    </w:p>
    <w:p w:rsidR="00294ED5" w:rsidRPr="00613727" w:rsidRDefault="00294ED5" w:rsidP="00294ED5">
      <w:pPr>
        <w:spacing w:line="360" w:lineRule="auto"/>
        <w:ind w:right="-734"/>
        <w:jc w:val="both"/>
        <w:rPr>
          <w:rFonts w:ascii="Palatino Linotype" w:hAnsi="Palatino Linotype"/>
        </w:rPr>
      </w:pPr>
    </w:p>
    <w:p w:rsidR="00294ED5" w:rsidRPr="00613727" w:rsidRDefault="00294ED5" w:rsidP="00613727">
      <w:pPr>
        <w:numPr>
          <w:ilvl w:val="0"/>
          <w:numId w:val="1"/>
        </w:numPr>
        <w:spacing w:line="360" w:lineRule="auto"/>
        <w:ind w:left="0" w:right="113" w:firstLine="0"/>
        <w:jc w:val="both"/>
        <w:rPr>
          <w:rFonts w:ascii="Palatino Linotype" w:hAnsi="Palatino Linotype"/>
        </w:rPr>
      </w:pPr>
      <w:r w:rsidRPr="00613727">
        <w:rPr>
          <w:rFonts w:ascii="Palatino Linotype" w:hAnsi="Palatino Linotype"/>
        </w:rPr>
        <w:t>Aunado a ello, el Manual de Organización del Sujeto Obligado establece que su objetivo principal es bridar asistencia social a las familias y sectores con mayor vulnerabilidad del Municipio de la Paz, con acciones que promuevan su desarrollo integral y bienestar social.</w:t>
      </w:r>
    </w:p>
    <w:p w:rsidR="00294ED5" w:rsidRPr="00613727" w:rsidRDefault="00294ED5" w:rsidP="00613727">
      <w:pPr>
        <w:pStyle w:val="Prrafodelista"/>
        <w:ind w:right="113"/>
        <w:rPr>
          <w:rFonts w:ascii="Palatino Linotype" w:hAnsi="Palatino Linotype"/>
          <w:sz w:val="24"/>
        </w:rPr>
      </w:pPr>
    </w:p>
    <w:p w:rsidR="00E367D2" w:rsidRPr="00613727" w:rsidRDefault="00294ED5" w:rsidP="00613727">
      <w:pPr>
        <w:numPr>
          <w:ilvl w:val="0"/>
          <w:numId w:val="1"/>
        </w:numPr>
        <w:spacing w:line="360" w:lineRule="auto"/>
        <w:ind w:left="0" w:right="113" w:firstLine="0"/>
        <w:jc w:val="both"/>
        <w:rPr>
          <w:rFonts w:ascii="Palatino Linotype" w:hAnsi="Palatino Linotype"/>
        </w:rPr>
      </w:pPr>
      <w:r w:rsidRPr="00613727">
        <w:rPr>
          <w:rFonts w:ascii="Palatino Linotype" w:hAnsi="Palatino Linotype"/>
        </w:rPr>
        <w:t>Derivado de los preceptos legales señalados, se establece que el Sujeto Obligado tiene facultades para generar, poseer y administrar la información solicitada, pues es el encargado de brindar protección a los niños, niñas y adolescentes del Municipio, así a los sectores de m</w:t>
      </w:r>
      <w:r w:rsidR="007639CF" w:rsidRPr="00613727">
        <w:rPr>
          <w:rFonts w:ascii="Palatino Linotype" w:hAnsi="Palatino Linotype"/>
        </w:rPr>
        <w:t xml:space="preserve">ayor vulnerabilidad, por lo tanto, para el cumplimiento de sus objetivos tiene el deber de realizar las acciones necesarias para  brindar esa protección. </w:t>
      </w:r>
    </w:p>
    <w:p w:rsidR="00E367D2" w:rsidRPr="00613727" w:rsidRDefault="00E367D2" w:rsidP="00613727">
      <w:pPr>
        <w:pStyle w:val="Prrafodelista"/>
        <w:ind w:right="113"/>
        <w:rPr>
          <w:rFonts w:ascii="Palatino Linotype" w:hAnsi="Palatino Linotype" w:cs="Arial"/>
          <w:sz w:val="24"/>
          <w:lang w:val="es-ES"/>
        </w:rPr>
      </w:pPr>
    </w:p>
    <w:p w:rsidR="00E367D2" w:rsidRPr="00613727" w:rsidRDefault="00E367D2" w:rsidP="00613727">
      <w:pPr>
        <w:numPr>
          <w:ilvl w:val="0"/>
          <w:numId w:val="1"/>
        </w:numPr>
        <w:spacing w:line="360" w:lineRule="auto"/>
        <w:ind w:left="0" w:right="113" w:firstLine="0"/>
        <w:jc w:val="both"/>
        <w:rPr>
          <w:rFonts w:ascii="Palatino Linotype" w:hAnsi="Palatino Linotype" w:cs="Arial"/>
        </w:rPr>
      </w:pPr>
      <w:r w:rsidRPr="00613727">
        <w:rPr>
          <w:rFonts w:ascii="Palatino Linotype" w:hAnsi="Palatino Linotype" w:cs="Arial"/>
          <w:lang w:val="es-ES"/>
        </w:rPr>
        <w:t xml:space="preserve">Acotado lo anterior, </w:t>
      </w:r>
      <w:r w:rsidRPr="00613727">
        <w:rPr>
          <w:rFonts w:ascii="Palatino Linotype" w:hAnsi="Palatino Linotype" w:cs="Arial"/>
          <w:lang w:val="es-ES_tradnl"/>
        </w:rPr>
        <w:t xml:space="preserve">el derecho de acceso a la información pública consiste en el </w:t>
      </w:r>
      <w:r w:rsidRPr="00613727">
        <w:rPr>
          <w:rFonts w:ascii="Palatino Linotype" w:hAnsi="Palatino Linotype" w:cs="Arial"/>
          <w:b/>
          <w:lang w:val="es-ES_tradnl"/>
        </w:rPr>
        <w:t>acceso a documentos</w:t>
      </w:r>
      <w:r w:rsidRPr="00613727">
        <w:rPr>
          <w:rFonts w:ascii="Palatino Linotype" w:hAnsi="Palatino Linotype" w:cs="Arial"/>
          <w:lang w:val="es-ES_tradnl"/>
        </w:rPr>
        <w:t xml:space="preserve"> generados, poseídos o administrados por la autoridad, en ejercicio de sus funciones, con antelación a que fuera presentada la solicitud de acceso a la información pública. En ese sentido</w:t>
      </w:r>
      <w:r w:rsidRPr="00613727">
        <w:rPr>
          <w:rFonts w:ascii="Palatino Linotype" w:hAnsi="Palatino Linotype" w:cs="Arial"/>
          <w:lang w:val="es-ES"/>
        </w:rPr>
        <w:t xml:space="preserve">, </w:t>
      </w:r>
      <w:r w:rsidRPr="00613727">
        <w:rPr>
          <w:rFonts w:ascii="Palatino Linotype" w:hAnsi="Palatino Linotype" w:cs="Arial"/>
          <w:bCs/>
          <w:iCs/>
          <w:color w:val="000000"/>
          <w:lang w:eastAsia="es-ES"/>
        </w:rPr>
        <w:t xml:space="preserve">de conformidad con el </w:t>
      </w:r>
      <w:r w:rsidRPr="00613727">
        <w:rPr>
          <w:rFonts w:ascii="Palatino Linotype" w:eastAsia="MS Mincho" w:hAnsi="Palatino Linotype"/>
          <w:lang w:eastAsia="es-ES"/>
        </w:rPr>
        <w:t>Criterio</w:t>
      </w:r>
      <w:r w:rsidRPr="00613727">
        <w:rPr>
          <w:rFonts w:ascii="Palatino Linotype" w:eastAsia="MS Mincho" w:hAnsi="Palatino Linotype" w:cs="Arial"/>
          <w:lang w:eastAsia="es-ES"/>
        </w:rPr>
        <w:t xml:space="preserve"> </w:t>
      </w:r>
      <w:r w:rsidRPr="00613727">
        <w:rPr>
          <w:rFonts w:ascii="Palatino Linotype" w:eastAsia="MS Mincho" w:hAnsi="Palatino Linotype"/>
          <w:b/>
          <w:lang w:eastAsia="es-ES"/>
        </w:rPr>
        <w:t>028</w:t>
      </w:r>
      <w:r w:rsidRPr="00613727">
        <w:rPr>
          <w:rFonts w:ascii="Palatino Linotype" w:eastAsia="MS Mincho" w:hAnsi="Palatino Linotype" w:cs="Arial"/>
          <w:b/>
          <w:lang w:eastAsia="es-ES"/>
        </w:rPr>
        <w:t>-</w:t>
      </w:r>
      <w:r w:rsidRPr="00613727">
        <w:rPr>
          <w:rFonts w:ascii="Palatino Linotype" w:eastAsia="MS Mincho" w:hAnsi="Palatino Linotype"/>
          <w:b/>
          <w:lang w:eastAsia="es-ES"/>
        </w:rPr>
        <w:t>10</w:t>
      </w:r>
      <w:r w:rsidRPr="00613727">
        <w:rPr>
          <w:rFonts w:ascii="Palatino Linotype" w:eastAsia="MS Mincho" w:hAnsi="Palatino Linotype" w:cs="Arial"/>
          <w:lang w:eastAsia="es-ES"/>
        </w:rPr>
        <w:t xml:space="preserve"> emitido por el Pleno del entonces llamado Instituto Federal de Acceso a la Información y Protección de Datos, ahora Instituto Nacional de Transparencia, Acceso a la Información y Protección de Datos Personales </w:t>
      </w:r>
      <w:r w:rsidRPr="00613727">
        <w:rPr>
          <w:rFonts w:ascii="Palatino Linotype" w:eastAsia="MS Mincho" w:hAnsi="Palatino Linotype" w:cs="Arial"/>
          <w:b/>
          <w:lang w:eastAsia="es-ES"/>
        </w:rPr>
        <w:t>IFAI</w:t>
      </w:r>
      <w:r w:rsidRPr="00613727">
        <w:rPr>
          <w:rFonts w:ascii="Palatino Linotype" w:eastAsia="MS Mincho" w:hAnsi="Palatino Linotype" w:cs="Arial"/>
          <w:lang w:eastAsia="es-ES"/>
        </w:rPr>
        <w:t xml:space="preserve">, el cual establece que se deberá garantizar el acceso a la información contenida en documentos que los sujetos obligados generen, obtengan, adquieran, </w:t>
      </w:r>
      <w:r w:rsidRPr="00613727">
        <w:rPr>
          <w:rFonts w:ascii="Palatino Linotype" w:eastAsia="MS Mincho" w:hAnsi="Palatino Linotype" w:cs="Arial"/>
          <w:lang w:eastAsia="es-ES"/>
        </w:rPr>
        <w:lastRenderedPageBreak/>
        <w:t>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rsidR="00E367D2" w:rsidRPr="00613727" w:rsidRDefault="00E367D2" w:rsidP="00613727">
      <w:pPr>
        <w:pStyle w:val="Prrafodelista"/>
        <w:shd w:val="clear" w:color="auto" w:fill="FFFFFF"/>
        <w:spacing w:line="276" w:lineRule="auto"/>
        <w:ind w:right="1105"/>
        <w:jc w:val="both"/>
        <w:rPr>
          <w:rFonts w:ascii="Palatino Linotype" w:hAnsi="Palatino Linotype" w:cs="Arial"/>
          <w:i/>
          <w:iCs/>
          <w:color w:val="222222"/>
          <w:lang w:val="es-ES_tradnl"/>
        </w:rPr>
      </w:pPr>
      <w:r w:rsidRPr="00613727">
        <w:rPr>
          <w:rFonts w:ascii="Palatino Linotype" w:hAnsi="Palatino Linotype" w:cs="Arial"/>
          <w:b/>
          <w:bCs/>
          <w:i/>
          <w:iCs/>
          <w:color w:val="222222"/>
          <w:lang w:val="es-ES_tradnl"/>
        </w:rPr>
        <w:t>“Cuando en una solicitud de información no se identifique un documento en específico, si ésta tiene una expresión documental, el sujeto obligado deberá entregar al particular el documento en específico.</w:t>
      </w:r>
      <w:r w:rsidRPr="00613727">
        <w:rPr>
          <w:rFonts w:ascii="Palatino Linotype" w:hAnsi="Palatino Linotype" w:cs="Arial"/>
          <w:i/>
          <w:iCs/>
          <w:color w:val="2222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613727">
        <w:rPr>
          <w:rFonts w:ascii="Palatino Linotype" w:hAnsi="Palatino Linotype" w:cs="Arial"/>
          <w:i/>
          <w:iCs/>
          <w:color w:val="222222"/>
          <w:u w:val="single"/>
          <w:lang w:val="es-ES_tradnl"/>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613727">
        <w:rPr>
          <w:rFonts w:ascii="Palatino Linotype" w:hAnsi="Palatino Linotype" w:cs="Arial"/>
          <w:i/>
          <w:iCs/>
          <w:color w:val="222222"/>
          <w:lang w:val="es-ES_tradnl"/>
        </w:rPr>
        <w:t>. Es decir, si la respuesta a la solicitud obra en algún documento en poder de la autoridad, pero el particular no hace referencia específica a tal documento, se deberá hacer entrega del mismo al solicitante.”</w:t>
      </w:r>
    </w:p>
    <w:p w:rsidR="00E367D2" w:rsidRPr="00613727" w:rsidRDefault="00E367D2" w:rsidP="00613727">
      <w:pPr>
        <w:pStyle w:val="Prrafodelista"/>
        <w:shd w:val="clear" w:color="auto" w:fill="FFFFFF"/>
        <w:spacing w:line="276" w:lineRule="auto"/>
        <w:ind w:right="1105"/>
        <w:jc w:val="both"/>
        <w:rPr>
          <w:rFonts w:ascii="Palatino Linotype" w:hAnsi="Palatino Linotype" w:cs="Arial"/>
          <w:bCs/>
          <w:iCs/>
          <w:color w:val="222222"/>
          <w:lang w:val="es-ES_tradnl"/>
        </w:rPr>
      </w:pPr>
      <w:r w:rsidRPr="00613727">
        <w:rPr>
          <w:rFonts w:ascii="Palatino Linotype" w:hAnsi="Palatino Linotype" w:cs="Arial"/>
          <w:bCs/>
          <w:iCs/>
          <w:color w:val="222222"/>
          <w:lang w:val="es-ES_tradnl"/>
        </w:rPr>
        <w:t>(Énfasis añadido)</w:t>
      </w:r>
    </w:p>
    <w:p w:rsidR="00E367D2" w:rsidRPr="00613727" w:rsidRDefault="00E367D2" w:rsidP="00613727">
      <w:pPr>
        <w:shd w:val="clear" w:color="auto" w:fill="FFFFFF"/>
        <w:ind w:right="113"/>
        <w:jc w:val="both"/>
        <w:rPr>
          <w:rFonts w:ascii="Palatino Linotype" w:hAnsi="Palatino Linotype" w:cs="Arial"/>
          <w:iCs/>
          <w:color w:val="222222"/>
          <w:lang w:val="es-ES_tradnl"/>
        </w:rPr>
      </w:pPr>
    </w:p>
    <w:p w:rsidR="00E367D2" w:rsidRPr="00613727" w:rsidRDefault="00E367D2" w:rsidP="00613727">
      <w:pPr>
        <w:pStyle w:val="Prrafodelista"/>
        <w:numPr>
          <w:ilvl w:val="0"/>
          <w:numId w:val="1"/>
        </w:numPr>
        <w:spacing w:line="360" w:lineRule="auto"/>
        <w:ind w:left="0" w:right="113" w:firstLine="0"/>
        <w:jc w:val="both"/>
        <w:rPr>
          <w:rFonts w:ascii="Palatino Linotype" w:eastAsia="MS Mincho" w:hAnsi="Palatino Linotype" w:cs="Arial"/>
          <w:sz w:val="24"/>
          <w:lang w:eastAsia="es-ES"/>
        </w:rPr>
      </w:pPr>
      <w:r w:rsidRPr="00613727">
        <w:rPr>
          <w:rFonts w:ascii="Palatino Linotype" w:eastAsia="MS Mincho" w:hAnsi="Palatino Linotype" w:cs="Arial"/>
          <w:sz w:val="24"/>
          <w:lang w:val="es-ES" w:eastAsia="es-ES"/>
        </w:rPr>
        <w:t xml:space="preserve">Robustece lo anterior </w:t>
      </w:r>
      <w:r w:rsidRPr="00613727">
        <w:rPr>
          <w:rFonts w:ascii="Palatino Linotype" w:eastAsia="MS Mincho" w:hAnsi="Palatino Linotype" w:cs="Arial"/>
          <w:sz w:val="24"/>
          <w:lang w:eastAsia="es-ES"/>
        </w:rPr>
        <w:t xml:space="preserve">el Criterio Orientador </w:t>
      </w:r>
      <w:r w:rsidRPr="00613727">
        <w:rPr>
          <w:rFonts w:ascii="Palatino Linotype" w:eastAsia="MS Mincho" w:hAnsi="Palatino Linotype" w:cs="Arial"/>
          <w:b/>
          <w:sz w:val="24"/>
          <w:lang w:eastAsia="es-ES"/>
        </w:rPr>
        <w:t>16/17</w:t>
      </w:r>
      <w:r w:rsidRPr="00613727">
        <w:rPr>
          <w:rFonts w:ascii="Palatino Linotype" w:eastAsia="MS Mincho" w:hAnsi="Palatino Linotype" w:cs="Arial"/>
          <w:sz w:val="24"/>
          <w:lang w:eastAsia="es-ES"/>
        </w:rPr>
        <w:t xml:space="preserve"> emitido de igual forma por el Instituto Nacional de Transparencia, Acceso a la Información y Protección de Datos Personales que a la literalidad prevé:</w:t>
      </w:r>
    </w:p>
    <w:p w:rsidR="00E367D2" w:rsidRPr="00613727" w:rsidRDefault="00E367D2" w:rsidP="00613727">
      <w:pPr>
        <w:pStyle w:val="Prrafodelista"/>
        <w:ind w:right="538"/>
        <w:jc w:val="both"/>
        <w:rPr>
          <w:rFonts w:ascii="Palatino Linotype" w:eastAsia="MS Mincho" w:hAnsi="Palatino Linotype" w:cs="Arial"/>
          <w:i/>
          <w:lang w:eastAsia="es-ES"/>
        </w:rPr>
      </w:pPr>
      <w:r w:rsidRPr="00613727">
        <w:rPr>
          <w:rFonts w:ascii="Palatino Linotype" w:eastAsia="MS Mincho" w:hAnsi="Palatino Linotype" w:cs="Arial"/>
          <w:b/>
          <w:i/>
          <w:lang w:eastAsia="es-ES"/>
        </w:rPr>
        <w:t>“Expresión documental</w:t>
      </w:r>
      <w:r w:rsidRPr="00613727">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613727">
        <w:rPr>
          <w:rFonts w:ascii="Palatino Linotype" w:eastAsia="MS Mincho" w:hAnsi="Palatino Linotype" w:cs="Arial"/>
          <w:i/>
          <w:u w:val="single"/>
          <w:lang w:eastAsia="es-ES"/>
        </w:rPr>
        <w:t>los sujetos obligados</w:t>
      </w:r>
      <w:r w:rsidRPr="00613727">
        <w:rPr>
          <w:rFonts w:ascii="Palatino Linotype" w:eastAsia="MS Mincho" w:hAnsi="Palatino Linotype" w:cs="Arial"/>
          <w:i/>
          <w:lang w:eastAsia="es-ES"/>
        </w:rPr>
        <w:t xml:space="preserve">, éstos </w:t>
      </w:r>
      <w:r w:rsidRPr="00613727">
        <w:rPr>
          <w:rFonts w:ascii="Palatino Linotype" w:eastAsia="MS Mincho" w:hAnsi="Palatino Linotype" w:cs="Arial"/>
          <w:i/>
          <w:u w:val="single"/>
          <w:lang w:eastAsia="es-ES"/>
        </w:rPr>
        <w:t>deben dar a dichas solicitudes una interpretación que les otorgue una expresión documental.</w:t>
      </w:r>
      <w:r w:rsidRPr="00613727">
        <w:rPr>
          <w:rFonts w:ascii="Palatino Linotype" w:eastAsia="MS Mincho" w:hAnsi="Palatino Linotype" w:cs="Arial"/>
          <w:i/>
          <w:lang w:eastAsia="es-ES"/>
        </w:rPr>
        <w:t xml:space="preserve"> </w:t>
      </w:r>
    </w:p>
    <w:p w:rsidR="00E367D2" w:rsidRPr="00613727" w:rsidRDefault="00E367D2" w:rsidP="00613727">
      <w:pPr>
        <w:pStyle w:val="Prrafodelista"/>
        <w:ind w:right="538"/>
        <w:jc w:val="both"/>
        <w:rPr>
          <w:rFonts w:ascii="Palatino Linotype" w:eastAsia="MS Mincho" w:hAnsi="Palatino Linotype" w:cs="Arial"/>
          <w:i/>
          <w:lang w:eastAsia="es-ES"/>
        </w:rPr>
      </w:pPr>
      <w:r w:rsidRPr="00613727">
        <w:rPr>
          <w:rFonts w:ascii="Palatino Linotype" w:eastAsia="MS Mincho" w:hAnsi="Palatino Linotype" w:cs="Arial"/>
          <w:i/>
          <w:lang w:eastAsia="es-ES"/>
        </w:rPr>
        <w:t>Resoluciones:</w:t>
      </w:r>
    </w:p>
    <w:p w:rsidR="00E367D2" w:rsidRPr="00613727" w:rsidRDefault="00E367D2" w:rsidP="00613727">
      <w:pPr>
        <w:pStyle w:val="Prrafodelista"/>
        <w:ind w:right="538"/>
        <w:jc w:val="both"/>
        <w:rPr>
          <w:rFonts w:ascii="Palatino Linotype" w:eastAsia="MS Mincho" w:hAnsi="Palatino Linotype" w:cs="Arial"/>
          <w:i/>
          <w:lang w:eastAsia="es-ES"/>
        </w:rPr>
      </w:pPr>
      <w:r w:rsidRPr="00613727">
        <w:rPr>
          <w:rFonts w:ascii="Palatino Linotype" w:eastAsia="MS Mincho" w:hAnsi="Palatino Linotype" w:cs="Arial"/>
          <w:i/>
          <w:lang w:eastAsia="es-ES"/>
        </w:rPr>
        <w:t>•</w:t>
      </w:r>
      <w:r w:rsidRPr="00613727">
        <w:rPr>
          <w:rFonts w:ascii="Palatino Linotype" w:eastAsia="MS Mincho" w:hAnsi="Palatino Linotype" w:cs="Arial"/>
          <w:i/>
          <w:lang w:eastAsia="es-ES"/>
        </w:rPr>
        <w:tab/>
        <w:t>RRA 0774/16. Secretaría de Salud. 31 de agosto de 2016. Por unanimidad. Comisionada Ponente María Patricia Kurczyn Villalobos.</w:t>
      </w:r>
    </w:p>
    <w:p w:rsidR="00E367D2" w:rsidRPr="00613727" w:rsidRDefault="00E367D2" w:rsidP="00613727">
      <w:pPr>
        <w:pStyle w:val="Prrafodelista"/>
        <w:ind w:right="538"/>
        <w:jc w:val="both"/>
        <w:rPr>
          <w:rFonts w:ascii="Palatino Linotype" w:eastAsia="MS Mincho" w:hAnsi="Palatino Linotype" w:cs="Arial"/>
          <w:i/>
          <w:lang w:eastAsia="es-ES"/>
        </w:rPr>
      </w:pPr>
      <w:r w:rsidRPr="00613727">
        <w:rPr>
          <w:rFonts w:ascii="Palatino Linotype" w:eastAsia="MS Mincho" w:hAnsi="Palatino Linotype" w:cs="Arial"/>
          <w:i/>
          <w:lang w:eastAsia="es-ES"/>
        </w:rPr>
        <w:t>•</w:t>
      </w:r>
      <w:r w:rsidRPr="00613727">
        <w:rPr>
          <w:rFonts w:ascii="Palatino Linotype" w:eastAsia="MS Mincho" w:hAnsi="Palatino Linotype" w:cs="Arial"/>
          <w:i/>
          <w:lang w:eastAsia="es-ES"/>
        </w:rPr>
        <w:tab/>
        <w:t xml:space="preserve">RRA 0143/17. Universidad Autónoma Agraria Antonio Narro. 22 de febrero de 2017. Por unanimidad. Comisionado Ponente Oscar Mauricio Guerra Ford. </w:t>
      </w:r>
    </w:p>
    <w:p w:rsidR="00E367D2" w:rsidRPr="00613727" w:rsidRDefault="00E367D2" w:rsidP="00613727">
      <w:pPr>
        <w:pStyle w:val="Prrafodelista"/>
        <w:ind w:right="538"/>
        <w:jc w:val="both"/>
        <w:rPr>
          <w:rFonts w:ascii="Palatino Linotype" w:eastAsia="MS Mincho" w:hAnsi="Palatino Linotype" w:cs="Arial"/>
          <w:i/>
          <w:lang w:eastAsia="es-ES"/>
        </w:rPr>
      </w:pPr>
      <w:r w:rsidRPr="00613727">
        <w:rPr>
          <w:rFonts w:ascii="Palatino Linotype" w:eastAsia="MS Mincho" w:hAnsi="Palatino Linotype" w:cs="Arial"/>
          <w:i/>
          <w:lang w:eastAsia="es-ES"/>
        </w:rPr>
        <w:lastRenderedPageBreak/>
        <w:t>•</w:t>
      </w:r>
      <w:r w:rsidRPr="00613727">
        <w:rPr>
          <w:rFonts w:ascii="Palatino Linotype" w:eastAsia="MS Mincho" w:hAnsi="Palatino Linotype" w:cs="Arial"/>
          <w:i/>
          <w:lang w:eastAsia="es-ES"/>
        </w:rPr>
        <w:tab/>
        <w:t>RRA 0540/17. Secretaría de Economía. 08 de marzo del 2017. Por unanimidad. Comisionado Ponente Francisco Javier Acuña Llamas”</w:t>
      </w:r>
    </w:p>
    <w:p w:rsidR="00E367D2" w:rsidRPr="00613727" w:rsidRDefault="00E367D2" w:rsidP="00613727">
      <w:pPr>
        <w:pStyle w:val="Prrafodelista"/>
        <w:ind w:right="538"/>
        <w:jc w:val="both"/>
        <w:rPr>
          <w:rFonts w:ascii="Palatino Linotype" w:eastAsia="MS Mincho" w:hAnsi="Palatino Linotype" w:cs="Arial"/>
          <w:lang w:eastAsia="es-ES"/>
        </w:rPr>
      </w:pPr>
      <w:r w:rsidRPr="00613727">
        <w:rPr>
          <w:rFonts w:ascii="Palatino Linotype" w:eastAsia="MS Mincho" w:hAnsi="Palatino Linotype" w:cs="Arial"/>
          <w:lang w:eastAsia="es-ES"/>
        </w:rPr>
        <w:t>(Énfasis añadido)</w:t>
      </w:r>
    </w:p>
    <w:p w:rsidR="00E367D2" w:rsidRPr="00613727" w:rsidRDefault="00E367D2" w:rsidP="00613727">
      <w:pPr>
        <w:tabs>
          <w:tab w:val="left" w:pos="426"/>
        </w:tabs>
        <w:spacing w:line="360" w:lineRule="auto"/>
        <w:ind w:left="360" w:right="113"/>
        <w:jc w:val="both"/>
        <w:rPr>
          <w:rFonts w:ascii="Palatino Linotype" w:hAnsi="Palatino Linotype"/>
          <w:lang w:val="es-ES" w:eastAsia="es-ES"/>
        </w:rPr>
      </w:pPr>
    </w:p>
    <w:p w:rsidR="00E367D2" w:rsidRPr="00613727" w:rsidRDefault="00E367D2" w:rsidP="00613727">
      <w:pPr>
        <w:pStyle w:val="Prrafodelista"/>
        <w:numPr>
          <w:ilvl w:val="0"/>
          <w:numId w:val="1"/>
        </w:numPr>
        <w:spacing w:line="360" w:lineRule="auto"/>
        <w:ind w:left="0" w:right="113" w:firstLine="0"/>
        <w:jc w:val="both"/>
        <w:rPr>
          <w:rFonts w:ascii="Palatino Linotype" w:hAnsi="Palatino Linotype"/>
          <w:sz w:val="24"/>
          <w:lang w:val="es-ES" w:eastAsia="es-ES"/>
        </w:rPr>
      </w:pPr>
      <w:r w:rsidRPr="00613727">
        <w:rPr>
          <w:rFonts w:ascii="Palatino Linotype" w:hAnsi="Palatino Linotype"/>
          <w:sz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rsidR="004716E2" w:rsidRPr="00613727" w:rsidRDefault="004716E2" w:rsidP="00613727">
      <w:pPr>
        <w:spacing w:line="360" w:lineRule="auto"/>
        <w:ind w:right="113"/>
        <w:jc w:val="both"/>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color w:val="000000"/>
        </w:rPr>
        <w:t xml:space="preserve">Resulta necesario referir que, el </w:t>
      </w:r>
      <w:r w:rsidRPr="00613727">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613727">
        <w:rPr>
          <w:rFonts w:ascii="Palatino Linotype" w:eastAsia="Palatino Linotype" w:hAnsi="Palatino Linotype" w:cs="Palatino Linotype"/>
          <w:b/>
        </w:rPr>
        <w:t>los Sujetos Obligados deberán documentar todo acto que se derive del ejercicio de sus facultades, competencias o funciones,</w:t>
      </w:r>
      <w:r w:rsidRPr="00613727">
        <w:rPr>
          <w:rFonts w:ascii="Palatino Linotype" w:eastAsia="Palatino Linotype" w:hAnsi="Palatino Linotype" w:cs="Palatino Linotype"/>
        </w:rPr>
        <w:t xml:space="preserve"> considerando desde su origen la eventual publicidad y reutilización de la información que generen, posean o administren.</w:t>
      </w:r>
    </w:p>
    <w:p w:rsidR="004716E2" w:rsidRPr="00613727" w:rsidRDefault="004716E2" w:rsidP="00613727">
      <w:pPr>
        <w:pBdr>
          <w:top w:val="nil"/>
          <w:left w:val="nil"/>
          <w:bottom w:val="nil"/>
          <w:right w:val="nil"/>
          <w:between w:val="nil"/>
        </w:pBdr>
        <w:ind w:left="720" w:right="113"/>
        <w:rPr>
          <w:rFonts w:ascii="Palatino Linotype" w:eastAsia="Palatino Linotype" w:hAnsi="Palatino Linotype" w:cs="Palatino Linotype"/>
          <w:color w:val="000000"/>
        </w:rPr>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r w:rsidRPr="00613727">
        <w:rPr>
          <w:rFonts w:ascii="Palatino Linotype" w:eastAsia="Palatino Linotype" w:hAnsi="Palatino Linotype" w:cs="Palatino Linotype"/>
          <w:b/>
          <w:i/>
          <w:sz w:val="22"/>
        </w:rPr>
        <w:t xml:space="preserve">Artículo 4. </w:t>
      </w:r>
      <w:r w:rsidRPr="00613727">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r w:rsidRPr="00613727">
        <w:rPr>
          <w:rFonts w:ascii="Palatino Linotype" w:eastAsia="Palatino Linotype" w:hAnsi="Palatino Linotype" w:cs="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613727">
        <w:rPr>
          <w:rFonts w:ascii="Palatino Linotype" w:eastAsia="Palatino Linotype" w:hAnsi="Palatino Linotype" w:cs="Palatino Linotype"/>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r w:rsidRPr="00613727">
        <w:rPr>
          <w:rFonts w:ascii="Palatino Linotype" w:eastAsia="Palatino Linotype" w:hAnsi="Palatino Linotype" w:cs="Palatino Linotype"/>
          <w:i/>
          <w:sz w:val="22"/>
        </w:rPr>
        <w:t>Los sujetos obligados deben poner en práctica, políticas y programas de acceso a la información que se apeguen a criterios de publicidad, veracidad, oportunidad, precisión y suficiencia en beneficio de los solicitantes.</w:t>
      </w:r>
    </w:p>
    <w:p w:rsidR="004716E2" w:rsidRPr="00613727" w:rsidRDefault="004716E2" w:rsidP="00613727">
      <w:pPr>
        <w:spacing w:line="276" w:lineRule="auto"/>
        <w:ind w:left="851" w:right="1105"/>
        <w:jc w:val="both"/>
        <w:rPr>
          <w:rFonts w:ascii="Palatino Linotype" w:eastAsia="Palatino Linotype" w:hAnsi="Palatino Linotype" w:cs="Palatino Linotype"/>
          <w:i/>
          <w:color w:val="000000"/>
          <w:sz w:val="22"/>
        </w:rPr>
      </w:pP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r w:rsidRPr="00613727">
        <w:rPr>
          <w:rFonts w:ascii="Palatino Linotype" w:eastAsia="Palatino Linotype" w:hAnsi="Palatino Linotype" w:cs="Palatino Linotype"/>
          <w:b/>
          <w:i/>
          <w:sz w:val="22"/>
        </w:rPr>
        <w:t xml:space="preserve">Artículo 12. </w:t>
      </w:r>
      <w:r w:rsidRPr="00613727">
        <w:rPr>
          <w:rFonts w:ascii="Palatino Linotype" w:eastAsia="Palatino Linotype" w:hAnsi="Palatino Linotype" w:cs="Palatino Linotype"/>
          <w:i/>
          <w:sz w:val="22"/>
        </w:rPr>
        <w:t xml:space="preserve">Quienes generen, recopilen, administren, manejen, procesen, archiven o conserven información pública serán responsables de la misma en los términos de las disposiciones jurídicas aplicables. </w:t>
      </w:r>
    </w:p>
    <w:p w:rsidR="004716E2" w:rsidRPr="00613727" w:rsidRDefault="004716E2" w:rsidP="00613727">
      <w:pPr>
        <w:spacing w:line="276" w:lineRule="auto"/>
        <w:ind w:left="851" w:right="1105"/>
        <w:jc w:val="both"/>
        <w:rPr>
          <w:rFonts w:ascii="Palatino Linotype" w:eastAsia="Palatino Linotype" w:hAnsi="Palatino Linotype" w:cs="Palatino Linotype"/>
          <w:i/>
          <w:sz w:val="22"/>
        </w:rPr>
      </w:pPr>
    </w:p>
    <w:p w:rsidR="004716E2" w:rsidRPr="00613727" w:rsidRDefault="004716E2" w:rsidP="00613727">
      <w:pPr>
        <w:spacing w:line="276" w:lineRule="auto"/>
        <w:ind w:left="851" w:right="1105"/>
        <w:jc w:val="both"/>
        <w:rPr>
          <w:rFonts w:ascii="Palatino Linotype" w:eastAsia="Palatino Linotype" w:hAnsi="Palatino Linotype" w:cs="Palatino Linotype"/>
          <w:b/>
          <w:i/>
          <w:sz w:val="22"/>
        </w:rPr>
      </w:pPr>
      <w:r w:rsidRPr="00613727">
        <w:rPr>
          <w:rFonts w:ascii="Palatino Linotype" w:eastAsia="Palatino Linotype" w:hAnsi="Palatino Linotype" w:cs="Palatino Linotype"/>
          <w:i/>
          <w:sz w:val="22"/>
        </w:rPr>
        <w:t xml:space="preserve">Los sujetos obligados sólo proporcionarán la información pública que se les requiera y que obre en sus archivos y en el estado en que ésta se encuentre. </w:t>
      </w:r>
      <w:r w:rsidRPr="00613727">
        <w:rPr>
          <w:rFonts w:ascii="Palatino Linotype" w:eastAsia="Palatino Linotype" w:hAnsi="Palatino Linotype" w:cs="Palatino Linotype"/>
          <w:b/>
          <w:i/>
          <w:sz w:val="22"/>
        </w:rPr>
        <w:t>La obligación de proporcionar información no comprende el procesamiento de la misma, ni el presentarla conforme al interés del solicitante; no estarán obligados a generarla, resumirla, efectuar cálculos o practicar investigaciones.</w:t>
      </w:r>
    </w:p>
    <w:p w:rsidR="004716E2" w:rsidRPr="00613727" w:rsidRDefault="004716E2" w:rsidP="00613727">
      <w:pPr>
        <w:spacing w:line="360" w:lineRule="auto"/>
        <w:ind w:left="567" w:right="113"/>
        <w:jc w:val="both"/>
        <w:rPr>
          <w:rFonts w:ascii="Palatino Linotype" w:eastAsia="Palatino Linotype" w:hAnsi="Palatino Linotype" w:cs="Palatino Linotype"/>
          <w:i/>
        </w:rPr>
      </w:pPr>
    </w:p>
    <w:p w:rsidR="004716E2" w:rsidRPr="00613727" w:rsidRDefault="004716E2" w:rsidP="00613727">
      <w:pPr>
        <w:numPr>
          <w:ilvl w:val="0"/>
          <w:numId w:val="1"/>
        </w:numPr>
        <w:pBdr>
          <w:top w:val="nil"/>
          <w:left w:val="nil"/>
          <w:bottom w:val="nil"/>
          <w:right w:val="nil"/>
          <w:between w:val="nil"/>
        </w:pBdr>
        <w:tabs>
          <w:tab w:val="left" w:pos="851"/>
        </w:tabs>
        <w:spacing w:line="360" w:lineRule="auto"/>
        <w:ind w:left="0" w:right="113" w:firstLine="0"/>
        <w:jc w:val="both"/>
        <w:rPr>
          <w:color w:val="000000"/>
        </w:rPr>
      </w:pPr>
      <w:r w:rsidRPr="00613727">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13727">
        <w:rPr>
          <w:rFonts w:ascii="Palatino Linotype" w:eastAsia="Palatino Linotype" w:hAnsi="Palatino Linotype" w:cs="Palatino Linotype"/>
          <w:color w:val="000000"/>
          <w:vertAlign w:val="superscript"/>
        </w:rPr>
        <w:footnoteReference w:id="1"/>
      </w:r>
      <w:r w:rsidRPr="00613727">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4716E2" w:rsidRPr="00613727" w:rsidRDefault="004716E2" w:rsidP="00613727">
      <w:pPr>
        <w:pBdr>
          <w:top w:val="nil"/>
          <w:left w:val="nil"/>
          <w:bottom w:val="nil"/>
          <w:right w:val="nil"/>
          <w:between w:val="nil"/>
        </w:pBdr>
        <w:tabs>
          <w:tab w:val="left" w:pos="851"/>
        </w:tabs>
        <w:spacing w:line="360" w:lineRule="auto"/>
        <w:ind w:right="113"/>
        <w:jc w:val="both"/>
        <w:rPr>
          <w:rFonts w:ascii="Palatino Linotype" w:eastAsia="Palatino Linotype" w:hAnsi="Palatino Linotype" w:cs="Palatino Linotype"/>
          <w:color w:val="000000"/>
        </w:rPr>
      </w:pPr>
    </w:p>
    <w:p w:rsidR="004716E2" w:rsidRPr="00613727" w:rsidRDefault="004716E2" w:rsidP="00613727">
      <w:pPr>
        <w:numPr>
          <w:ilvl w:val="0"/>
          <w:numId w:val="1"/>
        </w:numPr>
        <w:pBdr>
          <w:top w:val="nil"/>
          <w:left w:val="nil"/>
          <w:bottom w:val="nil"/>
          <w:right w:val="nil"/>
          <w:between w:val="nil"/>
        </w:pBdr>
        <w:tabs>
          <w:tab w:val="left" w:pos="851"/>
        </w:tabs>
        <w:spacing w:line="360" w:lineRule="auto"/>
        <w:ind w:left="0" w:right="113" w:firstLine="0"/>
        <w:jc w:val="both"/>
        <w:rPr>
          <w:color w:val="000000"/>
        </w:rPr>
      </w:pPr>
      <w:r w:rsidRPr="00613727">
        <w:rPr>
          <w:rFonts w:ascii="Palatino Linotype" w:eastAsia="Palatino Linotype" w:hAnsi="Palatino Linotype" w:cs="Palatino Linotype"/>
          <w:color w:val="000000"/>
        </w:rPr>
        <w:lastRenderedPageBreak/>
        <w:t xml:space="preserve">Robustece lo anterior la Tesis aislada identificada con la clave I.4º.A.40 A del Cuarto Tribunal colegiado en Materia Administrativa del Primer Circuito, publicada </w:t>
      </w:r>
      <w:r w:rsidR="00EA68B8">
        <w:rPr>
          <w:rFonts w:ascii="Palatino Linotype" w:eastAsia="Palatino Linotype" w:hAnsi="Palatino Linotype" w:cs="Palatino Linotype"/>
          <w:color w:val="000000"/>
        </w:rPr>
        <w:t>en el Sema</w:t>
      </w:r>
      <w:r w:rsidRPr="00613727">
        <w:rPr>
          <w:rFonts w:ascii="Palatino Linotype" w:eastAsia="Palatino Linotype" w:hAnsi="Palatino Linotype" w:cs="Palatino Linotype"/>
          <w:color w:val="000000"/>
        </w:rPr>
        <w:t>nario Judicial de la Federación y su Gaceta en el libro XVIII, Marzo 2013, Página 1899.</w:t>
      </w:r>
    </w:p>
    <w:p w:rsidR="004716E2" w:rsidRPr="00613727" w:rsidRDefault="004716E2" w:rsidP="00613727">
      <w:pPr>
        <w:pBdr>
          <w:top w:val="nil"/>
          <w:left w:val="nil"/>
          <w:bottom w:val="nil"/>
          <w:right w:val="nil"/>
          <w:between w:val="nil"/>
        </w:pBdr>
        <w:tabs>
          <w:tab w:val="left" w:pos="851"/>
        </w:tabs>
        <w:spacing w:line="360" w:lineRule="auto"/>
        <w:ind w:left="567" w:right="1105"/>
        <w:jc w:val="both"/>
        <w:rPr>
          <w:rFonts w:ascii="Palatino Linotype" w:eastAsia="Palatino Linotype" w:hAnsi="Palatino Linotype" w:cs="Palatino Linotype"/>
          <w:i/>
          <w:color w:val="000000"/>
          <w:sz w:val="22"/>
        </w:rPr>
      </w:pPr>
      <w:r w:rsidRPr="00613727">
        <w:rPr>
          <w:rFonts w:ascii="Palatino Linotype" w:eastAsia="Palatino Linotype" w:hAnsi="Palatino Linotype" w:cs="Palatino Linotype"/>
          <w:b/>
          <w:i/>
          <w:color w:val="000000"/>
          <w:sz w:val="22"/>
        </w:rPr>
        <w:t>ACCESO A LA INFORMACIÓN. IMPLICACIÓN DEL PRINCIPIO DE MÁXIMA PUBLICIDAD EN EL DERECHO FUNDAMENTAL RELATIVO.</w:t>
      </w:r>
      <w:r w:rsidRPr="00613727">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4716E2" w:rsidRPr="00613727" w:rsidRDefault="004716E2" w:rsidP="00613727">
      <w:pPr>
        <w:pBdr>
          <w:top w:val="nil"/>
          <w:left w:val="nil"/>
          <w:bottom w:val="nil"/>
          <w:right w:val="nil"/>
          <w:between w:val="nil"/>
        </w:pBdr>
        <w:tabs>
          <w:tab w:val="left" w:pos="851"/>
        </w:tabs>
        <w:spacing w:line="360" w:lineRule="auto"/>
        <w:ind w:left="567" w:right="1105"/>
        <w:jc w:val="both"/>
        <w:rPr>
          <w:rFonts w:ascii="Palatino Linotype" w:eastAsia="Palatino Linotype" w:hAnsi="Palatino Linotype" w:cs="Palatino Linotype"/>
          <w:i/>
          <w:color w:val="000000"/>
          <w:sz w:val="22"/>
        </w:rPr>
      </w:pPr>
    </w:p>
    <w:p w:rsidR="004716E2" w:rsidRPr="00613727" w:rsidRDefault="004716E2" w:rsidP="00613727">
      <w:pPr>
        <w:pBdr>
          <w:top w:val="nil"/>
          <w:left w:val="nil"/>
          <w:bottom w:val="nil"/>
          <w:right w:val="nil"/>
          <w:between w:val="nil"/>
        </w:pBdr>
        <w:tabs>
          <w:tab w:val="left" w:pos="851"/>
        </w:tabs>
        <w:spacing w:line="360" w:lineRule="auto"/>
        <w:ind w:left="567" w:right="1105"/>
        <w:jc w:val="both"/>
        <w:rPr>
          <w:rFonts w:ascii="Palatino Linotype" w:eastAsia="Palatino Linotype" w:hAnsi="Palatino Linotype" w:cs="Palatino Linotype"/>
          <w:i/>
          <w:color w:val="000000"/>
          <w:sz w:val="22"/>
        </w:rPr>
      </w:pPr>
      <w:r w:rsidRPr="00613727">
        <w:rPr>
          <w:rFonts w:ascii="Palatino Linotype" w:eastAsia="Palatino Linotype" w:hAnsi="Palatino Linotype" w:cs="Palatino Linotype"/>
          <w:i/>
          <w:color w:val="000000"/>
          <w:sz w:val="22"/>
        </w:rPr>
        <w:lastRenderedPageBreak/>
        <w:t xml:space="preserve">CUARTO TRIBUNAL COLEGIADO EN MATERIA ADMINISTRATIVA DEL PRIMER CIRCUITO. </w:t>
      </w:r>
    </w:p>
    <w:p w:rsidR="004716E2" w:rsidRPr="00613727" w:rsidRDefault="004716E2" w:rsidP="00613727">
      <w:pPr>
        <w:pBdr>
          <w:top w:val="nil"/>
          <w:left w:val="nil"/>
          <w:bottom w:val="nil"/>
          <w:right w:val="nil"/>
          <w:between w:val="nil"/>
        </w:pBdr>
        <w:tabs>
          <w:tab w:val="left" w:pos="851"/>
        </w:tabs>
        <w:spacing w:line="360" w:lineRule="auto"/>
        <w:ind w:left="567" w:right="1105"/>
        <w:jc w:val="both"/>
        <w:rPr>
          <w:rFonts w:ascii="Palatino Linotype" w:eastAsia="Palatino Linotype" w:hAnsi="Palatino Linotype" w:cs="Palatino Linotype"/>
          <w:i/>
          <w:color w:val="000000"/>
          <w:sz w:val="22"/>
        </w:rPr>
      </w:pPr>
    </w:p>
    <w:p w:rsidR="004716E2" w:rsidRPr="00613727" w:rsidRDefault="004716E2" w:rsidP="00613727">
      <w:pPr>
        <w:pBdr>
          <w:top w:val="nil"/>
          <w:left w:val="nil"/>
          <w:bottom w:val="nil"/>
          <w:right w:val="nil"/>
          <w:between w:val="nil"/>
        </w:pBdr>
        <w:tabs>
          <w:tab w:val="left" w:pos="851"/>
        </w:tabs>
        <w:spacing w:line="360" w:lineRule="auto"/>
        <w:ind w:left="567" w:right="1105"/>
        <w:jc w:val="both"/>
        <w:rPr>
          <w:rFonts w:ascii="Palatino Linotype" w:eastAsia="Palatino Linotype" w:hAnsi="Palatino Linotype" w:cs="Palatino Linotype"/>
          <w:i/>
          <w:color w:val="000000"/>
          <w:sz w:val="22"/>
        </w:rPr>
      </w:pPr>
      <w:r w:rsidRPr="00613727">
        <w:rPr>
          <w:rFonts w:ascii="Palatino Linotype" w:eastAsia="Palatino Linotype" w:hAnsi="Palatino Linotype" w:cs="Palatino Linotype"/>
          <w:i/>
          <w:color w:val="000000"/>
          <w:sz w:val="22"/>
        </w:rPr>
        <w:t>Amparo en revisión 257/2012. Ruth Corona Muñoz. 6 de diciembre de 2012. Unanimidad de votos. Ponente: Jean Claude Tron Petit. Secretaria: Mayra Susana Martínez López.</w:t>
      </w:r>
    </w:p>
    <w:p w:rsidR="004716E2" w:rsidRPr="00613727" w:rsidRDefault="004716E2" w:rsidP="00613727">
      <w:pPr>
        <w:pBdr>
          <w:top w:val="nil"/>
          <w:left w:val="nil"/>
          <w:bottom w:val="nil"/>
          <w:right w:val="nil"/>
          <w:between w:val="nil"/>
        </w:pBdr>
        <w:spacing w:line="360" w:lineRule="auto"/>
        <w:ind w:left="720" w:right="113"/>
        <w:rPr>
          <w:rFonts w:ascii="Palatino Linotype" w:eastAsia="Palatino Linotype" w:hAnsi="Palatino Linotype" w:cs="Palatino Linotype"/>
          <w:color w:val="000000"/>
        </w:rPr>
      </w:pPr>
    </w:p>
    <w:p w:rsidR="004716E2" w:rsidRPr="00613727" w:rsidRDefault="004716E2" w:rsidP="00613727">
      <w:pPr>
        <w:numPr>
          <w:ilvl w:val="0"/>
          <w:numId w:val="1"/>
        </w:numPr>
        <w:pBdr>
          <w:top w:val="nil"/>
          <w:left w:val="nil"/>
          <w:bottom w:val="nil"/>
          <w:right w:val="nil"/>
          <w:between w:val="nil"/>
        </w:pBdr>
        <w:tabs>
          <w:tab w:val="left" w:pos="851"/>
        </w:tabs>
        <w:spacing w:after="240" w:line="360" w:lineRule="auto"/>
        <w:ind w:left="0" w:right="113" w:firstLine="0"/>
        <w:jc w:val="both"/>
        <w:rPr>
          <w:color w:val="000000"/>
        </w:rPr>
      </w:pPr>
      <w:r w:rsidRPr="00613727">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4716E2" w:rsidRPr="00613727" w:rsidRDefault="004716E2" w:rsidP="00613727">
      <w:pPr>
        <w:spacing w:line="360" w:lineRule="auto"/>
        <w:ind w:left="567" w:right="1105"/>
        <w:jc w:val="both"/>
        <w:rPr>
          <w:rFonts w:ascii="Palatino Linotype" w:eastAsia="Palatino Linotype" w:hAnsi="Palatino Linotype" w:cs="Palatino Linotype"/>
          <w:i/>
          <w:sz w:val="22"/>
        </w:rPr>
      </w:pPr>
      <w:r w:rsidRPr="00613727">
        <w:rPr>
          <w:rFonts w:ascii="Palatino Linotype" w:eastAsia="Palatino Linotype" w:hAnsi="Palatino Linotype" w:cs="Palatino Linotype"/>
          <w:b/>
          <w:i/>
          <w:sz w:val="22"/>
        </w:rPr>
        <w:t xml:space="preserve">XI. Documento: </w:t>
      </w:r>
      <w:r w:rsidRPr="00613727">
        <w:rPr>
          <w:rFonts w:ascii="Palatino Linotype" w:eastAsia="Palatino Linotype" w:hAnsi="Palatino Linotype" w:cs="Palatino Linotype"/>
          <w:i/>
          <w:sz w:val="22"/>
        </w:rPr>
        <w:t xml:space="preserve">Los expedientes, reportes, estudios, actas, resoluciones, oficios, correspondencia, acuerdos, directivas, directrices, circulares, contratos, convenios, instructivos, notas, memorandos, estadísticas o bien, </w:t>
      </w:r>
      <w:r w:rsidRPr="00613727">
        <w:rPr>
          <w:rFonts w:ascii="Palatino Linotype" w:eastAsia="Palatino Linotype" w:hAnsi="Palatino Linotype" w:cs="Palatino Linotype"/>
          <w:b/>
          <w:i/>
          <w:sz w:val="22"/>
        </w:rPr>
        <w:t>cualquier otro registro</w:t>
      </w:r>
      <w:r w:rsidRPr="00613727">
        <w:rPr>
          <w:rFonts w:ascii="Palatino Linotype" w:eastAsia="Palatino Linotype" w:hAnsi="Palatino Linotype" w:cs="Palatino Linotype"/>
          <w:i/>
          <w:sz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4716E2" w:rsidRPr="00613727" w:rsidRDefault="004716E2" w:rsidP="00613727">
      <w:pPr>
        <w:pBdr>
          <w:top w:val="nil"/>
          <w:left w:val="nil"/>
          <w:bottom w:val="nil"/>
          <w:right w:val="nil"/>
          <w:between w:val="nil"/>
        </w:pBdr>
        <w:tabs>
          <w:tab w:val="left" w:pos="851"/>
        </w:tabs>
        <w:spacing w:line="360" w:lineRule="auto"/>
        <w:ind w:right="113"/>
        <w:jc w:val="both"/>
        <w:rPr>
          <w:rFonts w:ascii="Palatino Linotype" w:eastAsia="Palatino Linotype" w:hAnsi="Palatino Linotype" w:cs="Palatino Linotype"/>
          <w:color w:val="000000"/>
        </w:rPr>
      </w:pPr>
    </w:p>
    <w:p w:rsidR="004716E2" w:rsidRPr="00613727" w:rsidRDefault="004716E2" w:rsidP="00613727">
      <w:pPr>
        <w:numPr>
          <w:ilvl w:val="0"/>
          <w:numId w:val="1"/>
        </w:numPr>
        <w:pBdr>
          <w:top w:val="nil"/>
          <w:left w:val="nil"/>
          <w:bottom w:val="nil"/>
          <w:right w:val="nil"/>
          <w:between w:val="nil"/>
        </w:pBdr>
        <w:tabs>
          <w:tab w:val="left" w:pos="851"/>
        </w:tabs>
        <w:spacing w:line="360" w:lineRule="auto"/>
        <w:ind w:left="0" w:right="113" w:firstLine="0"/>
        <w:jc w:val="both"/>
        <w:rPr>
          <w:color w:val="000000"/>
        </w:rPr>
      </w:pPr>
      <w:r w:rsidRPr="00613727">
        <w:rPr>
          <w:rFonts w:ascii="Palatino Linotype" w:eastAsia="Palatino Linotype" w:hAnsi="Palatino Linotype" w:cs="Palatino Linotype"/>
          <w:color w:val="000000"/>
        </w:rPr>
        <w:t xml:space="preserve">Es así que, todos los actos de autoridad que realicen los Sujetos </w:t>
      </w:r>
      <w:r w:rsidRPr="00613727">
        <w:rPr>
          <w:rFonts w:ascii="Palatino Linotype" w:eastAsia="Palatino Linotype" w:hAnsi="Palatino Linotype" w:cs="Palatino Linotype"/>
          <w:b/>
          <w:color w:val="000000"/>
        </w:rPr>
        <w:t>Obligados deben estar documentados y, bajo el más alto estándar de transparencia</w:t>
      </w:r>
      <w:r w:rsidRPr="00613727">
        <w:rPr>
          <w:rFonts w:ascii="Palatino Linotype" w:eastAsia="Palatino Linotype" w:hAnsi="Palatino Linotype" w:cs="Palatino Linotype"/>
          <w:color w:val="000000"/>
        </w:rPr>
        <w:t xml:space="preserve"> deberán poner toda la información que se encuentre en su posesión, a disposición de los particulares que la soliciten.</w:t>
      </w:r>
    </w:p>
    <w:p w:rsidR="00E367D2" w:rsidRPr="00613727" w:rsidRDefault="00E367D2" w:rsidP="00613727">
      <w:pPr>
        <w:pBdr>
          <w:top w:val="nil"/>
          <w:left w:val="nil"/>
          <w:bottom w:val="nil"/>
          <w:right w:val="nil"/>
          <w:between w:val="nil"/>
        </w:pBdr>
        <w:tabs>
          <w:tab w:val="left" w:pos="851"/>
        </w:tabs>
        <w:spacing w:line="360" w:lineRule="auto"/>
        <w:ind w:right="113"/>
        <w:jc w:val="both"/>
        <w:rPr>
          <w:rFonts w:ascii="Palatino Linotype" w:eastAsia="Palatino Linotype" w:hAnsi="Palatino Linotype" w:cs="Palatino Linotype"/>
          <w:color w:val="000000"/>
        </w:rPr>
      </w:pPr>
    </w:p>
    <w:p w:rsidR="00E367D2" w:rsidRPr="00613727" w:rsidRDefault="00E367D2" w:rsidP="00613727">
      <w:pPr>
        <w:pBdr>
          <w:top w:val="nil"/>
          <w:left w:val="nil"/>
          <w:bottom w:val="nil"/>
          <w:right w:val="nil"/>
          <w:between w:val="nil"/>
        </w:pBdr>
        <w:tabs>
          <w:tab w:val="left" w:pos="851"/>
        </w:tabs>
        <w:spacing w:line="360" w:lineRule="auto"/>
        <w:ind w:right="113"/>
        <w:jc w:val="both"/>
        <w:rPr>
          <w:rFonts w:ascii="Palatino Linotype" w:eastAsia="Palatino Linotype" w:hAnsi="Palatino Linotype" w:cs="Palatino Linotype"/>
          <w:color w:val="000000"/>
        </w:rPr>
      </w:pPr>
    </w:p>
    <w:p w:rsidR="00E367D2" w:rsidRPr="00613727" w:rsidRDefault="00E367D2" w:rsidP="00613727">
      <w:pPr>
        <w:pBdr>
          <w:top w:val="nil"/>
          <w:left w:val="nil"/>
          <w:bottom w:val="nil"/>
          <w:right w:val="nil"/>
          <w:between w:val="nil"/>
        </w:pBdr>
        <w:tabs>
          <w:tab w:val="left" w:pos="851"/>
        </w:tabs>
        <w:spacing w:line="360" w:lineRule="auto"/>
        <w:ind w:right="113"/>
        <w:jc w:val="both"/>
        <w:rPr>
          <w:color w:val="000000"/>
        </w:rPr>
      </w:pPr>
    </w:p>
    <w:p w:rsidR="004716E2" w:rsidRPr="00613727" w:rsidRDefault="004716E2" w:rsidP="00613727">
      <w:pPr>
        <w:pBdr>
          <w:top w:val="nil"/>
          <w:left w:val="nil"/>
          <w:bottom w:val="nil"/>
          <w:right w:val="nil"/>
          <w:between w:val="nil"/>
        </w:pBdr>
        <w:ind w:left="720" w:right="113"/>
        <w:rPr>
          <w:rFonts w:ascii="Palatino Linotype" w:eastAsia="Palatino Linotype" w:hAnsi="Palatino Linotype" w:cs="Palatino Linotype"/>
          <w:color w:val="000000"/>
        </w:rPr>
      </w:pPr>
    </w:p>
    <w:p w:rsidR="004716E2" w:rsidRPr="00613727" w:rsidRDefault="004716E2" w:rsidP="00613727">
      <w:pPr>
        <w:numPr>
          <w:ilvl w:val="0"/>
          <w:numId w:val="1"/>
        </w:numPr>
        <w:spacing w:line="360" w:lineRule="auto"/>
        <w:ind w:left="0" w:right="113" w:firstLine="0"/>
        <w:jc w:val="both"/>
      </w:pPr>
      <w:r w:rsidRPr="00613727">
        <w:rPr>
          <w:rFonts w:ascii="Palatino Linotype" w:eastAsia="Palatino Linotype" w:hAnsi="Palatino Linotype" w:cs="Palatino Linotype"/>
        </w:rPr>
        <w:t>En ese sentido</w:t>
      </w:r>
      <w:r w:rsidR="00E367D2" w:rsidRPr="00613727">
        <w:rPr>
          <w:rFonts w:ascii="Palatino Linotype" w:eastAsia="Palatino Linotype" w:hAnsi="Palatino Linotype" w:cs="Palatino Linotype"/>
        </w:rPr>
        <w:t>,</w:t>
      </w:r>
      <w:r w:rsidRPr="00613727">
        <w:rPr>
          <w:rFonts w:ascii="Palatino Linotype" w:eastAsia="Palatino Linotype" w:hAnsi="Palatino Linotype" w:cs="Palatino Linotype"/>
        </w:rPr>
        <w:t xml:space="preserve"> en mérito de lo expuesto en líneas a</w:t>
      </w:r>
      <w:r w:rsidR="00E367D2" w:rsidRPr="00613727">
        <w:rPr>
          <w:rFonts w:ascii="Palatino Linotype" w:eastAsia="Palatino Linotype" w:hAnsi="Palatino Linotype" w:cs="Palatino Linotype"/>
        </w:rPr>
        <w:t>nteriores, resultan</w:t>
      </w:r>
      <w:r w:rsidRPr="00613727">
        <w:rPr>
          <w:rFonts w:ascii="Palatino Linotype" w:eastAsia="Palatino Linotype" w:hAnsi="Palatino Linotype" w:cs="Palatino Linotype"/>
        </w:rPr>
        <w:t xml:space="preserve"> fundadas las razones o motivos de inconformidad hechos valer por el </w:t>
      </w:r>
      <w:r w:rsidRPr="00613727">
        <w:rPr>
          <w:rFonts w:ascii="Palatino Linotype" w:eastAsia="Palatino Linotype" w:hAnsi="Palatino Linotype" w:cs="Palatino Linotype"/>
          <w:b/>
        </w:rPr>
        <w:t>RECURRENTE</w:t>
      </w:r>
      <w:r w:rsidRPr="00613727">
        <w:rPr>
          <w:rFonts w:ascii="Palatino Linotype" w:eastAsia="Palatino Linotype" w:hAnsi="Palatino Linotype" w:cs="Palatino Linotype"/>
        </w:rPr>
        <w:t xml:space="preserve"> dentro del recurso </w:t>
      </w:r>
      <w:r w:rsidRPr="00613727">
        <w:rPr>
          <w:rFonts w:ascii="Palatino Linotype" w:eastAsia="Palatino Linotype" w:hAnsi="Palatino Linotype" w:cs="Palatino Linotype"/>
        </w:rPr>
        <w:lastRenderedPageBreak/>
        <w:t xml:space="preserve">de revisión </w:t>
      </w:r>
      <w:r w:rsidR="00E367D2" w:rsidRPr="00613727">
        <w:rPr>
          <w:rFonts w:ascii="Palatino Linotype" w:eastAsia="Palatino Linotype" w:hAnsi="Palatino Linotype" w:cs="Palatino Linotype"/>
          <w:b/>
        </w:rPr>
        <w:t>04218</w:t>
      </w:r>
      <w:r w:rsidRPr="00613727">
        <w:rPr>
          <w:rFonts w:ascii="Palatino Linotype" w:eastAsia="Palatino Linotype" w:hAnsi="Palatino Linotype" w:cs="Palatino Linotype"/>
          <w:b/>
        </w:rPr>
        <w:t>/INFOEM/IP/RR/2024</w:t>
      </w:r>
      <w:r w:rsidRPr="00613727">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613727">
        <w:rPr>
          <w:rFonts w:ascii="Palatino Linotype" w:eastAsia="Palatino Linotype" w:hAnsi="Palatino Linotype" w:cs="Palatino Linotype"/>
          <w:b/>
        </w:rPr>
        <w:t>REVOCA</w:t>
      </w:r>
      <w:r w:rsidRPr="00613727">
        <w:rPr>
          <w:rFonts w:ascii="Palatino Linotype" w:eastAsia="Palatino Linotype" w:hAnsi="Palatino Linotype" w:cs="Palatino Linotype"/>
        </w:rPr>
        <w:t xml:space="preserve"> la respuesta del Sujeto Obligado. </w:t>
      </w:r>
    </w:p>
    <w:p w:rsidR="00E367D2" w:rsidRPr="00613727" w:rsidRDefault="00E367D2" w:rsidP="00613727">
      <w:pPr>
        <w:spacing w:line="360" w:lineRule="auto"/>
        <w:ind w:right="113"/>
        <w:jc w:val="both"/>
      </w:pPr>
    </w:p>
    <w:p w:rsidR="00E367D2" w:rsidRPr="00613727" w:rsidRDefault="004716E2" w:rsidP="00613727">
      <w:pPr>
        <w:pBdr>
          <w:top w:val="nil"/>
          <w:left w:val="nil"/>
          <w:bottom w:val="nil"/>
          <w:right w:val="nil"/>
          <w:between w:val="nil"/>
        </w:pBdr>
        <w:tabs>
          <w:tab w:val="left" w:pos="426"/>
        </w:tabs>
        <w:spacing w:line="360" w:lineRule="auto"/>
        <w:ind w:right="113"/>
        <w:jc w:val="both"/>
        <w:rPr>
          <w:rFonts w:ascii="Palatino Linotype" w:eastAsia="Palatino Linotype" w:hAnsi="Palatino Linotype" w:cs="Palatino Linotype"/>
          <w:b/>
          <w:color w:val="000000"/>
        </w:rPr>
      </w:pPr>
      <w:bookmarkStart w:id="10" w:name="_heading=h.2s8eyo1" w:colFirst="0" w:colLast="0"/>
      <w:bookmarkEnd w:id="10"/>
      <w:r w:rsidRPr="00613727">
        <w:rPr>
          <w:rFonts w:ascii="Palatino Linotype" w:eastAsia="Palatino Linotype" w:hAnsi="Palatino Linotype" w:cs="Palatino Linotype"/>
          <w:b/>
          <w:color w:val="000000"/>
        </w:rPr>
        <w:t>QUINTO. De la versión pública.</w:t>
      </w:r>
    </w:p>
    <w:p w:rsidR="004716E2" w:rsidRPr="00613727" w:rsidRDefault="004716E2" w:rsidP="00613727">
      <w:pPr>
        <w:numPr>
          <w:ilvl w:val="0"/>
          <w:numId w:val="1"/>
        </w:numPr>
        <w:pBdr>
          <w:top w:val="nil"/>
          <w:left w:val="nil"/>
          <w:bottom w:val="nil"/>
          <w:right w:val="nil"/>
          <w:between w:val="nil"/>
        </w:pBdr>
        <w:tabs>
          <w:tab w:val="left" w:pos="426"/>
        </w:tabs>
        <w:spacing w:line="360" w:lineRule="auto"/>
        <w:ind w:left="0" w:right="113" w:firstLine="0"/>
        <w:jc w:val="both"/>
        <w:rPr>
          <w:color w:val="000000"/>
        </w:rPr>
      </w:pPr>
      <w:r w:rsidRPr="00613727">
        <w:rPr>
          <w:rFonts w:ascii="Palatino Linotype" w:eastAsia="Palatino Linotype" w:hAnsi="Palatino Linotype" w:cs="Palatino Linotype"/>
          <w:color w:val="000000"/>
        </w:rPr>
        <w:t>Debe destacarse que, debido a la naturaleza de la información solicitada</w:t>
      </w:r>
      <w:r w:rsidRPr="00613727">
        <w:rPr>
          <w:rFonts w:ascii="Palatino Linotype" w:eastAsia="Palatino Linotype" w:hAnsi="Palatino Linotype" w:cs="Palatino Linotype"/>
          <w:b/>
          <w:color w:val="000000"/>
        </w:rPr>
        <w:t xml:space="preserve"> </w:t>
      </w:r>
      <w:r w:rsidRPr="00613727">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4716E2" w:rsidRPr="00613727" w:rsidRDefault="004716E2" w:rsidP="00613727">
      <w:pPr>
        <w:pBdr>
          <w:top w:val="nil"/>
          <w:left w:val="nil"/>
          <w:bottom w:val="nil"/>
          <w:right w:val="nil"/>
          <w:between w:val="nil"/>
        </w:pBdr>
        <w:tabs>
          <w:tab w:val="left" w:pos="426"/>
        </w:tabs>
        <w:spacing w:line="360" w:lineRule="auto"/>
        <w:ind w:right="113"/>
        <w:jc w:val="both"/>
        <w:rPr>
          <w:rFonts w:ascii="Palatino Linotype" w:eastAsia="Palatino Linotype" w:hAnsi="Palatino Linotype" w:cs="Palatino Linotype"/>
          <w:color w:val="000000"/>
        </w:rPr>
      </w:pPr>
    </w:p>
    <w:p w:rsidR="004716E2" w:rsidRPr="00613727" w:rsidRDefault="004716E2" w:rsidP="00613727">
      <w:pPr>
        <w:numPr>
          <w:ilvl w:val="0"/>
          <w:numId w:val="1"/>
        </w:numPr>
        <w:pBdr>
          <w:top w:val="nil"/>
          <w:left w:val="nil"/>
          <w:bottom w:val="nil"/>
          <w:right w:val="nil"/>
          <w:between w:val="nil"/>
        </w:pBdr>
        <w:tabs>
          <w:tab w:val="left" w:pos="426"/>
        </w:tabs>
        <w:spacing w:line="360" w:lineRule="auto"/>
        <w:ind w:left="0" w:right="113" w:firstLine="0"/>
        <w:jc w:val="both"/>
        <w:rPr>
          <w:color w:val="000000"/>
        </w:rPr>
      </w:pPr>
      <w:r w:rsidRPr="00613727">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por lo que es menester reiterar los mismos:</w:t>
      </w:r>
    </w:p>
    <w:p w:rsidR="004716E2" w:rsidRPr="00613727" w:rsidRDefault="004716E2" w:rsidP="004716E2">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tbl>
      <w:tblPr>
        <w:tblW w:w="984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55"/>
        <w:gridCol w:w="7785"/>
      </w:tblGrid>
      <w:tr w:rsidR="004716E2" w:rsidRPr="00EA68B8" w:rsidTr="004716E2">
        <w:tc>
          <w:tcPr>
            <w:tcW w:w="2055" w:type="dxa"/>
          </w:tcPr>
          <w:p w:rsidR="004716E2" w:rsidRPr="00EA68B8" w:rsidRDefault="004716E2" w:rsidP="004716E2">
            <w:pPr>
              <w:spacing w:line="360" w:lineRule="auto"/>
              <w:ind w:right="2"/>
              <w:rPr>
                <w:rFonts w:ascii="Palatino Linotype" w:eastAsia="Palatino Linotype" w:hAnsi="Palatino Linotype" w:cs="Palatino Linotype"/>
                <w:sz w:val="20"/>
              </w:rPr>
            </w:pPr>
            <w:r w:rsidRPr="00EA68B8">
              <w:rPr>
                <w:rFonts w:ascii="Palatino Linotype" w:eastAsia="Palatino Linotype" w:hAnsi="Palatino Linotype" w:cs="Palatino Linotype"/>
                <w:sz w:val="20"/>
              </w:rPr>
              <w:t>a) Requisitos previos.</w:t>
            </w:r>
          </w:p>
        </w:tc>
        <w:tc>
          <w:tcPr>
            <w:tcW w:w="7785" w:type="dxa"/>
          </w:tcPr>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Al hacerlo tienen que precisar de qué información se trata, señalando el supuesto de clasificación (confidencialidad o reserva).</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Además, se debe señalar el procedimiento, de los tres que establecen los artículos 132 y 106 de la Ley Estatal y General, respectivamente.</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El último de estos requisitos previos consiste en que no se pueden emitir acuerdos de carácter general ni particular, esto es, </w:t>
            </w:r>
            <w:r w:rsidRPr="00EA68B8">
              <w:rPr>
                <w:rFonts w:ascii="Palatino Linotype" w:eastAsia="Palatino Linotype" w:hAnsi="Palatino Linotype" w:cs="Palatino Linotype"/>
                <w:sz w:val="20"/>
                <w:u w:val="single"/>
              </w:rPr>
              <w:t xml:space="preserve">no se puede hacer un acuerdo para clasificar de </w:t>
            </w:r>
            <w:r w:rsidRPr="00EA68B8">
              <w:rPr>
                <w:rFonts w:ascii="Palatino Linotype" w:eastAsia="Palatino Linotype" w:hAnsi="Palatino Linotype" w:cs="Palatino Linotype"/>
                <w:sz w:val="20"/>
                <w:u w:val="single"/>
              </w:rPr>
              <w:lastRenderedPageBreak/>
              <w:t xml:space="preserve">manera general todos los documentos de un expediente o área,  </w:t>
            </w:r>
            <w:r w:rsidRPr="00EA68B8">
              <w:rPr>
                <w:rFonts w:ascii="Palatino Linotype" w:eastAsia="Palatino Linotype" w:hAnsi="Palatino Linotype" w:cs="Palatino Linotype"/>
                <w:sz w:val="20"/>
              </w:rPr>
              <w:t>sin individualizar su análisis y tampoco se puede hacer un acuerdo por cada dato que se vaya a clasificar dentro de un documento con diez datos, por ejemplo, susceptibles de ser clasificados.</w:t>
            </w:r>
          </w:p>
        </w:tc>
      </w:tr>
      <w:tr w:rsidR="004716E2" w:rsidRPr="00EA68B8" w:rsidTr="004716E2">
        <w:tc>
          <w:tcPr>
            <w:tcW w:w="2055" w:type="dxa"/>
          </w:tcPr>
          <w:p w:rsidR="004716E2" w:rsidRPr="00EA68B8" w:rsidRDefault="004716E2" w:rsidP="004716E2">
            <w:pPr>
              <w:spacing w:line="360" w:lineRule="auto"/>
              <w:ind w:right="2"/>
              <w:rPr>
                <w:rFonts w:ascii="Palatino Linotype" w:eastAsia="Palatino Linotype" w:hAnsi="Palatino Linotype" w:cs="Palatino Linotype"/>
                <w:sz w:val="20"/>
              </w:rPr>
            </w:pPr>
            <w:r w:rsidRPr="00EA68B8">
              <w:rPr>
                <w:rFonts w:ascii="Palatino Linotype" w:eastAsia="Palatino Linotype" w:hAnsi="Palatino Linotype" w:cs="Palatino Linotype"/>
                <w:sz w:val="20"/>
              </w:rPr>
              <w:lastRenderedPageBreak/>
              <w:t>b) Supuestos de clasificación.</w:t>
            </w:r>
          </w:p>
        </w:tc>
        <w:tc>
          <w:tcPr>
            <w:tcW w:w="7785" w:type="dxa"/>
          </w:tcPr>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Las disposiciones constitucionales y legales en la materia establecen los dos supuestos generales para clasificar la información: por reserva y por confidencialidad.</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El </w:t>
            </w:r>
            <w:r w:rsidRPr="00EA68B8">
              <w:rPr>
                <w:rFonts w:ascii="Palatino Linotype" w:eastAsia="Palatino Linotype" w:hAnsi="Palatino Linotype" w:cs="Palatino Linotype"/>
                <w:b/>
                <w:sz w:val="20"/>
              </w:rPr>
              <w:t>SUJETO OBLIGADO</w:t>
            </w:r>
            <w:r w:rsidRPr="00EA68B8">
              <w:rPr>
                <w:rFonts w:ascii="Palatino Linotype" w:eastAsia="Palatino Linotype" w:hAnsi="Palatino Linotype" w:cs="Palatino Linotype"/>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716E2" w:rsidRPr="00EA68B8" w:rsidTr="004716E2">
        <w:tc>
          <w:tcPr>
            <w:tcW w:w="2055" w:type="dxa"/>
          </w:tcPr>
          <w:p w:rsidR="004716E2" w:rsidRPr="00EA68B8" w:rsidRDefault="004716E2" w:rsidP="004716E2">
            <w:pPr>
              <w:spacing w:line="360" w:lineRule="auto"/>
              <w:ind w:right="2"/>
              <w:rPr>
                <w:rFonts w:ascii="Palatino Linotype" w:eastAsia="Palatino Linotype" w:hAnsi="Palatino Linotype" w:cs="Palatino Linotype"/>
                <w:sz w:val="20"/>
              </w:rPr>
            </w:pPr>
            <w:r w:rsidRPr="00EA68B8">
              <w:rPr>
                <w:rFonts w:ascii="Palatino Linotype" w:eastAsia="Palatino Linotype" w:hAnsi="Palatino Linotype" w:cs="Palatino Linotype"/>
                <w:sz w:val="20"/>
              </w:rPr>
              <w:t>c) Formalidades para emitir el acuerdo de clasificación.</w:t>
            </w:r>
          </w:p>
        </w:tc>
        <w:tc>
          <w:tcPr>
            <w:tcW w:w="7785" w:type="dxa"/>
          </w:tcPr>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El Comité de Transparencia, según lo dispuesto en los artículos cuenta con las facultades para aprobar, modificar o revocar la clasificación de la información que haya propuesto. </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Es necesario que </w:t>
            </w:r>
            <w:r w:rsidRPr="00EA68B8">
              <w:rPr>
                <w:rFonts w:ascii="Palatino Linotype" w:eastAsia="Palatino Linotype" w:hAnsi="Palatino Linotype" w:cs="Palatino Linotype"/>
                <w:b/>
                <w:sz w:val="20"/>
                <w:u w:val="single"/>
              </w:rPr>
              <w:t>el acto reúna con los requisitos elementales</w:t>
            </w:r>
            <w:r w:rsidRPr="00EA68B8">
              <w:rPr>
                <w:rFonts w:ascii="Palatino Linotype" w:eastAsia="Palatino Linotype" w:hAnsi="Palatino Linotype" w:cs="Palatino Linotype"/>
                <w:sz w:val="20"/>
              </w:rPr>
              <w:t>, entre ellos, que la autoridad que va a emitir el acto de autoridad sea la legalmente facultada para ello.</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716E2" w:rsidRPr="00EA68B8" w:rsidTr="004716E2">
        <w:tc>
          <w:tcPr>
            <w:tcW w:w="2055" w:type="dxa"/>
          </w:tcPr>
          <w:p w:rsidR="004716E2" w:rsidRPr="00EA68B8" w:rsidRDefault="004716E2" w:rsidP="004716E2">
            <w:pPr>
              <w:spacing w:line="360" w:lineRule="auto"/>
              <w:ind w:right="2"/>
              <w:rPr>
                <w:rFonts w:ascii="Palatino Linotype" w:eastAsia="Palatino Linotype" w:hAnsi="Palatino Linotype" w:cs="Palatino Linotype"/>
                <w:sz w:val="20"/>
              </w:rPr>
            </w:pP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d) Requisitos de fondo del acuerdo de clasificación. </w:t>
            </w:r>
          </w:p>
        </w:tc>
        <w:tc>
          <w:tcPr>
            <w:tcW w:w="7785" w:type="dxa"/>
          </w:tcPr>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A68B8">
              <w:rPr>
                <w:rFonts w:ascii="Palatino Linotype" w:eastAsia="Palatino Linotype" w:hAnsi="Palatino Linotype" w:cs="Palatino Linotype"/>
                <w:b/>
                <w:sz w:val="20"/>
              </w:rPr>
              <w:t>Sujetos Obligados</w:t>
            </w:r>
            <w:r w:rsidRPr="00EA68B8">
              <w:rPr>
                <w:rFonts w:ascii="Palatino Linotype" w:eastAsia="Palatino Linotype" w:hAnsi="Palatino Linotype" w:cs="Palatino Linotype"/>
                <w:sz w:val="20"/>
              </w:rPr>
              <w:t xml:space="preserve">, por lo que deberán fundar y motivar debidamente la clasificación. </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De lo anterior, se desprende que para una correcta </w:t>
            </w:r>
            <w:r w:rsidRPr="00EA68B8">
              <w:rPr>
                <w:rFonts w:ascii="Palatino Linotype" w:eastAsia="Palatino Linotype" w:hAnsi="Palatino Linotype" w:cs="Palatino Linotype"/>
                <w:b/>
                <w:sz w:val="20"/>
              </w:rPr>
              <w:t>clasificación total o parcial</w:t>
            </w:r>
            <w:r w:rsidRPr="00EA68B8">
              <w:rPr>
                <w:rFonts w:ascii="Palatino Linotype" w:eastAsia="Palatino Linotype" w:hAnsi="Palatino Linotype" w:cs="Palatino Linotype"/>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En ese mismo sentido, el numeral trigésimo tercero fracción V de los Lineamientos Generales, precisa que para motivar la clasificación se deben acreditar las circunstancias de tiempo, modo y lugar.</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Ahora bien, </w:t>
            </w:r>
            <w:r w:rsidRPr="00EA68B8">
              <w:rPr>
                <w:rFonts w:ascii="Palatino Linotype" w:eastAsia="Palatino Linotype" w:hAnsi="Palatino Linotype" w:cs="Palatino Linotype"/>
                <w:b/>
                <w:sz w:val="20"/>
                <w:u w:val="single"/>
              </w:rPr>
              <w:t>para cada caso además de fundar y motivar</w:t>
            </w:r>
            <w:r w:rsidRPr="00EA68B8">
              <w:rPr>
                <w:rFonts w:ascii="Palatino Linotype" w:eastAsia="Palatino Linotype" w:hAnsi="Palatino Linotype" w:cs="Palatino Linotype"/>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716E2" w:rsidRPr="00EA68B8" w:rsidTr="004716E2">
        <w:tc>
          <w:tcPr>
            <w:tcW w:w="2055" w:type="dxa"/>
          </w:tcPr>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t xml:space="preserve">e) Condiciones especiales de la clasificación de la </w:t>
            </w:r>
            <w:r w:rsidRPr="00EA68B8">
              <w:rPr>
                <w:rFonts w:ascii="Palatino Linotype" w:eastAsia="Palatino Linotype" w:hAnsi="Palatino Linotype" w:cs="Palatino Linotype"/>
                <w:sz w:val="20"/>
              </w:rPr>
              <w:lastRenderedPageBreak/>
              <w:t xml:space="preserve">información como confidencial. </w:t>
            </w:r>
          </w:p>
          <w:p w:rsidR="004716E2" w:rsidRPr="00EA68B8" w:rsidRDefault="004716E2" w:rsidP="004716E2">
            <w:pPr>
              <w:spacing w:line="360" w:lineRule="auto"/>
              <w:ind w:right="2"/>
              <w:rPr>
                <w:rFonts w:ascii="Palatino Linotype" w:eastAsia="Palatino Linotype" w:hAnsi="Palatino Linotype" w:cs="Palatino Linotype"/>
                <w:sz w:val="20"/>
              </w:rPr>
            </w:pPr>
          </w:p>
        </w:tc>
        <w:tc>
          <w:tcPr>
            <w:tcW w:w="7785" w:type="dxa"/>
          </w:tcPr>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lastRenderedPageBreak/>
              <w:t xml:space="preserve">Los artículos 148 y 120 de la Ley Estatal y de la Ley General, respectivamente, establecen que aun tratándose de datos personales, se podrán proporcionar, incluso sin solicitar el consentimiento de su titular. </w:t>
            </w:r>
          </w:p>
          <w:p w:rsidR="004716E2" w:rsidRPr="00EA68B8" w:rsidRDefault="004716E2" w:rsidP="004716E2">
            <w:pPr>
              <w:spacing w:line="360" w:lineRule="auto"/>
              <w:ind w:right="2"/>
              <w:jc w:val="both"/>
              <w:rPr>
                <w:rFonts w:ascii="Palatino Linotype" w:eastAsia="Palatino Linotype" w:hAnsi="Palatino Linotype" w:cs="Palatino Linotype"/>
                <w:sz w:val="20"/>
              </w:rPr>
            </w:pPr>
            <w:r w:rsidRPr="00EA68B8">
              <w:rPr>
                <w:rFonts w:ascii="Palatino Linotype" w:eastAsia="Palatino Linotype" w:hAnsi="Palatino Linotype" w:cs="Palatino Linotype"/>
                <w:sz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716E2" w:rsidRPr="00EA68B8" w:rsidRDefault="004716E2" w:rsidP="004716E2">
            <w:pPr>
              <w:spacing w:line="360" w:lineRule="auto"/>
              <w:ind w:right="2"/>
              <w:rPr>
                <w:rFonts w:ascii="Palatino Linotype" w:eastAsia="Palatino Linotype" w:hAnsi="Palatino Linotype" w:cs="Palatino Linotype"/>
                <w:sz w:val="20"/>
              </w:rPr>
            </w:pPr>
            <w:r w:rsidRPr="00EA68B8">
              <w:rPr>
                <w:rFonts w:ascii="Palatino Linotype" w:eastAsia="Palatino Linotype" w:hAnsi="Palatino Linotype" w:cs="Palatino Linotype"/>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716E2" w:rsidRPr="00613727" w:rsidRDefault="004716E2" w:rsidP="004716E2">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rsidR="004716E2" w:rsidRPr="00EA68B8" w:rsidRDefault="004716E2" w:rsidP="00EA68B8">
      <w:pPr>
        <w:numPr>
          <w:ilvl w:val="0"/>
          <w:numId w:val="1"/>
        </w:numPr>
        <w:pBdr>
          <w:top w:val="nil"/>
          <w:left w:val="nil"/>
          <w:bottom w:val="nil"/>
          <w:right w:val="nil"/>
          <w:between w:val="nil"/>
        </w:pBdr>
        <w:spacing w:line="360" w:lineRule="auto"/>
        <w:ind w:left="0" w:right="113" w:firstLine="0"/>
        <w:jc w:val="both"/>
        <w:rPr>
          <w:color w:val="000000"/>
        </w:rPr>
      </w:pPr>
      <w:r w:rsidRPr="00613727">
        <w:rPr>
          <w:rFonts w:ascii="Palatino Linotype" w:eastAsia="Palatino Linotype" w:hAnsi="Palatino Linotype" w:cs="Palatino Linotype"/>
          <w:color w:val="000000"/>
        </w:rPr>
        <w:t xml:space="preserve">Por lo anteriormente expuesto y fundado, este </w:t>
      </w:r>
      <w:r w:rsidRPr="00613727">
        <w:rPr>
          <w:rFonts w:ascii="Palatino Linotype" w:eastAsia="Palatino Linotype" w:hAnsi="Palatino Linotype" w:cs="Palatino Linotype"/>
          <w:b/>
          <w:color w:val="000000"/>
        </w:rPr>
        <w:t>ÓRGANO GARANTE</w:t>
      </w:r>
      <w:r w:rsidRPr="00613727">
        <w:rPr>
          <w:rFonts w:ascii="Palatino Linotype" w:eastAsia="Palatino Linotype" w:hAnsi="Palatino Linotype" w:cs="Palatino Linotype"/>
          <w:color w:val="000000"/>
        </w:rPr>
        <w:t xml:space="preserve"> emite los siguientes:</w:t>
      </w:r>
      <w:r w:rsidR="00EA68B8">
        <w:rPr>
          <w:rFonts w:ascii="Palatino Linotype" w:eastAsia="Palatino Linotype" w:hAnsi="Palatino Linotype" w:cs="Palatino Linotype"/>
          <w:color w:val="000000"/>
        </w:rPr>
        <w:t>------------------------------------------------------------------------------------------------------------</w:t>
      </w:r>
    </w:p>
    <w:p w:rsidR="00EA68B8" w:rsidRDefault="00EA68B8" w:rsidP="00EA68B8">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rsidR="00EA68B8" w:rsidRPr="00613727" w:rsidRDefault="00EA68B8" w:rsidP="00EA68B8">
      <w:pPr>
        <w:pBdr>
          <w:top w:val="nil"/>
          <w:left w:val="nil"/>
          <w:bottom w:val="nil"/>
          <w:right w:val="nil"/>
          <w:between w:val="nil"/>
        </w:pBdr>
        <w:spacing w:line="360" w:lineRule="auto"/>
        <w:ind w:right="113"/>
        <w:jc w:val="both"/>
        <w:rPr>
          <w:color w:val="000000"/>
        </w:rPr>
      </w:pPr>
    </w:p>
    <w:p w:rsidR="004716E2" w:rsidRPr="00613727" w:rsidRDefault="004716E2" w:rsidP="00EA68B8">
      <w:pPr>
        <w:keepNext/>
        <w:keepLines/>
        <w:spacing w:line="360" w:lineRule="auto"/>
        <w:ind w:right="113"/>
        <w:jc w:val="center"/>
        <w:rPr>
          <w:rFonts w:ascii="Palatino Linotype" w:eastAsia="Palatino Linotype" w:hAnsi="Palatino Linotype" w:cs="Palatino Linotype"/>
          <w:b/>
          <w:color w:val="000000"/>
        </w:rPr>
      </w:pPr>
      <w:bookmarkStart w:id="11" w:name="_heading=h.17dp8vu" w:colFirst="0" w:colLast="0"/>
      <w:bookmarkEnd w:id="11"/>
      <w:r w:rsidRPr="00613727">
        <w:rPr>
          <w:rFonts w:ascii="Palatino Linotype" w:eastAsia="Palatino Linotype" w:hAnsi="Palatino Linotype" w:cs="Palatino Linotype"/>
          <w:b/>
          <w:color w:val="000000"/>
        </w:rPr>
        <w:t>R E S O L U T I V O S</w:t>
      </w:r>
    </w:p>
    <w:p w:rsidR="004716E2" w:rsidRPr="00613727" w:rsidRDefault="004716E2" w:rsidP="00EA68B8">
      <w:pPr>
        <w:keepNext/>
        <w:keepLines/>
        <w:spacing w:line="360" w:lineRule="auto"/>
        <w:ind w:right="113"/>
        <w:jc w:val="center"/>
        <w:rPr>
          <w:rFonts w:ascii="Palatino Linotype" w:eastAsia="Palatino Linotype" w:hAnsi="Palatino Linotype" w:cs="Palatino Linotype"/>
          <w:b/>
          <w:color w:val="000000"/>
        </w:rPr>
      </w:pPr>
    </w:p>
    <w:p w:rsidR="004716E2" w:rsidRPr="00613727" w:rsidRDefault="004716E2" w:rsidP="00EA68B8">
      <w:pPr>
        <w:spacing w:line="360" w:lineRule="auto"/>
        <w:ind w:right="113"/>
        <w:jc w:val="both"/>
        <w:rPr>
          <w:rFonts w:ascii="Palatino Linotype" w:eastAsia="Palatino Linotype" w:hAnsi="Palatino Linotype" w:cs="Palatino Linotype"/>
        </w:rPr>
      </w:pPr>
      <w:r w:rsidRPr="00613727">
        <w:rPr>
          <w:rFonts w:ascii="Palatino Linotype" w:eastAsia="Palatino Linotype" w:hAnsi="Palatino Linotype" w:cs="Palatino Linotype"/>
          <w:b/>
        </w:rPr>
        <w:t xml:space="preserve">PRIMERO. </w:t>
      </w:r>
      <w:r w:rsidRPr="00613727">
        <w:rPr>
          <w:rFonts w:ascii="Palatino Linotype" w:eastAsia="Palatino Linotype" w:hAnsi="Palatino Linotype" w:cs="Palatino Linotype"/>
        </w:rPr>
        <w:t>Resultan fundadas las</w:t>
      </w:r>
      <w:r w:rsidRPr="00613727">
        <w:rPr>
          <w:rFonts w:ascii="Palatino Linotype" w:eastAsia="Palatino Linotype" w:hAnsi="Palatino Linotype" w:cs="Palatino Linotype"/>
          <w:b/>
        </w:rPr>
        <w:t xml:space="preserve"> </w:t>
      </w:r>
      <w:r w:rsidRPr="00613727">
        <w:rPr>
          <w:rFonts w:ascii="Palatino Linotype" w:eastAsia="Palatino Linotype" w:hAnsi="Palatino Linotype" w:cs="Palatino Linotype"/>
        </w:rPr>
        <w:t xml:space="preserve">razones o motivos de inconformidad hechos valer en el recurso de revisión </w:t>
      </w:r>
      <w:r w:rsidR="00E367D2" w:rsidRPr="00613727">
        <w:rPr>
          <w:rFonts w:ascii="Palatino Linotype" w:eastAsia="Palatino Linotype" w:hAnsi="Palatino Linotype" w:cs="Palatino Linotype"/>
          <w:b/>
        </w:rPr>
        <w:t>04218</w:t>
      </w:r>
      <w:r w:rsidRPr="00613727">
        <w:rPr>
          <w:rFonts w:ascii="Palatino Linotype" w:eastAsia="Palatino Linotype" w:hAnsi="Palatino Linotype" w:cs="Palatino Linotype"/>
          <w:b/>
        </w:rPr>
        <w:t xml:space="preserve">/INFOEM/IP/RR/2024, </w:t>
      </w:r>
      <w:r w:rsidRPr="00613727">
        <w:rPr>
          <w:rFonts w:ascii="Palatino Linotype" w:eastAsia="Palatino Linotype" w:hAnsi="Palatino Linotype" w:cs="Palatino Linotype"/>
        </w:rPr>
        <w:t xml:space="preserve">en términos del </w:t>
      </w:r>
      <w:r w:rsidRPr="00613727">
        <w:rPr>
          <w:rFonts w:ascii="Palatino Linotype" w:eastAsia="Palatino Linotype" w:hAnsi="Palatino Linotype" w:cs="Palatino Linotype"/>
          <w:b/>
        </w:rPr>
        <w:t>Considerando</w:t>
      </w:r>
      <w:r w:rsidRPr="00613727">
        <w:rPr>
          <w:rFonts w:ascii="Palatino Linotype" w:eastAsia="Palatino Linotype" w:hAnsi="Palatino Linotype" w:cs="Palatino Linotype"/>
        </w:rPr>
        <w:t xml:space="preserve"> </w:t>
      </w:r>
      <w:r w:rsidRPr="00613727">
        <w:rPr>
          <w:rFonts w:ascii="Palatino Linotype" w:eastAsia="Palatino Linotype" w:hAnsi="Palatino Linotype" w:cs="Palatino Linotype"/>
          <w:b/>
        </w:rPr>
        <w:t xml:space="preserve">CUARTO y QUINTO  </w:t>
      </w:r>
      <w:r w:rsidRPr="00613727">
        <w:rPr>
          <w:rFonts w:ascii="Palatino Linotype" w:eastAsia="Palatino Linotype" w:hAnsi="Palatino Linotype" w:cs="Palatino Linotype"/>
        </w:rPr>
        <w:t>de la presente resolución.</w:t>
      </w:r>
    </w:p>
    <w:p w:rsidR="004716E2" w:rsidRPr="00613727" w:rsidRDefault="004716E2" w:rsidP="00EA68B8">
      <w:pPr>
        <w:spacing w:line="360" w:lineRule="auto"/>
        <w:ind w:right="113"/>
        <w:jc w:val="both"/>
        <w:rPr>
          <w:rFonts w:ascii="Palatino Linotype" w:eastAsia="Palatino Linotype" w:hAnsi="Palatino Linotype" w:cs="Palatino Linotype"/>
        </w:rPr>
      </w:pPr>
    </w:p>
    <w:p w:rsidR="004716E2" w:rsidRPr="00613727" w:rsidRDefault="004716E2" w:rsidP="00EA68B8">
      <w:pPr>
        <w:spacing w:line="360" w:lineRule="auto"/>
        <w:ind w:right="113"/>
        <w:jc w:val="both"/>
        <w:rPr>
          <w:rFonts w:ascii="Palatino Linotype" w:eastAsia="Palatino Linotype" w:hAnsi="Palatino Linotype" w:cs="Palatino Linotype"/>
        </w:rPr>
      </w:pPr>
      <w:bookmarkStart w:id="12" w:name="_heading=h.3rdcrjn" w:colFirst="0" w:colLast="0"/>
      <w:bookmarkEnd w:id="12"/>
      <w:r w:rsidRPr="00613727">
        <w:rPr>
          <w:rFonts w:ascii="Palatino Linotype" w:eastAsia="Palatino Linotype" w:hAnsi="Palatino Linotype" w:cs="Palatino Linotype"/>
          <w:b/>
        </w:rPr>
        <w:t>SEGUNDO.</w:t>
      </w:r>
      <w:r w:rsidRPr="00613727">
        <w:rPr>
          <w:rFonts w:ascii="Palatino Linotype" w:eastAsia="Palatino Linotype" w:hAnsi="Palatino Linotype" w:cs="Palatino Linotype"/>
          <w:color w:val="2F5496"/>
        </w:rPr>
        <w:t xml:space="preserve"> </w:t>
      </w:r>
      <w:r w:rsidRPr="00613727">
        <w:rPr>
          <w:rFonts w:ascii="Palatino Linotype" w:eastAsia="Palatino Linotype" w:hAnsi="Palatino Linotype" w:cs="Palatino Linotype"/>
        </w:rPr>
        <w:t>Se</w:t>
      </w:r>
      <w:r w:rsidRPr="00613727">
        <w:rPr>
          <w:rFonts w:ascii="Palatino Linotype" w:eastAsia="Palatino Linotype" w:hAnsi="Palatino Linotype" w:cs="Palatino Linotype"/>
          <w:b/>
        </w:rPr>
        <w:t xml:space="preserve"> REVOCA </w:t>
      </w:r>
      <w:r w:rsidRPr="00613727">
        <w:rPr>
          <w:rFonts w:ascii="Palatino Linotype" w:eastAsia="Palatino Linotype" w:hAnsi="Palatino Linotype" w:cs="Palatino Linotype"/>
        </w:rPr>
        <w:t xml:space="preserve">la respuesta emitida por el </w:t>
      </w:r>
      <w:r w:rsidR="00E367D2" w:rsidRPr="00613727">
        <w:rPr>
          <w:rFonts w:ascii="Palatino Linotype" w:eastAsia="Palatino Linotype" w:hAnsi="Palatino Linotype" w:cs="Palatino Linotype"/>
          <w:b/>
          <w:bCs/>
        </w:rPr>
        <w:t>Sistema Municipal Para el Desarrollo Integral de la Familia de la Paz</w:t>
      </w:r>
      <w:r w:rsidRPr="00613727">
        <w:rPr>
          <w:rFonts w:ascii="Palatino Linotype" w:eastAsia="Palatino Linotype" w:hAnsi="Palatino Linotype" w:cs="Palatino Linotype"/>
          <w:b/>
        </w:rPr>
        <w:t xml:space="preserve"> </w:t>
      </w:r>
      <w:r w:rsidRPr="00613727">
        <w:rPr>
          <w:rFonts w:ascii="Palatino Linotype" w:eastAsia="Palatino Linotype" w:hAnsi="Palatino Linotype" w:cs="Palatino Linotype"/>
        </w:rPr>
        <w:t>y se</w:t>
      </w:r>
      <w:r w:rsidRPr="00613727">
        <w:rPr>
          <w:rFonts w:ascii="Palatino Linotype" w:eastAsia="Palatino Linotype" w:hAnsi="Palatino Linotype" w:cs="Palatino Linotype"/>
          <w:b/>
        </w:rPr>
        <w:t xml:space="preserve"> ORDENA </w:t>
      </w:r>
      <w:r w:rsidRPr="00613727">
        <w:rPr>
          <w:rFonts w:ascii="Palatino Linotype" w:eastAsia="Palatino Linotype" w:hAnsi="Palatino Linotype" w:cs="Palatino Linotype"/>
        </w:rPr>
        <w:t>entregar vía Sistema de Accesos a la Información Mexiquense (SAIMEX), de ser</w:t>
      </w:r>
      <w:r w:rsidR="00E367D2" w:rsidRPr="00613727">
        <w:rPr>
          <w:rFonts w:ascii="Palatino Linotype" w:eastAsia="Palatino Linotype" w:hAnsi="Palatino Linotype" w:cs="Palatino Linotype"/>
        </w:rPr>
        <w:t xml:space="preserve"> procedente en versión pública</w:t>
      </w:r>
      <w:r w:rsidRPr="00613727">
        <w:rPr>
          <w:rFonts w:ascii="Palatino Linotype" w:eastAsia="Palatino Linotype" w:hAnsi="Palatino Linotype" w:cs="Palatino Linotype"/>
        </w:rPr>
        <w:t>, la siguiente información:</w:t>
      </w:r>
    </w:p>
    <w:p w:rsidR="004716E2" w:rsidRPr="00613727" w:rsidRDefault="004716E2" w:rsidP="00EA68B8">
      <w:pPr>
        <w:spacing w:line="360" w:lineRule="auto"/>
        <w:ind w:right="113"/>
        <w:jc w:val="both"/>
        <w:rPr>
          <w:rFonts w:ascii="Palatino Linotype" w:eastAsia="Palatino Linotype" w:hAnsi="Palatino Linotype" w:cs="Palatino Linotype"/>
        </w:rPr>
      </w:pPr>
    </w:p>
    <w:p w:rsidR="004716E2" w:rsidRPr="00613727" w:rsidRDefault="00E367D2" w:rsidP="00EA68B8">
      <w:pPr>
        <w:numPr>
          <w:ilvl w:val="2"/>
          <w:numId w:val="10"/>
        </w:numPr>
        <w:pBdr>
          <w:top w:val="nil"/>
          <w:left w:val="nil"/>
          <w:bottom w:val="nil"/>
          <w:right w:val="nil"/>
          <w:between w:val="nil"/>
        </w:pBdr>
        <w:spacing w:line="360" w:lineRule="auto"/>
        <w:ind w:left="851" w:right="113" w:firstLine="0"/>
        <w:jc w:val="both"/>
        <w:rPr>
          <w:rFonts w:ascii="Palatino Linotype" w:eastAsia="Palatino Linotype" w:hAnsi="Palatino Linotype" w:cs="Palatino Linotype"/>
          <w:b/>
          <w:color w:val="000000"/>
        </w:rPr>
      </w:pPr>
      <w:r w:rsidRPr="00613727">
        <w:rPr>
          <w:rFonts w:ascii="Palatino Linotype" w:eastAsia="Palatino Linotype" w:hAnsi="Palatino Linotype" w:cs="Palatino Linotype"/>
          <w:b/>
          <w:color w:val="000000"/>
        </w:rPr>
        <w:lastRenderedPageBreak/>
        <w:t xml:space="preserve">Soporte documental donde consten las acciones que se implementaron </w:t>
      </w:r>
      <w:r w:rsidR="0003397F" w:rsidRPr="00613727">
        <w:rPr>
          <w:rFonts w:ascii="Palatino Linotype" w:eastAsia="Palatino Linotype" w:hAnsi="Palatino Linotype" w:cs="Palatino Linotype"/>
          <w:b/>
          <w:color w:val="000000"/>
        </w:rPr>
        <w:t xml:space="preserve">para la protección a la mujer, niñas, niños y adolescentes, del periodo comprendido del primero de enero de dos mil veintidós al catorce de junio de dos mil veinticuatro. </w:t>
      </w:r>
    </w:p>
    <w:p w:rsidR="00E367D2" w:rsidRPr="00613727" w:rsidRDefault="00E367D2" w:rsidP="00EA68B8">
      <w:pPr>
        <w:pBdr>
          <w:top w:val="nil"/>
          <w:left w:val="nil"/>
          <w:bottom w:val="nil"/>
          <w:right w:val="nil"/>
          <w:between w:val="nil"/>
        </w:pBdr>
        <w:spacing w:line="360" w:lineRule="auto"/>
        <w:ind w:left="851" w:right="113"/>
        <w:jc w:val="both"/>
        <w:rPr>
          <w:rFonts w:ascii="Palatino Linotype" w:eastAsia="Palatino Linotype" w:hAnsi="Palatino Linotype" w:cs="Palatino Linotype"/>
          <w:b/>
          <w:color w:val="000000"/>
        </w:rPr>
      </w:pPr>
    </w:p>
    <w:p w:rsidR="004716E2" w:rsidRPr="00613727" w:rsidRDefault="004716E2" w:rsidP="00EA68B8">
      <w:pPr>
        <w:tabs>
          <w:tab w:val="left" w:pos="8080"/>
        </w:tabs>
        <w:spacing w:line="360" w:lineRule="auto"/>
        <w:ind w:right="113"/>
        <w:jc w:val="both"/>
        <w:rPr>
          <w:rFonts w:ascii="Palatino Linotype" w:eastAsia="Palatino Linotype" w:hAnsi="Palatino Linotype" w:cs="Palatino Linotype"/>
          <w:b/>
        </w:rPr>
      </w:pPr>
      <w:r w:rsidRPr="0061372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613727">
        <w:rPr>
          <w:rFonts w:ascii="Palatino Linotype" w:eastAsia="Palatino Linotype" w:hAnsi="Palatino Linotype" w:cs="Palatino Linotype"/>
          <w:b/>
        </w:rPr>
        <w:t xml:space="preserve"> RECURRENTE.</w:t>
      </w:r>
    </w:p>
    <w:p w:rsidR="004716E2" w:rsidRPr="00613727" w:rsidRDefault="004716E2" w:rsidP="00EA68B8">
      <w:pPr>
        <w:tabs>
          <w:tab w:val="left" w:pos="8080"/>
        </w:tabs>
        <w:spacing w:line="360" w:lineRule="auto"/>
        <w:ind w:right="113"/>
        <w:jc w:val="both"/>
        <w:rPr>
          <w:rFonts w:ascii="Palatino Linotype" w:eastAsia="Palatino Linotype" w:hAnsi="Palatino Linotype" w:cs="Palatino Linotype"/>
          <w:b/>
        </w:rPr>
      </w:pPr>
    </w:p>
    <w:p w:rsidR="004716E2" w:rsidRPr="00613727" w:rsidRDefault="004716E2" w:rsidP="00EA68B8">
      <w:pPr>
        <w:tabs>
          <w:tab w:val="left" w:pos="8080"/>
        </w:tabs>
        <w:spacing w:line="360" w:lineRule="auto"/>
        <w:ind w:right="113"/>
        <w:jc w:val="both"/>
        <w:rPr>
          <w:rFonts w:ascii="Palatino Linotype" w:eastAsia="Palatino Linotype" w:hAnsi="Palatino Linotype" w:cs="Palatino Linotype"/>
          <w:color w:val="222222"/>
          <w:highlight w:val="white"/>
        </w:rPr>
      </w:pPr>
      <w:r w:rsidRPr="00613727">
        <w:rPr>
          <w:rFonts w:ascii="Palatino Linotype" w:eastAsia="Palatino Linotype" w:hAnsi="Palatino Linotype" w:cs="Palatino Linotype"/>
          <w:b/>
        </w:rPr>
        <w:t xml:space="preserve">TERCERO. Notifíquese </w:t>
      </w:r>
      <w:r w:rsidRPr="00613727">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613727">
        <w:rPr>
          <w:rFonts w:ascii="Palatino Linotype" w:eastAsia="Palatino Linotype" w:hAnsi="Palatino Linotype" w:cs="Palatino Linotype"/>
          <w:b/>
        </w:rPr>
        <w:t>dé cumplimiento a lo ordenado dentro del plazo de diez días hábiles,</w:t>
      </w:r>
      <w:r w:rsidRPr="00613727">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716E2" w:rsidRPr="00613727" w:rsidRDefault="004716E2" w:rsidP="00EA68B8">
      <w:pPr>
        <w:tabs>
          <w:tab w:val="left" w:pos="8080"/>
        </w:tabs>
        <w:spacing w:line="360" w:lineRule="auto"/>
        <w:ind w:right="113"/>
        <w:jc w:val="both"/>
        <w:rPr>
          <w:rFonts w:ascii="Palatino Linotype" w:eastAsia="Palatino Linotype" w:hAnsi="Palatino Linotype" w:cs="Palatino Linotype"/>
          <w:color w:val="222222"/>
          <w:highlight w:val="white"/>
        </w:rPr>
      </w:pPr>
    </w:p>
    <w:p w:rsidR="004716E2" w:rsidRPr="00613727" w:rsidRDefault="004716E2" w:rsidP="00EA68B8">
      <w:pPr>
        <w:shd w:val="clear" w:color="auto" w:fill="FFFFFF"/>
        <w:spacing w:line="360" w:lineRule="auto"/>
        <w:ind w:right="113"/>
        <w:jc w:val="both"/>
        <w:rPr>
          <w:rFonts w:ascii="Palatino Linotype" w:eastAsia="Palatino Linotype" w:hAnsi="Palatino Linotype" w:cs="Palatino Linotype"/>
        </w:rPr>
      </w:pPr>
      <w:r w:rsidRPr="00613727">
        <w:rPr>
          <w:rFonts w:ascii="Palatino Linotype" w:eastAsia="Palatino Linotype" w:hAnsi="Palatino Linotype" w:cs="Palatino Linotype"/>
          <w:b/>
        </w:rPr>
        <w:t>CUARTO. Notifíquese al RECURRENTE</w:t>
      </w:r>
      <w:r w:rsidRPr="00613727">
        <w:rPr>
          <w:rFonts w:ascii="Palatino Linotype" w:eastAsia="Palatino Linotype" w:hAnsi="Palatino Linotype" w:cs="Palatino Linotype"/>
        </w:rPr>
        <w:t xml:space="preserve"> la presente resolución vía SAIMEX.</w:t>
      </w:r>
    </w:p>
    <w:p w:rsidR="004716E2" w:rsidRPr="00613727" w:rsidRDefault="004716E2" w:rsidP="00EA68B8">
      <w:pPr>
        <w:shd w:val="clear" w:color="auto" w:fill="FFFFFF"/>
        <w:spacing w:line="360" w:lineRule="auto"/>
        <w:ind w:right="113"/>
        <w:jc w:val="both"/>
        <w:rPr>
          <w:rFonts w:ascii="Palatino Linotype" w:eastAsia="Palatino Linotype" w:hAnsi="Palatino Linotype" w:cs="Palatino Linotype"/>
        </w:rPr>
      </w:pPr>
    </w:p>
    <w:p w:rsidR="004716E2" w:rsidRPr="00613727" w:rsidRDefault="004716E2" w:rsidP="00EA68B8">
      <w:pPr>
        <w:spacing w:line="360" w:lineRule="auto"/>
        <w:ind w:right="113"/>
        <w:jc w:val="both"/>
        <w:rPr>
          <w:rFonts w:ascii="Palatino Linotype" w:eastAsia="Palatino Linotype" w:hAnsi="Palatino Linotype" w:cs="Palatino Linotype"/>
        </w:rPr>
      </w:pPr>
      <w:r w:rsidRPr="00613727">
        <w:rPr>
          <w:rFonts w:ascii="Palatino Linotype" w:eastAsia="Palatino Linotype" w:hAnsi="Palatino Linotype" w:cs="Palatino Linotype"/>
          <w:b/>
        </w:rPr>
        <w:t>QUINTO.</w:t>
      </w:r>
      <w:r w:rsidRPr="00613727">
        <w:rPr>
          <w:rFonts w:ascii="Palatino Linotype" w:eastAsia="Palatino Linotype" w:hAnsi="Palatino Linotype" w:cs="Palatino Linotype"/>
        </w:rPr>
        <w:t xml:space="preserve"> Se hace del conocimiento del </w:t>
      </w:r>
      <w:r w:rsidRPr="00613727">
        <w:rPr>
          <w:rFonts w:ascii="Palatino Linotype" w:eastAsia="Palatino Linotype" w:hAnsi="Palatino Linotype" w:cs="Palatino Linotype"/>
          <w:b/>
        </w:rPr>
        <w:t>RECURRENTE</w:t>
      </w:r>
      <w:r w:rsidRPr="00613727">
        <w:rPr>
          <w:rFonts w:ascii="Palatino Linotype" w:eastAsia="Palatino Linotype" w:hAnsi="Palatino Linotype" w:cs="Palatino Linotype"/>
        </w:rPr>
        <w:t xml:space="preserve"> que de conformidad con lo establecido en el artículo 196 de la Ley de Transparencia y Acceso a la Información Pública </w:t>
      </w:r>
      <w:r w:rsidRPr="00613727">
        <w:rPr>
          <w:rFonts w:ascii="Palatino Linotype" w:eastAsia="Palatino Linotype" w:hAnsi="Palatino Linotype" w:cs="Palatino Linotype"/>
        </w:rPr>
        <w:lastRenderedPageBreak/>
        <w:t>del Estado de México y Municipios, en caso de que considere que la resolución le cause algún perjuicio podrá impugnar</w:t>
      </w:r>
      <w:r w:rsidR="00DC4D63">
        <w:rPr>
          <w:rFonts w:ascii="Palatino Linotype" w:eastAsia="Palatino Linotype" w:hAnsi="Palatino Linotype" w:cs="Palatino Linotype"/>
        </w:rPr>
        <w:t>la</w:t>
      </w:r>
      <w:r w:rsidRPr="00613727">
        <w:rPr>
          <w:rFonts w:ascii="Palatino Linotype" w:eastAsia="Palatino Linotype" w:hAnsi="Palatino Linotype" w:cs="Palatino Linotype"/>
        </w:rPr>
        <w:t xml:space="preserve"> vía juicio de amparo en los términos de las leyes aplicables.</w:t>
      </w:r>
    </w:p>
    <w:p w:rsidR="004716E2" w:rsidRPr="00613727" w:rsidRDefault="004716E2" w:rsidP="00EA68B8">
      <w:pPr>
        <w:spacing w:line="360" w:lineRule="auto"/>
        <w:ind w:right="113"/>
        <w:jc w:val="both"/>
        <w:rPr>
          <w:rFonts w:ascii="Palatino Linotype" w:eastAsia="Palatino Linotype" w:hAnsi="Palatino Linotype" w:cs="Palatino Linotype"/>
          <w:color w:val="000000"/>
          <w:highlight w:val="white"/>
        </w:rPr>
      </w:pPr>
    </w:p>
    <w:p w:rsidR="004716E2" w:rsidRPr="00613727" w:rsidRDefault="004716E2" w:rsidP="00EA68B8">
      <w:pPr>
        <w:spacing w:line="360" w:lineRule="auto"/>
        <w:ind w:right="113"/>
        <w:jc w:val="both"/>
        <w:rPr>
          <w:rFonts w:ascii="Palatino Linotype" w:eastAsia="Palatino Linotype" w:hAnsi="Palatino Linotype" w:cs="Palatino Linotype"/>
        </w:rPr>
      </w:pPr>
      <w:r w:rsidRPr="00613727">
        <w:rPr>
          <w:rFonts w:ascii="Palatino Linotype" w:eastAsia="Palatino Linotype" w:hAnsi="Palatino Linotype" w:cs="Palatino Linotype"/>
          <w:b/>
          <w:color w:val="000000"/>
          <w:highlight w:val="white"/>
        </w:rPr>
        <w:t xml:space="preserve">SEXTO. </w:t>
      </w:r>
      <w:r w:rsidRPr="00613727">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bookmarkEnd w:id="4"/>
    <w:bookmarkEnd w:id="5"/>
    <w:bookmarkEnd w:id="6"/>
    <w:bookmarkEnd w:id="7"/>
    <w:p w:rsidR="00F92F3E" w:rsidRPr="00613727" w:rsidRDefault="00F92F3E" w:rsidP="00EA68B8">
      <w:pPr>
        <w:pStyle w:val="Sinespaciado"/>
        <w:tabs>
          <w:tab w:val="left" w:pos="284"/>
        </w:tabs>
        <w:spacing w:line="360" w:lineRule="auto"/>
        <w:ind w:right="113"/>
        <w:contextualSpacing/>
        <w:jc w:val="both"/>
        <w:rPr>
          <w:rFonts w:ascii="Palatino Linotype" w:eastAsia="Calibri" w:hAnsi="Palatino Linotype"/>
        </w:rPr>
      </w:pPr>
    </w:p>
    <w:p w:rsidR="00DC4D63" w:rsidRPr="003C7186" w:rsidRDefault="00DC4D63" w:rsidP="00DC4D63">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rsidR="00F92F3E" w:rsidRPr="00613727" w:rsidRDefault="00F92F3E" w:rsidP="00F92F3E">
      <w:pPr>
        <w:pStyle w:val="Prrafodelista"/>
        <w:spacing w:line="360" w:lineRule="auto"/>
        <w:ind w:left="0"/>
        <w:jc w:val="both"/>
        <w:rPr>
          <w:rFonts w:ascii="Palatino Linotype" w:hAnsi="Palatino Linotype" w:cs="Arial"/>
          <w:sz w:val="24"/>
          <w:lang w:val="es-ES" w:eastAsia="es-ES"/>
        </w:rPr>
      </w:pPr>
      <w:bookmarkStart w:id="13" w:name="_GoBack"/>
      <w:bookmarkEnd w:id="13"/>
    </w:p>
    <w:p w:rsidR="00F92F3E" w:rsidRPr="00613727" w:rsidRDefault="00F92F3E" w:rsidP="00F92F3E"/>
    <w:p w:rsidR="00F92F3E" w:rsidRPr="00613727" w:rsidRDefault="00F92F3E" w:rsidP="00F92F3E"/>
    <w:p w:rsidR="00F92F3E" w:rsidRPr="00613727" w:rsidRDefault="00F92F3E" w:rsidP="00F92F3E"/>
    <w:p w:rsidR="00187B88" w:rsidRPr="00613727" w:rsidRDefault="00187B88"/>
    <w:sectPr w:rsidR="00187B88" w:rsidRPr="00613727" w:rsidSect="00613727">
      <w:headerReference w:type="even" r:id="rId7"/>
      <w:headerReference w:type="default" r:id="rId8"/>
      <w:footerReference w:type="default" r:id="rId9"/>
      <w:headerReference w:type="first" r:id="rId10"/>
      <w:footerReference w:type="first" r:id="rId11"/>
      <w:pgSz w:w="12240" w:h="15840"/>
      <w:pgMar w:top="80" w:right="75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0CF" w:rsidRDefault="00CB60CF" w:rsidP="003D70CB">
      <w:r>
        <w:separator/>
      </w:r>
    </w:p>
  </w:endnote>
  <w:endnote w:type="continuationSeparator" w:id="0">
    <w:p w:rsidR="00CB60CF" w:rsidRDefault="00CB60CF" w:rsidP="003D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D5" w:rsidRDefault="00294ED5">
    <w:pPr>
      <w:pStyle w:val="Piedepgina"/>
      <w:jc w:val="right"/>
    </w:pPr>
    <w:r>
      <w:rPr>
        <w:lang w:val="es-ES"/>
      </w:rPr>
      <w:t xml:space="preserve">Página </w:t>
    </w:r>
    <w:r>
      <w:rPr>
        <w:b/>
        <w:bCs/>
      </w:rPr>
      <w:fldChar w:fldCharType="begin"/>
    </w:r>
    <w:r>
      <w:rPr>
        <w:b/>
        <w:bCs/>
      </w:rPr>
      <w:instrText>PAGE</w:instrText>
    </w:r>
    <w:r>
      <w:rPr>
        <w:b/>
        <w:bCs/>
      </w:rPr>
      <w:fldChar w:fldCharType="separate"/>
    </w:r>
    <w:r w:rsidR="00DC4D63">
      <w:rPr>
        <w:b/>
        <w:bCs/>
        <w:noProof/>
      </w:rPr>
      <w:t>30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C4D63">
      <w:rPr>
        <w:b/>
        <w:bCs/>
        <w:noProof/>
      </w:rPr>
      <w:t>31</w:t>
    </w:r>
    <w:r>
      <w:rPr>
        <w:b/>
        <w:bCs/>
      </w:rPr>
      <w:fldChar w:fldCharType="end"/>
    </w:r>
  </w:p>
  <w:p w:rsidR="00294ED5" w:rsidRDefault="00294E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D5" w:rsidRDefault="00294ED5">
    <w:pPr>
      <w:pStyle w:val="Piedepgina"/>
      <w:jc w:val="right"/>
    </w:pPr>
    <w:r>
      <w:rPr>
        <w:lang w:val="es-ES"/>
      </w:rPr>
      <w:t xml:space="preserve">Página </w:t>
    </w:r>
    <w:r>
      <w:rPr>
        <w:b/>
        <w:bCs/>
      </w:rPr>
      <w:fldChar w:fldCharType="begin"/>
    </w:r>
    <w:r>
      <w:rPr>
        <w:b/>
        <w:bCs/>
      </w:rPr>
      <w:instrText>PAGE</w:instrText>
    </w:r>
    <w:r>
      <w:rPr>
        <w:b/>
        <w:bCs/>
      </w:rPr>
      <w:fldChar w:fldCharType="separate"/>
    </w:r>
    <w:r w:rsidR="00DC4D63">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C4D63">
      <w:rPr>
        <w:b/>
        <w:bCs/>
        <w:noProof/>
      </w:rPr>
      <w:t>32</w:t>
    </w:r>
    <w:r>
      <w:rPr>
        <w:b/>
        <w:bCs/>
      </w:rPr>
      <w:fldChar w:fldCharType="end"/>
    </w:r>
  </w:p>
  <w:p w:rsidR="00294ED5" w:rsidRDefault="00294E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0CF" w:rsidRDefault="00CB60CF" w:rsidP="003D70CB">
      <w:r>
        <w:separator/>
      </w:r>
    </w:p>
  </w:footnote>
  <w:footnote w:type="continuationSeparator" w:id="0">
    <w:p w:rsidR="00CB60CF" w:rsidRDefault="00CB60CF" w:rsidP="003D70CB">
      <w:r>
        <w:continuationSeparator/>
      </w:r>
    </w:p>
  </w:footnote>
  <w:footnote w:id="1">
    <w:p w:rsidR="00294ED5" w:rsidRDefault="00294ED5" w:rsidP="004716E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rsidR="00294ED5" w:rsidRDefault="00294ED5" w:rsidP="004716E2">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rsidR="00294ED5" w:rsidRDefault="00294ED5" w:rsidP="004716E2">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D5" w:rsidRDefault="00CB60C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2268"/>
      <w:gridCol w:w="8080"/>
    </w:tblGrid>
    <w:tr w:rsidR="00294ED5" w:rsidRPr="005C106F" w:rsidTr="00613727">
      <w:trPr>
        <w:trHeight w:val="1435"/>
      </w:trPr>
      <w:tc>
        <w:tcPr>
          <w:tcW w:w="2268" w:type="dxa"/>
          <w:shd w:val="clear" w:color="auto" w:fill="auto"/>
        </w:tcPr>
        <w:p w:rsidR="00294ED5" w:rsidRPr="005C106F" w:rsidRDefault="00294ED5" w:rsidP="004716E2">
          <w:pPr>
            <w:tabs>
              <w:tab w:val="right" w:pos="4273"/>
            </w:tabs>
            <w:rPr>
              <w:rFonts w:ascii="Garamond" w:eastAsia="Calibri" w:hAnsi="Garamond"/>
              <w:sz w:val="16"/>
              <w:szCs w:val="16"/>
              <w:lang w:eastAsia="en-US"/>
            </w:rPr>
          </w:pPr>
        </w:p>
      </w:tc>
      <w:tc>
        <w:tcPr>
          <w:tcW w:w="8080" w:type="dxa"/>
          <w:shd w:val="clear" w:color="auto" w:fill="auto"/>
        </w:tcPr>
        <w:tbl>
          <w:tblPr>
            <w:tblW w:w="7830" w:type="dxa"/>
            <w:tblInd w:w="459" w:type="dxa"/>
            <w:tblLayout w:type="fixed"/>
            <w:tblLook w:val="0420" w:firstRow="1" w:lastRow="0" w:firstColumn="0" w:lastColumn="0" w:noHBand="0" w:noVBand="1"/>
          </w:tblPr>
          <w:tblGrid>
            <w:gridCol w:w="2444"/>
            <w:gridCol w:w="5386"/>
          </w:tblGrid>
          <w:tr w:rsidR="00294ED5" w:rsidTr="00613727">
            <w:trPr>
              <w:trHeight w:val="150"/>
            </w:trPr>
            <w:tc>
              <w:tcPr>
                <w:tcW w:w="2444" w:type="dxa"/>
                <w:shd w:val="clear" w:color="auto" w:fill="auto"/>
              </w:tcPr>
              <w:p w:rsidR="00294ED5" w:rsidRPr="00020E73" w:rsidRDefault="00294ED5" w:rsidP="004716E2">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5386" w:type="dxa"/>
                <w:shd w:val="clear" w:color="auto" w:fill="auto"/>
              </w:tcPr>
              <w:p w:rsidR="00294ED5" w:rsidRPr="00020E73" w:rsidRDefault="00294ED5" w:rsidP="00613727">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04218/INFOEM/IP/RR/2024</w:t>
                </w:r>
              </w:p>
            </w:tc>
          </w:tr>
          <w:tr w:rsidR="00294ED5" w:rsidTr="00613727">
            <w:trPr>
              <w:trHeight w:val="295"/>
            </w:trPr>
            <w:tc>
              <w:tcPr>
                <w:tcW w:w="2444" w:type="dxa"/>
                <w:shd w:val="clear" w:color="auto" w:fill="auto"/>
              </w:tcPr>
              <w:p w:rsidR="00294ED5" w:rsidRPr="00020E73" w:rsidRDefault="00294ED5" w:rsidP="004716E2">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5386" w:type="dxa"/>
                <w:shd w:val="clear" w:color="auto" w:fill="auto"/>
              </w:tcPr>
              <w:p w:rsidR="00294ED5" w:rsidRPr="003D70CB" w:rsidRDefault="00294ED5" w:rsidP="00613727">
                <w:pPr>
                  <w:tabs>
                    <w:tab w:val="right" w:pos="8838"/>
                  </w:tabs>
                  <w:ind w:left="-108" w:right="-102"/>
                  <w:rPr>
                    <w:rFonts w:ascii="Palatino Linotype" w:eastAsia="Calibri" w:hAnsi="Palatino Linotype" w:cs="Tahoma"/>
                    <w:sz w:val="22"/>
                    <w:szCs w:val="22"/>
                    <w:lang w:val="es-ES" w:eastAsia="en-US"/>
                  </w:rPr>
                </w:pPr>
                <w:r w:rsidRPr="003D70CB">
                  <w:rPr>
                    <w:rFonts w:ascii="Palatino Linotype" w:eastAsia="Calibri" w:hAnsi="Palatino Linotype" w:cs="Tahoma"/>
                    <w:bCs/>
                    <w:sz w:val="22"/>
                    <w:szCs w:val="22"/>
                    <w:lang w:eastAsia="en-US"/>
                  </w:rPr>
                  <w:t>Sistema Municipal Para el Desarrollo Integral de la Familia de la Paz</w:t>
                </w:r>
              </w:p>
            </w:tc>
          </w:tr>
          <w:tr w:rsidR="00294ED5" w:rsidTr="00613727">
            <w:trPr>
              <w:trHeight w:val="295"/>
            </w:trPr>
            <w:tc>
              <w:tcPr>
                <w:tcW w:w="2444" w:type="dxa"/>
                <w:shd w:val="clear" w:color="auto" w:fill="auto"/>
              </w:tcPr>
              <w:p w:rsidR="00294ED5" w:rsidRPr="00020E73" w:rsidRDefault="00294ED5" w:rsidP="004716E2">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5386" w:type="dxa"/>
                <w:shd w:val="clear" w:color="auto" w:fill="auto"/>
              </w:tcPr>
              <w:p w:rsidR="00294ED5" w:rsidRPr="00020E73" w:rsidRDefault="00294ED5" w:rsidP="00613727">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294ED5" w:rsidRPr="00020E73" w:rsidRDefault="00294ED5" w:rsidP="00613727">
                <w:pPr>
                  <w:tabs>
                    <w:tab w:val="right" w:pos="8838"/>
                  </w:tabs>
                  <w:ind w:left="-108" w:right="171"/>
                  <w:rPr>
                    <w:rFonts w:ascii="Palatino Linotype" w:eastAsia="Calibri" w:hAnsi="Palatino Linotype" w:cs="Tahoma"/>
                    <w:b/>
                    <w:sz w:val="22"/>
                    <w:szCs w:val="22"/>
                    <w:lang w:val="es-ES" w:eastAsia="en-US"/>
                  </w:rPr>
                </w:pPr>
              </w:p>
            </w:tc>
          </w:tr>
        </w:tbl>
        <w:p w:rsidR="00294ED5" w:rsidRPr="005C106F" w:rsidRDefault="00294ED5" w:rsidP="004716E2">
          <w:pPr>
            <w:tabs>
              <w:tab w:val="right" w:pos="8838"/>
            </w:tabs>
            <w:ind w:left="-28"/>
            <w:jc w:val="both"/>
            <w:rPr>
              <w:rFonts w:ascii="Arial" w:eastAsia="Calibri" w:hAnsi="Arial" w:cs="Arial"/>
              <w:b/>
              <w:sz w:val="22"/>
              <w:szCs w:val="22"/>
              <w:lang w:eastAsia="en-US"/>
            </w:rPr>
          </w:pPr>
        </w:p>
      </w:tc>
    </w:tr>
  </w:tbl>
  <w:p w:rsidR="00294ED5" w:rsidRPr="00443C6B" w:rsidRDefault="00CB60CF" w:rsidP="004716E2">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Look w:val="04A0" w:firstRow="1" w:lastRow="0" w:firstColumn="1" w:lastColumn="0" w:noHBand="0" w:noVBand="1"/>
    </w:tblPr>
    <w:tblGrid>
      <w:gridCol w:w="2268"/>
      <w:gridCol w:w="7797"/>
    </w:tblGrid>
    <w:tr w:rsidR="00294ED5" w:rsidRPr="00330DA7" w:rsidTr="00613727">
      <w:trPr>
        <w:trHeight w:val="1435"/>
      </w:trPr>
      <w:tc>
        <w:tcPr>
          <w:tcW w:w="2268" w:type="dxa"/>
          <w:shd w:val="clear" w:color="auto" w:fill="auto"/>
        </w:tcPr>
        <w:p w:rsidR="00294ED5" w:rsidRPr="00330DA7" w:rsidRDefault="00294ED5" w:rsidP="004716E2">
          <w:pPr>
            <w:tabs>
              <w:tab w:val="right" w:pos="4273"/>
            </w:tabs>
            <w:rPr>
              <w:rFonts w:ascii="Garamond" w:eastAsia="Calibri" w:hAnsi="Garamond"/>
              <w:sz w:val="22"/>
              <w:szCs w:val="22"/>
              <w:lang w:eastAsia="en-US"/>
            </w:rPr>
          </w:pPr>
        </w:p>
      </w:tc>
      <w:tc>
        <w:tcPr>
          <w:tcW w:w="7797" w:type="dxa"/>
          <w:shd w:val="clear" w:color="auto" w:fill="auto"/>
        </w:tcPr>
        <w:tbl>
          <w:tblPr>
            <w:tblW w:w="7507" w:type="dxa"/>
            <w:tblInd w:w="176" w:type="dxa"/>
            <w:tblLayout w:type="fixed"/>
            <w:tblLook w:val="0420" w:firstRow="1" w:lastRow="0" w:firstColumn="0" w:lastColumn="0" w:noHBand="0" w:noVBand="1"/>
          </w:tblPr>
          <w:tblGrid>
            <w:gridCol w:w="2444"/>
            <w:gridCol w:w="5063"/>
          </w:tblGrid>
          <w:tr w:rsidR="00294ED5" w:rsidRPr="00330DA7" w:rsidTr="00613727">
            <w:trPr>
              <w:trHeight w:val="144"/>
            </w:trPr>
            <w:tc>
              <w:tcPr>
                <w:tcW w:w="2444" w:type="dxa"/>
                <w:shd w:val="clear" w:color="auto" w:fill="auto"/>
              </w:tcPr>
              <w:p w:rsidR="00294ED5" w:rsidRPr="00020E73" w:rsidRDefault="00294ED5" w:rsidP="00613727">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5063" w:type="dxa"/>
                <w:shd w:val="clear" w:color="auto" w:fill="auto"/>
              </w:tcPr>
              <w:p w:rsidR="00294ED5" w:rsidRPr="00020E73" w:rsidRDefault="00294ED5" w:rsidP="00613727">
                <w:pPr>
                  <w:tabs>
                    <w:tab w:val="right" w:pos="8838"/>
                  </w:tabs>
                  <w:ind w:left="-74"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04218/INFOEM/IP/RR/2024</w:t>
                </w:r>
              </w:p>
            </w:tc>
          </w:tr>
          <w:tr w:rsidR="00294ED5" w:rsidRPr="00330DA7" w:rsidTr="00613727">
            <w:trPr>
              <w:trHeight w:val="144"/>
            </w:trPr>
            <w:tc>
              <w:tcPr>
                <w:tcW w:w="2444" w:type="dxa"/>
                <w:shd w:val="clear" w:color="auto" w:fill="auto"/>
              </w:tcPr>
              <w:p w:rsidR="00294ED5" w:rsidRPr="00020E73" w:rsidRDefault="00294ED5" w:rsidP="00613727">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5063" w:type="dxa"/>
                <w:shd w:val="clear" w:color="auto" w:fill="auto"/>
              </w:tcPr>
              <w:p w:rsidR="00294ED5" w:rsidRPr="00691A4E" w:rsidRDefault="00294ED5" w:rsidP="00613727">
                <w:pPr>
                  <w:tabs>
                    <w:tab w:val="left" w:pos="3122"/>
                    <w:tab w:val="right" w:pos="8838"/>
                  </w:tabs>
                  <w:ind w:left="-74" w:right="-105"/>
                  <w:rPr>
                    <w:rFonts w:ascii="Palatino Linotype" w:eastAsia="Calibri" w:hAnsi="Palatino Linotype" w:cs="Tahoma"/>
                    <w:sz w:val="22"/>
                    <w:szCs w:val="22"/>
                    <w:lang w:val="es-ES" w:eastAsia="en-US"/>
                  </w:rPr>
                </w:pPr>
                <w:r w:rsidRPr="00691A4E">
                  <w:rPr>
                    <w:rFonts w:ascii="Palatino Linotype" w:eastAsia="Calibri" w:hAnsi="Palatino Linotype" w:cs="Tahoma"/>
                    <w:b/>
                    <w:bCs/>
                    <w:sz w:val="22"/>
                    <w:szCs w:val="22"/>
                    <w:lang w:eastAsia="en-US"/>
                  </w:rPr>
                  <w:t> </w:t>
                </w:r>
              </w:p>
            </w:tc>
          </w:tr>
          <w:tr w:rsidR="00294ED5" w:rsidRPr="00330DA7" w:rsidTr="00613727">
            <w:trPr>
              <w:trHeight w:val="283"/>
            </w:trPr>
            <w:tc>
              <w:tcPr>
                <w:tcW w:w="2444" w:type="dxa"/>
                <w:shd w:val="clear" w:color="auto" w:fill="auto"/>
              </w:tcPr>
              <w:p w:rsidR="00294ED5" w:rsidRPr="00020E73" w:rsidRDefault="00294ED5" w:rsidP="00613727">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5063" w:type="dxa"/>
                <w:shd w:val="clear" w:color="auto" w:fill="auto"/>
              </w:tcPr>
              <w:p w:rsidR="00294ED5" w:rsidRPr="003D70CB" w:rsidRDefault="00294ED5" w:rsidP="00613727">
                <w:pPr>
                  <w:tabs>
                    <w:tab w:val="left" w:pos="2834"/>
                    <w:tab w:val="right" w:pos="8838"/>
                  </w:tabs>
                  <w:ind w:left="-74" w:right="-105"/>
                  <w:rPr>
                    <w:rFonts w:ascii="Palatino Linotype" w:eastAsia="Calibri" w:hAnsi="Palatino Linotype" w:cs="Tahoma"/>
                    <w:sz w:val="22"/>
                    <w:szCs w:val="22"/>
                    <w:lang w:val="es-ES" w:eastAsia="en-US"/>
                  </w:rPr>
                </w:pPr>
                <w:r w:rsidRPr="003D70CB">
                  <w:rPr>
                    <w:rFonts w:ascii="Palatino Linotype" w:eastAsia="Calibri" w:hAnsi="Palatino Linotype" w:cs="Tahoma"/>
                    <w:bCs/>
                    <w:sz w:val="22"/>
                    <w:szCs w:val="22"/>
                    <w:lang w:eastAsia="en-US"/>
                  </w:rPr>
                  <w:t>Sistema Municipal Para el Desarrollo Integral de la Familia de la Paz</w:t>
                </w:r>
              </w:p>
            </w:tc>
          </w:tr>
          <w:tr w:rsidR="00294ED5" w:rsidRPr="00330DA7" w:rsidTr="00613727">
            <w:trPr>
              <w:trHeight w:val="283"/>
            </w:trPr>
            <w:tc>
              <w:tcPr>
                <w:tcW w:w="2444" w:type="dxa"/>
                <w:shd w:val="clear" w:color="auto" w:fill="auto"/>
              </w:tcPr>
              <w:p w:rsidR="00294ED5" w:rsidRPr="00020E73" w:rsidRDefault="00294ED5" w:rsidP="00613727">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5063" w:type="dxa"/>
                <w:shd w:val="clear" w:color="auto" w:fill="auto"/>
              </w:tcPr>
              <w:p w:rsidR="00294ED5" w:rsidRPr="00020E73" w:rsidRDefault="00294ED5" w:rsidP="00613727">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294ED5" w:rsidRPr="00020E73" w:rsidRDefault="00294ED5" w:rsidP="00613727">
                <w:pPr>
                  <w:tabs>
                    <w:tab w:val="right" w:pos="8838"/>
                  </w:tabs>
                  <w:ind w:left="-74" w:right="-105"/>
                  <w:rPr>
                    <w:rFonts w:ascii="Palatino Linotype" w:eastAsia="Calibri" w:hAnsi="Palatino Linotype" w:cs="Tahoma"/>
                    <w:b/>
                    <w:sz w:val="22"/>
                    <w:szCs w:val="22"/>
                    <w:lang w:val="es-ES" w:eastAsia="en-US"/>
                  </w:rPr>
                </w:pPr>
              </w:p>
            </w:tc>
          </w:tr>
        </w:tbl>
        <w:p w:rsidR="00294ED5" w:rsidRPr="00330DA7" w:rsidRDefault="00294ED5" w:rsidP="004716E2">
          <w:pPr>
            <w:tabs>
              <w:tab w:val="right" w:pos="8838"/>
            </w:tabs>
            <w:ind w:left="-28"/>
            <w:jc w:val="both"/>
            <w:rPr>
              <w:rFonts w:ascii="Arial" w:eastAsia="Calibri" w:hAnsi="Arial" w:cs="Arial"/>
              <w:b/>
              <w:sz w:val="22"/>
              <w:szCs w:val="22"/>
              <w:lang w:eastAsia="en-US"/>
            </w:rPr>
          </w:pPr>
        </w:p>
      </w:tc>
    </w:tr>
  </w:tbl>
  <w:p w:rsidR="00294ED5" w:rsidRPr="00827FA0" w:rsidRDefault="00CB60CF" w:rsidP="004716E2">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79.65pt;margin-top:-128.45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710"/>
    <w:multiLevelType w:val="hybridMultilevel"/>
    <w:tmpl w:val="D0FE481E"/>
    <w:lvl w:ilvl="0" w:tplc="32CAE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04FA4"/>
    <w:multiLevelType w:val="hybridMultilevel"/>
    <w:tmpl w:val="17A2FECA"/>
    <w:lvl w:ilvl="0" w:tplc="57E2D054">
      <w:start w:val="9"/>
      <w:numFmt w:val="decimal"/>
      <w:lvlText w:val="%1."/>
      <w:lvlJc w:val="left"/>
      <w:pPr>
        <w:ind w:left="36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F2AE3"/>
    <w:multiLevelType w:val="multilevel"/>
    <w:tmpl w:val="22C075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61270"/>
    <w:multiLevelType w:val="hybridMultilevel"/>
    <w:tmpl w:val="B630FE90"/>
    <w:lvl w:ilvl="0" w:tplc="74789668">
      <w:start w:val="1"/>
      <w:numFmt w:val="decimal"/>
      <w:lvlText w:val="%1."/>
      <w:lvlJc w:val="left"/>
      <w:pPr>
        <w:ind w:left="720" w:hanging="360"/>
      </w:pPr>
      <w:rPr>
        <w:rFonts w:ascii="Palatino Linotype" w:eastAsia="Calibri" w:hAnsi="Palatino Linotype"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84A4B"/>
    <w:multiLevelType w:val="hybridMultilevel"/>
    <w:tmpl w:val="AF945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1710B"/>
    <w:multiLevelType w:val="multilevel"/>
    <w:tmpl w:val="FE8A79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B82B13"/>
    <w:multiLevelType w:val="multilevel"/>
    <w:tmpl w:val="4156EA1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7" w15:restartNumberingAfterBreak="0">
    <w:nsid w:val="29485BDA"/>
    <w:multiLevelType w:val="multilevel"/>
    <w:tmpl w:val="0AC21AA2"/>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777F6C"/>
    <w:multiLevelType w:val="multilevel"/>
    <w:tmpl w:val="5F3A88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B5F5352"/>
    <w:multiLevelType w:val="hybridMultilevel"/>
    <w:tmpl w:val="7E8071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4D57384D"/>
    <w:multiLevelType w:val="hybridMultilevel"/>
    <w:tmpl w:val="35E28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3"/>
  </w:num>
  <w:num w:numId="2">
    <w:abstractNumId w:val="15"/>
  </w:num>
  <w:num w:numId="3">
    <w:abstractNumId w:val="8"/>
  </w:num>
  <w:num w:numId="4">
    <w:abstractNumId w:val="4"/>
  </w:num>
  <w:num w:numId="5">
    <w:abstractNumId w:val="12"/>
  </w:num>
  <w:num w:numId="6">
    <w:abstractNumId w:val="10"/>
  </w:num>
  <w:num w:numId="7">
    <w:abstractNumId w:val="9"/>
  </w:num>
  <w:num w:numId="8">
    <w:abstractNumId w:val="2"/>
  </w:num>
  <w:num w:numId="9">
    <w:abstractNumId w:val="6"/>
  </w:num>
  <w:num w:numId="10">
    <w:abstractNumId w:val="7"/>
  </w:num>
  <w:num w:numId="11">
    <w:abstractNumId w:val="5"/>
  </w:num>
  <w:num w:numId="12">
    <w:abstractNumId w:val="11"/>
  </w:num>
  <w:num w:numId="13">
    <w:abstractNumId w:val="0"/>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E"/>
    <w:rsid w:val="0003397F"/>
    <w:rsid w:val="00171DFF"/>
    <w:rsid w:val="00187B88"/>
    <w:rsid w:val="00294ED5"/>
    <w:rsid w:val="003D70CB"/>
    <w:rsid w:val="00467741"/>
    <w:rsid w:val="004716E2"/>
    <w:rsid w:val="00613727"/>
    <w:rsid w:val="00647EB8"/>
    <w:rsid w:val="007639CF"/>
    <w:rsid w:val="008455E6"/>
    <w:rsid w:val="00904E01"/>
    <w:rsid w:val="00A60EAE"/>
    <w:rsid w:val="00A818CF"/>
    <w:rsid w:val="00CB60CF"/>
    <w:rsid w:val="00DC4D63"/>
    <w:rsid w:val="00E367D2"/>
    <w:rsid w:val="00E752E8"/>
    <w:rsid w:val="00EA68B8"/>
    <w:rsid w:val="00F92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94C4DE2-1325-4BB2-8565-1613AED5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3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716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92F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92F3E"/>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F92F3E"/>
    <w:pPr>
      <w:tabs>
        <w:tab w:val="center" w:pos="4419"/>
        <w:tab w:val="right" w:pos="8838"/>
      </w:tabs>
    </w:pPr>
  </w:style>
  <w:style w:type="character" w:customStyle="1" w:styleId="EncabezadoCar">
    <w:name w:val="Encabezado Car"/>
    <w:basedOn w:val="Fuentedeprrafopredeter"/>
    <w:link w:val="Encabezado"/>
    <w:uiPriority w:val="99"/>
    <w:rsid w:val="00F92F3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92F3E"/>
    <w:pPr>
      <w:tabs>
        <w:tab w:val="center" w:pos="4419"/>
        <w:tab w:val="right" w:pos="8838"/>
      </w:tabs>
    </w:pPr>
  </w:style>
  <w:style w:type="character" w:customStyle="1" w:styleId="PiedepginaCar">
    <w:name w:val="Pie de página Car"/>
    <w:basedOn w:val="Fuentedeprrafopredeter"/>
    <w:link w:val="Piedepgina"/>
    <w:uiPriority w:val="99"/>
    <w:rsid w:val="00F92F3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2F3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F92F3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F92F3E"/>
    <w:rPr>
      <w:color w:val="0563C1"/>
      <w:u w:val="single"/>
    </w:rPr>
  </w:style>
  <w:style w:type="paragraph" w:styleId="Sinespaciado">
    <w:name w:val="No Spacing"/>
    <w:aliases w:val="Francesa,INAI"/>
    <w:link w:val="SinespaciadoCar"/>
    <w:uiPriority w:val="1"/>
    <w:qFormat/>
    <w:rsid w:val="00F92F3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92F3E"/>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716E2"/>
    <w:rPr>
      <w:rFonts w:asciiTheme="majorHAnsi" w:eastAsiaTheme="majorEastAsia" w:hAnsiTheme="majorHAnsi" w:cstheme="majorBidi"/>
      <w:color w:val="2E74B5" w:themeColor="accent1" w:themeShade="BF"/>
      <w:sz w:val="32"/>
      <w:szCs w:val="32"/>
      <w:lang w:eastAsia="es-MX"/>
    </w:rPr>
  </w:style>
  <w:style w:type="character" w:styleId="Referenciasutil">
    <w:name w:val="Subtle Reference"/>
    <w:basedOn w:val="Fuentedeprrafopredeter"/>
    <w:uiPriority w:val="31"/>
    <w:qFormat/>
    <w:rsid w:val="00EA68B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1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31</Pages>
  <Words>8314</Words>
  <Characters>45730</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3</cp:revision>
  <dcterms:created xsi:type="dcterms:W3CDTF">2024-11-21T15:39:00Z</dcterms:created>
  <dcterms:modified xsi:type="dcterms:W3CDTF">2024-11-27T20:28:00Z</dcterms:modified>
</cp:coreProperties>
</file>