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55273" w14:textId="499E9564" w:rsidR="005168D8" w:rsidRPr="00875B7E" w:rsidRDefault="005168D8" w:rsidP="005168D8">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Pr>
          <w:rFonts w:eastAsia="Palatino Linotype" w:cs="Palatino Linotype"/>
          <w:color w:val="000000"/>
          <w:szCs w:val="24"/>
        </w:rPr>
        <w:t xml:space="preserve"> trece de marzo de dos mil veinticuatro</w:t>
      </w:r>
      <w:r w:rsidRPr="00875B7E">
        <w:rPr>
          <w:rFonts w:eastAsia="Palatino Linotype" w:cs="Palatino Linotype"/>
          <w:color w:val="000000"/>
          <w:szCs w:val="24"/>
        </w:rPr>
        <w:t>.</w:t>
      </w:r>
    </w:p>
    <w:p w14:paraId="606902E8" w14:textId="77777777" w:rsidR="005168D8" w:rsidRPr="00875B7E" w:rsidRDefault="005168D8" w:rsidP="005168D8">
      <w:pPr>
        <w:pBdr>
          <w:top w:val="nil"/>
          <w:left w:val="nil"/>
          <w:bottom w:val="nil"/>
          <w:right w:val="nil"/>
          <w:between w:val="nil"/>
        </w:pBdr>
        <w:contextualSpacing/>
        <w:rPr>
          <w:rFonts w:eastAsia="Palatino Linotype" w:cs="Palatino Linotype"/>
          <w:color w:val="000000"/>
          <w:szCs w:val="24"/>
        </w:rPr>
      </w:pPr>
    </w:p>
    <w:p w14:paraId="37A1654F" w14:textId="5B576E72" w:rsidR="005168D8" w:rsidRPr="00875B7E" w:rsidRDefault="005168D8" w:rsidP="005168D8">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00830/</w:t>
      </w:r>
      <w:r w:rsidRPr="00875B7E">
        <w:rPr>
          <w:rFonts w:eastAsia="Palatino Linotype" w:cs="Palatino Linotype"/>
          <w:b/>
          <w:color w:val="000000"/>
          <w:szCs w:val="24"/>
        </w:rPr>
        <w:t>INFOEM/IP/RR/202</w:t>
      </w:r>
      <w:r>
        <w:rPr>
          <w:rFonts w:eastAsia="Palatino Linotype" w:cs="Palatino Linotype"/>
          <w:b/>
          <w:color w:val="000000"/>
          <w:szCs w:val="24"/>
        </w:rPr>
        <w:t>4</w:t>
      </w:r>
      <w:r w:rsidRPr="00875B7E">
        <w:rPr>
          <w:rFonts w:eastAsia="Palatino Linotype" w:cs="Palatino Linotype"/>
          <w:color w:val="000000"/>
          <w:szCs w:val="24"/>
        </w:rPr>
        <w:t>, interpuesto por</w:t>
      </w:r>
      <w:r>
        <w:rPr>
          <w:rFonts w:eastAsia="Palatino Linotype" w:cs="Palatino Linotype"/>
          <w:b/>
          <w:color w:val="000000"/>
          <w:szCs w:val="24"/>
        </w:rPr>
        <w:t xml:space="preserve"> </w:t>
      </w:r>
      <w:r>
        <w:rPr>
          <w:rFonts w:eastAsia="Palatino Linotype" w:cs="Palatino Linotype"/>
          <w:color w:val="000000"/>
          <w:szCs w:val="24"/>
        </w:rPr>
        <w:t>“</w:t>
      </w:r>
      <w:r w:rsidR="00CD6CC6">
        <w:rPr>
          <w:rFonts w:eastAsia="Palatino Linotype" w:cs="Palatino Linotype"/>
          <w:color w:val="000000"/>
          <w:szCs w:val="24"/>
        </w:rPr>
        <w:t>XXXXXXX</w:t>
      </w:r>
      <w:r>
        <w:rPr>
          <w:rFonts w:eastAsia="Palatino Linotype" w:cs="Palatino Linotype"/>
          <w:color w:val="000000"/>
          <w:szCs w:val="24"/>
        </w:rPr>
        <w:t>”</w:t>
      </w:r>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Pr="00875B7E">
        <w:rPr>
          <w:rFonts w:eastAsia="Palatino Linotype" w:cs="Palatino Linotype"/>
          <w:color w:val="000000"/>
          <w:szCs w:val="24"/>
        </w:rPr>
        <w:t xml:space="preserve">, en contra de la respuesta </w:t>
      </w:r>
      <w:r w:rsidRPr="005168D8">
        <w:rPr>
          <w:rFonts w:eastAsia="Palatino Linotype" w:cs="Palatino Linotype"/>
          <w:b/>
          <w:color w:val="000000"/>
          <w:szCs w:val="24"/>
        </w:rPr>
        <w:t xml:space="preserve">del </w:t>
      </w:r>
      <w:r w:rsidRPr="005168D8">
        <w:rPr>
          <w:rFonts w:cs="Arial"/>
          <w:b/>
          <w:szCs w:val="24"/>
        </w:rPr>
        <w:t>Ayuntamiento de San José del Rincón</w:t>
      </w:r>
      <w:r w:rsidRPr="00875B7E">
        <w:rPr>
          <w:rFonts w:eastAsia="Palatino Linotype" w:cs="Palatino Linotype"/>
          <w:color w:val="000000"/>
          <w:szCs w:val="24"/>
        </w:rPr>
        <w:t>, 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45B8582C" w14:textId="77777777" w:rsidR="005168D8" w:rsidRPr="00875B7E" w:rsidRDefault="005168D8" w:rsidP="005168D8">
      <w:pPr>
        <w:pBdr>
          <w:top w:val="nil"/>
          <w:left w:val="nil"/>
          <w:bottom w:val="nil"/>
          <w:right w:val="nil"/>
          <w:between w:val="nil"/>
        </w:pBdr>
        <w:contextualSpacing/>
        <w:rPr>
          <w:rFonts w:eastAsia="Palatino Linotype" w:cs="Palatino Linotype"/>
          <w:color w:val="000000"/>
          <w:szCs w:val="24"/>
        </w:rPr>
      </w:pPr>
    </w:p>
    <w:p w14:paraId="4C1B6CF8" w14:textId="77777777" w:rsidR="005168D8" w:rsidRPr="006922F5" w:rsidRDefault="005168D8" w:rsidP="005168D8">
      <w:pPr>
        <w:pStyle w:val="Ttulo1"/>
        <w:rPr>
          <w:rFonts w:eastAsia="Palatino Linotype"/>
          <w:lang w:val="es-ES_tradnl"/>
        </w:rPr>
      </w:pPr>
      <w:r w:rsidRPr="006922F5">
        <w:rPr>
          <w:rFonts w:eastAsia="Palatino Linotype"/>
          <w:lang w:val="es-ES_tradnl"/>
        </w:rPr>
        <w:t xml:space="preserve">A N T E C E D E N </w:t>
      </w:r>
      <w:bookmarkStart w:id="0" w:name="_GoBack"/>
      <w:bookmarkEnd w:id="0"/>
      <w:r w:rsidRPr="006922F5">
        <w:rPr>
          <w:rFonts w:eastAsia="Palatino Linotype"/>
          <w:lang w:val="es-ES_tradnl"/>
        </w:rPr>
        <w:t>T E S</w:t>
      </w:r>
    </w:p>
    <w:p w14:paraId="53304FE4" w14:textId="77777777" w:rsidR="005168D8" w:rsidRPr="00875B7E" w:rsidRDefault="005168D8" w:rsidP="005168D8">
      <w:pPr>
        <w:pBdr>
          <w:top w:val="nil"/>
          <w:left w:val="nil"/>
          <w:bottom w:val="nil"/>
          <w:right w:val="nil"/>
          <w:between w:val="nil"/>
        </w:pBdr>
        <w:contextualSpacing/>
        <w:rPr>
          <w:rFonts w:eastAsia="Palatino Linotype" w:cs="Palatino Linotype"/>
          <w:color w:val="000000"/>
          <w:szCs w:val="24"/>
        </w:rPr>
      </w:pPr>
    </w:p>
    <w:p w14:paraId="7F75C9F2" w14:textId="77777777" w:rsidR="005168D8" w:rsidRPr="006922F5" w:rsidRDefault="005168D8" w:rsidP="005168D8">
      <w:pPr>
        <w:pStyle w:val="Ttulo2"/>
        <w:rPr>
          <w:rFonts w:eastAsia="Palatino Linotype"/>
        </w:rPr>
      </w:pPr>
      <w:r w:rsidRPr="006922F5">
        <w:rPr>
          <w:rFonts w:eastAsia="Palatino Linotype"/>
        </w:rPr>
        <w:t>PRIMERO. De la Solicitud de Información.</w:t>
      </w:r>
    </w:p>
    <w:p w14:paraId="64D14D3C" w14:textId="77777777" w:rsidR="005168D8" w:rsidRPr="006922F5" w:rsidRDefault="005168D8" w:rsidP="005168D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quince de enero de dos mil veinticuatro</w:t>
      </w:r>
      <w:r w:rsidRPr="006922F5">
        <w:rPr>
          <w:rFonts w:eastAsia="Palatino Linotype" w:cs="Palatino Linotype"/>
          <w:color w:val="000000"/>
          <w:szCs w:val="24"/>
        </w:rPr>
        <w:t xml:space="preserve">, </w:t>
      </w:r>
      <w:r>
        <w:t>la parte Recurrente presentó a través de la Plataforma Nacional de Transparencia PNT, la cual se encuentra estrechamente vinculada con el Sistema de Acceso a la Información Mexiquense, en lo posterior el SAIMEX, ante el Sujeto Obligado, solicitud de acceso a la información pública, registrada bajo el número</w:t>
      </w:r>
      <w:r w:rsidRPr="006922F5">
        <w:rPr>
          <w:rFonts w:eastAsia="Palatino Linotype" w:cs="Palatino Linotype"/>
          <w:color w:val="000000"/>
          <w:szCs w:val="24"/>
        </w:rPr>
        <w:t xml:space="preserve"> registrada con el número </w:t>
      </w:r>
      <w:r w:rsidRPr="00192B25">
        <w:rPr>
          <w:rFonts w:eastAsia="Palatino Linotype" w:cs="Palatino Linotype"/>
          <w:szCs w:val="24"/>
        </w:rPr>
        <w:t>de</w:t>
      </w:r>
      <w:r>
        <w:rPr>
          <w:rFonts w:eastAsia="Palatino Linotype" w:cs="Palatino Linotype"/>
          <w:szCs w:val="24"/>
        </w:rPr>
        <w:t xml:space="preserve"> </w:t>
      </w:r>
      <w:r w:rsidRPr="005168D8">
        <w:rPr>
          <w:b/>
          <w:bCs/>
        </w:rPr>
        <w:t>00003/JOSERIN/IP/2024</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4C8CEE9B" w14:textId="77777777" w:rsidR="005168D8" w:rsidRPr="00875B7E" w:rsidRDefault="005168D8" w:rsidP="005168D8">
      <w:pPr>
        <w:pBdr>
          <w:top w:val="nil"/>
          <w:left w:val="nil"/>
          <w:bottom w:val="nil"/>
          <w:right w:val="nil"/>
          <w:between w:val="nil"/>
        </w:pBdr>
        <w:contextualSpacing/>
        <w:rPr>
          <w:rFonts w:eastAsia="Palatino Linotype" w:cs="Palatino Linotype"/>
          <w:color w:val="000000"/>
          <w:szCs w:val="24"/>
        </w:rPr>
      </w:pPr>
    </w:p>
    <w:p w14:paraId="55AA9B28" w14:textId="77777777" w:rsidR="005168D8" w:rsidRPr="006922F5" w:rsidRDefault="005168D8" w:rsidP="005168D8">
      <w:pPr>
        <w:pStyle w:val="Fundamentos"/>
      </w:pPr>
      <w:r w:rsidRPr="00192B25">
        <w:rPr>
          <w:sz w:val="24"/>
        </w:rPr>
        <w:t>“</w:t>
      </w:r>
      <w:r w:rsidRPr="005168D8">
        <w:rPr>
          <w:sz w:val="24"/>
        </w:rPr>
        <w:t>SOLICITO LOS ESTADOS DE NÓMINA DEL MES DE DICIEMBRE DEL 2023 DE LOS TITULARES DE LAS SIGUIENTES DIRECCIONES: DESARROLLO SOCIAL, DIF SAN JOSÉ DEL RINCON, ADMINISTRACIÓN, Y TESORERIA.”</w:t>
      </w:r>
      <w:r w:rsidRPr="00192B25">
        <w:rPr>
          <w:sz w:val="24"/>
        </w:rPr>
        <w:t xml:space="preserve"> (</w:t>
      </w:r>
      <w:r w:rsidRPr="006922F5">
        <w:t>Sic)</w:t>
      </w:r>
    </w:p>
    <w:p w14:paraId="0D0F281F" w14:textId="77777777" w:rsidR="005168D8" w:rsidRPr="00875B7E" w:rsidRDefault="005168D8" w:rsidP="005168D8">
      <w:pPr>
        <w:pBdr>
          <w:top w:val="nil"/>
          <w:left w:val="nil"/>
          <w:bottom w:val="nil"/>
          <w:right w:val="nil"/>
          <w:between w:val="nil"/>
        </w:pBdr>
        <w:contextualSpacing/>
        <w:rPr>
          <w:rFonts w:eastAsia="Palatino Linotype" w:cs="Palatino Linotype"/>
          <w:color w:val="000000"/>
          <w:szCs w:val="24"/>
        </w:rPr>
      </w:pPr>
    </w:p>
    <w:p w14:paraId="1982F7E5" w14:textId="77777777" w:rsidR="005168D8" w:rsidRPr="006922F5" w:rsidRDefault="005168D8" w:rsidP="005168D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76835A7B" w14:textId="77777777" w:rsidR="005168D8" w:rsidRPr="005168D8" w:rsidRDefault="005168D8" w:rsidP="005168D8">
      <w:pPr>
        <w:pStyle w:val="Ttulo2"/>
        <w:rPr>
          <w:rFonts w:eastAsia="Palatino Linotype"/>
        </w:rPr>
      </w:pPr>
      <w:r>
        <w:rPr>
          <w:rFonts w:eastAsia="Palatino Linotype"/>
        </w:rPr>
        <w:lastRenderedPageBreak/>
        <w:t xml:space="preserve">SEGUNDO. De la </w:t>
      </w:r>
      <w:r w:rsidRPr="006922F5">
        <w:rPr>
          <w:rFonts w:eastAsia="Palatino Linotype"/>
        </w:rPr>
        <w:t>respuesta del Sujeto Obligado.</w:t>
      </w:r>
    </w:p>
    <w:p w14:paraId="283315F3" w14:textId="77777777" w:rsidR="005168D8" w:rsidRDefault="005168D8" w:rsidP="005168D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día</w:t>
      </w:r>
      <w:r>
        <w:rPr>
          <w:rFonts w:eastAsia="Palatino Linotype" w:cs="Palatino Linotype"/>
          <w:b/>
          <w:color w:val="000000"/>
          <w:szCs w:val="24"/>
        </w:rPr>
        <w:t xml:space="preserve"> treinta de enero de dos mil veinticuatro</w:t>
      </w:r>
      <w:r>
        <w:rPr>
          <w:rFonts w:eastAsia="Palatino Linotype" w:cs="Palatino Linotype"/>
          <w:color w:val="000000"/>
          <w:szCs w:val="24"/>
        </w:rPr>
        <w:t xml:space="preserve">, adjuntó a su respuesta el documento denominado </w:t>
      </w:r>
      <w:r w:rsidRPr="00040E89">
        <w:rPr>
          <w:rFonts w:eastAsia="Palatino Linotype" w:cs="Palatino Linotype"/>
          <w:b/>
          <w:bCs/>
          <w:i/>
          <w:szCs w:val="24"/>
        </w:rPr>
        <w:t>“</w:t>
      </w:r>
      <w:r w:rsidRPr="005168D8">
        <w:rPr>
          <w:rFonts w:cs="Arial"/>
          <w:b/>
          <w:bCs/>
          <w:szCs w:val="24"/>
        </w:rPr>
        <w:t>00003-JOSERIN-IP-2024.pdf</w:t>
      </w:r>
      <w:hyperlink r:id="rId7" w:tgtFrame="_blank" w:history="1"/>
      <w:r w:rsidRPr="00040E89">
        <w:rPr>
          <w:i/>
          <w:szCs w:val="24"/>
        </w:rPr>
        <w:t>”</w:t>
      </w:r>
      <w:r w:rsidRPr="00040E89">
        <w:rPr>
          <w:rFonts w:eastAsia="Palatino Linotype" w:cs="Palatino Linotype"/>
          <w:i/>
          <w:szCs w:val="24"/>
        </w:rPr>
        <w:t>,</w:t>
      </w:r>
      <w:r w:rsidRPr="00802B59">
        <w:rPr>
          <w:rFonts w:eastAsia="Palatino Linotype" w:cs="Palatino Linotype"/>
          <w:szCs w:val="24"/>
        </w:rPr>
        <w:t xml:space="preserve"> </w:t>
      </w:r>
      <w:r>
        <w:rPr>
          <w:rFonts w:eastAsia="Palatino Linotype" w:cs="Palatino Linotype"/>
          <w:color w:val="000000"/>
          <w:szCs w:val="24"/>
        </w:rPr>
        <w:t>el cual no se reproduce por ser del conocimiento de las partes; no obstante, su contenido será motivo de análisis en el estudio correspondiente</w:t>
      </w:r>
    </w:p>
    <w:p w14:paraId="4ADDC918" w14:textId="77777777" w:rsidR="005168D8" w:rsidRPr="005168D8" w:rsidRDefault="005168D8" w:rsidP="005168D8">
      <w:pPr>
        <w:pBdr>
          <w:top w:val="nil"/>
          <w:left w:val="nil"/>
          <w:bottom w:val="nil"/>
          <w:right w:val="nil"/>
          <w:between w:val="nil"/>
        </w:pBdr>
        <w:contextualSpacing/>
        <w:rPr>
          <w:rFonts w:eastAsia="Palatino Linotype" w:cs="Palatino Linotype"/>
          <w:color w:val="000000"/>
          <w:szCs w:val="24"/>
        </w:rPr>
      </w:pPr>
    </w:p>
    <w:p w14:paraId="397871F0" w14:textId="77777777" w:rsidR="005168D8" w:rsidRPr="006922F5" w:rsidRDefault="005168D8" w:rsidP="005168D8">
      <w:pPr>
        <w:pStyle w:val="Ttulo2"/>
        <w:rPr>
          <w:rFonts w:eastAsia="Palatino Linotype"/>
        </w:rPr>
      </w:pPr>
      <w:r>
        <w:rPr>
          <w:rFonts w:eastAsia="Palatino Linotype"/>
        </w:rPr>
        <w:t>TERCERO</w:t>
      </w:r>
      <w:r w:rsidRPr="006922F5">
        <w:rPr>
          <w:rFonts w:eastAsia="Palatino Linotype"/>
        </w:rPr>
        <w:t>. Del recurso de revisión.</w:t>
      </w:r>
    </w:p>
    <w:p w14:paraId="5CB7E452" w14:textId="77777777" w:rsidR="005168D8" w:rsidRPr="006922F5" w:rsidRDefault="005168D8" w:rsidP="005168D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el </w:t>
      </w:r>
      <w:r>
        <w:rPr>
          <w:rFonts w:eastAsia="Palatino Linotype" w:cs="Palatino Linotype"/>
          <w:color w:val="000000"/>
          <w:szCs w:val="24"/>
        </w:rPr>
        <w:t>día doce de febrero de dos mil veinticuatro</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00830/INFOEM/IP/RR/2024</w:t>
      </w:r>
      <w:r w:rsidRPr="006922F5">
        <w:rPr>
          <w:rFonts w:eastAsia="Palatino Linotype" w:cs="Palatino Linotype"/>
          <w:color w:val="000000"/>
          <w:szCs w:val="24"/>
        </w:rPr>
        <w:t>, manifestando lo siguiente:</w:t>
      </w:r>
    </w:p>
    <w:p w14:paraId="15BEF95B" w14:textId="77777777" w:rsidR="005168D8" w:rsidRPr="006922F5" w:rsidRDefault="005168D8" w:rsidP="005168D8">
      <w:pPr>
        <w:pBdr>
          <w:top w:val="nil"/>
          <w:left w:val="nil"/>
          <w:bottom w:val="nil"/>
          <w:right w:val="nil"/>
          <w:between w:val="nil"/>
        </w:pBdr>
        <w:contextualSpacing/>
        <w:rPr>
          <w:rFonts w:eastAsia="Palatino Linotype" w:cs="Palatino Linotype"/>
          <w:color w:val="000000"/>
          <w:szCs w:val="24"/>
        </w:rPr>
      </w:pPr>
    </w:p>
    <w:p w14:paraId="5A70CA2F" w14:textId="77777777" w:rsidR="005168D8" w:rsidRPr="006922F5" w:rsidRDefault="005168D8" w:rsidP="005168D8">
      <w:pPr>
        <w:contextualSpacing/>
        <w:rPr>
          <w:rFonts w:eastAsia="Palatino Linotype" w:cs="Palatino Linotype"/>
          <w:b/>
        </w:rPr>
      </w:pPr>
      <w:r w:rsidRPr="006922F5">
        <w:rPr>
          <w:rFonts w:eastAsia="Palatino Linotype" w:cs="Palatino Linotype"/>
          <w:b/>
        </w:rPr>
        <w:t xml:space="preserve">Acto Impugnado: </w:t>
      </w:r>
    </w:p>
    <w:p w14:paraId="34095AC5" w14:textId="77777777" w:rsidR="005168D8" w:rsidRPr="00C47FB8" w:rsidRDefault="005168D8" w:rsidP="005168D8">
      <w:pPr>
        <w:pStyle w:val="Fundamentos"/>
        <w:rPr>
          <w:b/>
          <w:szCs w:val="22"/>
        </w:rPr>
      </w:pPr>
      <w:r w:rsidRPr="001F3C35">
        <w:rPr>
          <w:sz w:val="24"/>
        </w:rPr>
        <w:t>“</w:t>
      </w:r>
      <w:r w:rsidR="001F3C35" w:rsidRPr="001F3C35">
        <w:rPr>
          <w:sz w:val="24"/>
        </w:rPr>
        <w:t xml:space="preserve">El motivo de la queja es derivada a que los </w:t>
      </w:r>
      <w:proofErr w:type="spellStart"/>
      <w:r w:rsidR="001F3C35" w:rsidRPr="001F3C35">
        <w:rPr>
          <w:sz w:val="24"/>
        </w:rPr>
        <w:t>hipervinculos</w:t>
      </w:r>
      <w:proofErr w:type="spellEnd"/>
      <w:r w:rsidR="001F3C35" w:rsidRPr="001F3C35">
        <w:rPr>
          <w:sz w:val="24"/>
        </w:rPr>
        <w:t xml:space="preserve"> que se citan en el oficio de respuesta no permiten el acceso a la ciudadanía. No omitiendo mencionar que EXCLUSIVAMENTE se </w:t>
      </w:r>
      <w:proofErr w:type="spellStart"/>
      <w:r w:rsidR="001F3C35" w:rsidRPr="001F3C35">
        <w:rPr>
          <w:sz w:val="24"/>
        </w:rPr>
        <w:t>esta</w:t>
      </w:r>
      <w:proofErr w:type="spellEnd"/>
      <w:r w:rsidR="001F3C35" w:rsidRPr="001F3C35">
        <w:rPr>
          <w:sz w:val="24"/>
        </w:rPr>
        <w:t xml:space="preserve"> solicitando información de los estados de </w:t>
      </w:r>
      <w:proofErr w:type="spellStart"/>
      <w:r w:rsidR="001F3C35" w:rsidRPr="001F3C35">
        <w:rPr>
          <w:sz w:val="24"/>
        </w:rPr>
        <w:t>nomina</w:t>
      </w:r>
      <w:proofErr w:type="spellEnd"/>
      <w:r w:rsidR="001F3C35" w:rsidRPr="001F3C35">
        <w:rPr>
          <w:sz w:val="24"/>
        </w:rPr>
        <w:t xml:space="preserve"> del mes de DICIEMBRE de los titulares de las direcciones correspondientes a: Desarrollo Social, DIF San José del Rincón, Administración y Tesorería. Razón por la cual solicito recurso de revisión porque la información proporcionada no corresponde a lo antes solicitado.</w:t>
      </w:r>
      <w:r w:rsidRPr="001F3C35">
        <w:rPr>
          <w:sz w:val="24"/>
        </w:rPr>
        <w:t>”</w:t>
      </w:r>
      <w:proofErr w:type="gramStart"/>
      <w:r w:rsidR="001F3C35">
        <w:rPr>
          <w:sz w:val="24"/>
        </w:rPr>
        <w:t>(</w:t>
      </w:r>
      <w:r w:rsidRPr="00C47FB8">
        <w:rPr>
          <w:szCs w:val="22"/>
        </w:rPr>
        <w:t xml:space="preserve"> Sic</w:t>
      </w:r>
      <w:proofErr w:type="gramEnd"/>
      <w:r w:rsidRPr="00C47FB8">
        <w:rPr>
          <w:szCs w:val="22"/>
        </w:rPr>
        <w:t>)</w:t>
      </w:r>
    </w:p>
    <w:p w14:paraId="65EC0E68" w14:textId="77777777" w:rsidR="005168D8" w:rsidRPr="006922F5" w:rsidRDefault="005168D8" w:rsidP="005168D8">
      <w:pPr>
        <w:contextualSpacing/>
        <w:rPr>
          <w:rFonts w:eastAsia="Palatino Linotype" w:cs="Palatino Linotype"/>
          <w:iCs/>
          <w:szCs w:val="24"/>
        </w:rPr>
      </w:pPr>
    </w:p>
    <w:p w14:paraId="2BF199A1" w14:textId="77777777" w:rsidR="005168D8" w:rsidRDefault="001F3C35" w:rsidP="001F3C35">
      <w:pPr>
        <w:contextualSpacing/>
        <w:rPr>
          <w:rFonts w:eastAsia="Palatino Linotype" w:cs="Palatino Linotype"/>
        </w:rPr>
      </w:pPr>
      <w:r>
        <w:rPr>
          <w:rFonts w:eastAsia="Palatino Linotype" w:cs="Palatino Linotype"/>
          <w:b/>
        </w:rPr>
        <w:t>No preciso razones o motivos de i</w:t>
      </w:r>
      <w:r w:rsidR="005168D8" w:rsidRPr="006922F5">
        <w:rPr>
          <w:rFonts w:eastAsia="Palatino Linotype" w:cs="Palatino Linotype"/>
          <w:b/>
        </w:rPr>
        <w:t>nconformidad</w:t>
      </w:r>
      <w:r>
        <w:rPr>
          <w:rFonts w:eastAsia="Palatino Linotype" w:cs="Palatino Linotype"/>
          <w:b/>
        </w:rPr>
        <w:t>.</w:t>
      </w:r>
    </w:p>
    <w:p w14:paraId="6E9F73E7" w14:textId="77777777" w:rsidR="001F3C35" w:rsidRPr="001F3C35" w:rsidRDefault="001F3C35" w:rsidP="001F3C35">
      <w:pPr>
        <w:contextualSpacing/>
        <w:rPr>
          <w:rFonts w:eastAsia="Palatino Linotype" w:cs="Palatino Linotype"/>
        </w:rPr>
      </w:pPr>
    </w:p>
    <w:p w14:paraId="762E4A85" w14:textId="77777777" w:rsidR="005168D8" w:rsidRPr="006922F5" w:rsidRDefault="005168D8" w:rsidP="005168D8">
      <w:pPr>
        <w:pStyle w:val="Ttulo2"/>
        <w:rPr>
          <w:rFonts w:eastAsia="Palatino Linotype"/>
        </w:rPr>
      </w:pPr>
      <w:r>
        <w:rPr>
          <w:rFonts w:eastAsia="Palatino Linotype"/>
        </w:rPr>
        <w:t>CUARTO</w:t>
      </w:r>
      <w:r w:rsidRPr="006922F5">
        <w:rPr>
          <w:rFonts w:eastAsia="Palatino Linotype"/>
        </w:rPr>
        <w:t>. Del turno y admisión del recurso de revisión.</w:t>
      </w:r>
    </w:p>
    <w:p w14:paraId="68EDB5D8" w14:textId="77777777" w:rsidR="005168D8" w:rsidRPr="006922F5" w:rsidRDefault="005168D8" w:rsidP="005168D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Comisionado Presidente José Martínez Vilchis</w:t>
      </w:r>
      <w:r w:rsidRPr="006922F5">
        <w:rPr>
          <w:rFonts w:eastAsia="Palatino Linotype" w:cs="Palatino Linotype"/>
          <w:color w:val="000000"/>
          <w:szCs w:val="24"/>
        </w:rPr>
        <w:t xml:space="preserve">, por medio del sistema electrónico en términos del numeral 185 fracción I de la </w:t>
      </w:r>
      <w:r w:rsidRPr="006922F5">
        <w:rPr>
          <w:rFonts w:eastAsia="Palatino Linotype" w:cs="Palatino Linotype"/>
          <w:color w:val="000000"/>
          <w:szCs w:val="24"/>
        </w:rPr>
        <w:lastRenderedPageBreak/>
        <w:t>Ley de Transparencia y Acceso a la información Pública del Estado de México y Municipios, al cual recayó acuerdo de admisión de fecha</w:t>
      </w:r>
      <w:r w:rsidR="001F3C35">
        <w:rPr>
          <w:rFonts w:eastAsia="Palatino Linotype" w:cs="Palatino Linotype"/>
          <w:b/>
          <w:color w:val="000000"/>
          <w:szCs w:val="24"/>
        </w:rPr>
        <w:t xml:space="preserve"> quince de febrero de dos mil veinticuatro</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0265FE1B" w14:textId="77777777" w:rsidR="005168D8" w:rsidRPr="006922F5" w:rsidRDefault="005168D8" w:rsidP="005168D8">
      <w:pPr>
        <w:pBdr>
          <w:top w:val="nil"/>
          <w:left w:val="nil"/>
          <w:bottom w:val="nil"/>
          <w:right w:val="nil"/>
          <w:between w:val="nil"/>
        </w:pBdr>
        <w:contextualSpacing/>
        <w:rPr>
          <w:rFonts w:eastAsia="Palatino Linotype" w:cs="Palatino Linotype"/>
          <w:color w:val="000000"/>
          <w:szCs w:val="24"/>
        </w:rPr>
      </w:pPr>
    </w:p>
    <w:p w14:paraId="1DD21519" w14:textId="77777777" w:rsidR="005168D8" w:rsidRPr="006922F5" w:rsidRDefault="005168D8" w:rsidP="005168D8">
      <w:pPr>
        <w:pStyle w:val="Ttulo2"/>
        <w:rPr>
          <w:rFonts w:eastAsia="Palatino Linotype"/>
        </w:rPr>
      </w:pPr>
      <w:r w:rsidRPr="007B07B7">
        <w:rPr>
          <w:rFonts w:eastAsia="Palatino Linotype"/>
        </w:rPr>
        <w:t>QUINTO. De la etapa de instrucción.</w:t>
      </w:r>
    </w:p>
    <w:p w14:paraId="1F8017E9" w14:textId="77777777" w:rsidR="005168D8" w:rsidRPr="009849E0" w:rsidRDefault="005168D8" w:rsidP="005168D8">
      <w:pPr>
        <w:pBdr>
          <w:top w:val="nil"/>
          <w:left w:val="nil"/>
          <w:bottom w:val="nil"/>
          <w:right w:val="nil"/>
          <w:between w:val="nil"/>
        </w:pBdr>
        <w:contextualSpacing/>
        <w:rPr>
          <w:rFonts w:eastAsia="Palatino Linotype" w:cs="Palatino Linotype"/>
          <w:color w:val="000000"/>
          <w:szCs w:val="24"/>
        </w:rPr>
      </w:pPr>
      <w:r w:rsidRPr="006F65AC">
        <w:rPr>
          <w:rFonts w:eastAsia="Palatino Linotype" w:cs="Palatino Linotype"/>
          <w:color w:val="000000"/>
          <w:szCs w:val="24"/>
        </w:rPr>
        <w:t>Una vez a</w:t>
      </w:r>
      <w:r>
        <w:rPr>
          <w:rFonts w:eastAsia="Palatino Linotype" w:cs="Palatino Linotype"/>
          <w:color w:val="000000"/>
          <w:szCs w:val="24"/>
        </w:rPr>
        <w:t xml:space="preserve">bierta la etapa de instrucción, el Sujeto Obligado </w:t>
      </w:r>
      <w:r w:rsidR="001F3C35">
        <w:rPr>
          <w:rFonts w:eastAsia="Palatino Linotype" w:cs="Palatino Linotype"/>
          <w:color w:val="000000"/>
          <w:szCs w:val="24"/>
        </w:rPr>
        <w:t>rindió</w:t>
      </w:r>
      <w:r>
        <w:rPr>
          <w:rFonts w:eastAsia="Palatino Linotype" w:cs="Palatino Linotype"/>
          <w:color w:val="000000"/>
          <w:szCs w:val="24"/>
        </w:rPr>
        <w:t xml:space="preserve"> </w:t>
      </w:r>
      <w:r w:rsidRPr="006F65AC">
        <w:rPr>
          <w:rFonts w:eastAsia="Palatino Linotype" w:cs="Palatino Linotype"/>
          <w:color w:val="000000"/>
          <w:szCs w:val="24"/>
        </w:rPr>
        <w:t>su Informe Justificado</w:t>
      </w:r>
      <w:r w:rsidR="001F3C35">
        <w:rPr>
          <w:rFonts w:eastAsia="Palatino Linotype" w:cs="Palatino Linotype"/>
          <w:color w:val="000000"/>
          <w:szCs w:val="24"/>
        </w:rPr>
        <w:t xml:space="preserve"> por medio del archivo electrónico </w:t>
      </w:r>
      <w:hyperlink r:id="rId8" w:history="1">
        <w:r w:rsidR="001F3C35" w:rsidRPr="001F3C35">
          <w:rPr>
            <w:rStyle w:val="Hipervnculo"/>
            <w:rFonts w:cs="Arial"/>
            <w:b/>
            <w:bCs/>
            <w:i/>
            <w:color w:val="auto"/>
            <w:szCs w:val="24"/>
          </w:rPr>
          <w:t>00830INFOEMIPRR2024.pd</w:t>
        </w:r>
      </w:hyperlink>
      <w:r w:rsidR="001F3C35" w:rsidRPr="001F3C35">
        <w:rPr>
          <w:i/>
          <w:szCs w:val="24"/>
        </w:rPr>
        <w:t>f</w:t>
      </w:r>
      <w:r w:rsidR="001F3C35">
        <w:rPr>
          <w:rFonts w:eastAsia="Palatino Linotype" w:cs="Palatino Linotype"/>
          <w:color w:val="000000"/>
          <w:szCs w:val="24"/>
        </w:rPr>
        <w:t xml:space="preserve"> el cual será analizado en el considerando respectivo, del mismo modo  fue puesto a la vista del recurrente</w:t>
      </w:r>
      <w:r>
        <w:rPr>
          <w:rFonts w:eastAsia="Palatino Linotype" w:cs="Palatino Linotype"/>
          <w:color w:val="000000"/>
          <w:szCs w:val="24"/>
        </w:rPr>
        <w:t>. Por su</w:t>
      </w:r>
      <w:r w:rsidRPr="006F65AC">
        <w:rPr>
          <w:rFonts w:eastAsia="Palatino Linotype" w:cs="Palatino Linotype"/>
          <w:color w:val="000000"/>
          <w:szCs w:val="24"/>
        </w:rPr>
        <w:t xml:space="preserve"> parte, </w:t>
      </w:r>
      <w:r>
        <w:rPr>
          <w:rFonts w:eastAsia="Palatino Linotype" w:cs="Palatino Linotype"/>
          <w:color w:val="000000"/>
          <w:szCs w:val="24"/>
        </w:rPr>
        <w:t xml:space="preserve">el Recurrente no realizó manifestaciones, vertió alegatos ni presentó pruebas que a su derecho convinieran. </w:t>
      </w:r>
    </w:p>
    <w:p w14:paraId="1021F620" w14:textId="77777777" w:rsidR="005168D8" w:rsidRPr="006922F5" w:rsidRDefault="005168D8" w:rsidP="005168D8">
      <w:pPr>
        <w:pBdr>
          <w:top w:val="nil"/>
          <w:left w:val="nil"/>
          <w:bottom w:val="nil"/>
          <w:right w:val="nil"/>
          <w:between w:val="nil"/>
        </w:pBdr>
        <w:contextualSpacing/>
        <w:rPr>
          <w:rFonts w:eastAsia="Palatino Linotype" w:cs="Palatino Linotype"/>
          <w:color w:val="000000"/>
          <w:szCs w:val="24"/>
        </w:rPr>
      </w:pPr>
    </w:p>
    <w:p w14:paraId="01EBF11C" w14:textId="77777777" w:rsidR="005168D8" w:rsidRPr="006922F5" w:rsidRDefault="005168D8" w:rsidP="005168D8">
      <w:pPr>
        <w:pStyle w:val="Ttulo2"/>
        <w:rPr>
          <w:rFonts w:eastAsia="Palatino Linotype"/>
        </w:rPr>
      </w:pPr>
      <w:r w:rsidRPr="006922F5">
        <w:rPr>
          <w:rFonts w:eastAsia="Palatino Linotype"/>
        </w:rPr>
        <w:t>S</w:t>
      </w:r>
      <w:r>
        <w:rPr>
          <w:rFonts w:eastAsia="Palatino Linotype"/>
        </w:rPr>
        <w:t>EXTO</w:t>
      </w:r>
      <w:r w:rsidRPr="006922F5">
        <w:rPr>
          <w:rFonts w:eastAsia="Palatino Linotype"/>
        </w:rPr>
        <w:t>. Del cierre de instrucción.</w:t>
      </w:r>
    </w:p>
    <w:p w14:paraId="538D7D96" w14:textId="77777777" w:rsidR="005168D8" w:rsidRDefault="005168D8" w:rsidP="005168D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 en fecha</w:t>
      </w:r>
      <w:r w:rsidR="001F3C35">
        <w:rPr>
          <w:rFonts w:eastAsia="Palatino Linotype" w:cs="Palatino Linotype"/>
          <w:b/>
          <w:color w:val="000000"/>
          <w:szCs w:val="24"/>
        </w:rPr>
        <w:t xml:space="preserve"> cinc</w:t>
      </w:r>
      <w:r w:rsidR="008F3790">
        <w:rPr>
          <w:rFonts w:eastAsia="Palatino Linotype" w:cs="Palatino Linotype"/>
          <w:b/>
          <w:color w:val="000000"/>
          <w:szCs w:val="24"/>
        </w:rPr>
        <w:t>o de marzo de dos mil veinticuatro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7617C918" w14:textId="77777777" w:rsidR="005168D8" w:rsidRPr="00576D4E" w:rsidRDefault="005168D8" w:rsidP="005168D8">
      <w:pPr>
        <w:pBdr>
          <w:top w:val="nil"/>
          <w:left w:val="nil"/>
          <w:bottom w:val="nil"/>
          <w:right w:val="nil"/>
          <w:between w:val="nil"/>
        </w:pBdr>
        <w:contextualSpacing/>
        <w:rPr>
          <w:rFonts w:eastAsia="Palatino Linotype" w:cs="Palatino Linotype"/>
          <w:color w:val="000000"/>
          <w:szCs w:val="24"/>
        </w:rPr>
      </w:pPr>
    </w:p>
    <w:p w14:paraId="098A9A41" w14:textId="77777777" w:rsidR="005168D8" w:rsidRDefault="005168D8" w:rsidP="005168D8">
      <w:pPr>
        <w:pStyle w:val="Ttulo1"/>
        <w:rPr>
          <w:rFonts w:eastAsia="Palatino Linotype"/>
          <w:lang w:val="es-ES_tradnl"/>
        </w:rPr>
      </w:pPr>
      <w:r w:rsidRPr="006922F5">
        <w:rPr>
          <w:rFonts w:eastAsia="Palatino Linotype"/>
          <w:lang w:val="es-ES_tradnl"/>
        </w:rPr>
        <w:t>C O N S I D E R A N D O</w:t>
      </w:r>
    </w:p>
    <w:p w14:paraId="254C5EE5" w14:textId="77777777" w:rsidR="008F3790" w:rsidRPr="008F3790" w:rsidRDefault="008F3790" w:rsidP="008F3790">
      <w:pPr>
        <w:rPr>
          <w:lang w:eastAsia="es-ES"/>
        </w:rPr>
      </w:pPr>
    </w:p>
    <w:p w14:paraId="7DE14244" w14:textId="77777777" w:rsidR="005168D8" w:rsidRPr="00192B25" w:rsidRDefault="005168D8" w:rsidP="005168D8">
      <w:pPr>
        <w:spacing w:before="240" w:after="160"/>
        <w:rPr>
          <w:rFonts w:eastAsia="Times New Roman" w:cs="Arial"/>
          <w:lang w:val="es-MX" w:eastAsia="en-US"/>
        </w:rPr>
      </w:pPr>
      <w:r w:rsidRPr="00192B25">
        <w:rPr>
          <w:rFonts w:eastAsia="Times New Roman" w:cs="Arial"/>
          <w:b/>
          <w:sz w:val="28"/>
          <w:lang w:val="es-MX" w:eastAsia="en-US"/>
        </w:rPr>
        <w:t>PRIMERO.</w:t>
      </w:r>
      <w:r w:rsidRPr="00192B25">
        <w:rPr>
          <w:rFonts w:eastAsia="Times New Roman" w:cs="Arial"/>
          <w:b/>
          <w:sz w:val="22"/>
          <w:lang w:val="es-MX" w:eastAsia="en-US"/>
        </w:rPr>
        <w:t xml:space="preserve"> </w:t>
      </w:r>
      <w:r w:rsidRPr="00192B25">
        <w:rPr>
          <w:rFonts w:eastAsia="Times New Roman" w:cs="Arial"/>
          <w:b/>
          <w:sz w:val="28"/>
          <w:szCs w:val="28"/>
          <w:lang w:val="es-MX" w:eastAsia="en-US"/>
        </w:rPr>
        <w:t>De la competencia</w:t>
      </w:r>
      <w:r w:rsidRPr="00192B25">
        <w:rPr>
          <w:rFonts w:eastAsia="Times New Roman" w:cs="Arial"/>
          <w:sz w:val="28"/>
          <w:szCs w:val="28"/>
          <w:lang w:val="es-MX" w:eastAsia="en-US"/>
        </w:rPr>
        <w:t>.</w:t>
      </w:r>
    </w:p>
    <w:p w14:paraId="45B82B0E" w14:textId="77777777" w:rsidR="005168D8" w:rsidRPr="00192B25" w:rsidRDefault="005168D8" w:rsidP="005168D8">
      <w:pPr>
        <w:autoSpaceDE w:val="0"/>
        <w:autoSpaceDN w:val="0"/>
        <w:adjustRightInd w:val="0"/>
        <w:spacing w:before="240" w:after="160"/>
        <w:rPr>
          <w:rFonts w:eastAsia="Times New Roman" w:cs="Arial"/>
          <w:bCs/>
          <w:szCs w:val="24"/>
          <w:lang w:val="es-ES" w:eastAsia="es-ES"/>
        </w:rPr>
      </w:pPr>
      <w:r w:rsidRPr="00192B25">
        <w:rPr>
          <w:rFonts w:eastAsia="Times New Roman" w:cs="Arial"/>
          <w:bCs/>
          <w:szCs w:val="24"/>
          <w:lang w:val="es-ES" w:eastAsia="es-ES"/>
        </w:rPr>
        <w:lastRenderedPageBreak/>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55897C5" w14:textId="77777777" w:rsidR="005168D8" w:rsidRPr="00192B25" w:rsidRDefault="005168D8" w:rsidP="005168D8">
      <w:pPr>
        <w:autoSpaceDE w:val="0"/>
        <w:autoSpaceDN w:val="0"/>
        <w:adjustRightInd w:val="0"/>
        <w:spacing w:before="240" w:after="160"/>
        <w:rPr>
          <w:rFonts w:eastAsia="Times New Roman" w:cs="Arial"/>
          <w:b/>
          <w:szCs w:val="24"/>
          <w:lang w:val="es-ES" w:eastAsia="es-ES"/>
        </w:rPr>
      </w:pPr>
      <w:r w:rsidRPr="00192B25">
        <w:rPr>
          <w:rFonts w:eastAsia="Times New Roman" w:cs="Arial"/>
          <w:b/>
          <w:sz w:val="28"/>
          <w:szCs w:val="24"/>
          <w:lang w:val="es-ES" w:eastAsia="es-ES"/>
        </w:rPr>
        <w:t>SEGUNDO</w:t>
      </w:r>
      <w:r w:rsidRPr="00192B25">
        <w:rPr>
          <w:rFonts w:eastAsia="Times New Roman" w:cs="Arial"/>
          <w:b/>
          <w:szCs w:val="24"/>
          <w:lang w:val="es-ES" w:eastAsia="es-ES"/>
        </w:rPr>
        <w:t xml:space="preserve">. </w:t>
      </w:r>
      <w:r w:rsidRPr="00192B25">
        <w:rPr>
          <w:rFonts w:eastAsia="Times New Roman" w:cs="Arial"/>
          <w:b/>
          <w:sz w:val="28"/>
          <w:szCs w:val="28"/>
          <w:lang w:val="es-ES" w:eastAsia="es-ES"/>
        </w:rPr>
        <w:t>Sobre los alcances del recurso de revisión.</w:t>
      </w:r>
      <w:r w:rsidRPr="00192B25">
        <w:rPr>
          <w:rFonts w:eastAsia="Times New Roman" w:cs="Arial"/>
          <w:b/>
          <w:szCs w:val="24"/>
          <w:lang w:val="es-ES" w:eastAsia="es-ES"/>
        </w:rPr>
        <w:t xml:space="preserve"> </w:t>
      </w:r>
    </w:p>
    <w:p w14:paraId="72C338AE" w14:textId="77777777" w:rsidR="005168D8" w:rsidRPr="00192B25" w:rsidRDefault="005168D8" w:rsidP="005168D8">
      <w:pPr>
        <w:autoSpaceDE w:val="0"/>
        <w:autoSpaceDN w:val="0"/>
        <w:adjustRightInd w:val="0"/>
        <w:spacing w:before="240" w:after="160"/>
        <w:rPr>
          <w:rFonts w:eastAsia="Times New Roman" w:cs="Arial"/>
          <w:szCs w:val="24"/>
          <w:lang w:val="es-ES" w:eastAsia="es-ES"/>
        </w:rPr>
      </w:pPr>
      <w:r w:rsidRPr="00192B25">
        <w:rPr>
          <w:rFonts w:eastAsia="Times New Roman" w:cs="Arial"/>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6625C6D" w14:textId="77777777" w:rsidR="005168D8" w:rsidRPr="004D5CA5" w:rsidRDefault="005168D8" w:rsidP="005168D8">
      <w:pPr>
        <w:autoSpaceDE w:val="0"/>
        <w:autoSpaceDN w:val="0"/>
        <w:adjustRightInd w:val="0"/>
        <w:rPr>
          <w:rFonts w:eastAsiaTheme="minorHAnsi" w:cs="Arial"/>
          <w:b/>
          <w:sz w:val="28"/>
          <w:lang w:val="es-MX" w:eastAsia="en-US"/>
        </w:rPr>
      </w:pPr>
      <w:r w:rsidRPr="00192B25">
        <w:rPr>
          <w:rFonts w:eastAsia="Times New Roman" w:cs="Arial"/>
          <w:b/>
          <w:sz w:val="28"/>
          <w:lang w:val="es-MX" w:eastAsia="en-US"/>
        </w:rPr>
        <w:t>TERCERO.</w:t>
      </w:r>
      <w:r>
        <w:rPr>
          <w:rFonts w:eastAsia="Times New Roman" w:cs="Arial"/>
          <w:b/>
          <w:sz w:val="28"/>
          <w:lang w:val="es-MX" w:eastAsia="en-US"/>
        </w:rPr>
        <w:t xml:space="preserve"> </w:t>
      </w:r>
      <w:r w:rsidRPr="004D5CA5">
        <w:rPr>
          <w:rFonts w:eastAsiaTheme="minorHAnsi" w:cs="Arial"/>
          <w:b/>
          <w:sz w:val="28"/>
          <w:lang w:val="es-MX" w:eastAsia="en-US"/>
        </w:rPr>
        <w:t xml:space="preserve">Del estudio de las causas de improcedencia. </w:t>
      </w:r>
    </w:p>
    <w:p w14:paraId="4680AD1F" w14:textId="77777777" w:rsidR="005168D8" w:rsidRPr="004D5CA5" w:rsidRDefault="005168D8" w:rsidP="005168D8">
      <w:pPr>
        <w:autoSpaceDE w:val="0"/>
        <w:autoSpaceDN w:val="0"/>
        <w:adjustRightInd w:val="0"/>
        <w:rPr>
          <w:rFonts w:eastAsiaTheme="minorHAnsi" w:cs="Arial"/>
          <w:lang w:val="es-MX" w:eastAsia="en-US"/>
        </w:rPr>
      </w:pPr>
      <w:r w:rsidRPr="004D5CA5">
        <w:rPr>
          <w:rFonts w:eastAsiaTheme="minorHAnsi" w:cs="Arial"/>
          <w:lang w:val="es-MX" w:eastAsia="en-US"/>
        </w:rPr>
        <w:lastRenderedPageBreak/>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D5CA5">
        <w:rPr>
          <w:rStyle w:val="Refdenotaalpie"/>
          <w:rFonts w:eastAsiaTheme="minorHAnsi" w:cs="Arial"/>
          <w:lang w:val="es-MX" w:eastAsia="en-US"/>
        </w:rPr>
        <w:footnoteReference w:id="1"/>
      </w:r>
      <w:r w:rsidRPr="004D5CA5">
        <w:rPr>
          <w:rFonts w:eastAsiaTheme="minorHAnsi" w:cs="Arial"/>
          <w:lang w:val="es-MX" w:eastAsia="en-US"/>
        </w:rPr>
        <w:t>.</w:t>
      </w:r>
    </w:p>
    <w:p w14:paraId="517E4AD6" w14:textId="77777777" w:rsidR="005168D8" w:rsidRPr="004D5CA5" w:rsidRDefault="005168D8" w:rsidP="005168D8">
      <w:pPr>
        <w:autoSpaceDE w:val="0"/>
        <w:autoSpaceDN w:val="0"/>
        <w:adjustRightInd w:val="0"/>
        <w:rPr>
          <w:rFonts w:eastAsiaTheme="minorHAnsi" w:cs="Arial"/>
          <w:lang w:val="es-MX" w:eastAsia="en-US"/>
        </w:rPr>
      </w:pPr>
      <w:r w:rsidRPr="004D5CA5">
        <w:rPr>
          <w:rFonts w:eastAsiaTheme="minorHAnsi" w:cs="Arial"/>
          <w:lang w:val="es-MX" w:eastAsia="en-US"/>
        </w:rPr>
        <w:t>Por lo que una vez que se analizó el expediente en estudio se cae en la cuenta de que no se actualiza ninguna de las casuales a continuación transcritas:</w:t>
      </w:r>
    </w:p>
    <w:p w14:paraId="7509E601" w14:textId="77777777" w:rsidR="005168D8" w:rsidRPr="004D5CA5" w:rsidRDefault="005168D8" w:rsidP="005168D8">
      <w:pPr>
        <w:rPr>
          <w:lang w:val="es-MX"/>
        </w:rPr>
      </w:pPr>
    </w:p>
    <w:p w14:paraId="17C9B4A5" w14:textId="77777777" w:rsidR="005168D8" w:rsidRPr="004D5CA5" w:rsidRDefault="005168D8" w:rsidP="005168D8">
      <w:pPr>
        <w:autoSpaceDE w:val="0"/>
        <w:autoSpaceDN w:val="0"/>
        <w:adjustRightInd w:val="0"/>
        <w:ind w:left="708" w:right="850"/>
        <w:rPr>
          <w:rFonts w:cs="Arial"/>
          <w:i/>
          <w:sz w:val="22"/>
        </w:rPr>
      </w:pPr>
      <w:r w:rsidRPr="004D5CA5">
        <w:rPr>
          <w:rFonts w:cs="Arial"/>
          <w:i/>
          <w:sz w:val="22"/>
        </w:rPr>
        <w:lastRenderedPageBreak/>
        <w:t>“</w:t>
      </w:r>
      <w:r w:rsidRPr="004D5CA5">
        <w:rPr>
          <w:rFonts w:cs="Arial"/>
          <w:b/>
          <w:i/>
          <w:sz w:val="22"/>
        </w:rPr>
        <w:t>Artículo 191.</w:t>
      </w:r>
      <w:r w:rsidRPr="004D5CA5">
        <w:rPr>
          <w:rFonts w:cs="Arial"/>
          <w:i/>
          <w:sz w:val="22"/>
        </w:rPr>
        <w:t xml:space="preserve"> El recurso será desechado por improcedente cuando:  </w:t>
      </w:r>
    </w:p>
    <w:p w14:paraId="3023D038" w14:textId="77777777" w:rsidR="005168D8" w:rsidRPr="004D5CA5" w:rsidRDefault="005168D8" w:rsidP="005168D8">
      <w:pPr>
        <w:autoSpaceDE w:val="0"/>
        <w:autoSpaceDN w:val="0"/>
        <w:adjustRightInd w:val="0"/>
        <w:ind w:left="708" w:right="850"/>
        <w:rPr>
          <w:rFonts w:cs="Arial"/>
          <w:i/>
          <w:sz w:val="22"/>
        </w:rPr>
      </w:pPr>
      <w:r w:rsidRPr="004D5CA5">
        <w:rPr>
          <w:rFonts w:cs="Arial"/>
          <w:i/>
          <w:sz w:val="22"/>
        </w:rPr>
        <w:t xml:space="preserve">I. Sea extemporáneo por haber transcurrido el plazo establecido en la presente Ley, a partir de la respuesta;  </w:t>
      </w:r>
    </w:p>
    <w:p w14:paraId="68F7C99C" w14:textId="77777777" w:rsidR="005168D8" w:rsidRPr="004D5CA5" w:rsidRDefault="005168D8" w:rsidP="005168D8">
      <w:pPr>
        <w:autoSpaceDE w:val="0"/>
        <w:autoSpaceDN w:val="0"/>
        <w:adjustRightInd w:val="0"/>
        <w:ind w:left="708" w:right="850"/>
        <w:rPr>
          <w:rFonts w:cs="Arial"/>
          <w:i/>
          <w:sz w:val="22"/>
        </w:rPr>
      </w:pPr>
      <w:r w:rsidRPr="004D5CA5">
        <w:rPr>
          <w:rFonts w:cs="Arial"/>
          <w:i/>
          <w:sz w:val="22"/>
        </w:rPr>
        <w:t xml:space="preserve">II. Se esté tramitando ante el Poder Judicial de la Federación algún recurso o medio de defensa interpuesto por el recurrente;  </w:t>
      </w:r>
    </w:p>
    <w:p w14:paraId="04FE5AA4" w14:textId="77777777" w:rsidR="005168D8" w:rsidRPr="004D5CA5" w:rsidRDefault="005168D8" w:rsidP="005168D8">
      <w:pPr>
        <w:autoSpaceDE w:val="0"/>
        <w:autoSpaceDN w:val="0"/>
        <w:adjustRightInd w:val="0"/>
        <w:ind w:left="708" w:right="850"/>
        <w:rPr>
          <w:rFonts w:cs="Arial"/>
          <w:i/>
          <w:sz w:val="22"/>
        </w:rPr>
      </w:pPr>
      <w:r w:rsidRPr="004D5CA5">
        <w:rPr>
          <w:rFonts w:cs="Arial"/>
          <w:i/>
          <w:sz w:val="22"/>
        </w:rPr>
        <w:t xml:space="preserve">III. No actualice alguno de los supuestos previstos en la presente Ley;  </w:t>
      </w:r>
    </w:p>
    <w:p w14:paraId="2CE7E772" w14:textId="77777777" w:rsidR="005168D8" w:rsidRPr="004D5CA5" w:rsidRDefault="005168D8" w:rsidP="005168D8">
      <w:pPr>
        <w:autoSpaceDE w:val="0"/>
        <w:autoSpaceDN w:val="0"/>
        <w:adjustRightInd w:val="0"/>
        <w:ind w:left="708" w:right="850"/>
        <w:rPr>
          <w:rFonts w:cs="Arial"/>
          <w:i/>
          <w:sz w:val="22"/>
        </w:rPr>
      </w:pPr>
      <w:r w:rsidRPr="004D5CA5">
        <w:rPr>
          <w:rFonts w:cs="Arial"/>
          <w:i/>
          <w:sz w:val="22"/>
        </w:rPr>
        <w:t>IV. No se haya desahogado la prevención en los términos establecidos en la presente Ley;</w:t>
      </w:r>
    </w:p>
    <w:p w14:paraId="57A6DE26" w14:textId="77777777" w:rsidR="005168D8" w:rsidRPr="004D5CA5" w:rsidRDefault="005168D8" w:rsidP="005168D8">
      <w:pPr>
        <w:autoSpaceDE w:val="0"/>
        <w:autoSpaceDN w:val="0"/>
        <w:adjustRightInd w:val="0"/>
        <w:ind w:left="708" w:right="850"/>
        <w:rPr>
          <w:rFonts w:cs="Arial"/>
          <w:i/>
          <w:sz w:val="22"/>
        </w:rPr>
      </w:pPr>
      <w:r w:rsidRPr="004D5CA5">
        <w:rPr>
          <w:rFonts w:cs="Arial"/>
          <w:i/>
          <w:sz w:val="22"/>
        </w:rPr>
        <w:t xml:space="preserve">V. Se impugne la veracidad de la información proporcionada;  </w:t>
      </w:r>
    </w:p>
    <w:p w14:paraId="37A53A90" w14:textId="77777777" w:rsidR="005168D8" w:rsidRPr="004D5CA5" w:rsidRDefault="005168D8" w:rsidP="005168D8">
      <w:pPr>
        <w:autoSpaceDE w:val="0"/>
        <w:autoSpaceDN w:val="0"/>
        <w:adjustRightInd w:val="0"/>
        <w:ind w:left="708" w:right="850"/>
        <w:rPr>
          <w:rFonts w:cs="Arial"/>
          <w:i/>
          <w:sz w:val="22"/>
        </w:rPr>
      </w:pPr>
      <w:r w:rsidRPr="004D5CA5">
        <w:rPr>
          <w:rFonts w:cs="Arial"/>
          <w:i/>
          <w:sz w:val="22"/>
        </w:rPr>
        <w:t xml:space="preserve">VI. Se trate de una consulta, o trámite en específico; y  </w:t>
      </w:r>
    </w:p>
    <w:p w14:paraId="58C46939" w14:textId="77777777" w:rsidR="005168D8" w:rsidRPr="004D5CA5" w:rsidRDefault="005168D8" w:rsidP="005168D8">
      <w:pPr>
        <w:autoSpaceDE w:val="0"/>
        <w:autoSpaceDN w:val="0"/>
        <w:adjustRightInd w:val="0"/>
        <w:ind w:left="708" w:right="850"/>
        <w:rPr>
          <w:rFonts w:cs="Arial"/>
          <w:i/>
          <w:sz w:val="22"/>
        </w:rPr>
      </w:pPr>
      <w:r w:rsidRPr="004D5CA5">
        <w:rPr>
          <w:rFonts w:cs="Arial"/>
          <w:i/>
          <w:sz w:val="22"/>
        </w:rPr>
        <w:t>VII. El recurrente amplíe su solicitud en el recurso de revisión, únicamente respecto de los nuevos contenidos.”</w:t>
      </w:r>
    </w:p>
    <w:p w14:paraId="0205916B" w14:textId="77777777" w:rsidR="005168D8" w:rsidRPr="004D5CA5" w:rsidRDefault="005168D8" w:rsidP="005168D8">
      <w:pPr>
        <w:autoSpaceDE w:val="0"/>
        <w:autoSpaceDN w:val="0"/>
        <w:adjustRightInd w:val="0"/>
        <w:ind w:left="708" w:right="850"/>
        <w:rPr>
          <w:rFonts w:cs="Arial"/>
          <w:i/>
        </w:rPr>
      </w:pPr>
    </w:p>
    <w:p w14:paraId="2AA863F4" w14:textId="77777777" w:rsidR="005168D8" w:rsidRPr="004D5CA5" w:rsidRDefault="005168D8" w:rsidP="005168D8">
      <w:pPr>
        <w:autoSpaceDE w:val="0"/>
        <w:autoSpaceDN w:val="0"/>
        <w:adjustRightInd w:val="0"/>
        <w:rPr>
          <w:rFonts w:eastAsiaTheme="minorHAnsi" w:cs="Arial"/>
          <w:lang w:val="es-MX" w:eastAsia="en-US"/>
        </w:rPr>
      </w:pPr>
      <w:r w:rsidRPr="004D5CA5">
        <w:rPr>
          <w:rFonts w:eastAsiaTheme="minorHAnsi"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90F5652" w14:textId="77777777" w:rsidR="005168D8" w:rsidRPr="004D5CA5" w:rsidRDefault="005168D8" w:rsidP="005168D8">
      <w:pPr>
        <w:autoSpaceDE w:val="0"/>
        <w:autoSpaceDN w:val="0"/>
        <w:adjustRightInd w:val="0"/>
        <w:rPr>
          <w:rFonts w:eastAsiaTheme="minorHAnsi" w:cs="Arial"/>
          <w:lang w:val="es-MX" w:eastAsia="en-US"/>
        </w:rPr>
      </w:pPr>
    </w:p>
    <w:p w14:paraId="7C6F47A0" w14:textId="77777777" w:rsidR="005168D8" w:rsidRPr="004D5CA5" w:rsidRDefault="005168D8" w:rsidP="005168D8">
      <w:pPr>
        <w:autoSpaceDE w:val="0"/>
        <w:autoSpaceDN w:val="0"/>
        <w:adjustRightInd w:val="0"/>
        <w:rPr>
          <w:rFonts w:cs="Arial"/>
        </w:rPr>
      </w:pPr>
      <w:r w:rsidRPr="004D5CA5">
        <w:rPr>
          <w:rFonts w:cs="Arial"/>
        </w:rPr>
        <w:t xml:space="preserve">Así las cosas, al no existir causas de improcedencia invocadas por las partes ni advertidas de oficio por este Resolutor, se </w:t>
      </w:r>
      <w:proofErr w:type="gramStart"/>
      <w:r w:rsidRPr="004D5CA5">
        <w:rPr>
          <w:rFonts w:cs="Arial"/>
        </w:rPr>
        <w:t>procede</w:t>
      </w:r>
      <w:proofErr w:type="gramEnd"/>
      <w:r w:rsidRPr="004D5CA5">
        <w:rPr>
          <w:rFonts w:cs="Arial"/>
        </w:rPr>
        <w:t xml:space="preserve"> al análisis del fondo de los asuntos en los siguientes términos.</w:t>
      </w:r>
    </w:p>
    <w:p w14:paraId="541BBC09" w14:textId="77777777" w:rsidR="005168D8" w:rsidRDefault="005168D8" w:rsidP="005168D8">
      <w:pPr>
        <w:autoSpaceDE w:val="0"/>
        <w:autoSpaceDN w:val="0"/>
        <w:adjustRightInd w:val="0"/>
        <w:rPr>
          <w:rFonts w:eastAsia="Palatino Linotype"/>
        </w:rPr>
      </w:pPr>
    </w:p>
    <w:p w14:paraId="4709894C" w14:textId="77777777" w:rsidR="005168D8" w:rsidRPr="00192B25" w:rsidRDefault="005168D8" w:rsidP="005168D8">
      <w:pPr>
        <w:pStyle w:val="Ttulo2"/>
        <w:rPr>
          <w:rFonts w:eastAsia="Palatino Linotype"/>
        </w:rPr>
      </w:pPr>
      <w:r>
        <w:rPr>
          <w:rFonts w:eastAsia="Palatino Linotype"/>
        </w:rPr>
        <w:t>CUARTO. Estudio y R</w:t>
      </w:r>
      <w:r w:rsidRPr="006922F5">
        <w:rPr>
          <w:rFonts w:eastAsia="Palatino Linotype"/>
        </w:rPr>
        <w:t>esolución del asunto.</w:t>
      </w:r>
    </w:p>
    <w:p w14:paraId="53E51541" w14:textId="77777777" w:rsidR="005168D8" w:rsidRPr="006922F5" w:rsidRDefault="005168D8" w:rsidP="005168D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w:t>
      </w:r>
      <w:r w:rsidRPr="006922F5">
        <w:rPr>
          <w:rFonts w:eastAsia="Palatino Linotype" w:cs="Palatino Linotype"/>
          <w:color w:val="000000"/>
          <w:szCs w:val="24"/>
        </w:rPr>
        <w:lastRenderedPageBreak/>
        <w:t>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66D46FE" w14:textId="77777777" w:rsidR="005168D8" w:rsidRPr="006922F5" w:rsidRDefault="005168D8" w:rsidP="005168D8">
      <w:pPr>
        <w:pBdr>
          <w:top w:val="nil"/>
          <w:left w:val="nil"/>
          <w:bottom w:val="nil"/>
          <w:right w:val="nil"/>
          <w:between w:val="nil"/>
        </w:pBdr>
        <w:contextualSpacing/>
        <w:rPr>
          <w:rFonts w:eastAsia="Palatino Linotype" w:cs="Palatino Linotype"/>
          <w:color w:val="000000"/>
          <w:szCs w:val="24"/>
        </w:rPr>
      </w:pPr>
    </w:p>
    <w:p w14:paraId="794932B8" w14:textId="77777777" w:rsidR="005168D8" w:rsidRDefault="005168D8" w:rsidP="005168D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082BC2BF" w14:textId="77777777" w:rsidR="005168D8" w:rsidRDefault="005168D8" w:rsidP="005168D8">
      <w:pPr>
        <w:pBdr>
          <w:top w:val="nil"/>
          <w:left w:val="nil"/>
          <w:bottom w:val="nil"/>
          <w:right w:val="nil"/>
          <w:between w:val="nil"/>
        </w:pBdr>
        <w:contextualSpacing/>
        <w:rPr>
          <w:rFonts w:eastAsia="Palatino Linotype" w:cs="Palatino Linotype"/>
          <w:color w:val="000000"/>
          <w:szCs w:val="24"/>
        </w:rPr>
      </w:pPr>
    </w:p>
    <w:p w14:paraId="11DABD48" w14:textId="77777777" w:rsidR="005168D8" w:rsidRPr="005A671D" w:rsidRDefault="003271C9" w:rsidP="005168D8">
      <w:pPr>
        <w:pStyle w:val="Prrafodelista"/>
        <w:numPr>
          <w:ilvl w:val="0"/>
          <w:numId w:val="1"/>
        </w:numPr>
        <w:pBdr>
          <w:top w:val="nil"/>
          <w:left w:val="nil"/>
          <w:bottom w:val="nil"/>
          <w:right w:val="nil"/>
          <w:between w:val="nil"/>
        </w:pBdr>
        <w:contextualSpacing/>
        <w:rPr>
          <w:rFonts w:eastAsia="Palatino Linotype" w:cs="Palatino Linotype"/>
          <w:iCs/>
          <w:color w:val="000000"/>
        </w:rPr>
      </w:pPr>
      <w:r>
        <w:rPr>
          <w:iCs/>
          <w:color w:val="000000"/>
        </w:rPr>
        <w:t>Estados de Nómina del mes de diciembre de los titulares de Desarrollo Social, DIF San José del Rincón, Dirección de Administración y del Titular de la Tesorería Municipal del año 2023.</w:t>
      </w:r>
    </w:p>
    <w:p w14:paraId="0F9C26DC" w14:textId="77777777" w:rsidR="005168D8" w:rsidRPr="002E1E77" w:rsidRDefault="005168D8" w:rsidP="005168D8">
      <w:pPr>
        <w:pStyle w:val="Prrafodelista"/>
        <w:pBdr>
          <w:top w:val="nil"/>
          <w:left w:val="nil"/>
          <w:bottom w:val="nil"/>
          <w:right w:val="nil"/>
          <w:between w:val="nil"/>
        </w:pBdr>
        <w:ind w:left="1069"/>
        <w:contextualSpacing/>
        <w:rPr>
          <w:rFonts w:eastAsia="Palatino Linotype" w:cs="Palatino Linotype"/>
          <w:color w:val="000000"/>
        </w:rPr>
      </w:pPr>
    </w:p>
    <w:p w14:paraId="748B8622" w14:textId="77777777" w:rsidR="005168D8" w:rsidRDefault="005168D8" w:rsidP="005168D8">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en su respuesta, hizo entrega de los siguientes archivos electrónicos:</w:t>
      </w:r>
    </w:p>
    <w:p w14:paraId="27A5B9BE" w14:textId="77777777" w:rsidR="005168D8" w:rsidRDefault="005168D8" w:rsidP="005168D8"/>
    <w:p w14:paraId="1BD37D60" w14:textId="77777777" w:rsidR="005168D8" w:rsidRPr="003271C9" w:rsidRDefault="00CD6CC6" w:rsidP="003271C9">
      <w:pPr>
        <w:pStyle w:val="Prrafodelista"/>
        <w:numPr>
          <w:ilvl w:val="0"/>
          <w:numId w:val="5"/>
        </w:numPr>
        <w:rPr>
          <w:rFonts w:eastAsia="Palatino Linotype" w:cs="Palatino Linotype"/>
          <w:color w:val="000000"/>
        </w:rPr>
      </w:pPr>
      <w:hyperlink r:id="rId9" w:history="1">
        <w:r w:rsidR="003271C9" w:rsidRPr="001F3C35">
          <w:rPr>
            <w:rStyle w:val="Hipervnculo"/>
            <w:rFonts w:eastAsiaTheme="majorEastAsia" w:cs="Arial"/>
            <w:b/>
            <w:bCs/>
            <w:i/>
            <w:color w:val="auto"/>
          </w:rPr>
          <w:t>00830INFOEMIPRR2024.pd</w:t>
        </w:r>
      </w:hyperlink>
      <w:r w:rsidR="003271C9" w:rsidRPr="001F3C35">
        <w:rPr>
          <w:i/>
        </w:rPr>
        <w:t>f</w:t>
      </w:r>
      <w:r w:rsidR="003271C9">
        <w:rPr>
          <w:i/>
        </w:rPr>
        <w:t xml:space="preserve">: </w:t>
      </w:r>
      <w:r w:rsidR="003271C9">
        <w:t xml:space="preserve">Documento que consta de tres fojas en formato PDF con numero de oficio MSJR/AQT/UIPPE/UT/005/2024 de fecha treinta de enero de dos mil veinticuatro por medio del cual la Tesorera Municipal informa que la información se encuentra disponible en la página oficial de municipio anexando tres ligas electrónicas en los términos siguientes; </w:t>
      </w:r>
    </w:p>
    <w:p w14:paraId="1B7D8D11" w14:textId="77777777" w:rsidR="003271C9" w:rsidRPr="003271C9" w:rsidRDefault="003271C9" w:rsidP="003271C9">
      <w:pPr>
        <w:pStyle w:val="Prrafodelista"/>
        <w:numPr>
          <w:ilvl w:val="0"/>
          <w:numId w:val="6"/>
        </w:numPr>
        <w:rPr>
          <w:rFonts w:eastAsia="Palatino Linotype" w:cs="Palatino Linotype"/>
          <w:color w:val="000000"/>
        </w:rPr>
      </w:pPr>
      <w:r>
        <w:t xml:space="preserve">Desarrollo social </w:t>
      </w:r>
    </w:p>
    <w:p w14:paraId="3A9979B4" w14:textId="77777777" w:rsidR="008B227E" w:rsidRPr="008B227E" w:rsidRDefault="008B227E" w:rsidP="008B227E">
      <w:pPr>
        <w:pStyle w:val="Prrafodelista"/>
        <w:ind w:left="1080"/>
        <w:rPr>
          <w:sz w:val="20"/>
          <w:szCs w:val="20"/>
        </w:rPr>
      </w:pPr>
      <w:r w:rsidRPr="008B227E">
        <w:rPr>
          <w:sz w:val="20"/>
          <w:szCs w:val="20"/>
        </w:rPr>
        <w:lastRenderedPageBreak/>
        <w:t>https://www.ipomex.org.mx/ipo3/lgt/indice/SANJOSEDELRINCON/art_92_viii/5/0/89570.web?token=03AFcWeA</w:t>
      </w:r>
      <w:r>
        <w:rPr>
          <w:sz w:val="20"/>
          <w:szCs w:val="20"/>
        </w:rPr>
        <w:t>6yFVUVVofVT7I-</w:t>
      </w:r>
      <w:r w:rsidRPr="008B227E">
        <w:rPr>
          <w:sz w:val="20"/>
          <w:szCs w:val="20"/>
        </w:rPr>
        <w:t>myw5DV3LdXgi6v5eDOClcIYGE6HWULKqOMRDi3RdssYO3u9L2AKhw5kTqCOj8LFbtLnCrnIRId-dMRdp__rfDb0CdyRVFGt7h8myeHz-97QhD1v0wvOWLtTZnXd0-Vd9--zr7tbft1icMuWBypxXPS1m8nG-dgd4O0- mM7z8vVaJBrzvBkQi4q518BQqk1XkbzyYgYH6oBUPqT1WfXvCPF4jT0vcXLfdRiRSi0usvmbHFUXIO5qy5U81F 7XhWN1IjhKhaO1PvZgGbZZGRwHhkcMCOZO1Q7ISFtl1xIO_h1u5ioOSe0TWm0056SWjvJE8JsBR4q5L60cLA ORRHOJFL04FZfjR4XI_OAaFKZK0Vxgw2cBbosNtPulX7o1_VHo5MY_BrGBu834BqZpmWgfjuDuTofQe1k_vpF Btk_MoY6Vg6q9mJjZnMezXdznrPA6SPOqRXv0Jne8eLLXfSFf2_tQD6sYDhX9y8YSW0UrZZz-fWZEp1Swm4sCe_2lGwbdcyHkvuxovjmagBUMpf3IIXqmoBaZKZDVeUn3mI3OjuKB23r_LDLrnQlWPOSok5X69LaHL8kFb T4MxpnPYRS3kwQtbYO1OjqUuc9jAurgGvdoCmULSofR1i</w:t>
      </w:r>
    </w:p>
    <w:p w14:paraId="2CDEAE88" w14:textId="77777777" w:rsidR="008B227E" w:rsidRPr="008B227E" w:rsidRDefault="008B227E" w:rsidP="008B227E">
      <w:pPr>
        <w:pStyle w:val="Prrafodelista"/>
        <w:ind w:left="1080"/>
        <w:rPr>
          <w:rFonts w:eastAsia="Palatino Linotype" w:cs="Palatino Linotype"/>
          <w:color w:val="000000"/>
        </w:rPr>
      </w:pPr>
      <w:r>
        <w:t xml:space="preserve"> </w:t>
      </w:r>
    </w:p>
    <w:p w14:paraId="75DA5D76" w14:textId="77777777" w:rsidR="003271C9" w:rsidRPr="008B227E" w:rsidRDefault="003271C9" w:rsidP="003271C9">
      <w:pPr>
        <w:pStyle w:val="Prrafodelista"/>
        <w:numPr>
          <w:ilvl w:val="0"/>
          <w:numId w:val="6"/>
        </w:numPr>
        <w:rPr>
          <w:rFonts w:eastAsia="Palatino Linotype" w:cs="Palatino Linotype"/>
          <w:color w:val="000000"/>
        </w:rPr>
      </w:pPr>
      <w:r>
        <w:t xml:space="preserve">Administración </w:t>
      </w:r>
    </w:p>
    <w:p w14:paraId="554071B3" w14:textId="77777777" w:rsidR="008B227E" w:rsidRDefault="008B227E" w:rsidP="008B227E">
      <w:pPr>
        <w:pStyle w:val="Prrafodelista"/>
        <w:ind w:left="1080"/>
        <w:rPr>
          <w:sz w:val="20"/>
          <w:szCs w:val="20"/>
        </w:rPr>
      </w:pPr>
      <w:r w:rsidRPr="008B227E">
        <w:rPr>
          <w:sz w:val="20"/>
          <w:szCs w:val="20"/>
        </w:rPr>
        <w:t>https://www.ipomex.org.mx/ipo3/lgt/indice/SANJOSEDELRINCON/art_92_viii/5/30/89568.web?token=03AFcWe A4-0p112QMfAVCn6BXzYu2lpWd_Swt68khAgky1vxTX7VCPd4vystW65X6pBOIteTGHw7fryTb0pe32eZMHv0ibREifdrEdQEZ8GbNx0WHwXCCFNI8SYWl4RAK4x9 U9fSCCxV3P5UqPkgCFPFxXNyz2W4_8NqMbTBWsbfsqLSZL_R1C7H1QJBXcs1krVyDaM_0AL4o2CleZeRN5K14cMl1FT6a8nMx jN5XE0JaiwyT0LH6oN0RNPl2r9LVok_3s1n0U_HXOeZQDCMHgi_KYC5FZwc7mDU3cWQTvpQFWFqxppV05 St9h6h4wgt5i-EX_bD2nci2ACsWn4N0y7n62aoZjT_hVhm0YTjCy_BRSd_XGC2xkezuEIFgXIYiPMaJZhKyKUzV0dXpdhnWh1wtSCNAZlz 1RYJ34RlRcCYmMmFMIgQpN2w0LwtPnCV2niXsvVOEnrQLgFiMbSz93bHyPL2oVplWR8E</w:t>
      </w:r>
      <w:r w:rsidRPr="008B227E">
        <w:rPr>
          <w:sz w:val="20"/>
          <w:szCs w:val="20"/>
        </w:rPr>
        <w:lastRenderedPageBreak/>
        <w:t xml:space="preserve">evrbiNTMczPwoX4uyz4Cqeh0qu8NuJXLXrhNU8OkTWqSklKQ3XNJzsPAVrqFr9WAEYIjI3f0jVNYGgEuScrc_4d_5k0CLMckJEGYyL5GwZW 0JoAhTUAz7TyM3EpEmt9QJRzU42m-_fgfQ9iuWKmp_qrMNXRNB4Efrwx1T </w:t>
      </w:r>
    </w:p>
    <w:p w14:paraId="2456C75B" w14:textId="77777777" w:rsidR="008B227E" w:rsidRPr="008B227E" w:rsidRDefault="008B227E" w:rsidP="008B227E">
      <w:pPr>
        <w:pStyle w:val="Prrafodelista"/>
        <w:ind w:left="1080"/>
        <w:rPr>
          <w:rFonts w:eastAsia="Palatino Linotype" w:cs="Palatino Linotype"/>
          <w:color w:val="000000"/>
          <w:sz w:val="20"/>
          <w:szCs w:val="20"/>
        </w:rPr>
      </w:pPr>
    </w:p>
    <w:p w14:paraId="302AB40B" w14:textId="77777777" w:rsidR="003271C9" w:rsidRPr="008B227E" w:rsidRDefault="003271C9" w:rsidP="003271C9">
      <w:pPr>
        <w:pStyle w:val="Prrafodelista"/>
        <w:numPr>
          <w:ilvl w:val="0"/>
          <w:numId w:val="6"/>
        </w:numPr>
        <w:rPr>
          <w:rFonts w:eastAsia="Palatino Linotype" w:cs="Palatino Linotype"/>
          <w:color w:val="000000"/>
        </w:rPr>
      </w:pPr>
      <w:r>
        <w:t xml:space="preserve">Tesorería </w:t>
      </w:r>
    </w:p>
    <w:p w14:paraId="7149D67F" w14:textId="77777777" w:rsidR="008B227E" w:rsidRPr="008B227E" w:rsidRDefault="008B227E" w:rsidP="008B227E">
      <w:pPr>
        <w:pStyle w:val="Prrafodelista"/>
        <w:ind w:left="1080"/>
        <w:rPr>
          <w:rFonts w:eastAsia="Palatino Linotype" w:cs="Palatino Linotype"/>
          <w:color w:val="000000"/>
          <w:sz w:val="20"/>
          <w:szCs w:val="20"/>
        </w:rPr>
      </w:pPr>
      <w:r w:rsidRPr="008B227E">
        <w:rPr>
          <w:sz w:val="20"/>
          <w:szCs w:val="20"/>
        </w:rPr>
        <w:t>https://www.ipomex.org.mx/ipo3/lgt/indice/SANJOSEDELRINCON/art_92_viii/5/0/89567.web?token=03AFcWeA 7gzALH07W-1sfhJpLqf6A48Dz4vXwIkiEPzu5TDXf_JlG9d0mfU9Ceu9ofsHbvBMSKGDO9BNaSELnhG_cjjXbvsjkTXextENzZrqFv0tfi22amfLNRibPTLPu_4vupzdNZWY22hhSZQrb3YdQ J1gjuZERZxUjJrAq50qxUGgHHPDceznansbjnVhPHZt3suErwo2GYUyVeDyE7B53XXTwb49EkKVGJu9Oz1EqVbI125ZYJBRtSDEF-WXlioP1Z-E9PqOwaMdXNBNVKaHcigjjxhPa3z3x_E2YPuh9Jxcd58p0zNKZhEzZhn3_HL2My5hGH9uLYU3thnqAFcaDRngpoGkBZUGdTPdiLbm3KzctFk6FifLZVdLrTrJ2fcha3VznBrXSKtbe UVmtQ-lFyX5ZYy6a0RjC7Di03u8- _XFKOj35rKarMbpgZVuLPnk8FpaFuX6X_Kp7SEqZHHaqIJaBmuqxMJoo5DnCZqtOsp8xT5Hn_dJTlA99bJKHZ 3iOLkw884RjYJc16swXK2l4ggufaD0uMiFS1NvU0orlXhBk8HEzVHfxWWPChYrJjETFEur8yrdSPhcrm9Pc2ZX6A4ke-wD-_8n-ol2xhIKeriKciNWZcShkmTirqbGtqiw4_JiV</w:t>
      </w:r>
    </w:p>
    <w:p w14:paraId="38B6B16F" w14:textId="77777777" w:rsidR="003271C9" w:rsidRDefault="003271C9" w:rsidP="005168D8">
      <w:pPr>
        <w:rPr>
          <w:rFonts w:eastAsia="Palatino Linotype" w:cs="Palatino Linotype"/>
          <w:color w:val="000000"/>
        </w:rPr>
      </w:pPr>
    </w:p>
    <w:p w14:paraId="53C1CD5C" w14:textId="77777777" w:rsidR="008B227E" w:rsidRDefault="005168D8" w:rsidP="005168D8">
      <w:pPr>
        <w:rPr>
          <w:iCs/>
          <w:color w:val="000000"/>
        </w:rPr>
      </w:pPr>
      <w:r w:rsidRPr="00031639">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Pr>
          <w:rFonts w:eastAsia="Palatino Linotype" w:cs="Palatino Linotype"/>
          <w:color w:val="000000"/>
        </w:rPr>
        <w:t>la negativa de información de la liga electrónica proporcionada</w:t>
      </w:r>
      <w:r w:rsidR="008B227E">
        <w:rPr>
          <w:rFonts w:eastAsia="Palatino Linotype" w:cs="Palatino Linotype"/>
          <w:color w:val="000000"/>
        </w:rPr>
        <w:t xml:space="preserve"> precisando nuevamente su solicitud de información</w:t>
      </w:r>
      <w:r>
        <w:rPr>
          <w:rFonts w:eastAsia="Palatino Linotype" w:cs="Palatino Linotype"/>
          <w:color w:val="000000"/>
        </w:rPr>
        <w:t xml:space="preserve">, </w:t>
      </w:r>
      <w:r w:rsidRPr="00031639">
        <w:rPr>
          <w:rFonts w:eastAsia="Palatino Linotype" w:cs="Palatino Linotype"/>
          <w:color w:val="000000"/>
        </w:rPr>
        <w:t xml:space="preserve">en este sentido el Recurrente considero que el Ayuntamiento de </w:t>
      </w:r>
      <w:r w:rsidR="008B227E">
        <w:rPr>
          <w:rFonts w:eastAsia="Palatino Linotype" w:cs="Palatino Linotype"/>
          <w:color w:val="000000"/>
        </w:rPr>
        <w:t xml:space="preserve">San José del Rincón no le brindo los </w:t>
      </w:r>
      <w:r w:rsidR="008B227E">
        <w:rPr>
          <w:iCs/>
          <w:color w:val="000000"/>
        </w:rPr>
        <w:t>estados de Nómina del mes de diciembre de los titulares de Desarrollo Social, DIF San José del Rincón, Dirección de Administración y del Titular de la Tesorería Municipal del año 2023.</w:t>
      </w:r>
    </w:p>
    <w:p w14:paraId="4CF01AB0" w14:textId="77777777" w:rsidR="008B227E" w:rsidRDefault="008B227E" w:rsidP="005168D8">
      <w:pPr>
        <w:rPr>
          <w:rFonts w:eastAsia="Palatino Linotype" w:cs="Palatino Linotype"/>
          <w:color w:val="000000"/>
        </w:rPr>
      </w:pPr>
      <w:r>
        <w:rPr>
          <w:iCs/>
          <w:color w:val="000000"/>
        </w:rPr>
        <w:lastRenderedPageBreak/>
        <w:t xml:space="preserve">Por su parte en la etapa de manifestaciones el Sujeto Obligado emitió su informe justificado por medio del archivo electrónico </w:t>
      </w:r>
      <w:hyperlink r:id="rId10" w:history="1">
        <w:r w:rsidRPr="001F3C35">
          <w:rPr>
            <w:rStyle w:val="Hipervnculo"/>
            <w:rFonts w:cs="Arial"/>
            <w:b/>
            <w:bCs/>
            <w:i/>
            <w:color w:val="auto"/>
            <w:szCs w:val="24"/>
          </w:rPr>
          <w:t>00830INFOEMIPRR2024.</w:t>
        </w:r>
        <w:r w:rsidRPr="008B227E">
          <w:rPr>
            <w:rStyle w:val="Hipervnculo"/>
            <w:rFonts w:cs="Arial"/>
            <w:b/>
            <w:bCs/>
            <w:color w:val="auto"/>
            <w:szCs w:val="24"/>
          </w:rPr>
          <w:t>pd</w:t>
        </w:r>
      </w:hyperlink>
      <w:r w:rsidRPr="008B227E">
        <w:rPr>
          <w:szCs w:val="24"/>
        </w:rPr>
        <w:t>f</w:t>
      </w:r>
      <w:r>
        <w:rPr>
          <w:szCs w:val="24"/>
        </w:rPr>
        <w:t xml:space="preserve"> por medio del cual rectifica su respuesta primigenia.</w:t>
      </w:r>
    </w:p>
    <w:p w14:paraId="323CAABB" w14:textId="77777777" w:rsidR="008B227E" w:rsidRDefault="008B227E" w:rsidP="005168D8">
      <w:pPr>
        <w:rPr>
          <w:rFonts w:eastAsia="Palatino Linotype" w:cs="Palatino Linotype"/>
          <w:color w:val="000000"/>
        </w:rPr>
      </w:pPr>
    </w:p>
    <w:p w14:paraId="5C6E84C6" w14:textId="77777777" w:rsidR="009847CC" w:rsidRDefault="009847CC" w:rsidP="005168D8">
      <w:pPr>
        <w:rPr>
          <w:iCs/>
          <w:color w:val="000000"/>
        </w:rPr>
      </w:pPr>
      <w:r>
        <w:rPr>
          <w:rFonts w:eastAsia="Palatino Linotype" w:cs="Palatino Linotype"/>
          <w:color w:val="000000"/>
        </w:rPr>
        <w:t xml:space="preserve">Conforme la solicitud de información es importante señalar por el presente Instituto que del requerimiento “estado de nómina del </w:t>
      </w:r>
      <w:r>
        <w:rPr>
          <w:iCs/>
          <w:color w:val="000000"/>
        </w:rPr>
        <w:t>DIF San José del Rincón” recae en lo establecido en el artículo 167 de la Ley de Transparencia Local toda vez que dicho requerimiento</w:t>
      </w:r>
      <w:r w:rsidR="00FF2043">
        <w:rPr>
          <w:iCs/>
          <w:color w:val="000000"/>
        </w:rPr>
        <w:t xml:space="preserve"> de acceso a la información pública</w:t>
      </w:r>
      <w:r>
        <w:rPr>
          <w:iCs/>
          <w:color w:val="000000"/>
        </w:rPr>
        <w:t xml:space="preserve"> corresponde a sujeto Obligado diverso, sirva de referencia la imagen ilustrativa;</w:t>
      </w:r>
    </w:p>
    <w:p w14:paraId="16E88CA7" w14:textId="77777777" w:rsidR="009847CC" w:rsidRDefault="009847CC" w:rsidP="005168D8">
      <w:pPr>
        <w:rPr>
          <w:iCs/>
          <w:color w:val="000000"/>
        </w:rPr>
      </w:pPr>
    </w:p>
    <w:p w14:paraId="7268ABA5" w14:textId="77777777" w:rsidR="009847CC" w:rsidRDefault="009847CC" w:rsidP="009847CC">
      <w:pPr>
        <w:jc w:val="center"/>
        <w:rPr>
          <w:iCs/>
          <w:color w:val="000000"/>
        </w:rPr>
      </w:pPr>
      <w:r w:rsidRPr="009847CC">
        <w:rPr>
          <w:iCs/>
          <w:noProof/>
          <w:color w:val="000000"/>
          <w:lang w:val="es-MX"/>
        </w:rPr>
        <w:drawing>
          <wp:inline distT="0" distB="0" distL="0" distR="0" wp14:anchorId="562E4649" wp14:editId="484B3669">
            <wp:extent cx="5187315" cy="115070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3548" cy="1158741"/>
                    </a:xfrm>
                    <a:prstGeom prst="rect">
                      <a:avLst/>
                    </a:prstGeom>
                  </pic:spPr>
                </pic:pic>
              </a:graphicData>
            </a:graphic>
          </wp:inline>
        </w:drawing>
      </w:r>
    </w:p>
    <w:p w14:paraId="348DD5FF" w14:textId="77777777" w:rsidR="00FF2043" w:rsidRDefault="00FF2043" w:rsidP="005168D8">
      <w:pPr>
        <w:rPr>
          <w:iCs/>
          <w:color w:val="000000"/>
        </w:rPr>
      </w:pPr>
    </w:p>
    <w:p w14:paraId="4057779F" w14:textId="77777777" w:rsidR="009847CC" w:rsidRDefault="009847CC" w:rsidP="005168D8">
      <w:r>
        <w:rPr>
          <w:iCs/>
          <w:color w:val="000000"/>
        </w:rPr>
        <w:t xml:space="preserve"> </w:t>
      </w:r>
      <w:r w:rsidR="00FF2043">
        <w:t xml:space="preserve">No obstante; si bien es cierto que el Sujeto Obligado no emitió un pronunciamiento al respecto, también lo es que, dejo de observar lo establecido en el artículo 167 de la Ley de Transparencia y Acceso a la Información Pública, que indica que cuando el Sujeto Obligado sea incompetente para dar contestación a la solicitud de información de manera total o parcial deberá notificar al particular dentro de los tres días hábiles posteriores a la recepción de la solicitud de información. </w:t>
      </w:r>
    </w:p>
    <w:p w14:paraId="7694DC62" w14:textId="77777777" w:rsidR="00FF2043" w:rsidRDefault="00FF2043" w:rsidP="005168D8"/>
    <w:p w14:paraId="47D7A2B2" w14:textId="77777777" w:rsidR="00FF2043" w:rsidRDefault="00FF2043" w:rsidP="005168D8"/>
    <w:p w14:paraId="368973B0" w14:textId="77777777" w:rsidR="00FF2043" w:rsidRPr="00FF2043" w:rsidRDefault="00FF2043" w:rsidP="00FF2043">
      <w:pPr>
        <w:ind w:left="708"/>
        <w:rPr>
          <w:b/>
          <w:i/>
          <w:sz w:val="22"/>
        </w:rPr>
      </w:pPr>
      <w:r>
        <w:rPr>
          <w:b/>
          <w:i/>
          <w:sz w:val="22"/>
        </w:rPr>
        <w:lastRenderedPageBreak/>
        <w:t>“</w:t>
      </w:r>
      <w:r w:rsidRPr="00FF2043">
        <w:rPr>
          <w:b/>
          <w:i/>
          <w:sz w:val="22"/>
        </w:rPr>
        <w:t>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5227E56D" w14:textId="77777777" w:rsidR="00FF2043" w:rsidRDefault="00FF2043" w:rsidP="00FF2043">
      <w:pPr>
        <w:ind w:left="708"/>
        <w:rPr>
          <w:i/>
          <w:sz w:val="22"/>
        </w:rPr>
      </w:pPr>
    </w:p>
    <w:p w14:paraId="5F99732B" w14:textId="77777777" w:rsidR="00FF2043" w:rsidRDefault="00FF2043" w:rsidP="00FF2043">
      <w:pPr>
        <w:ind w:left="708"/>
        <w:rPr>
          <w:i/>
          <w:sz w:val="22"/>
        </w:rPr>
      </w:pPr>
      <w:r w:rsidRPr="00FF2043">
        <w:rPr>
          <w:i/>
          <w:sz w:val="22"/>
        </w:rPr>
        <w:t xml:space="preserve"> 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1CE41A08" w14:textId="77777777" w:rsidR="00FF2043" w:rsidRDefault="00FF2043" w:rsidP="00FF2043">
      <w:pPr>
        <w:ind w:left="708"/>
        <w:rPr>
          <w:i/>
          <w:sz w:val="22"/>
        </w:rPr>
      </w:pPr>
    </w:p>
    <w:p w14:paraId="75C75D79" w14:textId="77777777" w:rsidR="00FF2043" w:rsidRPr="00FF2043" w:rsidRDefault="00FF2043" w:rsidP="00FF2043">
      <w:pPr>
        <w:ind w:left="708"/>
        <w:rPr>
          <w:i/>
          <w:sz w:val="22"/>
        </w:rPr>
      </w:pPr>
      <w:r w:rsidRPr="00FF2043">
        <w:rPr>
          <w:i/>
          <w:sz w:val="22"/>
        </w:rPr>
        <w:t>Si transcurrido el plazo señalado en el primer párrafo de este artículo, el sujeto obligado no declina la competencia en los términos establecidos, podrá canalizar la solicitud ante el sujeto obligado competente</w:t>
      </w:r>
      <w:r>
        <w:rPr>
          <w:i/>
          <w:sz w:val="22"/>
        </w:rPr>
        <w:t>”</w:t>
      </w:r>
    </w:p>
    <w:p w14:paraId="7C59F07A" w14:textId="77777777" w:rsidR="00FF2043" w:rsidRDefault="00FF2043" w:rsidP="005168D8"/>
    <w:p w14:paraId="216B6C89" w14:textId="77777777" w:rsidR="00FF2043" w:rsidRDefault="00FF2043" w:rsidP="005168D8">
      <w:r>
        <w:t>Declaratoria de incompetencia que al no haber sido decretada en término establecido, lo correcto es que tiene que ser aprobada por el Comité de Transparencia del Sujeto Obligado en términos del artículo 49, fracciones I y II de la Ley de la materia, que literalmente señala:</w:t>
      </w:r>
    </w:p>
    <w:p w14:paraId="312F931F" w14:textId="77777777" w:rsidR="00FF2043" w:rsidRDefault="00FF2043" w:rsidP="005168D8"/>
    <w:p w14:paraId="092BCD74" w14:textId="77777777" w:rsidR="00FF2043" w:rsidRPr="00FF2043" w:rsidRDefault="00FF2043" w:rsidP="00FF2043">
      <w:pPr>
        <w:ind w:firstLine="360"/>
        <w:rPr>
          <w:i/>
          <w:sz w:val="22"/>
        </w:rPr>
      </w:pPr>
      <w:r w:rsidRPr="00FF2043">
        <w:rPr>
          <w:i/>
          <w:sz w:val="22"/>
        </w:rPr>
        <w:t>Artículo 49. Los Comités de Transparencia tendrán las siguientes atribuciones:</w:t>
      </w:r>
    </w:p>
    <w:p w14:paraId="70758FAA" w14:textId="77777777" w:rsidR="00FF2043" w:rsidRPr="00FF2043" w:rsidRDefault="00FF2043" w:rsidP="00FF2043">
      <w:pPr>
        <w:pStyle w:val="Prrafodelista"/>
        <w:numPr>
          <w:ilvl w:val="0"/>
          <w:numId w:val="9"/>
        </w:numPr>
        <w:rPr>
          <w:rFonts w:eastAsia="Palatino Linotype" w:cs="Palatino Linotype"/>
          <w:i/>
          <w:color w:val="000000"/>
          <w:sz w:val="22"/>
          <w:szCs w:val="22"/>
        </w:rPr>
      </w:pPr>
      <w:r w:rsidRPr="00FF2043">
        <w:rPr>
          <w:i/>
          <w:sz w:val="22"/>
          <w:szCs w:val="22"/>
        </w:rPr>
        <w:t xml:space="preserve"> Instituir, coordinar y supervisar en términos de las disposiciones aplicables, las acciones, medidas y procedimientos que coadyuven a asegurar una mayor eficacia en la gestión y atención de las solicitudes en materia de acceso a la información; </w:t>
      </w:r>
    </w:p>
    <w:p w14:paraId="69155342" w14:textId="77777777" w:rsidR="00FF2043" w:rsidRPr="00FF2043" w:rsidRDefault="00FF2043" w:rsidP="00FF2043">
      <w:pPr>
        <w:pStyle w:val="Prrafodelista"/>
        <w:numPr>
          <w:ilvl w:val="0"/>
          <w:numId w:val="9"/>
        </w:numPr>
        <w:rPr>
          <w:rFonts w:eastAsia="Palatino Linotype" w:cs="Palatino Linotype"/>
          <w:i/>
          <w:color w:val="000000"/>
          <w:sz w:val="22"/>
          <w:szCs w:val="22"/>
        </w:rPr>
      </w:pPr>
      <w:r w:rsidRPr="00FF2043">
        <w:rPr>
          <w:i/>
          <w:sz w:val="22"/>
          <w:szCs w:val="22"/>
        </w:rPr>
        <w:t xml:space="preserve">Confirmar, modificar o revocar las determinaciones que en materia de ampliación del plazo de respuesta, clasificación de la información y </w:t>
      </w:r>
      <w:r w:rsidRPr="00FF2043">
        <w:rPr>
          <w:i/>
          <w:sz w:val="22"/>
          <w:szCs w:val="22"/>
          <w:u w:val="single"/>
        </w:rPr>
        <w:t>declaración</w:t>
      </w:r>
      <w:r w:rsidRPr="00FF2043">
        <w:rPr>
          <w:i/>
          <w:sz w:val="22"/>
          <w:szCs w:val="22"/>
        </w:rPr>
        <w:t xml:space="preserve"> de inexistencia o </w:t>
      </w:r>
      <w:r w:rsidRPr="00FF2043">
        <w:rPr>
          <w:i/>
          <w:sz w:val="22"/>
          <w:szCs w:val="22"/>
          <w:u w:val="single"/>
        </w:rPr>
        <w:t>de incompetencia realicen los titulares de las áreas de los sujetos obligados;</w:t>
      </w:r>
      <w:r w:rsidRPr="00FF2043">
        <w:rPr>
          <w:i/>
          <w:sz w:val="22"/>
          <w:szCs w:val="22"/>
        </w:rPr>
        <w:t>”</w:t>
      </w:r>
    </w:p>
    <w:p w14:paraId="7227F765" w14:textId="77777777" w:rsidR="00FF2043" w:rsidRDefault="00FF2043" w:rsidP="005168D8">
      <w:r>
        <w:lastRenderedPageBreak/>
        <w:t xml:space="preserve">En efecto, si el </w:t>
      </w:r>
      <w:r w:rsidRPr="00FF2043">
        <w:rPr>
          <w:b/>
        </w:rPr>
        <w:t>Sujeto Obligado</w:t>
      </w:r>
      <w:r>
        <w:t xml:space="preserve"> no tiene competencia para administrar, generar o poseer la información en estudio, lo correcto es que dicha incompetencia debe ser ido confirmada, modificada o revocada por el Comité de Transparencia del </w:t>
      </w:r>
      <w:r w:rsidRPr="00FF2043">
        <w:rPr>
          <w:b/>
        </w:rPr>
        <w:t>Sujeto Obligado</w:t>
      </w:r>
      <w:r>
        <w:t xml:space="preserve"> en términos del precepto legal referido, razón por la cual se considera viable ordenar al </w:t>
      </w:r>
      <w:r w:rsidRPr="00FF2043">
        <w:rPr>
          <w:b/>
        </w:rPr>
        <w:t>Sujeto Obligado</w:t>
      </w:r>
      <w:r>
        <w:t xml:space="preserve"> realizar a través de su Comité de Transparencia, el Acuerdo mediante el cual se confirme la incompetencia declarada por la Titular de la Unidad de Transparencia, respecto a la solicitud de información presentada por el particular, debiendo notificarle de igual forma el Acuerdo de referencia.</w:t>
      </w:r>
    </w:p>
    <w:p w14:paraId="024AD787" w14:textId="77777777" w:rsidR="00FF2043" w:rsidRDefault="00FF2043" w:rsidP="005168D8"/>
    <w:p w14:paraId="0C3B1702" w14:textId="77777777" w:rsidR="00FF2043" w:rsidRDefault="00FF2043" w:rsidP="005168D8">
      <w:pPr>
        <w:rPr>
          <w:rFonts w:eastAsia="Palatino Linotype" w:cs="Palatino Linotype"/>
          <w:color w:val="000000"/>
        </w:rPr>
      </w:pPr>
      <w:r>
        <w:t>Así, es necesario dejar a salvo los derechos del Recurrente a efecto de que pueda presentar la solicitud de información ante el Sujeto Obligado competente; debiendo presentar dicha solicitud de información a través del SAIMEX y/o de la Plataforma Nacional de Transparencia, respectivamente.</w:t>
      </w:r>
    </w:p>
    <w:p w14:paraId="1C7DD3FC" w14:textId="77777777" w:rsidR="005168D8" w:rsidRDefault="005168D8" w:rsidP="005168D8">
      <w:pPr>
        <w:rPr>
          <w:szCs w:val="24"/>
        </w:rPr>
      </w:pPr>
    </w:p>
    <w:p w14:paraId="2B0EB8CF" w14:textId="585DA158" w:rsidR="000E1ED3" w:rsidRPr="006922F5" w:rsidRDefault="000E1ED3" w:rsidP="000E1ED3">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w:t>
      </w:r>
      <w:r w:rsidR="00CD70FF">
        <w:rPr>
          <w:rFonts w:eastAsia="Palatino Linotype" w:cs="Palatino Linotype"/>
          <w:color w:val="000000"/>
          <w:szCs w:val="24"/>
        </w:rPr>
        <w:t>idad del particular y en virtud de las atribuciones conferidas en los artículos  13 y 181 de la Ley de Transparencia Local respecto al requerimiento que dio origen al derecho al acceso a la información será considerado como los recibos de nómina</w:t>
      </w:r>
      <w:r w:rsidR="00884585">
        <w:rPr>
          <w:rFonts w:eastAsia="Palatino Linotype" w:cs="Palatino Linotype"/>
          <w:color w:val="000000"/>
          <w:szCs w:val="24"/>
        </w:rPr>
        <w:t xml:space="preserve"> lo anterior atendiendo los principios de objetividad y certeza, principios que rigen al presente Órgano Garante que tienen como finalidad ajustar </w:t>
      </w:r>
      <w:r w:rsidR="00884585">
        <w:t>la actuación jurídica a los presupuestos de ley que deben ser aplicados al analizar el caso en concreto</w:t>
      </w:r>
      <w:r w:rsidR="00884585">
        <w:rPr>
          <w:rFonts w:eastAsia="Palatino Linotype" w:cs="Palatino Linotype"/>
          <w:color w:val="000000"/>
          <w:szCs w:val="24"/>
        </w:rPr>
        <w:t xml:space="preserve"> así como tutelar de la manera más efectiva el derecho al acceso a la información </w:t>
      </w:r>
      <w:r w:rsidR="00CD70FF">
        <w:rPr>
          <w:rFonts w:eastAsia="Palatino Linotype" w:cs="Palatino Linotype"/>
          <w:color w:val="000000"/>
          <w:szCs w:val="24"/>
        </w:rPr>
        <w:t>.</w:t>
      </w:r>
    </w:p>
    <w:p w14:paraId="6ED4AF51" w14:textId="77777777" w:rsidR="000E1ED3" w:rsidRPr="006922F5" w:rsidRDefault="000E1ED3" w:rsidP="000E1ED3">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7056B99F" w14:textId="77777777" w:rsidR="000E1ED3" w:rsidRPr="006922F5" w:rsidRDefault="000E1ED3" w:rsidP="000E1ED3">
      <w:pPr>
        <w:pBdr>
          <w:top w:val="nil"/>
          <w:left w:val="nil"/>
          <w:bottom w:val="nil"/>
          <w:right w:val="nil"/>
          <w:between w:val="nil"/>
        </w:pBdr>
        <w:contextualSpacing/>
        <w:rPr>
          <w:rFonts w:eastAsia="Palatino Linotype" w:cs="Palatino Linotype"/>
          <w:color w:val="000000"/>
          <w:szCs w:val="24"/>
        </w:rPr>
      </w:pPr>
    </w:p>
    <w:p w14:paraId="4A1C0B10" w14:textId="77777777" w:rsidR="000E1ED3" w:rsidRPr="006922F5" w:rsidRDefault="000E1ED3" w:rsidP="000E1ED3">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30E139DB" w14:textId="77777777" w:rsidR="000E1ED3" w:rsidRPr="006922F5" w:rsidRDefault="000E1ED3" w:rsidP="000E1ED3">
      <w:pPr>
        <w:pStyle w:val="Fundamentos"/>
      </w:pPr>
    </w:p>
    <w:p w14:paraId="4B75669E" w14:textId="77777777" w:rsidR="000E1ED3" w:rsidRPr="006922F5" w:rsidRDefault="000E1ED3" w:rsidP="000E1ED3">
      <w:pPr>
        <w:pStyle w:val="Fundamentos"/>
      </w:pPr>
      <w:r w:rsidRPr="006922F5">
        <w:t>Toda persona tiene derecho al libre acceso a información plural y oportuna, así como a buscar, recibir y difundir información e ideas de toda índole por cualquier medio de expresión.</w:t>
      </w:r>
    </w:p>
    <w:p w14:paraId="71EE8FFD" w14:textId="77777777" w:rsidR="000E1ED3" w:rsidRPr="006922F5" w:rsidRDefault="000E1ED3" w:rsidP="000E1ED3">
      <w:pPr>
        <w:pStyle w:val="Fundamentos"/>
      </w:pPr>
    </w:p>
    <w:p w14:paraId="6816DFE2" w14:textId="77777777" w:rsidR="000E1ED3" w:rsidRPr="006922F5" w:rsidRDefault="000E1ED3" w:rsidP="000E1ED3">
      <w:pPr>
        <w:pStyle w:val="Fundamentos"/>
      </w:pPr>
      <w:r w:rsidRPr="006922F5">
        <w:t>Para efectos de lo dispuesto en el presente artículo se observará lo siguiente:</w:t>
      </w:r>
    </w:p>
    <w:p w14:paraId="5097CE6C" w14:textId="77777777" w:rsidR="000E1ED3" w:rsidRPr="006922F5" w:rsidRDefault="000E1ED3" w:rsidP="000E1ED3">
      <w:pPr>
        <w:pStyle w:val="Fundamentos"/>
      </w:pPr>
    </w:p>
    <w:p w14:paraId="6AD6DF98" w14:textId="77777777" w:rsidR="000E1ED3" w:rsidRPr="006922F5" w:rsidRDefault="000E1ED3" w:rsidP="000E1ED3">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504CCCAB" w14:textId="77777777" w:rsidR="000E1ED3" w:rsidRPr="006922F5" w:rsidRDefault="000E1ED3" w:rsidP="000E1ED3">
      <w:pPr>
        <w:pStyle w:val="Fundamentos"/>
      </w:pPr>
    </w:p>
    <w:p w14:paraId="2D549F1A" w14:textId="77777777" w:rsidR="000E1ED3" w:rsidRPr="006922F5" w:rsidRDefault="000E1ED3" w:rsidP="000E1ED3">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22688043" w14:textId="77777777" w:rsidR="000E1ED3" w:rsidRPr="006922F5" w:rsidRDefault="000E1ED3" w:rsidP="000E1ED3">
      <w:pPr>
        <w:pStyle w:val="Fundamentos"/>
      </w:pPr>
      <w:r w:rsidRPr="006922F5">
        <w:t>II. La información que se refiere a la vida privada y los datos personales será protegida en los términos y con las excepciones que fijen las leyes.</w:t>
      </w:r>
    </w:p>
    <w:p w14:paraId="1E0D5FB0" w14:textId="77777777" w:rsidR="000E1ED3" w:rsidRPr="006922F5" w:rsidRDefault="000E1ED3" w:rsidP="000E1ED3">
      <w:pPr>
        <w:pStyle w:val="Fundamentos"/>
      </w:pPr>
      <w:r w:rsidRPr="006922F5">
        <w:t>III. Toda persona, sin necesidad de acreditar interés alguno o justificar su utilización, tendrá acceso gratuito a la información pública, a sus datos personales o a la rectificación de éstos.</w:t>
      </w:r>
    </w:p>
    <w:p w14:paraId="021C9225" w14:textId="77777777" w:rsidR="000E1ED3" w:rsidRPr="006922F5" w:rsidRDefault="000E1ED3" w:rsidP="000E1ED3">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1D1F598E" w14:textId="77777777" w:rsidR="000E1ED3" w:rsidRPr="006922F5" w:rsidRDefault="000E1ED3" w:rsidP="000E1ED3">
      <w:pPr>
        <w:pStyle w:val="Fundamentos"/>
      </w:pPr>
      <w:r w:rsidRPr="006922F5">
        <w:rPr>
          <w:b/>
        </w:rPr>
        <w:lastRenderedPageBreak/>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56BB5455" w14:textId="77777777" w:rsidR="000E1ED3" w:rsidRPr="006922F5" w:rsidRDefault="000E1ED3" w:rsidP="000E1ED3">
      <w:pPr>
        <w:pStyle w:val="Fundamentos"/>
      </w:pPr>
      <w:r w:rsidRPr="006922F5">
        <w:t>VI. Las leyes determinarán la manera en que los sujetos obligados deberán hacer pública la información relativa a los recursos públicos que entreguen a personas físicas o morales.</w:t>
      </w:r>
    </w:p>
    <w:p w14:paraId="6B9F371D" w14:textId="77777777" w:rsidR="000E1ED3" w:rsidRPr="006922F5" w:rsidRDefault="000E1ED3" w:rsidP="000E1ED3">
      <w:pPr>
        <w:pStyle w:val="Fundamentos"/>
      </w:pPr>
      <w:r w:rsidRPr="006922F5">
        <w:t>VII. La inobservancia a las disposiciones en materia de acceso a la información pública será sancionada en los términos que dispongan las leyes.</w:t>
      </w:r>
    </w:p>
    <w:p w14:paraId="56124580" w14:textId="77777777" w:rsidR="000E1ED3" w:rsidRPr="006922F5" w:rsidRDefault="000E1ED3" w:rsidP="000E1ED3">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160123FB" w14:textId="77777777" w:rsidR="000E1ED3" w:rsidRPr="006922F5" w:rsidRDefault="000E1ED3" w:rsidP="000E1ED3">
      <w:pPr>
        <w:pStyle w:val="Fundamentos"/>
      </w:pPr>
      <w:r w:rsidRPr="006922F5">
        <w:t>…</w:t>
      </w:r>
    </w:p>
    <w:p w14:paraId="44CE1DEA" w14:textId="77777777" w:rsidR="000E1ED3" w:rsidRPr="006922F5" w:rsidRDefault="000E1ED3" w:rsidP="000E1ED3">
      <w:pPr>
        <w:pStyle w:val="Fundamentos"/>
      </w:pPr>
      <w:r w:rsidRPr="006922F5">
        <w:t>La ley establecerá aquella información que se considere reservada o confidencial.</w:t>
      </w:r>
    </w:p>
    <w:p w14:paraId="325E69A8" w14:textId="77777777" w:rsidR="000E1ED3" w:rsidRPr="006922F5" w:rsidRDefault="000E1ED3" w:rsidP="000E1ED3">
      <w:pPr>
        <w:pBdr>
          <w:top w:val="nil"/>
          <w:left w:val="nil"/>
          <w:bottom w:val="nil"/>
          <w:right w:val="nil"/>
          <w:between w:val="nil"/>
        </w:pBdr>
        <w:contextualSpacing/>
        <w:rPr>
          <w:rFonts w:eastAsia="Palatino Linotype" w:cs="Palatino Linotype"/>
          <w:color w:val="000000"/>
          <w:szCs w:val="24"/>
        </w:rPr>
      </w:pPr>
    </w:p>
    <w:p w14:paraId="6B082F17" w14:textId="77777777" w:rsidR="000E1ED3" w:rsidRPr="006922F5" w:rsidRDefault="000E1ED3" w:rsidP="000E1ED3">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34037620" w14:textId="77777777" w:rsidR="000E1ED3" w:rsidRPr="006922F5" w:rsidRDefault="000E1ED3" w:rsidP="000E1ED3">
      <w:pPr>
        <w:pBdr>
          <w:top w:val="nil"/>
          <w:left w:val="nil"/>
          <w:bottom w:val="nil"/>
          <w:right w:val="nil"/>
          <w:between w:val="nil"/>
        </w:pBdr>
        <w:contextualSpacing/>
        <w:rPr>
          <w:rFonts w:eastAsia="Palatino Linotype" w:cs="Palatino Linotype"/>
          <w:color w:val="000000"/>
          <w:szCs w:val="24"/>
        </w:rPr>
      </w:pPr>
    </w:p>
    <w:p w14:paraId="03D76B57" w14:textId="77777777" w:rsidR="000E1ED3" w:rsidRPr="006922F5" w:rsidRDefault="000E1ED3" w:rsidP="000E1ED3">
      <w:pPr>
        <w:pStyle w:val="Fundamentos"/>
      </w:pPr>
      <w:r w:rsidRPr="006922F5">
        <w:rPr>
          <w:b/>
          <w:bCs/>
        </w:rPr>
        <w:t>Artículo 5.</w:t>
      </w:r>
      <w:r w:rsidRPr="006922F5">
        <w:t xml:space="preserve"> (…) </w:t>
      </w:r>
    </w:p>
    <w:p w14:paraId="7A3DA78B" w14:textId="77777777" w:rsidR="000E1ED3" w:rsidRPr="006922F5" w:rsidRDefault="000E1ED3" w:rsidP="000E1ED3">
      <w:pPr>
        <w:pStyle w:val="Fundamentos"/>
      </w:pPr>
      <w:r w:rsidRPr="006922F5">
        <w:t xml:space="preserve">El derecho a la información será garantizado por el Estado. La ley establecerá las previsiones que permitan asegurar la protección, el respeto y la difusión de este derecho. </w:t>
      </w:r>
    </w:p>
    <w:p w14:paraId="2A516F84" w14:textId="77777777" w:rsidR="000E1ED3" w:rsidRPr="006922F5" w:rsidRDefault="000E1ED3" w:rsidP="000E1ED3">
      <w:pPr>
        <w:pStyle w:val="Fundamentos"/>
      </w:pPr>
    </w:p>
    <w:p w14:paraId="112FE3B6" w14:textId="77777777" w:rsidR="000E1ED3" w:rsidRPr="006922F5" w:rsidRDefault="000E1ED3" w:rsidP="000E1ED3">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53F7EE7" w14:textId="77777777" w:rsidR="000E1ED3" w:rsidRPr="006922F5" w:rsidRDefault="000E1ED3" w:rsidP="000E1ED3">
      <w:pPr>
        <w:pStyle w:val="Fundamentos"/>
      </w:pPr>
    </w:p>
    <w:p w14:paraId="1FF45031" w14:textId="77777777" w:rsidR="000E1ED3" w:rsidRPr="006922F5" w:rsidRDefault="000E1ED3" w:rsidP="000E1ED3">
      <w:pPr>
        <w:pStyle w:val="Fundamentos"/>
      </w:pPr>
      <w:r w:rsidRPr="006922F5">
        <w:t>Este derecho se regirá por los principios y bases siguientes:</w:t>
      </w:r>
    </w:p>
    <w:p w14:paraId="7AB52D68" w14:textId="77777777" w:rsidR="000E1ED3" w:rsidRPr="006922F5" w:rsidRDefault="000E1ED3" w:rsidP="000E1ED3">
      <w:pPr>
        <w:pStyle w:val="Fundamentos"/>
      </w:pPr>
    </w:p>
    <w:p w14:paraId="139BE52C" w14:textId="77777777" w:rsidR="000E1ED3" w:rsidRPr="006922F5" w:rsidRDefault="000E1ED3" w:rsidP="000E1ED3">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w:t>
      </w:r>
      <w:r w:rsidRPr="006922F5">
        <w:lastRenderedPageBreak/>
        <w:t>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EB37C29" w14:textId="77777777" w:rsidR="000E1ED3" w:rsidRPr="006922F5" w:rsidRDefault="000E1ED3" w:rsidP="000E1ED3">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26AF0D0F" w14:textId="77777777" w:rsidR="000E1ED3" w:rsidRPr="006922F5" w:rsidRDefault="000E1ED3" w:rsidP="000E1ED3">
      <w:pPr>
        <w:pStyle w:val="Fundamentos"/>
      </w:pPr>
      <w:r w:rsidRPr="006922F5">
        <w:t>III. Toda persona, sin necesidad de acreditar interés alguno o justificar su utilización, tendrá acceso gratuito a la información pública, a sus datos personales o a la rectificación de éstos.</w:t>
      </w:r>
    </w:p>
    <w:p w14:paraId="2494BBF6" w14:textId="77777777" w:rsidR="000E1ED3" w:rsidRPr="006922F5" w:rsidRDefault="000E1ED3" w:rsidP="000E1ED3">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78FB9917" w14:textId="77777777" w:rsidR="000E1ED3" w:rsidRPr="006922F5" w:rsidRDefault="000E1ED3" w:rsidP="000E1ED3">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72D078E" w14:textId="77777777" w:rsidR="000E1ED3" w:rsidRPr="006922F5" w:rsidRDefault="000E1ED3" w:rsidP="000E1ED3">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587CAB2" w14:textId="77777777" w:rsidR="000E1ED3" w:rsidRPr="006922F5" w:rsidRDefault="000E1ED3" w:rsidP="000E1ED3">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0577EF07" w14:textId="77777777" w:rsidR="000E1ED3" w:rsidRPr="006922F5" w:rsidRDefault="000E1ED3" w:rsidP="000E1ED3">
      <w:pPr>
        <w:pBdr>
          <w:top w:val="nil"/>
          <w:left w:val="nil"/>
          <w:bottom w:val="nil"/>
          <w:right w:val="nil"/>
          <w:between w:val="nil"/>
        </w:pBdr>
        <w:contextualSpacing/>
        <w:rPr>
          <w:rFonts w:eastAsia="Palatino Linotype" w:cs="Palatino Linotype"/>
          <w:color w:val="000000"/>
          <w:szCs w:val="24"/>
        </w:rPr>
      </w:pPr>
    </w:p>
    <w:p w14:paraId="65198348" w14:textId="77777777" w:rsidR="000E1ED3" w:rsidRPr="006922F5" w:rsidRDefault="000E1ED3" w:rsidP="000E1ED3">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1ECE53A6" w14:textId="77777777" w:rsidR="000E1ED3" w:rsidRPr="006922F5" w:rsidRDefault="000E1ED3" w:rsidP="000E1ED3">
      <w:pPr>
        <w:rPr>
          <w:rFonts w:eastAsia="Palatino Linotype" w:cs="Palatino Linotype"/>
          <w:szCs w:val="24"/>
        </w:rPr>
      </w:pPr>
    </w:p>
    <w:p w14:paraId="6C6BCFC2" w14:textId="77777777" w:rsidR="000E1ED3" w:rsidRPr="006922F5" w:rsidRDefault="000E1ED3" w:rsidP="000E1ED3">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F0E381D" w14:textId="77777777" w:rsidR="000E1ED3" w:rsidRPr="006922F5" w:rsidRDefault="000E1ED3" w:rsidP="000E1ED3">
      <w:pPr>
        <w:pStyle w:val="Fundamentos"/>
      </w:pPr>
      <w:r w:rsidRPr="006922F5">
        <w:t>(…)</w:t>
      </w:r>
    </w:p>
    <w:p w14:paraId="5F8BAD70" w14:textId="77777777" w:rsidR="000E1ED3" w:rsidRPr="006922F5" w:rsidRDefault="000E1ED3" w:rsidP="000E1ED3">
      <w:pPr>
        <w:pStyle w:val="Fundamentos"/>
      </w:pPr>
      <w:r w:rsidRPr="006922F5">
        <w:rPr>
          <w:b/>
          <w:bCs/>
        </w:rPr>
        <w:lastRenderedPageBreak/>
        <w:t>I</w:t>
      </w:r>
      <w:r>
        <w:rPr>
          <w:b/>
          <w:bCs/>
        </w:rPr>
        <w:t>V</w:t>
      </w:r>
      <w:r w:rsidRPr="006922F5">
        <w:rPr>
          <w:b/>
          <w:bCs/>
        </w:rPr>
        <w:t>.</w:t>
      </w:r>
      <w:r>
        <w:rPr>
          <w:b/>
          <w:bCs/>
        </w:rPr>
        <w:t xml:space="preserve"> </w:t>
      </w:r>
      <w:r>
        <w:t>Los</w:t>
      </w:r>
      <w:r w:rsidRPr="006922F5">
        <w:t xml:space="preserve"> </w:t>
      </w:r>
      <w:r w:rsidRPr="00BA7C85">
        <w:t>ayuntamientos y las dependencias, organismos, órganos y entidades de la administración municipal</w:t>
      </w:r>
      <w:r w:rsidRPr="006922F5">
        <w:t>;</w:t>
      </w:r>
    </w:p>
    <w:p w14:paraId="0C899A1A" w14:textId="77777777" w:rsidR="000E1ED3" w:rsidRPr="006922F5" w:rsidRDefault="000E1ED3" w:rsidP="000E1ED3">
      <w:pPr>
        <w:pStyle w:val="Fundamentos"/>
      </w:pPr>
      <w:r w:rsidRPr="006922F5">
        <w:t>(…)</w:t>
      </w:r>
    </w:p>
    <w:p w14:paraId="15E986F4" w14:textId="77777777" w:rsidR="000E1ED3" w:rsidRDefault="000E1ED3" w:rsidP="000E1ED3">
      <w:pPr>
        <w:pBdr>
          <w:top w:val="nil"/>
          <w:left w:val="nil"/>
          <w:bottom w:val="nil"/>
          <w:right w:val="nil"/>
          <w:between w:val="nil"/>
        </w:pBdr>
        <w:contextualSpacing/>
        <w:rPr>
          <w:szCs w:val="24"/>
        </w:rPr>
      </w:pPr>
    </w:p>
    <w:p w14:paraId="3AEAF843" w14:textId="77777777" w:rsidR="007150B4" w:rsidRDefault="000E1ED3" w:rsidP="000E1ED3">
      <w:r w:rsidRPr="00036045">
        <w:t xml:space="preserve">De lo anterior, resulta pertinente señalar que el presente estudio versará sobre la liga electrónica </w:t>
      </w:r>
      <w:r>
        <w:t>brindada por el Sujeto Obligado. Acotado lo anterior, resulta pertinente señalar que en el presente asu</w:t>
      </w:r>
      <w:r w:rsidR="00FF2043">
        <w:t>nto se pronunció la Titular de la  Tesorería Municipal</w:t>
      </w:r>
      <w:r>
        <w:t xml:space="preserve">, por lo que es pertinente delimitar la esfera de competencia del Sujeto Obligado y traer a colación lo establecido en su Bando Municipal que de acuerdo a los artículos </w:t>
      </w:r>
      <w:r w:rsidR="007150B4">
        <w:t>52, 55, 66 y 67 fracción VIII y XXXII</w:t>
      </w:r>
    </w:p>
    <w:p w14:paraId="6342EFF7" w14:textId="77777777" w:rsidR="007150B4" w:rsidRDefault="007150B4" w:rsidP="000E1ED3"/>
    <w:p w14:paraId="19FCB777" w14:textId="77777777" w:rsidR="000E1ED3" w:rsidRPr="007150B4" w:rsidRDefault="007150B4" w:rsidP="007150B4">
      <w:pPr>
        <w:ind w:firstLine="708"/>
        <w:jc w:val="center"/>
        <w:rPr>
          <w:b/>
          <w:i/>
          <w:sz w:val="22"/>
        </w:rPr>
      </w:pPr>
      <w:r>
        <w:rPr>
          <w:b/>
          <w:i/>
          <w:sz w:val="22"/>
        </w:rPr>
        <w:t>“</w:t>
      </w:r>
      <w:r w:rsidRPr="007150B4">
        <w:rPr>
          <w:b/>
          <w:i/>
          <w:sz w:val="22"/>
        </w:rPr>
        <w:t>CAPÍTULO III DE LA ADMINISTRACIÓN MUNICIPAL</w:t>
      </w:r>
    </w:p>
    <w:p w14:paraId="0F1716D1" w14:textId="77777777" w:rsidR="007150B4" w:rsidRPr="007150B4" w:rsidRDefault="007150B4" w:rsidP="007150B4">
      <w:pPr>
        <w:ind w:left="708"/>
        <w:rPr>
          <w:i/>
          <w:sz w:val="22"/>
        </w:rPr>
      </w:pPr>
      <w:r w:rsidRPr="00FF2043">
        <w:rPr>
          <w:b/>
          <w:i/>
          <w:sz w:val="22"/>
        </w:rPr>
        <w:t>Artículo 52.- La Presidenta Municipal determinará las dependencias y unidades administrativas de apoyo administrativo, técnico y asesoría que requiera la Administración Municipal y</w:t>
      </w:r>
      <w:r w:rsidRPr="007150B4">
        <w:rPr>
          <w:i/>
          <w:sz w:val="22"/>
        </w:rPr>
        <w:t xml:space="preserve"> designará al personal en función y de nuevo ingreso, de acuerdo a los requerimientos de los programas; de igual forma, ordenará la práctica de auditorías y evaluaciones de desempeño de los servidores públicos municipales con apoyo de la Contraloría Municipal.</w:t>
      </w:r>
      <w:r>
        <w:rPr>
          <w:i/>
          <w:sz w:val="22"/>
        </w:rPr>
        <w:t>”</w:t>
      </w:r>
    </w:p>
    <w:p w14:paraId="03D30774" w14:textId="77777777" w:rsidR="007150B4" w:rsidRPr="007150B4" w:rsidRDefault="007150B4" w:rsidP="005168D8">
      <w:pPr>
        <w:rPr>
          <w:i/>
          <w:sz w:val="22"/>
        </w:rPr>
      </w:pPr>
    </w:p>
    <w:p w14:paraId="51D1911B" w14:textId="77777777" w:rsidR="007150B4" w:rsidRPr="007150B4" w:rsidRDefault="007150B4" w:rsidP="007150B4">
      <w:pPr>
        <w:ind w:left="708"/>
        <w:rPr>
          <w:i/>
          <w:sz w:val="22"/>
        </w:rPr>
      </w:pPr>
      <w:r>
        <w:rPr>
          <w:b/>
          <w:i/>
          <w:sz w:val="22"/>
        </w:rPr>
        <w:t>“</w:t>
      </w:r>
      <w:r w:rsidRPr="007150B4">
        <w:rPr>
          <w:b/>
          <w:i/>
          <w:sz w:val="22"/>
        </w:rPr>
        <w:t>Artículo 55</w:t>
      </w:r>
      <w:r w:rsidRPr="007150B4">
        <w:rPr>
          <w:i/>
          <w:sz w:val="22"/>
        </w:rPr>
        <w:t xml:space="preserve">.- Para el ejercicio y despacho de sus atribuciones y responsabilidades ejecutivas, el </w:t>
      </w:r>
      <w:r w:rsidRPr="00FF2043">
        <w:rPr>
          <w:b/>
          <w:i/>
          <w:sz w:val="22"/>
        </w:rPr>
        <w:t>Ayuntamiento se auxiliará con las dependencias</w:t>
      </w:r>
      <w:r w:rsidRPr="007150B4">
        <w:rPr>
          <w:i/>
          <w:sz w:val="22"/>
        </w:rPr>
        <w:t>, direcciones, subdirecciones, coordinaciones y departamentos de la Administración Pública Municipal, que en cada caso y según corresponda acuerde el Cabildo a propuesta de la Presidenta Municipal, las cuales estarán subordinadas a la Presidenta Municipal; siendo éstas las siguientes:</w:t>
      </w:r>
    </w:p>
    <w:p w14:paraId="6FB899D7" w14:textId="77777777" w:rsidR="007150B4" w:rsidRDefault="007150B4" w:rsidP="007150B4">
      <w:pPr>
        <w:pStyle w:val="Prrafodelista"/>
        <w:numPr>
          <w:ilvl w:val="0"/>
          <w:numId w:val="7"/>
        </w:numPr>
        <w:rPr>
          <w:i/>
          <w:sz w:val="22"/>
          <w:szCs w:val="22"/>
        </w:rPr>
      </w:pPr>
      <w:r w:rsidRPr="007150B4">
        <w:rPr>
          <w:i/>
          <w:sz w:val="22"/>
          <w:szCs w:val="22"/>
        </w:rPr>
        <w:t>DEPENDENCIAS CENTRALIZADAS</w:t>
      </w:r>
    </w:p>
    <w:p w14:paraId="17F2AF90" w14:textId="77777777" w:rsidR="007150B4" w:rsidRPr="007150B4" w:rsidRDefault="007150B4" w:rsidP="007150B4">
      <w:pPr>
        <w:pStyle w:val="Prrafodelista"/>
        <w:ind w:left="1068"/>
        <w:rPr>
          <w:i/>
          <w:sz w:val="22"/>
          <w:szCs w:val="22"/>
        </w:rPr>
      </w:pPr>
      <w:r>
        <w:rPr>
          <w:i/>
          <w:sz w:val="22"/>
          <w:szCs w:val="22"/>
        </w:rPr>
        <w:t>(…)</w:t>
      </w:r>
    </w:p>
    <w:p w14:paraId="5445F4DD" w14:textId="77777777" w:rsidR="007150B4" w:rsidRDefault="007150B4" w:rsidP="007150B4">
      <w:pPr>
        <w:pStyle w:val="Prrafodelista"/>
        <w:ind w:left="1068"/>
        <w:rPr>
          <w:b/>
          <w:i/>
          <w:sz w:val="22"/>
          <w:szCs w:val="22"/>
        </w:rPr>
      </w:pPr>
      <w:r w:rsidRPr="007150B4">
        <w:rPr>
          <w:b/>
          <w:i/>
          <w:sz w:val="22"/>
          <w:szCs w:val="22"/>
        </w:rPr>
        <w:lastRenderedPageBreak/>
        <w:t>VII. Tesorería Municipal;</w:t>
      </w:r>
    </w:p>
    <w:p w14:paraId="1ACF9C0D" w14:textId="77777777" w:rsidR="007150B4" w:rsidRPr="007150B4" w:rsidRDefault="007150B4" w:rsidP="007150B4">
      <w:pPr>
        <w:pStyle w:val="Prrafodelista"/>
        <w:ind w:left="1068"/>
        <w:rPr>
          <w:b/>
          <w:i/>
          <w:sz w:val="22"/>
          <w:szCs w:val="22"/>
        </w:rPr>
      </w:pPr>
      <w:r>
        <w:rPr>
          <w:b/>
          <w:i/>
          <w:sz w:val="22"/>
          <w:szCs w:val="22"/>
        </w:rPr>
        <w:t>(…)”</w:t>
      </w:r>
    </w:p>
    <w:p w14:paraId="29A2696E" w14:textId="77777777" w:rsidR="005168D8" w:rsidRPr="007150B4" w:rsidRDefault="005168D8" w:rsidP="005168D8">
      <w:pPr>
        <w:rPr>
          <w:rFonts w:cs="Arial"/>
          <w:i/>
          <w:sz w:val="22"/>
        </w:rPr>
      </w:pPr>
    </w:p>
    <w:p w14:paraId="56B3581B" w14:textId="77777777" w:rsidR="007150B4" w:rsidRPr="007150B4" w:rsidRDefault="007150B4" w:rsidP="007150B4">
      <w:pPr>
        <w:ind w:left="708"/>
        <w:jc w:val="center"/>
        <w:rPr>
          <w:b/>
          <w:i/>
          <w:sz w:val="22"/>
        </w:rPr>
      </w:pPr>
      <w:r>
        <w:rPr>
          <w:b/>
          <w:i/>
          <w:sz w:val="22"/>
        </w:rPr>
        <w:t>“</w:t>
      </w:r>
      <w:r w:rsidRPr="007150B4">
        <w:rPr>
          <w:b/>
          <w:i/>
          <w:sz w:val="22"/>
        </w:rPr>
        <w:t>DE LA TESORERÍA MUNICIPAL</w:t>
      </w:r>
    </w:p>
    <w:p w14:paraId="3947F806" w14:textId="77777777" w:rsidR="000E1ED3" w:rsidRPr="007150B4" w:rsidRDefault="007150B4" w:rsidP="007150B4">
      <w:pPr>
        <w:ind w:left="708"/>
        <w:rPr>
          <w:i/>
          <w:sz w:val="22"/>
        </w:rPr>
      </w:pPr>
      <w:r w:rsidRPr="007150B4">
        <w:rPr>
          <w:b/>
          <w:i/>
          <w:sz w:val="22"/>
        </w:rPr>
        <w:t>Artículo 66</w:t>
      </w:r>
      <w:r w:rsidRPr="007150B4">
        <w:rPr>
          <w:i/>
          <w:sz w:val="22"/>
        </w:rPr>
        <w:t>.- La Tesorería Municipal, es la dependencia encargada de la recaudación de los ingresos municipales y responsable de realizar las erogaciones que haga el Ayuntamiento; estará a cargo de un Tesorero, el cual al tomar posesión de su cargo, recibirá la Hacienda Pública de acuerdo con las previsiones a que se refiere el artículo 19 de la Ley Orgánica y remitirá un ejemplar de dicha documentación al Ayuntamiento, al Órgano Superior de Fiscalización del Estado de México y al archivo de la Tesorería. El cargo de Tesorero Municipal es aprobado por el Ayuntamiento a propuesta de la Presidenta Municipal; quien deberá cumplir con lo señalado en los artículos 32 y 96 de la Ley Orgánica Municipal del Estado de México.</w:t>
      </w:r>
      <w:r>
        <w:rPr>
          <w:i/>
          <w:sz w:val="22"/>
        </w:rPr>
        <w:t>”</w:t>
      </w:r>
    </w:p>
    <w:p w14:paraId="1902CD75" w14:textId="77777777" w:rsidR="007150B4" w:rsidRPr="007150B4" w:rsidRDefault="007150B4" w:rsidP="007150B4">
      <w:pPr>
        <w:ind w:left="708"/>
        <w:rPr>
          <w:i/>
          <w:sz w:val="22"/>
        </w:rPr>
      </w:pPr>
    </w:p>
    <w:p w14:paraId="1B90BBBA" w14:textId="77777777" w:rsidR="007150B4" w:rsidRPr="007150B4" w:rsidRDefault="007150B4" w:rsidP="007150B4">
      <w:pPr>
        <w:ind w:left="708"/>
        <w:rPr>
          <w:i/>
          <w:sz w:val="22"/>
        </w:rPr>
      </w:pPr>
      <w:r>
        <w:rPr>
          <w:b/>
          <w:i/>
          <w:sz w:val="22"/>
        </w:rPr>
        <w:t>“</w:t>
      </w:r>
      <w:r w:rsidRPr="007150B4">
        <w:rPr>
          <w:b/>
          <w:i/>
          <w:sz w:val="22"/>
        </w:rPr>
        <w:t>Artículo 67.- Son atribuciones de la Tesorería Municipal</w:t>
      </w:r>
      <w:r w:rsidRPr="007150B4">
        <w:rPr>
          <w:i/>
          <w:sz w:val="22"/>
        </w:rPr>
        <w:t>:</w:t>
      </w:r>
    </w:p>
    <w:p w14:paraId="1A7E8738" w14:textId="77777777" w:rsidR="007150B4" w:rsidRPr="007150B4" w:rsidRDefault="007150B4" w:rsidP="007150B4">
      <w:pPr>
        <w:ind w:left="708"/>
        <w:rPr>
          <w:i/>
          <w:sz w:val="22"/>
        </w:rPr>
      </w:pPr>
      <w:r w:rsidRPr="007150B4">
        <w:rPr>
          <w:i/>
          <w:sz w:val="22"/>
        </w:rPr>
        <w:t>(…)</w:t>
      </w:r>
    </w:p>
    <w:p w14:paraId="03162F1D" w14:textId="77777777" w:rsidR="007150B4" w:rsidRPr="007150B4" w:rsidRDefault="007150B4" w:rsidP="007150B4">
      <w:pPr>
        <w:ind w:left="708"/>
        <w:rPr>
          <w:i/>
          <w:sz w:val="22"/>
        </w:rPr>
      </w:pPr>
      <w:r w:rsidRPr="007150B4">
        <w:rPr>
          <w:b/>
          <w:i/>
          <w:sz w:val="22"/>
        </w:rPr>
        <w:t>VIII</w:t>
      </w:r>
      <w:r w:rsidRPr="007150B4">
        <w:rPr>
          <w:i/>
          <w:sz w:val="22"/>
        </w:rPr>
        <w:t>. Llevar los registros contables, financieros y administrativos de los ingresos, egresos, e inventarios;</w:t>
      </w:r>
    </w:p>
    <w:p w14:paraId="051A0EC1" w14:textId="77777777" w:rsidR="007150B4" w:rsidRPr="007150B4" w:rsidRDefault="007150B4" w:rsidP="007150B4">
      <w:pPr>
        <w:ind w:left="708"/>
        <w:rPr>
          <w:i/>
          <w:sz w:val="22"/>
        </w:rPr>
      </w:pPr>
      <w:r w:rsidRPr="007150B4">
        <w:rPr>
          <w:i/>
          <w:sz w:val="22"/>
        </w:rPr>
        <w:t xml:space="preserve">(…) </w:t>
      </w:r>
    </w:p>
    <w:p w14:paraId="53B4C3D4" w14:textId="77777777" w:rsidR="000E1ED3" w:rsidRPr="00180802" w:rsidRDefault="007150B4" w:rsidP="00180802">
      <w:pPr>
        <w:ind w:left="708"/>
        <w:rPr>
          <w:rFonts w:cs="Arial"/>
          <w:i/>
          <w:sz w:val="22"/>
        </w:rPr>
      </w:pPr>
      <w:r w:rsidRPr="007150B4">
        <w:rPr>
          <w:b/>
          <w:i/>
          <w:sz w:val="22"/>
        </w:rPr>
        <w:t>XXXII.</w:t>
      </w:r>
      <w:r w:rsidRPr="007150B4">
        <w:rPr>
          <w:i/>
          <w:sz w:val="22"/>
        </w:rPr>
        <w:t xml:space="preserve"> Ejercer todas aquellas atribuciones que sean de su competencia.</w:t>
      </w:r>
      <w:r>
        <w:rPr>
          <w:i/>
          <w:sz w:val="22"/>
        </w:rPr>
        <w:t>”</w:t>
      </w:r>
    </w:p>
    <w:p w14:paraId="58C971F3" w14:textId="77777777" w:rsidR="000E1ED3" w:rsidRDefault="000E1ED3" w:rsidP="005168D8">
      <w:pPr>
        <w:rPr>
          <w:rFonts w:eastAsia="Palatino Linotype" w:cs="Palatino Linotype"/>
          <w:color w:val="000000"/>
          <w:szCs w:val="24"/>
        </w:rPr>
      </w:pPr>
    </w:p>
    <w:p w14:paraId="43254EF2" w14:textId="77777777" w:rsidR="00180802" w:rsidRDefault="005168D8" w:rsidP="005168D8">
      <w:r w:rsidRPr="00036045">
        <w:t xml:space="preserve">De lo anterior, </w:t>
      </w:r>
      <w:r>
        <w:t xml:space="preserve">resulta pertinente </w:t>
      </w:r>
      <w:r w:rsidR="00180802">
        <w:t xml:space="preserve">establecer que el Servidor Público Habilitado que se pronunció como poseedor de la información fue la Titular de la Tesorería Municipal al enviar mediante respuesta e informe justificado tres ligas electrónicas en las que se puede podría consultar la información. </w:t>
      </w:r>
    </w:p>
    <w:p w14:paraId="09526153" w14:textId="77777777" w:rsidR="00180802" w:rsidRDefault="00180802" w:rsidP="005168D8"/>
    <w:p w14:paraId="386C649A" w14:textId="77777777" w:rsidR="00180802" w:rsidRPr="00180802" w:rsidRDefault="00180802" w:rsidP="005168D8">
      <w:r>
        <w:lastRenderedPageBreak/>
        <w:t xml:space="preserve"> En tal tesitura, este Organismo Garante procedió a consultar las ligas electrónicas proporcionadas en los siguientes términos:</w:t>
      </w:r>
    </w:p>
    <w:p w14:paraId="315C2B4F" w14:textId="77777777" w:rsidR="00180802" w:rsidRDefault="00180802" w:rsidP="005168D8">
      <w:pPr>
        <w:rPr>
          <w:b/>
          <w:i/>
          <w:sz w:val="22"/>
        </w:rPr>
      </w:pPr>
    </w:p>
    <w:p w14:paraId="37F6347D" w14:textId="77777777" w:rsidR="00180802" w:rsidRPr="003271C9" w:rsidRDefault="00180802" w:rsidP="00180802">
      <w:pPr>
        <w:pStyle w:val="Prrafodelista"/>
        <w:numPr>
          <w:ilvl w:val="0"/>
          <w:numId w:val="8"/>
        </w:numPr>
        <w:rPr>
          <w:rFonts w:eastAsia="Palatino Linotype" w:cs="Palatino Linotype"/>
          <w:color w:val="000000"/>
        </w:rPr>
      </w:pPr>
      <w:r>
        <w:t xml:space="preserve">Desarrollo social </w:t>
      </w:r>
    </w:p>
    <w:p w14:paraId="7B48817D" w14:textId="77777777" w:rsidR="00180802" w:rsidRPr="008B227E" w:rsidRDefault="00180802" w:rsidP="00180802">
      <w:pPr>
        <w:pStyle w:val="Prrafodelista"/>
        <w:ind w:left="1080"/>
        <w:rPr>
          <w:sz w:val="20"/>
          <w:szCs w:val="20"/>
        </w:rPr>
      </w:pPr>
      <w:r w:rsidRPr="008B227E">
        <w:rPr>
          <w:sz w:val="20"/>
          <w:szCs w:val="20"/>
        </w:rPr>
        <w:t>https://www.ipomex.org.mx/ipo3/lgt/indice/SANJOSEDELRINCON/art_92_viii/5/0/89570.web?token=03AFcWeA</w:t>
      </w:r>
      <w:r>
        <w:rPr>
          <w:sz w:val="20"/>
          <w:szCs w:val="20"/>
        </w:rPr>
        <w:t>6yFVUVVofVT7I-</w:t>
      </w:r>
      <w:r w:rsidRPr="008B227E">
        <w:rPr>
          <w:sz w:val="20"/>
          <w:szCs w:val="20"/>
        </w:rPr>
        <w:t>myw5DV3LdXgi6v5eDOClcIYGE6HWULKqOMRDi3RdssYO3u9L2AKhw5kTqCOj8LFbtLnCrnIRId-dMRdp__rfDb0CdyRVFGt7h8myeHz-97QhD1v0wvOWLtTZnXd0-Vd9--zr7tbft1icMuWBypxXPS1m8nG-dgd4O0- mM7z8vVaJBrzvBkQi4q518BQqk1XkbzyYgYH6oBUPqT1WfXvCPF4jT0vcXLfdRiRSi0usvmbHFUXIO5qy5U81F 7XhWN1IjhKhaO1PvZgGbZZGRwHhkcMCOZO1Q7ISFtl1xIO_h1u5ioOSe0TWm0056SWjvJE8JsBR4q5L60cLA ORRHOJFL04FZfjR4XI_OAaFKZK0Vxgw2cBbosNtPulX7o1_VHo5MY_BrGBu834BqZpmWgfjuDuTofQe1k_vpF Btk_MoY6Vg6q9mJjZnMezXdznrPA6SPOqRXv0Jne8eLLXfSFf2_tQD6sYDhX9y8YSW0UrZZz-fWZEp1Swm4sCe_2lGwbdcyHkvuxovjmagBUMpf3IIXqmoBaZKZDVeUn3mI3OjuKB23r_LDLrnQlWPOSok5X69LaHL8kFb T4MxpnPYRS3kwQtbYO1OjqUuc9jAurgGvdoCmULSofR1i</w:t>
      </w:r>
    </w:p>
    <w:p w14:paraId="279C8FB3" w14:textId="77777777" w:rsidR="00180802" w:rsidRDefault="00180802" w:rsidP="00180802">
      <w:pPr>
        <w:pStyle w:val="Prrafodelista"/>
        <w:ind w:left="1080"/>
        <w:jc w:val="center"/>
        <w:rPr>
          <w:rFonts w:eastAsia="Palatino Linotype" w:cs="Palatino Linotype"/>
          <w:color w:val="000000"/>
        </w:rPr>
      </w:pPr>
      <w:r w:rsidRPr="00180802">
        <w:rPr>
          <w:noProof/>
          <w:lang w:val="es-MX" w:eastAsia="es-MX"/>
        </w:rPr>
        <w:lastRenderedPageBreak/>
        <w:drawing>
          <wp:inline distT="0" distB="0" distL="0" distR="0" wp14:anchorId="08733676" wp14:editId="46FCF7F3">
            <wp:extent cx="3156152" cy="387096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4589" cy="3905837"/>
                    </a:xfrm>
                    <a:prstGeom prst="rect">
                      <a:avLst/>
                    </a:prstGeom>
                  </pic:spPr>
                </pic:pic>
              </a:graphicData>
            </a:graphic>
          </wp:inline>
        </w:drawing>
      </w:r>
    </w:p>
    <w:p w14:paraId="3C418019" w14:textId="77777777" w:rsidR="00180802" w:rsidRDefault="00180802" w:rsidP="00180802">
      <w:pPr>
        <w:pStyle w:val="Prrafodelista"/>
        <w:ind w:left="1080"/>
        <w:jc w:val="center"/>
        <w:rPr>
          <w:rFonts w:eastAsia="Palatino Linotype" w:cs="Palatino Linotype"/>
          <w:color w:val="000000"/>
        </w:rPr>
      </w:pPr>
    </w:p>
    <w:p w14:paraId="37DC1028" w14:textId="77777777" w:rsidR="00180802" w:rsidRPr="008B227E" w:rsidRDefault="00180802" w:rsidP="00180802">
      <w:pPr>
        <w:pStyle w:val="Prrafodelista"/>
        <w:ind w:left="1080"/>
        <w:jc w:val="center"/>
        <w:rPr>
          <w:rFonts w:eastAsia="Palatino Linotype" w:cs="Palatino Linotype"/>
          <w:color w:val="000000"/>
        </w:rPr>
      </w:pPr>
    </w:p>
    <w:p w14:paraId="1064968A" w14:textId="77777777" w:rsidR="00180802" w:rsidRPr="008B227E" w:rsidRDefault="00180802" w:rsidP="00180802">
      <w:pPr>
        <w:pStyle w:val="Prrafodelista"/>
        <w:numPr>
          <w:ilvl w:val="0"/>
          <w:numId w:val="8"/>
        </w:numPr>
        <w:rPr>
          <w:rFonts w:eastAsia="Palatino Linotype" w:cs="Palatino Linotype"/>
          <w:color w:val="000000"/>
        </w:rPr>
      </w:pPr>
      <w:r>
        <w:t xml:space="preserve">Administración </w:t>
      </w:r>
    </w:p>
    <w:p w14:paraId="7DEFF4F6" w14:textId="77777777" w:rsidR="00180802" w:rsidRDefault="00180802" w:rsidP="00180802">
      <w:pPr>
        <w:pStyle w:val="Prrafodelista"/>
        <w:ind w:left="1080"/>
        <w:rPr>
          <w:sz w:val="20"/>
          <w:szCs w:val="20"/>
        </w:rPr>
      </w:pPr>
      <w:r w:rsidRPr="008B227E">
        <w:rPr>
          <w:sz w:val="20"/>
          <w:szCs w:val="20"/>
        </w:rPr>
        <w:t xml:space="preserve">https://www.ipomex.org.mx/ipo3/lgt/indice/SANJOSEDELRINCON/art_92_viii/5/30/89568.web?token=03AFcWe A4-0p112QMfAVCn6BXzYu2lpWd_Swt68khAgky1vxTX7VCPd4vystW65X6pBOIteTGHw7fryTb0pe32eZMHv0ibREifdrEdQEZ8GbNx0WHwXCCFNI8SYWl4RAK4x9 U9fSCCxV3P5UqPkgCFPFxXNyz2W4_8NqMbTBWsbfsqLSZL_R1C7H1QJBXcs1krVyDaM_0AL4o2CleZeRN5K14cMl1FT6a8nMx jN5XE0JaiwyT0LH6oN0RNPl2r9LVok_3s1n0U_HXOeZQDCMHgi_KYC5FZwc7mDU3cWQTvpQFWFqxppV05 St9h6h4wgt5i-EX_bD2nci2ACsWn4N0y7n62aoZjT_hVhm0YTjCy_BRSd_XGC2xkezuEIFgXIYiPMaJZhKyKUzV0dXpdhnWh1wtSCNAZlz </w:t>
      </w:r>
      <w:r w:rsidRPr="008B227E">
        <w:rPr>
          <w:sz w:val="20"/>
          <w:szCs w:val="20"/>
        </w:rPr>
        <w:lastRenderedPageBreak/>
        <w:t xml:space="preserve">1RYJ34RlRcCYmMmFMIgQpN2w0LwtPnCV2niXsvVOEnrQLgFiMbSz93bHyPL2oVplWR8EevrbiNTMczPwoX4uyz4Cqeh0qu8NuJXLXrhNU8OkTWqSklKQ3XNJzsPAVrqFr9WAEYIjI3f0jVNYGgEuScrc_4d_5k0CLMckJEGYyL5GwZW 0JoAhTUAz7TyM3EpEmt9QJRzU42m-_fgfQ9iuWKmp_qrMNXRNB4Efrwx1T </w:t>
      </w:r>
    </w:p>
    <w:p w14:paraId="7995707C" w14:textId="77777777" w:rsidR="00180802" w:rsidRDefault="00180802" w:rsidP="00180802">
      <w:pPr>
        <w:pStyle w:val="Prrafodelista"/>
        <w:ind w:left="1080"/>
        <w:jc w:val="center"/>
        <w:rPr>
          <w:sz w:val="20"/>
          <w:szCs w:val="20"/>
        </w:rPr>
      </w:pPr>
      <w:r w:rsidRPr="00180802">
        <w:rPr>
          <w:noProof/>
          <w:sz w:val="20"/>
          <w:szCs w:val="20"/>
          <w:lang w:val="es-MX" w:eastAsia="es-MX"/>
        </w:rPr>
        <w:drawing>
          <wp:inline distT="0" distB="0" distL="0" distR="0" wp14:anchorId="71C1101F" wp14:editId="16947637">
            <wp:extent cx="3185795" cy="3257347"/>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8809" cy="3321777"/>
                    </a:xfrm>
                    <a:prstGeom prst="rect">
                      <a:avLst/>
                    </a:prstGeom>
                  </pic:spPr>
                </pic:pic>
              </a:graphicData>
            </a:graphic>
          </wp:inline>
        </w:drawing>
      </w:r>
    </w:p>
    <w:p w14:paraId="75092D45" w14:textId="77777777" w:rsidR="00180802" w:rsidRPr="008B227E" w:rsidRDefault="00180802" w:rsidP="00180802">
      <w:pPr>
        <w:pStyle w:val="Prrafodelista"/>
        <w:ind w:left="1080"/>
        <w:rPr>
          <w:rFonts w:eastAsia="Palatino Linotype" w:cs="Palatino Linotype"/>
          <w:color w:val="000000"/>
          <w:sz w:val="20"/>
          <w:szCs w:val="20"/>
        </w:rPr>
      </w:pPr>
    </w:p>
    <w:p w14:paraId="7C1AA361" w14:textId="77777777" w:rsidR="00180802" w:rsidRPr="008B227E" w:rsidRDefault="00180802" w:rsidP="00180802">
      <w:pPr>
        <w:pStyle w:val="Prrafodelista"/>
        <w:numPr>
          <w:ilvl w:val="0"/>
          <w:numId w:val="8"/>
        </w:numPr>
        <w:rPr>
          <w:rFonts w:eastAsia="Palatino Linotype" w:cs="Palatino Linotype"/>
          <w:color w:val="000000"/>
        </w:rPr>
      </w:pPr>
      <w:r>
        <w:t xml:space="preserve">Tesorería </w:t>
      </w:r>
    </w:p>
    <w:p w14:paraId="24FAAF0F" w14:textId="77777777" w:rsidR="00180802" w:rsidRPr="008B227E" w:rsidRDefault="00180802" w:rsidP="00180802">
      <w:pPr>
        <w:pStyle w:val="Prrafodelista"/>
        <w:ind w:left="1080"/>
        <w:rPr>
          <w:rFonts w:eastAsia="Palatino Linotype" w:cs="Palatino Linotype"/>
          <w:color w:val="000000"/>
          <w:sz w:val="20"/>
          <w:szCs w:val="20"/>
        </w:rPr>
      </w:pPr>
      <w:r w:rsidRPr="008B227E">
        <w:rPr>
          <w:sz w:val="20"/>
          <w:szCs w:val="20"/>
        </w:rPr>
        <w:t xml:space="preserve">https://www.ipomex.org.mx/ipo3/lgt/indice/SANJOSEDELRINCON/art_92_viii/5/0/89567.web?token=03AFcWeA 7gzALH07W-1sfhJpLqf6A48Dz4vXwIkiEPzu5TDXf_JlG9d0mfU9Ceu9ofsHbvBMSKGDO9BNaSELnhG_cjjXbvsjkTXextENzZrqFv0tfi22amfLNRibPTLPu_4vupzdNZWY22hhSZQrb3YdQ J1gjuZERZxUjJrAq50qxUGgHHPDceznansbjnVhPHZt3suErwo2GYUyVeDyE7B53XXTwb49EkKVGJu9Oz1EqVbI125ZYJBRtSDEF-WXlioP1Z-E9PqOwaMdXNBNVKaHcigjjxhPa3z3x_E2YPuh9Jxcd58p0zNKZhEzZhn3_HL2My5hGH9uLYU3thnqAFcaDRngpoGkBZUGdTPdiLbm3KzctFk6FifLZVdLrTrJ2fcha3VznBrXSKtbe UVmtQ-lFyX5ZYy6a0RjC7Di03u8- </w:t>
      </w:r>
      <w:r w:rsidRPr="008B227E">
        <w:rPr>
          <w:sz w:val="20"/>
          <w:szCs w:val="20"/>
        </w:rPr>
        <w:lastRenderedPageBreak/>
        <w:t>_XFKOj35rKarMbpgZVuLPnk8FpaFuX6X_Kp7SEqZHHaqIJaBmuqxMJoo5DnCZqtOsp8xT5Hn_dJTlA99bJKHZ 3iOLkw884RjYJc16swXK2l4ggufaD0uMiFS1NvU0orlXhBk8HEzVHfxWWPChYrJjETFEur8yrdSPhcrm9Pc2ZX6A4ke-wD-_8n-ol2xhIKeriKciNWZcShkmTirqbGtqiw4_JiV</w:t>
      </w:r>
    </w:p>
    <w:p w14:paraId="401A9ECD" w14:textId="77777777" w:rsidR="00180802" w:rsidRDefault="00180802" w:rsidP="00180802">
      <w:pPr>
        <w:jc w:val="center"/>
        <w:rPr>
          <w:b/>
          <w:i/>
          <w:sz w:val="22"/>
        </w:rPr>
      </w:pPr>
      <w:r w:rsidRPr="00180802">
        <w:rPr>
          <w:b/>
          <w:i/>
          <w:noProof/>
          <w:sz w:val="22"/>
          <w:lang w:val="es-MX"/>
        </w:rPr>
        <w:drawing>
          <wp:inline distT="0" distB="0" distL="0" distR="0" wp14:anchorId="5887E6AF" wp14:editId="70A9A515">
            <wp:extent cx="3324860" cy="3599947"/>
            <wp:effectExtent l="0" t="0" r="889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9665" cy="3659286"/>
                    </a:xfrm>
                    <a:prstGeom prst="rect">
                      <a:avLst/>
                    </a:prstGeom>
                  </pic:spPr>
                </pic:pic>
              </a:graphicData>
            </a:graphic>
          </wp:inline>
        </w:drawing>
      </w:r>
    </w:p>
    <w:p w14:paraId="584AFBD5" w14:textId="77777777" w:rsidR="00180802" w:rsidRDefault="00180802" w:rsidP="005168D8">
      <w:pPr>
        <w:rPr>
          <w:b/>
          <w:i/>
          <w:sz w:val="22"/>
        </w:rPr>
      </w:pPr>
    </w:p>
    <w:p w14:paraId="4FAC00A8" w14:textId="77777777" w:rsidR="00180802" w:rsidRPr="00180802" w:rsidRDefault="00180802" w:rsidP="005168D8">
      <w:pPr>
        <w:rPr>
          <w:szCs w:val="24"/>
        </w:rPr>
      </w:pPr>
      <w:r w:rsidRPr="00180802">
        <w:rPr>
          <w:szCs w:val="24"/>
        </w:rPr>
        <w:t xml:space="preserve">Conforme lo anterior </w:t>
      </w:r>
      <w:r w:rsidR="00FF2043">
        <w:rPr>
          <w:szCs w:val="24"/>
        </w:rPr>
        <w:t xml:space="preserve"> en todos los casos se obtuvo la </w:t>
      </w:r>
      <w:r w:rsidR="0077504A">
        <w:rPr>
          <w:szCs w:val="24"/>
        </w:rPr>
        <w:t xml:space="preserve">dirección al apartado de Remuneraciones del sitio Información Pública de Oficio Mexiquense (IPOMEX) el cual si bien contiene el sueldo neto y bruto de los servidores públicos adscritos al ayuntamiento de San José del Rincón también lo es que en dichas páginas nos e encuentra lo solicitado por el Recurrente. </w:t>
      </w:r>
    </w:p>
    <w:p w14:paraId="14A2048D" w14:textId="77777777" w:rsidR="005168D8" w:rsidRDefault="005168D8" w:rsidP="00180802">
      <w:pPr>
        <w:ind w:right="49"/>
        <w:rPr>
          <w:noProof/>
          <w:lang w:val="es-MX"/>
          <w14:ligatures w14:val="standardContextual"/>
        </w:rPr>
      </w:pPr>
    </w:p>
    <w:p w14:paraId="26954EB2" w14:textId="77777777" w:rsidR="0077504A" w:rsidRPr="00A1787D" w:rsidRDefault="0077504A" w:rsidP="0077504A">
      <w:r>
        <w:rPr>
          <w:noProof/>
          <w:lang w:val="es-MX"/>
          <w14:ligatures w14:val="standardContextual"/>
        </w:rPr>
        <w:t xml:space="preserve">En consecuencia </w:t>
      </w:r>
      <w:r>
        <w:t xml:space="preserve">si bien el Sujeto Obligado pretendió satisfacer los requerimientos solicitados por el recurrente no observo lo estipulado en los artículos 11 y 161 de la Ley </w:t>
      </w:r>
      <w:r>
        <w:lastRenderedPageBreak/>
        <w:t xml:space="preserve">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48F8C25A" w14:textId="77777777" w:rsidR="0077504A" w:rsidRDefault="0077504A" w:rsidP="0077504A">
      <w:pPr>
        <w:rPr>
          <w:i/>
          <w:sz w:val="22"/>
        </w:rPr>
      </w:pPr>
    </w:p>
    <w:p w14:paraId="0A44DFAC" w14:textId="77777777" w:rsidR="0077504A" w:rsidRPr="00CD70FF" w:rsidRDefault="0077504A" w:rsidP="0077504A">
      <w:pPr>
        <w:ind w:left="708"/>
        <w:rPr>
          <w:i/>
          <w:sz w:val="22"/>
        </w:rPr>
      </w:pPr>
      <w:r w:rsidRPr="00CD70FF">
        <w:rPr>
          <w:i/>
          <w:sz w:val="22"/>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0F458F52" w14:textId="77777777" w:rsidR="0077504A" w:rsidRPr="00CD70FF" w:rsidRDefault="0077504A" w:rsidP="0077504A">
      <w:pPr>
        <w:ind w:left="708"/>
        <w:rPr>
          <w:i/>
          <w:sz w:val="22"/>
        </w:rPr>
      </w:pPr>
    </w:p>
    <w:p w14:paraId="7A97FB5A" w14:textId="77777777" w:rsidR="0077504A" w:rsidRPr="00CD70FF" w:rsidRDefault="0077504A" w:rsidP="0077504A">
      <w:pPr>
        <w:ind w:left="708"/>
        <w:rPr>
          <w:i/>
          <w:sz w:val="22"/>
        </w:rPr>
      </w:pPr>
      <w:r w:rsidRPr="00CD70FF">
        <w:rPr>
          <w:i/>
          <w:sz w:val="22"/>
        </w:rPr>
        <w:t xml:space="preserve">(…) </w:t>
      </w:r>
    </w:p>
    <w:p w14:paraId="33929F3C" w14:textId="77777777" w:rsidR="0077504A" w:rsidRPr="00CD70FF" w:rsidRDefault="0077504A" w:rsidP="0077504A">
      <w:pPr>
        <w:ind w:left="708"/>
        <w:rPr>
          <w:i/>
          <w:sz w:val="22"/>
        </w:rPr>
      </w:pPr>
    </w:p>
    <w:p w14:paraId="1AF39E3C" w14:textId="77777777" w:rsidR="0077504A" w:rsidRPr="00CD70FF" w:rsidRDefault="0077504A" w:rsidP="0077504A">
      <w:pPr>
        <w:ind w:left="708"/>
        <w:rPr>
          <w:i/>
          <w:sz w:val="22"/>
        </w:rPr>
      </w:pPr>
      <w:r w:rsidRPr="00CD70FF">
        <w:rPr>
          <w:i/>
          <w:sz w:val="22"/>
        </w:rPr>
        <w:t xml:space="preserve">Artículo 161. </w:t>
      </w:r>
      <w:r w:rsidRPr="00CD70FF">
        <w:rPr>
          <w:b/>
          <w:i/>
          <w:sz w:val="22"/>
        </w:rPr>
        <w:t xml:space="preserve">Cuando la información requerida por el solicitante ya esté disponible al público </w:t>
      </w:r>
      <w:r w:rsidRPr="00CD70FF">
        <w:rPr>
          <w:i/>
          <w:sz w:val="22"/>
        </w:rPr>
        <w:t xml:space="preserve">en medios impresos, tales como libros, compendios, trípticos, registros públicos, en formatos electrónicos disponibles en Internet o en cualquier otro medio, </w:t>
      </w:r>
      <w:r w:rsidRPr="00CD70FF">
        <w:rPr>
          <w:i/>
          <w:sz w:val="22"/>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0F0A2AAF" w14:textId="77777777" w:rsidR="0077504A" w:rsidRDefault="0077504A" w:rsidP="0077504A"/>
    <w:p w14:paraId="1414289C" w14:textId="77777777" w:rsidR="0077504A" w:rsidRDefault="0077504A" w:rsidP="0077504A">
      <w:r>
        <w:t xml:space="preserve">De los artículos transcritos se establecen las características que debe tener la información desde el momento de su generación, publicación y entrega; de igual manera se contempla el procedimiento a seguir por los sujetos obligados para informar a los solicitantes sobre </w:t>
      </w:r>
      <w:r>
        <w:lastRenderedPageBreak/>
        <w:t>información que se encuentre disponible en libros, compendios, formatos electrónicos, entre otros, haciéndole saber al solicitante como podrá consultar,</w:t>
      </w:r>
      <w:r w:rsidRPr="00992F8F">
        <w:t xml:space="preserve"> </w:t>
      </w:r>
      <w:r>
        <w:t>reproducir o adquirir la información, en un plazo no mayor a cinco días hábiles, comprendiendo:</w:t>
      </w:r>
    </w:p>
    <w:p w14:paraId="6466A284" w14:textId="77777777" w:rsidR="0077504A" w:rsidRDefault="0077504A" w:rsidP="0077504A">
      <w:r>
        <w:t xml:space="preserve"> a) La fuente </w:t>
      </w:r>
    </w:p>
    <w:p w14:paraId="5075847C" w14:textId="77777777" w:rsidR="0077504A" w:rsidRDefault="0077504A" w:rsidP="0077504A">
      <w:r>
        <w:t xml:space="preserve">b) El lugar y </w:t>
      </w:r>
    </w:p>
    <w:p w14:paraId="47685D6A" w14:textId="77777777" w:rsidR="0077504A" w:rsidRDefault="0077504A" w:rsidP="0077504A">
      <w:r>
        <w:t xml:space="preserve">c) La forma </w:t>
      </w:r>
    </w:p>
    <w:p w14:paraId="09D49995" w14:textId="77777777" w:rsidR="0077504A" w:rsidRDefault="0077504A" w:rsidP="0077504A"/>
    <w:p w14:paraId="3C149616" w14:textId="77777777" w:rsidR="0077504A" w:rsidRDefault="0077504A" w:rsidP="0077504A">
      <w:r>
        <w:t>Asimismo, se establece que la fuente de la información deberá ser:</w:t>
      </w:r>
    </w:p>
    <w:p w14:paraId="7CCEA33A" w14:textId="77777777" w:rsidR="0077504A" w:rsidRDefault="0077504A" w:rsidP="0077504A">
      <w:r>
        <w:t xml:space="preserve"> a) Precisa </w:t>
      </w:r>
    </w:p>
    <w:p w14:paraId="1E58F516" w14:textId="77777777" w:rsidR="0077504A" w:rsidRDefault="0077504A" w:rsidP="0077504A">
      <w:r>
        <w:t xml:space="preserve">b) Concreta </w:t>
      </w:r>
    </w:p>
    <w:p w14:paraId="55BF2123" w14:textId="77777777" w:rsidR="0077504A" w:rsidRDefault="0077504A" w:rsidP="0077504A">
      <w:pPr>
        <w:rPr>
          <w:b/>
        </w:rPr>
      </w:pPr>
      <w:r w:rsidRPr="00985695">
        <w:rPr>
          <w:b/>
        </w:rPr>
        <w:t>c) Y no debe implicar que el solicitante realice una búsqueda en toda la información que se encuentre disponible.</w:t>
      </w:r>
    </w:p>
    <w:p w14:paraId="206714E2" w14:textId="77777777" w:rsidR="0077504A" w:rsidRDefault="0077504A" w:rsidP="0077504A">
      <w:pPr>
        <w:pBdr>
          <w:top w:val="nil"/>
          <w:left w:val="nil"/>
          <w:bottom w:val="nil"/>
          <w:right w:val="nil"/>
          <w:between w:val="nil"/>
        </w:pBdr>
        <w:contextualSpacing/>
        <w:rPr>
          <w:szCs w:val="24"/>
        </w:rPr>
      </w:pPr>
    </w:p>
    <w:p w14:paraId="2D98DB6C" w14:textId="77305F3D" w:rsidR="0077504A" w:rsidRPr="00615749" w:rsidRDefault="0077504A" w:rsidP="0077504A">
      <w:pPr>
        <w:contextualSpacing/>
        <w:rPr>
          <w:rFonts w:eastAsia="Palatino Linotype" w:cs="Palatino Linotype"/>
          <w:szCs w:val="24"/>
        </w:rPr>
      </w:pPr>
      <w:r w:rsidRPr="00615749">
        <w:rPr>
          <w:rFonts w:cs="Arial"/>
          <w:szCs w:val="24"/>
        </w:rPr>
        <w:t xml:space="preserve">Una vez precisa lo anterior, y derivado que </w:t>
      </w:r>
      <w:r w:rsidRPr="00615749">
        <w:rPr>
          <w:rFonts w:cs="Arial"/>
          <w:b/>
          <w:szCs w:val="24"/>
        </w:rPr>
        <w:t xml:space="preserve">EL SUJETO OBLIGADO </w:t>
      </w:r>
      <w:r w:rsidRPr="00615749">
        <w:rPr>
          <w:rFonts w:cs="Arial"/>
          <w:szCs w:val="24"/>
        </w:rPr>
        <w:t xml:space="preserve">omitió hacer entrega de los </w:t>
      </w:r>
      <w:r w:rsidR="00CD70FF">
        <w:rPr>
          <w:iCs/>
          <w:color w:val="000000"/>
        </w:rPr>
        <w:t xml:space="preserve">recibos </w:t>
      </w:r>
      <w:r>
        <w:rPr>
          <w:iCs/>
          <w:color w:val="000000"/>
        </w:rPr>
        <w:t xml:space="preserve">de nómina </w:t>
      </w:r>
      <w:r w:rsidR="00C6433F">
        <w:rPr>
          <w:iCs/>
          <w:color w:val="000000"/>
        </w:rPr>
        <w:t xml:space="preserve">de la primera y segunda quincena </w:t>
      </w:r>
      <w:r>
        <w:rPr>
          <w:iCs/>
          <w:color w:val="000000"/>
        </w:rPr>
        <w:t>de diciembre</w:t>
      </w:r>
      <w:r w:rsidR="00C6433F">
        <w:rPr>
          <w:iCs/>
          <w:color w:val="000000"/>
        </w:rPr>
        <w:t xml:space="preserve"> de dos mil veintitrés</w:t>
      </w:r>
      <w:r>
        <w:rPr>
          <w:iCs/>
          <w:color w:val="000000"/>
        </w:rPr>
        <w:t xml:space="preserve"> de los </w:t>
      </w:r>
      <w:r w:rsidR="00FF2043">
        <w:rPr>
          <w:iCs/>
          <w:color w:val="000000"/>
        </w:rPr>
        <w:t>titulares de Desarrollo Social</w:t>
      </w:r>
      <w:r>
        <w:rPr>
          <w:iCs/>
          <w:color w:val="000000"/>
        </w:rPr>
        <w:t>, Dirección de Administración y del Titul</w:t>
      </w:r>
      <w:r w:rsidR="00DE399E">
        <w:rPr>
          <w:iCs/>
          <w:color w:val="000000"/>
        </w:rPr>
        <w:t>ar de la Tesorería Municipal</w:t>
      </w:r>
      <w:r w:rsidRPr="00615749">
        <w:rPr>
          <w:rFonts w:cs="Arial"/>
          <w:szCs w:val="24"/>
        </w:rPr>
        <w:t xml:space="preserve">, </w:t>
      </w:r>
      <w:r w:rsidRPr="00615749">
        <w:rPr>
          <w:rFonts w:eastAsia="Palatino Linotype" w:cs="Palatino Linotype"/>
          <w:szCs w:val="24"/>
        </w:rPr>
        <w:t xml:space="preserve">resulta importante traer a colación el contenido del artículo 147 de la Constitución Política del Estado Libre y Soberano de México, el cual establece lo siguiente: </w:t>
      </w:r>
    </w:p>
    <w:p w14:paraId="5C269659" w14:textId="77777777" w:rsidR="0077504A" w:rsidRPr="00615749" w:rsidRDefault="0077504A" w:rsidP="0077504A">
      <w:pPr>
        <w:rPr>
          <w:szCs w:val="24"/>
        </w:rPr>
      </w:pPr>
    </w:p>
    <w:p w14:paraId="4F62C58C" w14:textId="77777777" w:rsidR="0077504A" w:rsidRPr="00CD70FF" w:rsidRDefault="0077504A" w:rsidP="0077504A">
      <w:pPr>
        <w:ind w:left="851" w:right="899"/>
        <w:rPr>
          <w:rFonts w:eastAsia="Palatino Linotype" w:cs="Palatino Linotype"/>
          <w:b/>
          <w:i/>
          <w:sz w:val="22"/>
        </w:rPr>
      </w:pPr>
      <w:r w:rsidRPr="00CD70FF">
        <w:rPr>
          <w:rFonts w:eastAsia="Palatino Linotype" w:cs="Palatino Linotype"/>
          <w:i/>
          <w:sz w:val="22"/>
        </w:rPr>
        <w:t>“</w:t>
      </w:r>
      <w:r w:rsidRPr="00CD70FF">
        <w:rPr>
          <w:rFonts w:eastAsia="Palatino Linotype" w:cs="Palatino Linotype"/>
          <w:b/>
          <w:i/>
          <w:sz w:val="22"/>
        </w:rPr>
        <w:t>Artículo 147.-</w:t>
      </w:r>
      <w:r w:rsidRPr="00CD70FF">
        <w:rPr>
          <w:rFonts w:eastAsia="Palatino Linotype" w:cs="Palatino Linotype"/>
          <w:i/>
          <w:sz w:val="22"/>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w:t>
      </w:r>
      <w:r w:rsidRPr="00CD70FF">
        <w:rPr>
          <w:rFonts w:eastAsia="Palatino Linotype" w:cs="Palatino Linotype"/>
          <w:i/>
          <w:sz w:val="22"/>
        </w:rPr>
        <w:lastRenderedPageBreak/>
        <w:t xml:space="preserve">servidores de los organismos constitucionalmente autónomos, </w:t>
      </w:r>
      <w:r w:rsidRPr="00CD70FF">
        <w:rPr>
          <w:rFonts w:eastAsia="Palatino Linotype" w:cs="Palatino Linotype"/>
          <w:b/>
          <w:i/>
          <w:sz w:val="22"/>
        </w:rPr>
        <w:t>así como los miembros de los ayuntamientos</w:t>
      </w:r>
      <w:r w:rsidRPr="00CD70FF">
        <w:rPr>
          <w:rFonts w:eastAsia="Palatino Linotype" w:cs="Palatino Linotype"/>
          <w:i/>
          <w:sz w:val="22"/>
        </w:rPr>
        <w:t xml:space="preserve"> y demás servidores públicos municipales </w:t>
      </w:r>
      <w:r w:rsidRPr="00CD70FF">
        <w:rPr>
          <w:rFonts w:eastAsia="Palatino Linotype" w:cs="Palatino Linotype"/>
          <w:b/>
          <w:i/>
          <w:sz w:val="22"/>
        </w:rPr>
        <w:t xml:space="preserve">recibirán una retribución adecuada e irrenunciable por el desempeño de su empleo, cargo o comisión, que será determinada en el presupuesto de egresos que corresponda. </w:t>
      </w:r>
    </w:p>
    <w:p w14:paraId="1B41774F" w14:textId="77777777" w:rsidR="0077504A" w:rsidRPr="00CD70FF" w:rsidRDefault="0077504A" w:rsidP="0077504A">
      <w:pPr>
        <w:ind w:left="851" w:right="899"/>
        <w:rPr>
          <w:rFonts w:eastAsia="Palatino Linotype" w:cs="Palatino Linotype"/>
          <w:i/>
          <w:sz w:val="22"/>
        </w:rPr>
      </w:pPr>
      <w:r w:rsidRPr="00CD70FF">
        <w:rPr>
          <w:rFonts w:eastAsia="Palatino Linotype" w:cs="Palatino Linotype"/>
          <w:i/>
          <w:sz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398AD74F" w14:textId="77777777" w:rsidR="0077504A" w:rsidRPr="00CD70FF" w:rsidRDefault="0077504A" w:rsidP="0077504A">
      <w:pPr>
        <w:ind w:left="851" w:right="899"/>
        <w:rPr>
          <w:rFonts w:eastAsia="Palatino Linotype" w:cs="Palatino Linotype"/>
          <w:i/>
          <w:sz w:val="22"/>
        </w:rPr>
      </w:pPr>
      <w:r w:rsidRPr="00CD70FF">
        <w:rPr>
          <w:rFonts w:eastAsia="Palatino Linotype" w:cs="Palatino Linotype"/>
          <w:i/>
          <w:sz w:val="22"/>
        </w:rPr>
        <w:t>La remuneración será determinada anual y equitativamente en el Presupuesto de Egresos correspondiente bajo las bases siguientes:</w:t>
      </w:r>
    </w:p>
    <w:p w14:paraId="1E72C1BA" w14:textId="77777777" w:rsidR="0077504A" w:rsidRPr="00CD70FF" w:rsidRDefault="0077504A" w:rsidP="0077504A">
      <w:pPr>
        <w:ind w:left="851" w:right="899"/>
        <w:rPr>
          <w:rFonts w:eastAsia="Palatino Linotype" w:cs="Palatino Linotype"/>
          <w:i/>
          <w:sz w:val="22"/>
        </w:rPr>
      </w:pPr>
      <w:r w:rsidRPr="00CD70FF">
        <w:rPr>
          <w:rFonts w:eastAsia="Palatino Linotype" w:cs="Palatino Linotype"/>
          <w:i/>
          <w:sz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337EAFBF" w14:textId="77777777" w:rsidR="0077504A" w:rsidRPr="00CD70FF" w:rsidRDefault="0077504A" w:rsidP="0077504A">
      <w:pPr>
        <w:ind w:left="851" w:right="899"/>
        <w:rPr>
          <w:rFonts w:eastAsia="Palatino Linotype" w:cs="Palatino Linotype"/>
          <w:i/>
          <w:sz w:val="22"/>
        </w:rPr>
      </w:pPr>
      <w:r w:rsidRPr="00CD70FF">
        <w:rPr>
          <w:rFonts w:eastAsia="Palatino Linotype" w:cs="Palatino Linotype"/>
          <w:i/>
          <w:sz w:val="22"/>
        </w:rPr>
        <w:t xml:space="preserve">II. Ningún servidor público podrá recibir remuneración, en términos de la fracción anterior, por el desempeño de su función, empleo, cargo o comisión, mayor a la establecida; </w:t>
      </w:r>
    </w:p>
    <w:p w14:paraId="1E290E8D" w14:textId="77777777" w:rsidR="0077504A" w:rsidRPr="00CD70FF" w:rsidRDefault="0077504A" w:rsidP="0077504A">
      <w:pPr>
        <w:ind w:left="851" w:right="899"/>
        <w:rPr>
          <w:rFonts w:eastAsia="Palatino Linotype" w:cs="Palatino Linotype"/>
          <w:i/>
          <w:sz w:val="22"/>
        </w:rPr>
      </w:pPr>
      <w:r w:rsidRPr="00CD70FF">
        <w:rPr>
          <w:rFonts w:eastAsia="Palatino Linotype" w:cs="Palatino Linotype"/>
          <w:i/>
          <w:sz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281FFABC" w14:textId="77777777" w:rsidR="0077504A" w:rsidRPr="00CD70FF" w:rsidRDefault="0077504A" w:rsidP="0077504A">
      <w:pPr>
        <w:ind w:left="851" w:right="899"/>
        <w:rPr>
          <w:rFonts w:eastAsia="Palatino Linotype" w:cs="Palatino Linotype"/>
          <w:i/>
          <w:sz w:val="22"/>
        </w:rPr>
      </w:pPr>
      <w:r w:rsidRPr="00CD70FF">
        <w:rPr>
          <w:rFonts w:eastAsia="Palatino Linotype" w:cs="Palatino Linotype"/>
          <w:i/>
          <w:sz w:val="22"/>
        </w:rPr>
        <w:lastRenderedPageBreak/>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6DE2CB05" w14:textId="77777777" w:rsidR="0077504A" w:rsidRPr="00CD70FF" w:rsidRDefault="0077504A" w:rsidP="0077504A">
      <w:pPr>
        <w:ind w:left="851" w:right="899"/>
        <w:rPr>
          <w:rFonts w:eastAsia="Palatino Linotype" w:cs="Palatino Linotype"/>
          <w:i/>
          <w:sz w:val="22"/>
        </w:rPr>
      </w:pPr>
      <w:r w:rsidRPr="00CD70FF">
        <w:rPr>
          <w:rFonts w:eastAsia="Palatino Linotype" w:cs="Palatino Linotype"/>
          <w:i/>
          <w:sz w:val="22"/>
        </w:rPr>
        <w:t>V. Las remuneraciones y sus tabuladores serán públicos, y deberán especificar y diferenciar la totalidad de sus elementos fijos y variables tanto en efectivo como en especie”</w:t>
      </w:r>
    </w:p>
    <w:p w14:paraId="30937F05" w14:textId="77777777" w:rsidR="0077504A" w:rsidRPr="00CD70FF" w:rsidRDefault="0077504A" w:rsidP="0077504A">
      <w:pPr>
        <w:ind w:left="851" w:right="899"/>
        <w:rPr>
          <w:rFonts w:eastAsia="Palatino Linotype" w:cs="Palatino Linotype"/>
          <w:i/>
          <w:sz w:val="22"/>
        </w:rPr>
      </w:pPr>
      <w:r w:rsidRPr="00CD70FF">
        <w:rPr>
          <w:rFonts w:eastAsia="Palatino Linotype" w:cs="Palatino Linotype"/>
          <w:i/>
          <w:sz w:val="22"/>
        </w:rPr>
        <w:t>(Énfasis añadido)</w:t>
      </w:r>
    </w:p>
    <w:p w14:paraId="4551B9F3" w14:textId="77777777" w:rsidR="00CD70FF" w:rsidRPr="00615749" w:rsidRDefault="00CD70FF" w:rsidP="0077504A">
      <w:pPr>
        <w:ind w:left="851" w:right="899"/>
        <w:rPr>
          <w:rFonts w:eastAsia="Palatino Linotype" w:cs="Palatino Linotype"/>
          <w:i/>
          <w:szCs w:val="24"/>
        </w:rPr>
      </w:pPr>
    </w:p>
    <w:p w14:paraId="257CB491" w14:textId="77777777" w:rsidR="0077504A" w:rsidRDefault="0077504A" w:rsidP="0077504A">
      <w:pPr>
        <w:rPr>
          <w:rFonts w:eastAsia="Palatino Linotype" w:cs="Palatino Linotype"/>
          <w:szCs w:val="24"/>
        </w:rPr>
      </w:pPr>
      <w:r w:rsidRPr="00615749">
        <w:rPr>
          <w:rFonts w:eastAsia="Palatino Linotype" w:cs="Palatino Linotype"/>
          <w:szCs w:val="24"/>
        </w:rPr>
        <w:t>En este orden de ideas, el artículo 3°, fracción XXXII, del Código Financiero del Estado de México y Municipios</w:t>
      </w:r>
      <w:r w:rsidRPr="00615749">
        <w:rPr>
          <w:rStyle w:val="Refdenotaalpie"/>
          <w:rFonts w:eastAsia="Palatino Linotype" w:cs="Palatino Linotype"/>
          <w:szCs w:val="24"/>
        </w:rPr>
        <w:footnoteReference w:id="2"/>
      </w:r>
      <w:r w:rsidRPr="00615749">
        <w:rPr>
          <w:rFonts w:eastAsia="Palatino Linotype" w:cs="Palatino Linotype"/>
          <w:szCs w:val="24"/>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39D5E792" w14:textId="77777777" w:rsidR="00CD70FF" w:rsidRPr="00615749" w:rsidRDefault="00CD70FF" w:rsidP="0077504A">
      <w:pPr>
        <w:rPr>
          <w:rFonts w:eastAsia="Palatino Linotype" w:cs="Palatino Linotype"/>
          <w:szCs w:val="24"/>
        </w:rPr>
      </w:pPr>
    </w:p>
    <w:p w14:paraId="624CDD62" w14:textId="77777777" w:rsidR="00CD70FF" w:rsidRDefault="00CD70FF" w:rsidP="00CD70FF">
      <w:pPr>
        <w:ind w:left="708"/>
        <w:rPr>
          <w:b/>
          <w:i/>
          <w:sz w:val="22"/>
        </w:rPr>
      </w:pPr>
      <w:r w:rsidRPr="00A1287C">
        <w:rPr>
          <w:b/>
          <w:i/>
          <w:sz w:val="22"/>
        </w:rPr>
        <w:t>XXXII. Remuneración: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 (…)</w:t>
      </w:r>
    </w:p>
    <w:p w14:paraId="647E564F" w14:textId="77777777" w:rsidR="00E16799" w:rsidRDefault="00E16799" w:rsidP="00180802">
      <w:pPr>
        <w:ind w:right="49"/>
        <w:rPr>
          <w:noProof/>
          <w:lang w:val="es-MX"/>
          <w14:ligatures w14:val="standardContextual"/>
        </w:rPr>
      </w:pPr>
    </w:p>
    <w:p w14:paraId="5FB00896" w14:textId="77777777" w:rsidR="0077504A" w:rsidRPr="00615749" w:rsidRDefault="0077504A" w:rsidP="0077504A">
      <w:pPr>
        <w:ind w:right="49"/>
        <w:rPr>
          <w:rFonts w:eastAsia="Palatino Linotype" w:cs="Palatino Linotype"/>
          <w:szCs w:val="24"/>
        </w:rPr>
      </w:pPr>
      <w:r w:rsidRPr="00615749">
        <w:rPr>
          <w:rFonts w:eastAsia="Palatino Linotype" w:cs="Palatino Linotype"/>
          <w:szCs w:val="24"/>
        </w:rPr>
        <w:lastRenderedPageBreak/>
        <w:t xml:space="preserve">Resulta importante señalar que por cuanto hace a las percepciones, la Ley Federal del Trabajo que en su artículo 84 establece lo siguiente: </w:t>
      </w:r>
    </w:p>
    <w:p w14:paraId="7F4654FB" w14:textId="77777777" w:rsidR="0077504A" w:rsidRPr="00CD70FF" w:rsidRDefault="0077504A" w:rsidP="0077504A">
      <w:pPr>
        <w:ind w:right="49"/>
        <w:rPr>
          <w:rFonts w:eastAsia="Palatino Linotype" w:cs="Palatino Linotype"/>
          <w:sz w:val="22"/>
        </w:rPr>
      </w:pPr>
    </w:p>
    <w:p w14:paraId="48371001" w14:textId="77777777" w:rsidR="0077504A" w:rsidRPr="00CD70FF" w:rsidRDefault="0077504A" w:rsidP="0077504A">
      <w:pPr>
        <w:ind w:left="851" w:right="899"/>
        <w:rPr>
          <w:rFonts w:eastAsia="Palatino Linotype" w:cs="Palatino Linotype"/>
          <w:i/>
          <w:sz w:val="22"/>
        </w:rPr>
      </w:pPr>
      <w:bookmarkStart w:id="1" w:name="bookmark=id.gjdgxs" w:colFirst="0" w:colLast="0"/>
      <w:bookmarkEnd w:id="1"/>
      <w:r w:rsidRPr="00CD70FF">
        <w:rPr>
          <w:rFonts w:eastAsia="Palatino Linotype" w:cs="Palatino Linotype"/>
          <w:i/>
          <w:sz w:val="22"/>
        </w:rPr>
        <w:t>“</w:t>
      </w:r>
      <w:r w:rsidRPr="00CD70FF">
        <w:rPr>
          <w:rFonts w:eastAsia="Palatino Linotype" w:cs="Palatino Linotype"/>
          <w:b/>
          <w:i/>
          <w:sz w:val="22"/>
        </w:rPr>
        <w:t>Artículo 84.- El salario se integra con</w:t>
      </w:r>
      <w:r w:rsidRPr="00CD70FF">
        <w:rPr>
          <w:rFonts w:eastAsia="Palatino Linotype" w:cs="Palatino Linotype"/>
          <w:i/>
          <w:sz w:val="22"/>
        </w:rPr>
        <w:t xml:space="preserve"> los pagos hechos en efectivo por cuota diaria, gratificaciones, </w:t>
      </w:r>
      <w:r w:rsidRPr="00CD70FF">
        <w:rPr>
          <w:rFonts w:eastAsia="Palatino Linotype" w:cs="Palatino Linotype"/>
          <w:b/>
          <w:i/>
          <w:sz w:val="22"/>
        </w:rPr>
        <w:t>percepciones,</w:t>
      </w:r>
      <w:r w:rsidRPr="00CD70FF">
        <w:rPr>
          <w:rFonts w:eastAsia="Palatino Linotype" w:cs="Palatino Linotype"/>
          <w:i/>
          <w:sz w:val="22"/>
        </w:rPr>
        <w:t xml:space="preserve"> habitación, primas, comisiones, </w:t>
      </w:r>
      <w:r w:rsidRPr="00CD70FF">
        <w:rPr>
          <w:rFonts w:eastAsia="Palatino Linotype" w:cs="Palatino Linotype"/>
          <w:b/>
          <w:i/>
          <w:sz w:val="22"/>
        </w:rPr>
        <w:t>prestaciones en especie y cualquiera otra cantidad o prestación que se entregue al trabajador por su trabajo.</w:t>
      </w:r>
      <w:r w:rsidRPr="00CD70FF">
        <w:rPr>
          <w:rFonts w:eastAsia="Palatino Linotype" w:cs="Palatino Linotype"/>
          <w:i/>
          <w:sz w:val="22"/>
        </w:rPr>
        <w:t>”</w:t>
      </w:r>
    </w:p>
    <w:p w14:paraId="036DC2B8" w14:textId="77777777" w:rsidR="0077504A" w:rsidRPr="00615749" w:rsidRDefault="0077504A" w:rsidP="0077504A">
      <w:pPr>
        <w:ind w:left="567" w:right="900"/>
        <w:rPr>
          <w:rFonts w:eastAsia="Palatino Linotype" w:cs="Palatino Linotype"/>
          <w:i/>
          <w:szCs w:val="24"/>
        </w:rPr>
      </w:pPr>
    </w:p>
    <w:p w14:paraId="24D3C3D8" w14:textId="77777777" w:rsidR="0077504A" w:rsidRPr="00615749" w:rsidRDefault="0077504A" w:rsidP="0077504A">
      <w:pPr>
        <w:rPr>
          <w:rFonts w:eastAsia="Palatino Linotype" w:cs="Palatino Linotype"/>
          <w:szCs w:val="24"/>
        </w:rPr>
      </w:pPr>
      <w:bookmarkStart w:id="2" w:name="_heading=h.gjdgxs" w:colFirst="0" w:colLast="0"/>
      <w:bookmarkEnd w:id="2"/>
      <w:r w:rsidRPr="00615749">
        <w:rPr>
          <w:rFonts w:eastAsia="Palatino Linotype" w:cs="Palatino Linotype"/>
          <w:szCs w:val="24"/>
        </w:rPr>
        <w:t xml:space="preserve">De igual forma, la Ley del Trabajo de los Servidores Públicos del Estado y Municipios, en su artículo 220 K, establece los documentos que tiene la obligación de conservar </w:t>
      </w:r>
      <w:r w:rsidRPr="00615749">
        <w:rPr>
          <w:rFonts w:eastAsia="Palatino Linotype" w:cs="Palatino Linotype"/>
          <w:b/>
          <w:szCs w:val="24"/>
        </w:rPr>
        <w:t>EL SUJETO OBLIGADO</w:t>
      </w:r>
      <w:r w:rsidRPr="00615749">
        <w:rPr>
          <w:rFonts w:eastAsia="Palatino Linotype" w:cs="Palatino Linotype"/>
          <w:szCs w:val="24"/>
        </w:rPr>
        <w:t xml:space="preserve">, entre los que se encuentran los recibos de pagos: </w:t>
      </w:r>
    </w:p>
    <w:p w14:paraId="6B0CF561" w14:textId="77777777" w:rsidR="0077504A" w:rsidRPr="00615749" w:rsidRDefault="0077504A" w:rsidP="0077504A">
      <w:pPr>
        <w:rPr>
          <w:rFonts w:eastAsia="Palatino Linotype" w:cs="Palatino Linotype"/>
          <w:szCs w:val="24"/>
        </w:rPr>
      </w:pPr>
    </w:p>
    <w:p w14:paraId="6B2E881E" w14:textId="77777777" w:rsidR="0077504A" w:rsidRPr="00CD70FF" w:rsidRDefault="0077504A" w:rsidP="0077504A">
      <w:pPr>
        <w:ind w:left="851" w:right="900"/>
        <w:rPr>
          <w:rFonts w:eastAsia="Palatino Linotype" w:cs="Palatino Linotype"/>
          <w:i/>
          <w:sz w:val="22"/>
        </w:rPr>
      </w:pPr>
      <w:r w:rsidRPr="00CD70FF">
        <w:rPr>
          <w:rFonts w:eastAsia="Palatino Linotype" w:cs="Palatino Linotype"/>
          <w:b/>
          <w:i/>
          <w:sz w:val="22"/>
        </w:rPr>
        <w:t>“ARTÍCULO 220 K.-</w:t>
      </w:r>
      <w:r w:rsidRPr="00CD70FF">
        <w:rPr>
          <w:rFonts w:eastAsia="Palatino Linotype" w:cs="Palatino Linotype"/>
          <w:i/>
          <w:sz w:val="22"/>
        </w:rPr>
        <w:t xml:space="preserve"> La institución o dependencia pública tiene la obligación de conservar y exhibir en el proceso los documentos que a continuación se precisan:</w:t>
      </w:r>
    </w:p>
    <w:p w14:paraId="7328C6BB" w14:textId="77777777" w:rsidR="0077504A" w:rsidRPr="00CD70FF" w:rsidRDefault="0077504A" w:rsidP="0077504A">
      <w:pPr>
        <w:ind w:left="851" w:right="900"/>
        <w:rPr>
          <w:rFonts w:eastAsia="Palatino Linotype" w:cs="Palatino Linotype"/>
          <w:i/>
          <w:sz w:val="22"/>
        </w:rPr>
      </w:pPr>
      <w:r w:rsidRPr="00CD70FF">
        <w:rPr>
          <w:rFonts w:eastAsia="Palatino Linotype" w:cs="Palatino Linotype"/>
          <w:i/>
          <w:sz w:val="22"/>
        </w:rPr>
        <w:t>I. Contratos, Nombramientos o Formato Único de Movimientos de Personal, cuando no exista Convenio de condiciones generales de trabajo aplicable;</w:t>
      </w:r>
    </w:p>
    <w:p w14:paraId="7E5CDA0F" w14:textId="77777777" w:rsidR="0077504A" w:rsidRPr="00CD70FF" w:rsidRDefault="0077504A" w:rsidP="0077504A">
      <w:pPr>
        <w:ind w:left="851" w:right="900"/>
        <w:rPr>
          <w:rFonts w:eastAsia="Palatino Linotype" w:cs="Palatino Linotype"/>
          <w:b/>
          <w:i/>
          <w:sz w:val="22"/>
        </w:rPr>
      </w:pPr>
      <w:r w:rsidRPr="00CD70FF">
        <w:rPr>
          <w:rFonts w:eastAsia="Palatino Linotype" w:cs="Palatino Linotype"/>
          <w:b/>
          <w:i/>
          <w:sz w:val="22"/>
        </w:rPr>
        <w:t xml:space="preserve">II. </w:t>
      </w:r>
      <w:r w:rsidRPr="00CD70FF">
        <w:rPr>
          <w:rFonts w:eastAsia="Palatino Linotype" w:cs="Palatino Linotype"/>
          <w:b/>
          <w:i/>
          <w:sz w:val="22"/>
          <w:u w:val="single"/>
        </w:rPr>
        <w:t>Recibos de pagos</w:t>
      </w:r>
      <w:r w:rsidRPr="00CD70FF">
        <w:rPr>
          <w:rFonts w:eastAsia="Palatino Linotype" w:cs="Palatino Linotype"/>
          <w:b/>
          <w:i/>
          <w:sz w:val="22"/>
        </w:rPr>
        <w:t xml:space="preserve"> de salarios o las constancias documentales del pago de salario cuando sea por depósito o mediante información electrónica;</w:t>
      </w:r>
    </w:p>
    <w:p w14:paraId="4B266177" w14:textId="77777777" w:rsidR="0077504A" w:rsidRPr="00CD70FF" w:rsidRDefault="0077504A" w:rsidP="0077504A">
      <w:pPr>
        <w:ind w:left="851" w:right="900"/>
        <w:rPr>
          <w:rFonts w:eastAsia="Palatino Linotype" w:cs="Palatino Linotype"/>
          <w:i/>
          <w:sz w:val="22"/>
        </w:rPr>
      </w:pPr>
      <w:r w:rsidRPr="00CD70FF">
        <w:rPr>
          <w:rFonts w:eastAsia="Palatino Linotype" w:cs="Palatino Linotype"/>
          <w:i/>
          <w:sz w:val="22"/>
        </w:rPr>
        <w:t>III. Controles de asistencia o la información magnética o electrónica de asistencia de los servidores públicos;</w:t>
      </w:r>
    </w:p>
    <w:p w14:paraId="1A76015A" w14:textId="77777777" w:rsidR="0077504A" w:rsidRPr="00CD70FF" w:rsidRDefault="0077504A" w:rsidP="0077504A">
      <w:pPr>
        <w:ind w:left="851" w:right="900"/>
        <w:rPr>
          <w:rFonts w:eastAsia="Palatino Linotype" w:cs="Palatino Linotype"/>
          <w:b/>
          <w:i/>
          <w:sz w:val="22"/>
        </w:rPr>
      </w:pPr>
      <w:r w:rsidRPr="00CD70FF">
        <w:rPr>
          <w:rFonts w:eastAsia="Palatino Linotype" w:cs="Palatino Linotype"/>
          <w:b/>
          <w:i/>
          <w:sz w:val="22"/>
        </w:rPr>
        <w:t>IV. Recibos o las constancias de depósito o del medio de información magnética o electrónica que sean utilizadas para el pago de salarios, prima vacacional, aguinaldo y demás prestaciones establecidas en la presente ley; y</w:t>
      </w:r>
    </w:p>
    <w:p w14:paraId="3C1E9B7C" w14:textId="77777777" w:rsidR="0077504A" w:rsidRPr="00CD70FF" w:rsidRDefault="0077504A" w:rsidP="0077504A">
      <w:pPr>
        <w:ind w:left="851" w:right="900"/>
        <w:rPr>
          <w:rFonts w:eastAsia="Palatino Linotype" w:cs="Palatino Linotype"/>
          <w:i/>
          <w:sz w:val="22"/>
        </w:rPr>
      </w:pPr>
      <w:r w:rsidRPr="00CD70FF">
        <w:rPr>
          <w:rFonts w:eastAsia="Palatino Linotype" w:cs="Palatino Linotype"/>
          <w:i/>
          <w:sz w:val="22"/>
        </w:rPr>
        <w:t>V. Los demás que señalen las leyes.</w:t>
      </w:r>
    </w:p>
    <w:p w14:paraId="7D3FA9F4" w14:textId="77777777" w:rsidR="0077504A" w:rsidRPr="00CD70FF" w:rsidRDefault="0077504A" w:rsidP="0077504A">
      <w:pPr>
        <w:ind w:left="851" w:right="900"/>
        <w:rPr>
          <w:rFonts w:eastAsia="Palatino Linotype" w:cs="Palatino Linotype"/>
          <w:i/>
          <w:sz w:val="22"/>
        </w:rPr>
      </w:pPr>
      <w:r w:rsidRPr="00CD70FF">
        <w:rPr>
          <w:rFonts w:eastAsia="Palatino Linotype" w:cs="Palatino Linotype"/>
          <w:i/>
          <w:sz w:val="22"/>
        </w:rPr>
        <w:lastRenderedPageBreak/>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0E67E18A" w14:textId="77777777" w:rsidR="0077504A" w:rsidRDefault="0077504A" w:rsidP="00CD70FF">
      <w:pPr>
        <w:ind w:right="900"/>
        <w:rPr>
          <w:rFonts w:eastAsia="Palatino Linotype" w:cs="Palatino Linotype"/>
          <w:i/>
          <w:szCs w:val="24"/>
        </w:rPr>
      </w:pPr>
    </w:p>
    <w:p w14:paraId="694E773B" w14:textId="77777777" w:rsidR="00CD70FF" w:rsidRDefault="00CD70FF" w:rsidP="00CD70FF">
      <w:r w:rsidRPr="008B1664">
        <w:t xml:space="preserve">Se advierte que toda institución pública o dependencia pública del Estado de México debe conservar las constancias de pago de salarios, prima vacacional, aguinaldo 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 </w:t>
      </w:r>
    </w:p>
    <w:p w14:paraId="5E21A640" w14:textId="77777777" w:rsidR="00CD70FF" w:rsidRDefault="00CD70FF" w:rsidP="00CD70FF">
      <w:pPr>
        <w:ind w:right="900"/>
        <w:rPr>
          <w:rFonts w:eastAsia="Palatino Linotype" w:cs="Palatino Linotype"/>
          <w:i/>
          <w:szCs w:val="24"/>
        </w:rPr>
      </w:pPr>
    </w:p>
    <w:p w14:paraId="0BB19190" w14:textId="77777777" w:rsidR="00CD70FF" w:rsidRPr="00692461" w:rsidRDefault="00CD70FF" w:rsidP="00CD70FF">
      <w:pPr>
        <w:rPr>
          <w:rFonts w:cs="Arial"/>
          <w:i/>
        </w:rPr>
      </w:pPr>
      <w:r w:rsidRPr="00692461">
        <w:rPr>
          <w:rFonts w:cs="Arial"/>
        </w:rPr>
        <w:t xml:space="preserve">Además, la </w:t>
      </w:r>
      <w:r w:rsidRPr="00692461">
        <w:rPr>
          <w:rFonts w:cs="Arial"/>
          <w:b/>
        </w:rPr>
        <w:t>Ley Orgánica Municipal del Estado de México</w:t>
      </w:r>
      <w:r w:rsidRPr="00692461">
        <w:rPr>
          <w:rFonts w:cs="Arial"/>
        </w:rPr>
        <w:t xml:space="preserve"> en el artículo 31 fracción XIX establece como atribución de los Ayuntamientos aprobar su </w:t>
      </w:r>
      <w:r w:rsidRPr="00692461">
        <w:rPr>
          <w:rFonts w:cs="Arial"/>
          <w:b/>
          <w:u w:val="single"/>
        </w:rPr>
        <w:t>Presupuesto de Egresos</w:t>
      </w:r>
      <w:r w:rsidRPr="00692461">
        <w:rPr>
          <w:rFonts w:cs="Arial"/>
        </w:rPr>
        <w:t>, y al hacerlo deberán señalar “</w:t>
      </w:r>
      <w:r w:rsidRPr="00692461">
        <w:rPr>
          <w:b/>
          <w:i/>
          <w:u w:val="single"/>
        </w:rPr>
        <w:t>la remuneración</w:t>
      </w:r>
      <w:r w:rsidRPr="00692461">
        <w:rPr>
          <w:i/>
        </w:rPr>
        <w:t xml:space="preserve">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w:t>
      </w:r>
      <w:r w:rsidRPr="00692461">
        <w:t>“ y además</w:t>
      </w:r>
      <w:r w:rsidRPr="00692461">
        <w:rPr>
          <w:rFonts w:cs="Arial"/>
        </w:rPr>
        <w:t xml:space="preserve"> “</w:t>
      </w:r>
      <w:r w:rsidRPr="00692461">
        <w:rPr>
          <w:i/>
        </w:rPr>
        <w:t xml:space="preserve">las remuneraciones de todo tipo del Presidente Municipal, Síndicos, Regidores y servidores públicos en general, incluyendo mandos medios y superiores de la administración municipal, </w:t>
      </w:r>
      <w:r w:rsidRPr="00692461">
        <w:rPr>
          <w:b/>
          <w:i/>
        </w:rPr>
        <w:t xml:space="preserve">serán determinadas </w:t>
      </w:r>
      <w:r w:rsidRPr="00692461">
        <w:rPr>
          <w:b/>
          <w:i/>
        </w:rPr>
        <w:lastRenderedPageBreak/>
        <w:t>anualmente en el presupuesto de egresos</w:t>
      </w:r>
      <w:r w:rsidRPr="00692461">
        <w:rPr>
          <w:i/>
        </w:rPr>
        <w:t xml:space="preserve"> correspondiente y se sujetarán a los lineamientos legales establecidos para todos los servidores públicos municipales</w:t>
      </w:r>
      <w:r w:rsidRPr="00692461">
        <w:t>”.</w:t>
      </w:r>
      <w:r w:rsidRPr="00692461">
        <w:rPr>
          <w:i/>
        </w:rPr>
        <w:t>(…)</w:t>
      </w:r>
    </w:p>
    <w:p w14:paraId="3629E8E0" w14:textId="77777777" w:rsidR="00CD70FF" w:rsidRDefault="00CD70FF" w:rsidP="00CD70FF"/>
    <w:p w14:paraId="00D7AF9F" w14:textId="77777777" w:rsidR="00CD70FF" w:rsidRDefault="00CD70FF" w:rsidP="00CD70FF">
      <w:r w:rsidRPr="008B1664">
        <w:t xml:space="preserve">Además de lo anterior, conviene mencionar que el sub-modulo.- Comprobantes Fiscales, del referido Módulo 4, punto doce (12), refiere lo siguiente: </w:t>
      </w:r>
    </w:p>
    <w:p w14:paraId="6D791CDC" w14:textId="77777777" w:rsidR="00CD70FF" w:rsidRDefault="00CD70FF" w:rsidP="00CD70FF"/>
    <w:p w14:paraId="5A55034E" w14:textId="77777777" w:rsidR="00CD70FF" w:rsidRPr="006053DA" w:rsidRDefault="00CD70FF" w:rsidP="00CD70FF">
      <w:pPr>
        <w:ind w:left="708"/>
        <w:rPr>
          <w:b/>
          <w:i/>
          <w:sz w:val="22"/>
        </w:rPr>
      </w:pPr>
      <w:r w:rsidRPr="006053DA">
        <w:rPr>
          <w:b/>
          <w:sz w:val="22"/>
        </w:rPr>
        <w:t>“</w:t>
      </w:r>
      <w:r w:rsidRPr="006053DA">
        <w:rPr>
          <w:b/>
          <w:i/>
          <w:sz w:val="22"/>
        </w:rPr>
        <w:t xml:space="preserve">12.-Comprobantes Fiscales Digitales por Internet por Concepto de Nómina </w:t>
      </w:r>
    </w:p>
    <w:p w14:paraId="0A6CB58F" w14:textId="77777777" w:rsidR="00CD70FF" w:rsidRPr="006053DA" w:rsidRDefault="00CD70FF" w:rsidP="00CD70FF">
      <w:pPr>
        <w:ind w:left="708"/>
        <w:rPr>
          <w:i/>
          <w:sz w:val="22"/>
        </w:rPr>
      </w:pPr>
      <w:r w:rsidRPr="006053DA">
        <w:rPr>
          <w:i/>
          <w:sz w:val="22"/>
        </w:rPr>
        <w:t xml:space="preserve">Es una factura electrónica, que funge como un comprobante digital de la relación de pago que existe entre el patrón y el trabajador. </w:t>
      </w:r>
    </w:p>
    <w:p w14:paraId="077DE9D9" w14:textId="77777777" w:rsidR="00CD70FF" w:rsidRPr="006053DA" w:rsidRDefault="00CD70FF" w:rsidP="00CD70FF">
      <w:pPr>
        <w:ind w:left="708"/>
        <w:rPr>
          <w:i/>
          <w:sz w:val="22"/>
        </w:rPr>
      </w:pPr>
      <w:r w:rsidRPr="006053DA">
        <w:rPr>
          <w:i/>
          <w:sz w:val="22"/>
        </w:rPr>
        <w:t>Los CFDI deberán enviarse de acuerdo a la estructura siguiente: Una carpeta de CFDI Nómina por trimestre que contenga una carpeta por mes (enero, febrero y marzo); y dentro de cada mes dos carpetas, una por cada quincena (la primera quincena y segunda quincena</w:t>
      </w:r>
      <w:proofErr w:type="gramStart"/>
      <w:r w:rsidRPr="006053DA">
        <w:rPr>
          <w:i/>
          <w:sz w:val="22"/>
        </w:rPr>
        <w:t>) .</w:t>
      </w:r>
      <w:proofErr w:type="gramEnd"/>
      <w:r w:rsidRPr="006053DA">
        <w:rPr>
          <w:i/>
          <w:sz w:val="22"/>
        </w:rPr>
        <w:t xml:space="preserve"> …</w:t>
      </w:r>
    </w:p>
    <w:p w14:paraId="0480D478" w14:textId="77777777" w:rsidR="00CD70FF" w:rsidRPr="006053DA" w:rsidRDefault="00CD70FF" w:rsidP="00CD70FF">
      <w:pPr>
        <w:ind w:left="708"/>
        <w:rPr>
          <w:bCs/>
          <w:sz w:val="22"/>
        </w:rPr>
      </w:pPr>
    </w:p>
    <w:p w14:paraId="5D63C0A1" w14:textId="77777777" w:rsidR="00CD70FF" w:rsidRPr="008B1664" w:rsidRDefault="00CD70FF" w:rsidP="00CD70FF">
      <w:pPr>
        <w:ind w:left="708"/>
        <w:rPr>
          <w:i/>
        </w:rPr>
      </w:pPr>
      <w:r w:rsidRPr="006053DA">
        <w:rPr>
          <w:i/>
          <w:sz w:val="22"/>
        </w:rPr>
        <w:t>Verificar que la cantidad de CFDI que adjuntan, correspondan al total de los registros de la Conciliación de la Nómina y al importe total del Comprobante Bancario de la Dispersión de la Nómina</w:t>
      </w:r>
      <w:r w:rsidRPr="008B1664">
        <w:rPr>
          <w:i/>
        </w:rPr>
        <w:t xml:space="preserve">.” </w:t>
      </w:r>
    </w:p>
    <w:p w14:paraId="56E1D3CD" w14:textId="77777777" w:rsidR="00CD70FF" w:rsidRDefault="00CD70FF" w:rsidP="00CD70FF"/>
    <w:p w14:paraId="51D07FA7" w14:textId="3FC26352" w:rsidR="00CD70FF" w:rsidRDefault="00CD70FF" w:rsidP="00CD70FF">
      <w:r w:rsidRPr="008B1664">
        <w:t xml:space="preserve">De lo anteriormente expuesto, este Instituto advierte que tanto en la nómina general o recibos de pagos de salarios es donde se registran las remuneraciones otorgadas a los servidores públicos, las cuales de acuerdo con los artículos 127 de la Constitución Política de los Estados Unidos Mexicanos y 3, fracción XXXII del Código Financiero del Estado de México y Municipios,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 </w:t>
      </w:r>
    </w:p>
    <w:p w14:paraId="46BE042E" w14:textId="77777777" w:rsidR="00CD70FF" w:rsidRDefault="00CD70FF" w:rsidP="00CD70FF">
      <w:r w:rsidRPr="00774D5E">
        <w:lastRenderedPageBreak/>
        <w:t>Bajo dichas consideraciones, se reitera que la nómina o recibos de nómina correspondiente deberá contener el desglose de las percepciones y deducciones de los servidores públicos, en los cuales se incluya, según sea el caso los conceptos que integran dichos rubros, siendo el formato de nómina que se remite mensualmente al OSFEM el que de acuerdo a su Instructivo de llenado en el punto 19 y 20 establecen:</w:t>
      </w:r>
    </w:p>
    <w:p w14:paraId="02B342BD" w14:textId="77777777" w:rsidR="00CD70FF" w:rsidRPr="00774D5E" w:rsidRDefault="00CD70FF" w:rsidP="00CD70FF"/>
    <w:p w14:paraId="321400F6" w14:textId="77777777" w:rsidR="00CD70FF" w:rsidRDefault="00CD70FF" w:rsidP="00CD70FF">
      <w:pPr>
        <w:ind w:left="708"/>
        <w:rPr>
          <w:i/>
        </w:rPr>
      </w:pPr>
      <w:r w:rsidRPr="00774D5E">
        <w:rPr>
          <w:i/>
        </w:rPr>
        <w:t xml:space="preserve">19. Percepciones: Se anotarán las percepciones que se le hacen llegar al empleado solamente. </w:t>
      </w:r>
    </w:p>
    <w:p w14:paraId="4475AEF7" w14:textId="77777777" w:rsidR="00CD70FF" w:rsidRDefault="00CD70FF" w:rsidP="00CD70FF">
      <w:pPr>
        <w:ind w:left="708"/>
        <w:rPr>
          <w:i/>
        </w:rPr>
      </w:pPr>
      <w:r w:rsidRPr="00774D5E">
        <w:rPr>
          <w:i/>
        </w:rPr>
        <w:t>20. Deducciones: Se anotarán las deducciones correspondientes al empleado solamente.</w:t>
      </w:r>
    </w:p>
    <w:p w14:paraId="71C62327" w14:textId="77777777" w:rsidR="00CD70FF" w:rsidRPr="00774D5E" w:rsidRDefault="00CD70FF" w:rsidP="00CD70FF">
      <w:pPr>
        <w:ind w:left="708"/>
        <w:rPr>
          <w:i/>
        </w:rPr>
      </w:pPr>
    </w:p>
    <w:p w14:paraId="593F7ECF" w14:textId="77777777" w:rsidR="00CD70FF" w:rsidRPr="00774D5E" w:rsidRDefault="00CD70FF" w:rsidP="00CD70FF">
      <w:r w:rsidRPr="00774D5E">
        <w:t>Por lo anterior, se advierte que existe la atribución del SUJETO OBLIGADO de generar y entregar los formatos contenidos en el módulo 4 en sus diversos sub-módulos que integran los informes al OSFEM, incluso se deben de entregar conforme al calendario establecido para tal efecto para estar en cumplimiento con sus obligaciones de fiscalización, formatos en los cuales se incluye la información relativa al pago de las remuneraciones de todo el personal que lo integra y conforme a un periodo determinado en el que se desglosen tanto sus percepciones como deducciones; en consecuencia la información solicitada sí obra en sus archivos.</w:t>
      </w:r>
    </w:p>
    <w:p w14:paraId="73F0BDE9" w14:textId="77777777" w:rsidR="00CD70FF" w:rsidRDefault="00CD70FF" w:rsidP="00CD70FF"/>
    <w:p w14:paraId="584B8FCE" w14:textId="77777777" w:rsidR="00CD70FF" w:rsidRPr="00692461" w:rsidRDefault="00CD70FF" w:rsidP="00CD70FF">
      <w:pPr>
        <w:rPr>
          <w:rFonts w:cs="Arial"/>
        </w:rPr>
      </w:pPr>
      <w:r w:rsidRPr="00692461">
        <w:rPr>
          <w:rFonts w:cs="Arial"/>
        </w:rPr>
        <w:t xml:space="preserve">Ahora bien, el artículo 70 de la </w:t>
      </w:r>
      <w:r w:rsidRPr="00692461">
        <w:rPr>
          <w:rFonts w:cs="Arial"/>
          <w:b/>
        </w:rPr>
        <w:t>Ley General de Transparencia y Acceso a la Información Pública</w:t>
      </w:r>
      <w:r w:rsidRPr="00692461">
        <w:rPr>
          <w:rFonts w:cs="Arial"/>
        </w:rPr>
        <w:t xml:space="preserve"> dispone lo siguiente:</w:t>
      </w:r>
    </w:p>
    <w:p w14:paraId="65D8B377" w14:textId="77777777" w:rsidR="00CD70FF" w:rsidRPr="00774D5E" w:rsidRDefault="00CD70FF" w:rsidP="00CD70FF">
      <w:pPr>
        <w:pStyle w:val="Prrafodelista"/>
        <w:ind w:left="851"/>
        <w:rPr>
          <w:rFonts w:cs="Arial"/>
          <w:sz w:val="22"/>
          <w:szCs w:val="22"/>
        </w:rPr>
      </w:pPr>
    </w:p>
    <w:p w14:paraId="4569D012" w14:textId="77777777" w:rsidR="00CD70FF" w:rsidRPr="00774D5E" w:rsidRDefault="00CD70FF" w:rsidP="00CD70FF">
      <w:pPr>
        <w:pStyle w:val="Texto"/>
        <w:spacing w:after="0" w:line="240" w:lineRule="auto"/>
        <w:ind w:left="851" w:right="992" w:firstLine="0"/>
        <w:rPr>
          <w:rFonts w:ascii="Palatino Linotype" w:hAnsi="Palatino Linotype"/>
          <w:i/>
          <w:sz w:val="22"/>
          <w:szCs w:val="22"/>
        </w:rPr>
      </w:pPr>
      <w:r w:rsidRPr="00774D5E">
        <w:rPr>
          <w:rFonts w:ascii="Palatino Linotype" w:hAnsi="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07601557" w14:textId="77777777" w:rsidR="00CD70FF" w:rsidRPr="00774D5E" w:rsidRDefault="00CD70FF" w:rsidP="00CD70FF">
      <w:pPr>
        <w:pStyle w:val="Texto"/>
        <w:spacing w:after="0" w:line="240" w:lineRule="auto"/>
        <w:ind w:left="851" w:right="992" w:firstLine="0"/>
        <w:rPr>
          <w:rFonts w:ascii="Palatino Linotype" w:hAnsi="Palatino Linotype"/>
          <w:i/>
          <w:sz w:val="22"/>
          <w:szCs w:val="22"/>
        </w:rPr>
      </w:pPr>
      <w:r w:rsidRPr="00774D5E">
        <w:rPr>
          <w:rFonts w:ascii="Palatino Linotype" w:hAnsi="Palatino Linotype"/>
          <w:i/>
          <w:sz w:val="22"/>
          <w:szCs w:val="22"/>
        </w:rPr>
        <w:lastRenderedPageBreak/>
        <w:t>…</w:t>
      </w:r>
    </w:p>
    <w:p w14:paraId="0C1F5312" w14:textId="77777777" w:rsidR="00CD70FF" w:rsidRPr="00774D5E" w:rsidRDefault="00CD70FF" w:rsidP="00CD70FF">
      <w:pPr>
        <w:pStyle w:val="Texto"/>
        <w:spacing w:after="0" w:line="240" w:lineRule="auto"/>
        <w:ind w:left="851" w:right="992" w:firstLine="0"/>
        <w:rPr>
          <w:rFonts w:ascii="Palatino Linotype" w:hAnsi="Palatino Linotype"/>
          <w:b/>
          <w:i/>
          <w:sz w:val="22"/>
          <w:szCs w:val="22"/>
        </w:rPr>
      </w:pPr>
      <w:r w:rsidRPr="00774D5E">
        <w:rPr>
          <w:rFonts w:ascii="Palatino Linotype" w:hAnsi="Palatino Linotype"/>
          <w:b/>
          <w:i/>
          <w:sz w:val="22"/>
          <w:szCs w:val="22"/>
        </w:rPr>
        <w:t>VIII.</w:t>
      </w:r>
      <w:r w:rsidRPr="00774D5E">
        <w:rPr>
          <w:rFonts w:ascii="Palatino Linotype" w:hAnsi="Palatino Linotype"/>
          <w:b/>
          <w:i/>
          <w:sz w:val="22"/>
          <w:szCs w:val="22"/>
        </w:rPr>
        <w:tab/>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8C29050" w14:textId="77777777" w:rsidR="00CD70FF" w:rsidRPr="00692461" w:rsidRDefault="00CD70FF" w:rsidP="00CD70FF">
      <w:pPr>
        <w:pStyle w:val="Prrafodelista"/>
        <w:ind w:left="0"/>
        <w:rPr>
          <w:rFonts w:cs="Arial"/>
        </w:rPr>
      </w:pPr>
    </w:p>
    <w:p w14:paraId="4B271E6F" w14:textId="77777777" w:rsidR="00CD70FF" w:rsidRPr="00692461" w:rsidRDefault="00CD70FF" w:rsidP="00CD70FF">
      <w:pPr>
        <w:pStyle w:val="Prrafodelista"/>
        <w:ind w:left="0"/>
        <w:rPr>
          <w:rFonts w:cs="Arial"/>
        </w:rPr>
      </w:pPr>
      <w:r w:rsidRPr="00692461">
        <w:rPr>
          <w:rFonts w:cs="Arial"/>
        </w:rPr>
        <w:t xml:space="preserve">Robustece lo anterior, el artículo 92, fracción VIII de la </w:t>
      </w:r>
      <w:r w:rsidRPr="00692461">
        <w:rPr>
          <w:rFonts w:cs="Arial"/>
          <w:b/>
        </w:rPr>
        <w:t>Ley de Transparencia y Acceso a la Información Pública del Estado de México y Municipios</w:t>
      </w:r>
      <w:r w:rsidRPr="00692461">
        <w:rPr>
          <w:rFonts w:cs="Arial"/>
        </w:rPr>
        <w:t>, señala:</w:t>
      </w:r>
    </w:p>
    <w:p w14:paraId="36C76C34" w14:textId="77777777" w:rsidR="00CD70FF" w:rsidRPr="00692461" w:rsidRDefault="00CD70FF" w:rsidP="00CD70FF">
      <w:pPr>
        <w:pStyle w:val="Prrafodelista"/>
        <w:ind w:left="0"/>
        <w:rPr>
          <w:rFonts w:cs="Arial"/>
        </w:rPr>
      </w:pPr>
    </w:p>
    <w:p w14:paraId="1B8EE59A" w14:textId="77777777" w:rsidR="00CD70FF" w:rsidRPr="006053DA" w:rsidRDefault="00CD70FF" w:rsidP="00CD70FF">
      <w:pPr>
        <w:ind w:left="851" w:right="992"/>
        <w:rPr>
          <w:i/>
          <w:sz w:val="22"/>
        </w:rPr>
      </w:pPr>
      <w:r w:rsidRPr="00692461">
        <w:rPr>
          <w:i/>
        </w:rPr>
        <w:t>“</w:t>
      </w:r>
      <w:r w:rsidRPr="006053DA">
        <w:rPr>
          <w:i/>
          <w:sz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40B0F33" w14:textId="77777777" w:rsidR="00CD70FF" w:rsidRPr="006053DA" w:rsidRDefault="00CD70FF" w:rsidP="00CD70FF">
      <w:pPr>
        <w:ind w:left="851" w:right="992"/>
        <w:rPr>
          <w:i/>
          <w:sz w:val="22"/>
        </w:rPr>
      </w:pPr>
      <w:r w:rsidRPr="006053DA">
        <w:rPr>
          <w:i/>
          <w:sz w:val="22"/>
        </w:rPr>
        <w:t>(…)</w:t>
      </w:r>
    </w:p>
    <w:p w14:paraId="4752F197" w14:textId="77777777" w:rsidR="00CD70FF" w:rsidRPr="006053DA" w:rsidRDefault="00CD70FF" w:rsidP="00CD70FF">
      <w:pPr>
        <w:ind w:left="851" w:right="992"/>
        <w:rPr>
          <w:i/>
          <w:sz w:val="22"/>
        </w:rPr>
      </w:pPr>
      <w:r w:rsidRPr="006053DA">
        <w:rPr>
          <w:i/>
          <w:sz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40B146E" w14:textId="77777777" w:rsidR="00CD70FF" w:rsidRDefault="00CD70FF" w:rsidP="00CD70FF"/>
    <w:p w14:paraId="64F5F8FC" w14:textId="69BC530B" w:rsidR="00CD70FF" w:rsidRPr="00CD70FF" w:rsidRDefault="00CD70FF" w:rsidP="00CD70FF">
      <w:pPr>
        <w:rPr>
          <w:b/>
        </w:rPr>
      </w:pPr>
      <w:r w:rsidRPr="00774D5E">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w:t>
      </w:r>
      <w:r w:rsidRPr="00774D5E">
        <w:rPr>
          <w:b/>
          <w:u w:val="single"/>
        </w:rPr>
        <w:t>las remuneraciones</w:t>
      </w:r>
      <w:r w:rsidRPr="00774D5E">
        <w:t xml:space="preserve"> que perciban los servidores públicos de acuerdo con lo establecido en el </w:t>
      </w:r>
      <w:r w:rsidRPr="00774D5E">
        <w:rPr>
          <w:b/>
        </w:rPr>
        <w:t>Código Financiero del Estado de México y Municipios.</w:t>
      </w:r>
    </w:p>
    <w:p w14:paraId="4B5DD202" w14:textId="77777777" w:rsidR="00CD70FF" w:rsidRPr="00615749" w:rsidRDefault="00CD70FF" w:rsidP="00CD70FF">
      <w:pPr>
        <w:ind w:right="900"/>
        <w:rPr>
          <w:rFonts w:eastAsia="Palatino Linotype" w:cs="Palatino Linotype"/>
          <w:i/>
          <w:szCs w:val="24"/>
        </w:rPr>
      </w:pPr>
    </w:p>
    <w:p w14:paraId="42443430" w14:textId="77777777" w:rsidR="0077504A" w:rsidRPr="00E37B62" w:rsidRDefault="0077504A" w:rsidP="0077504A">
      <w:pPr>
        <w:rPr>
          <w:rFonts w:eastAsia="Palatino Linotype" w:cs="Palatino Linotype"/>
          <w:szCs w:val="24"/>
        </w:rPr>
      </w:pPr>
      <w:r w:rsidRPr="00E37B62">
        <w:rPr>
          <w:rFonts w:eastAsia="Palatino Linotype" w:cs="Palatino Linotype"/>
          <w:szCs w:val="24"/>
        </w:rPr>
        <w:lastRenderedPageBreak/>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4D92F319" w14:textId="77777777" w:rsidR="0077504A" w:rsidRPr="00E37B62" w:rsidRDefault="0077504A" w:rsidP="0077504A">
      <w:pPr>
        <w:rPr>
          <w:rFonts w:eastAsia="Palatino Linotype" w:cs="Palatino Linotype"/>
          <w:sz w:val="22"/>
        </w:rPr>
      </w:pPr>
    </w:p>
    <w:p w14:paraId="1984E1DF" w14:textId="77777777" w:rsidR="0077504A" w:rsidRPr="00E37B62" w:rsidRDefault="0077504A" w:rsidP="0077504A">
      <w:pPr>
        <w:ind w:left="567" w:right="567"/>
        <w:rPr>
          <w:rFonts w:eastAsia="Palatino Linotype" w:cs="Palatino Linotype"/>
          <w:i/>
          <w:sz w:val="22"/>
        </w:rPr>
      </w:pPr>
      <w:r w:rsidRPr="00E37B62">
        <w:rPr>
          <w:rFonts w:eastAsia="Palatino Linotype" w:cs="Palatino Linotype"/>
          <w:b/>
          <w:i/>
          <w:sz w:val="22"/>
        </w:rPr>
        <w:t>“RECIBOS DE PAGO</w:t>
      </w:r>
      <w:r w:rsidRPr="00E37B62">
        <w:rPr>
          <w:rFonts w:eastAsia="Palatino Linotype" w:cs="Palatino Linotype"/>
          <w:i/>
          <w:sz w:val="22"/>
        </w:rPr>
        <w:t xml:space="preserve"> </w:t>
      </w:r>
      <w:r w:rsidRPr="00E37B62">
        <w:rPr>
          <w:rFonts w:eastAsia="Palatino Linotype" w:cs="Palatino Linotype"/>
          <w:b/>
          <w:i/>
          <w:sz w:val="22"/>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E37B62">
        <w:rPr>
          <w:rFonts w:eastAsia="Palatino Linotype" w:cs="Palatino Linotype"/>
          <w:i/>
          <w:sz w:val="22"/>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19D9EF0C" w14:textId="77777777" w:rsidR="0077504A" w:rsidRPr="003F2B5D" w:rsidRDefault="0077504A" w:rsidP="0077504A">
      <w:pPr>
        <w:rPr>
          <w:rFonts w:eastAsia="Palatino Linotype" w:cs="Palatino Linotype"/>
          <w:b/>
          <w:i/>
          <w:color w:val="FF0000"/>
          <w:sz w:val="22"/>
        </w:rPr>
      </w:pPr>
    </w:p>
    <w:p w14:paraId="58B45A54" w14:textId="77777777" w:rsidR="0077504A" w:rsidRPr="0077504A" w:rsidRDefault="0077504A" w:rsidP="0077504A">
      <w:pPr>
        <w:rPr>
          <w:rFonts w:eastAsia="Palatino Linotype" w:cs="Palatino Linotype"/>
          <w:szCs w:val="24"/>
        </w:rPr>
      </w:pPr>
      <w:r w:rsidRPr="00E37B62">
        <w:rPr>
          <w:rFonts w:eastAsia="Palatino Linotype" w:cs="Palatino Linotype"/>
          <w:szCs w:val="24"/>
        </w:rPr>
        <w:t xml:space="preserve">De la tesis transcrita, se desprende que </w:t>
      </w:r>
      <w:r w:rsidRPr="00E37B62">
        <w:rPr>
          <w:rFonts w:eastAsia="Palatino Linotype" w:cs="Palatino Linotype"/>
          <w:b/>
          <w:szCs w:val="24"/>
        </w:rPr>
        <w:t>en materia burocrática</w:t>
      </w:r>
      <w:r w:rsidRPr="00E37B62">
        <w:rPr>
          <w:rFonts w:eastAsia="Palatino Linotype" w:cs="Palatino Linotype"/>
          <w:szCs w:val="24"/>
        </w:rPr>
        <w:t xml:space="preserve"> </w:t>
      </w:r>
      <w:r w:rsidRPr="00E37B62">
        <w:rPr>
          <w:rFonts w:eastAsia="Palatino Linotype" w:cs="Palatino Linotype"/>
          <w:b/>
          <w:szCs w:val="24"/>
        </w:rPr>
        <w:t>los recibos de pago acreditan los conceptos y montos que en ellos se insertan</w:t>
      </w:r>
      <w:r w:rsidRPr="00E37B62">
        <w:rPr>
          <w:rFonts w:eastAsia="Palatino Linotype" w:cs="Palatino Linotype"/>
          <w:szCs w:val="24"/>
        </w:rPr>
        <w:t>, y constituyen prueba para demostrar las percepciones y montos que re</w:t>
      </w:r>
      <w:r>
        <w:rPr>
          <w:rFonts w:eastAsia="Palatino Linotype" w:cs="Palatino Linotype"/>
          <w:szCs w:val="24"/>
        </w:rPr>
        <w:t xml:space="preserve">ciben los servidores públicos. </w:t>
      </w:r>
    </w:p>
    <w:p w14:paraId="1F2CDEA4" w14:textId="3C8900A8" w:rsidR="00756B67" w:rsidRPr="00756B67" w:rsidRDefault="0077504A" w:rsidP="00756B67">
      <w:pPr>
        <w:pStyle w:val="Citas"/>
        <w:ind w:left="0" w:right="-2"/>
        <w:rPr>
          <w:bCs/>
          <w:i w:val="0"/>
          <w:iCs/>
          <w:sz w:val="24"/>
          <w:szCs w:val="24"/>
        </w:rPr>
      </w:pPr>
      <w:r w:rsidRPr="00644CC6">
        <w:rPr>
          <w:rFonts w:eastAsia="Palatino Linotype" w:cs="Palatino Linotype"/>
          <w:i w:val="0"/>
          <w:sz w:val="24"/>
          <w:szCs w:val="24"/>
        </w:rPr>
        <w:lastRenderedPageBreak/>
        <w:t xml:space="preserve">En consecuencia, este Órgano Garante determina ordenar en </w:t>
      </w:r>
      <w:r w:rsidRPr="00644CC6">
        <w:rPr>
          <w:rFonts w:eastAsia="Palatino Linotype" w:cs="Palatino Linotype"/>
          <w:b/>
          <w:i w:val="0"/>
          <w:sz w:val="24"/>
          <w:szCs w:val="24"/>
        </w:rPr>
        <w:t xml:space="preserve">versión pública, </w:t>
      </w:r>
      <w:r w:rsidRPr="00644CC6">
        <w:rPr>
          <w:rFonts w:eastAsia="Palatino Linotype" w:cs="Palatino Linotype"/>
          <w:i w:val="0"/>
          <w:sz w:val="24"/>
          <w:szCs w:val="24"/>
        </w:rPr>
        <w:t xml:space="preserve">los </w:t>
      </w:r>
      <w:r w:rsidR="00CD70FF">
        <w:rPr>
          <w:i w:val="0"/>
          <w:color w:val="000000" w:themeColor="text1"/>
          <w:sz w:val="24"/>
          <w:szCs w:val="24"/>
        </w:rPr>
        <w:t>recibos</w:t>
      </w:r>
      <w:r>
        <w:rPr>
          <w:i w:val="0"/>
          <w:color w:val="000000" w:themeColor="text1"/>
          <w:sz w:val="24"/>
          <w:szCs w:val="24"/>
        </w:rPr>
        <w:t xml:space="preserve"> </w:t>
      </w:r>
      <w:r w:rsidRPr="00644CC6">
        <w:rPr>
          <w:i w:val="0"/>
          <w:color w:val="000000" w:themeColor="text1"/>
          <w:sz w:val="24"/>
          <w:szCs w:val="24"/>
        </w:rPr>
        <w:t xml:space="preserve"> de </w:t>
      </w:r>
      <w:r>
        <w:rPr>
          <w:i w:val="0"/>
          <w:color w:val="000000" w:themeColor="text1"/>
          <w:sz w:val="24"/>
          <w:szCs w:val="24"/>
        </w:rPr>
        <w:t xml:space="preserve">nómina </w:t>
      </w:r>
      <w:r w:rsidRPr="00644CC6">
        <w:rPr>
          <w:i w:val="0"/>
          <w:color w:val="000000" w:themeColor="text1"/>
          <w:sz w:val="24"/>
          <w:szCs w:val="24"/>
        </w:rPr>
        <w:t xml:space="preserve">de la primera y segunda quincena de </w:t>
      </w:r>
      <w:r>
        <w:rPr>
          <w:i w:val="0"/>
          <w:color w:val="000000" w:themeColor="text1"/>
          <w:sz w:val="24"/>
          <w:szCs w:val="24"/>
        </w:rPr>
        <w:t xml:space="preserve">diciembre </w:t>
      </w:r>
      <w:r w:rsidRPr="00644CC6">
        <w:rPr>
          <w:i w:val="0"/>
          <w:color w:val="000000" w:themeColor="text1"/>
          <w:sz w:val="24"/>
          <w:szCs w:val="24"/>
        </w:rPr>
        <w:t>de dos mil veintitrés</w:t>
      </w:r>
      <w:r>
        <w:rPr>
          <w:i w:val="0"/>
          <w:color w:val="000000" w:themeColor="text1"/>
          <w:sz w:val="24"/>
          <w:szCs w:val="24"/>
        </w:rPr>
        <w:t xml:space="preserve"> los titulares  de la </w:t>
      </w:r>
      <w:r w:rsidR="009847CC">
        <w:rPr>
          <w:i w:val="0"/>
          <w:color w:val="000000" w:themeColor="text1"/>
          <w:sz w:val="24"/>
          <w:szCs w:val="24"/>
        </w:rPr>
        <w:t>Dirección de Desarrollo Social</w:t>
      </w:r>
      <w:r>
        <w:rPr>
          <w:i w:val="0"/>
          <w:color w:val="000000" w:themeColor="text1"/>
          <w:sz w:val="24"/>
          <w:szCs w:val="24"/>
        </w:rPr>
        <w:t>, Dirección de Administración y la Tesorería Municipal</w:t>
      </w:r>
      <w:r w:rsidR="00A04225">
        <w:rPr>
          <w:i w:val="0"/>
          <w:color w:val="000000" w:themeColor="text1"/>
          <w:sz w:val="24"/>
          <w:szCs w:val="24"/>
        </w:rPr>
        <w:t xml:space="preserve"> </w:t>
      </w:r>
      <w:r w:rsidR="00756B67" w:rsidRPr="00756B67">
        <w:rPr>
          <w:rFonts w:eastAsia="Palatino Linotype" w:cs="Palatino Linotype"/>
          <w:i w:val="0"/>
          <w:sz w:val="24"/>
          <w:szCs w:val="24"/>
        </w:rPr>
        <w:t>acompañados por el acuerdo que emita su Comité de Transparencia con el que se funde y motive la eliminación de los datos visibles en dichos recibos.</w:t>
      </w:r>
      <w:r w:rsidR="00756B67">
        <w:rPr>
          <w:rFonts w:eastAsia="Palatino Linotype" w:cs="Palatino Linotype"/>
        </w:rPr>
        <w:t xml:space="preserve"> </w:t>
      </w:r>
    </w:p>
    <w:p w14:paraId="2BBCF1F7" w14:textId="77777777" w:rsidR="0077504A" w:rsidRDefault="0077504A" w:rsidP="00180802">
      <w:pPr>
        <w:ind w:right="49"/>
        <w:rPr>
          <w:noProof/>
          <w:lang w:val="es-MX"/>
          <w14:ligatures w14:val="standardContextual"/>
        </w:rPr>
      </w:pPr>
    </w:p>
    <w:p w14:paraId="0A9B5E0F" w14:textId="77777777" w:rsidR="009847CC" w:rsidRPr="0084171C" w:rsidRDefault="009847CC" w:rsidP="009847CC">
      <w:pPr>
        <w:shd w:val="clear" w:color="auto" w:fill="FFFFFF"/>
        <w:ind w:left="720"/>
        <w:rPr>
          <w:b/>
          <w:bCs/>
          <w:i/>
          <w:iCs/>
          <w:sz w:val="28"/>
        </w:rPr>
      </w:pPr>
      <w:r w:rsidRPr="0084171C">
        <w:rPr>
          <w:b/>
          <w:bCs/>
          <w:i/>
          <w:iCs/>
          <w:sz w:val="28"/>
        </w:rPr>
        <w:t>De la versión pública.</w:t>
      </w:r>
    </w:p>
    <w:p w14:paraId="05742A50" w14:textId="77777777" w:rsidR="009847CC" w:rsidRPr="008D66C3" w:rsidRDefault="009847CC" w:rsidP="009847CC">
      <w:pPr>
        <w:rPr>
          <w:rFonts w:cs="Arial"/>
        </w:rPr>
      </w:pPr>
      <w:r w:rsidRPr="008D66C3">
        <w:rPr>
          <w:rFonts w:cs="Arial"/>
        </w:rPr>
        <w:t xml:space="preserve">Toda vez que los documentos referidos anteriormente son elaborados por quincenas y atendiendo al requerimiento del ciudadano, este Órgano Garante determina ordenar que la entrega de la información al </w:t>
      </w:r>
      <w:r w:rsidRPr="008D66C3">
        <w:rPr>
          <w:rFonts w:cs="Arial"/>
          <w:b/>
        </w:rPr>
        <w:t>Recurrente</w:t>
      </w:r>
      <w:r w:rsidRPr="008D66C3">
        <w:rPr>
          <w:rFonts w:cs="Aria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5487EFC4" w14:textId="77777777" w:rsidR="009847CC" w:rsidRPr="008D66C3" w:rsidRDefault="009847CC" w:rsidP="009847CC">
      <w:pPr>
        <w:rPr>
          <w:rFonts w:cs="Arial"/>
        </w:rPr>
      </w:pPr>
    </w:p>
    <w:p w14:paraId="7E060E96" w14:textId="77777777" w:rsidR="009847CC" w:rsidRPr="008D66C3" w:rsidRDefault="009847CC" w:rsidP="009847CC">
      <w:pPr>
        <w:rPr>
          <w:rFonts w:cs="Arial"/>
        </w:rPr>
      </w:pPr>
      <w:r w:rsidRPr="008D66C3">
        <w:rPr>
          <w:rFonts w:cs="Arial"/>
        </w:rPr>
        <w:t>A este respecto, los artículos 3, fracciones IX, XX, XXI y XLV; 51 y 52, de la Ley de Transparencia y Acceso a la Información Pública del Estado de México y Municipios establecen:</w:t>
      </w:r>
    </w:p>
    <w:p w14:paraId="496A8F45" w14:textId="77777777" w:rsidR="009847CC" w:rsidRPr="00C940AB" w:rsidRDefault="009847CC" w:rsidP="009847CC">
      <w:pPr>
        <w:ind w:left="567" w:right="567"/>
        <w:rPr>
          <w:rFonts w:cs="Arial"/>
          <w:i/>
          <w:sz w:val="22"/>
        </w:rPr>
      </w:pPr>
      <w:r w:rsidRPr="008D66C3">
        <w:rPr>
          <w:rFonts w:cs="Arial"/>
          <w:i/>
        </w:rPr>
        <w:t>“</w:t>
      </w:r>
      <w:r w:rsidRPr="00C940AB">
        <w:rPr>
          <w:rFonts w:cs="Arial"/>
          <w:b/>
          <w:i/>
          <w:sz w:val="22"/>
        </w:rPr>
        <w:t>Artículo 3.</w:t>
      </w:r>
      <w:r w:rsidRPr="00C940AB">
        <w:rPr>
          <w:rFonts w:cs="Arial"/>
          <w:i/>
          <w:sz w:val="22"/>
        </w:rPr>
        <w:t xml:space="preserve"> Para los efectos de la presente Ley se entenderá por: </w:t>
      </w:r>
    </w:p>
    <w:p w14:paraId="180730CC" w14:textId="77777777" w:rsidR="009847CC" w:rsidRPr="00C940AB" w:rsidRDefault="009847CC" w:rsidP="009847CC">
      <w:pPr>
        <w:ind w:left="567" w:right="567"/>
        <w:rPr>
          <w:rFonts w:cs="Arial"/>
          <w:i/>
          <w:sz w:val="22"/>
        </w:rPr>
      </w:pPr>
      <w:r w:rsidRPr="00C940AB">
        <w:rPr>
          <w:rFonts w:cs="Arial"/>
          <w:i/>
          <w:sz w:val="22"/>
        </w:rPr>
        <w:t>…</w:t>
      </w:r>
    </w:p>
    <w:p w14:paraId="66E7B6B5" w14:textId="77777777" w:rsidR="009847CC" w:rsidRPr="00C940AB" w:rsidRDefault="009847CC" w:rsidP="009847CC">
      <w:pPr>
        <w:ind w:left="567" w:right="567"/>
        <w:rPr>
          <w:rFonts w:cs="Arial"/>
          <w:i/>
          <w:sz w:val="22"/>
        </w:rPr>
      </w:pPr>
      <w:r w:rsidRPr="00C940AB">
        <w:rPr>
          <w:rFonts w:cs="Arial"/>
          <w:b/>
          <w:i/>
          <w:sz w:val="22"/>
        </w:rPr>
        <w:t>IX</w:t>
      </w:r>
      <w:r w:rsidRPr="00C940AB">
        <w:rPr>
          <w:rFonts w:cs="Arial"/>
          <w:i/>
          <w:sz w:val="22"/>
        </w:rPr>
        <w:t xml:space="preserve">. </w:t>
      </w:r>
      <w:r w:rsidRPr="00C940AB">
        <w:rPr>
          <w:rFonts w:cs="Arial"/>
          <w:b/>
          <w:i/>
          <w:sz w:val="22"/>
        </w:rPr>
        <w:t>Datos personales:</w:t>
      </w:r>
      <w:r w:rsidRPr="00C940AB">
        <w:rPr>
          <w:rFonts w:cs="Arial"/>
          <w:i/>
          <w:sz w:val="22"/>
        </w:rPr>
        <w:t xml:space="preserve"> La información concerniente a una persona, identificada o identificable según lo dispuesto por la Ley de Protección de Datos Personales del Estado de México; </w:t>
      </w:r>
    </w:p>
    <w:p w14:paraId="62592B39" w14:textId="77777777" w:rsidR="009847CC" w:rsidRPr="00C940AB" w:rsidRDefault="009847CC" w:rsidP="009847CC">
      <w:pPr>
        <w:ind w:left="567" w:right="567"/>
        <w:rPr>
          <w:rFonts w:cs="Arial"/>
          <w:i/>
          <w:sz w:val="22"/>
        </w:rPr>
      </w:pPr>
    </w:p>
    <w:p w14:paraId="11DC1203" w14:textId="77777777" w:rsidR="009847CC" w:rsidRPr="00C940AB" w:rsidRDefault="009847CC" w:rsidP="009847CC">
      <w:pPr>
        <w:ind w:left="567" w:right="567"/>
        <w:rPr>
          <w:rFonts w:cs="Arial"/>
          <w:i/>
          <w:sz w:val="22"/>
        </w:rPr>
      </w:pPr>
      <w:r w:rsidRPr="00C940AB">
        <w:rPr>
          <w:rFonts w:cs="Arial"/>
          <w:b/>
          <w:i/>
          <w:sz w:val="22"/>
        </w:rPr>
        <w:lastRenderedPageBreak/>
        <w:t>XX. Información clasificada:</w:t>
      </w:r>
      <w:r w:rsidRPr="00C940AB">
        <w:rPr>
          <w:rFonts w:cs="Arial"/>
          <w:i/>
          <w:sz w:val="22"/>
        </w:rPr>
        <w:t xml:space="preserve"> Aquella considerada por la presente Ley como reservada o confidencial; </w:t>
      </w:r>
    </w:p>
    <w:p w14:paraId="42ABAA92" w14:textId="77777777" w:rsidR="009847CC" w:rsidRPr="00C940AB" w:rsidRDefault="009847CC" w:rsidP="009847CC">
      <w:pPr>
        <w:ind w:left="567" w:right="567"/>
        <w:rPr>
          <w:rFonts w:cs="Arial"/>
          <w:i/>
          <w:sz w:val="22"/>
        </w:rPr>
      </w:pPr>
    </w:p>
    <w:p w14:paraId="4EBB86B1" w14:textId="77777777" w:rsidR="009847CC" w:rsidRPr="00C940AB" w:rsidRDefault="009847CC" w:rsidP="009847CC">
      <w:pPr>
        <w:ind w:left="567" w:right="567"/>
        <w:rPr>
          <w:rFonts w:cs="Arial"/>
          <w:i/>
          <w:sz w:val="22"/>
        </w:rPr>
      </w:pPr>
      <w:r w:rsidRPr="00C940AB">
        <w:rPr>
          <w:rFonts w:cs="Arial"/>
          <w:b/>
          <w:i/>
          <w:sz w:val="22"/>
        </w:rPr>
        <w:t>XXI. Información confidencial:</w:t>
      </w:r>
      <w:r w:rsidRPr="00C940AB">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B2B2479" w14:textId="77777777" w:rsidR="009847CC" w:rsidRPr="00C940AB" w:rsidRDefault="009847CC" w:rsidP="009847CC">
      <w:pPr>
        <w:ind w:left="567" w:right="567"/>
        <w:rPr>
          <w:rFonts w:cs="Arial"/>
          <w:i/>
          <w:sz w:val="22"/>
        </w:rPr>
      </w:pPr>
    </w:p>
    <w:p w14:paraId="1122E637" w14:textId="77777777" w:rsidR="009847CC" w:rsidRPr="00C940AB" w:rsidRDefault="009847CC" w:rsidP="009847CC">
      <w:pPr>
        <w:ind w:left="567" w:right="567"/>
        <w:rPr>
          <w:rFonts w:cs="Arial"/>
          <w:i/>
          <w:sz w:val="22"/>
        </w:rPr>
      </w:pPr>
      <w:r w:rsidRPr="00C940AB">
        <w:rPr>
          <w:rFonts w:cs="Arial"/>
          <w:b/>
          <w:i/>
          <w:sz w:val="22"/>
        </w:rPr>
        <w:t>XLV. Versión pública:</w:t>
      </w:r>
      <w:r w:rsidRPr="00C940AB">
        <w:rPr>
          <w:rFonts w:cs="Arial"/>
          <w:i/>
          <w:sz w:val="22"/>
        </w:rPr>
        <w:t xml:space="preserve"> Documento en el que se elimine, suprime o borra la información clasificada como reservada o confidencial para permitir su acceso. </w:t>
      </w:r>
    </w:p>
    <w:p w14:paraId="02E67E90" w14:textId="77777777" w:rsidR="009847CC" w:rsidRPr="00C940AB" w:rsidRDefault="009847CC" w:rsidP="009847CC">
      <w:pPr>
        <w:ind w:left="567" w:right="567"/>
        <w:rPr>
          <w:rFonts w:cs="Arial"/>
          <w:i/>
          <w:sz w:val="22"/>
        </w:rPr>
      </w:pPr>
    </w:p>
    <w:p w14:paraId="5F91FEBA" w14:textId="77777777" w:rsidR="009847CC" w:rsidRPr="00C940AB" w:rsidRDefault="009847CC" w:rsidP="009847CC">
      <w:pPr>
        <w:ind w:left="567" w:right="567"/>
        <w:rPr>
          <w:rFonts w:cs="Arial"/>
          <w:i/>
          <w:sz w:val="22"/>
        </w:rPr>
      </w:pPr>
      <w:r w:rsidRPr="00C940AB">
        <w:rPr>
          <w:rFonts w:cs="Arial"/>
          <w:b/>
          <w:i/>
          <w:sz w:val="22"/>
        </w:rPr>
        <w:t xml:space="preserve">Artículo 51. </w:t>
      </w:r>
      <w:r w:rsidRPr="00C940AB">
        <w:rPr>
          <w:rFonts w:cs="Arial"/>
          <w:i/>
          <w:sz w:val="22"/>
        </w:rPr>
        <w:t xml:space="preserve">Los sujetos obligados designaran a un responsable para atender la Unidad de Transparencia, quien fungirá como enlace entre éstos y los solicitantes. Dicha Unidad será la encargada de tramitar internamente la solicitud de información </w:t>
      </w:r>
      <w:r w:rsidRPr="00C940AB">
        <w:rPr>
          <w:rFonts w:cs="Arial"/>
          <w:b/>
          <w:i/>
          <w:sz w:val="22"/>
        </w:rPr>
        <w:t>y tendrá la responsabilidad de verificar en cada caso que la misma no sea confidencial o reservada</w:t>
      </w:r>
      <w:r w:rsidRPr="00C940AB">
        <w:rPr>
          <w:rFonts w:cs="Arial"/>
          <w:i/>
          <w:sz w:val="22"/>
        </w:rPr>
        <w:t xml:space="preserve">. Dicha Unidad contará con las facultades internas necesarias para gestionar la atención a las solicitudes de información en los términos de la Ley General y la presente Ley. </w:t>
      </w:r>
    </w:p>
    <w:p w14:paraId="7EE60A0C" w14:textId="77777777" w:rsidR="009847CC" w:rsidRPr="00C940AB" w:rsidRDefault="009847CC" w:rsidP="009847CC">
      <w:pPr>
        <w:ind w:left="567" w:right="567"/>
        <w:rPr>
          <w:rFonts w:cs="Arial"/>
          <w:i/>
          <w:sz w:val="22"/>
        </w:rPr>
      </w:pPr>
    </w:p>
    <w:p w14:paraId="5A1C7574" w14:textId="77777777" w:rsidR="009847CC" w:rsidRPr="00C940AB" w:rsidRDefault="009847CC" w:rsidP="009847CC">
      <w:pPr>
        <w:ind w:left="567" w:right="567"/>
        <w:rPr>
          <w:rFonts w:cs="Arial"/>
          <w:i/>
          <w:sz w:val="22"/>
        </w:rPr>
      </w:pPr>
      <w:r w:rsidRPr="00C940AB">
        <w:rPr>
          <w:rFonts w:cs="Arial"/>
          <w:b/>
          <w:i/>
          <w:sz w:val="22"/>
        </w:rPr>
        <w:t>Artículo 52.</w:t>
      </w:r>
      <w:r w:rsidRPr="00C940AB">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10D2D02A" w14:textId="77777777" w:rsidR="009847CC" w:rsidRPr="008D66C3" w:rsidRDefault="009847CC" w:rsidP="009847CC">
      <w:pPr>
        <w:rPr>
          <w:rFonts w:cs="Arial"/>
        </w:rPr>
      </w:pPr>
    </w:p>
    <w:p w14:paraId="028899C1" w14:textId="77777777" w:rsidR="009847CC" w:rsidRPr="008D66C3" w:rsidRDefault="009847CC" w:rsidP="009847CC">
      <w:pPr>
        <w:rPr>
          <w:rFonts w:cs="Arial"/>
        </w:rPr>
      </w:pPr>
      <w:r w:rsidRPr="008D66C3">
        <w:rPr>
          <w:rFonts w:cs="Aria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D7F20F5" w14:textId="77777777" w:rsidR="009847CC" w:rsidRPr="00C940AB" w:rsidRDefault="009847CC" w:rsidP="009847CC">
      <w:pPr>
        <w:rPr>
          <w:rFonts w:cs="Arial"/>
          <w:sz w:val="22"/>
        </w:rPr>
      </w:pPr>
    </w:p>
    <w:p w14:paraId="2120386A" w14:textId="77777777" w:rsidR="009847CC" w:rsidRPr="00C940AB" w:rsidRDefault="009847CC" w:rsidP="009847CC">
      <w:pPr>
        <w:ind w:left="567" w:right="567"/>
        <w:rPr>
          <w:rFonts w:cs="Arial"/>
          <w:i/>
          <w:sz w:val="22"/>
        </w:rPr>
      </w:pPr>
      <w:r w:rsidRPr="00C940AB">
        <w:rPr>
          <w:rFonts w:cs="Arial"/>
          <w:i/>
          <w:sz w:val="22"/>
        </w:rPr>
        <w:t>“</w:t>
      </w:r>
      <w:r w:rsidRPr="00C940AB">
        <w:rPr>
          <w:rFonts w:cs="Arial"/>
          <w:b/>
          <w:i/>
          <w:sz w:val="22"/>
        </w:rPr>
        <w:t>Artículo 22.</w:t>
      </w:r>
      <w:r w:rsidRPr="00C940AB">
        <w:rPr>
          <w:rFonts w:cs="Arial"/>
          <w:i/>
          <w:sz w:val="22"/>
        </w:rPr>
        <w:t xml:space="preserve"> Todo tratamiento de datos personales que efectúe el responsable deberá estar justificado por finalidades concretas, lícitas, explícitas y legítimas, relacionadas con las atribuciones que la normatividad aplicable les confiera.</w:t>
      </w:r>
    </w:p>
    <w:p w14:paraId="6C210A14" w14:textId="77777777" w:rsidR="009847CC" w:rsidRPr="00C940AB" w:rsidRDefault="009847CC" w:rsidP="009847CC">
      <w:pPr>
        <w:ind w:left="567" w:right="567"/>
        <w:rPr>
          <w:rFonts w:cs="Arial"/>
          <w:i/>
          <w:sz w:val="22"/>
        </w:rPr>
      </w:pPr>
    </w:p>
    <w:p w14:paraId="4A8C9DB9" w14:textId="77777777" w:rsidR="009847CC" w:rsidRPr="00C940AB" w:rsidRDefault="009847CC" w:rsidP="009847CC">
      <w:pPr>
        <w:ind w:left="567" w:right="567"/>
        <w:rPr>
          <w:rFonts w:cs="Arial"/>
          <w:i/>
          <w:sz w:val="22"/>
        </w:rPr>
      </w:pPr>
      <w:r w:rsidRPr="00C940AB">
        <w:rPr>
          <w:rFonts w:cs="Arial"/>
          <w:i/>
          <w:sz w:val="22"/>
        </w:rPr>
        <w:t>El responsable podrá tratar datos personales para finalidades distintas a aquéllas establecidas en el aviso de privacidad, en los casos siguientes:</w:t>
      </w:r>
    </w:p>
    <w:p w14:paraId="0F8B90CF" w14:textId="77777777" w:rsidR="009847CC" w:rsidRPr="00C940AB" w:rsidRDefault="009847CC" w:rsidP="009847CC">
      <w:pPr>
        <w:ind w:left="567" w:right="567"/>
        <w:rPr>
          <w:rFonts w:cs="Arial"/>
          <w:i/>
          <w:sz w:val="22"/>
        </w:rPr>
      </w:pPr>
    </w:p>
    <w:p w14:paraId="783F1D6D" w14:textId="77777777" w:rsidR="009847CC" w:rsidRPr="00C940AB" w:rsidRDefault="009847CC" w:rsidP="009847CC">
      <w:pPr>
        <w:ind w:left="567" w:right="567"/>
        <w:rPr>
          <w:rFonts w:cs="Arial"/>
          <w:i/>
          <w:sz w:val="22"/>
        </w:rPr>
      </w:pPr>
      <w:r w:rsidRPr="00C940AB">
        <w:rPr>
          <w:rFonts w:cs="Arial"/>
          <w:i/>
          <w:sz w:val="22"/>
        </w:rPr>
        <w:t>I. Cuente con atribuciones conferidas en ley y medie el consentimiento del titular.</w:t>
      </w:r>
    </w:p>
    <w:p w14:paraId="2858E2B3" w14:textId="77777777" w:rsidR="009847CC" w:rsidRPr="00C940AB" w:rsidRDefault="009847CC" w:rsidP="009847CC">
      <w:pPr>
        <w:ind w:left="567" w:right="567"/>
        <w:rPr>
          <w:rFonts w:cs="Arial"/>
          <w:i/>
          <w:sz w:val="22"/>
        </w:rPr>
      </w:pPr>
      <w:r w:rsidRPr="00C940AB">
        <w:rPr>
          <w:rFonts w:cs="Arial"/>
          <w:i/>
          <w:sz w:val="22"/>
        </w:rPr>
        <w:t>II. Se trate de una persona reportada como desaparecida, en los términos previstos en la presente Ley y demás disposiciones legales aplicables...</w:t>
      </w:r>
    </w:p>
    <w:p w14:paraId="74FDA97E" w14:textId="77777777" w:rsidR="009847CC" w:rsidRPr="00C940AB" w:rsidRDefault="009847CC" w:rsidP="009847CC">
      <w:pPr>
        <w:ind w:left="567" w:right="567"/>
        <w:rPr>
          <w:rFonts w:cs="Arial"/>
          <w:i/>
          <w:sz w:val="22"/>
        </w:rPr>
      </w:pPr>
    </w:p>
    <w:p w14:paraId="425C3704" w14:textId="77777777" w:rsidR="009847CC" w:rsidRPr="00C940AB" w:rsidRDefault="009847CC" w:rsidP="009847CC">
      <w:pPr>
        <w:ind w:left="567" w:right="567"/>
        <w:rPr>
          <w:rFonts w:cs="Arial"/>
          <w:i/>
          <w:sz w:val="22"/>
        </w:rPr>
      </w:pPr>
      <w:r w:rsidRPr="00C940AB">
        <w:rPr>
          <w:rFonts w:cs="Arial"/>
          <w:b/>
          <w:i/>
          <w:sz w:val="22"/>
        </w:rPr>
        <w:t>Artículo 38.</w:t>
      </w:r>
      <w:r w:rsidRPr="00C940AB">
        <w:rPr>
          <w:rFonts w:cs="Arial"/>
          <w:i/>
          <w:sz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w:t>
      </w:r>
      <w:r w:rsidRPr="00C940AB">
        <w:rPr>
          <w:rFonts w:cs="Arial"/>
          <w:i/>
          <w:sz w:val="22"/>
        </w:rPr>
        <w:lastRenderedPageBreak/>
        <w:t xml:space="preserve">transferencia, acceso o cualquier tratamiento no autorizado o ilícito, de conformidad con lo dispuesto en los lineamientos que al efecto se expidan.” </w:t>
      </w:r>
    </w:p>
    <w:p w14:paraId="66B77230" w14:textId="77777777" w:rsidR="009847CC" w:rsidRPr="00C940AB" w:rsidRDefault="009847CC" w:rsidP="009847CC">
      <w:pPr>
        <w:rPr>
          <w:rFonts w:cs="Arial"/>
          <w:sz w:val="22"/>
        </w:rPr>
      </w:pPr>
    </w:p>
    <w:p w14:paraId="26A47E32" w14:textId="77777777" w:rsidR="009847CC" w:rsidRPr="008D66C3" w:rsidRDefault="009847CC" w:rsidP="009847CC">
      <w:pPr>
        <w:rPr>
          <w:rFonts w:cs="Arial"/>
        </w:rPr>
      </w:pPr>
      <w:r w:rsidRPr="008D66C3">
        <w:rPr>
          <w:rFonts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F8A0714" w14:textId="77777777" w:rsidR="009847CC" w:rsidRPr="008D66C3" w:rsidRDefault="009847CC" w:rsidP="009847CC">
      <w:pPr>
        <w:rPr>
          <w:rFonts w:cs="Arial"/>
        </w:rPr>
      </w:pPr>
    </w:p>
    <w:p w14:paraId="3D3E459C" w14:textId="77777777" w:rsidR="009847CC" w:rsidRPr="008D66C3" w:rsidRDefault="009847CC" w:rsidP="009847CC">
      <w:pPr>
        <w:rPr>
          <w:rFonts w:cs="Arial"/>
        </w:rPr>
      </w:pPr>
      <w:r w:rsidRPr="008D66C3">
        <w:rPr>
          <w:rFonts w:cs="Aria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1901461E" w14:textId="77777777" w:rsidR="009847CC" w:rsidRPr="008D66C3" w:rsidRDefault="009847CC" w:rsidP="009847CC">
      <w:pPr>
        <w:rPr>
          <w:rFonts w:cs="Arial"/>
        </w:rPr>
      </w:pPr>
    </w:p>
    <w:p w14:paraId="60EBBB92" w14:textId="77777777" w:rsidR="009847CC" w:rsidRPr="008D66C3" w:rsidRDefault="009847CC" w:rsidP="009847CC">
      <w:pPr>
        <w:rPr>
          <w:rFonts w:cs="Arial"/>
        </w:rPr>
      </w:pPr>
      <w:r w:rsidRPr="008D66C3">
        <w:rPr>
          <w:rFonts w:cs="Arial"/>
        </w:rPr>
        <w:t xml:space="preserve">Asimismo, de la versión pública deberá dejarse a la vista del Recurrente los siguientes elementos de información pública: monto total del sueldo neto y bruto, compensaciones, prestaciones, aguinaldos, bonos, pagos por concepto de gasolina, de servicio de telefonía celular, el </w:t>
      </w:r>
      <w:r w:rsidRPr="00E13189">
        <w:rPr>
          <w:rFonts w:cs="Arial"/>
        </w:rPr>
        <w:t>nombre del servidor público</w:t>
      </w:r>
      <w:r w:rsidRPr="008D66C3">
        <w:rPr>
          <w:rFonts w:cs="Arial"/>
        </w:rPr>
        <w:t xml:space="preserve">, área de adscripción, número de empleado (sólo en caso de no arrojar datos personales) y el período de la nómina respectiva, básicamente.  </w:t>
      </w:r>
    </w:p>
    <w:p w14:paraId="4E87C59A" w14:textId="77777777" w:rsidR="009847CC" w:rsidRPr="008D66C3" w:rsidRDefault="009847CC" w:rsidP="009847CC">
      <w:pPr>
        <w:rPr>
          <w:rFonts w:cs="Arial"/>
        </w:rPr>
      </w:pPr>
    </w:p>
    <w:p w14:paraId="49B47E8F" w14:textId="77777777" w:rsidR="009847CC" w:rsidRPr="008D66C3" w:rsidRDefault="009847CC" w:rsidP="009847CC">
      <w:pPr>
        <w:rPr>
          <w:rFonts w:cs="Arial"/>
        </w:rPr>
      </w:pPr>
      <w:r w:rsidRPr="008D66C3">
        <w:rPr>
          <w:rFonts w:cs="Arial"/>
        </w:rPr>
        <w:lastRenderedPageBreak/>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2C681715" w14:textId="77777777" w:rsidR="009847CC" w:rsidRPr="008D66C3" w:rsidRDefault="009847CC" w:rsidP="009847CC">
      <w:pPr>
        <w:rPr>
          <w:rFonts w:cs="Arial"/>
        </w:rPr>
      </w:pPr>
    </w:p>
    <w:p w14:paraId="304A4005" w14:textId="77777777" w:rsidR="009847CC" w:rsidRPr="008E2B16" w:rsidRDefault="009847CC" w:rsidP="009847CC">
      <w:pPr>
        <w:ind w:left="567" w:right="567"/>
        <w:rPr>
          <w:rFonts w:cs="Arial"/>
          <w:i/>
          <w:sz w:val="22"/>
        </w:rPr>
      </w:pPr>
      <w:r w:rsidRPr="008D66C3">
        <w:rPr>
          <w:rFonts w:cs="Arial"/>
          <w:i/>
        </w:rPr>
        <w:t>"</w:t>
      </w:r>
      <w:r w:rsidRPr="008E2B16">
        <w:rPr>
          <w:rFonts w:cs="Arial"/>
          <w:b/>
          <w:i/>
          <w:sz w:val="22"/>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8E2B16">
        <w:rPr>
          <w:rFonts w:cs="Arial"/>
          <w:i/>
          <w:sz w:val="22"/>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2B86CCEB" w14:textId="77777777" w:rsidR="009847CC" w:rsidRPr="008D66C3" w:rsidRDefault="009847CC" w:rsidP="009847CC">
      <w:pPr>
        <w:rPr>
          <w:rFonts w:cs="Arial"/>
        </w:rPr>
      </w:pPr>
    </w:p>
    <w:p w14:paraId="6D7029B0" w14:textId="77777777" w:rsidR="009847CC" w:rsidRPr="008D66C3" w:rsidRDefault="009847CC" w:rsidP="009847CC">
      <w:pPr>
        <w:rPr>
          <w:rFonts w:cs="Arial"/>
        </w:rPr>
      </w:pPr>
      <w:r w:rsidRPr="008D66C3">
        <w:rPr>
          <w:rFonts w:cs="Arial"/>
        </w:rPr>
        <w:lastRenderedPageBreak/>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8D66C3">
        <w:rPr>
          <w:rFonts w:cs="Arial"/>
          <w:b/>
        </w:rPr>
        <w:t>Lineamientos Generales en Materia de Clasificación y Desclasificación de la Información, así como para la Elaboración de Versiones Públicas</w:t>
      </w:r>
      <w:r w:rsidRPr="008D66C3">
        <w:rPr>
          <w:rFonts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02FC285F" w14:textId="77777777" w:rsidR="009847CC" w:rsidRPr="008D66C3" w:rsidRDefault="009847CC" w:rsidP="009847CC">
      <w:pPr>
        <w:rPr>
          <w:rFonts w:cs="Arial"/>
        </w:rPr>
      </w:pPr>
      <w:r w:rsidRPr="008D66C3">
        <w:rPr>
          <w:rFonts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1EA5797D" w14:textId="77777777" w:rsidR="009847CC" w:rsidRDefault="009847CC" w:rsidP="009847CC">
      <w:pPr>
        <w:rPr>
          <w:rFonts w:cs="Arial"/>
        </w:rPr>
      </w:pPr>
    </w:p>
    <w:p w14:paraId="4D3273FF" w14:textId="77777777" w:rsidR="009847CC" w:rsidRPr="00EB6004" w:rsidRDefault="009847CC" w:rsidP="009847CC">
      <w:r w:rsidRPr="00EB6004">
        <w:rPr>
          <w:rFonts w:cs="Arial"/>
        </w:rPr>
        <w:t xml:space="preserve">En el mismo sentido, en el </w:t>
      </w:r>
      <w:r w:rsidRPr="00EB6004">
        <w:t xml:space="preserve">caso específico, </w:t>
      </w:r>
      <w:r w:rsidRPr="00EB6004">
        <w:rPr>
          <w:rFonts w:cs="Arial"/>
        </w:rPr>
        <w:t xml:space="preserve">se advierte que </w:t>
      </w:r>
      <w:r w:rsidRPr="00EB6004">
        <w:t xml:space="preserve">en los documentos solicitados obran datos que son considerados confidenciales, cuyo acceso debe ser restringido, los cuales deben testarse al momento de la elaboración de versiones públicas, como es el caso del </w:t>
      </w:r>
      <w:r w:rsidRPr="00EB6004">
        <w:rPr>
          <w:b/>
        </w:rPr>
        <w:t>Registro Federal de Contribuyentes</w:t>
      </w:r>
      <w:r w:rsidRPr="00EB6004">
        <w:t xml:space="preserve"> (RFC), la </w:t>
      </w:r>
      <w:r w:rsidRPr="00EB6004">
        <w:rPr>
          <w:b/>
        </w:rPr>
        <w:t>Clave Única de Registro de Población</w:t>
      </w:r>
      <w:r w:rsidRPr="00EB6004">
        <w:t xml:space="preserve"> (CURP), la </w:t>
      </w:r>
      <w:r w:rsidRPr="00EB6004">
        <w:rPr>
          <w:b/>
        </w:rPr>
        <w:t>Clave de cualquier tipo de seguridad social</w:t>
      </w:r>
      <w:r w:rsidRPr="00EB6004">
        <w:t xml:space="preserve"> (ISSEMYM, u otros), así como, los </w:t>
      </w:r>
      <w:r w:rsidRPr="00EB6004">
        <w:rPr>
          <w:b/>
        </w:rPr>
        <w:t xml:space="preserve">préstamos o descuentos </w:t>
      </w:r>
      <w:r w:rsidRPr="00EB6004">
        <w:t xml:space="preserve">que se le hagan al servidor público, que no se encuentren relacionados con </w:t>
      </w:r>
      <w:r w:rsidRPr="00EB6004">
        <w:rPr>
          <w:b/>
        </w:rPr>
        <w:t xml:space="preserve">los impuestos o las cuotas por seguridad social, sellos digitales del emisor y del Servicio de Administración Tributaria y cadena original del complemento </w:t>
      </w:r>
      <w:r w:rsidRPr="00EB6004">
        <w:rPr>
          <w:b/>
        </w:rPr>
        <w:lastRenderedPageBreak/>
        <w:t>de certificación digital del órgano previamente señalado, números de serie de los certificados de los sellos digitales, folio fiscal, número de serie o folio interno y fecha y hora de emisión</w:t>
      </w:r>
      <w:r w:rsidRPr="00EB6004">
        <w:t>, cuando de estos se desprendan o sean visibles datos personales correspondientes a los servidores públicos.</w:t>
      </w:r>
    </w:p>
    <w:p w14:paraId="2398E856" w14:textId="77777777" w:rsidR="009847CC" w:rsidRPr="00EB6004" w:rsidRDefault="009847CC" w:rsidP="009847CC"/>
    <w:p w14:paraId="3C15F7E5" w14:textId="77777777" w:rsidR="009847CC" w:rsidRPr="0044112A" w:rsidRDefault="009847CC" w:rsidP="009847CC">
      <w:r w:rsidRPr="00EB6004">
        <w:rPr>
          <w:b/>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EB6004">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31D3DF10" w14:textId="77777777" w:rsidR="009847CC" w:rsidRPr="0044112A" w:rsidRDefault="009847CC" w:rsidP="009847CC"/>
    <w:p w14:paraId="28213E9B" w14:textId="77777777" w:rsidR="009847CC" w:rsidRPr="0044112A" w:rsidRDefault="009847CC" w:rsidP="009847CC">
      <w:r w:rsidRPr="0044112A">
        <w:t xml:space="preserve">Por cuanto hace al </w:t>
      </w:r>
      <w:r w:rsidRPr="0044112A">
        <w:rPr>
          <w:b/>
        </w:rPr>
        <w:t>Registro Federal de Contribuyentes</w:t>
      </w:r>
      <w:r w:rsidRPr="0044112A">
        <w:t xml:space="preserve"> </w:t>
      </w:r>
      <w:r w:rsidRPr="0044112A">
        <w:rPr>
          <w:b/>
        </w:rPr>
        <w:t>de las personas físicas</w:t>
      </w:r>
      <w:r w:rsidRPr="0044112A">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44112A">
        <w:t>homoclave</w:t>
      </w:r>
      <w:proofErr w:type="spellEnd"/>
      <w:r w:rsidRPr="0044112A">
        <w:t xml:space="preserve">; la </w:t>
      </w:r>
      <w:r w:rsidRPr="0044112A">
        <w:lastRenderedPageBreak/>
        <w:t>cual para su obtención es necesario acreditar personalidad, fecha de nacimiento entre otros con documentos oficiales.</w:t>
      </w:r>
    </w:p>
    <w:p w14:paraId="1E6B9953" w14:textId="77777777" w:rsidR="009847CC" w:rsidRPr="0044112A" w:rsidRDefault="009847CC" w:rsidP="009847CC"/>
    <w:p w14:paraId="20E5D6E7" w14:textId="77777777" w:rsidR="009847CC" w:rsidRPr="0044112A" w:rsidRDefault="009847CC" w:rsidP="009847CC">
      <w:r w:rsidRPr="0044112A">
        <w:t>Al respecto, el Instituto Nacional Transparencia, Acceso a la Información y Protección de Datos Personales (INAI) a través del Criterio 19/17, señala literalmente lo siguiente:</w:t>
      </w:r>
    </w:p>
    <w:p w14:paraId="2C7215EA" w14:textId="77777777" w:rsidR="009847CC" w:rsidRPr="0044112A" w:rsidRDefault="009847CC" w:rsidP="009847CC">
      <w:pPr>
        <w:ind w:left="567" w:right="616"/>
        <w:rPr>
          <w:i/>
        </w:rPr>
      </w:pPr>
    </w:p>
    <w:p w14:paraId="2FBF7C1D" w14:textId="77777777" w:rsidR="009847CC" w:rsidRPr="0044112A" w:rsidRDefault="009847CC" w:rsidP="009847CC">
      <w:pPr>
        <w:ind w:left="567" w:right="616"/>
        <w:rPr>
          <w:i/>
        </w:rPr>
      </w:pPr>
      <w:r w:rsidRPr="0044112A">
        <w:rPr>
          <w:b/>
          <w:i/>
        </w:rPr>
        <w:t>Registro Federal de Contribuyentes (RFC) de personas físicas</w:t>
      </w:r>
      <w:r w:rsidRPr="0044112A">
        <w:rPr>
          <w:i/>
        </w:rPr>
        <w:t xml:space="preserve">. El RFC es una clave de carácter fiscal, </w:t>
      </w:r>
      <w:proofErr w:type="gramStart"/>
      <w:r w:rsidRPr="0044112A">
        <w:rPr>
          <w:i/>
        </w:rPr>
        <w:t>única</w:t>
      </w:r>
      <w:proofErr w:type="gramEnd"/>
      <w:r w:rsidRPr="0044112A">
        <w:rPr>
          <w:i/>
        </w:rPr>
        <w:t xml:space="preserve"> e irrepetible, que permite identificar al titular, su edad y fecha de nacimiento, por lo que es un dato personal de carácter confidencial.</w:t>
      </w:r>
    </w:p>
    <w:p w14:paraId="600930A9" w14:textId="77777777" w:rsidR="009847CC" w:rsidRPr="0044112A" w:rsidRDefault="009847CC" w:rsidP="009847CC"/>
    <w:p w14:paraId="5B9CB236" w14:textId="77777777" w:rsidR="009847CC" w:rsidRPr="0044112A" w:rsidRDefault="009847CC" w:rsidP="009847CC">
      <w:r w:rsidRPr="0044112A">
        <w:t xml:space="preserve">De lo anterior, se desprende que el Registro Federal de Contribuyentes se vincula al nombre de su titular, permitiendo identificar la edad de la persona, fecha de nacimiento, así como su </w:t>
      </w:r>
      <w:proofErr w:type="spellStart"/>
      <w:r w:rsidRPr="0044112A">
        <w:t>homoclave</w:t>
      </w:r>
      <w:proofErr w:type="spellEnd"/>
      <w:r w:rsidRPr="0044112A">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44112A">
        <w:rPr>
          <w:rFonts w:eastAsia="Arial Unicode MS"/>
        </w:rPr>
        <w:t>4 fracción XI de la Ley de Protección de Datos Personales en Posesión de los Sujetos Obligados del Estado de México y Municipios</w:t>
      </w:r>
      <w:r w:rsidRPr="0044112A">
        <w:t>.</w:t>
      </w:r>
    </w:p>
    <w:p w14:paraId="256DB442" w14:textId="77777777" w:rsidR="009847CC" w:rsidRPr="0044112A" w:rsidRDefault="009847CC" w:rsidP="009847CC"/>
    <w:p w14:paraId="7CA91E5E" w14:textId="77777777" w:rsidR="009847CC" w:rsidRPr="0044112A" w:rsidRDefault="009847CC" w:rsidP="009847CC">
      <w:r w:rsidRPr="0044112A">
        <w:t xml:space="preserve">Por cuanto hace a la </w:t>
      </w:r>
      <w:r w:rsidRPr="0044112A">
        <w:rPr>
          <w:b/>
        </w:rPr>
        <w:t xml:space="preserve">Clave Única de Registro de Población, </w:t>
      </w:r>
      <w:r w:rsidRPr="0044112A">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EFEE68B" w14:textId="77777777" w:rsidR="009847CC" w:rsidRPr="0044112A" w:rsidRDefault="009847CC" w:rsidP="009847CC"/>
    <w:p w14:paraId="13DF6001" w14:textId="77777777" w:rsidR="009847CC" w:rsidRPr="0044112A" w:rsidRDefault="009847CC" w:rsidP="009847CC">
      <w:r w:rsidRPr="0044112A">
        <w:lastRenderedPageBreak/>
        <w:t>Lo anterior, tiene sustento en los artículos 86 y 91, de la Ley General de Población, la cual señala lo siguiente:</w:t>
      </w:r>
    </w:p>
    <w:p w14:paraId="7B72C36D" w14:textId="77777777" w:rsidR="009847CC" w:rsidRPr="0044112A" w:rsidRDefault="009847CC" w:rsidP="009847CC">
      <w:pPr>
        <w:ind w:left="709" w:right="757"/>
        <w:rPr>
          <w:rFonts w:cs="Arial,Bold"/>
          <w:b/>
          <w:bCs/>
          <w:i/>
        </w:rPr>
      </w:pPr>
    </w:p>
    <w:p w14:paraId="7CC02E38" w14:textId="77777777" w:rsidR="009847CC" w:rsidRPr="005E0FB0" w:rsidRDefault="009847CC" w:rsidP="009847CC">
      <w:pPr>
        <w:ind w:left="709" w:right="757"/>
        <w:rPr>
          <w:rFonts w:cs="Arial"/>
          <w:i/>
          <w:sz w:val="22"/>
        </w:rPr>
      </w:pPr>
      <w:r w:rsidRPr="005E0FB0">
        <w:rPr>
          <w:rFonts w:cs="Arial,Bold"/>
          <w:b/>
          <w:bCs/>
          <w:i/>
          <w:sz w:val="22"/>
        </w:rPr>
        <w:t xml:space="preserve">Artículo 86. </w:t>
      </w:r>
      <w:r w:rsidRPr="005E0FB0">
        <w:rPr>
          <w:rFonts w:cs="Arial"/>
          <w:i/>
          <w:sz w:val="22"/>
        </w:rPr>
        <w:t>El Registro Nacional de Población tiene como finalidad registrar a cada una de las personas que integran la población del país, con los datos que permitan certificar y acreditar fehacientemente su identidad.</w:t>
      </w:r>
    </w:p>
    <w:p w14:paraId="73BA23D6" w14:textId="77777777" w:rsidR="009847CC" w:rsidRPr="005E0FB0" w:rsidRDefault="009847CC" w:rsidP="009847CC">
      <w:pPr>
        <w:ind w:left="709" w:right="757"/>
        <w:rPr>
          <w:rFonts w:cs="Arial"/>
          <w:i/>
          <w:sz w:val="22"/>
        </w:rPr>
      </w:pPr>
    </w:p>
    <w:p w14:paraId="46FDAE92" w14:textId="77777777" w:rsidR="009847CC" w:rsidRPr="005E0FB0" w:rsidRDefault="009847CC" w:rsidP="009847CC">
      <w:pPr>
        <w:ind w:left="709" w:right="757"/>
        <w:rPr>
          <w:rFonts w:cs="Arial"/>
          <w:i/>
          <w:sz w:val="22"/>
        </w:rPr>
      </w:pPr>
      <w:r w:rsidRPr="005E0FB0">
        <w:rPr>
          <w:rFonts w:cs="Arial,Bold"/>
          <w:b/>
          <w:bCs/>
          <w:i/>
          <w:sz w:val="22"/>
        </w:rPr>
        <w:t xml:space="preserve">Artículo 91. </w:t>
      </w:r>
      <w:r w:rsidRPr="005E0FB0">
        <w:rPr>
          <w:rFonts w:cs="Arial"/>
          <w:i/>
          <w:sz w:val="22"/>
        </w:rPr>
        <w:t>Al incorporar a una persona en el Registro Nacional de Población, se le asignará una clave que se denominará Clave Única de Registro de Población. Esta servirá para registrarla e identificarla en forma individual.</w:t>
      </w:r>
    </w:p>
    <w:p w14:paraId="0D1EEB30" w14:textId="77777777" w:rsidR="009847CC" w:rsidRPr="0044112A" w:rsidRDefault="009847CC" w:rsidP="009847CC"/>
    <w:p w14:paraId="7631433C" w14:textId="77777777" w:rsidR="009847CC" w:rsidRPr="0044112A" w:rsidRDefault="009847CC" w:rsidP="009847CC">
      <w:r w:rsidRPr="0044112A">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AED5AD8" w14:textId="77777777" w:rsidR="009847CC" w:rsidRPr="0044112A" w:rsidRDefault="009847CC" w:rsidP="009847CC"/>
    <w:p w14:paraId="5EC2E8A8" w14:textId="77777777" w:rsidR="009847CC" w:rsidRPr="0044112A" w:rsidRDefault="009847CC" w:rsidP="009847CC">
      <w:r w:rsidRPr="0044112A">
        <w:t>Al respecto, el Instituto Nacional de Transparencia, Acceso a la Información y Protección de Datos Personales (INAI) a través del Criterio 18/17, señala literalmente lo siguiente:</w:t>
      </w:r>
    </w:p>
    <w:p w14:paraId="76646D37" w14:textId="77777777" w:rsidR="009847CC" w:rsidRPr="005E0FB0" w:rsidRDefault="009847CC" w:rsidP="009847CC">
      <w:pPr>
        <w:rPr>
          <w:sz w:val="22"/>
        </w:rPr>
      </w:pPr>
    </w:p>
    <w:p w14:paraId="05BEBE4F" w14:textId="77777777" w:rsidR="009847CC" w:rsidRPr="005E0FB0" w:rsidRDefault="009847CC" w:rsidP="009847CC">
      <w:pPr>
        <w:ind w:left="567" w:right="616"/>
        <w:rPr>
          <w:i/>
          <w:sz w:val="22"/>
        </w:rPr>
      </w:pPr>
      <w:r w:rsidRPr="005E0FB0">
        <w:rPr>
          <w:b/>
          <w:i/>
          <w:sz w:val="22"/>
        </w:rPr>
        <w:lastRenderedPageBreak/>
        <w:t>Clave Única de Registro de Población (CURP)</w:t>
      </w:r>
      <w:r w:rsidRPr="005E0FB0">
        <w:rPr>
          <w:i/>
          <w:sz w:val="22"/>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197A2C3" w14:textId="77777777" w:rsidR="009847CC" w:rsidRPr="0044112A" w:rsidRDefault="009847CC" w:rsidP="009847CC">
      <w:pPr>
        <w:ind w:right="616"/>
        <w:rPr>
          <w:rFonts w:cs="Arial"/>
          <w:bCs/>
          <w:i/>
        </w:rPr>
      </w:pPr>
    </w:p>
    <w:p w14:paraId="314BBFF3" w14:textId="77777777" w:rsidR="009847CC" w:rsidRPr="0044112A" w:rsidRDefault="009847CC" w:rsidP="009847CC">
      <w:r w:rsidRPr="0044112A">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20F8E17" w14:textId="77777777" w:rsidR="009847CC" w:rsidRPr="0044112A" w:rsidRDefault="009847CC" w:rsidP="009847CC"/>
    <w:p w14:paraId="69CAF244" w14:textId="77777777" w:rsidR="009847CC" w:rsidRPr="0044112A" w:rsidRDefault="009847CC" w:rsidP="009847CC">
      <w:r w:rsidRPr="0044112A">
        <w:t xml:space="preserve">Por cuanto hace a la </w:t>
      </w:r>
      <w:r w:rsidRPr="0044112A">
        <w:rPr>
          <w:b/>
        </w:rPr>
        <w:t>Clave de cualquier tipo de seguridad social</w:t>
      </w:r>
      <w:r w:rsidRPr="0044112A">
        <w:t xml:space="preserve"> (ISSEMYM u otros), está integrado por una </w:t>
      </w:r>
      <w:r w:rsidRPr="0044112A">
        <w:rPr>
          <w:bCs/>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44112A">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44112A">
        <w:rPr>
          <w:rFonts w:eastAsia="Arial Unicode MS"/>
        </w:rPr>
        <w:t>4 fracción XI de la Ley de Protección de Datos Personales en Posesión de Sujetos Obligados del Estado de México y Municipios</w:t>
      </w:r>
      <w:r w:rsidRPr="0044112A">
        <w:t>.</w:t>
      </w:r>
    </w:p>
    <w:p w14:paraId="29BCFE0F" w14:textId="77777777" w:rsidR="009847CC" w:rsidRPr="0044112A" w:rsidRDefault="009847CC" w:rsidP="009847CC"/>
    <w:p w14:paraId="526B59BE" w14:textId="77777777" w:rsidR="009847CC" w:rsidRPr="0044112A" w:rsidRDefault="009847CC" w:rsidP="009847CC">
      <w:r w:rsidRPr="0044112A">
        <w:t xml:space="preserve">Respecto de los </w:t>
      </w:r>
      <w:r w:rsidRPr="0044112A">
        <w:rPr>
          <w:b/>
        </w:rPr>
        <w:t>préstamos o descuentos</w:t>
      </w:r>
      <w:r w:rsidRPr="0044112A">
        <w:t xml:space="preserve"> </w:t>
      </w:r>
      <w:r w:rsidRPr="0044112A">
        <w:rPr>
          <w:b/>
        </w:rPr>
        <w:t>de carácter personal</w:t>
      </w:r>
      <w:r w:rsidRPr="0044112A">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7B5EB51F" w14:textId="77777777" w:rsidR="009847CC" w:rsidRPr="0044112A" w:rsidRDefault="009847CC" w:rsidP="009847CC"/>
    <w:p w14:paraId="7B576410" w14:textId="77777777" w:rsidR="009847CC" w:rsidRPr="0044112A" w:rsidRDefault="009847CC" w:rsidP="009847CC">
      <w:r w:rsidRPr="0044112A">
        <w:t>Por su parte, el artículo 84 de la Ley del Trabajo de los Servidores Públicos del Estado y Municipios, señala:</w:t>
      </w:r>
    </w:p>
    <w:p w14:paraId="62A6B91D" w14:textId="77777777" w:rsidR="009847CC" w:rsidRPr="005E0FB0" w:rsidRDefault="009847CC" w:rsidP="009847CC">
      <w:pPr>
        <w:ind w:left="567" w:right="616"/>
        <w:rPr>
          <w:i/>
          <w:noProof/>
          <w:sz w:val="22"/>
        </w:rPr>
      </w:pPr>
      <w:r w:rsidRPr="005E0FB0">
        <w:rPr>
          <w:b/>
          <w:i/>
          <w:noProof/>
          <w:sz w:val="22"/>
        </w:rPr>
        <w:t>ARTÍCULO 84.</w:t>
      </w:r>
      <w:r w:rsidRPr="005E0FB0">
        <w:rPr>
          <w:i/>
          <w:noProof/>
          <w:sz w:val="22"/>
        </w:rPr>
        <w:t xml:space="preserve"> Sólo podrán hacerse retenciones, descuentos o deducciones al sueldo de los servidores públicos por concepto de:</w:t>
      </w:r>
    </w:p>
    <w:p w14:paraId="31187EC1" w14:textId="77777777" w:rsidR="009847CC" w:rsidRPr="005E0FB0" w:rsidRDefault="009847CC" w:rsidP="009847CC">
      <w:pPr>
        <w:ind w:left="567" w:right="616"/>
        <w:rPr>
          <w:i/>
          <w:noProof/>
          <w:sz w:val="22"/>
        </w:rPr>
      </w:pPr>
    </w:p>
    <w:p w14:paraId="13C37733" w14:textId="77777777" w:rsidR="009847CC" w:rsidRPr="005E0FB0" w:rsidRDefault="009847CC" w:rsidP="009847CC">
      <w:pPr>
        <w:ind w:left="567" w:right="616"/>
        <w:rPr>
          <w:i/>
          <w:noProof/>
          <w:sz w:val="22"/>
        </w:rPr>
      </w:pPr>
      <w:r w:rsidRPr="005E0FB0">
        <w:rPr>
          <w:i/>
          <w:noProof/>
          <w:sz w:val="22"/>
        </w:rPr>
        <w:t>I. Gravámenes fiscales relacionados con el sueldo;</w:t>
      </w:r>
    </w:p>
    <w:p w14:paraId="4CC0A523" w14:textId="77777777" w:rsidR="009847CC" w:rsidRPr="005E0FB0" w:rsidRDefault="009847CC" w:rsidP="009847CC">
      <w:pPr>
        <w:ind w:left="567" w:right="616"/>
        <w:rPr>
          <w:i/>
          <w:noProof/>
          <w:sz w:val="22"/>
        </w:rPr>
      </w:pPr>
      <w:r w:rsidRPr="005E0FB0">
        <w:rPr>
          <w:i/>
          <w:noProof/>
          <w:sz w:val="22"/>
        </w:rPr>
        <w:t>II. Deudas contraídas con las instituciones públicas o dependencias por concepto de anticipos de sueldo, pagos hechos con exceso, errores o pérdidas debidamente comprobados;</w:t>
      </w:r>
    </w:p>
    <w:p w14:paraId="158BFFBE" w14:textId="77777777" w:rsidR="009847CC" w:rsidRPr="005E0FB0" w:rsidRDefault="009847CC" w:rsidP="009847CC">
      <w:pPr>
        <w:ind w:left="567" w:right="616"/>
        <w:rPr>
          <w:i/>
          <w:noProof/>
          <w:sz w:val="22"/>
        </w:rPr>
      </w:pPr>
      <w:r w:rsidRPr="005E0FB0">
        <w:rPr>
          <w:i/>
          <w:noProof/>
          <w:sz w:val="22"/>
        </w:rPr>
        <w:t>III. Cuotas sindicales;</w:t>
      </w:r>
    </w:p>
    <w:p w14:paraId="36DECF33" w14:textId="77777777" w:rsidR="009847CC" w:rsidRPr="005E0FB0" w:rsidRDefault="009847CC" w:rsidP="009847CC">
      <w:pPr>
        <w:ind w:left="567" w:right="616"/>
        <w:rPr>
          <w:i/>
          <w:noProof/>
          <w:sz w:val="22"/>
        </w:rPr>
      </w:pPr>
      <w:r w:rsidRPr="005E0FB0">
        <w:rPr>
          <w:i/>
          <w:noProof/>
          <w:sz w:val="22"/>
        </w:rPr>
        <w:t>IV. Cuotas de aportación a fondos para la constitución de cooperativas y de cajas de ahorro, siempre que el servidor público hubiese manifestado previamente, de manera expresa, su conformidad;</w:t>
      </w:r>
    </w:p>
    <w:p w14:paraId="1CBFB3B1" w14:textId="77777777" w:rsidR="009847CC" w:rsidRPr="005E0FB0" w:rsidRDefault="009847CC" w:rsidP="009847CC">
      <w:pPr>
        <w:ind w:left="567" w:right="616"/>
        <w:rPr>
          <w:i/>
          <w:noProof/>
          <w:sz w:val="22"/>
        </w:rPr>
      </w:pPr>
      <w:r w:rsidRPr="005E0FB0">
        <w:rPr>
          <w:i/>
          <w:noProof/>
          <w:sz w:val="22"/>
        </w:rPr>
        <w:t>V. Descuentos ordenados por el Instituto de Seguridad Social del Estado de México y Municipios, con motivo de cuotas y obligaciones contraídas con éste por los servidores públicos;</w:t>
      </w:r>
    </w:p>
    <w:p w14:paraId="015D50D1" w14:textId="77777777" w:rsidR="009847CC" w:rsidRPr="005E0FB0" w:rsidRDefault="009847CC" w:rsidP="009847CC">
      <w:pPr>
        <w:ind w:left="567" w:right="616"/>
        <w:rPr>
          <w:i/>
          <w:noProof/>
          <w:sz w:val="22"/>
        </w:rPr>
      </w:pPr>
      <w:r w:rsidRPr="005E0FB0">
        <w:rPr>
          <w:i/>
          <w:noProof/>
          <w:sz w:val="22"/>
        </w:rPr>
        <w:t>VI. Obligaciones a cargo del servidor público con las que haya consentido, derivadas de la adquisición o del uso de habitaciones consideradas como de interés social;</w:t>
      </w:r>
    </w:p>
    <w:p w14:paraId="73F20849" w14:textId="77777777" w:rsidR="009847CC" w:rsidRPr="005E0FB0" w:rsidRDefault="009847CC" w:rsidP="009847CC">
      <w:pPr>
        <w:ind w:left="567" w:right="616"/>
        <w:rPr>
          <w:i/>
          <w:noProof/>
          <w:sz w:val="22"/>
        </w:rPr>
      </w:pPr>
      <w:r w:rsidRPr="005E0FB0">
        <w:rPr>
          <w:i/>
          <w:noProof/>
          <w:sz w:val="22"/>
        </w:rPr>
        <w:lastRenderedPageBreak/>
        <w:t>VII. Faltas de puntualidad o de asistencia injustificadas;</w:t>
      </w:r>
    </w:p>
    <w:p w14:paraId="2734D8BA" w14:textId="77777777" w:rsidR="009847CC" w:rsidRPr="005E0FB0" w:rsidRDefault="009847CC" w:rsidP="009847CC">
      <w:pPr>
        <w:ind w:left="567" w:right="616"/>
        <w:rPr>
          <w:i/>
          <w:noProof/>
          <w:sz w:val="22"/>
        </w:rPr>
      </w:pPr>
      <w:r w:rsidRPr="005E0FB0">
        <w:rPr>
          <w:i/>
          <w:noProof/>
          <w:sz w:val="22"/>
        </w:rPr>
        <w:t>VIII. Pensiones alimenticias ordenadas por la autoridad judicial; o</w:t>
      </w:r>
    </w:p>
    <w:p w14:paraId="316B0E7E" w14:textId="77777777" w:rsidR="009847CC" w:rsidRPr="005E0FB0" w:rsidRDefault="009847CC" w:rsidP="009847CC">
      <w:pPr>
        <w:ind w:left="567" w:right="616"/>
        <w:rPr>
          <w:i/>
          <w:noProof/>
          <w:sz w:val="22"/>
        </w:rPr>
      </w:pPr>
      <w:r w:rsidRPr="005E0FB0">
        <w:rPr>
          <w:i/>
          <w:noProof/>
          <w:sz w:val="22"/>
        </w:rPr>
        <w:t>IX. Cualquier otro convenido con instituciones de servicios y aceptado por el servidor público.</w:t>
      </w:r>
    </w:p>
    <w:p w14:paraId="7317D714" w14:textId="77777777" w:rsidR="009847CC" w:rsidRPr="005E0FB0" w:rsidRDefault="009847CC" w:rsidP="009847CC">
      <w:pPr>
        <w:ind w:left="567" w:right="616"/>
        <w:rPr>
          <w:i/>
          <w:noProof/>
          <w:sz w:val="22"/>
        </w:rPr>
      </w:pPr>
    </w:p>
    <w:p w14:paraId="74A31C43" w14:textId="77777777" w:rsidR="009847CC" w:rsidRPr="005E0FB0" w:rsidRDefault="009847CC" w:rsidP="009847CC">
      <w:pPr>
        <w:ind w:left="567" w:right="616"/>
        <w:rPr>
          <w:sz w:val="22"/>
        </w:rPr>
      </w:pPr>
      <w:r w:rsidRPr="005E0FB0">
        <w:rPr>
          <w:i/>
          <w:noProof/>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30803C3D" w14:textId="77777777" w:rsidR="009847CC" w:rsidRPr="0044112A" w:rsidRDefault="009847CC" w:rsidP="009847CC"/>
    <w:p w14:paraId="4293BA6A" w14:textId="77777777" w:rsidR="009847CC" w:rsidRPr="0044112A" w:rsidRDefault="009847CC" w:rsidP="009847CC">
      <w:r w:rsidRPr="0044112A">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38634E93" w14:textId="77777777" w:rsidR="009847CC" w:rsidRPr="0044112A" w:rsidRDefault="009847CC" w:rsidP="009847CC"/>
    <w:p w14:paraId="54CA1D9D" w14:textId="77777777" w:rsidR="009847CC" w:rsidRPr="0044112A" w:rsidRDefault="009847CC" w:rsidP="009847CC">
      <w:r w:rsidRPr="0044112A">
        <w:t xml:space="preserve">No obstante, el denominado </w:t>
      </w:r>
      <w:r w:rsidRPr="0044112A">
        <w:rPr>
          <w:b/>
        </w:rPr>
        <w:t>Sistema de Capitalización Individual</w:t>
      </w:r>
      <w:r w:rsidRPr="0044112A">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68DF036C" w14:textId="77777777" w:rsidR="009847CC" w:rsidRPr="000537C8" w:rsidRDefault="009847CC" w:rsidP="009847CC">
      <w:pPr>
        <w:rPr>
          <w:rFonts w:cs="Arial"/>
        </w:rPr>
      </w:pPr>
    </w:p>
    <w:p w14:paraId="4E933BF2" w14:textId="77777777" w:rsidR="009847CC" w:rsidRPr="000537C8" w:rsidRDefault="009847CC" w:rsidP="009847CC">
      <w:pPr>
        <w:rPr>
          <w:lang w:val="es-MX"/>
        </w:rPr>
      </w:pPr>
      <w:r w:rsidRPr="000537C8">
        <w:rPr>
          <w:rFonts w:eastAsia="Arial Unicode MS"/>
          <w:lang w:val="es-MX"/>
        </w:rPr>
        <w:t xml:space="preserve">Por otra parte, </w:t>
      </w:r>
      <w:r w:rsidRPr="000537C8">
        <w:rPr>
          <w:lang w:val="es-MX"/>
        </w:rPr>
        <w:t xml:space="preserve">las </w:t>
      </w:r>
      <w:r w:rsidRPr="000537C8">
        <w:rPr>
          <w:b/>
          <w:lang w:val="es-MX"/>
        </w:rPr>
        <w:t xml:space="preserve">Cadenas Originales </w:t>
      </w:r>
      <w:r w:rsidRPr="000537C8">
        <w:rPr>
          <w:lang w:val="es-MX"/>
        </w:rPr>
        <w:t xml:space="preserve">y </w:t>
      </w:r>
      <w:r w:rsidRPr="000537C8">
        <w:rPr>
          <w:b/>
          <w:lang w:val="es-MX"/>
        </w:rPr>
        <w:t>Sellos</w:t>
      </w:r>
      <w:r w:rsidRPr="000537C8">
        <w:rPr>
          <w:lang w:val="es-MX"/>
        </w:rPr>
        <w:t xml:space="preserve"> </w:t>
      </w:r>
      <w:r w:rsidRPr="000537C8">
        <w:rPr>
          <w:b/>
          <w:lang w:val="es-MX"/>
        </w:rPr>
        <w:t>Digitales</w:t>
      </w:r>
      <w:r w:rsidRPr="000537C8">
        <w:rPr>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0537C8">
        <w:rPr>
          <w:b/>
          <w:lang w:val="es-MX"/>
        </w:rPr>
        <w:t xml:space="preserve">vinculación </w:t>
      </w:r>
      <w:r w:rsidRPr="000537C8">
        <w:rPr>
          <w:lang w:val="es-MX"/>
        </w:rPr>
        <w:t xml:space="preserve">entre la </w:t>
      </w:r>
      <w:r w:rsidRPr="000537C8">
        <w:rPr>
          <w:b/>
          <w:lang w:val="es-MX"/>
        </w:rPr>
        <w:t>identidad de un sujeto o entidad</w:t>
      </w:r>
      <w:r w:rsidRPr="000537C8">
        <w:rPr>
          <w:lang w:val="es-MX"/>
        </w:rPr>
        <w:t xml:space="preserve"> con su clave pública, lo que hace identificable a una persona o entidad, además de que dichos certificados tienen como finalidad o propósito específico firmar digitalmente las facturas electrónicas </w:t>
      </w:r>
      <w:r w:rsidRPr="000537C8">
        <w:rPr>
          <w:b/>
          <w:lang w:val="es-MX"/>
        </w:rPr>
        <w:t>para acreditar la autoría de los comprobantes fiscales digitales</w:t>
      </w:r>
      <w:r w:rsidRPr="000537C8">
        <w:rPr>
          <w:lang w:val="es-MX"/>
        </w:rPr>
        <w:t>. En ese tenor se transcriben los artículos señalados con antelación para mejor ilustración:</w:t>
      </w:r>
    </w:p>
    <w:p w14:paraId="016F9A78" w14:textId="77777777" w:rsidR="009847CC" w:rsidRPr="000537C8" w:rsidRDefault="009847CC" w:rsidP="009847CC">
      <w:pPr>
        <w:rPr>
          <w:lang w:val="es-MX"/>
        </w:rPr>
      </w:pPr>
    </w:p>
    <w:p w14:paraId="3185A21F" w14:textId="77777777" w:rsidR="009847CC" w:rsidRPr="000537C8" w:rsidRDefault="009847CC" w:rsidP="009847CC">
      <w:pPr>
        <w:ind w:left="567" w:right="616"/>
        <w:rPr>
          <w:i/>
          <w:noProof/>
          <w:sz w:val="22"/>
          <w:lang w:val="es-MX"/>
        </w:rPr>
      </w:pPr>
      <w:r w:rsidRPr="000537C8">
        <w:rPr>
          <w:b/>
          <w:i/>
          <w:noProof/>
          <w:sz w:val="22"/>
          <w:lang w:val="es-MX"/>
        </w:rPr>
        <w:t xml:space="preserve">Artículo 17-G.- </w:t>
      </w:r>
      <w:r w:rsidRPr="000537C8">
        <w:rPr>
          <w:i/>
          <w:noProof/>
          <w:sz w:val="22"/>
          <w:lang w:val="es-MX"/>
        </w:rPr>
        <w:t xml:space="preserve">Los certificados que emita el Servicio de Administración Tributaria para ser considerados válidos deberán contener los datos siguientes: </w:t>
      </w:r>
    </w:p>
    <w:p w14:paraId="6EA93F66" w14:textId="77777777" w:rsidR="009847CC" w:rsidRPr="000537C8" w:rsidRDefault="009847CC" w:rsidP="009847CC">
      <w:pPr>
        <w:ind w:left="567" w:right="616"/>
        <w:rPr>
          <w:i/>
          <w:noProof/>
          <w:sz w:val="22"/>
          <w:lang w:val="es-MX"/>
        </w:rPr>
      </w:pPr>
    </w:p>
    <w:p w14:paraId="6DF223FA" w14:textId="77777777" w:rsidR="009847CC" w:rsidRPr="000537C8" w:rsidRDefault="009847CC" w:rsidP="009847CC">
      <w:pPr>
        <w:ind w:left="567" w:right="616"/>
        <w:rPr>
          <w:i/>
          <w:noProof/>
          <w:sz w:val="22"/>
          <w:lang w:val="es-MX"/>
        </w:rPr>
      </w:pPr>
      <w:r w:rsidRPr="000537C8">
        <w:rPr>
          <w:i/>
          <w:noProof/>
          <w:sz w:val="22"/>
          <w:lang w:val="es-MX"/>
        </w:rPr>
        <w:t>I. La mención de que se expiden como tales. Tratándose de certificados de sellos digitales, se deberán especificar las limitantes que tengan para su uso.</w:t>
      </w:r>
    </w:p>
    <w:p w14:paraId="7D5B100C" w14:textId="77777777" w:rsidR="009847CC" w:rsidRPr="000537C8" w:rsidRDefault="009847CC" w:rsidP="009847CC">
      <w:pPr>
        <w:ind w:left="1422" w:right="616"/>
        <w:rPr>
          <w:i/>
          <w:noProof/>
          <w:sz w:val="22"/>
          <w:lang w:val="es-MX"/>
        </w:rPr>
      </w:pPr>
    </w:p>
    <w:p w14:paraId="2983A1A9" w14:textId="77777777" w:rsidR="009847CC" w:rsidRPr="000537C8" w:rsidRDefault="009847CC" w:rsidP="009847CC">
      <w:pPr>
        <w:ind w:left="567" w:right="616"/>
        <w:rPr>
          <w:i/>
          <w:noProof/>
          <w:sz w:val="22"/>
          <w:lang w:val="es-MX"/>
        </w:rPr>
      </w:pPr>
      <w:r w:rsidRPr="000537C8">
        <w:rPr>
          <w:b/>
          <w:i/>
          <w:noProof/>
          <w:sz w:val="22"/>
          <w:lang w:val="es-MX"/>
        </w:rPr>
        <w:t>Artículo 29.</w:t>
      </w:r>
      <w:r w:rsidRPr="000537C8">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39DD8944" w14:textId="77777777" w:rsidR="009847CC" w:rsidRPr="000537C8" w:rsidRDefault="009847CC" w:rsidP="009847CC">
      <w:pPr>
        <w:ind w:left="567" w:right="616"/>
        <w:rPr>
          <w:i/>
          <w:noProof/>
          <w:sz w:val="22"/>
          <w:lang w:val="es-MX"/>
        </w:rPr>
      </w:pPr>
    </w:p>
    <w:p w14:paraId="02E7CA60" w14:textId="77777777" w:rsidR="009847CC" w:rsidRPr="000537C8" w:rsidRDefault="009847CC" w:rsidP="009847CC">
      <w:pPr>
        <w:ind w:left="567" w:right="616"/>
        <w:rPr>
          <w:i/>
          <w:noProof/>
          <w:sz w:val="22"/>
          <w:lang w:val="es-MX"/>
        </w:rPr>
      </w:pPr>
      <w:r w:rsidRPr="000537C8">
        <w:rPr>
          <w:i/>
          <w:noProof/>
          <w:sz w:val="22"/>
          <w:lang w:val="es-MX"/>
        </w:rPr>
        <w:lastRenderedPageBreak/>
        <w:t>Los contribuyentes a que se refiere el párrafo anterior deberán cumplir con las obligaciones siguientes:</w:t>
      </w:r>
    </w:p>
    <w:p w14:paraId="114B8218" w14:textId="77777777" w:rsidR="009847CC" w:rsidRPr="000537C8" w:rsidRDefault="009847CC" w:rsidP="009847CC">
      <w:pPr>
        <w:ind w:left="567" w:right="616"/>
        <w:rPr>
          <w:i/>
          <w:noProof/>
          <w:sz w:val="22"/>
          <w:lang w:val="es-MX"/>
        </w:rPr>
      </w:pPr>
    </w:p>
    <w:p w14:paraId="18CA958F" w14:textId="77777777" w:rsidR="009847CC" w:rsidRPr="000537C8" w:rsidRDefault="009847CC" w:rsidP="009847CC">
      <w:pPr>
        <w:ind w:left="567" w:right="616"/>
        <w:rPr>
          <w:i/>
          <w:noProof/>
          <w:sz w:val="22"/>
          <w:lang w:val="es-MX"/>
        </w:rPr>
      </w:pPr>
      <w:r w:rsidRPr="000537C8">
        <w:rPr>
          <w:i/>
          <w:noProof/>
          <w:sz w:val="22"/>
          <w:lang w:val="es-MX"/>
        </w:rPr>
        <w:t>(…)</w:t>
      </w:r>
    </w:p>
    <w:p w14:paraId="2ED85A54" w14:textId="77777777" w:rsidR="009847CC" w:rsidRPr="000537C8" w:rsidRDefault="009847CC" w:rsidP="009847CC">
      <w:pPr>
        <w:ind w:left="567" w:right="616"/>
        <w:rPr>
          <w:i/>
          <w:noProof/>
          <w:sz w:val="22"/>
          <w:lang w:val="es-MX"/>
        </w:rPr>
      </w:pPr>
      <w:r w:rsidRPr="000537C8">
        <w:rPr>
          <w:i/>
          <w:noProof/>
          <w:sz w:val="22"/>
          <w:lang w:val="es-MX"/>
        </w:rPr>
        <w:t>II. Tramitar ante el Servicio de Administración Tributaria el certificado para el uso de los sellos digitales.</w:t>
      </w:r>
    </w:p>
    <w:p w14:paraId="3D0E1804" w14:textId="77777777" w:rsidR="009847CC" w:rsidRPr="000537C8" w:rsidRDefault="009847CC" w:rsidP="009847CC">
      <w:pPr>
        <w:ind w:left="567" w:right="616"/>
        <w:rPr>
          <w:i/>
          <w:noProof/>
          <w:sz w:val="22"/>
          <w:lang w:val="es-MX"/>
        </w:rPr>
      </w:pPr>
    </w:p>
    <w:p w14:paraId="60BC2093" w14:textId="77777777" w:rsidR="009847CC" w:rsidRPr="000537C8" w:rsidRDefault="009847CC" w:rsidP="009847CC">
      <w:pPr>
        <w:ind w:left="567" w:right="616"/>
        <w:rPr>
          <w:noProof/>
          <w:sz w:val="22"/>
          <w:lang w:val="es-MX"/>
        </w:rPr>
      </w:pPr>
      <w:r w:rsidRPr="000537C8">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2C3AA06A" w14:textId="77777777" w:rsidR="009847CC" w:rsidRPr="000537C8" w:rsidRDefault="009847CC" w:rsidP="009847CC">
      <w:pPr>
        <w:rPr>
          <w:lang w:val="es-MX"/>
        </w:rPr>
      </w:pPr>
    </w:p>
    <w:p w14:paraId="6028C365" w14:textId="77777777" w:rsidR="009847CC" w:rsidRPr="000537C8" w:rsidRDefault="009847CC" w:rsidP="009847CC">
      <w:pPr>
        <w:rPr>
          <w:lang w:val="es-MX"/>
        </w:rPr>
      </w:pPr>
      <w:r w:rsidRPr="000537C8">
        <w:rPr>
          <w:lang w:val="es-MX"/>
        </w:rPr>
        <w:t xml:space="preserve">Por lo que hace a los </w:t>
      </w:r>
      <w:r w:rsidRPr="000537C8">
        <w:rPr>
          <w:b/>
          <w:lang w:val="es-MX"/>
        </w:rPr>
        <w:t>Códigos Bidimensionales</w:t>
      </w:r>
      <w:r w:rsidRPr="000537C8">
        <w:rPr>
          <w:lang w:val="es-MX"/>
        </w:rPr>
        <w:t xml:space="preserve"> y los denominados </w:t>
      </w:r>
      <w:r w:rsidRPr="000537C8">
        <w:rPr>
          <w:b/>
          <w:lang w:val="es-MX"/>
        </w:rPr>
        <w:t>Códigos QR</w:t>
      </w:r>
      <w:r w:rsidRPr="000537C8">
        <w:rPr>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0537C8">
        <w:rPr>
          <w:b/>
          <w:lang w:val="es-MX"/>
        </w:rPr>
        <w:t>Registro Federal de Contribuyentes</w:t>
      </w:r>
      <w:r w:rsidRPr="000537C8">
        <w:rPr>
          <w:lang w:val="es-MX"/>
        </w:rPr>
        <w:t xml:space="preserve"> (RFC) y la </w:t>
      </w:r>
      <w:r w:rsidRPr="000537C8">
        <w:rPr>
          <w:b/>
          <w:lang w:val="es-MX"/>
        </w:rPr>
        <w:t>Clave Única de Registro de Población</w:t>
      </w:r>
      <w:r w:rsidRPr="000537C8">
        <w:rPr>
          <w:lang w:val="es-MX"/>
        </w:rPr>
        <w:t xml:space="preserve"> (CURP), por lo cual, deberán ser protegidos.</w:t>
      </w:r>
    </w:p>
    <w:p w14:paraId="16DCDF12" w14:textId="77777777" w:rsidR="009847CC" w:rsidRDefault="009847CC" w:rsidP="009847CC">
      <w:pPr>
        <w:rPr>
          <w:lang w:val="es-MX"/>
        </w:rPr>
      </w:pPr>
    </w:p>
    <w:p w14:paraId="3266862A" w14:textId="77777777" w:rsidR="009847CC" w:rsidRDefault="009847CC" w:rsidP="009847CC">
      <w:pPr>
        <w:rPr>
          <w:lang w:val="es-MX"/>
        </w:rPr>
      </w:pPr>
      <w:r>
        <w:rPr>
          <w:b/>
          <w:lang w:val="es-MX"/>
        </w:rPr>
        <w:t>De lo anterior se desprende que c</w:t>
      </w:r>
      <w:r w:rsidRPr="004D29A6">
        <w:rPr>
          <w:b/>
          <w:lang w:val="es-MX"/>
        </w:rPr>
        <w:t xml:space="preserve">uando de la secuencia de números y letras no se advierta un Registro Federal de Contribuyentes o una Clave Única de Registro de Población, que pueda hacer identificable al titular del dato personal, no puede tenerse </w:t>
      </w:r>
      <w:r w:rsidRPr="004D29A6">
        <w:rPr>
          <w:b/>
          <w:lang w:val="es-MX"/>
        </w:rPr>
        <w:lastRenderedPageBreak/>
        <w:t>como dato personal y por ende información confidencial</w:t>
      </w:r>
      <w:r w:rsidRPr="004D29A6">
        <w:rPr>
          <w:lang w:val="es-MX"/>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w:t>
      </w:r>
      <w:r w:rsidRPr="00FE16F2">
        <w:rPr>
          <w:lang w:val="es-MX"/>
        </w:rPr>
        <w:t>dichas cadenas sí derivan de la información personal de los contribuyentes, esta se encontrara encriptada.</w:t>
      </w:r>
    </w:p>
    <w:p w14:paraId="2235BDD2" w14:textId="77777777" w:rsidR="009847CC" w:rsidRPr="000537C8" w:rsidRDefault="009847CC" w:rsidP="009847CC">
      <w:pPr>
        <w:rPr>
          <w:lang w:val="es-MX"/>
        </w:rPr>
      </w:pPr>
    </w:p>
    <w:p w14:paraId="02BFDC7D" w14:textId="77777777" w:rsidR="009847CC" w:rsidRPr="000537C8" w:rsidRDefault="009847CC" w:rsidP="009847CC">
      <w:pPr>
        <w:rPr>
          <w:lang w:val="es-MX"/>
        </w:rPr>
      </w:pPr>
      <w:r w:rsidRPr="000537C8">
        <w:rPr>
          <w:lang w:val="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157A478F" w14:textId="77777777" w:rsidR="009847CC" w:rsidRPr="000537C8" w:rsidRDefault="009847CC" w:rsidP="009847CC">
      <w:pPr>
        <w:rPr>
          <w:lang w:val="es-MX"/>
        </w:rPr>
      </w:pPr>
    </w:p>
    <w:p w14:paraId="0F17E982" w14:textId="77777777" w:rsidR="009847CC" w:rsidRPr="000537C8" w:rsidRDefault="009847CC" w:rsidP="009847CC">
      <w:pPr>
        <w:rPr>
          <w:lang w:val="es-MX"/>
        </w:rPr>
      </w:pPr>
      <w:r w:rsidRPr="000537C8">
        <w:rPr>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365DF51" w14:textId="77777777" w:rsidR="009847CC" w:rsidRPr="000537C8" w:rsidRDefault="009847CC" w:rsidP="009847CC">
      <w:pPr>
        <w:rPr>
          <w:lang w:val="es-MX"/>
        </w:rPr>
      </w:pPr>
    </w:p>
    <w:p w14:paraId="1634FE05" w14:textId="77777777" w:rsidR="009847CC" w:rsidRPr="000537C8" w:rsidRDefault="009847CC" w:rsidP="009847CC">
      <w:pPr>
        <w:rPr>
          <w:lang w:val="es-MX"/>
        </w:rPr>
      </w:pPr>
      <w:r w:rsidRPr="000537C8">
        <w:rPr>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0A01C642" w14:textId="77777777" w:rsidR="009847CC" w:rsidRPr="000537C8" w:rsidRDefault="009847CC" w:rsidP="009847CC">
      <w:pPr>
        <w:rPr>
          <w:lang w:val="es-MX"/>
        </w:rPr>
      </w:pPr>
    </w:p>
    <w:p w14:paraId="011F8D8C" w14:textId="77777777" w:rsidR="009847CC" w:rsidRPr="000537C8" w:rsidRDefault="009847CC" w:rsidP="009847CC">
      <w:pPr>
        <w:rPr>
          <w:lang w:val="es-MX"/>
        </w:rPr>
      </w:pPr>
      <w:r w:rsidRPr="000537C8">
        <w:rPr>
          <w:lang w:val="es-MX"/>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0537C8">
        <w:rPr>
          <w:lang w:val="es-MX"/>
        </w:rPr>
        <w:t>AAAA-MM-DDThh:mm:ss</w:t>
      </w:r>
      <w:proofErr w:type="spellEnd"/>
      <w:r w:rsidRPr="000537C8">
        <w:rPr>
          <w:lang w:val="es-MX"/>
        </w:rPr>
        <w:t>.</w:t>
      </w:r>
    </w:p>
    <w:p w14:paraId="3285F6D9" w14:textId="77777777" w:rsidR="009847CC" w:rsidRPr="000537C8" w:rsidRDefault="009847CC" w:rsidP="009847CC">
      <w:pPr>
        <w:rPr>
          <w:lang w:val="es-MX"/>
        </w:rPr>
      </w:pPr>
    </w:p>
    <w:p w14:paraId="585BA525" w14:textId="77777777" w:rsidR="009847CC" w:rsidRPr="000537C8" w:rsidRDefault="009847CC" w:rsidP="009847CC">
      <w:pPr>
        <w:rPr>
          <w:lang w:val="es-MX"/>
        </w:rPr>
      </w:pPr>
      <w:r w:rsidRPr="000537C8">
        <w:rPr>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4EDB5844" w14:textId="77777777" w:rsidR="009847CC" w:rsidRDefault="009847CC" w:rsidP="009847CC">
      <w:pPr>
        <w:rPr>
          <w:rFonts w:cs="Arial"/>
        </w:rPr>
      </w:pPr>
    </w:p>
    <w:p w14:paraId="4FD6065D" w14:textId="77777777" w:rsidR="009847CC" w:rsidRPr="0039499D" w:rsidRDefault="009847CC" w:rsidP="009847CC">
      <w:pPr>
        <w:rPr>
          <w:rFonts w:cs="Arial"/>
        </w:rPr>
      </w:pPr>
      <w:r w:rsidRPr="0039499D">
        <w:rPr>
          <w:rFonts w:cs="Arial"/>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w:t>
      </w:r>
      <w:r w:rsidRPr="0039499D">
        <w:rPr>
          <w:rFonts w:cs="Arial"/>
        </w:rPr>
        <w:lastRenderedPageBreak/>
        <w:t>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0BEF992" w14:textId="77777777" w:rsidR="009847CC" w:rsidRPr="0039499D" w:rsidRDefault="009847CC" w:rsidP="009847CC">
      <w:pPr>
        <w:rPr>
          <w:rFonts w:cs="Arial"/>
        </w:rPr>
      </w:pPr>
    </w:p>
    <w:p w14:paraId="19794370" w14:textId="77777777" w:rsidR="009847CC" w:rsidRPr="0039499D" w:rsidRDefault="009847CC" w:rsidP="009847CC">
      <w:pPr>
        <w:rPr>
          <w:rFonts w:cs="Arial"/>
        </w:rPr>
      </w:pPr>
      <w:r w:rsidRPr="0039499D">
        <w:rPr>
          <w:rFonts w:cs="Aria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5C1CDAA8" w14:textId="77777777" w:rsidR="009847CC" w:rsidRPr="0039499D" w:rsidRDefault="009847CC" w:rsidP="009847CC">
      <w:pPr>
        <w:rPr>
          <w:rFonts w:cs="Arial"/>
        </w:rPr>
      </w:pPr>
    </w:p>
    <w:p w14:paraId="59FD36FF" w14:textId="77777777" w:rsidR="009847CC" w:rsidRPr="0039499D" w:rsidRDefault="009847CC" w:rsidP="009847CC">
      <w:pPr>
        <w:rPr>
          <w:rFonts w:cs="Arial"/>
        </w:rPr>
      </w:pPr>
      <w:r w:rsidRPr="0039499D">
        <w:rPr>
          <w:rFonts w:cs="Arial"/>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w:t>
      </w:r>
      <w:r w:rsidRPr="0039499D">
        <w:rPr>
          <w:rFonts w:cs="Arial"/>
        </w:rPr>
        <w:lastRenderedPageBreak/>
        <w:t>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233B7EA" w14:textId="77777777" w:rsidR="009847CC" w:rsidRPr="0039499D" w:rsidRDefault="009847CC" w:rsidP="009847CC">
      <w:pPr>
        <w:rPr>
          <w:rFonts w:cs="Arial"/>
        </w:rPr>
      </w:pPr>
    </w:p>
    <w:p w14:paraId="75237FB2" w14:textId="77777777" w:rsidR="009847CC" w:rsidRPr="005E0FB0" w:rsidRDefault="009847CC" w:rsidP="009847CC">
      <w:pPr>
        <w:spacing w:line="276" w:lineRule="auto"/>
        <w:ind w:left="567" w:right="567"/>
        <w:rPr>
          <w:rFonts w:cs="Arial"/>
          <w:i/>
          <w:sz w:val="22"/>
        </w:rPr>
      </w:pPr>
      <w:r w:rsidRPr="005E0FB0">
        <w:rPr>
          <w:rFonts w:cs="Arial"/>
          <w:i/>
          <w:sz w:val="22"/>
        </w:rPr>
        <w:t>“</w:t>
      </w:r>
      <w:r w:rsidRPr="005E0FB0">
        <w:rPr>
          <w:rFonts w:cs="Arial"/>
          <w:b/>
          <w:i/>
          <w:sz w:val="22"/>
        </w:rPr>
        <w:t>Artículo 49.</w:t>
      </w:r>
      <w:r w:rsidRPr="005E0FB0">
        <w:rPr>
          <w:rFonts w:cs="Arial"/>
          <w:i/>
          <w:sz w:val="22"/>
        </w:rPr>
        <w:t xml:space="preserve"> Los Comités de Transparencia tendrán las siguientes atribuciones:</w:t>
      </w:r>
    </w:p>
    <w:p w14:paraId="6DE6BAE2" w14:textId="77777777" w:rsidR="009847CC" w:rsidRPr="005E0FB0" w:rsidRDefault="009847CC" w:rsidP="009847CC">
      <w:pPr>
        <w:spacing w:line="276" w:lineRule="auto"/>
        <w:ind w:left="567" w:right="567"/>
        <w:rPr>
          <w:rFonts w:cs="Arial"/>
          <w:i/>
          <w:sz w:val="22"/>
        </w:rPr>
      </w:pPr>
      <w:r w:rsidRPr="005E0FB0">
        <w:rPr>
          <w:rFonts w:cs="Arial"/>
          <w:i/>
          <w:sz w:val="22"/>
        </w:rPr>
        <w:t>…</w:t>
      </w:r>
    </w:p>
    <w:p w14:paraId="479C6D9B" w14:textId="77777777" w:rsidR="009847CC" w:rsidRPr="005E0FB0" w:rsidRDefault="009847CC" w:rsidP="009847CC">
      <w:pPr>
        <w:spacing w:line="276" w:lineRule="auto"/>
        <w:ind w:left="567" w:right="567"/>
        <w:rPr>
          <w:rFonts w:cs="Arial"/>
          <w:i/>
          <w:sz w:val="22"/>
        </w:rPr>
      </w:pPr>
      <w:r w:rsidRPr="005E0FB0">
        <w:rPr>
          <w:rFonts w:cs="Arial"/>
          <w:b/>
          <w:i/>
          <w:sz w:val="22"/>
        </w:rPr>
        <w:t>VIII</w:t>
      </w:r>
      <w:r w:rsidRPr="005E0FB0">
        <w:rPr>
          <w:rFonts w:cs="Arial"/>
          <w:i/>
          <w:sz w:val="22"/>
        </w:rPr>
        <w:t>. Aprobar, modificar o revocar la clasificación de la información;</w:t>
      </w:r>
    </w:p>
    <w:p w14:paraId="5725B6BD" w14:textId="77777777" w:rsidR="009847CC" w:rsidRPr="005E0FB0" w:rsidRDefault="009847CC" w:rsidP="009847CC">
      <w:pPr>
        <w:spacing w:line="276" w:lineRule="auto"/>
        <w:ind w:left="567" w:right="567"/>
        <w:rPr>
          <w:rFonts w:cs="Arial"/>
          <w:i/>
          <w:sz w:val="22"/>
        </w:rPr>
      </w:pPr>
      <w:r w:rsidRPr="005E0FB0">
        <w:rPr>
          <w:rFonts w:cs="Arial"/>
          <w:b/>
          <w:i/>
          <w:sz w:val="22"/>
        </w:rPr>
        <w:t>Artículo 132.</w:t>
      </w:r>
      <w:r w:rsidRPr="005E0FB0">
        <w:rPr>
          <w:rFonts w:cs="Arial"/>
          <w:i/>
          <w:sz w:val="22"/>
        </w:rPr>
        <w:t xml:space="preserve"> La clasificación de la información se llevará a cabo en el momento en que:</w:t>
      </w:r>
    </w:p>
    <w:p w14:paraId="5CE04BEC" w14:textId="77777777" w:rsidR="009847CC" w:rsidRPr="005E0FB0" w:rsidRDefault="009847CC" w:rsidP="009847CC">
      <w:pPr>
        <w:spacing w:line="276" w:lineRule="auto"/>
        <w:ind w:left="567" w:right="567"/>
        <w:rPr>
          <w:rFonts w:cs="Arial"/>
          <w:i/>
          <w:sz w:val="22"/>
        </w:rPr>
      </w:pPr>
      <w:r w:rsidRPr="005E0FB0">
        <w:rPr>
          <w:rFonts w:cs="Arial"/>
          <w:i/>
          <w:sz w:val="22"/>
        </w:rPr>
        <w:t>I. Se reciba una solicitud de acceso a la información;</w:t>
      </w:r>
    </w:p>
    <w:p w14:paraId="23CD7FB7" w14:textId="77777777" w:rsidR="009847CC" w:rsidRPr="005E0FB0" w:rsidRDefault="009847CC" w:rsidP="009847CC">
      <w:pPr>
        <w:spacing w:line="276" w:lineRule="auto"/>
        <w:ind w:left="567" w:right="567"/>
        <w:rPr>
          <w:rFonts w:cs="Arial"/>
          <w:i/>
          <w:sz w:val="22"/>
        </w:rPr>
      </w:pPr>
      <w:r w:rsidRPr="005E0FB0">
        <w:rPr>
          <w:rFonts w:cs="Arial"/>
          <w:i/>
          <w:sz w:val="22"/>
        </w:rPr>
        <w:t>II. Se determine mediante resolución de autoridad competente; o</w:t>
      </w:r>
    </w:p>
    <w:p w14:paraId="1DA9674D" w14:textId="77777777" w:rsidR="009847CC" w:rsidRPr="005E0FB0" w:rsidRDefault="009847CC" w:rsidP="009847CC">
      <w:pPr>
        <w:spacing w:line="276" w:lineRule="auto"/>
        <w:ind w:left="567" w:right="567"/>
        <w:rPr>
          <w:rFonts w:cs="Arial"/>
          <w:i/>
          <w:sz w:val="22"/>
        </w:rPr>
      </w:pPr>
      <w:r w:rsidRPr="005E0FB0">
        <w:rPr>
          <w:rFonts w:cs="Arial"/>
          <w:i/>
          <w:sz w:val="22"/>
        </w:rPr>
        <w:t>III. Se generen versiones públicas para dar cumplimiento a las obligaciones de transparencia previstas en esta Ley.”</w:t>
      </w:r>
    </w:p>
    <w:p w14:paraId="06ECA3F5" w14:textId="77777777" w:rsidR="009847CC" w:rsidRPr="005E0FB0" w:rsidRDefault="009847CC" w:rsidP="009847CC">
      <w:pPr>
        <w:spacing w:line="276" w:lineRule="auto"/>
        <w:ind w:left="567" w:right="567"/>
        <w:rPr>
          <w:rFonts w:cs="Arial"/>
          <w:i/>
          <w:sz w:val="22"/>
        </w:rPr>
      </w:pPr>
      <w:r w:rsidRPr="005E0FB0">
        <w:rPr>
          <w:rFonts w:cs="Arial"/>
          <w:i/>
          <w:sz w:val="22"/>
        </w:rPr>
        <w:t>“</w:t>
      </w:r>
      <w:r w:rsidRPr="005E0FB0">
        <w:rPr>
          <w:rFonts w:cs="Arial"/>
          <w:b/>
          <w:i/>
          <w:sz w:val="22"/>
        </w:rPr>
        <w:t>Segundo</w:t>
      </w:r>
      <w:r w:rsidRPr="005E0FB0">
        <w:rPr>
          <w:rFonts w:cs="Arial"/>
          <w:i/>
          <w:sz w:val="22"/>
        </w:rPr>
        <w:t>.- Para efectos de los presentes Lineamientos Generales, se entenderá por:</w:t>
      </w:r>
    </w:p>
    <w:p w14:paraId="3F5A9D36" w14:textId="77777777" w:rsidR="009847CC" w:rsidRPr="005E0FB0" w:rsidRDefault="009847CC" w:rsidP="009847CC">
      <w:pPr>
        <w:spacing w:line="276" w:lineRule="auto"/>
        <w:ind w:left="567" w:right="567"/>
        <w:rPr>
          <w:rFonts w:cs="Arial"/>
          <w:i/>
          <w:sz w:val="22"/>
        </w:rPr>
      </w:pPr>
      <w:r w:rsidRPr="005E0FB0">
        <w:rPr>
          <w:rFonts w:cs="Arial"/>
          <w:i/>
          <w:sz w:val="22"/>
        </w:rPr>
        <w:t>…</w:t>
      </w:r>
    </w:p>
    <w:p w14:paraId="124DE4BB" w14:textId="77777777" w:rsidR="009847CC" w:rsidRPr="005E0FB0" w:rsidRDefault="009847CC" w:rsidP="009847CC">
      <w:pPr>
        <w:spacing w:line="276" w:lineRule="auto"/>
        <w:ind w:left="567" w:right="567"/>
        <w:rPr>
          <w:rFonts w:cs="Arial"/>
          <w:i/>
          <w:sz w:val="22"/>
        </w:rPr>
      </w:pPr>
      <w:r w:rsidRPr="005E0FB0">
        <w:rPr>
          <w:rFonts w:cs="Arial"/>
          <w:b/>
          <w:i/>
          <w:sz w:val="22"/>
        </w:rPr>
        <w:t>XVIII</w:t>
      </w:r>
      <w:r w:rsidRPr="005E0FB0">
        <w:rPr>
          <w:rFonts w:cs="Arial"/>
          <w:i/>
          <w:sz w:val="22"/>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14C91AE" w14:textId="77777777" w:rsidR="009847CC" w:rsidRPr="005E0FB0" w:rsidRDefault="009847CC" w:rsidP="009847CC">
      <w:pPr>
        <w:spacing w:line="276" w:lineRule="auto"/>
        <w:ind w:left="567" w:right="567"/>
        <w:rPr>
          <w:rFonts w:cs="Arial"/>
          <w:i/>
          <w:sz w:val="22"/>
        </w:rPr>
      </w:pPr>
    </w:p>
    <w:p w14:paraId="017D9F73" w14:textId="77777777" w:rsidR="009847CC" w:rsidRPr="005E0FB0" w:rsidRDefault="009847CC" w:rsidP="009847CC">
      <w:pPr>
        <w:spacing w:line="276" w:lineRule="auto"/>
        <w:ind w:left="567" w:right="567"/>
        <w:rPr>
          <w:rFonts w:cs="Arial"/>
          <w:i/>
          <w:sz w:val="22"/>
        </w:rPr>
      </w:pPr>
      <w:r w:rsidRPr="005E0FB0">
        <w:rPr>
          <w:rFonts w:cs="Arial"/>
          <w:b/>
          <w:i/>
          <w:sz w:val="22"/>
        </w:rPr>
        <w:t>Cuarto</w:t>
      </w:r>
      <w:r w:rsidRPr="005E0FB0">
        <w:rPr>
          <w:rFonts w:cs="Arial"/>
          <w:i/>
          <w:sz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B5AAD15" w14:textId="77777777" w:rsidR="009847CC" w:rsidRPr="005E0FB0" w:rsidRDefault="009847CC" w:rsidP="009847CC">
      <w:pPr>
        <w:spacing w:line="276" w:lineRule="auto"/>
        <w:ind w:left="567" w:right="567"/>
        <w:rPr>
          <w:rFonts w:cs="Arial"/>
          <w:i/>
          <w:sz w:val="22"/>
        </w:rPr>
      </w:pPr>
      <w:r w:rsidRPr="005E0FB0">
        <w:rPr>
          <w:rFonts w:cs="Arial"/>
          <w:i/>
          <w:sz w:val="22"/>
        </w:rPr>
        <w:t>Los Sujetos Obligados deberán aplicar, de manera estricta, las excepciones al derecho de acceso a la información y sólo podrán invocarlas cuando acrediten su procedencia.</w:t>
      </w:r>
    </w:p>
    <w:p w14:paraId="70AEE235" w14:textId="77777777" w:rsidR="009847CC" w:rsidRPr="005E0FB0" w:rsidRDefault="009847CC" w:rsidP="009847CC">
      <w:pPr>
        <w:spacing w:line="276" w:lineRule="auto"/>
        <w:ind w:left="567" w:right="567"/>
        <w:rPr>
          <w:rFonts w:cs="Arial"/>
          <w:i/>
          <w:sz w:val="22"/>
        </w:rPr>
      </w:pPr>
    </w:p>
    <w:p w14:paraId="0028FFEC" w14:textId="77777777" w:rsidR="009847CC" w:rsidRPr="005E0FB0" w:rsidRDefault="009847CC" w:rsidP="009847CC">
      <w:pPr>
        <w:spacing w:line="276" w:lineRule="auto"/>
        <w:ind w:left="567" w:right="567"/>
        <w:rPr>
          <w:rFonts w:cs="Arial"/>
          <w:i/>
          <w:sz w:val="22"/>
        </w:rPr>
      </w:pPr>
      <w:r w:rsidRPr="005E0FB0">
        <w:rPr>
          <w:rFonts w:cs="Arial"/>
          <w:b/>
          <w:i/>
          <w:sz w:val="22"/>
        </w:rPr>
        <w:t>Quinto</w:t>
      </w:r>
      <w:r w:rsidRPr="005E0FB0">
        <w:rPr>
          <w:rFonts w:cs="Arial"/>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w:t>
      </w:r>
      <w:r w:rsidRPr="005E0FB0">
        <w:rPr>
          <w:rFonts w:cs="Arial"/>
          <w:i/>
          <w:sz w:val="22"/>
        </w:rPr>
        <w:lastRenderedPageBreak/>
        <w:t>momento en que generen versiones públicas para dar cumplimiento a las obligaciones de transparencia, observando lo dispuesto en la Ley General y las demás disposiciones aplicables en la materia.</w:t>
      </w:r>
    </w:p>
    <w:p w14:paraId="3FEEAD2B" w14:textId="77777777" w:rsidR="009847CC" w:rsidRPr="005E0FB0" w:rsidRDefault="009847CC" w:rsidP="009847CC">
      <w:pPr>
        <w:spacing w:line="276" w:lineRule="auto"/>
        <w:ind w:left="567" w:right="567"/>
        <w:rPr>
          <w:rFonts w:cs="Arial"/>
          <w:i/>
          <w:sz w:val="22"/>
        </w:rPr>
      </w:pPr>
    </w:p>
    <w:p w14:paraId="42761973" w14:textId="77777777" w:rsidR="009847CC" w:rsidRPr="005E0FB0" w:rsidRDefault="009847CC" w:rsidP="009847CC">
      <w:pPr>
        <w:spacing w:line="276" w:lineRule="auto"/>
        <w:ind w:left="567" w:right="567"/>
        <w:rPr>
          <w:rFonts w:cs="Arial"/>
          <w:i/>
          <w:sz w:val="22"/>
        </w:rPr>
      </w:pPr>
      <w:r w:rsidRPr="005E0FB0">
        <w:rPr>
          <w:rFonts w:cs="Arial"/>
          <w:b/>
          <w:i/>
          <w:sz w:val="22"/>
        </w:rPr>
        <w:t>Sexto</w:t>
      </w:r>
      <w:r w:rsidRPr="005E0FB0">
        <w:rPr>
          <w:rFonts w:cs="Arial"/>
          <w:i/>
          <w:sz w:val="22"/>
        </w:rPr>
        <w:t>. Los Sujetos Obligados no podrán emitir acuerdos de carácter general ni particular que clasifiquen documentos o expedientes como reservados, ni clasificar documentos antes de que se genere la información o cuando éstos no obren en sus archivos.</w:t>
      </w:r>
    </w:p>
    <w:p w14:paraId="47BB15F0" w14:textId="77777777" w:rsidR="009847CC" w:rsidRPr="005E0FB0" w:rsidRDefault="009847CC" w:rsidP="009847CC">
      <w:pPr>
        <w:spacing w:line="276" w:lineRule="auto"/>
        <w:ind w:left="567" w:right="567"/>
        <w:rPr>
          <w:rFonts w:cs="Arial"/>
          <w:i/>
          <w:sz w:val="22"/>
        </w:rPr>
      </w:pPr>
      <w:r w:rsidRPr="005E0FB0">
        <w:rPr>
          <w:rFonts w:cs="Arial"/>
          <w:i/>
          <w:sz w:val="22"/>
        </w:rPr>
        <w:t>La clasificación de información se realizará conforme a un análisis caso por caso, mediante la aplicación de la prueba de daño y de interés público.</w:t>
      </w:r>
    </w:p>
    <w:p w14:paraId="6F4564C3" w14:textId="77777777" w:rsidR="009847CC" w:rsidRPr="005E0FB0" w:rsidRDefault="009847CC" w:rsidP="009847CC">
      <w:pPr>
        <w:spacing w:line="276" w:lineRule="auto"/>
        <w:ind w:left="567" w:right="567"/>
        <w:rPr>
          <w:rFonts w:cs="Arial"/>
          <w:i/>
          <w:sz w:val="22"/>
        </w:rPr>
      </w:pPr>
    </w:p>
    <w:p w14:paraId="54377F1B" w14:textId="77777777" w:rsidR="009847CC" w:rsidRPr="005E0FB0" w:rsidRDefault="009847CC" w:rsidP="009847CC">
      <w:pPr>
        <w:spacing w:line="276" w:lineRule="auto"/>
        <w:ind w:left="567" w:right="567"/>
        <w:rPr>
          <w:rFonts w:cs="Arial"/>
          <w:i/>
          <w:sz w:val="22"/>
        </w:rPr>
      </w:pPr>
      <w:r w:rsidRPr="005E0FB0">
        <w:rPr>
          <w:rFonts w:cs="Arial"/>
          <w:b/>
          <w:i/>
          <w:sz w:val="22"/>
        </w:rPr>
        <w:t>Séptimo</w:t>
      </w:r>
      <w:r w:rsidRPr="005E0FB0">
        <w:rPr>
          <w:rFonts w:cs="Arial"/>
          <w:i/>
          <w:sz w:val="22"/>
        </w:rPr>
        <w:t>. La clasificación de la información se llevará a cabo en el momento en que:</w:t>
      </w:r>
    </w:p>
    <w:p w14:paraId="701408CB" w14:textId="77777777" w:rsidR="009847CC" w:rsidRPr="005E0FB0" w:rsidRDefault="009847CC" w:rsidP="009847CC">
      <w:pPr>
        <w:spacing w:line="276" w:lineRule="auto"/>
        <w:ind w:left="567" w:right="567"/>
        <w:rPr>
          <w:rFonts w:cs="Arial"/>
          <w:i/>
          <w:sz w:val="22"/>
        </w:rPr>
      </w:pPr>
      <w:r w:rsidRPr="005E0FB0">
        <w:rPr>
          <w:rFonts w:cs="Arial"/>
          <w:b/>
          <w:i/>
          <w:sz w:val="22"/>
        </w:rPr>
        <w:t>I.</w:t>
      </w:r>
      <w:r w:rsidRPr="005E0FB0">
        <w:rPr>
          <w:rFonts w:cs="Arial"/>
          <w:i/>
          <w:sz w:val="22"/>
        </w:rPr>
        <w:t xml:space="preserve"> Se reciba una solicitud de acceso a la información;</w:t>
      </w:r>
    </w:p>
    <w:p w14:paraId="4BA259B8" w14:textId="77777777" w:rsidR="009847CC" w:rsidRPr="005E0FB0" w:rsidRDefault="009847CC" w:rsidP="009847CC">
      <w:pPr>
        <w:spacing w:line="276" w:lineRule="auto"/>
        <w:ind w:left="567" w:right="567"/>
        <w:rPr>
          <w:rFonts w:cs="Arial"/>
          <w:i/>
          <w:sz w:val="22"/>
        </w:rPr>
      </w:pPr>
      <w:r w:rsidRPr="005E0FB0">
        <w:rPr>
          <w:rFonts w:cs="Arial"/>
          <w:b/>
          <w:i/>
          <w:sz w:val="22"/>
        </w:rPr>
        <w:t>II</w:t>
      </w:r>
      <w:r w:rsidRPr="005E0FB0">
        <w:rPr>
          <w:rFonts w:cs="Arial"/>
          <w:i/>
          <w:sz w:val="22"/>
        </w:rPr>
        <w:t>. Se determine mediante resolución de autoridad competente, o</w:t>
      </w:r>
    </w:p>
    <w:p w14:paraId="2E58B8FE" w14:textId="77777777" w:rsidR="009847CC" w:rsidRPr="005E0FB0" w:rsidRDefault="009847CC" w:rsidP="009847CC">
      <w:pPr>
        <w:spacing w:line="276" w:lineRule="auto"/>
        <w:ind w:left="567" w:right="567"/>
        <w:rPr>
          <w:rFonts w:cs="Arial"/>
          <w:i/>
          <w:sz w:val="22"/>
        </w:rPr>
      </w:pPr>
      <w:r w:rsidRPr="005E0FB0">
        <w:rPr>
          <w:rFonts w:cs="Arial"/>
          <w:b/>
          <w:i/>
          <w:sz w:val="22"/>
        </w:rPr>
        <w:t>III</w:t>
      </w:r>
      <w:r w:rsidRPr="005E0FB0">
        <w:rPr>
          <w:rFonts w:cs="Arial"/>
          <w:i/>
          <w:sz w:val="22"/>
        </w:rPr>
        <w:t>. Se generen versiones públicas para dar cumplimiento a las obligaciones de transparencia previstas en la Ley General, la Ley Federal y las correspondientes de las entidades federativas.</w:t>
      </w:r>
    </w:p>
    <w:p w14:paraId="1CBDB740" w14:textId="77777777" w:rsidR="009847CC" w:rsidRPr="005E0FB0" w:rsidRDefault="009847CC" w:rsidP="009847CC">
      <w:pPr>
        <w:spacing w:line="276" w:lineRule="auto"/>
        <w:ind w:left="567" w:right="567"/>
        <w:rPr>
          <w:rFonts w:cs="Arial"/>
          <w:i/>
          <w:sz w:val="22"/>
        </w:rPr>
      </w:pPr>
      <w:r w:rsidRPr="005E0FB0">
        <w:rPr>
          <w:rFonts w:cs="Arial"/>
          <w:i/>
          <w:sz w:val="22"/>
        </w:rPr>
        <w:t>Los titulares de las áreas deberán revisar la clasificación al momento de la recepción de una solicitud de acceso a la información, para verificar si encuadra en una causal de reserva o de confidencialidad.</w:t>
      </w:r>
    </w:p>
    <w:p w14:paraId="352BD6F6" w14:textId="77777777" w:rsidR="009847CC" w:rsidRPr="005E0FB0" w:rsidRDefault="009847CC" w:rsidP="009847CC">
      <w:pPr>
        <w:spacing w:line="276" w:lineRule="auto"/>
        <w:ind w:left="567" w:right="567"/>
        <w:rPr>
          <w:rFonts w:cs="Arial"/>
          <w:i/>
          <w:sz w:val="22"/>
        </w:rPr>
      </w:pPr>
      <w:r w:rsidRPr="005E0FB0">
        <w:rPr>
          <w:rFonts w:cs="Arial"/>
          <w:b/>
          <w:i/>
          <w:sz w:val="22"/>
        </w:rPr>
        <w:t>Octavo</w:t>
      </w:r>
      <w:r w:rsidRPr="005E0FB0">
        <w:rPr>
          <w:rFonts w:cs="Arial"/>
          <w:i/>
          <w:sz w:val="22"/>
        </w:rPr>
        <w:t>. Para fundar la clasificación de la información se debe señalar el artículo, fracción, inciso, párrafo o numeral de la ley o tratado internacional suscrito por el Estado mexicano que expresamente le otorga el carácter de reservada o confidencial.</w:t>
      </w:r>
    </w:p>
    <w:p w14:paraId="6DE2647F" w14:textId="77777777" w:rsidR="009847CC" w:rsidRPr="005E0FB0" w:rsidRDefault="009847CC" w:rsidP="009847CC">
      <w:pPr>
        <w:spacing w:line="276" w:lineRule="auto"/>
        <w:ind w:left="567" w:right="567"/>
        <w:rPr>
          <w:rFonts w:cs="Arial"/>
          <w:i/>
          <w:sz w:val="22"/>
        </w:rPr>
      </w:pPr>
      <w:r w:rsidRPr="005E0FB0">
        <w:rPr>
          <w:rFonts w:cs="Arial"/>
          <w:i/>
          <w:sz w:val="22"/>
        </w:rPr>
        <w:t>Para motivar la clasificación se deberán señalar las razones o circunstancias especiales que lo llevaron a concluir que el caso particular se ajusta al supuesto previsto por la norma legal invocada como fundamento.</w:t>
      </w:r>
    </w:p>
    <w:p w14:paraId="213640C5" w14:textId="77777777" w:rsidR="009847CC" w:rsidRPr="005E0FB0" w:rsidRDefault="009847CC" w:rsidP="009847CC">
      <w:pPr>
        <w:spacing w:line="276" w:lineRule="auto"/>
        <w:ind w:left="567" w:right="567"/>
        <w:rPr>
          <w:rFonts w:cs="Arial"/>
          <w:i/>
          <w:sz w:val="22"/>
        </w:rPr>
      </w:pPr>
      <w:r w:rsidRPr="005E0FB0">
        <w:rPr>
          <w:rFonts w:cs="Arial"/>
          <w:i/>
          <w:sz w:val="22"/>
        </w:rPr>
        <w:t>En caso de referirse a información reservada, la motivación de la clasificación también deberá comprender las circunstancias que justifican el establecimiento de determinado plazo de reserva.</w:t>
      </w:r>
    </w:p>
    <w:p w14:paraId="395F76F2" w14:textId="77777777" w:rsidR="009847CC" w:rsidRPr="005E0FB0" w:rsidRDefault="009847CC" w:rsidP="009847CC">
      <w:pPr>
        <w:spacing w:line="276" w:lineRule="auto"/>
        <w:ind w:left="567" w:right="567"/>
        <w:rPr>
          <w:rFonts w:cs="Arial"/>
          <w:i/>
          <w:sz w:val="22"/>
        </w:rPr>
      </w:pPr>
      <w:r w:rsidRPr="005E0FB0">
        <w:rPr>
          <w:rFonts w:cs="Arial"/>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1E62F04B" w14:textId="77777777" w:rsidR="009847CC" w:rsidRPr="005E0FB0" w:rsidRDefault="009847CC" w:rsidP="009847CC">
      <w:pPr>
        <w:spacing w:line="276" w:lineRule="auto"/>
        <w:ind w:left="567" w:right="567"/>
        <w:rPr>
          <w:rFonts w:cs="Arial"/>
          <w:i/>
          <w:sz w:val="22"/>
        </w:rPr>
      </w:pPr>
      <w:r w:rsidRPr="005E0FB0">
        <w:rPr>
          <w:rFonts w:cs="Arial"/>
          <w:i/>
          <w:sz w:val="22"/>
        </w:rPr>
        <w:t>Los documentos contenidos en los archivos históricos y los identificados como históricos confidenciales no serán susceptibles de clasificación como reservados.</w:t>
      </w:r>
    </w:p>
    <w:p w14:paraId="54A92092" w14:textId="77777777" w:rsidR="009847CC" w:rsidRPr="005E0FB0" w:rsidRDefault="009847CC" w:rsidP="009847CC">
      <w:pPr>
        <w:spacing w:line="276" w:lineRule="auto"/>
        <w:ind w:left="567" w:right="567"/>
        <w:rPr>
          <w:rFonts w:cs="Arial"/>
          <w:i/>
          <w:sz w:val="22"/>
        </w:rPr>
      </w:pPr>
    </w:p>
    <w:p w14:paraId="77536B22" w14:textId="77777777" w:rsidR="009847CC" w:rsidRPr="005E0FB0" w:rsidRDefault="009847CC" w:rsidP="009847CC">
      <w:pPr>
        <w:spacing w:line="276" w:lineRule="auto"/>
        <w:ind w:left="567" w:right="567"/>
        <w:rPr>
          <w:rFonts w:cs="Arial"/>
          <w:i/>
          <w:sz w:val="22"/>
        </w:rPr>
      </w:pPr>
      <w:r w:rsidRPr="005E0FB0">
        <w:rPr>
          <w:rFonts w:cs="Arial"/>
          <w:b/>
          <w:i/>
          <w:sz w:val="22"/>
        </w:rPr>
        <w:lastRenderedPageBreak/>
        <w:t>Noveno</w:t>
      </w:r>
      <w:r w:rsidRPr="005E0FB0">
        <w:rPr>
          <w:rFonts w:cs="Arial"/>
          <w:i/>
          <w:sz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641FF58" w14:textId="77777777" w:rsidR="009847CC" w:rsidRPr="005E0FB0" w:rsidRDefault="009847CC" w:rsidP="009847CC">
      <w:pPr>
        <w:spacing w:line="276" w:lineRule="auto"/>
        <w:ind w:left="567" w:right="567"/>
        <w:rPr>
          <w:rFonts w:cs="Arial"/>
          <w:i/>
          <w:sz w:val="22"/>
        </w:rPr>
      </w:pPr>
    </w:p>
    <w:p w14:paraId="3CEDC6E2" w14:textId="77777777" w:rsidR="009847CC" w:rsidRPr="005E0FB0" w:rsidRDefault="009847CC" w:rsidP="009847CC">
      <w:pPr>
        <w:spacing w:line="276" w:lineRule="auto"/>
        <w:ind w:left="567" w:right="567"/>
        <w:rPr>
          <w:rFonts w:cs="Arial"/>
          <w:i/>
          <w:sz w:val="22"/>
        </w:rPr>
      </w:pPr>
      <w:r w:rsidRPr="005E0FB0">
        <w:rPr>
          <w:rFonts w:cs="Arial"/>
          <w:b/>
          <w:i/>
          <w:sz w:val="22"/>
        </w:rPr>
        <w:t>Décimo</w:t>
      </w:r>
      <w:r w:rsidRPr="005E0FB0">
        <w:rPr>
          <w:rFonts w:cs="Arial"/>
          <w:i/>
          <w:sz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8F3A5DF" w14:textId="77777777" w:rsidR="009847CC" w:rsidRPr="005E0FB0" w:rsidRDefault="009847CC" w:rsidP="009847CC">
      <w:pPr>
        <w:spacing w:line="276" w:lineRule="auto"/>
        <w:ind w:left="567" w:right="567"/>
        <w:rPr>
          <w:rFonts w:cs="Arial"/>
          <w:i/>
          <w:sz w:val="22"/>
        </w:rPr>
      </w:pPr>
    </w:p>
    <w:p w14:paraId="062F005B" w14:textId="77777777" w:rsidR="009847CC" w:rsidRPr="005E0FB0" w:rsidRDefault="009847CC" w:rsidP="009847CC">
      <w:pPr>
        <w:spacing w:line="276" w:lineRule="auto"/>
        <w:ind w:left="567" w:right="567"/>
        <w:rPr>
          <w:rFonts w:cs="Arial"/>
          <w:i/>
          <w:sz w:val="22"/>
        </w:rPr>
      </w:pPr>
      <w:r w:rsidRPr="005E0FB0">
        <w:rPr>
          <w:rFonts w:cs="Arial"/>
          <w:i/>
          <w:sz w:val="22"/>
        </w:rPr>
        <w:t>En ausencia de los titulares de las áreas, la información será clasificada o desclasificada por la persona que lo supla, en términos de la normativa que rija la actuación del sujeto obligado.</w:t>
      </w:r>
    </w:p>
    <w:p w14:paraId="542D5A34" w14:textId="77777777" w:rsidR="009847CC" w:rsidRPr="005E0FB0" w:rsidRDefault="009847CC" w:rsidP="009847CC">
      <w:pPr>
        <w:spacing w:line="276" w:lineRule="auto"/>
        <w:ind w:left="567" w:right="567"/>
        <w:rPr>
          <w:rFonts w:cs="Arial"/>
          <w:i/>
          <w:sz w:val="22"/>
        </w:rPr>
      </w:pPr>
    </w:p>
    <w:p w14:paraId="6AEA711A" w14:textId="77777777" w:rsidR="009847CC" w:rsidRPr="005E0FB0" w:rsidRDefault="009847CC" w:rsidP="009847CC">
      <w:pPr>
        <w:spacing w:line="276" w:lineRule="auto"/>
        <w:ind w:left="567" w:right="567"/>
        <w:rPr>
          <w:rFonts w:cs="Arial"/>
          <w:i/>
          <w:sz w:val="22"/>
        </w:rPr>
      </w:pPr>
      <w:r w:rsidRPr="005E0FB0">
        <w:rPr>
          <w:rFonts w:cs="Arial"/>
          <w:b/>
          <w:i/>
          <w:sz w:val="22"/>
        </w:rPr>
        <w:t>Décimo primero.</w:t>
      </w:r>
      <w:r w:rsidRPr="005E0FB0">
        <w:rPr>
          <w:rFonts w:cs="Arial"/>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F01E815" w14:textId="77777777" w:rsidR="009847CC" w:rsidRPr="0039499D" w:rsidRDefault="009847CC" w:rsidP="009847CC">
      <w:pPr>
        <w:rPr>
          <w:rFonts w:cs="Arial"/>
        </w:rPr>
      </w:pPr>
    </w:p>
    <w:p w14:paraId="47314E5C" w14:textId="77777777" w:rsidR="009847CC" w:rsidRPr="0039499D" w:rsidRDefault="009847CC" w:rsidP="009847CC">
      <w:pPr>
        <w:rPr>
          <w:rFonts w:cs="Arial"/>
        </w:rPr>
      </w:pPr>
      <w:r w:rsidRPr="0039499D">
        <w:rPr>
          <w:rFonts w:cs="Aria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9980C5E" w14:textId="77777777" w:rsidR="009847CC" w:rsidRPr="0039499D" w:rsidRDefault="009847CC" w:rsidP="009847CC">
      <w:pPr>
        <w:rPr>
          <w:rFonts w:cs="Arial"/>
        </w:rPr>
      </w:pPr>
    </w:p>
    <w:p w14:paraId="691F5008" w14:textId="77777777" w:rsidR="009847CC" w:rsidRPr="0039499D" w:rsidRDefault="009847CC" w:rsidP="009847CC">
      <w:pPr>
        <w:rPr>
          <w:rFonts w:cs="Arial"/>
        </w:rPr>
      </w:pPr>
      <w:r w:rsidRPr="0039499D">
        <w:rPr>
          <w:rFonts w:cs="Arial"/>
        </w:rPr>
        <w:t>Por tanto, la fundamentación y motivación consiste en la obligación que tiene todo ente público de expresar los preceptos jurídicos aplicables al asunto motivo del acto y las razones o argumentos de su actuar.</w:t>
      </w:r>
    </w:p>
    <w:p w14:paraId="714E3399" w14:textId="77777777" w:rsidR="009847CC" w:rsidRPr="0039499D" w:rsidRDefault="009847CC" w:rsidP="009847CC">
      <w:pPr>
        <w:rPr>
          <w:rFonts w:cs="Arial"/>
        </w:rPr>
      </w:pPr>
    </w:p>
    <w:p w14:paraId="601E559D" w14:textId="77777777" w:rsidR="009847CC" w:rsidRPr="0039499D" w:rsidRDefault="009847CC" w:rsidP="009847CC">
      <w:pPr>
        <w:rPr>
          <w:rFonts w:cs="Arial"/>
        </w:rPr>
      </w:pPr>
      <w:r w:rsidRPr="0039499D">
        <w:rPr>
          <w:rFonts w:cs="Arial"/>
        </w:rPr>
        <w:t>Al respecto, el máximo tribunal del país ha establecido jurisprudencia respecto a qué debe entenderse por fundamentación y motivación, en los siguientes términos:</w:t>
      </w:r>
    </w:p>
    <w:p w14:paraId="06C74A92" w14:textId="77777777" w:rsidR="009847CC" w:rsidRPr="0039499D" w:rsidRDefault="009847CC" w:rsidP="009847CC">
      <w:pPr>
        <w:rPr>
          <w:rFonts w:cs="Arial"/>
        </w:rPr>
      </w:pPr>
    </w:p>
    <w:p w14:paraId="2684710C" w14:textId="77777777" w:rsidR="009847CC" w:rsidRPr="005E0FB0" w:rsidRDefault="009847CC" w:rsidP="009847CC">
      <w:pPr>
        <w:spacing w:line="276" w:lineRule="auto"/>
        <w:ind w:left="567" w:right="567"/>
        <w:rPr>
          <w:rFonts w:cs="Arial"/>
          <w:i/>
          <w:sz w:val="22"/>
        </w:rPr>
      </w:pPr>
      <w:r w:rsidRPr="005E0FB0">
        <w:rPr>
          <w:rFonts w:cs="Arial"/>
          <w:b/>
          <w:i/>
          <w:sz w:val="22"/>
        </w:rPr>
        <w:t>FUNDAMENTACIÓN Y MOTIVACIÓN</w:t>
      </w:r>
      <w:r w:rsidRPr="005E0FB0">
        <w:rPr>
          <w:rFonts w:cs="Arial"/>
          <w:i/>
          <w:sz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1F1A111" w14:textId="77777777" w:rsidR="009847CC" w:rsidRPr="0039499D" w:rsidRDefault="009847CC" w:rsidP="009847CC">
      <w:pPr>
        <w:rPr>
          <w:rFonts w:cs="Arial"/>
        </w:rPr>
      </w:pPr>
    </w:p>
    <w:p w14:paraId="6DBCDC7E" w14:textId="77777777" w:rsidR="009847CC" w:rsidRPr="0039499D" w:rsidRDefault="009847CC" w:rsidP="009847CC">
      <w:pPr>
        <w:rPr>
          <w:rFonts w:cs="Arial"/>
        </w:rPr>
      </w:pPr>
      <w:r w:rsidRPr="0039499D">
        <w:rPr>
          <w:rFonts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163CD61" w14:textId="77777777" w:rsidR="009847CC" w:rsidRPr="0039499D" w:rsidRDefault="009847CC" w:rsidP="009847CC">
      <w:pPr>
        <w:rPr>
          <w:rFonts w:cs="Arial"/>
        </w:rPr>
      </w:pPr>
    </w:p>
    <w:p w14:paraId="6CCAC299" w14:textId="77777777" w:rsidR="009847CC" w:rsidRPr="0039499D" w:rsidRDefault="009847CC" w:rsidP="009847CC">
      <w:pPr>
        <w:rPr>
          <w:rFonts w:cs="Arial"/>
        </w:rPr>
      </w:pPr>
      <w:r w:rsidRPr="0039499D">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99868E9" w14:textId="77777777" w:rsidR="009847CC" w:rsidRPr="0039499D" w:rsidRDefault="009847CC" w:rsidP="009847CC">
      <w:pPr>
        <w:spacing w:line="276" w:lineRule="auto"/>
        <w:rPr>
          <w:rFonts w:cs="Arial"/>
        </w:rPr>
      </w:pPr>
    </w:p>
    <w:p w14:paraId="26FD854B" w14:textId="77777777" w:rsidR="009847CC" w:rsidRPr="005E0FB0" w:rsidRDefault="009847CC" w:rsidP="009847CC">
      <w:pPr>
        <w:spacing w:line="276" w:lineRule="auto"/>
        <w:ind w:left="567" w:right="567"/>
        <w:rPr>
          <w:rFonts w:cs="Arial"/>
          <w:i/>
          <w:sz w:val="22"/>
        </w:rPr>
      </w:pPr>
      <w:r w:rsidRPr="005E0FB0">
        <w:rPr>
          <w:rFonts w:cs="Arial"/>
          <w:b/>
          <w:i/>
          <w:sz w:val="22"/>
        </w:rPr>
        <w:t>FUNDAMENTACIÓN Y MOTIVACIÓN. EL ASPECTO FORMAL DE LA GARANTÍA Y SU FINALIDAD SE TRADUCEN EN EXPLICAR, JUSTIFICAR, POSIBILITAR LA DEFENSA Y COMUNICAR LA DECISIÓN.</w:t>
      </w:r>
      <w:r w:rsidRPr="005E0FB0">
        <w:rPr>
          <w:rFonts w:cs="Arial"/>
          <w:i/>
          <w:sz w:val="22"/>
        </w:rPr>
        <w:t xml:space="preserve"> El contenido formal de la garantía de legalidad prevista en el artículo 16 constitucional relativa a la fundamentación </w:t>
      </w:r>
      <w:r w:rsidRPr="005E0FB0">
        <w:rPr>
          <w:rFonts w:cs="Arial"/>
          <w:i/>
          <w:sz w:val="22"/>
        </w:rPr>
        <w:lastRenderedPageBreak/>
        <w:t>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6EF4F22" w14:textId="77777777" w:rsidR="009847CC" w:rsidRPr="0039499D" w:rsidRDefault="009847CC" w:rsidP="009847CC">
      <w:pPr>
        <w:spacing w:line="276" w:lineRule="auto"/>
        <w:rPr>
          <w:rFonts w:cs="Arial"/>
        </w:rPr>
      </w:pPr>
    </w:p>
    <w:p w14:paraId="05BBB0BC" w14:textId="77777777" w:rsidR="009847CC" w:rsidRPr="0039499D" w:rsidRDefault="009847CC" w:rsidP="009847CC">
      <w:pPr>
        <w:rPr>
          <w:rFonts w:cs="Arial"/>
        </w:rPr>
      </w:pPr>
      <w:r w:rsidRPr="0039499D">
        <w:rPr>
          <w:rFonts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w:t>
      </w:r>
      <w:r>
        <w:rPr>
          <w:rFonts w:cs="Arial"/>
        </w:rPr>
        <w:t>le una real y auténtica defensa.</w:t>
      </w:r>
    </w:p>
    <w:p w14:paraId="0C77C68F" w14:textId="77777777" w:rsidR="009847CC" w:rsidRPr="0039499D" w:rsidRDefault="009847CC" w:rsidP="009847CC">
      <w:pPr>
        <w:rPr>
          <w:rFonts w:cs="Arial"/>
        </w:rPr>
      </w:pPr>
    </w:p>
    <w:p w14:paraId="6A092082" w14:textId="77777777" w:rsidR="0077504A" w:rsidRPr="00035582" w:rsidRDefault="009847CC" w:rsidP="00035582">
      <w:pPr>
        <w:rPr>
          <w:rFonts w:cs="Arial"/>
        </w:rPr>
      </w:pPr>
      <w:r w:rsidRPr="0039499D">
        <w:rPr>
          <w:rFonts w:cs="Arial"/>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w:t>
      </w:r>
      <w:r w:rsidRPr="0039499D">
        <w:rPr>
          <w:rFonts w:cs="Arial"/>
        </w:rPr>
        <w:lastRenderedPageBreak/>
        <w:t>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B30FCC8" w14:textId="77777777" w:rsidR="0077504A" w:rsidRDefault="0077504A" w:rsidP="005168D8">
      <w:pPr>
        <w:rPr>
          <w:rFonts w:eastAsiaTheme="majorEastAsia" w:cs="Arial"/>
          <w:bCs/>
        </w:rPr>
      </w:pPr>
    </w:p>
    <w:p w14:paraId="215E7187" w14:textId="77777777" w:rsidR="00035582" w:rsidRPr="003951E6" w:rsidRDefault="00035582" w:rsidP="00035582">
      <w:pPr>
        <w:tabs>
          <w:tab w:val="left" w:pos="7938"/>
        </w:tabs>
      </w:pPr>
      <w:r w:rsidRPr="003951E6">
        <w:rPr>
          <w:rFonts w:cs="Arial"/>
        </w:rPr>
        <w:t>Final</w:t>
      </w:r>
      <w:r w:rsidRPr="003951E6">
        <w:t xml:space="preserve">mente, y en mérito de lo expuesto en líneas anteriores, resultan fundados los motivos de inconformidad vertidos por </w:t>
      </w:r>
      <w:r w:rsidRPr="003951E6">
        <w:rPr>
          <w:b/>
        </w:rPr>
        <w:t>la Recurrente</w:t>
      </w:r>
      <w:r w:rsidRPr="003951E6">
        <w:t xml:space="preserve">, por ello con fundamento en la </w:t>
      </w:r>
      <w:r w:rsidRPr="003951E6">
        <w:rPr>
          <w:i/>
        </w:rPr>
        <w:t>primera hipótesis</w:t>
      </w:r>
      <w:r w:rsidRPr="003951E6">
        <w:t xml:space="preserve"> del artículo 186, fracción III, de la Ley de Transparencia y Acceso a la Información Pública del Estado de México y Municipios, se </w:t>
      </w:r>
      <w:r w:rsidRPr="003951E6">
        <w:rPr>
          <w:b/>
          <w:bCs/>
        </w:rPr>
        <w:t>REVO</w:t>
      </w:r>
      <w:r w:rsidRPr="003951E6">
        <w:rPr>
          <w:b/>
        </w:rPr>
        <w:t xml:space="preserve">CA </w:t>
      </w:r>
      <w:r w:rsidRPr="003951E6">
        <w:t xml:space="preserve">la respuesta a la solicitud de información </w:t>
      </w:r>
      <w:r w:rsidRPr="00035582">
        <w:rPr>
          <w:b/>
          <w:bCs/>
        </w:rPr>
        <w:t>00003/JOSERIN/IP/2024</w:t>
      </w:r>
      <w:r w:rsidRPr="00035582">
        <w:rPr>
          <w:rFonts w:cs="Arial"/>
          <w:b/>
        </w:rPr>
        <w:t xml:space="preserve">, </w:t>
      </w:r>
      <w:r w:rsidRPr="003951E6">
        <w:t>que ha sido materia del presente fallo.</w:t>
      </w:r>
    </w:p>
    <w:p w14:paraId="1A5171B1" w14:textId="77777777" w:rsidR="00035582" w:rsidRPr="003951E6" w:rsidRDefault="00035582" w:rsidP="00035582">
      <w:pPr>
        <w:tabs>
          <w:tab w:val="left" w:pos="7938"/>
        </w:tabs>
        <w:rPr>
          <w:rFonts w:cs="Arial"/>
        </w:rPr>
      </w:pPr>
    </w:p>
    <w:p w14:paraId="41834979" w14:textId="77777777" w:rsidR="00035582" w:rsidRPr="0048129F" w:rsidRDefault="00035582" w:rsidP="00035582">
      <w:pPr>
        <w:jc w:val="center"/>
        <w:rPr>
          <w:b/>
          <w:bCs/>
          <w:spacing w:val="60"/>
          <w:sz w:val="28"/>
        </w:rPr>
      </w:pPr>
      <w:r w:rsidRPr="0048129F">
        <w:rPr>
          <w:b/>
          <w:bCs/>
          <w:spacing w:val="60"/>
          <w:sz w:val="28"/>
        </w:rPr>
        <w:t>SE    RESUELVE</w:t>
      </w:r>
    </w:p>
    <w:p w14:paraId="64A68D4F" w14:textId="77777777" w:rsidR="00035582" w:rsidRPr="003951E6" w:rsidRDefault="00035582" w:rsidP="00035582">
      <w:pPr>
        <w:rPr>
          <w:rFonts w:cs="Arial"/>
        </w:rPr>
      </w:pPr>
    </w:p>
    <w:p w14:paraId="6487EE2F" w14:textId="77777777" w:rsidR="00035582" w:rsidRPr="003951E6" w:rsidRDefault="00035582" w:rsidP="00035582">
      <w:pPr>
        <w:rPr>
          <w:rFonts w:cs="Arial"/>
          <w:b/>
        </w:rPr>
      </w:pPr>
      <w:r w:rsidRPr="0048129F">
        <w:rPr>
          <w:rFonts w:cs="Arial"/>
          <w:b/>
          <w:sz w:val="28"/>
        </w:rPr>
        <w:t>PRIMERO.</w:t>
      </w:r>
      <w:r w:rsidRPr="0048129F">
        <w:rPr>
          <w:rFonts w:cs="Arial"/>
          <w:sz w:val="28"/>
        </w:rPr>
        <w:t xml:space="preserve"> </w:t>
      </w:r>
      <w:r w:rsidRPr="003951E6">
        <w:rPr>
          <w:rFonts w:eastAsia="Arial Unicode MS" w:cs="Arial"/>
        </w:rPr>
        <w:t>Se</w:t>
      </w:r>
      <w:r w:rsidRPr="003951E6">
        <w:rPr>
          <w:rFonts w:cs="Arial"/>
        </w:rPr>
        <w:t xml:space="preserve"> </w:t>
      </w:r>
      <w:r w:rsidRPr="003951E6">
        <w:rPr>
          <w:rFonts w:cs="Arial"/>
          <w:b/>
          <w:lang w:val="es-419"/>
        </w:rPr>
        <w:t>REVOCA</w:t>
      </w:r>
      <w:r w:rsidRPr="003951E6">
        <w:rPr>
          <w:rFonts w:cs="Arial"/>
        </w:rPr>
        <w:t xml:space="preserve"> </w:t>
      </w:r>
      <w:r w:rsidRPr="003951E6">
        <w:rPr>
          <w:rFonts w:eastAsia="Arial Unicode MS" w:cs="Arial"/>
        </w:rPr>
        <w:t xml:space="preserve">la respuesta entregada por </w:t>
      </w:r>
      <w:r w:rsidRPr="003951E6">
        <w:rPr>
          <w:rFonts w:eastAsia="Arial Unicode MS" w:cs="Arial"/>
          <w:b/>
        </w:rPr>
        <w:t xml:space="preserve">el Sujeto Obligado </w:t>
      </w:r>
      <w:r w:rsidRPr="003951E6">
        <w:rPr>
          <w:rFonts w:eastAsia="Arial Unicode MS" w:cs="Arial"/>
        </w:rPr>
        <w:t xml:space="preserve">a la solicitud de información número </w:t>
      </w:r>
      <w:r w:rsidRPr="00035582">
        <w:rPr>
          <w:b/>
          <w:bCs/>
        </w:rPr>
        <w:t>00003/JOSERIN/IP/2024</w:t>
      </w:r>
      <w:r w:rsidRPr="00035582">
        <w:rPr>
          <w:rFonts w:cs="Arial"/>
          <w:b/>
        </w:rPr>
        <w:t xml:space="preserve">, </w:t>
      </w:r>
      <w:r w:rsidRPr="003951E6">
        <w:rPr>
          <w:rFonts w:cs="Arial"/>
        </w:rPr>
        <w:t xml:space="preserve">al resultar fundadas las razones o motivos de inconformidad que manifestó la recurrente, </w:t>
      </w:r>
      <w:r w:rsidRPr="003951E6">
        <w:rPr>
          <w:rFonts w:eastAsia="Arial Unicode MS" w:cs="Arial"/>
        </w:rPr>
        <w:t xml:space="preserve">en términos del </w:t>
      </w:r>
      <w:r w:rsidRPr="003951E6">
        <w:rPr>
          <w:rFonts w:cs="Arial"/>
        </w:rPr>
        <w:t xml:space="preserve">Considerando </w:t>
      </w:r>
      <w:r w:rsidRPr="003951E6">
        <w:rPr>
          <w:rFonts w:cs="Arial"/>
          <w:b/>
          <w:lang w:val="es-419"/>
        </w:rPr>
        <w:t>CUARTO</w:t>
      </w:r>
      <w:r w:rsidRPr="003951E6">
        <w:rPr>
          <w:rFonts w:cs="Arial"/>
        </w:rPr>
        <w:t xml:space="preserve"> de la presente resolución.</w:t>
      </w:r>
    </w:p>
    <w:p w14:paraId="4DC95CC9" w14:textId="77777777" w:rsidR="00035582" w:rsidRPr="003951E6" w:rsidRDefault="00035582" w:rsidP="00035582">
      <w:pPr>
        <w:rPr>
          <w:rFonts w:cs="Arial"/>
        </w:rPr>
      </w:pPr>
    </w:p>
    <w:p w14:paraId="40F97172" w14:textId="45334A05" w:rsidR="00035582" w:rsidRPr="003951E6" w:rsidRDefault="00035582" w:rsidP="00035582">
      <w:pPr>
        <w:tabs>
          <w:tab w:val="left" w:pos="8647"/>
        </w:tabs>
        <w:ind w:right="51"/>
        <w:rPr>
          <w:rFonts w:cs="Arial"/>
        </w:rPr>
      </w:pPr>
      <w:r w:rsidRPr="0048129F">
        <w:rPr>
          <w:b/>
          <w:sz w:val="28"/>
        </w:rPr>
        <w:t>SEGUNDO.</w:t>
      </w:r>
      <w:r w:rsidRPr="003951E6">
        <w:rPr>
          <w:rFonts w:cs="Arial"/>
        </w:rPr>
        <w:t xml:space="preserve"> Se </w:t>
      </w:r>
      <w:r w:rsidRPr="003951E6">
        <w:rPr>
          <w:rFonts w:cs="Arial"/>
          <w:b/>
        </w:rPr>
        <w:t>ORDENA</w:t>
      </w:r>
      <w:r w:rsidRPr="003951E6">
        <w:rPr>
          <w:rFonts w:cs="Arial"/>
        </w:rPr>
        <w:t xml:space="preserve"> al Sujeto Obligado, haga entrega a la recurrente en términos del Considerando </w:t>
      </w:r>
      <w:r w:rsidRPr="003951E6">
        <w:rPr>
          <w:rFonts w:cs="Arial"/>
          <w:b/>
          <w:lang w:val="es-419"/>
        </w:rPr>
        <w:t>CUARTO</w:t>
      </w:r>
      <w:r w:rsidRPr="003951E6">
        <w:rPr>
          <w:rFonts w:cs="Arial"/>
        </w:rPr>
        <w:t xml:space="preserve"> de la presente resolución, a través del  Sistema de Acceso a la Información Mexiquense </w:t>
      </w:r>
      <w:r w:rsidRPr="003951E6">
        <w:rPr>
          <w:rFonts w:cs="Arial"/>
          <w:b/>
        </w:rPr>
        <w:t>(SAIMEX)</w:t>
      </w:r>
      <w:r w:rsidRPr="003951E6">
        <w:rPr>
          <w:rFonts w:cs="Arial"/>
        </w:rPr>
        <w:t>, de lo siguiente:</w:t>
      </w:r>
    </w:p>
    <w:p w14:paraId="3C8207DE" w14:textId="77777777" w:rsidR="00035582" w:rsidRPr="003951E6" w:rsidRDefault="00035582" w:rsidP="00035582">
      <w:pPr>
        <w:tabs>
          <w:tab w:val="left" w:pos="8647"/>
        </w:tabs>
        <w:ind w:right="51"/>
        <w:rPr>
          <w:rFonts w:cs="Arial"/>
        </w:rPr>
      </w:pPr>
    </w:p>
    <w:p w14:paraId="5BAB7283" w14:textId="3395D1EB" w:rsidR="00B44DA4" w:rsidRDefault="00B44DA4" w:rsidP="00035582">
      <w:pPr>
        <w:pStyle w:val="Prrafodelista"/>
        <w:numPr>
          <w:ilvl w:val="0"/>
          <w:numId w:val="12"/>
        </w:numPr>
        <w:rPr>
          <w:rFonts w:eastAsiaTheme="minorHAnsi" w:cs="TimesNewRomanPS-ItalicMT"/>
          <w:iCs/>
          <w:lang w:val="es-MX" w:eastAsia="en-US"/>
        </w:rPr>
      </w:pPr>
      <w:r>
        <w:rPr>
          <w:rFonts w:eastAsiaTheme="minorHAnsi" w:cs="TimesNewRomanPS-ItalicMT"/>
          <w:iCs/>
          <w:lang w:val="es-MX" w:eastAsia="en-US"/>
        </w:rPr>
        <w:lastRenderedPageBreak/>
        <w:t>La versión pública de los recibos de nómina de la primera y segunda quincena  de diciembre de dos mil veintitrés de los titulares de la Dirección de Desarrollo Social, Dirección de Administración y la Tesorería Municipal.</w:t>
      </w:r>
    </w:p>
    <w:p w14:paraId="0D40B5F7" w14:textId="77777777" w:rsidR="00035582" w:rsidRPr="00B44DA4" w:rsidRDefault="00035582" w:rsidP="00B44DA4">
      <w:pPr>
        <w:ind w:left="360"/>
        <w:rPr>
          <w:rFonts w:eastAsiaTheme="minorHAnsi" w:cs="TimesNewRomanPS-ItalicMT"/>
          <w:iCs/>
          <w:lang w:val="es-MX" w:eastAsia="en-US"/>
        </w:rPr>
      </w:pPr>
    </w:p>
    <w:p w14:paraId="0691804D" w14:textId="78962852" w:rsidR="00035582" w:rsidRPr="00035582" w:rsidRDefault="00035582" w:rsidP="00035582">
      <w:pPr>
        <w:pStyle w:val="Prrafodelista"/>
        <w:numPr>
          <w:ilvl w:val="0"/>
          <w:numId w:val="12"/>
        </w:numPr>
        <w:rPr>
          <w:rFonts w:eastAsiaTheme="minorHAnsi" w:cs="TimesNewRomanPS-ItalicMT"/>
          <w:iCs/>
          <w:lang w:val="es-MX" w:eastAsia="en-US"/>
        </w:rPr>
      </w:pPr>
      <w:r>
        <w:t>El Acuerdo que emita el Comité de Transparencia mediante el que confirme la declaratoria de incompetencia de</w:t>
      </w:r>
      <w:r w:rsidR="00B44DA4">
        <w:t xml:space="preserve"> los </w:t>
      </w:r>
      <w:r w:rsidR="00B44DA4">
        <w:rPr>
          <w:rFonts w:eastAsiaTheme="minorHAnsi" w:cs="TimesNewRomanPS-ItalicMT"/>
          <w:iCs/>
          <w:lang w:val="es-MX" w:eastAsia="en-US"/>
        </w:rPr>
        <w:t>recibos de nómina de la primera y segunda quincena  de diciembre de dos mil veintitrés del Titular del Sistema Municipal para el Desarrollo de la Familia</w:t>
      </w:r>
      <w:r w:rsidR="00B44DA4">
        <w:t>.</w:t>
      </w:r>
    </w:p>
    <w:p w14:paraId="16F3CCF6" w14:textId="77777777" w:rsidR="00035582" w:rsidRPr="003951E6" w:rsidRDefault="00035582" w:rsidP="00035582">
      <w:pPr>
        <w:rPr>
          <w:i/>
          <w:szCs w:val="28"/>
        </w:rPr>
      </w:pPr>
    </w:p>
    <w:p w14:paraId="220ABBAE" w14:textId="77777777" w:rsidR="00035582" w:rsidRPr="003951E6" w:rsidRDefault="00035582" w:rsidP="00035582">
      <w:pPr>
        <w:rPr>
          <w:rFonts w:eastAsia="Palatino Linotype" w:cs="Palatino Linotype"/>
          <w:i/>
        </w:rPr>
      </w:pPr>
      <w:r w:rsidRPr="003951E6">
        <w:rPr>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10CED28A" w14:textId="77777777" w:rsidR="00035582" w:rsidRPr="003951E6" w:rsidRDefault="00035582" w:rsidP="00035582">
      <w:pPr>
        <w:tabs>
          <w:tab w:val="left" w:pos="7938"/>
        </w:tabs>
        <w:rPr>
          <w:rFonts w:cs="Arial"/>
          <w:lang w:val="es-419"/>
        </w:rPr>
      </w:pPr>
    </w:p>
    <w:p w14:paraId="696FA0D1" w14:textId="77777777" w:rsidR="00035582" w:rsidRPr="003951E6" w:rsidRDefault="00035582" w:rsidP="00035582">
      <w:pPr>
        <w:tabs>
          <w:tab w:val="left" w:pos="8647"/>
        </w:tabs>
        <w:ind w:right="51"/>
        <w:rPr>
          <w:rFonts w:cs="Arial"/>
        </w:rPr>
      </w:pPr>
      <w:r w:rsidRPr="003951E6">
        <w:rPr>
          <w:rFonts w:cs="Arial"/>
          <w:b/>
          <w:sz w:val="28"/>
        </w:rPr>
        <w:t>TERCERO</w:t>
      </w:r>
      <w:r w:rsidRPr="003951E6">
        <w:rPr>
          <w:rFonts w:cs="Arial"/>
          <w:b/>
        </w:rPr>
        <w:t>.</w:t>
      </w:r>
      <w:r w:rsidRPr="003951E6">
        <w:rPr>
          <w:rFonts w:cs="Arial"/>
        </w:rPr>
        <w:t xml:space="preserve"> </w:t>
      </w:r>
      <w:r w:rsidRPr="003951E6">
        <w:rPr>
          <w:rFonts w:cs="Arial"/>
          <w:b/>
          <w:bCs/>
          <w:szCs w:val="28"/>
        </w:rPr>
        <w:t>Notifíquese</w:t>
      </w:r>
      <w:r w:rsidRPr="003951E6">
        <w:rPr>
          <w:rFonts w:cs="Arial"/>
          <w:bCs/>
          <w:szCs w:val="28"/>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7963F7" w14:textId="77777777" w:rsidR="00035582" w:rsidRPr="003951E6" w:rsidRDefault="00035582" w:rsidP="00035582">
      <w:pPr>
        <w:tabs>
          <w:tab w:val="left" w:pos="8647"/>
        </w:tabs>
        <w:ind w:right="51"/>
        <w:rPr>
          <w:rFonts w:cs="Arial"/>
        </w:rPr>
      </w:pPr>
    </w:p>
    <w:p w14:paraId="1DFCE61B" w14:textId="77777777" w:rsidR="00035582" w:rsidRPr="003951E6" w:rsidRDefault="00035582" w:rsidP="00035582">
      <w:pPr>
        <w:rPr>
          <w:lang w:eastAsia="es-ES_tradnl"/>
        </w:rPr>
      </w:pPr>
      <w:r w:rsidRPr="003951E6">
        <w:rPr>
          <w:rFonts w:cs="Arial"/>
          <w:b/>
          <w:sz w:val="28"/>
        </w:rPr>
        <w:t>CUARTO</w:t>
      </w:r>
      <w:r w:rsidRPr="003951E6">
        <w:rPr>
          <w:rFonts w:cs="Arial"/>
          <w:b/>
        </w:rPr>
        <w:t xml:space="preserve">. </w:t>
      </w:r>
      <w:r w:rsidRPr="003951E6">
        <w:rPr>
          <w:rFonts w:cs="Ari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3951E6">
        <w:rPr>
          <w:lang w:eastAsia="es-ES_tradnl"/>
        </w:rPr>
        <w:t>.</w:t>
      </w:r>
    </w:p>
    <w:p w14:paraId="0A145887" w14:textId="77777777" w:rsidR="00035582" w:rsidRPr="003951E6" w:rsidRDefault="00035582" w:rsidP="00035582">
      <w:pPr>
        <w:autoSpaceDE w:val="0"/>
        <w:autoSpaceDN w:val="0"/>
        <w:adjustRightInd w:val="0"/>
        <w:rPr>
          <w:rFonts w:cs="Arial"/>
        </w:rPr>
      </w:pPr>
    </w:p>
    <w:p w14:paraId="4994E7CB" w14:textId="77777777" w:rsidR="00035582" w:rsidRPr="003951E6" w:rsidRDefault="00035582" w:rsidP="00035582">
      <w:pPr>
        <w:pStyle w:val="Sinespaciado"/>
        <w:spacing w:line="360" w:lineRule="auto"/>
        <w:jc w:val="both"/>
        <w:rPr>
          <w:rFonts w:ascii="Palatino Linotype" w:hAnsi="Palatino Linotype"/>
        </w:rPr>
      </w:pPr>
      <w:r w:rsidRPr="003951E6">
        <w:rPr>
          <w:rFonts w:ascii="Palatino Linotype" w:hAnsi="Palatino Linotype"/>
          <w:b/>
          <w:sz w:val="28"/>
          <w:szCs w:val="28"/>
        </w:rPr>
        <w:t>QUINTO</w:t>
      </w:r>
      <w:r w:rsidRPr="003951E6">
        <w:rPr>
          <w:rFonts w:ascii="Palatino Linotype" w:hAnsi="Palatino Linotype"/>
          <w:b/>
        </w:rPr>
        <w:t xml:space="preserve">. </w:t>
      </w:r>
      <w:r w:rsidRPr="003951E6">
        <w:rPr>
          <w:rFonts w:ascii="Palatino Linotype" w:hAnsi="Palatino Linotype" w:cs="Arial"/>
          <w:b/>
        </w:rPr>
        <w:t>Notifíquese</w:t>
      </w:r>
      <w:r w:rsidRPr="003951E6">
        <w:rPr>
          <w:rFonts w:ascii="Palatino Linotype" w:hAnsi="Palatino Linotype" w:cs="Arial"/>
        </w:rPr>
        <w:t xml:space="preserve"> </w:t>
      </w:r>
      <w:r w:rsidRPr="003951E6">
        <w:rPr>
          <w:rFonts w:ascii="Palatino Linotype" w:hAnsi="Palatino Linotype" w:cs="Arial"/>
          <w:b/>
        </w:rPr>
        <w:t>a la Recurrente</w:t>
      </w:r>
      <w:r w:rsidRPr="003951E6">
        <w:rPr>
          <w:rFonts w:ascii="Palatino Linotype" w:hAnsi="Palatino Linotype" w:cs="Arial"/>
        </w:rPr>
        <w:t xml:space="preserve"> la presente resolución a través del Sistema de Acceso a la Información Mexiquense </w:t>
      </w:r>
      <w:r w:rsidRPr="003951E6">
        <w:rPr>
          <w:rFonts w:ascii="Palatino Linotype" w:hAnsi="Palatino Linotype" w:cs="Arial"/>
          <w:b/>
        </w:rPr>
        <w:t>(SAIMEX)</w:t>
      </w:r>
      <w:r w:rsidRPr="003951E6">
        <w:rPr>
          <w:rFonts w:ascii="Palatino Linotype" w:hAnsi="Palatino Linotype" w:cs="Arial"/>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708D2BC9" w14:textId="77777777" w:rsidR="00035582" w:rsidRPr="003951E6" w:rsidRDefault="00035582" w:rsidP="00035582">
      <w:pPr>
        <w:rPr>
          <w:rFonts w:eastAsiaTheme="minorHAnsi" w:cstheme="minorBidi"/>
          <w:lang w:val="es-MX" w:eastAsia="en-US"/>
        </w:rPr>
      </w:pPr>
    </w:p>
    <w:p w14:paraId="7C6944EC" w14:textId="77777777" w:rsidR="0077504A" w:rsidRDefault="0077504A" w:rsidP="005168D8">
      <w:pPr>
        <w:rPr>
          <w:rFonts w:cs="Arial"/>
          <w:szCs w:val="24"/>
        </w:rPr>
      </w:pPr>
    </w:p>
    <w:p w14:paraId="4BC75595" w14:textId="76DA0EB0" w:rsidR="005168D8" w:rsidRDefault="005168D8" w:rsidP="00EE72FB">
      <w:pPr>
        <w:rPr>
          <w:rFonts w:cs="Arial"/>
          <w:sz w:val="20"/>
        </w:rPr>
      </w:pPr>
      <w:r>
        <w:rPr>
          <w:rFonts w:cs="Arial"/>
          <w:szCs w:val="24"/>
        </w:rPr>
        <w:t>ASÍ LO RESUELVE, POR UNANIMIDAD DE VOTOS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xml:space="preserve">, CONFORMADO POR LOS COMISIONADOS JOSÉ MARTÍNEZ VILCHIS, MARÍA DEL ROSARIO MEJÍA AYALA, SHARON CRISTINA MORALES MARTÍNEZ, LUIS GUSTAVO PARRA NORIEGA Y GUADALUPE RAMÍREZ PEÑA, EN LA </w:t>
      </w:r>
      <w:r w:rsidR="00756B67">
        <w:rPr>
          <w:rFonts w:cs="Arial"/>
          <w:szCs w:val="24"/>
        </w:rPr>
        <w:t>NOVENA SESIÓN ORDINARIA CELEBRADA EL TRECE DE MARZO DE DOS MIL VINTICUATRO</w:t>
      </w:r>
      <w:r>
        <w:rPr>
          <w:rFonts w:cs="Arial"/>
          <w:szCs w:val="24"/>
        </w:rPr>
        <w:t xml:space="preserve">, ANTE EL SECRETARIO TÉCNICO DEL PLENO, ALEXIS TAPIA RAMÍREZ. </w:t>
      </w:r>
      <w:r w:rsidR="00EE72FB">
        <w:rPr>
          <w:rFonts w:cs="Arial"/>
          <w:szCs w:val="24"/>
        </w:rPr>
        <w:t>------------------------------------------------------------------------------------------------------------------------------------------------</w:t>
      </w:r>
    </w:p>
    <w:p w14:paraId="392B126A" w14:textId="77777777" w:rsidR="005168D8" w:rsidRDefault="005168D8" w:rsidP="005168D8">
      <w:pPr>
        <w:rPr>
          <w:rFonts w:cs="Arial"/>
          <w:sz w:val="20"/>
        </w:rPr>
      </w:pPr>
      <w:r>
        <w:rPr>
          <w:rFonts w:cs="Arial"/>
          <w:sz w:val="20"/>
        </w:rPr>
        <w:t>JMV/CCR/NJMB</w:t>
      </w:r>
    </w:p>
    <w:p w14:paraId="446E4BD1" w14:textId="77777777" w:rsidR="005168D8" w:rsidRDefault="005168D8" w:rsidP="005168D8">
      <w:pPr>
        <w:rPr>
          <w:rFonts w:cs="Arial"/>
          <w:sz w:val="20"/>
        </w:rPr>
      </w:pPr>
    </w:p>
    <w:p w14:paraId="565F6C90" w14:textId="77777777" w:rsidR="005168D8" w:rsidRDefault="005168D8" w:rsidP="005168D8">
      <w:pPr>
        <w:rPr>
          <w:rFonts w:cs="Arial"/>
          <w:sz w:val="20"/>
        </w:rPr>
      </w:pPr>
    </w:p>
    <w:p w14:paraId="25D4AFC6"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6B680223"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1026F64C"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41C38592"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04E80237"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53A9B918"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312EA1A4"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64FBD4D6"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2C2101CA"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094E7961"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22932D4C"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033D72C9"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67694902"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4D22B037"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46CEFA55"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0D666C3E"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2D534670"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6EC20E34"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25A7C0BA"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2F995F56"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29EB2FD3"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3E96735D" w14:textId="77777777" w:rsidR="005168D8" w:rsidRDefault="005168D8" w:rsidP="005168D8">
      <w:pPr>
        <w:pBdr>
          <w:top w:val="nil"/>
          <w:left w:val="nil"/>
          <w:bottom w:val="nil"/>
          <w:right w:val="nil"/>
          <w:between w:val="nil"/>
        </w:pBdr>
        <w:contextualSpacing/>
        <w:rPr>
          <w:rFonts w:eastAsia="Palatino Linotype" w:cs="Palatino Linotype"/>
          <w:color w:val="000000"/>
          <w:sz w:val="20"/>
          <w:szCs w:val="20"/>
        </w:rPr>
      </w:pPr>
    </w:p>
    <w:p w14:paraId="2CD49C17" w14:textId="77777777" w:rsidR="005168D8" w:rsidRPr="004B7011" w:rsidRDefault="005168D8" w:rsidP="005168D8">
      <w:pPr>
        <w:pBdr>
          <w:top w:val="nil"/>
          <w:left w:val="nil"/>
          <w:bottom w:val="nil"/>
          <w:right w:val="nil"/>
          <w:between w:val="nil"/>
        </w:pBdr>
        <w:ind w:left="708" w:hanging="708"/>
        <w:contextualSpacing/>
        <w:rPr>
          <w:rFonts w:eastAsia="Palatino Linotype" w:cs="Palatino Linotype"/>
          <w:color w:val="000000"/>
          <w:sz w:val="20"/>
          <w:szCs w:val="20"/>
        </w:rPr>
      </w:pPr>
    </w:p>
    <w:p w14:paraId="7374E802" w14:textId="77777777" w:rsidR="005168D8" w:rsidRPr="004B7011" w:rsidRDefault="005168D8" w:rsidP="005168D8">
      <w:pPr>
        <w:pBdr>
          <w:top w:val="nil"/>
          <w:left w:val="nil"/>
          <w:bottom w:val="nil"/>
          <w:right w:val="nil"/>
          <w:between w:val="nil"/>
        </w:pBdr>
        <w:contextualSpacing/>
        <w:rPr>
          <w:rFonts w:eastAsia="Palatino Linotype" w:cs="Palatino Linotype"/>
          <w:color w:val="000000"/>
          <w:sz w:val="20"/>
          <w:szCs w:val="20"/>
        </w:rPr>
      </w:pPr>
    </w:p>
    <w:p w14:paraId="66F583C5" w14:textId="77777777" w:rsidR="005168D8" w:rsidRPr="004B7011" w:rsidRDefault="005168D8" w:rsidP="005168D8">
      <w:pPr>
        <w:pBdr>
          <w:top w:val="nil"/>
          <w:left w:val="nil"/>
          <w:bottom w:val="nil"/>
          <w:right w:val="nil"/>
          <w:between w:val="nil"/>
        </w:pBdr>
        <w:contextualSpacing/>
        <w:rPr>
          <w:rFonts w:eastAsia="Palatino Linotype" w:cs="Palatino Linotype"/>
          <w:color w:val="000000"/>
          <w:sz w:val="20"/>
          <w:szCs w:val="20"/>
        </w:rPr>
      </w:pPr>
    </w:p>
    <w:p w14:paraId="73CCFDE5" w14:textId="77777777" w:rsidR="005168D8" w:rsidRPr="004B7011" w:rsidRDefault="005168D8" w:rsidP="005168D8">
      <w:pPr>
        <w:pBdr>
          <w:top w:val="nil"/>
          <w:left w:val="nil"/>
          <w:bottom w:val="nil"/>
          <w:right w:val="nil"/>
          <w:between w:val="nil"/>
        </w:pBdr>
        <w:contextualSpacing/>
        <w:rPr>
          <w:rFonts w:eastAsia="Palatino Linotype" w:cs="Palatino Linotype"/>
          <w:color w:val="000000"/>
          <w:sz w:val="20"/>
          <w:szCs w:val="20"/>
        </w:rPr>
      </w:pPr>
    </w:p>
    <w:p w14:paraId="1A353886" w14:textId="77777777" w:rsidR="005168D8" w:rsidRPr="004B7011" w:rsidRDefault="005168D8" w:rsidP="005168D8">
      <w:pPr>
        <w:pBdr>
          <w:top w:val="nil"/>
          <w:left w:val="nil"/>
          <w:bottom w:val="nil"/>
          <w:right w:val="nil"/>
          <w:between w:val="nil"/>
        </w:pBdr>
        <w:contextualSpacing/>
        <w:rPr>
          <w:rFonts w:eastAsia="Palatino Linotype" w:cs="Palatino Linotype"/>
          <w:color w:val="000000"/>
          <w:sz w:val="20"/>
          <w:szCs w:val="20"/>
        </w:rPr>
      </w:pPr>
    </w:p>
    <w:p w14:paraId="06C629C0" w14:textId="77777777" w:rsidR="005168D8" w:rsidRDefault="005168D8" w:rsidP="005168D8"/>
    <w:p w14:paraId="7B3C5FA5" w14:textId="77777777" w:rsidR="0002066B" w:rsidRDefault="0002066B"/>
    <w:sectPr w:rsidR="0002066B" w:rsidSect="0077504A">
      <w:headerReference w:type="even" r:id="rId15"/>
      <w:headerReference w:type="default" r:id="rId16"/>
      <w:footerReference w:type="default" r:id="rId17"/>
      <w:headerReference w:type="first" r:id="rId18"/>
      <w:footerReference w:type="first" r:id="rId19"/>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B89B0" w14:textId="77777777" w:rsidR="00A82D86" w:rsidRDefault="00A82D86" w:rsidP="005168D8">
      <w:pPr>
        <w:spacing w:line="240" w:lineRule="auto"/>
      </w:pPr>
      <w:r>
        <w:separator/>
      </w:r>
    </w:p>
  </w:endnote>
  <w:endnote w:type="continuationSeparator" w:id="0">
    <w:p w14:paraId="6D6E7504" w14:textId="77777777" w:rsidR="00A82D86" w:rsidRDefault="00A82D86" w:rsidP="00516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F082" w14:textId="77777777" w:rsidR="00CD70FF" w:rsidRPr="00871A91" w:rsidRDefault="00CD70FF" w:rsidP="0077504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D6CC6">
      <w:rPr>
        <w:rFonts w:ascii="Palatino Linotype" w:hAnsi="Palatino Linotype"/>
        <w:b/>
        <w:bCs/>
        <w:noProof/>
        <w:sz w:val="20"/>
      </w:rPr>
      <w:t>22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D6CC6">
      <w:rPr>
        <w:rFonts w:ascii="Palatino Linotype" w:hAnsi="Palatino Linotype"/>
        <w:b/>
        <w:bCs/>
        <w:noProof/>
        <w:sz w:val="20"/>
      </w:rPr>
      <w:t>58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228BF" w14:textId="77777777" w:rsidR="00CD70FF" w:rsidRPr="00871A91" w:rsidRDefault="00CD70FF" w:rsidP="0077504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D6CC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D6CC6">
      <w:rPr>
        <w:rFonts w:ascii="Palatino Linotype" w:hAnsi="Palatino Linotype"/>
        <w:b/>
        <w:bCs/>
        <w:noProof/>
        <w:sz w:val="20"/>
      </w:rPr>
      <w:t>58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AFF4C" w14:textId="77777777" w:rsidR="00A82D86" w:rsidRDefault="00A82D86" w:rsidP="005168D8">
      <w:pPr>
        <w:spacing w:line="240" w:lineRule="auto"/>
      </w:pPr>
      <w:r>
        <w:separator/>
      </w:r>
    </w:p>
  </w:footnote>
  <w:footnote w:type="continuationSeparator" w:id="0">
    <w:p w14:paraId="7681FD66" w14:textId="77777777" w:rsidR="00A82D86" w:rsidRDefault="00A82D86" w:rsidP="005168D8">
      <w:pPr>
        <w:spacing w:line="240" w:lineRule="auto"/>
      </w:pPr>
      <w:r>
        <w:continuationSeparator/>
      </w:r>
    </w:p>
  </w:footnote>
  <w:footnote w:id="1">
    <w:p w14:paraId="1B9E71B9" w14:textId="77777777" w:rsidR="00CD70FF" w:rsidRPr="002777D8" w:rsidRDefault="00CD70FF" w:rsidP="005168D8">
      <w:pPr>
        <w:ind w:right="49"/>
        <w:rPr>
          <w:rFonts w:eastAsiaTheme="minorHAnsi" w:cstheme="minorBidi"/>
          <w:b/>
          <w:bCs/>
          <w:i/>
          <w:sz w:val="16"/>
          <w:lang w:val="es-MX"/>
        </w:rPr>
      </w:pPr>
      <w:r>
        <w:rPr>
          <w:rStyle w:val="Refdenotaalpie"/>
        </w:rPr>
        <w:footnoteRef/>
      </w:r>
      <w:r>
        <w:t xml:space="preserve"> </w:t>
      </w:r>
      <w:r w:rsidRPr="002777D8">
        <w:rPr>
          <w:rFonts w:eastAsiaTheme="minorHAnsi" w:cstheme="minorBidi"/>
          <w:b/>
          <w:bCs/>
          <w:i/>
          <w:sz w:val="16"/>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287D7796" w14:textId="77777777" w:rsidR="00CD70FF" w:rsidRPr="002777D8" w:rsidRDefault="00CD70FF" w:rsidP="005168D8">
      <w:pPr>
        <w:autoSpaceDE w:val="0"/>
        <w:autoSpaceDN w:val="0"/>
        <w:adjustRightInd w:val="0"/>
        <w:ind w:right="49"/>
        <w:rPr>
          <w:i/>
          <w:sz w:val="16"/>
        </w:rPr>
      </w:pPr>
    </w:p>
    <w:p w14:paraId="706183DD" w14:textId="77777777" w:rsidR="00CD70FF" w:rsidRPr="002777D8" w:rsidRDefault="00CD70FF" w:rsidP="005168D8">
      <w:pPr>
        <w:autoSpaceDE w:val="0"/>
        <w:autoSpaceDN w:val="0"/>
        <w:adjustRightInd w:val="0"/>
        <w:ind w:right="49"/>
        <w:rPr>
          <w:rFonts w:cs="Arial"/>
          <w:sz w:val="16"/>
        </w:rPr>
      </w:pPr>
      <w:r w:rsidRPr="002777D8">
        <w:rPr>
          <w:i/>
          <w:sz w:val="16"/>
        </w:rPr>
        <w:t>Del examen de compatibilidad de los artículos </w:t>
      </w:r>
      <w:hyperlink r:id="rId1" w:history="1">
        <w:r w:rsidRPr="002777D8">
          <w:rPr>
            <w:i/>
            <w:color w:val="0563C1" w:themeColor="hyperlink"/>
            <w:sz w:val="16"/>
            <w:u w:val="single"/>
          </w:rPr>
          <w:t>73 y 74 de la Ley de Amparo</w:t>
        </w:r>
      </w:hyperlink>
      <w:r w:rsidRPr="002777D8">
        <w:rPr>
          <w:i/>
          <w:sz w:val="16"/>
        </w:rPr>
        <w:t> con el artículo </w:t>
      </w:r>
      <w:hyperlink r:id="rId2" w:history="1">
        <w:r w:rsidRPr="002777D8">
          <w:rPr>
            <w:i/>
            <w:color w:val="0563C1" w:themeColor="hyperlink"/>
            <w:sz w:val="16"/>
            <w:u w:val="single"/>
          </w:rPr>
          <w:t>25.1 de la Convención Americana sobre Derechos Humanos</w:t>
        </w:r>
      </w:hyperlink>
      <w:r w:rsidRPr="002777D8">
        <w:rPr>
          <w:i/>
          <w:sz w:val="16"/>
        </w:rPr>
        <w:t> </w:t>
      </w:r>
      <w:r w:rsidRPr="002777D8">
        <w:rPr>
          <w:b/>
          <w:i/>
          <w:sz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2777D8">
        <w:rPr>
          <w:i/>
          <w:sz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80CB556" w14:textId="77777777" w:rsidR="00CD70FF" w:rsidRPr="008A64CB" w:rsidRDefault="00CD70FF" w:rsidP="005168D8">
      <w:pPr>
        <w:pStyle w:val="Textonotapie"/>
        <w:rPr>
          <w:lang w:val="es-MX"/>
        </w:rPr>
      </w:pPr>
    </w:p>
  </w:footnote>
  <w:footnote w:id="2">
    <w:p w14:paraId="4A958E6A" w14:textId="77777777" w:rsidR="00CD70FF" w:rsidRPr="00D4288F" w:rsidRDefault="00CD70FF" w:rsidP="0077504A">
      <w:pPr>
        <w:pStyle w:val="Textonotapie"/>
        <w:rPr>
          <w:rFonts w:ascii="Palatino Linotype" w:hAnsi="Palatino Linotype"/>
          <w:i/>
          <w:sz w:val="18"/>
          <w:szCs w:val="18"/>
        </w:rPr>
      </w:pPr>
      <w:r>
        <w:rPr>
          <w:rStyle w:val="Refdenotaalpie"/>
        </w:rPr>
        <w:footnoteRef/>
      </w:r>
      <w:r>
        <w:t xml:space="preserve"> </w:t>
      </w:r>
      <w:r w:rsidRPr="00D4288F">
        <w:rPr>
          <w:rFonts w:ascii="Palatino Linotype" w:hAnsi="Palatino Linotype"/>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E5A7" w14:textId="77777777" w:rsidR="00CD70FF" w:rsidRDefault="00CD6CC6">
    <w:pPr>
      <w:pStyle w:val="Encabezado"/>
    </w:pPr>
    <w:r>
      <w:rPr>
        <w:noProof/>
        <w:lang w:val="es-MX" w:eastAsia="es-MX"/>
      </w:rPr>
      <w:pict w14:anchorId="0723C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D70FF" w:rsidRPr="00B17577" w14:paraId="5FBDE3A2" w14:textId="77777777" w:rsidTr="0077504A">
      <w:trPr>
        <w:trHeight w:val="227"/>
      </w:trPr>
      <w:tc>
        <w:tcPr>
          <w:tcW w:w="5103" w:type="dxa"/>
          <w:hideMark/>
        </w:tcPr>
        <w:p w14:paraId="26DC0E32" w14:textId="77777777" w:rsidR="00CD70FF" w:rsidRPr="00096248" w:rsidRDefault="00CD70FF" w:rsidP="0077504A">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6319617D" w14:textId="77777777" w:rsidR="00CD70FF" w:rsidRPr="00096248" w:rsidRDefault="00CD70FF" w:rsidP="0077504A">
          <w:pPr>
            <w:spacing w:after="120" w:line="240" w:lineRule="auto"/>
            <w:ind w:right="71"/>
            <w:jc w:val="right"/>
            <w:rPr>
              <w:rFonts w:cs="Arial"/>
              <w:b/>
              <w:szCs w:val="24"/>
            </w:rPr>
          </w:pPr>
          <w:r>
            <w:rPr>
              <w:rFonts w:cs="Arial"/>
              <w:b/>
              <w:bCs/>
              <w:szCs w:val="24"/>
            </w:rPr>
            <w:t>00830</w:t>
          </w:r>
          <w:r w:rsidRPr="00096248">
            <w:rPr>
              <w:rFonts w:cs="Arial"/>
              <w:b/>
              <w:bCs/>
              <w:szCs w:val="24"/>
            </w:rPr>
            <w:t>/INFOEM/IP/RR/202</w:t>
          </w:r>
          <w:r>
            <w:rPr>
              <w:rFonts w:cs="Arial"/>
              <w:b/>
              <w:bCs/>
              <w:szCs w:val="24"/>
            </w:rPr>
            <w:t>4</w:t>
          </w:r>
        </w:p>
      </w:tc>
    </w:tr>
    <w:tr w:rsidR="00CD70FF" w14:paraId="490D05E4" w14:textId="77777777" w:rsidTr="0077504A">
      <w:trPr>
        <w:trHeight w:val="242"/>
      </w:trPr>
      <w:tc>
        <w:tcPr>
          <w:tcW w:w="5103" w:type="dxa"/>
          <w:hideMark/>
        </w:tcPr>
        <w:p w14:paraId="12D294EC" w14:textId="77777777" w:rsidR="00CD70FF" w:rsidRPr="00096248" w:rsidRDefault="00CD70FF" w:rsidP="0077504A">
          <w:pPr>
            <w:spacing w:after="120" w:line="240" w:lineRule="auto"/>
            <w:ind w:right="69"/>
            <w:jc w:val="right"/>
            <w:rPr>
              <w:rFonts w:cs="Arial"/>
              <w:b/>
              <w:szCs w:val="24"/>
            </w:rPr>
          </w:pPr>
          <w:r w:rsidRPr="00096248">
            <w:rPr>
              <w:rFonts w:cs="Arial"/>
              <w:b/>
              <w:szCs w:val="24"/>
            </w:rPr>
            <w:t>Sujeto Obligado:</w:t>
          </w:r>
        </w:p>
      </w:tc>
      <w:tc>
        <w:tcPr>
          <w:tcW w:w="4395" w:type="dxa"/>
          <w:hideMark/>
        </w:tcPr>
        <w:p w14:paraId="33A7D7C2" w14:textId="77777777" w:rsidR="00CD70FF" w:rsidRPr="00096248" w:rsidRDefault="00CD70FF" w:rsidP="0077504A">
          <w:pPr>
            <w:spacing w:after="120" w:line="240" w:lineRule="auto"/>
            <w:ind w:left="-81" w:right="71"/>
            <w:jc w:val="right"/>
            <w:rPr>
              <w:rFonts w:cs="Arial"/>
              <w:szCs w:val="24"/>
            </w:rPr>
          </w:pPr>
          <w:r>
            <w:rPr>
              <w:rFonts w:cs="Arial"/>
              <w:szCs w:val="24"/>
            </w:rPr>
            <w:t>Ayuntamiento de San José del Rincón</w:t>
          </w:r>
        </w:p>
      </w:tc>
    </w:tr>
    <w:tr w:rsidR="00CD70FF" w:rsidRPr="00F63239" w14:paraId="2E98E2D1" w14:textId="77777777" w:rsidTr="0077504A">
      <w:trPr>
        <w:trHeight w:val="342"/>
      </w:trPr>
      <w:tc>
        <w:tcPr>
          <w:tcW w:w="5103" w:type="dxa"/>
          <w:hideMark/>
        </w:tcPr>
        <w:p w14:paraId="13A7E28F" w14:textId="77777777" w:rsidR="00CD70FF" w:rsidRPr="00096248" w:rsidRDefault="00CD70FF" w:rsidP="0077504A">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AAB3C8D" w14:textId="77777777" w:rsidR="00CD70FF" w:rsidRDefault="00CD70FF" w:rsidP="0077504A">
          <w:pPr>
            <w:spacing w:after="120" w:line="240" w:lineRule="auto"/>
            <w:ind w:left="-486" w:right="71" w:firstLine="567"/>
            <w:jc w:val="right"/>
            <w:rPr>
              <w:rFonts w:cs="Arial"/>
              <w:szCs w:val="24"/>
            </w:rPr>
          </w:pPr>
          <w:r w:rsidRPr="00096248">
            <w:rPr>
              <w:rFonts w:cs="Arial"/>
              <w:szCs w:val="24"/>
            </w:rPr>
            <w:t>José Martínez Vilchis</w:t>
          </w:r>
        </w:p>
        <w:p w14:paraId="063EB455" w14:textId="77777777" w:rsidR="00CD70FF" w:rsidRPr="00711916" w:rsidRDefault="00CD70FF" w:rsidP="0077504A">
          <w:pPr>
            <w:spacing w:after="120" w:line="240" w:lineRule="auto"/>
            <w:ind w:left="-486" w:right="71" w:firstLine="567"/>
            <w:jc w:val="right"/>
            <w:rPr>
              <w:rFonts w:cs="Arial"/>
              <w:sz w:val="2"/>
              <w:szCs w:val="2"/>
            </w:rPr>
          </w:pPr>
        </w:p>
      </w:tc>
    </w:tr>
  </w:tbl>
  <w:p w14:paraId="3A423FC5" w14:textId="77777777" w:rsidR="00CD70FF" w:rsidRPr="00871A91" w:rsidRDefault="00CD6CC6">
    <w:pPr>
      <w:pStyle w:val="Encabezado"/>
      <w:rPr>
        <w:sz w:val="2"/>
      </w:rPr>
    </w:pPr>
    <w:r>
      <w:rPr>
        <w:noProof/>
        <w:lang w:val="es-MX" w:eastAsia="es-MX"/>
      </w:rPr>
      <w:pict w14:anchorId="0389D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CD70F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70" w:type="dxa"/>
        <w:right w:w="70" w:type="dxa"/>
      </w:tblCellMar>
      <w:tblLook w:val="04A0" w:firstRow="1" w:lastRow="0" w:firstColumn="1" w:lastColumn="0" w:noHBand="0" w:noVBand="1"/>
    </w:tblPr>
    <w:tblGrid>
      <w:gridCol w:w="5103"/>
      <w:gridCol w:w="4536"/>
    </w:tblGrid>
    <w:tr w:rsidR="00CD70FF" w14:paraId="2D530C08" w14:textId="77777777" w:rsidTr="0077504A">
      <w:trPr>
        <w:trHeight w:val="227"/>
      </w:trPr>
      <w:tc>
        <w:tcPr>
          <w:tcW w:w="5103" w:type="dxa"/>
          <w:hideMark/>
        </w:tcPr>
        <w:p w14:paraId="42BDD232" w14:textId="77777777" w:rsidR="00CD70FF" w:rsidRPr="00663A37" w:rsidRDefault="00CD70FF" w:rsidP="0077504A">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536" w:type="dxa"/>
          <w:hideMark/>
        </w:tcPr>
        <w:p w14:paraId="073592F2" w14:textId="77777777" w:rsidR="00CD70FF" w:rsidRPr="001776EC" w:rsidRDefault="00CD70FF" w:rsidP="0077504A">
          <w:pPr>
            <w:spacing w:after="120" w:line="240" w:lineRule="auto"/>
            <w:ind w:left="-486" w:right="68" w:firstLine="558"/>
            <w:jc w:val="right"/>
            <w:rPr>
              <w:rFonts w:cs="Arial"/>
              <w:b/>
              <w:bCs/>
              <w:szCs w:val="24"/>
            </w:rPr>
          </w:pPr>
          <w:r>
            <w:rPr>
              <w:rFonts w:cs="Arial"/>
              <w:b/>
              <w:bCs/>
              <w:szCs w:val="24"/>
            </w:rPr>
            <w:t>00830/INFOEM/IP/RR/2024</w:t>
          </w:r>
        </w:p>
      </w:tc>
    </w:tr>
    <w:tr w:rsidR="00CD70FF" w:rsidRPr="001F57CD" w14:paraId="3BA2DF59" w14:textId="77777777" w:rsidTr="0077504A">
      <w:trPr>
        <w:trHeight w:val="196"/>
      </w:trPr>
      <w:tc>
        <w:tcPr>
          <w:tcW w:w="5103" w:type="dxa"/>
          <w:hideMark/>
        </w:tcPr>
        <w:p w14:paraId="660158A2" w14:textId="77777777" w:rsidR="00CD70FF" w:rsidRPr="00663A37" w:rsidRDefault="00CD70FF" w:rsidP="0077504A">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536" w:type="dxa"/>
          <w:hideMark/>
        </w:tcPr>
        <w:p w14:paraId="5CB234DD" w14:textId="7F02DC77" w:rsidR="00CD70FF" w:rsidRPr="00663A37" w:rsidRDefault="00CD6CC6" w:rsidP="0077504A">
          <w:pPr>
            <w:spacing w:after="120" w:line="240" w:lineRule="auto"/>
            <w:ind w:right="68"/>
            <w:jc w:val="right"/>
            <w:rPr>
              <w:rFonts w:cs="Arial"/>
              <w:szCs w:val="24"/>
            </w:rPr>
          </w:pPr>
          <w:r>
            <w:rPr>
              <w:rFonts w:cs="Arial"/>
              <w:szCs w:val="24"/>
            </w:rPr>
            <w:t>XXXXXX</w:t>
          </w:r>
        </w:p>
      </w:tc>
    </w:tr>
    <w:tr w:rsidR="00CD70FF" w14:paraId="388600F2" w14:textId="77777777" w:rsidTr="0077504A">
      <w:trPr>
        <w:trHeight w:val="242"/>
      </w:trPr>
      <w:tc>
        <w:tcPr>
          <w:tcW w:w="5103" w:type="dxa"/>
          <w:hideMark/>
        </w:tcPr>
        <w:p w14:paraId="725F23BC" w14:textId="77777777" w:rsidR="00CD70FF" w:rsidRPr="00663A37" w:rsidRDefault="00CD70FF" w:rsidP="0077504A">
          <w:pPr>
            <w:spacing w:after="120" w:line="240" w:lineRule="auto"/>
            <w:ind w:right="68"/>
            <w:jc w:val="right"/>
            <w:rPr>
              <w:rFonts w:cs="Arial"/>
              <w:b/>
              <w:szCs w:val="24"/>
            </w:rPr>
          </w:pPr>
          <w:r w:rsidRPr="00663A37">
            <w:rPr>
              <w:rFonts w:cs="Arial"/>
              <w:b/>
              <w:szCs w:val="24"/>
            </w:rPr>
            <w:t>Sujeto Obligado:</w:t>
          </w:r>
        </w:p>
      </w:tc>
      <w:tc>
        <w:tcPr>
          <w:tcW w:w="4536" w:type="dxa"/>
          <w:hideMark/>
        </w:tcPr>
        <w:p w14:paraId="46EACB4C" w14:textId="77777777" w:rsidR="00CD70FF" w:rsidRPr="00663A37" w:rsidRDefault="00CD70FF" w:rsidP="0077504A">
          <w:pPr>
            <w:spacing w:after="120" w:line="240" w:lineRule="auto"/>
            <w:ind w:left="-70" w:right="68"/>
            <w:jc w:val="right"/>
            <w:rPr>
              <w:rFonts w:cs="Arial"/>
              <w:szCs w:val="24"/>
            </w:rPr>
          </w:pPr>
          <w:r>
            <w:rPr>
              <w:rFonts w:cs="Arial"/>
              <w:szCs w:val="24"/>
            </w:rPr>
            <w:t>Ayuntamiento de San José del Rincón</w:t>
          </w:r>
        </w:p>
      </w:tc>
    </w:tr>
    <w:tr w:rsidR="00CD70FF" w14:paraId="5AB0CE03" w14:textId="77777777" w:rsidTr="0077504A">
      <w:trPr>
        <w:trHeight w:val="342"/>
      </w:trPr>
      <w:tc>
        <w:tcPr>
          <w:tcW w:w="5103" w:type="dxa"/>
          <w:hideMark/>
        </w:tcPr>
        <w:p w14:paraId="07DF11B2" w14:textId="77777777" w:rsidR="00CD70FF" w:rsidRPr="00663A37" w:rsidRDefault="00CD70FF" w:rsidP="0077504A">
          <w:pPr>
            <w:tabs>
              <w:tab w:val="left" w:pos="4892"/>
            </w:tabs>
            <w:spacing w:after="120" w:line="240" w:lineRule="auto"/>
            <w:ind w:right="68"/>
            <w:jc w:val="right"/>
            <w:rPr>
              <w:rFonts w:cs="Arial"/>
              <w:b/>
              <w:szCs w:val="24"/>
            </w:rPr>
          </w:pPr>
          <w:r w:rsidRPr="00663A37">
            <w:rPr>
              <w:rFonts w:cs="Arial"/>
              <w:b/>
              <w:szCs w:val="24"/>
            </w:rPr>
            <w:t>Comisionado Ponente:</w:t>
          </w:r>
        </w:p>
      </w:tc>
      <w:tc>
        <w:tcPr>
          <w:tcW w:w="4536" w:type="dxa"/>
          <w:hideMark/>
        </w:tcPr>
        <w:p w14:paraId="13B67B9C" w14:textId="77777777" w:rsidR="00CD70FF" w:rsidRPr="00663A37" w:rsidRDefault="00CD70FF" w:rsidP="0077504A">
          <w:pPr>
            <w:spacing w:after="120" w:line="240" w:lineRule="auto"/>
            <w:ind w:left="-486" w:right="68" w:firstLine="567"/>
            <w:jc w:val="right"/>
            <w:rPr>
              <w:rFonts w:cs="Arial"/>
              <w:szCs w:val="24"/>
            </w:rPr>
          </w:pPr>
          <w:r w:rsidRPr="00663A37">
            <w:rPr>
              <w:rFonts w:cs="Arial"/>
              <w:szCs w:val="24"/>
            </w:rPr>
            <w:t>José Martínez Vilchis</w:t>
          </w:r>
        </w:p>
      </w:tc>
    </w:tr>
  </w:tbl>
  <w:p w14:paraId="4BDC27B9" w14:textId="77777777" w:rsidR="00CD70FF" w:rsidRPr="00871A91" w:rsidRDefault="00CD70FF">
    <w:pPr>
      <w:pStyle w:val="Encabezado"/>
      <w:rPr>
        <w:sz w:val="2"/>
      </w:rPr>
    </w:pPr>
    <w:r>
      <w:rPr>
        <w:noProof/>
        <w:lang w:val="es-MX" w:eastAsia="es-MX"/>
      </w:rPr>
      <w:drawing>
        <wp:anchor distT="0" distB="0" distL="114300" distR="114300" simplePos="0" relativeHeight="251661312" behindDoc="1" locked="0" layoutInCell="0" allowOverlap="1" wp14:anchorId="5AB777BF" wp14:editId="4B79D2F2">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E42"/>
    <w:multiLevelType w:val="hybridMultilevel"/>
    <w:tmpl w:val="CE4CCFA6"/>
    <w:lvl w:ilvl="0" w:tplc="C5F0137C">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0E13C8"/>
    <w:multiLevelType w:val="hybridMultilevel"/>
    <w:tmpl w:val="70D61EB2"/>
    <w:lvl w:ilvl="0" w:tplc="7A4C335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1A514F7E"/>
    <w:multiLevelType w:val="hybridMultilevel"/>
    <w:tmpl w:val="71F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7024C1"/>
    <w:multiLevelType w:val="hybridMultilevel"/>
    <w:tmpl w:val="86968B04"/>
    <w:lvl w:ilvl="0" w:tplc="0D6EA8C8">
      <w:start w:val="1"/>
      <w:numFmt w:val="decimal"/>
      <w:lvlText w:val="%1."/>
      <w:lvlJc w:val="left"/>
      <w:pPr>
        <w:ind w:left="1080" w:hanging="360"/>
      </w:pPr>
      <w:rPr>
        <w:rFonts w:eastAsia="Times New Roman" w:cs="Times New Roman"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4764082"/>
    <w:multiLevelType w:val="hybridMultilevel"/>
    <w:tmpl w:val="86968B04"/>
    <w:lvl w:ilvl="0" w:tplc="0D6EA8C8">
      <w:start w:val="1"/>
      <w:numFmt w:val="decimal"/>
      <w:lvlText w:val="%1."/>
      <w:lvlJc w:val="left"/>
      <w:pPr>
        <w:ind w:left="1080" w:hanging="360"/>
      </w:pPr>
      <w:rPr>
        <w:rFonts w:eastAsia="Times New Roman" w:cs="Times New Roman"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D8D0413"/>
    <w:multiLevelType w:val="hybridMultilevel"/>
    <w:tmpl w:val="35EADCCC"/>
    <w:lvl w:ilvl="0" w:tplc="9F0034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F614008"/>
    <w:multiLevelType w:val="hybridMultilevel"/>
    <w:tmpl w:val="1A54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5C3A82"/>
    <w:multiLevelType w:val="hybridMultilevel"/>
    <w:tmpl w:val="C8A84E08"/>
    <w:lvl w:ilvl="0" w:tplc="59EC493A">
      <w:start w:val="931"/>
      <w:numFmt w:val="bullet"/>
      <w:lvlText w:val="-"/>
      <w:lvlJc w:val="left"/>
      <w:pPr>
        <w:ind w:left="1080" w:hanging="360"/>
      </w:pPr>
      <w:rPr>
        <w:rFonts w:ascii="Palatino Linotype" w:eastAsiaTheme="majorEastAsia" w:hAnsi="Palatino Linotype" w:cs="Arial" w:hint="default"/>
        <w:b/>
        <w:i/>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1A2758E"/>
    <w:multiLevelType w:val="hybridMultilevel"/>
    <w:tmpl w:val="8A80F4D4"/>
    <w:lvl w:ilvl="0" w:tplc="F91E9228">
      <w:start w:val="931"/>
      <w:numFmt w:val="bullet"/>
      <w:lvlText w:val=""/>
      <w:lvlJc w:val="left"/>
      <w:pPr>
        <w:ind w:left="720" w:hanging="360"/>
      </w:pPr>
      <w:rPr>
        <w:rFonts w:ascii="Symbol" w:eastAsia="Calibri" w:hAnsi="Symbol" w:cs="Calibri" w:hint="default"/>
        <w:i/>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342D2C"/>
    <w:multiLevelType w:val="hybridMultilevel"/>
    <w:tmpl w:val="05AC16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26141C"/>
    <w:multiLevelType w:val="hybridMultilevel"/>
    <w:tmpl w:val="B732B10A"/>
    <w:lvl w:ilvl="0" w:tplc="524A4D9C">
      <w:start w:val="1"/>
      <w:numFmt w:val="upperRoman"/>
      <w:lvlText w:val="%1."/>
      <w:lvlJc w:val="left"/>
      <w:pPr>
        <w:ind w:left="1428" w:hanging="720"/>
      </w:pPr>
      <w:rPr>
        <w:rFonts w:eastAsia="Calibri" w:cs="Calibr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9"/>
  </w:num>
  <w:num w:numId="3">
    <w:abstractNumId w:val="8"/>
  </w:num>
  <w:num w:numId="4">
    <w:abstractNumId w:val="1"/>
  </w:num>
  <w:num w:numId="5">
    <w:abstractNumId w:val="0"/>
  </w:num>
  <w:num w:numId="6">
    <w:abstractNumId w:val="4"/>
  </w:num>
  <w:num w:numId="7">
    <w:abstractNumId w:val="5"/>
  </w:num>
  <w:num w:numId="8">
    <w:abstractNumId w:val="3"/>
  </w:num>
  <w:num w:numId="9">
    <w:abstractNumId w:val="11"/>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D8"/>
    <w:rsid w:val="0002066B"/>
    <w:rsid w:val="00035582"/>
    <w:rsid w:val="000E1ED3"/>
    <w:rsid w:val="00180802"/>
    <w:rsid w:val="001F3C35"/>
    <w:rsid w:val="003271C9"/>
    <w:rsid w:val="00350029"/>
    <w:rsid w:val="005168D8"/>
    <w:rsid w:val="007150B4"/>
    <w:rsid w:val="00756B67"/>
    <w:rsid w:val="0077504A"/>
    <w:rsid w:val="00847A85"/>
    <w:rsid w:val="00881DBF"/>
    <w:rsid w:val="00884585"/>
    <w:rsid w:val="008849D7"/>
    <w:rsid w:val="00895069"/>
    <w:rsid w:val="008969BB"/>
    <w:rsid w:val="008B227E"/>
    <w:rsid w:val="008F3790"/>
    <w:rsid w:val="009847CC"/>
    <w:rsid w:val="00A04225"/>
    <w:rsid w:val="00A82D86"/>
    <w:rsid w:val="00B44DA4"/>
    <w:rsid w:val="00BC06AB"/>
    <w:rsid w:val="00C6433F"/>
    <w:rsid w:val="00CD6CC6"/>
    <w:rsid w:val="00CD70FF"/>
    <w:rsid w:val="00DE399E"/>
    <w:rsid w:val="00E16799"/>
    <w:rsid w:val="00EE72FB"/>
    <w:rsid w:val="00FF2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E46637"/>
  <w15:chartTrackingRefBased/>
  <w15:docId w15:val="{AD87D285-B796-454B-A151-CEAB5314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D8"/>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5168D8"/>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5168D8"/>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168D8"/>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5168D8"/>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5168D8"/>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5168D8"/>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5168D8"/>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5168D8"/>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68D8"/>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168D8"/>
    <w:rPr>
      <w:rFonts w:ascii="Palatino Linotype" w:eastAsia="Times New Roman" w:hAnsi="Palatino Linotype"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168D8"/>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68D8"/>
    <w:rPr>
      <w:color w:val="0563C1" w:themeColor="hyperlink"/>
      <w:u w:val="single"/>
    </w:rPr>
  </w:style>
  <w:style w:type="paragraph" w:customStyle="1" w:styleId="Fundamentos">
    <w:name w:val="Fundamentos"/>
    <w:basedOn w:val="Normal"/>
    <w:qFormat/>
    <w:rsid w:val="005168D8"/>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5168D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5168D8"/>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168D8"/>
    <w:pPr>
      <w:spacing w:line="240" w:lineRule="auto"/>
      <w:jc w:val="left"/>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168D8"/>
    <w:rPr>
      <w:rFonts w:ascii="Times New Roman" w:eastAsia="Times New Roman" w:hAnsi="Times New Roman" w:cs="Times New Roman"/>
      <w:sz w:val="20"/>
      <w:szCs w:val="20"/>
      <w:lang w:val="es-ES" w:eastAsia="es-ES"/>
    </w:rPr>
  </w:style>
  <w:style w:type="paragraph" w:customStyle="1" w:styleId="Citas">
    <w:name w:val="Citas"/>
    <w:basedOn w:val="Normal"/>
    <w:qFormat/>
    <w:rsid w:val="0077504A"/>
    <w:pPr>
      <w:spacing w:before="240" w:after="160"/>
      <w:ind w:left="851" w:right="851"/>
    </w:pPr>
    <w:rPr>
      <w:rFonts w:eastAsiaTheme="minorHAnsi" w:cs="Arial"/>
      <w:i/>
      <w:sz w:val="22"/>
      <w:lang w:val="es-MX" w:eastAsia="en-US"/>
    </w:rPr>
  </w:style>
  <w:style w:type="character" w:styleId="Refdecomentario">
    <w:name w:val="annotation reference"/>
    <w:basedOn w:val="Fuentedeprrafopredeter"/>
    <w:uiPriority w:val="99"/>
    <w:semiHidden/>
    <w:unhideWhenUsed/>
    <w:rsid w:val="008969BB"/>
    <w:rPr>
      <w:sz w:val="16"/>
      <w:szCs w:val="16"/>
    </w:rPr>
  </w:style>
  <w:style w:type="paragraph" w:styleId="Textocomentario">
    <w:name w:val="annotation text"/>
    <w:basedOn w:val="Normal"/>
    <w:link w:val="TextocomentarioCar"/>
    <w:uiPriority w:val="99"/>
    <w:semiHidden/>
    <w:unhideWhenUsed/>
    <w:rsid w:val="008969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69BB"/>
    <w:rPr>
      <w:rFonts w:ascii="Palatino Linotype" w:eastAsia="Calibri" w:hAnsi="Palatino Linotype" w:cs="Calibri"/>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8969BB"/>
    <w:rPr>
      <w:b/>
      <w:bCs/>
    </w:rPr>
  </w:style>
  <w:style w:type="character" w:customStyle="1" w:styleId="AsuntodelcomentarioCar">
    <w:name w:val="Asunto del comentario Car"/>
    <w:basedOn w:val="TextocomentarioCar"/>
    <w:link w:val="Asuntodelcomentario"/>
    <w:uiPriority w:val="99"/>
    <w:semiHidden/>
    <w:rsid w:val="008969BB"/>
    <w:rPr>
      <w:rFonts w:ascii="Palatino Linotype" w:eastAsia="Calibri" w:hAnsi="Palatino Linotype" w:cs="Calibri"/>
      <w:b/>
      <w:bCs/>
      <w:sz w:val="20"/>
      <w:szCs w:val="20"/>
      <w:lang w:val="es-ES_tradnl" w:eastAsia="es-MX"/>
    </w:rPr>
  </w:style>
  <w:style w:type="paragraph" w:styleId="Textodeglobo">
    <w:name w:val="Balloon Text"/>
    <w:basedOn w:val="Normal"/>
    <w:link w:val="TextodegloboCar"/>
    <w:uiPriority w:val="99"/>
    <w:semiHidden/>
    <w:unhideWhenUsed/>
    <w:rsid w:val="00B44DA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DA4"/>
    <w:rPr>
      <w:rFonts w:ascii="Segoe UI" w:eastAsia="Calibri" w:hAnsi="Segoe UI" w:cs="Segoe UI"/>
      <w:sz w:val="18"/>
      <w:szCs w:val="18"/>
      <w:lang w:val="es-ES_tradnl" w:eastAsia="es-MX"/>
    </w:rPr>
  </w:style>
  <w:style w:type="paragraph" w:customStyle="1" w:styleId="Texto">
    <w:name w:val="Texto"/>
    <w:basedOn w:val="Normal"/>
    <w:link w:val="TextoCar"/>
    <w:qFormat/>
    <w:rsid w:val="00CD70FF"/>
    <w:pPr>
      <w:spacing w:after="101" w:line="216" w:lineRule="exact"/>
      <w:ind w:firstLine="288"/>
    </w:pPr>
    <w:rPr>
      <w:rFonts w:ascii="Arial" w:eastAsia="Times New Roman" w:hAnsi="Arial" w:cs="Arial"/>
      <w:sz w:val="18"/>
      <w:szCs w:val="18"/>
      <w:lang w:val="es-MX" w:eastAsia="es-ES"/>
    </w:rPr>
  </w:style>
  <w:style w:type="character" w:customStyle="1" w:styleId="TextoCar">
    <w:name w:val="Texto Car"/>
    <w:link w:val="Texto"/>
    <w:locked/>
    <w:rsid w:val="00CD70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21399.page"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imex.org.mx/saimex/solicitud/downloadAttach/1912708.page"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imex.org.mx/saimex/solicitud/downloadAttach/2021399.pag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aimex.org.mx/saimex/solicitud/downloadAttach/2021399.page"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58</Pages>
  <Words>13838</Words>
  <Characters>76110</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2024-03-13T20:44:00Z</dcterms:created>
  <dcterms:modified xsi:type="dcterms:W3CDTF">2024-04-04T22:49:00Z</dcterms:modified>
</cp:coreProperties>
</file>