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41B75" w14:textId="0F674806" w:rsidR="0064438D" w:rsidRPr="00487DC9" w:rsidRDefault="00D41907" w:rsidP="00487DC9">
      <w:pP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C559E8">
        <w:rPr>
          <w:rFonts w:ascii="Palatino Linotype" w:eastAsia="Palatino Linotype" w:hAnsi="Palatino Linotype" w:cs="Palatino Linotype"/>
          <w:b/>
          <w:bCs/>
        </w:rPr>
        <w:t xml:space="preserve">el </w:t>
      </w:r>
      <w:r w:rsidR="005573B4" w:rsidRPr="00C559E8">
        <w:rPr>
          <w:rFonts w:ascii="Palatino Linotype" w:eastAsia="Palatino Linotype" w:hAnsi="Palatino Linotype" w:cs="Palatino Linotype"/>
          <w:b/>
          <w:bCs/>
        </w:rPr>
        <w:t>trece</w:t>
      </w:r>
      <w:r w:rsidR="000D00D2" w:rsidRPr="00C559E8">
        <w:rPr>
          <w:rFonts w:ascii="Palatino Linotype" w:eastAsia="Palatino Linotype" w:hAnsi="Palatino Linotype" w:cs="Palatino Linotype"/>
          <w:b/>
          <w:bCs/>
        </w:rPr>
        <w:t xml:space="preserve"> de marzo de dos mil veinticuatro. </w:t>
      </w:r>
    </w:p>
    <w:p w14:paraId="6FEE4951" w14:textId="77777777" w:rsidR="0064438D" w:rsidRPr="00487DC9" w:rsidRDefault="0064438D" w:rsidP="00487DC9">
      <w:pPr>
        <w:spacing w:line="360" w:lineRule="auto"/>
        <w:jc w:val="both"/>
        <w:rPr>
          <w:rFonts w:ascii="Palatino Linotype" w:eastAsia="Palatino Linotype" w:hAnsi="Palatino Linotype" w:cs="Palatino Linotype"/>
        </w:rPr>
      </w:pPr>
    </w:p>
    <w:p w14:paraId="237FA555" w14:textId="5EEC5C2F" w:rsidR="0064438D" w:rsidRPr="00487DC9" w:rsidRDefault="00D41907" w:rsidP="00487DC9">
      <w:pPr>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b/>
        </w:rPr>
        <w:t>VISTO</w:t>
      </w:r>
      <w:r w:rsidRPr="00487DC9">
        <w:rPr>
          <w:rFonts w:ascii="Palatino Linotype" w:eastAsia="Palatino Linotype" w:hAnsi="Palatino Linotype" w:cs="Palatino Linotype"/>
        </w:rPr>
        <w:t xml:space="preserve"> el expediente formado con motivo del Recurso de Revisión</w:t>
      </w:r>
      <w:r w:rsidRPr="00487DC9">
        <w:rPr>
          <w:rFonts w:ascii="Palatino Linotype" w:eastAsia="Palatino Linotype" w:hAnsi="Palatino Linotype" w:cs="Palatino Linotype"/>
          <w:b/>
        </w:rPr>
        <w:t xml:space="preserve"> 00</w:t>
      </w:r>
      <w:r w:rsidR="00915C7E" w:rsidRPr="00487DC9">
        <w:rPr>
          <w:rFonts w:ascii="Palatino Linotype" w:eastAsia="Palatino Linotype" w:hAnsi="Palatino Linotype" w:cs="Palatino Linotype"/>
          <w:b/>
        </w:rPr>
        <w:t>822</w:t>
      </w:r>
      <w:r w:rsidRPr="00487DC9">
        <w:rPr>
          <w:rFonts w:ascii="Palatino Linotype" w:eastAsia="Palatino Linotype" w:hAnsi="Palatino Linotype" w:cs="Palatino Linotype"/>
          <w:b/>
        </w:rPr>
        <w:t>/INFOEM/IP/RR/2024</w:t>
      </w:r>
      <w:r w:rsidRPr="00487DC9">
        <w:rPr>
          <w:rFonts w:ascii="Palatino Linotype" w:eastAsia="Palatino Linotype" w:hAnsi="Palatino Linotype" w:cs="Palatino Linotype"/>
        </w:rPr>
        <w:t xml:space="preserve">, promovido por </w:t>
      </w:r>
      <w:r w:rsidR="00556F00">
        <w:rPr>
          <w:rFonts w:ascii="Palatino Linotype" w:eastAsia="Palatino Linotype" w:hAnsi="Palatino Linotype" w:cs="Palatino Linotype"/>
          <w:b/>
        </w:rPr>
        <w:t>XXXXXX</w:t>
      </w:r>
      <w:r w:rsidR="00DE6135" w:rsidRPr="00487DC9">
        <w:rPr>
          <w:rFonts w:ascii="Palatino Linotype" w:eastAsia="Palatino Linotype" w:hAnsi="Palatino Linotype" w:cs="Palatino Linotype"/>
        </w:rPr>
        <w:t xml:space="preserve">, </w:t>
      </w:r>
      <w:r w:rsidRPr="00487DC9">
        <w:rPr>
          <w:rFonts w:ascii="Palatino Linotype" w:eastAsia="Palatino Linotype" w:hAnsi="Palatino Linotype" w:cs="Palatino Linotype"/>
        </w:rPr>
        <w:t>que</w:t>
      </w:r>
      <w:r w:rsidRPr="00487DC9">
        <w:rPr>
          <w:rFonts w:ascii="Palatino Linotype" w:eastAsia="Palatino Linotype" w:hAnsi="Palatino Linotype" w:cs="Palatino Linotype"/>
          <w:b/>
        </w:rPr>
        <w:t xml:space="preserve"> </w:t>
      </w:r>
      <w:r w:rsidRPr="00487DC9">
        <w:rPr>
          <w:rFonts w:ascii="Palatino Linotype" w:eastAsia="Palatino Linotype" w:hAnsi="Palatino Linotype" w:cs="Palatino Linotype"/>
        </w:rPr>
        <w:t xml:space="preserve">en lo sucesivo se denominará </w:t>
      </w:r>
      <w:r w:rsidRPr="00487DC9">
        <w:rPr>
          <w:rFonts w:ascii="Palatino Linotype" w:eastAsia="Palatino Linotype" w:hAnsi="Palatino Linotype" w:cs="Palatino Linotype"/>
          <w:b/>
        </w:rPr>
        <w:t>L</w:t>
      </w:r>
      <w:r w:rsidR="00915C7E" w:rsidRPr="00487DC9">
        <w:rPr>
          <w:rFonts w:ascii="Palatino Linotype" w:eastAsia="Palatino Linotype" w:hAnsi="Palatino Linotype" w:cs="Palatino Linotype"/>
          <w:b/>
        </w:rPr>
        <w:t>A</w:t>
      </w:r>
      <w:r w:rsidRPr="00487DC9">
        <w:rPr>
          <w:rFonts w:ascii="Palatino Linotype" w:eastAsia="Palatino Linotype" w:hAnsi="Palatino Linotype" w:cs="Palatino Linotype"/>
          <w:b/>
        </w:rPr>
        <w:t xml:space="preserve"> RECURRENTE</w:t>
      </w:r>
      <w:r w:rsidRPr="00487DC9">
        <w:rPr>
          <w:rFonts w:ascii="Palatino Linotype" w:eastAsia="Palatino Linotype" w:hAnsi="Palatino Linotype" w:cs="Palatino Linotype"/>
        </w:rPr>
        <w:t xml:space="preserve">, en contra de la respuesta emitida por </w:t>
      </w:r>
      <w:r w:rsidR="005573B4" w:rsidRPr="00487DC9">
        <w:rPr>
          <w:rFonts w:ascii="Palatino Linotype" w:eastAsia="Palatino Linotype" w:hAnsi="Palatino Linotype" w:cs="Palatino Linotype"/>
        </w:rPr>
        <w:t>l</w:t>
      </w:r>
      <w:r w:rsidR="00915C7E" w:rsidRPr="00487DC9">
        <w:rPr>
          <w:rFonts w:ascii="Palatino Linotype" w:eastAsia="Palatino Linotype" w:hAnsi="Palatino Linotype" w:cs="Palatino Linotype"/>
        </w:rPr>
        <w:t>a</w:t>
      </w:r>
      <w:r w:rsidR="00F5246B" w:rsidRPr="00487DC9">
        <w:rPr>
          <w:rFonts w:ascii="Palatino Linotype" w:eastAsia="Palatino Linotype" w:hAnsi="Palatino Linotype" w:cs="Palatino Linotype"/>
        </w:rPr>
        <w:t xml:space="preserve"> </w:t>
      </w:r>
      <w:r w:rsidR="00915C7E" w:rsidRPr="00487DC9">
        <w:rPr>
          <w:rFonts w:ascii="Palatino Linotype" w:eastAsia="Palatino Linotype" w:hAnsi="Palatino Linotype" w:cs="Palatino Linotype"/>
          <w:b/>
        </w:rPr>
        <w:t>Secretaría de Salud</w:t>
      </w:r>
      <w:r w:rsidRPr="00487DC9">
        <w:rPr>
          <w:rFonts w:ascii="Palatino Linotype" w:eastAsia="Palatino Linotype" w:hAnsi="Palatino Linotype" w:cs="Palatino Linotype"/>
          <w:b/>
        </w:rPr>
        <w:t>,</w:t>
      </w:r>
      <w:r w:rsidRPr="00487DC9">
        <w:rPr>
          <w:rFonts w:ascii="Palatino Linotype" w:eastAsia="Palatino Linotype" w:hAnsi="Palatino Linotype" w:cs="Palatino Linotype"/>
        </w:rPr>
        <w:t xml:space="preserve"> que en lo sucesivo se denominará </w:t>
      </w:r>
      <w:r w:rsidRPr="00487DC9">
        <w:rPr>
          <w:rFonts w:ascii="Palatino Linotype" w:eastAsia="Palatino Linotype" w:hAnsi="Palatino Linotype" w:cs="Palatino Linotype"/>
          <w:b/>
        </w:rPr>
        <w:t>EL SUJETO OBLIGADO</w:t>
      </w:r>
      <w:r w:rsidRPr="00487DC9">
        <w:rPr>
          <w:rFonts w:ascii="Palatino Linotype" w:eastAsia="Palatino Linotype" w:hAnsi="Palatino Linotype" w:cs="Palatino Linotype"/>
        </w:rPr>
        <w:t xml:space="preserve">, se procede a dictar la presente resolución con base en lo siguiente: </w:t>
      </w:r>
    </w:p>
    <w:p w14:paraId="72F67FEC" w14:textId="77777777" w:rsidR="0064438D" w:rsidRPr="00487DC9" w:rsidRDefault="0064438D" w:rsidP="00487DC9">
      <w:pPr>
        <w:jc w:val="both"/>
        <w:rPr>
          <w:rFonts w:ascii="Palatino Linotype" w:eastAsia="Palatino Linotype" w:hAnsi="Palatino Linotype" w:cs="Palatino Linotype"/>
        </w:rPr>
      </w:pPr>
    </w:p>
    <w:p w14:paraId="75967CF6" w14:textId="77777777" w:rsidR="00497EB5" w:rsidRPr="00487DC9" w:rsidRDefault="00497EB5" w:rsidP="00487DC9">
      <w:pPr>
        <w:jc w:val="center"/>
        <w:rPr>
          <w:rFonts w:ascii="Palatino Linotype" w:hAnsi="Palatino Linotype"/>
          <w:b/>
          <w:bCs/>
          <w:spacing w:val="60"/>
          <w:sz w:val="28"/>
        </w:rPr>
      </w:pPr>
      <w:r w:rsidRPr="00487DC9">
        <w:rPr>
          <w:rFonts w:ascii="Palatino Linotype" w:hAnsi="Palatino Linotype"/>
          <w:b/>
          <w:bCs/>
          <w:spacing w:val="60"/>
          <w:sz w:val="28"/>
        </w:rPr>
        <w:t>ANTECEDENTES</w:t>
      </w:r>
    </w:p>
    <w:p w14:paraId="2944EFDD" w14:textId="77777777" w:rsidR="0064438D" w:rsidRPr="00487DC9" w:rsidRDefault="0064438D" w:rsidP="00487DC9">
      <w:pPr>
        <w:jc w:val="center"/>
        <w:rPr>
          <w:rFonts w:ascii="Palatino Linotype" w:eastAsia="Palatino Linotype" w:hAnsi="Palatino Linotype" w:cs="Palatino Linotype"/>
          <w:b/>
        </w:rPr>
      </w:pPr>
    </w:p>
    <w:p w14:paraId="54B2CCEC" w14:textId="77777777" w:rsidR="0064438D" w:rsidRPr="00487DC9" w:rsidRDefault="00D41907" w:rsidP="00487DC9">
      <w:pPr>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b/>
          <w:sz w:val="28"/>
          <w:szCs w:val="28"/>
        </w:rPr>
        <w:t>I. De la Solicitud de Información</w:t>
      </w:r>
    </w:p>
    <w:p w14:paraId="6A6C5931" w14:textId="77777777" w:rsidR="0064438D" w:rsidRPr="00487DC9" w:rsidRDefault="00D41907" w:rsidP="00487DC9">
      <w:pP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rPr>
        <w:t xml:space="preserve">El </w:t>
      </w:r>
      <w:r w:rsidR="00915C7E" w:rsidRPr="00487DC9">
        <w:rPr>
          <w:rFonts w:ascii="Palatino Linotype" w:eastAsia="Palatino Linotype" w:hAnsi="Palatino Linotype" w:cs="Palatino Linotype"/>
        </w:rPr>
        <w:t>once</w:t>
      </w:r>
      <w:r w:rsidR="005573B4" w:rsidRPr="00487DC9">
        <w:rPr>
          <w:rFonts w:ascii="Palatino Linotype" w:eastAsia="Palatino Linotype" w:hAnsi="Palatino Linotype" w:cs="Palatino Linotype"/>
        </w:rPr>
        <w:t xml:space="preserve"> </w:t>
      </w:r>
      <w:r w:rsidR="00961BCF" w:rsidRPr="00487DC9">
        <w:rPr>
          <w:rFonts w:ascii="Palatino Linotype" w:eastAsia="Palatino Linotype" w:hAnsi="Palatino Linotype" w:cs="Palatino Linotype"/>
        </w:rPr>
        <w:t>de enero de dos mil veinticuatro</w:t>
      </w:r>
      <w:r w:rsidR="00915C7E" w:rsidRPr="00487DC9">
        <w:rPr>
          <w:rStyle w:val="Refdenotaalpie"/>
          <w:rFonts w:ascii="Palatino Linotype" w:eastAsia="Palatino Linotype" w:hAnsi="Palatino Linotype" w:cs="Palatino Linotype"/>
        </w:rPr>
        <w:footnoteReference w:id="1"/>
      </w:r>
      <w:r w:rsidRPr="00487DC9">
        <w:rPr>
          <w:rFonts w:ascii="Palatino Linotype" w:eastAsia="Palatino Linotype" w:hAnsi="Palatino Linotype" w:cs="Palatino Linotype"/>
        </w:rPr>
        <w:t xml:space="preserve">, </w:t>
      </w:r>
      <w:r w:rsidR="002204AE" w:rsidRPr="00487DC9">
        <w:rPr>
          <w:rFonts w:ascii="Palatino Linotype" w:eastAsia="Palatino Linotype" w:hAnsi="Palatino Linotype" w:cs="Palatino Linotype"/>
          <w:b/>
        </w:rPr>
        <w:t>LA</w:t>
      </w:r>
      <w:r w:rsidRPr="00487DC9">
        <w:rPr>
          <w:rFonts w:ascii="Palatino Linotype" w:eastAsia="Palatino Linotype" w:hAnsi="Palatino Linotype" w:cs="Palatino Linotype"/>
          <w:b/>
        </w:rPr>
        <w:t xml:space="preserve"> RECURRENTE</w:t>
      </w:r>
      <w:r w:rsidRPr="00487DC9">
        <w:rPr>
          <w:rFonts w:ascii="Palatino Linotype" w:eastAsia="Palatino Linotype" w:hAnsi="Palatino Linotype" w:cs="Palatino Linotype"/>
        </w:rPr>
        <w:t xml:space="preserve"> presentó a través del Sistema de Acceso a la Información Mexiquense, que en lo subsecuente se denominará </w:t>
      </w:r>
      <w:r w:rsidRPr="00487DC9">
        <w:rPr>
          <w:rFonts w:ascii="Palatino Linotype" w:eastAsia="Palatino Linotype" w:hAnsi="Palatino Linotype" w:cs="Palatino Linotype"/>
          <w:b/>
        </w:rPr>
        <w:t>EL SAIMEX</w:t>
      </w:r>
      <w:r w:rsidRPr="00487DC9">
        <w:rPr>
          <w:rFonts w:ascii="Palatino Linotype" w:eastAsia="Palatino Linotype" w:hAnsi="Palatino Linotype" w:cs="Palatino Linotype"/>
        </w:rPr>
        <w:t xml:space="preserve"> ante </w:t>
      </w:r>
      <w:r w:rsidRPr="00487DC9">
        <w:rPr>
          <w:rFonts w:ascii="Palatino Linotype" w:eastAsia="Palatino Linotype" w:hAnsi="Palatino Linotype" w:cs="Palatino Linotype"/>
          <w:b/>
        </w:rPr>
        <w:t>EL SUJETO OBLIGADO</w:t>
      </w:r>
      <w:r w:rsidRPr="00487DC9">
        <w:rPr>
          <w:rFonts w:ascii="Palatino Linotype" w:eastAsia="Palatino Linotype" w:hAnsi="Palatino Linotype" w:cs="Palatino Linotype"/>
        </w:rPr>
        <w:t>, la solicitud de acceso a la información pública, a la que se le asignó el número de expediente</w:t>
      </w:r>
      <w:r w:rsidRPr="00487DC9">
        <w:rPr>
          <w:rFonts w:ascii="Palatino Linotype" w:eastAsia="Palatino Linotype" w:hAnsi="Palatino Linotype" w:cs="Palatino Linotype"/>
          <w:b/>
        </w:rPr>
        <w:t xml:space="preserve"> </w:t>
      </w:r>
      <w:r w:rsidR="00915C7E" w:rsidRPr="00487DC9">
        <w:rPr>
          <w:rFonts w:ascii="Palatino Linotype" w:eastAsia="Palatino Linotype" w:hAnsi="Palatino Linotype" w:cs="Palatino Linotype"/>
          <w:b/>
        </w:rPr>
        <w:t>00002/SSALUD/IP/2024</w:t>
      </w:r>
      <w:r w:rsidRPr="00487DC9">
        <w:rPr>
          <w:rFonts w:ascii="Palatino Linotype" w:eastAsia="Palatino Linotype" w:hAnsi="Palatino Linotype" w:cs="Palatino Linotype"/>
          <w:b/>
        </w:rPr>
        <w:t>,</w:t>
      </w:r>
      <w:r w:rsidRPr="00487DC9">
        <w:rPr>
          <w:rFonts w:ascii="Palatino Linotype" w:eastAsia="Palatino Linotype" w:hAnsi="Palatino Linotype" w:cs="Palatino Linotype"/>
        </w:rPr>
        <w:t xml:space="preserve"> mediante la cual requirió lo siguiente:</w:t>
      </w:r>
    </w:p>
    <w:p w14:paraId="59A69660" w14:textId="77777777" w:rsidR="0064438D" w:rsidRPr="00487DC9" w:rsidRDefault="0064438D" w:rsidP="00487DC9">
      <w:pPr>
        <w:jc w:val="both"/>
        <w:rPr>
          <w:rFonts w:ascii="Palatino Linotype" w:eastAsia="Palatino Linotype" w:hAnsi="Palatino Linotype" w:cs="Palatino Linotype"/>
        </w:rPr>
      </w:pPr>
    </w:p>
    <w:p w14:paraId="66E3B817" w14:textId="3ABE47D6" w:rsidR="0064438D" w:rsidRPr="00487DC9" w:rsidRDefault="00D41907" w:rsidP="00487DC9">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0" w:name="_heading=h.gjdgxs" w:colFirst="0" w:colLast="0"/>
      <w:bookmarkEnd w:id="0"/>
      <w:r w:rsidRPr="00487DC9">
        <w:rPr>
          <w:rFonts w:ascii="Palatino Linotype" w:eastAsia="Palatino Linotype" w:hAnsi="Palatino Linotype" w:cs="Palatino Linotype"/>
          <w:i/>
          <w:sz w:val="22"/>
          <w:szCs w:val="22"/>
        </w:rPr>
        <w:t>“</w:t>
      </w:r>
      <w:r w:rsidR="00915C7E" w:rsidRPr="00487DC9">
        <w:rPr>
          <w:rFonts w:ascii="Palatino Linotype" w:eastAsia="Palatino Linotype" w:hAnsi="Palatino Linotype" w:cs="Palatino Linotype"/>
          <w:i/>
          <w:sz w:val="22"/>
          <w:szCs w:val="22"/>
        </w:rPr>
        <w:t xml:space="preserve">QUIERO QUE ME PROPORCIONEN EL DOCUMENTO CON QUE ACREDITAN EL GRADO MAXIMO DE ESTUDIOS DE LOS C.C </w:t>
      </w:r>
      <w:r w:rsidR="00556F00">
        <w:rPr>
          <w:rFonts w:ascii="Palatino Linotype" w:eastAsia="Palatino Linotype" w:hAnsi="Palatino Linotype" w:cs="Palatino Linotype"/>
          <w:i/>
          <w:sz w:val="22"/>
          <w:szCs w:val="22"/>
        </w:rPr>
        <w:t>XXXXXXX XXXXXXXX XXXXXXX</w:t>
      </w:r>
      <w:r w:rsidR="00915C7E" w:rsidRPr="00487DC9">
        <w:rPr>
          <w:rFonts w:ascii="Palatino Linotype" w:eastAsia="Palatino Linotype" w:hAnsi="Palatino Linotype" w:cs="Palatino Linotype"/>
          <w:i/>
          <w:sz w:val="22"/>
          <w:szCs w:val="22"/>
        </w:rPr>
        <w:t xml:space="preserve"> Y </w:t>
      </w:r>
      <w:bookmarkStart w:id="1" w:name="_GoBack"/>
      <w:r w:rsidR="00556F00">
        <w:rPr>
          <w:rFonts w:ascii="Palatino Linotype" w:eastAsia="Palatino Linotype" w:hAnsi="Palatino Linotype" w:cs="Palatino Linotype"/>
          <w:i/>
          <w:sz w:val="22"/>
          <w:szCs w:val="22"/>
        </w:rPr>
        <w:t>XXXXX XXXXXXX XXXX</w:t>
      </w:r>
      <w:bookmarkEnd w:id="1"/>
      <w:r w:rsidR="00915C7E" w:rsidRPr="00487DC9">
        <w:rPr>
          <w:rFonts w:ascii="Palatino Linotype" w:eastAsia="Palatino Linotype" w:hAnsi="Palatino Linotype" w:cs="Palatino Linotype"/>
          <w:i/>
          <w:sz w:val="22"/>
          <w:szCs w:val="22"/>
        </w:rPr>
        <w:t xml:space="preserve">, ASÍ COMO EL CURRICULUM VITAE CON LA DUCUMENTACIÓN PROBATORIA QUE AMPAREN QUE CUENTAN CON LA EXPERIENCIA NECESARIA PARA </w:t>
      </w:r>
      <w:r w:rsidR="00915C7E" w:rsidRPr="00487DC9">
        <w:rPr>
          <w:rFonts w:ascii="Palatino Linotype" w:eastAsia="Palatino Linotype" w:hAnsi="Palatino Linotype" w:cs="Palatino Linotype"/>
          <w:i/>
          <w:sz w:val="22"/>
          <w:szCs w:val="22"/>
        </w:rPr>
        <w:lastRenderedPageBreak/>
        <w:t>DESEMPEÑAR LOS CARGOS QUE OCUPAN ACTUALMENTE EN EL HOSPITAL GENERAL VICENTE VILLADA DE CUAUTITLÁN. YA QUE ES UN SECRETO A VOCES QUE HAN MAQUILLADO EL MAL USO DEL RECURSO, ASI COMO DEL MEDICAMENTO CONTROLADO, FALSIFICARON TODO PARA QUE NADIE SE DIERA CUENTA DEL MAL USO QUE LE DAN. MANDENLES UNA AUDITORIA Y VERAN.</w:t>
      </w:r>
      <w:r w:rsidRPr="00487DC9">
        <w:rPr>
          <w:rFonts w:ascii="Palatino Linotype" w:eastAsia="Palatino Linotype" w:hAnsi="Palatino Linotype" w:cs="Palatino Linotype"/>
          <w:i/>
          <w:sz w:val="22"/>
          <w:szCs w:val="22"/>
        </w:rPr>
        <w:t>” (Sic).</w:t>
      </w:r>
    </w:p>
    <w:p w14:paraId="491A34AE" w14:textId="77777777" w:rsidR="0064438D" w:rsidRPr="00487DC9" w:rsidRDefault="0064438D" w:rsidP="00487DC9">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0D63C763" w14:textId="77777777" w:rsidR="0064438D" w:rsidRPr="00487DC9" w:rsidRDefault="00D41907" w:rsidP="00487DC9">
      <w:pPr>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b/>
        </w:rPr>
        <w:t>MODALIDAD DE ENTREGA:</w:t>
      </w:r>
      <w:r w:rsidRPr="00487DC9">
        <w:rPr>
          <w:rFonts w:ascii="Palatino Linotype" w:eastAsia="Palatino Linotype" w:hAnsi="Palatino Linotype" w:cs="Palatino Linotype"/>
        </w:rPr>
        <w:t xml:space="preserve"> vía </w:t>
      </w:r>
      <w:r w:rsidRPr="00487DC9">
        <w:rPr>
          <w:rFonts w:ascii="Palatino Linotype" w:eastAsia="Palatino Linotype" w:hAnsi="Palatino Linotype" w:cs="Palatino Linotype"/>
          <w:b/>
        </w:rPr>
        <w:t xml:space="preserve">SAIMEX. </w:t>
      </w:r>
    </w:p>
    <w:p w14:paraId="47E4E214" w14:textId="77777777" w:rsidR="0064438D" w:rsidRPr="00487DC9" w:rsidRDefault="0064438D" w:rsidP="00487DC9">
      <w:pPr>
        <w:spacing w:line="360" w:lineRule="auto"/>
        <w:jc w:val="both"/>
        <w:rPr>
          <w:rFonts w:ascii="Palatino Linotype" w:eastAsia="Palatino Linotype" w:hAnsi="Palatino Linotype" w:cs="Palatino Linotype"/>
          <w:b/>
        </w:rPr>
      </w:pPr>
    </w:p>
    <w:p w14:paraId="32C1ED30" w14:textId="77777777" w:rsidR="0064438D" w:rsidRPr="00487DC9" w:rsidRDefault="00961BCF" w:rsidP="00487DC9">
      <w:pPr>
        <w:spacing w:line="360" w:lineRule="auto"/>
        <w:jc w:val="both"/>
        <w:rPr>
          <w:rFonts w:ascii="Palatino Linotype" w:eastAsia="Palatino Linotype" w:hAnsi="Palatino Linotype" w:cs="Palatino Linotype"/>
          <w:b/>
          <w:sz w:val="28"/>
          <w:szCs w:val="28"/>
        </w:rPr>
      </w:pPr>
      <w:r w:rsidRPr="00487DC9">
        <w:rPr>
          <w:rFonts w:ascii="Palatino Linotype" w:hAnsi="Palatino Linotype"/>
          <w:b/>
          <w:sz w:val="28"/>
          <w:szCs w:val="28"/>
        </w:rPr>
        <w:t xml:space="preserve">II. </w:t>
      </w:r>
      <w:r w:rsidR="00D41907" w:rsidRPr="00487DC9">
        <w:rPr>
          <w:rFonts w:ascii="Palatino Linotype" w:eastAsia="Palatino Linotype" w:hAnsi="Palatino Linotype" w:cs="Palatino Linotype"/>
          <w:b/>
          <w:sz w:val="28"/>
          <w:szCs w:val="28"/>
        </w:rPr>
        <w:t>Respuesta del Sujeto Obligado</w:t>
      </w:r>
    </w:p>
    <w:p w14:paraId="54B50EB2" w14:textId="77777777" w:rsidR="0064438D" w:rsidRPr="00487DC9" w:rsidRDefault="00D41907" w:rsidP="00487DC9">
      <w:pP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rPr>
        <w:t xml:space="preserve">De las constancias que integran el expediente electrónico del </w:t>
      </w:r>
      <w:r w:rsidRPr="00487DC9">
        <w:rPr>
          <w:rFonts w:ascii="Palatino Linotype" w:eastAsia="Palatino Linotype" w:hAnsi="Palatino Linotype" w:cs="Palatino Linotype"/>
          <w:b/>
        </w:rPr>
        <w:t>SAIMEX</w:t>
      </w:r>
      <w:r w:rsidRPr="00487DC9">
        <w:rPr>
          <w:rFonts w:ascii="Palatino Linotype" w:eastAsia="Palatino Linotype" w:hAnsi="Palatino Linotype" w:cs="Palatino Linotype"/>
        </w:rPr>
        <w:t xml:space="preserve"> se advierte que </w:t>
      </w:r>
      <w:r w:rsidRPr="00487DC9">
        <w:rPr>
          <w:rFonts w:ascii="Palatino Linotype" w:eastAsia="Palatino Linotype" w:hAnsi="Palatino Linotype" w:cs="Palatino Linotype"/>
          <w:b/>
        </w:rPr>
        <w:t>EL SUJETO OBLIGADO</w:t>
      </w:r>
      <w:r w:rsidRPr="00487DC9">
        <w:rPr>
          <w:rFonts w:ascii="Palatino Linotype" w:eastAsia="Palatino Linotype" w:hAnsi="Palatino Linotype" w:cs="Palatino Linotype"/>
        </w:rPr>
        <w:t xml:space="preserve"> dio respuesta a la Solicitud de Acceso a la Información, el </w:t>
      </w:r>
      <w:r w:rsidR="00915C7E" w:rsidRPr="00487DC9">
        <w:rPr>
          <w:rFonts w:ascii="Palatino Linotype" w:eastAsia="Palatino Linotype" w:hAnsi="Palatino Linotype" w:cs="Palatino Linotype"/>
          <w:b/>
        </w:rPr>
        <w:t xml:space="preserve">uno </w:t>
      </w:r>
      <w:r w:rsidR="005573B4" w:rsidRPr="00487DC9">
        <w:rPr>
          <w:rFonts w:ascii="Palatino Linotype" w:eastAsia="Palatino Linotype" w:hAnsi="Palatino Linotype" w:cs="Palatino Linotype"/>
          <w:b/>
        </w:rPr>
        <w:t xml:space="preserve">de febrero </w:t>
      </w:r>
      <w:r w:rsidRPr="00487DC9">
        <w:rPr>
          <w:rFonts w:ascii="Palatino Linotype" w:eastAsia="Palatino Linotype" w:hAnsi="Palatino Linotype" w:cs="Palatino Linotype"/>
          <w:b/>
        </w:rPr>
        <w:t>de dos mil veinticuatro</w:t>
      </w:r>
      <w:r w:rsidRPr="00487DC9">
        <w:rPr>
          <w:rFonts w:ascii="Palatino Linotype" w:eastAsia="Palatino Linotype" w:hAnsi="Palatino Linotype" w:cs="Palatino Linotype"/>
        </w:rPr>
        <w:t>, en los términos que a continuación se citan:</w:t>
      </w:r>
    </w:p>
    <w:p w14:paraId="4101AEB6" w14:textId="77777777" w:rsidR="00DE6135" w:rsidRPr="00487DC9" w:rsidRDefault="00DE6135" w:rsidP="00487DC9">
      <w:pPr>
        <w:jc w:val="both"/>
        <w:rPr>
          <w:rFonts w:ascii="Palatino Linotype" w:eastAsia="Palatino Linotype" w:hAnsi="Palatino Linotype" w:cs="Palatino Linotype"/>
          <w:i/>
          <w:sz w:val="22"/>
          <w:szCs w:val="22"/>
        </w:rPr>
      </w:pPr>
    </w:p>
    <w:p w14:paraId="7898531B" w14:textId="77777777" w:rsidR="00915C7E" w:rsidRPr="00487DC9" w:rsidRDefault="00D41907" w:rsidP="00487DC9">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87DC9">
        <w:rPr>
          <w:rFonts w:ascii="Palatino Linotype" w:eastAsia="Palatino Linotype" w:hAnsi="Palatino Linotype" w:cs="Palatino Linotype"/>
          <w:i/>
          <w:sz w:val="22"/>
          <w:szCs w:val="22"/>
        </w:rPr>
        <w:t>“…</w:t>
      </w:r>
      <w:r w:rsidR="00915C7E" w:rsidRPr="00487DC9">
        <w:rPr>
          <w:rFonts w:ascii="Palatino Linotype" w:eastAsia="Palatino Linotype" w:hAnsi="Palatino Linotype" w:cs="Palatino Linotype"/>
          <w:i/>
          <w:sz w:val="22"/>
          <w:szCs w:val="22"/>
        </w:rPr>
        <w:t>Se da atención a su solicitud.</w:t>
      </w:r>
    </w:p>
    <w:p w14:paraId="06B92E98" w14:textId="77777777" w:rsidR="00915C7E" w:rsidRPr="00487DC9" w:rsidRDefault="00915C7E" w:rsidP="00487DC9">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093D3365" w14:textId="77777777" w:rsidR="00915C7E" w:rsidRPr="00487DC9" w:rsidRDefault="00915C7E" w:rsidP="00487DC9">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87DC9">
        <w:rPr>
          <w:rFonts w:ascii="Palatino Linotype" w:eastAsia="Palatino Linotype" w:hAnsi="Palatino Linotype" w:cs="Palatino Linotype"/>
          <w:i/>
          <w:sz w:val="22"/>
          <w:szCs w:val="22"/>
        </w:rPr>
        <w:t>ATENTAMENTE</w:t>
      </w:r>
    </w:p>
    <w:p w14:paraId="0BE969AF" w14:textId="77777777" w:rsidR="00915C7E" w:rsidRPr="00487DC9" w:rsidRDefault="00915C7E" w:rsidP="00487DC9">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48816B3" w14:textId="77777777" w:rsidR="0064438D" w:rsidRPr="00487DC9" w:rsidRDefault="00915C7E" w:rsidP="00487DC9">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87DC9">
        <w:rPr>
          <w:rFonts w:ascii="Palatino Linotype" w:eastAsia="Palatino Linotype" w:hAnsi="Palatino Linotype" w:cs="Palatino Linotype"/>
          <w:i/>
          <w:sz w:val="22"/>
          <w:szCs w:val="22"/>
        </w:rPr>
        <w:t>LIC. ENRIQUE VINCENT DÁVILA</w:t>
      </w:r>
      <w:r w:rsidR="00D41907" w:rsidRPr="00487DC9">
        <w:rPr>
          <w:rFonts w:ascii="Palatino Linotype" w:eastAsia="Palatino Linotype" w:hAnsi="Palatino Linotype" w:cs="Palatino Linotype"/>
          <w:i/>
          <w:sz w:val="22"/>
          <w:szCs w:val="22"/>
        </w:rPr>
        <w:t xml:space="preserve">” (sic) </w:t>
      </w:r>
    </w:p>
    <w:p w14:paraId="43DB8660" w14:textId="77777777" w:rsidR="0092425D" w:rsidRPr="00487DC9" w:rsidRDefault="0092425D" w:rsidP="00487DC9">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57BEF74D" w14:textId="77777777" w:rsidR="00915C7E" w:rsidRPr="00487DC9" w:rsidRDefault="0092425D" w:rsidP="00487DC9">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r w:rsidRPr="00487DC9">
        <w:rPr>
          <w:rFonts w:ascii="Palatino Linotype" w:hAnsi="Palatino Linotype" w:cs="Arial"/>
          <w:lang w:val="es-ES_tradnl"/>
        </w:rPr>
        <w:t xml:space="preserve">Asimismo, </w:t>
      </w:r>
      <w:r w:rsidR="005573B4" w:rsidRPr="00487DC9">
        <w:rPr>
          <w:rFonts w:ascii="Palatino Linotype" w:hAnsi="Palatino Linotype" w:cs="Arial"/>
          <w:b/>
          <w:lang w:val="es-ES_tradnl"/>
        </w:rPr>
        <w:t xml:space="preserve">EL SUJETO OBLIGADO </w:t>
      </w:r>
      <w:r w:rsidRPr="00487DC9">
        <w:rPr>
          <w:rFonts w:ascii="Palatino Linotype" w:hAnsi="Palatino Linotype" w:cs="Arial"/>
          <w:lang w:val="es-ES_tradnl"/>
        </w:rPr>
        <w:t xml:space="preserve">adjuntó a su </w:t>
      </w:r>
      <w:r w:rsidR="005573B4" w:rsidRPr="00487DC9">
        <w:rPr>
          <w:rFonts w:ascii="Palatino Linotype" w:hAnsi="Palatino Linotype" w:cs="Arial"/>
          <w:lang w:val="es-ES_tradnl"/>
        </w:rPr>
        <w:t xml:space="preserve">respuesta el archivo electrónico denominado </w:t>
      </w:r>
      <w:r w:rsidR="00915C7E" w:rsidRPr="00487DC9">
        <w:rPr>
          <w:rFonts w:ascii="Palatino Linotype" w:hAnsi="Palatino Linotype" w:cs="Arial"/>
          <w:b/>
          <w:i/>
          <w:lang w:val="es-ES_tradnl"/>
        </w:rPr>
        <w:t xml:space="preserve">sol 00002 2024.pdf, </w:t>
      </w:r>
      <w:r w:rsidR="00915C7E" w:rsidRPr="00487DC9">
        <w:rPr>
          <w:rFonts w:ascii="Palatino Linotype" w:hAnsi="Palatino Linotype" w:cs="Arial"/>
          <w:lang w:val="es-ES_tradnl"/>
        </w:rPr>
        <w:t xml:space="preserve">el cual contiene oficio del uno de febrero de dos mil veinticuatro, por medio del cual la Jefa de la Unidad de Información, Planeación, Programación y Evaluación, refirió que del análisis realizado se identificó que la información solicitada no es administrada por unidades administrativas u órganos desconcentrados pertenecientes a la Secretaría de Salud del Estado de México, derivado que la unidad administrativa y/o médica referida, forma parte de la infraestructura en salud del Instituto de Salud del Estado de México (ISEM), por lo que, se encuentra imposibilitado de dar atención a la solicitud, sugiriendo sea canalizada la </w:t>
      </w:r>
      <w:r w:rsidR="00915C7E" w:rsidRPr="00487DC9">
        <w:rPr>
          <w:rFonts w:ascii="Palatino Linotype" w:hAnsi="Palatino Linotype" w:cs="Arial"/>
          <w:lang w:val="es-ES_tradnl"/>
        </w:rPr>
        <w:lastRenderedPageBreak/>
        <w:t>solicitud al Instituto de Salud del Estado de México</w:t>
      </w:r>
      <w:r w:rsidR="006D693D" w:rsidRPr="00487DC9">
        <w:rPr>
          <w:rFonts w:ascii="Palatino Linotype" w:hAnsi="Palatino Linotype" w:cs="Arial"/>
          <w:lang w:val="es-ES_tradnl"/>
        </w:rPr>
        <w:t>.</w:t>
      </w:r>
    </w:p>
    <w:p w14:paraId="54222A6D" w14:textId="77777777" w:rsidR="00F5246B" w:rsidRPr="00487DC9" w:rsidRDefault="00F5246B" w:rsidP="00487DC9">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3DC26F30" w14:textId="77777777" w:rsidR="0064438D" w:rsidRPr="00487DC9" w:rsidRDefault="00F5246B" w:rsidP="00487DC9">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b/>
          <w:sz w:val="28"/>
          <w:szCs w:val="28"/>
        </w:rPr>
        <w:t>I</w:t>
      </w:r>
      <w:r w:rsidR="006D693D" w:rsidRPr="00487DC9">
        <w:rPr>
          <w:rFonts w:ascii="Palatino Linotype" w:eastAsia="Palatino Linotype" w:hAnsi="Palatino Linotype" w:cs="Palatino Linotype"/>
          <w:b/>
          <w:sz w:val="28"/>
          <w:szCs w:val="28"/>
        </w:rPr>
        <w:t>II</w:t>
      </w:r>
      <w:r w:rsidR="00D41907" w:rsidRPr="00487DC9">
        <w:rPr>
          <w:rFonts w:ascii="Palatino Linotype" w:eastAsia="Palatino Linotype" w:hAnsi="Palatino Linotype" w:cs="Palatino Linotype"/>
          <w:b/>
          <w:sz w:val="28"/>
          <w:szCs w:val="28"/>
        </w:rPr>
        <w:t>. Del Recurso de Revisión</w:t>
      </w:r>
    </w:p>
    <w:p w14:paraId="67306B3D" w14:textId="77777777" w:rsidR="0064438D" w:rsidRPr="00487DC9" w:rsidRDefault="00D41907" w:rsidP="00487DC9">
      <w:pPr>
        <w:pBdr>
          <w:top w:val="nil"/>
          <w:left w:val="nil"/>
          <w:bottom w:val="nil"/>
          <w:right w:val="nil"/>
          <w:between w:val="nil"/>
        </w:pBdr>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rPr>
        <w:t xml:space="preserve">Inconforme con la respuesta del </w:t>
      </w:r>
      <w:r w:rsidRPr="00487DC9">
        <w:rPr>
          <w:rFonts w:ascii="Palatino Linotype" w:eastAsia="Palatino Linotype" w:hAnsi="Palatino Linotype" w:cs="Palatino Linotype"/>
          <w:b/>
        </w:rPr>
        <w:t>SUJETO OBLIGADO</w:t>
      </w:r>
      <w:r w:rsidRPr="00487DC9">
        <w:rPr>
          <w:rFonts w:ascii="Palatino Linotype" w:eastAsia="Palatino Linotype" w:hAnsi="Palatino Linotype" w:cs="Palatino Linotype"/>
        </w:rPr>
        <w:t xml:space="preserve">, el </w:t>
      </w:r>
      <w:r w:rsidR="006D693D" w:rsidRPr="00487DC9">
        <w:rPr>
          <w:rFonts w:ascii="Palatino Linotype" w:eastAsia="Palatino Linotype" w:hAnsi="Palatino Linotype" w:cs="Palatino Linotype"/>
        </w:rPr>
        <w:t xml:space="preserve">doce de febrero </w:t>
      </w:r>
      <w:r w:rsidRPr="00487DC9">
        <w:rPr>
          <w:rFonts w:ascii="Palatino Linotype" w:eastAsia="Palatino Linotype" w:hAnsi="Palatino Linotype" w:cs="Palatino Linotype"/>
        </w:rPr>
        <w:t xml:space="preserve">de dos mil veinticuatro, </w:t>
      </w:r>
      <w:r w:rsidR="002204AE" w:rsidRPr="00487DC9">
        <w:rPr>
          <w:rFonts w:ascii="Palatino Linotype" w:eastAsia="Palatino Linotype" w:hAnsi="Palatino Linotype" w:cs="Palatino Linotype"/>
          <w:b/>
        </w:rPr>
        <w:t>LA</w:t>
      </w:r>
      <w:r w:rsidRPr="00487DC9">
        <w:rPr>
          <w:rFonts w:ascii="Palatino Linotype" w:eastAsia="Palatino Linotype" w:hAnsi="Palatino Linotype" w:cs="Palatino Linotype"/>
          <w:b/>
        </w:rPr>
        <w:t xml:space="preserve"> RECURRENTE </w:t>
      </w:r>
      <w:r w:rsidRPr="00487DC9">
        <w:rPr>
          <w:rFonts w:ascii="Palatino Linotype" w:eastAsia="Palatino Linotype" w:hAnsi="Palatino Linotype" w:cs="Palatino Linotype"/>
        </w:rPr>
        <w:t xml:space="preserve">interpuso el Recurso de Revisión objeto del presente estudio, el cual fue registrado en </w:t>
      </w:r>
      <w:r w:rsidRPr="00487DC9">
        <w:rPr>
          <w:rFonts w:ascii="Palatino Linotype" w:eastAsia="Palatino Linotype" w:hAnsi="Palatino Linotype" w:cs="Palatino Linotype"/>
          <w:b/>
        </w:rPr>
        <w:t xml:space="preserve">EL SAIMEX </w:t>
      </w:r>
      <w:r w:rsidRPr="00487DC9">
        <w:rPr>
          <w:rFonts w:ascii="Palatino Linotype" w:eastAsia="Palatino Linotype" w:hAnsi="Palatino Linotype" w:cs="Palatino Linotype"/>
        </w:rPr>
        <w:t xml:space="preserve">y se le asignó el número de expediente </w:t>
      </w:r>
      <w:r w:rsidRPr="00487DC9">
        <w:rPr>
          <w:rFonts w:ascii="Palatino Linotype" w:eastAsia="Palatino Linotype" w:hAnsi="Palatino Linotype" w:cs="Palatino Linotype"/>
          <w:b/>
        </w:rPr>
        <w:t>00</w:t>
      </w:r>
      <w:r w:rsidR="006D693D" w:rsidRPr="00487DC9">
        <w:rPr>
          <w:rFonts w:ascii="Palatino Linotype" w:eastAsia="Palatino Linotype" w:hAnsi="Palatino Linotype" w:cs="Palatino Linotype"/>
          <w:b/>
        </w:rPr>
        <w:t>822</w:t>
      </w:r>
      <w:r w:rsidRPr="00487DC9">
        <w:rPr>
          <w:rFonts w:ascii="Palatino Linotype" w:eastAsia="Palatino Linotype" w:hAnsi="Palatino Linotype" w:cs="Palatino Linotype"/>
          <w:b/>
        </w:rPr>
        <w:t>/INFOEM/IP/RR/2024,</w:t>
      </w:r>
      <w:r w:rsidRPr="00487DC9">
        <w:rPr>
          <w:rFonts w:ascii="Palatino Linotype" w:eastAsia="Palatino Linotype" w:hAnsi="Palatino Linotype" w:cs="Palatino Linotype"/>
        </w:rPr>
        <w:t xml:space="preserve"> en el que señaló como:</w:t>
      </w:r>
    </w:p>
    <w:p w14:paraId="478EE517" w14:textId="77777777" w:rsidR="0064438D" w:rsidRPr="00487DC9" w:rsidRDefault="0064438D" w:rsidP="00487DC9">
      <w:pPr>
        <w:spacing w:line="360" w:lineRule="auto"/>
        <w:ind w:right="899"/>
        <w:jc w:val="both"/>
        <w:rPr>
          <w:rFonts w:ascii="Palatino Linotype" w:eastAsia="Palatino Linotype" w:hAnsi="Palatino Linotype" w:cs="Palatino Linotype"/>
          <w:i/>
          <w:sz w:val="22"/>
          <w:szCs w:val="22"/>
        </w:rPr>
      </w:pPr>
    </w:p>
    <w:p w14:paraId="4FF78CB4" w14:textId="77777777" w:rsidR="006D693D" w:rsidRPr="00487DC9" w:rsidRDefault="00D41907" w:rsidP="00487DC9">
      <w:pPr>
        <w:pBdr>
          <w:top w:val="nil"/>
          <w:left w:val="nil"/>
          <w:bottom w:val="nil"/>
          <w:right w:val="nil"/>
          <w:between w:val="nil"/>
        </w:pBdr>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b/>
        </w:rPr>
        <w:t>Acto impugnado</w:t>
      </w:r>
      <w:r w:rsidR="006D693D" w:rsidRPr="00487DC9">
        <w:rPr>
          <w:rFonts w:ascii="Palatino Linotype" w:eastAsia="Palatino Linotype" w:hAnsi="Palatino Linotype" w:cs="Palatino Linotype"/>
          <w:b/>
        </w:rPr>
        <w:t xml:space="preserve">: </w:t>
      </w:r>
    </w:p>
    <w:p w14:paraId="66DDBE10" w14:textId="77777777" w:rsidR="006D693D" w:rsidRPr="00487DC9" w:rsidRDefault="006D693D" w:rsidP="00487DC9">
      <w:pPr>
        <w:ind w:left="851" w:right="899"/>
        <w:jc w:val="both"/>
        <w:rPr>
          <w:rFonts w:ascii="Palatino Linotype" w:eastAsia="Palatino Linotype" w:hAnsi="Palatino Linotype" w:cs="Palatino Linotype"/>
          <w:i/>
          <w:sz w:val="22"/>
          <w:szCs w:val="22"/>
        </w:rPr>
      </w:pPr>
    </w:p>
    <w:p w14:paraId="63D1627F" w14:textId="3527C655" w:rsidR="006D693D" w:rsidRPr="00487DC9" w:rsidRDefault="006D693D" w:rsidP="00487DC9">
      <w:pPr>
        <w:ind w:left="851" w:right="899"/>
        <w:jc w:val="both"/>
        <w:rPr>
          <w:rFonts w:ascii="Palatino Linotype" w:eastAsia="Palatino Linotype" w:hAnsi="Palatino Linotype" w:cs="Palatino Linotype"/>
          <w:i/>
          <w:sz w:val="22"/>
          <w:szCs w:val="22"/>
        </w:rPr>
      </w:pPr>
      <w:r w:rsidRPr="00487DC9">
        <w:rPr>
          <w:rFonts w:ascii="Palatino Linotype" w:eastAsia="Palatino Linotype" w:hAnsi="Palatino Linotype" w:cs="Palatino Linotype"/>
          <w:i/>
          <w:sz w:val="22"/>
          <w:szCs w:val="22"/>
        </w:rPr>
        <w:t xml:space="preserve">“QUIERO QUE ME PROPORCIONEN EL DOCUMENTO CON QUE ACREDITAN EL GRADO MAXIMO DE ESTUDIOS DE LOS C.C </w:t>
      </w:r>
      <w:r w:rsidR="00556F00">
        <w:rPr>
          <w:rFonts w:ascii="Palatino Linotype" w:eastAsia="Palatino Linotype" w:hAnsi="Palatino Linotype" w:cs="Palatino Linotype"/>
          <w:i/>
          <w:sz w:val="22"/>
          <w:szCs w:val="22"/>
        </w:rPr>
        <w:t>XXXXXXX XXXXXXXX XXXXXXX</w:t>
      </w:r>
      <w:r w:rsidRPr="00487DC9">
        <w:rPr>
          <w:rFonts w:ascii="Palatino Linotype" w:eastAsia="Palatino Linotype" w:hAnsi="Palatino Linotype" w:cs="Palatino Linotype"/>
          <w:i/>
          <w:sz w:val="22"/>
          <w:szCs w:val="22"/>
        </w:rPr>
        <w:t xml:space="preserve"> Y </w:t>
      </w:r>
      <w:r w:rsidR="00556F00">
        <w:rPr>
          <w:rFonts w:ascii="Palatino Linotype" w:eastAsia="Palatino Linotype" w:hAnsi="Palatino Linotype" w:cs="Palatino Linotype"/>
          <w:i/>
          <w:sz w:val="22"/>
          <w:szCs w:val="22"/>
        </w:rPr>
        <w:t>XXXXX XXXXXXX XXXX</w:t>
      </w:r>
      <w:r w:rsidRPr="00487DC9">
        <w:rPr>
          <w:rFonts w:ascii="Palatino Linotype" w:eastAsia="Palatino Linotype" w:hAnsi="Palatino Linotype" w:cs="Palatino Linotype"/>
          <w:i/>
          <w:sz w:val="22"/>
          <w:szCs w:val="22"/>
        </w:rPr>
        <w:t>, ASÍ COMO EL CURRICULUM VITAE CON LA DUCUMENTACIÓN PROBATORIA QUE AMPAREN QUE CUENTAN CON LA EXPERIENCIA NECESARIA PARA DESEMPEÑAR LOS CARGOS QUE OCUPAN ACTUALMENTE EN EL HOSPITAL GENERAL VICENTE VILLADA DE CUAUTITLÁN. YA QUE ES UN SECRETO A VOCES QUE HAN MAQUILLADO EL MAL USO DEL RECURSO, ASI COMO DEL MEDICAMENTO CONTROLADO, FALSIFICARON TODO PARA QUE NADIE SE DIERA CUENTA DEL MAL USO QUE LE DAN. MANDENLES UNA AUDITORIA Y VERAN. (SIC)</w:t>
      </w:r>
    </w:p>
    <w:p w14:paraId="72BC978C" w14:textId="77777777" w:rsidR="006D693D" w:rsidRPr="00487DC9" w:rsidRDefault="006D693D" w:rsidP="00487DC9">
      <w:pPr>
        <w:ind w:left="851" w:right="899"/>
        <w:jc w:val="both"/>
        <w:rPr>
          <w:rFonts w:ascii="Palatino Linotype" w:eastAsia="Palatino Linotype" w:hAnsi="Palatino Linotype" w:cs="Palatino Linotype"/>
          <w:i/>
          <w:sz w:val="22"/>
          <w:szCs w:val="22"/>
        </w:rPr>
      </w:pPr>
    </w:p>
    <w:p w14:paraId="480EC7E6" w14:textId="77777777" w:rsidR="0064438D" w:rsidRPr="00487DC9" w:rsidRDefault="006D693D" w:rsidP="00487DC9">
      <w:pPr>
        <w:pBdr>
          <w:top w:val="nil"/>
          <w:left w:val="nil"/>
          <w:bottom w:val="nil"/>
          <w:right w:val="nil"/>
          <w:between w:val="nil"/>
        </w:pBdr>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b/>
        </w:rPr>
        <w:t>R</w:t>
      </w:r>
      <w:r w:rsidR="00D1318A" w:rsidRPr="00487DC9">
        <w:rPr>
          <w:rFonts w:ascii="Palatino Linotype" w:eastAsia="Palatino Linotype" w:hAnsi="Palatino Linotype" w:cs="Palatino Linotype"/>
          <w:b/>
        </w:rPr>
        <w:t>azones o motivos de inconformidad</w:t>
      </w:r>
      <w:r w:rsidR="00D41907" w:rsidRPr="00487DC9">
        <w:rPr>
          <w:rFonts w:ascii="Palatino Linotype" w:eastAsia="Palatino Linotype" w:hAnsi="Palatino Linotype" w:cs="Palatino Linotype"/>
          <w:b/>
        </w:rPr>
        <w:t xml:space="preserve">: </w:t>
      </w:r>
    </w:p>
    <w:p w14:paraId="7A17AE13" w14:textId="77777777" w:rsidR="0064438D" w:rsidRPr="00487DC9" w:rsidRDefault="0064438D" w:rsidP="00487DC9">
      <w:pPr>
        <w:ind w:left="851" w:right="899"/>
        <w:jc w:val="both"/>
        <w:rPr>
          <w:rFonts w:ascii="Palatino Linotype" w:eastAsia="Palatino Linotype" w:hAnsi="Palatino Linotype" w:cs="Palatino Linotype"/>
          <w:i/>
          <w:sz w:val="22"/>
          <w:szCs w:val="22"/>
        </w:rPr>
      </w:pPr>
    </w:p>
    <w:p w14:paraId="797E01D7" w14:textId="77777777" w:rsidR="0064438D" w:rsidRPr="00487DC9" w:rsidRDefault="00E23EF3" w:rsidP="00487DC9">
      <w:pPr>
        <w:ind w:left="851" w:right="899"/>
        <w:jc w:val="both"/>
        <w:rPr>
          <w:rFonts w:ascii="Palatino Linotype" w:eastAsia="Palatino Linotype" w:hAnsi="Palatino Linotype" w:cs="Palatino Linotype"/>
          <w:i/>
          <w:sz w:val="22"/>
          <w:szCs w:val="22"/>
        </w:rPr>
      </w:pPr>
      <w:r w:rsidRPr="00487DC9">
        <w:rPr>
          <w:rFonts w:ascii="Palatino Linotype" w:eastAsia="Palatino Linotype" w:hAnsi="Palatino Linotype" w:cs="Palatino Linotype"/>
          <w:i/>
          <w:sz w:val="22"/>
          <w:szCs w:val="22"/>
        </w:rPr>
        <w:t>“</w:t>
      </w:r>
      <w:r w:rsidR="006D693D" w:rsidRPr="00487DC9">
        <w:rPr>
          <w:rFonts w:ascii="Palatino Linotype" w:eastAsia="Palatino Linotype" w:hAnsi="Palatino Linotype" w:cs="Palatino Linotype"/>
          <w:i/>
          <w:sz w:val="22"/>
          <w:szCs w:val="22"/>
        </w:rPr>
        <w:t>ELLOS COMO SUJETO OBLIGADO DEBEN PROPORCIONAR LA INFORMACION QUE SOLICITE, YA QUE LOS HOSPITALES COMO TAL NO TIENEN SU DEPARTAMENTO DE ACCESO A LA INFORMACIÓN O TRANSPARENCIA Y EN LAS OPCIONES SOLO APARECE LA SECRETARIA Y SON ELLOS LOS QUE DEBEN SOLICITAR LA INFORMACION A LOS HOSPITALES PARA DAR RESPUESTA Y NO ANDAR MANDANDO CARTAS INSULSAS. NO ME DIERON RESPUESTA.</w:t>
      </w:r>
      <w:r w:rsidR="00D41907" w:rsidRPr="00487DC9">
        <w:rPr>
          <w:rFonts w:ascii="Palatino Linotype" w:eastAsia="Palatino Linotype" w:hAnsi="Palatino Linotype" w:cs="Palatino Linotype"/>
          <w:i/>
          <w:sz w:val="22"/>
          <w:szCs w:val="22"/>
        </w:rPr>
        <w:t xml:space="preserve">” (sic) </w:t>
      </w:r>
    </w:p>
    <w:p w14:paraId="72198785" w14:textId="77777777" w:rsidR="0064438D" w:rsidRPr="00487DC9" w:rsidRDefault="0064438D" w:rsidP="00487DC9">
      <w:pPr>
        <w:ind w:left="851" w:right="899"/>
        <w:jc w:val="both"/>
        <w:rPr>
          <w:rFonts w:ascii="Palatino Linotype" w:eastAsia="Palatino Linotype" w:hAnsi="Palatino Linotype" w:cs="Palatino Linotype"/>
          <w:i/>
          <w:sz w:val="22"/>
          <w:szCs w:val="22"/>
        </w:rPr>
      </w:pPr>
    </w:p>
    <w:p w14:paraId="5870E13E" w14:textId="77777777" w:rsidR="0064438D" w:rsidRPr="00487DC9" w:rsidRDefault="006D693D" w:rsidP="00487DC9">
      <w:pPr>
        <w:spacing w:line="360" w:lineRule="auto"/>
        <w:jc w:val="both"/>
        <w:rPr>
          <w:rFonts w:ascii="Palatino Linotype" w:eastAsia="Palatino Linotype" w:hAnsi="Palatino Linotype" w:cs="Palatino Linotype"/>
          <w:b/>
          <w:sz w:val="28"/>
          <w:szCs w:val="28"/>
        </w:rPr>
      </w:pPr>
      <w:r w:rsidRPr="00487DC9">
        <w:rPr>
          <w:rFonts w:ascii="Palatino Linotype" w:eastAsia="Palatino Linotype" w:hAnsi="Palatino Linotype" w:cs="Palatino Linotype"/>
          <w:b/>
          <w:sz w:val="28"/>
          <w:szCs w:val="28"/>
        </w:rPr>
        <w:t>I</w:t>
      </w:r>
      <w:r w:rsidR="00D41907" w:rsidRPr="00487DC9">
        <w:rPr>
          <w:rFonts w:ascii="Palatino Linotype" w:eastAsia="Palatino Linotype" w:hAnsi="Palatino Linotype" w:cs="Palatino Linotype"/>
          <w:b/>
          <w:sz w:val="28"/>
          <w:szCs w:val="28"/>
        </w:rPr>
        <w:t>V. Del turno del Recurso de Revisión</w:t>
      </w:r>
    </w:p>
    <w:p w14:paraId="7D7DDEF6" w14:textId="77777777" w:rsidR="0064438D" w:rsidRPr="00487DC9" w:rsidRDefault="00D41907" w:rsidP="00487DC9">
      <w:pPr>
        <w:pBdr>
          <w:top w:val="nil"/>
          <w:left w:val="nil"/>
          <w:bottom w:val="nil"/>
          <w:right w:val="nil"/>
          <w:between w:val="nil"/>
        </w:pBd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6D693D" w:rsidRPr="00487DC9">
        <w:rPr>
          <w:rFonts w:ascii="Palatino Linotype" w:eastAsia="Palatino Linotype" w:hAnsi="Palatino Linotype" w:cs="Palatino Linotype"/>
          <w:b/>
        </w:rPr>
        <w:t>doce</w:t>
      </w:r>
      <w:r w:rsidR="006D78AD" w:rsidRPr="00487DC9">
        <w:rPr>
          <w:rFonts w:ascii="Palatino Linotype" w:eastAsia="Palatino Linotype" w:hAnsi="Palatino Linotype" w:cs="Palatino Linotype"/>
          <w:b/>
        </w:rPr>
        <w:t xml:space="preserve"> </w:t>
      </w:r>
      <w:r w:rsidR="005E3414" w:rsidRPr="00487DC9">
        <w:rPr>
          <w:rFonts w:ascii="Palatino Linotype" w:eastAsia="Palatino Linotype" w:hAnsi="Palatino Linotype" w:cs="Palatino Linotype"/>
          <w:b/>
        </w:rPr>
        <w:t xml:space="preserve">de </w:t>
      </w:r>
      <w:r w:rsidR="00045977" w:rsidRPr="00487DC9">
        <w:rPr>
          <w:rFonts w:ascii="Palatino Linotype" w:eastAsia="Palatino Linotype" w:hAnsi="Palatino Linotype" w:cs="Palatino Linotype"/>
          <w:b/>
        </w:rPr>
        <w:t>febrero de</w:t>
      </w:r>
      <w:r w:rsidRPr="00487DC9">
        <w:rPr>
          <w:rFonts w:ascii="Palatino Linotype" w:eastAsia="Palatino Linotype" w:hAnsi="Palatino Linotype" w:cs="Palatino Linotype"/>
          <w:b/>
        </w:rPr>
        <w:t xml:space="preserve"> dos mil veinticuatro</w:t>
      </w:r>
      <w:r w:rsidRPr="00487DC9">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487DC9">
        <w:rPr>
          <w:rFonts w:ascii="Palatino Linotype" w:eastAsia="Palatino Linotype" w:hAnsi="Palatino Linotype" w:cs="Palatino Linotype"/>
          <w:b/>
        </w:rPr>
        <w:t>SAIMEX</w:t>
      </w:r>
      <w:r w:rsidRPr="00487DC9">
        <w:rPr>
          <w:rFonts w:ascii="Palatino Linotype" w:eastAsia="Palatino Linotype" w:hAnsi="Palatino Linotype" w:cs="Palatino Linotype"/>
        </w:rPr>
        <w:t xml:space="preserve">, a la comisionada </w:t>
      </w:r>
      <w:r w:rsidRPr="00487DC9">
        <w:rPr>
          <w:rFonts w:ascii="Palatino Linotype" w:eastAsia="Palatino Linotype" w:hAnsi="Palatino Linotype" w:cs="Palatino Linotype"/>
          <w:b/>
        </w:rPr>
        <w:t>Sharon Cristina Morales Martínez</w:t>
      </w:r>
      <w:r w:rsidRPr="00487DC9">
        <w:rPr>
          <w:rFonts w:ascii="Palatino Linotype" w:eastAsia="Palatino Linotype" w:hAnsi="Palatino Linotype" w:cs="Palatino Linotype"/>
        </w:rPr>
        <w:t>, a efecto de decretar su admisión o desechamiento.</w:t>
      </w:r>
    </w:p>
    <w:p w14:paraId="60DF8298" w14:textId="77777777" w:rsidR="0064438D" w:rsidRPr="00487DC9" w:rsidRDefault="0064438D" w:rsidP="00487DC9">
      <w:pPr>
        <w:pBdr>
          <w:top w:val="nil"/>
          <w:left w:val="nil"/>
          <w:bottom w:val="nil"/>
          <w:right w:val="nil"/>
          <w:between w:val="nil"/>
        </w:pBdr>
        <w:spacing w:line="360" w:lineRule="auto"/>
        <w:jc w:val="both"/>
        <w:rPr>
          <w:rFonts w:ascii="Palatino Linotype" w:eastAsia="Palatino Linotype" w:hAnsi="Palatino Linotype" w:cs="Palatino Linotype"/>
        </w:rPr>
      </w:pPr>
    </w:p>
    <w:p w14:paraId="79A1EB8A" w14:textId="77777777" w:rsidR="0064438D" w:rsidRPr="00487DC9" w:rsidRDefault="00D41907" w:rsidP="00487DC9">
      <w:pPr>
        <w:tabs>
          <w:tab w:val="center" w:pos="4252"/>
          <w:tab w:val="right" w:pos="8504"/>
        </w:tabs>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b/>
        </w:rPr>
        <w:t>a) Admisión del Recurso de Revisión</w:t>
      </w:r>
    </w:p>
    <w:p w14:paraId="53D603AB" w14:textId="77777777" w:rsidR="0064438D" w:rsidRPr="00487DC9" w:rsidRDefault="00D41907" w:rsidP="00487DC9">
      <w:pPr>
        <w:pBdr>
          <w:top w:val="nil"/>
          <w:left w:val="nil"/>
          <w:bottom w:val="nil"/>
          <w:right w:val="nil"/>
          <w:between w:val="nil"/>
        </w:pBdr>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rPr>
        <w:t>De las constancias del expediente electrónico del</w:t>
      </w:r>
      <w:r w:rsidRPr="00487DC9">
        <w:rPr>
          <w:rFonts w:ascii="Palatino Linotype" w:eastAsia="Palatino Linotype" w:hAnsi="Palatino Linotype" w:cs="Palatino Linotype"/>
          <w:b/>
        </w:rPr>
        <w:t xml:space="preserve"> SAIMEX</w:t>
      </w:r>
      <w:r w:rsidRPr="00487DC9">
        <w:rPr>
          <w:rFonts w:ascii="Palatino Linotype" w:eastAsia="Palatino Linotype" w:hAnsi="Palatino Linotype" w:cs="Palatino Linotype"/>
        </w:rPr>
        <w:t xml:space="preserve">, se advierte que el </w:t>
      </w:r>
      <w:r w:rsidR="00D1318A" w:rsidRPr="00487DC9">
        <w:rPr>
          <w:rFonts w:ascii="Palatino Linotype" w:eastAsia="Palatino Linotype" w:hAnsi="Palatino Linotype" w:cs="Palatino Linotype"/>
          <w:b/>
        </w:rPr>
        <w:t>trece</w:t>
      </w:r>
      <w:r w:rsidR="006D78AD" w:rsidRPr="00487DC9">
        <w:rPr>
          <w:rFonts w:ascii="Palatino Linotype" w:eastAsia="Palatino Linotype" w:hAnsi="Palatino Linotype" w:cs="Palatino Linotype"/>
          <w:b/>
        </w:rPr>
        <w:t xml:space="preserve"> </w:t>
      </w:r>
      <w:r w:rsidR="005E3414" w:rsidRPr="00487DC9">
        <w:rPr>
          <w:rFonts w:ascii="Palatino Linotype" w:eastAsia="Palatino Linotype" w:hAnsi="Palatino Linotype" w:cs="Palatino Linotype"/>
          <w:b/>
        </w:rPr>
        <w:t xml:space="preserve">de </w:t>
      </w:r>
      <w:r w:rsidR="00045977" w:rsidRPr="00487DC9">
        <w:rPr>
          <w:rFonts w:ascii="Palatino Linotype" w:eastAsia="Palatino Linotype" w:hAnsi="Palatino Linotype" w:cs="Palatino Linotype"/>
          <w:b/>
        </w:rPr>
        <w:t xml:space="preserve">febrero </w:t>
      </w:r>
      <w:r w:rsidRPr="00487DC9">
        <w:rPr>
          <w:rFonts w:ascii="Palatino Linotype" w:eastAsia="Palatino Linotype" w:hAnsi="Palatino Linotype" w:cs="Palatino Linotype"/>
          <w:b/>
        </w:rPr>
        <w:t>de dos mil veinticuatro</w:t>
      </w:r>
      <w:r w:rsidRPr="00487DC9">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002204AE" w:rsidRPr="00487DC9">
        <w:rPr>
          <w:rFonts w:ascii="Palatino Linotype" w:eastAsia="Palatino Linotype" w:hAnsi="Palatino Linotype" w:cs="Palatino Linotype"/>
          <w:b/>
        </w:rPr>
        <w:t>LA</w:t>
      </w:r>
      <w:r w:rsidRPr="00487DC9">
        <w:rPr>
          <w:rFonts w:ascii="Palatino Linotype" w:eastAsia="Palatino Linotype" w:hAnsi="Palatino Linotype" w:cs="Palatino Linotype"/>
          <w:b/>
        </w:rPr>
        <w:t xml:space="preserve"> RECURRENTE </w:t>
      </w:r>
      <w:r w:rsidRPr="00487DC9">
        <w:rPr>
          <w:rFonts w:ascii="Palatino Linotype" w:eastAsia="Palatino Linotype" w:hAnsi="Palatino Linotype" w:cs="Palatino Linotype"/>
        </w:rPr>
        <w:t xml:space="preserve">manifestara lo que a su derecho conviniera, a efecto de presentar pruebas o alegatos y, en su caso, </w:t>
      </w:r>
      <w:r w:rsidRPr="00487DC9">
        <w:rPr>
          <w:rFonts w:ascii="Palatino Linotype" w:eastAsia="Palatino Linotype" w:hAnsi="Palatino Linotype" w:cs="Palatino Linotype"/>
          <w:b/>
        </w:rPr>
        <w:t xml:space="preserve">EL SUJETO OBLIGADO </w:t>
      </w:r>
      <w:r w:rsidRPr="00487DC9">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54579EBF" w14:textId="77777777" w:rsidR="0064438D" w:rsidRPr="00487DC9" w:rsidRDefault="0064438D" w:rsidP="00487DC9">
      <w:pPr>
        <w:pBdr>
          <w:top w:val="nil"/>
          <w:left w:val="nil"/>
          <w:bottom w:val="nil"/>
          <w:right w:val="nil"/>
          <w:between w:val="nil"/>
        </w:pBdr>
        <w:spacing w:line="360" w:lineRule="auto"/>
        <w:jc w:val="both"/>
        <w:rPr>
          <w:rFonts w:ascii="Palatino Linotype" w:eastAsia="Palatino Linotype" w:hAnsi="Palatino Linotype" w:cs="Palatino Linotype"/>
        </w:rPr>
      </w:pPr>
    </w:p>
    <w:p w14:paraId="4071E73E" w14:textId="77777777" w:rsidR="00487DC9" w:rsidRPr="00487DC9" w:rsidRDefault="00487DC9" w:rsidP="00487DC9">
      <w:pPr>
        <w:pBdr>
          <w:top w:val="nil"/>
          <w:left w:val="nil"/>
          <w:bottom w:val="nil"/>
          <w:right w:val="nil"/>
          <w:between w:val="nil"/>
        </w:pBdr>
        <w:spacing w:line="360" w:lineRule="auto"/>
        <w:jc w:val="both"/>
        <w:rPr>
          <w:rFonts w:ascii="Palatino Linotype" w:eastAsia="Palatino Linotype" w:hAnsi="Palatino Linotype" w:cs="Palatino Linotype"/>
        </w:rPr>
      </w:pPr>
    </w:p>
    <w:p w14:paraId="6CC117E7" w14:textId="77777777" w:rsidR="00487DC9" w:rsidRPr="00487DC9" w:rsidRDefault="00487DC9" w:rsidP="00487DC9">
      <w:pPr>
        <w:pBdr>
          <w:top w:val="nil"/>
          <w:left w:val="nil"/>
          <w:bottom w:val="nil"/>
          <w:right w:val="nil"/>
          <w:between w:val="nil"/>
        </w:pBdr>
        <w:spacing w:line="360" w:lineRule="auto"/>
        <w:jc w:val="both"/>
        <w:rPr>
          <w:rFonts w:ascii="Palatino Linotype" w:eastAsia="Palatino Linotype" w:hAnsi="Palatino Linotype" w:cs="Palatino Linotype"/>
        </w:rPr>
      </w:pPr>
    </w:p>
    <w:p w14:paraId="46BEE5B7" w14:textId="77777777" w:rsidR="005E3414" w:rsidRPr="00487DC9" w:rsidRDefault="005E3414" w:rsidP="00487DC9">
      <w:pPr>
        <w:spacing w:line="360" w:lineRule="auto"/>
        <w:jc w:val="both"/>
        <w:rPr>
          <w:rFonts w:ascii="Palatino Linotype" w:hAnsi="Palatino Linotype" w:cs="Arial"/>
          <w:b/>
          <w:bCs/>
        </w:rPr>
      </w:pPr>
      <w:r w:rsidRPr="00487DC9">
        <w:rPr>
          <w:rFonts w:ascii="Palatino Linotype" w:eastAsia="Arial Unicode MS" w:hAnsi="Palatino Linotype" w:cs="Arial"/>
          <w:b/>
        </w:rPr>
        <w:t xml:space="preserve">b) </w:t>
      </w:r>
      <w:r w:rsidRPr="00487DC9">
        <w:rPr>
          <w:rFonts w:ascii="Palatino Linotype" w:hAnsi="Palatino Linotype" w:cs="Arial"/>
          <w:b/>
          <w:bCs/>
        </w:rPr>
        <w:t xml:space="preserve">Informe Justificado y manifestaciones </w:t>
      </w:r>
    </w:p>
    <w:p w14:paraId="247F6D6E" w14:textId="77777777" w:rsidR="00497EB5" w:rsidRPr="00487DC9" w:rsidRDefault="006D693D" w:rsidP="00487DC9">
      <w:pPr>
        <w:spacing w:line="360" w:lineRule="auto"/>
        <w:jc w:val="both"/>
        <w:rPr>
          <w:rFonts w:ascii="Palatino Linotype" w:eastAsia="Arial Unicode MS" w:hAnsi="Palatino Linotype" w:cs="Arial"/>
        </w:rPr>
      </w:pPr>
      <w:r w:rsidRPr="00487DC9">
        <w:rPr>
          <w:rFonts w:ascii="Palatino Linotype" w:eastAsia="Arial Unicode MS" w:hAnsi="Palatino Linotype" w:cs="Arial"/>
        </w:rPr>
        <w:lastRenderedPageBreak/>
        <w:t xml:space="preserve">Conforme a las constancias que obran en el expediente electrónico del </w:t>
      </w:r>
      <w:r w:rsidRPr="00487DC9">
        <w:rPr>
          <w:rFonts w:ascii="Palatino Linotype" w:eastAsia="Arial Unicode MS" w:hAnsi="Palatino Linotype" w:cs="Arial"/>
          <w:b/>
        </w:rPr>
        <w:t>SAIMEX</w:t>
      </w:r>
      <w:r w:rsidRPr="00487DC9">
        <w:rPr>
          <w:rFonts w:ascii="Palatino Linotype" w:eastAsia="Arial Unicode MS" w:hAnsi="Palatino Linotype" w:cs="Arial"/>
        </w:rPr>
        <w:t>, del Recurso de Revisión materia del presente estudio, se desprende que atento a lo dispuesto en el artículo 185 de la Ley de Transparencia y Acceso a la Información Pública del Estado de México y Municipios, dentro del término legalmente concedido a</w:t>
      </w:r>
      <w:r w:rsidR="002204AE" w:rsidRPr="00487DC9">
        <w:rPr>
          <w:rFonts w:ascii="Palatino Linotype" w:eastAsia="Arial Unicode MS" w:hAnsi="Palatino Linotype" w:cs="Arial"/>
        </w:rPr>
        <w:t xml:space="preserve"> </w:t>
      </w:r>
      <w:r w:rsidR="002204AE" w:rsidRPr="00487DC9">
        <w:rPr>
          <w:rFonts w:ascii="Palatino Linotype" w:eastAsia="Arial Unicode MS" w:hAnsi="Palatino Linotype" w:cs="Arial"/>
          <w:b/>
        </w:rPr>
        <w:t>LA</w:t>
      </w:r>
      <w:r w:rsidRPr="00487DC9">
        <w:rPr>
          <w:rFonts w:ascii="Palatino Linotype" w:eastAsia="Arial Unicode MS" w:hAnsi="Palatino Linotype" w:cs="Arial"/>
        </w:rPr>
        <w:t xml:space="preserve"> </w:t>
      </w:r>
      <w:r w:rsidRPr="00487DC9">
        <w:rPr>
          <w:rFonts w:ascii="Palatino Linotype" w:eastAsia="Arial Unicode MS" w:hAnsi="Palatino Linotype" w:cs="Arial"/>
          <w:b/>
        </w:rPr>
        <w:t>RECURRENTE</w:t>
      </w:r>
      <w:r w:rsidRPr="00487DC9">
        <w:rPr>
          <w:rFonts w:ascii="Palatino Linotype" w:eastAsia="Arial Unicode MS" w:hAnsi="Palatino Linotype" w:cs="Arial"/>
        </w:rPr>
        <w:t xml:space="preserve">, éste no realizó manifestación alguna, ni presentó pruebas o alegatos, de igual forma </w:t>
      </w:r>
      <w:r w:rsidRPr="00487DC9">
        <w:rPr>
          <w:rFonts w:ascii="Palatino Linotype" w:eastAsia="Arial Unicode MS" w:hAnsi="Palatino Linotype" w:cs="Arial"/>
          <w:b/>
          <w:lang w:eastAsia="es-MX"/>
        </w:rPr>
        <w:t>EL SUJETO OBLIGADO</w:t>
      </w:r>
      <w:r w:rsidRPr="00487DC9">
        <w:rPr>
          <w:rFonts w:ascii="Palatino Linotype" w:eastAsia="Arial Unicode MS" w:hAnsi="Palatino Linotype" w:cs="Arial"/>
        </w:rPr>
        <w:t xml:space="preserve"> no rindió su Informe Justificado</w:t>
      </w:r>
    </w:p>
    <w:p w14:paraId="4795E788" w14:textId="77777777" w:rsidR="006D693D" w:rsidRPr="00487DC9" w:rsidRDefault="006D693D" w:rsidP="00487DC9">
      <w:pPr>
        <w:spacing w:line="360" w:lineRule="auto"/>
        <w:jc w:val="both"/>
        <w:rPr>
          <w:rFonts w:ascii="Palatino Linotype" w:eastAsia="Palatino Linotype" w:hAnsi="Palatino Linotype" w:cs="Palatino Linotype"/>
        </w:rPr>
      </w:pPr>
    </w:p>
    <w:p w14:paraId="5CE02CB0" w14:textId="77777777" w:rsidR="0064438D" w:rsidRPr="00487DC9" w:rsidRDefault="00D41907" w:rsidP="00487DC9">
      <w:pPr>
        <w:widowControl w:val="0"/>
        <w:tabs>
          <w:tab w:val="left" w:pos="0"/>
        </w:tabs>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b/>
        </w:rPr>
        <w:t>c) Cierre de Instrucción</w:t>
      </w:r>
    </w:p>
    <w:p w14:paraId="1F1F4570" w14:textId="77777777" w:rsidR="0064438D" w:rsidRPr="00487DC9" w:rsidRDefault="00D41907" w:rsidP="00487DC9">
      <w:pP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rPr>
        <w:t xml:space="preserve">Por lo que, una vez analizado el estado procesal que guarda el expediente, el </w:t>
      </w:r>
      <w:r w:rsidR="000C25E9" w:rsidRPr="00487DC9">
        <w:rPr>
          <w:rFonts w:ascii="Palatino Linotype" w:eastAsia="Palatino Linotype" w:hAnsi="Palatino Linotype" w:cs="Palatino Linotype"/>
          <w:b/>
        </w:rPr>
        <w:t>cinco</w:t>
      </w:r>
      <w:r w:rsidR="00A01072" w:rsidRPr="00487DC9">
        <w:rPr>
          <w:rFonts w:ascii="Palatino Linotype" w:eastAsia="Palatino Linotype" w:hAnsi="Palatino Linotype" w:cs="Palatino Linotype"/>
          <w:b/>
        </w:rPr>
        <w:t xml:space="preserve"> de marzo </w:t>
      </w:r>
      <w:r w:rsidRPr="00487DC9">
        <w:rPr>
          <w:rFonts w:ascii="Palatino Linotype" w:eastAsia="Palatino Linotype" w:hAnsi="Palatino Linotype" w:cs="Palatino Linotype"/>
          <w:b/>
        </w:rPr>
        <w:t>de dos mil veinticuatro</w:t>
      </w:r>
      <w:r w:rsidRPr="00487DC9">
        <w:rPr>
          <w:rFonts w:ascii="Palatino Linotype" w:eastAsia="Palatino Linotype" w:hAnsi="Palatino Linotype" w:cs="Palatino Linotype"/>
        </w:rPr>
        <w:t xml:space="preserve">, la </w:t>
      </w:r>
      <w:r w:rsidRPr="00487DC9">
        <w:rPr>
          <w:rFonts w:ascii="Palatino Linotype" w:eastAsia="Palatino Linotype" w:hAnsi="Palatino Linotype" w:cs="Palatino Linotype"/>
          <w:b/>
        </w:rPr>
        <w:t xml:space="preserve">Comisionada Sharon Cristina Morales Martínez </w:t>
      </w:r>
      <w:r w:rsidRPr="00487DC9">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487DC9">
        <w:rPr>
          <w:rFonts w:ascii="Palatino Linotype" w:eastAsia="Palatino Linotype" w:hAnsi="Palatino Linotype" w:cs="Palatino Linotype"/>
        </w:rPr>
        <w:t xml:space="preserve"> Estado de México y Municipios.</w:t>
      </w:r>
    </w:p>
    <w:p w14:paraId="0DB7A9F0" w14:textId="77777777" w:rsidR="003D4433" w:rsidRPr="00487DC9" w:rsidRDefault="003D4433" w:rsidP="00487DC9">
      <w:pPr>
        <w:jc w:val="both"/>
        <w:rPr>
          <w:rFonts w:ascii="Palatino Linotype" w:eastAsia="Palatino Linotype" w:hAnsi="Palatino Linotype" w:cs="Palatino Linotype"/>
          <w:b/>
          <w:sz w:val="28"/>
          <w:szCs w:val="28"/>
        </w:rPr>
      </w:pPr>
    </w:p>
    <w:p w14:paraId="59FF2444" w14:textId="77777777" w:rsidR="00497EB5" w:rsidRPr="00487DC9" w:rsidRDefault="00497EB5" w:rsidP="00487DC9">
      <w:pPr>
        <w:jc w:val="center"/>
        <w:rPr>
          <w:rFonts w:ascii="Palatino Linotype" w:hAnsi="Palatino Linotype"/>
          <w:b/>
          <w:bCs/>
          <w:spacing w:val="60"/>
          <w:sz w:val="28"/>
        </w:rPr>
      </w:pPr>
      <w:r w:rsidRPr="00487DC9">
        <w:rPr>
          <w:rFonts w:ascii="Palatino Linotype" w:hAnsi="Palatino Linotype"/>
          <w:b/>
          <w:bCs/>
          <w:spacing w:val="60"/>
          <w:sz w:val="28"/>
        </w:rPr>
        <w:t>CONSIDERANDOS</w:t>
      </w:r>
    </w:p>
    <w:p w14:paraId="2C1F3ADE" w14:textId="77777777" w:rsidR="0064438D" w:rsidRPr="00487DC9" w:rsidRDefault="0064438D" w:rsidP="00487DC9">
      <w:pPr>
        <w:jc w:val="center"/>
        <w:rPr>
          <w:rFonts w:ascii="Palatino Linotype" w:eastAsia="Palatino Linotype" w:hAnsi="Palatino Linotype" w:cs="Palatino Linotype"/>
          <w:b/>
          <w:sz w:val="28"/>
          <w:szCs w:val="28"/>
        </w:rPr>
      </w:pPr>
    </w:p>
    <w:p w14:paraId="45221B48" w14:textId="77777777" w:rsidR="0064438D" w:rsidRPr="00487DC9" w:rsidRDefault="00D41907" w:rsidP="00487DC9">
      <w:pPr>
        <w:spacing w:line="360" w:lineRule="auto"/>
        <w:ind w:right="50"/>
        <w:jc w:val="both"/>
        <w:rPr>
          <w:rFonts w:ascii="Palatino Linotype" w:eastAsia="Palatino Linotype" w:hAnsi="Palatino Linotype" w:cs="Palatino Linotype"/>
          <w:b/>
        </w:rPr>
      </w:pPr>
      <w:r w:rsidRPr="00487DC9">
        <w:rPr>
          <w:rFonts w:ascii="Palatino Linotype" w:eastAsia="Palatino Linotype" w:hAnsi="Palatino Linotype" w:cs="Palatino Linotype"/>
          <w:b/>
          <w:sz w:val="28"/>
          <w:szCs w:val="28"/>
        </w:rPr>
        <w:t>PRIMERO</w:t>
      </w:r>
      <w:r w:rsidRPr="00487DC9">
        <w:rPr>
          <w:rFonts w:ascii="Palatino Linotype" w:eastAsia="Palatino Linotype" w:hAnsi="Palatino Linotype" w:cs="Palatino Linotype"/>
          <w:b/>
        </w:rPr>
        <w:t>.</w:t>
      </w:r>
      <w:r w:rsidRPr="00487DC9">
        <w:rPr>
          <w:rFonts w:ascii="Palatino Linotype" w:eastAsia="Palatino Linotype" w:hAnsi="Palatino Linotype" w:cs="Palatino Linotype"/>
        </w:rPr>
        <w:t xml:space="preserve"> </w:t>
      </w:r>
      <w:r w:rsidRPr="00487DC9">
        <w:rPr>
          <w:rFonts w:ascii="Palatino Linotype" w:eastAsia="Palatino Linotype" w:hAnsi="Palatino Linotype" w:cs="Palatino Linotype"/>
          <w:b/>
        </w:rPr>
        <w:t>Competencia</w:t>
      </w:r>
      <w:r w:rsidRPr="00487DC9">
        <w:rPr>
          <w:rFonts w:ascii="Palatino Linotype" w:eastAsia="Palatino Linotype" w:hAnsi="Palatino Linotype" w:cs="Palatino Linotype"/>
        </w:rPr>
        <w:t>.</w:t>
      </w:r>
      <w:r w:rsidRPr="00487DC9">
        <w:rPr>
          <w:rFonts w:ascii="Palatino Linotype" w:eastAsia="Palatino Linotype" w:hAnsi="Palatino Linotype" w:cs="Palatino Linotype"/>
          <w:b/>
        </w:rPr>
        <w:t xml:space="preserve"> </w:t>
      </w:r>
    </w:p>
    <w:p w14:paraId="487D81AE" w14:textId="77777777" w:rsidR="0064438D" w:rsidRPr="00487DC9" w:rsidRDefault="00D41907" w:rsidP="00487DC9">
      <w:pPr>
        <w:spacing w:line="360" w:lineRule="auto"/>
        <w:ind w:right="50"/>
        <w:jc w:val="both"/>
        <w:rPr>
          <w:rFonts w:ascii="Palatino Linotype" w:eastAsia="Palatino Linotype" w:hAnsi="Palatino Linotype" w:cs="Palatino Linotype"/>
        </w:rPr>
      </w:pPr>
      <w:r w:rsidRPr="00487DC9">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w:t>
      </w:r>
      <w:r w:rsidRPr="00487DC9">
        <w:rPr>
          <w:rFonts w:ascii="Palatino Linotype" w:eastAsia="Palatino Linotype" w:hAnsi="Palatino Linotype" w:cs="Palatino Linotype"/>
        </w:rPr>
        <w:lastRenderedPageBreak/>
        <w:t>Información Pública del Estado de México y Municipios; y 9, fracciones I y XXIII y 11 del Reglamento Interior del Instituto de Transparencia, Acceso a la Información Pública y Protección de Datos Personales del Estado de México y Municipios.</w:t>
      </w:r>
    </w:p>
    <w:p w14:paraId="11E4D8F7" w14:textId="77777777" w:rsidR="0064438D" w:rsidRPr="00487DC9" w:rsidRDefault="0064438D" w:rsidP="00487DC9">
      <w:pPr>
        <w:spacing w:line="360" w:lineRule="auto"/>
        <w:ind w:right="50"/>
        <w:jc w:val="both"/>
        <w:rPr>
          <w:rFonts w:ascii="Palatino Linotype" w:eastAsia="Palatino Linotype" w:hAnsi="Palatino Linotype" w:cs="Palatino Linotype"/>
        </w:rPr>
      </w:pPr>
    </w:p>
    <w:p w14:paraId="13642CA9" w14:textId="77777777" w:rsidR="0064438D" w:rsidRPr="00487DC9" w:rsidRDefault="00D41907" w:rsidP="00487D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b/>
          <w:sz w:val="28"/>
          <w:szCs w:val="28"/>
        </w:rPr>
        <w:t>SEGUNDO.</w:t>
      </w:r>
      <w:r w:rsidRPr="00487DC9">
        <w:rPr>
          <w:rFonts w:ascii="Palatino Linotype" w:eastAsia="Palatino Linotype" w:hAnsi="Palatino Linotype" w:cs="Palatino Linotype"/>
          <w:b/>
        </w:rPr>
        <w:t xml:space="preserve"> Interés.</w:t>
      </w:r>
      <w:r w:rsidRPr="00487DC9">
        <w:rPr>
          <w:rFonts w:ascii="Palatino Linotype" w:eastAsia="Palatino Linotype" w:hAnsi="Palatino Linotype" w:cs="Palatino Linotype"/>
        </w:rPr>
        <w:t xml:space="preserve"> </w:t>
      </w:r>
    </w:p>
    <w:p w14:paraId="05121A54" w14:textId="77777777" w:rsidR="0064438D" w:rsidRPr="00487DC9" w:rsidRDefault="00D41907" w:rsidP="00487DC9">
      <w:pPr>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rPr>
        <w:t xml:space="preserve">El Recurso de Revisión fue interpuesto por parte legítima, en atención a que se presentó por </w:t>
      </w:r>
      <w:r w:rsidR="002204AE" w:rsidRPr="00487DC9">
        <w:rPr>
          <w:rFonts w:ascii="Palatino Linotype" w:eastAsia="Palatino Linotype" w:hAnsi="Palatino Linotype" w:cs="Palatino Linotype"/>
          <w:b/>
        </w:rPr>
        <w:t>LA</w:t>
      </w:r>
      <w:r w:rsidRPr="00487DC9">
        <w:rPr>
          <w:rFonts w:ascii="Palatino Linotype" w:eastAsia="Palatino Linotype" w:hAnsi="Palatino Linotype" w:cs="Palatino Linotype"/>
          <w:b/>
        </w:rPr>
        <w:t xml:space="preserve"> RECURRENTE,</w:t>
      </w:r>
      <w:r w:rsidRPr="00487DC9">
        <w:rPr>
          <w:rFonts w:ascii="Palatino Linotype" w:eastAsia="Palatino Linotype" w:hAnsi="Palatino Linotype" w:cs="Palatino Linotype"/>
        </w:rPr>
        <w:t xml:space="preserve"> quien es la misma persona que formuló la solicitud de Acceso a la Información pública al </w:t>
      </w:r>
      <w:r w:rsidRPr="00487DC9">
        <w:rPr>
          <w:rFonts w:ascii="Palatino Linotype" w:eastAsia="Palatino Linotype" w:hAnsi="Palatino Linotype" w:cs="Palatino Linotype"/>
          <w:b/>
        </w:rPr>
        <w:t xml:space="preserve">SUJETO OBLIGADO, </w:t>
      </w:r>
      <w:r w:rsidRPr="00487DC9">
        <w:rPr>
          <w:rFonts w:ascii="Palatino Linotype" w:eastAsia="Palatino Linotype" w:hAnsi="Palatino Linotype" w:cs="Palatino Linotype"/>
        </w:rPr>
        <w:t xml:space="preserve">pues para ello, es necesario que </w:t>
      </w:r>
      <w:r w:rsidR="002204AE" w:rsidRPr="00487DC9">
        <w:rPr>
          <w:rFonts w:ascii="Palatino Linotype" w:eastAsia="Palatino Linotype" w:hAnsi="Palatino Linotype" w:cs="Palatino Linotype"/>
        </w:rPr>
        <w:t>la</w:t>
      </w:r>
      <w:r w:rsidRPr="00487DC9">
        <w:rPr>
          <w:rFonts w:ascii="Palatino Linotype" w:eastAsia="Palatino Linotype" w:hAnsi="Palatino Linotype" w:cs="Palatino Linotype"/>
        </w:rPr>
        <w:t xml:space="preserve"> particular ingrese al </w:t>
      </w:r>
      <w:r w:rsidRPr="00487DC9">
        <w:rPr>
          <w:rFonts w:ascii="Palatino Linotype" w:eastAsia="Palatino Linotype" w:hAnsi="Palatino Linotype" w:cs="Palatino Linotype"/>
          <w:b/>
        </w:rPr>
        <w:t xml:space="preserve">SAIMEX </w:t>
      </w:r>
      <w:r w:rsidRPr="00487DC9">
        <w:rPr>
          <w:rFonts w:ascii="Palatino Linotype" w:eastAsia="Palatino Linotype" w:hAnsi="Palatino Linotype" w:cs="Palatino Linotype"/>
        </w:rPr>
        <w:t>mediante la utilización de su clave de usuario y contraseña.</w:t>
      </w:r>
    </w:p>
    <w:p w14:paraId="2288AE35" w14:textId="77777777" w:rsidR="0064438D" w:rsidRPr="00487DC9" w:rsidRDefault="0064438D" w:rsidP="00487DC9">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708FE8BD" w14:textId="77777777" w:rsidR="0064438D" w:rsidRPr="00487DC9" w:rsidRDefault="00D41907" w:rsidP="00487DC9">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b/>
          <w:sz w:val="28"/>
          <w:szCs w:val="28"/>
        </w:rPr>
        <w:t>TERCERO</w:t>
      </w:r>
      <w:r w:rsidRPr="00487DC9">
        <w:rPr>
          <w:rFonts w:ascii="Palatino Linotype" w:eastAsia="Palatino Linotype" w:hAnsi="Palatino Linotype" w:cs="Palatino Linotype"/>
          <w:b/>
        </w:rPr>
        <w:t xml:space="preserve">. Oportunidad. </w:t>
      </w:r>
    </w:p>
    <w:p w14:paraId="5BE0916C" w14:textId="77777777" w:rsidR="0064438D" w:rsidRPr="00487DC9" w:rsidRDefault="00D41907" w:rsidP="00487DC9">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rPr>
        <w:t xml:space="preserve">El Recurso de Revisión se interpuso dentro del plazo de quince días hábiles contados a partir del día siguiente en que </w:t>
      </w:r>
      <w:r w:rsidR="002204AE" w:rsidRPr="00487DC9">
        <w:rPr>
          <w:rFonts w:ascii="Palatino Linotype" w:eastAsia="Palatino Linotype" w:hAnsi="Palatino Linotype" w:cs="Palatino Linotype"/>
          <w:b/>
        </w:rPr>
        <w:t>LA</w:t>
      </w:r>
      <w:r w:rsidRPr="00487DC9">
        <w:rPr>
          <w:rFonts w:ascii="Palatino Linotype" w:eastAsia="Palatino Linotype" w:hAnsi="Palatino Linotype" w:cs="Palatino Linotype"/>
          <w:b/>
        </w:rPr>
        <w:t xml:space="preserve"> RECURRENTE </w:t>
      </w:r>
      <w:r w:rsidRPr="00487DC9">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5137B254" w14:textId="77777777" w:rsidR="0064438D" w:rsidRPr="00487DC9" w:rsidRDefault="0064438D" w:rsidP="00487DC9">
      <w:pPr>
        <w:ind w:left="851" w:right="902"/>
        <w:jc w:val="both"/>
        <w:rPr>
          <w:rFonts w:ascii="Palatino Linotype" w:eastAsia="Palatino Linotype" w:hAnsi="Palatino Linotype" w:cs="Palatino Linotype"/>
        </w:rPr>
      </w:pPr>
    </w:p>
    <w:p w14:paraId="60C10F0A" w14:textId="77777777" w:rsidR="0064438D" w:rsidRPr="00487DC9" w:rsidRDefault="00D41907" w:rsidP="00487DC9">
      <w:pPr>
        <w:tabs>
          <w:tab w:val="left" w:pos="851"/>
        </w:tabs>
        <w:ind w:left="851" w:right="901"/>
        <w:jc w:val="both"/>
        <w:rPr>
          <w:rFonts w:ascii="Palatino Linotype" w:eastAsia="Palatino Linotype" w:hAnsi="Palatino Linotype" w:cs="Palatino Linotype"/>
          <w:i/>
          <w:sz w:val="22"/>
          <w:szCs w:val="22"/>
        </w:rPr>
      </w:pPr>
      <w:r w:rsidRPr="00487DC9">
        <w:rPr>
          <w:rFonts w:ascii="Palatino Linotype" w:eastAsia="Palatino Linotype" w:hAnsi="Palatino Linotype" w:cs="Palatino Linotype"/>
          <w:b/>
          <w:i/>
          <w:sz w:val="22"/>
          <w:szCs w:val="22"/>
        </w:rPr>
        <w:t>“Artículo 178.</w:t>
      </w:r>
      <w:r w:rsidRPr="00487DC9">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96ADA42" w14:textId="77777777" w:rsidR="0064438D" w:rsidRPr="00487DC9" w:rsidRDefault="0064438D" w:rsidP="00487DC9">
      <w:pPr>
        <w:tabs>
          <w:tab w:val="left" w:pos="851"/>
        </w:tabs>
        <w:ind w:left="851" w:right="901"/>
        <w:jc w:val="both"/>
        <w:rPr>
          <w:rFonts w:ascii="Palatino Linotype" w:eastAsia="Palatino Linotype" w:hAnsi="Palatino Linotype" w:cs="Palatino Linotype"/>
          <w:i/>
          <w:sz w:val="22"/>
          <w:szCs w:val="22"/>
        </w:rPr>
      </w:pPr>
    </w:p>
    <w:p w14:paraId="4343F7D5" w14:textId="77777777" w:rsidR="0064438D" w:rsidRPr="00487DC9" w:rsidRDefault="00D41907" w:rsidP="00487DC9">
      <w:pPr>
        <w:tabs>
          <w:tab w:val="left" w:pos="851"/>
        </w:tabs>
        <w:ind w:left="851" w:right="901"/>
        <w:jc w:val="both"/>
        <w:rPr>
          <w:rFonts w:ascii="Palatino Linotype" w:eastAsia="Palatino Linotype" w:hAnsi="Palatino Linotype" w:cs="Palatino Linotype"/>
          <w:i/>
          <w:sz w:val="22"/>
          <w:szCs w:val="22"/>
        </w:rPr>
      </w:pPr>
      <w:r w:rsidRPr="00487DC9">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18788C3" w14:textId="77777777" w:rsidR="0064438D" w:rsidRPr="00487DC9" w:rsidRDefault="0064438D" w:rsidP="00487DC9">
      <w:pPr>
        <w:tabs>
          <w:tab w:val="left" w:pos="851"/>
        </w:tabs>
        <w:ind w:left="851" w:right="901"/>
        <w:jc w:val="both"/>
        <w:rPr>
          <w:rFonts w:ascii="Palatino Linotype" w:eastAsia="Palatino Linotype" w:hAnsi="Palatino Linotype" w:cs="Palatino Linotype"/>
          <w:i/>
          <w:sz w:val="22"/>
          <w:szCs w:val="22"/>
        </w:rPr>
      </w:pPr>
    </w:p>
    <w:p w14:paraId="67966745" w14:textId="77777777" w:rsidR="0064438D" w:rsidRPr="00487DC9" w:rsidRDefault="00D41907" w:rsidP="00487DC9">
      <w:pPr>
        <w:tabs>
          <w:tab w:val="left" w:pos="851"/>
        </w:tabs>
        <w:ind w:left="851" w:right="901"/>
        <w:jc w:val="both"/>
        <w:rPr>
          <w:rFonts w:ascii="Palatino Linotype" w:eastAsia="Palatino Linotype" w:hAnsi="Palatino Linotype" w:cs="Palatino Linotype"/>
          <w:i/>
        </w:rPr>
      </w:pPr>
      <w:r w:rsidRPr="00487DC9">
        <w:rPr>
          <w:rFonts w:ascii="Palatino Linotype" w:eastAsia="Palatino Linotype" w:hAnsi="Palatino Linotype" w:cs="Palatino Linotype"/>
          <w:i/>
          <w:sz w:val="22"/>
          <w:szCs w:val="22"/>
        </w:rPr>
        <w:lastRenderedPageBreak/>
        <w:t>En el caso de que se interponga ante la Unidad de Transparencia, ésta deberá remitir el recurso de revisión al Instituto a más tardar al día siguiente de haberlo recibido.</w:t>
      </w:r>
      <w:r w:rsidRPr="00487DC9">
        <w:rPr>
          <w:rFonts w:ascii="Palatino Linotype" w:eastAsia="Palatino Linotype" w:hAnsi="Palatino Linotype" w:cs="Palatino Linotype"/>
          <w:b/>
          <w:i/>
          <w:sz w:val="22"/>
          <w:szCs w:val="22"/>
        </w:rPr>
        <w:t>”</w:t>
      </w:r>
    </w:p>
    <w:p w14:paraId="1004B862" w14:textId="77777777" w:rsidR="0064438D" w:rsidRPr="00487DC9" w:rsidRDefault="0064438D" w:rsidP="00487DC9">
      <w:pPr>
        <w:ind w:left="851" w:right="902"/>
        <w:jc w:val="both"/>
        <w:rPr>
          <w:rFonts w:ascii="Palatino Linotype" w:eastAsia="Palatino Linotype" w:hAnsi="Palatino Linotype" w:cs="Palatino Linotype"/>
        </w:rPr>
      </w:pPr>
    </w:p>
    <w:p w14:paraId="202233D0" w14:textId="77777777" w:rsidR="00AE72EB" w:rsidRPr="00487DC9" w:rsidRDefault="00D41907" w:rsidP="00487DC9">
      <w:pP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rPr>
        <w:t xml:space="preserve">En esa tesitura, atendiendo a que </w:t>
      </w:r>
      <w:r w:rsidRPr="00487DC9">
        <w:rPr>
          <w:rFonts w:ascii="Palatino Linotype" w:eastAsia="Palatino Linotype" w:hAnsi="Palatino Linotype" w:cs="Palatino Linotype"/>
          <w:b/>
        </w:rPr>
        <w:t>EL SUJETO OBLIGADO</w:t>
      </w:r>
      <w:r w:rsidRPr="00487DC9">
        <w:rPr>
          <w:rFonts w:ascii="Palatino Linotype" w:eastAsia="Palatino Linotype" w:hAnsi="Palatino Linotype" w:cs="Palatino Linotype"/>
        </w:rPr>
        <w:t xml:space="preserve"> notificó la respuesta a la solicitud de información pública el día </w:t>
      </w:r>
      <w:r w:rsidR="006D693D" w:rsidRPr="00487DC9">
        <w:rPr>
          <w:rFonts w:ascii="Palatino Linotype" w:eastAsia="Palatino Linotype" w:hAnsi="Palatino Linotype" w:cs="Palatino Linotype"/>
          <w:b/>
        </w:rPr>
        <w:t>uno</w:t>
      </w:r>
      <w:r w:rsidR="00D1318A" w:rsidRPr="00487DC9">
        <w:rPr>
          <w:rFonts w:ascii="Palatino Linotype" w:eastAsia="Palatino Linotype" w:hAnsi="Palatino Linotype" w:cs="Palatino Linotype"/>
          <w:b/>
        </w:rPr>
        <w:t xml:space="preserve"> de febrero d</w:t>
      </w:r>
      <w:r w:rsidRPr="00487DC9">
        <w:rPr>
          <w:rFonts w:ascii="Palatino Linotype" w:eastAsia="Palatino Linotype" w:hAnsi="Palatino Linotype" w:cs="Palatino Linotype"/>
          <w:b/>
        </w:rPr>
        <w:t>e dos mil veinticuatro</w:t>
      </w:r>
      <w:r w:rsidRPr="00487DC9">
        <w:rPr>
          <w:rFonts w:ascii="Palatino Linotype" w:eastAsia="Palatino Linotype" w:hAnsi="Palatino Linotype" w:cs="Palatino Linotype"/>
        </w:rPr>
        <w:t>;</w:t>
      </w:r>
      <w:r w:rsidRPr="00487DC9">
        <w:rPr>
          <w:rFonts w:ascii="Palatino Linotype" w:eastAsia="Palatino Linotype" w:hAnsi="Palatino Linotype" w:cs="Palatino Linotype"/>
          <w:b/>
        </w:rPr>
        <w:t xml:space="preserve"> </w:t>
      </w:r>
      <w:r w:rsidRPr="00487DC9">
        <w:rPr>
          <w:rFonts w:ascii="Palatino Linotype" w:eastAsia="Palatino Linotype" w:hAnsi="Palatino Linotype" w:cs="Palatino Linotype"/>
        </w:rPr>
        <w:t>el plazo de quince días hábiles que prevé el artículo 178 de la Ley de la materia el cual otorga a</w:t>
      </w:r>
      <w:r w:rsidR="002204AE" w:rsidRPr="00487DC9">
        <w:rPr>
          <w:rFonts w:ascii="Palatino Linotype" w:eastAsia="Palatino Linotype" w:hAnsi="Palatino Linotype" w:cs="Palatino Linotype"/>
        </w:rPr>
        <w:t xml:space="preserve"> </w:t>
      </w:r>
      <w:r w:rsidR="002204AE" w:rsidRPr="00487DC9">
        <w:rPr>
          <w:rFonts w:ascii="Palatino Linotype" w:eastAsia="Palatino Linotype" w:hAnsi="Palatino Linotype" w:cs="Palatino Linotype"/>
          <w:b/>
        </w:rPr>
        <w:t>LA</w:t>
      </w:r>
      <w:r w:rsidRPr="00487DC9">
        <w:rPr>
          <w:rFonts w:ascii="Palatino Linotype" w:eastAsia="Palatino Linotype" w:hAnsi="Palatino Linotype" w:cs="Palatino Linotype"/>
        </w:rPr>
        <w:t xml:space="preserve"> </w:t>
      </w:r>
      <w:r w:rsidRPr="00487DC9">
        <w:rPr>
          <w:rFonts w:ascii="Palatino Linotype" w:eastAsia="Palatino Linotype" w:hAnsi="Palatino Linotype" w:cs="Palatino Linotype"/>
          <w:b/>
        </w:rPr>
        <w:t>RECURRENTE</w:t>
      </w:r>
      <w:r w:rsidRPr="00487DC9">
        <w:rPr>
          <w:rFonts w:ascii="Palatino Linotype" w:eastAsia="Palatino Linotype" w:hAnsi="Palatino Linotype" w:cs="Palatino Linotype"/>
        </w:rPr>
        <w:t xml:space="preserve"> para presentar el Recurso de Revisión, transcurrió del </w:t>
      </w:r>
      <w:r w:rsidR="006D693D" w:rsidRPr="00487DC9">
        <w:rPr>
          <w:rFonts w:ascii="Palatino Linotype" w:eastAsia="Palatino Linotype" w:hAnsi="Palatino Linotype" w:cs="Palatino Linotype"/>
          <w:b/>
        </w:rPr>
        <w:t xml:space="preserve">dos al veintitrés </w:t>
      </w:r>
      <w:r w:rsidR="00D1318A" w:rsidRPr="00487DC9">
        <w:rPr>
          <w:rFonts w:ascii="Palatino Linotype" w:eastAsia="Palatino Linotype" w:hAnsi="Palatino Linotype" w:cs="Palatino Linotype"/>
          <w:b/>
        </w:rPr>
        <w:t xml:space="preserve">de febrero </w:t>
      </w:r>
      <w:r w:rsidRPr="00487DC9">
        <w:rPr>
          <w:rFonts w:ascii="Palatino Linotype" w:eastAsia="Palatino Linotype" w:hAnsi="Palatino Linotype" w:cs="Palatino Linotype"/>
          <w:b/>
        </w:rPr>
        <w:t>de dos mil veinticuatro</w:t>
      </w:r>
      <w:r w:rsidRPr="00487DC9">
        <w:rPr>
          <w:rFonts w:ascii="Palatino Linotype" w:eastAsia="Palatino Linotype" w:hAnsi="Palatino Linotype" w:cs="Palatino Linotype"/>
        </w:rPr>
        <w:t xml:space="preserve">, sin contemplar en el cómputo </w:t>
      </w:r>
      <w:r w:rsidR="00AE72EB" w:rsidRPr="00487DC9">
        <w:rPr>
          <w:rFonts w:ascii="Palatino Linotype" w:eastAsia="Palatino Linotype" w:hAnsi="Palatino Linotype" w:cs="Palatino Linotype"/>
        </w:rPr>
        <w:t>días inhábiles</w:t>
      </w:r>
      <w:r w:rsidRPr="00487DC9">
        <w:rPr>
          <w:rFonts w:ascii="Palatino Linotype" w:eastAsia="Palatino Linotype" w:hAnsi="Palatino Linotype" w:cs="Palatino Linotype"/>
        </w:rPr>
        <w:t xml:space="preserve"> en términos del artículo 3, fracción X de la Ley de Transparencia y Acceso a la Información Pública del Estado de México y Municipios</w:t>
      </w:r>
      <w:r w:rsidR="00D1318A" w:rsidRPr="00487DC9">
        <w:rPr>
          <w:rFonts w:ascii="Palatino Linotype" w:eastAsia="Palatino Linotype" w:hAnsi="Palatino Linotype" w:cs="Palatino Linotype"/>
        </w:rPr>
        <w:t>.</w:t>
      </w:r>
    </w:p>
    <w:p w14:paraId="5B2A6C7B" w14:textId="77777777" w:rsidR="0064438D" w:rsidRPr="00487DC9" w:rsidRDefault="0064438D" w:rsidP="00487DC9">
      <w:pPr>
        <w:spacing w:line="360" w:lineRule="auto"/>
        <w:jc w:val="both"/>
        <w:rPr>
          <w:rFonts w:ascii="Palatino Linotype" w:eastAsia="Palatino Linotype" w:hAnsi="Palatino Linotype" w:cs="Palatino Linotype"/>
        </w:rPr>
      </w:pPr>
    </w:p>
    <w:p w14:paraId="05909430" w14:textId="77777777" w:rsidR="0064438D" w:rsidRPr="00487DC9" w:rsidRDefault="00D41907" w:rsidP="00487DC9">
      <w:pP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rPr>
        <w:t xml:space="preserve">En ese tenor, si el Recurso de Revisión que nos ocupa, se tuvo por interpuesto el </w:t>
      </w:r>
      <w:r w:rsidR="006D693D" w:rsidRPr="00487DC9">
        <w:rPr>
          <w:rFonts w:ascii="Palatino Linotype" w:eastAsia="Palatino Linotype" w:hAnsi="Palatino Linotype" w:cs="Palatino Linotype"/>
          <w:b/>
        </w:rPr>
        <w:t>doce</w:t>
      </w:r>
      <w:r w:rsidR="00045977" w:rsidRPr="00487DC9">
        <w:rPr>
          <w:rFonts w:ascii="Palatino Linotype" w:eastAsia="Palatino Linotype" w:hAnsi="Palatino Linotype" w:cs="Palatino Linotype"/>
          <w:b/>
        </w:rPr>
        <w:t xml:space="preserve"> de febrero </w:t>
      </w:r>
      <w:r w:rsidRPr="00487DC9">
        <w:rPr>
          <w:rFonts w:ascii="Palatino Linotype" w:eastAsia="Palatino Linotype" w:hAnsi="Palatino Linotype" w:cs="Palatino Linotype"/>
          <w:b/>
        </w:rPr>
        <w:t>de dos mil veinticuatro</w:t>
      </w:r>
      <w:r w:rsidRPr="00487DC9">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16919F53" w14:textId="77777777" w:rsidR="0064438D" w:rsidRPr="00487DC9" w:rsidRDefault="0064438D" w:rsidP="00487DC9">
      <w:pPr>
        <w:spacing w:line="360" w:lineRule="auto"/>
        <w:jc w:val="both"/>
        <w:rPr>
          <w:rFonts w:ascii="Palatino Linotype" w:eastAsia="Palatino Linotype" w:hAnsi="Palatino Linotype" w:cs="Palatino Linotype"/>
        </w:rPr>
      </w:pPr>
    </w:p>
    <w:p w14:paraId="6B99FB3B" w14:textId="77777777" w:rsidR="00497EB5" w:rsidRPr="00487DC9" w:rsidRDefault="00497EB5" w:rsidP="00487DC9">
      <w:pPr>
        <w:autoSpaceDE w:val="0"/>
        <w:autoSpaceDN w:val="0"/>
        <w:adjustRightInd w:val="0"/>
        <w:spacing w:line="360" w:lineRule="auto"/>
        <w:ind w:right="49"/>
        <w:jc w:val="both"/>
        <w:rPr>
          <w:rFonts w:ascii="Palatino Linotype" w:hAnsi="Palatino Linotype"/>
          <w:b/>
        </w:rPr>
      </w:pPr>
      <w:r w:rsidRPr="00487DC9">
        <w:rPr>
          <w:rFonts w:ascii="Palatino Linotype" w:hAnsi="Palatino Linotype" w:cs="Arial"/>
          <w:b/>
          <w:sz w:val="28"/>
          <w:szCs w:val="28"/>
        </w:rPr>
        <w:t>CUARTO</w:t>
      </w:r>
      <w:r w:rsidRPr="00487DC9">
        <w:rPr>
          <w:rFonts w:ascii="Palatino Linotype" w:hAnsi="Palatino Linotype"/>
          <w:b/>
          <w:sz w:val="28"/>
          <w:szCs w:val="28"/>
        </w:rPr>
        <w:t>.</w:t>
      </w:r>
      <w:r w:rsidRPr="00487DC9">
        <w:rPr>
          <w:rFonts w:ascii="Palatino Linotype" w:hAnsi="Palatino Linotype"/>
          <w:b/>
        </w:rPr>
        <w:t xml:space="preserve"> Procedibilidad. </w:t>
      </w:r>
    </w:p>
    <w:p w14:paraId="0D47FC99" w14:textId="77777777" w:rsidR="00FA5B63" w:rsidRPr="00487DC9" w:rsidRDefault="00FA5B63" w:rsidP="00487DC9">
      <w:pPr>
        <w:autoSpaceDE w:val="0"/>
        <w:autoSpaceDN w:val="0"/>
        <w:adjustRightInd w:val="0"/>
        <w:spacing w:line="360" w:lineRule="auto"/>
        <w:ind w:right="49"/>
        <w:jc w:val="both"/>
        <w:rPr>
          <w:rFonts w:ascii="Palatino Linotype" w:hAnsi="Palatino Linotype" w:cs="Arial"/>
          <w:lang w:val="es-ES"/>
        </w:rPr>
      </w:pPr>
      <w:r w:rsidRPr="00487DC9">
        <w:rPr>
          <w:rFonts w:ascii="Palatino Linotype" w:hAnsi="Palatino Linotype" w:cs="Arial"/>
          <w:lang w:val="es-ES"/>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1DB23E4B" w14:textId="77777777" w:rsidR="00FA5B63" w:rsidRPr="00487DC9" w:rsidRDefault="00FA5B63" w:rsidP="00487DC9">
      <w:pPr>
        <w:autoSpaceDE w:val="0"/>
        <w:autoSpaceDN w:val="0"/>
        <w:adjustRightInd w:val="0"/>
        <w:ind w:right="49"/>
        <w:jc w:val="both"/>
        <w:rPr>
          <w:rFonts w:ascii="Palatino Linotype" w:hAnsi="Palatino Linotype" w:cs="Arial"/>
          <w:lang w:val="es-ES"/>
        </w:rPr>
      </w:pPr>
    </w:p>
    <w:p w14:paraId="5A0C8C60" w14:textId="77777777" w:rsidR="00FA5B63" w:rsidRPr="00487DC9" w:rsidRDefault="00FA5B63" w:rsidP="00487DC9">
      <w:pPr>
        <w:tabs>
          <w:tab w:val="left" w:pos="851"/>
        </w:tabs>
        <w:ind w:left="851" w:right="901"/>
        <w:jc w:val="both"/>
        <w:rPr>
          <w:rFonts w:ascii="Palatino Linotype" w:hAnsi="Palatino Linotype"/>
          <w:b/>
          <w:i/>
          <w:sz w:val="22"/>
          <w:szCs w:val="22"/>
          <w:lang w:val="es-ES"/>
        </w:rPr>
      </w:pPr>
      <w:r w:rsidRPr="00487DC9">
        <w:rPr>
          <w:rFonts w:ascii="Palatino Linotype" w:hAnsi="Palatino Linotype"/>
          <w:b/>
          <w:i/>
          <w:sz w:val="22"/>
          <w:szCs w:val="22"/>
          <w:lang w:val="es-ES"/>
        </w:rPr>
        <w:t xml:space="preserve">“Artículo 180. </w:t>
      </w:r>
      <w:r w:rsidRPr="00487DC9">
        <w:rPr>
          <w:rFonts w:ascii="Palatino Linotype" w:hAnsi="Palatino Linotype"/>
          <w:i/>
          <w:sz w:val="22"/>
          <w:szCs w:val="22"/>
          <w:lang w:val="es-ES"/>
        </w:rPr>
        <w:t xml:space="preserve">El </w:t>
      </w:r>
      <w:r w:rsidRPr="00487DC9">
        <w:rPr>
          <w:rFonts w:ascii="Palatino Linotype" w:hAnsi="Palatino Linotype" w:cs="Arial"/>
          <w:i/>
          <w:sz w:val="22"/>
          <w:szCs w:val="22"/>
          <w:lang w:val="es-ES"/>
        </w:rPr>
        <w:t>recurso</w:t>
      </w:r>
      <w:r w:rsidRPr="00487DC9">
        <w:rPr>
          <w:rFonts w:ascii="Palatino Linotype" w:hAnsi="Palatino Linotype"/>
          <w:i/>
          <w:sz w:val="22"/>
          <w:szCs w:val="22"/>
          <w:lang w:val="es-ES"/>
        </w:rPr>
        <w:t xml:space="preserve"> </w:t>
      </w:r>
      <w:r w:rsidRPr="00487DC9">
        <w:rPr>
          <w:rFonts w:ascii="Palatino Linotype" w:hAnsi="Palatino Linotype" w:cs="Arial"/>
          <w:i/>
          <w:sz w:val="22"/>
          <w:szCs w:val="22"/>
          <w:lang w:val="es-ES"/>
        </w:rPr>
        <w:t>de</w:t>
      </w:r>
      <w:r w:rsidRPr="00487DC9">
        <w:rPr>
          <w:rFonts w:ascii="Palatino Linotype" w:hAnsi="Palatino Linotype"/>
          <w:i/>
          <w:sz w:val="22"/>
          <w:szCs w:val="22"/>
          <w:lang w:val="es-ES"/>
        </w:rPr>
        <w:t xml:space="preserve"> revisión contendrá:</w:t>
      </w:r>
      <w:r w:rsidRPr="00487DC9">
        <w:rPr>
          <w:rFonts w:ascii="Palatino Linotype" w:hAnsi="Palatino Linotype"/>
          <w:b/>
          <w:i/>
          <w:sz w:val="22"/>
          <w:szCs w:val="22"/>
          <w:lang w:val="es-ES"/>
        </w:rPr>
        <w:t xml:space="preserve"> </w:t>
      </w:r>
    </w:p>
    <w:p w14:paraId="2E722381" w14:textId="77777777" w:rsidR="00FA5B63" w:rsidRPr="00487DC9" w:rsidRDefault="00FA5B63" w:rsidP="00487DC9">
      <w:pPr>
        <w:tabs>
          <w:tab w:val="left" w:pos="851"/>
        </w:tabs>
        <w:ind w:left="851" w:right="901"/>
        <w:jc w:val="both"/>
        <w:rPr>
          <w:rFonts w:ascii="Palatino Linotype" w:hAnsi="Palatino Linotype"/>
          <w:b/>
          <w:i/>
          <w:sz w:val="22"/>
          <w:szCs w:val="22"/>
          <w:lang w:val="es-ES"/>
        </w:rPr>
      </w:pPr>
      <w:r w:rsidRPr="00487DC9">
        <w:rPr>
          <w:rFonts w:ascii="Palatino Linotype" w:hAnsi="Palatino Linotype"/>
          <w:b/>
          <w:i/>
          <w:sz w:val="22"/>
          <w:szCs w:val="22"/>
          <w:lang w:val="es-ES"/>
        </w:rPr>
        <w:t>…</w:t>
      </w:r>
    </w:p>
    <w:p w14:paraId="6BC8E387" w14:textId="77777777" w:rsidR="00FA5B63" w:rsidRPr="00487DC9" w:rsidRDefault="00FA5B63" w:rsidP="00487DC9">
      <w:pPr>
        <w:tabs>
          <w:tab w:val="left" w:pos="851"/>
        </w:tabs>
        <w:ind w:left="851" w:right="901"/>
        <w:jc w:val="both"/>
        <w:rPr>
          <w:rFonts w:ascii="Palatino Linotype" w:hAnsi="Palatino Linotype"/>
          <w:i/>
          <w:sz w:val="22"/>
          <w:szCs w:val="22"/>
          <w:lang w:val="es-ES"/>
        </w:rPr>
      </w:pPr>
      <w:r w:rsidRPr="00487DC9">
        <w:rPr>
          <w:rFonts w:ascii="Palatino Linotype" w:hAnsi="Palatino Linotype"/>
          <w:b/>
          <w:i/>
          <w:sz w:val="22"/>
          <w:szCs w:val="22"/>
          <w:lang w:val="es-ES"/>
        </w:rPr>
        <w:t xml:space="preserve">II. El nombre del solicitante </w:t>
      </w:r>
      <w:r w:rsidRPr="00487DC9">
        <w:rPr>
          <w:rFonts w:ascii="Palatino Linotype" w:hAnsi="Palatino Linotype" w:cs="Arial"/>
          <w:b/>
          <w:i/>
          <w:sz w:val="22"/>
          <w:szCs w:val="22"/>
          <w:lang w:val="es-ES"/>
        </w:rPr>
        <w:t>que</w:t>
      </w:r>
      <w:r w:rsidRPr="00487DC9">
        <w:rPr>
          <w:rFonts w:ascii="Palatino Linotype" w:hAnsi="Palatino Linotype"/>
          <w:b/>
          <w:i/>
          <w:sz w:val="22"/>
          <w:szCs w:val="22"/>
          <w:lang w:val="es-ES"/>
        </w:rPr>
        <w:t xml:space="preserve"> recurre </w:t>
      </w:r>
      <w:r w:rsidRPr="00487DC9">
        <w:rPr>
          <w:rFonts w:ascii="Palatino Linotype" w:hAnsi="Palatino Linotype"/>
          <w:i/>
          <w:sz w:val="22"/>
          <w:szCs w:val="22"/>
          <w:lang w:val="es-ES"/>
        </w:rPr>
        <w:t>o de su representante y, en su caso, …</w:t>
      </w:r>
    </w:p>
    <w:p w14:paraId="14CD9FD1" w14:textId="77777777" w:rsidR="00FA5B63" w:rsidRPr="00487DC9" w:rsidRDefault="00FA5B63" w:rsidP="00487DC9">
      <w:pPr>
        <w:tabs>
          <w:tab w:val="left" w:pos="851"/>
        </w:tabs>
        <w:ind w:left="851" w:right="901"/>
        <w:jc w:val="both"/>
        <w:rPr>
          <w:rFonts w:ascii="Palatino Linotype" w:hAnsi="Palatino Linotype"/>
          <w:b/>
          <w:i/>
          <w:sz w:val="22"/>
          <w:szCs w:val="22"/>
          <w:lang w:val="es-ES"/>
        </w:rPr>
      </w:pPr>
      <w:r w:rsidRPr="00487DC9">
        <w:rPr>
          <w:rFonts w:ascii="Palatino Linotype" w:hAnsi="Palatino Linotype"/>
          <w:b/>
          <w:i/>
          <w:sz w:val="22"/>
          <w:szCs w:val="22"/>
          <w:lang w:val="es-ES"/>
        </w:rPr>
        <w:lastRenderedPageBreak/>
        <w:t xml:space="preserve">En caso de </w:t>
      </w:r>
      <w:r w:rsidRPr="00487DC9">
        <w:rPr>
          <w:rFonts w:ascii="Palatino Linotype" w:hAnsi="Palatino Linotype" w:cs="Arial"/>
          <w:b/>
          <w:i/>
          <w:sz w:val="22"/>
          <w:szCs w:val="22"/>
          <w:lang w:val="es-ES"/>
        </w:rPr>
        <w:t>que</w:t>
      </w:r>
      <w:r w:rsidRPr="00487DC9">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487DC9">
        <w:rPr>
          <w:rFonts w:ascii="Palatino Linotype" w:hAnsi="Palatino Linotype"/>
          <w:i/>
          <w:sz w:val="22"/>
          <w:szCs w:val="22"/>
          <w:lang w:val="es-ES"/>
        </w:rPr>
        <w:t>, IV, VII y VIII.</w:t>
      </w:r>
      <w:r w:rsidRPr="00487DC9">
        <w:rPr>
          <w:rFonts w:ascii="Palatino Linotype" w:hAnsi="Palatino Linotype"/>
          <w:b/>
          <w:i/>
          <w:sz w:val="22"/>
          <w:szCs w:val="22"/>
          <w:lang w:val="es-ES"/>
        </w:rPr>
        <w:t>”</w:t>
      </w:r>
    </w:p>
    <w:p w14:paraId="2F78CC73" w14:textId="77777777" w:rsidR="00FA5B63" w:rsidRPr="00487DC9" w:rsidRDefault="00FA5B63" w:rsidP="00487DC9">
      <w:pPr>
        <w:tabs>
          <w:tab w:val="left" w:pos="851"/>
        </w:tabs>
        <w:ind w:left="851" w:right="901"/>
        <w:jc w:val="both"/>
        <w:rPr>
          <w:rFonts w:ascii="Palatino Linotype" w:hAnsi="Palatino Linotype"/>
          <w:i/>
          <w:sz w:val="22"/>
          <w:szCs w:val="22"/>
          <w:lang w:val="es-ES"/>
        </w:rPr>
      </w:pPr>
      <w:r w:rsidRPr="00487DC9">
        <w:rPr>
          <w:rFonts w:ascii="Palatino Linotype" w:hAnsi="Palatino Linotype"/>
          <w:i/>
          <w:sz w:val="22"/>
          <w:szCs w:val="22"/>
          <w:lang w:val="es-ES"/>
        </w:rPr>
        <w:t>(Énfasis añadido)</w:t>
      </w:r>
    </w:p>
    <w:p w14:paraId="4848221B" w14:textId="77777777" w:rsidR="00FA5B63" w:rsidRPr="00487DC9" w:rsidRDefault="00FA5B63" w:rsidP="00487DC9">
      <w:pPr>
        <w:tabs>
          <w:tab w:val="left" w:pos="851"/>
        </w:tabs>
        <w:ind w:right="901"/>
        <w:jc w:val="both"/>
        <w:rPr>
          <w:rFonts w:ascii="Palatino Linotype" w:hAnsi="Palatino Linotype"/>
          <w:i/>
          <w:sz w:val="22"/>
          <w:szCs w:val="22"/>
          <w:lang w:val="es-ES"/>
        </w:rPr>
      </w:pPr>
    </w:p>
    <w:p w14:paraId="125146D8" w14:textId="77777777" w:rsidR="00FA5B63" w:rsidRPr="00487DC9" w:rsidRDefault="00FA5B63" w:rsidP="00487DC9">
      <w:pPr>
        <w:spacing w:line="360" w:lineRule="auto"/>
        <w:jc w:val="both"/>
        <w:rPr>
          <w:rFonts w:ascii="Palatino Linotype" w:hAnsi="Palatino Linotype"/>
          <w:b/>
          <w:lang w:val="es-ES"/>
        </w:rPr>
      </w:pPr>
      <w:r w:rsidRPr="00487DC9">
        <w:rPr>
          <w:rFonts w:ascii="Palatino Linotype" w:hAnsi="Palatino Linotype"/>
          <w:lang w:val="es-ES"/>
        </w:rPr>
        <w:t>Por lo que, derivado que el Recurso de Revisión materia del presente asunto, se interpuso de manera electrónica, no es necesario que contenga determinados requisitos, entre ellos, el nombre de</w:t>
      </w:r>
      <w:r w:rsidR="002204AE" w:rsidRPr="00487DC9">
        <w:rPr>
          <w:rFonts w:ascii="Palatino Linotype" w:hAnsi="Palatino Linotype"/>
          <w:lang w:val="es-ES"/>
        </w:rPr>
        <w:t xml:space="preserve"> </w:t>
      </w:r>
      <w:r w:rsidR="002204AE" w:rsidRPr="00487DC9">
        <w:rPr>
          <w:rFonts w:ascii="Palatino Linotype" w:hAnsi="Palatino Linotype"/>
          <w:b/>
          <w:lang w:val="es-ES"/>
        </w:rPr>
        <w:t>LA</w:t>
      </w:r>
      <w:r w:rsidRPr="00487DC9">
        <w:rPr>
          <w:rFonts w:ascii="Palatino Linotype" w:hAnsi="Palatino Linotype" w:cs="Arial"/>
          <w:b/>
          <w:lang w:val="es-ES"/>
        </w:rPr>
        <w:t xml:space="preserve"> RECURRENTE;</w:t>
      </w:r>
      <w:r w:rsidRPr="00487DC9">
        <w:rPr>
          <w:rFonts w:ascii="Palatino Linotype" w:hAnsi="Palatino Linotype"/>
          <w:lang w:val="es-ES"/>
        </w:rPr>
        <w:t xml:space="preserve"> por lo que, en el presente caso, al haber sido presentado el Recurso de Revisión vía </w:t>
      </w:r>
      <w:r w:rsidRPr="00487DC9">
        <w:rPr>
          <w:rFonts w:ascii="Palatino Linotype" w:hAnsi="Palatino Linotype"/>
          <w:b/>
          <w:lang w:val="es-ES"/>
        </w:rPr>
        <w:t>SAIMEX</w:t>
      </w:r>
      <w:r w:rsidRPr="00487DC9">
        <w:rPr>
          <w:rFonts w:ascii="Palatino Linotype" w:hAnsi="Palatino Linotype"/>
          <w:lang w:val="es-ES"/>
        </w:rPr>
        <w:t>, dicho requisito resulta innecesario.</w:t>
      </w:r>
    </w:p>
    <w:p w14:paraId="5317888F" w14:textId="77777777" w:rsidR="00FA5B63" w:rsidRPr="00487DC9" w:rsidRDefault="00FA5B63" w:rsidP="00487DC9">
      <w:pPr>
        <w:spacing w:line="360" w:lineRule="auto"/>
        <w:jc w:val="both"/>
        <w:rPr>
          <w:rFonts w:ascii="Palatino Linotype" w:hAnsi="Palatino Linotype"/>
          <w:lang w:val="es-ES"/>
        </w:rPr>
      </w:pPr>
    </w:p>
    <w:p w14:paraId="48DEC9B7" w14:textId="77777777" w:rsidR="00FA5B63" w:rsidRPr="00487DC9" w:rsidRDefault="00FA5B63" w:rsidP="00487DC9">
      <w:pPr>
        <w:spacing w:line="360" w:lineRule="auto"/>
        <w:jc w:val="both"/>
        <w:rPr>
          <w:rFonts w:ascii="Palatino Linotype" w:hAnsi="Palatino Linotype" w:cs="Arial"/>
          <w:lang w:val="es-ES"/>
        </w:rPr>
      </w:pPr>
      <w:r w:rsidRPr="00487DC9">
        <w:rPr>
          <w:rFonts w:ascii="Palatino Linotype" w:hAnsi="Palatino Linotype"/>
          <w:lang w:val="es-ES"/>
        </w:rPr>
        <w:t xml:space="preserve">Lo anterior es así, pues el artículo 15 de </w:t>
      </w:r>
      <w:r w:rsidRPr="00487DC9">
        <w:rPr>
          <w:rFonts w:ascii="Palatino Linotype" w:hAnsi="Palatino Linotype" w:cs="Arial"/>
          <w:lang w:val="es-ES"/>
        </w:rPr>
        <w:t xml:space="preserve">Ley de Transparencia y Acceso a la Información Pública del Estado de México y Municipios </w:t>
      </w:r>
      <w:r w:rsidRPr="00487DC9">
        <w:rPr>
          <w:rFonts w:ascii="Palatino Linotype" w:hAnsi="Palatino Linotype" w:cs="Arial"/>
          <w:iCs/>
          <w:lang w:val="es-ES"/>
        </w:rPr>
        <w:t xml:space="preserve">prevé que, </w:t>
      </w:r>
      <w:r w:rsidRPr="00487DC9">
        <w:rPr>
          <w:rFonts w:ascii="Palatino Linotype" w:hAnsi="Palatino Linotype"/>
          <w:lang w:val="es-ES"/>
        </w:rPr>
        <w:t xml:space="preserve">toda persona tendrá acceso a la información </w:t>
      </w:r>
      <w:r w:rsidRPr="00487DC9">
        <w:rPr>
          <w:rFonts w:ascii="Palatino Linotype" w:hAnsi="Palatino Linotype" w:cs="Arial"/>
          <w:lang w:val="es-ES"/>
        </w:rPr>
        <w:t xml:space="preserve">sin necesidad de acreditar interés alguno o justificar su utilización, de lo que se infiere que para el </w:t>
      </w:r>
      <w:r w:rsidRPr="00487DC9">
        <w:rPr>
          <w:rFonts w:ascii="Palatino Linotype" w:hAnsi="Palatino Linotype"/>
          <w:lang w:val="es-ES"/>
        </w:rPr>
        <w:t>ejercicio</w:t>
      </w:r>
      <w:r w:rsidRPr="00487DC9">
        <w:rPr>
          <w:rFonts w:ascii="Palatino Linotype" w:hAnsi="Palatino Linotype" w:cs="Arial"/>
          <w:lang w:val="es-ES"/>
        </w:rPr>
        <w:t xml:space="preserve"> del derecho de acceso a la información pública, </w:t>
      </w:r>
      <w:r w:rsidRPr="00487DC9">
        <w:rPr>
          <w:rFonts w:ascii="Palatino Linotype" w:hAnsi="Palatino Linotype" w:cs="Arial"/>
          <w:b/>
          <w:u w:val="single"/>
          <w:lang w:val="es-ES"/>
        </w:rPr>
        <w:t xml:space="preserve">el nombre no es un requisito </w:t>
      </w:r>
      <w:r w:rsidRPr="00487DC9">
        <w:rPr>
          <w:rFonts w:ascii="Palatino Linotype" w:hAnsi="Palatino Linotype" w:cs="Arial"/>
          <w:b/>
          <w:i/>
          <w:u w:val="single"/>
          <w:lang w:val="es-ES"/>
        </w:rPr>
        <w:t>sine qua non</w:t>
      </w:r>
      <w:r w:rsidRPr="00487DC9">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25ED3D4F" w14:textId="77777777" w:rsidR="00FA5B63" w:rsidRPr="00487DC9" w:rsidRDefault="00FA5B63" w:rsidP="00487DC9">
      <w:pPr>
        <w:spacing w:line="360" w:lineRule="auto"/>
        <w:jc w:val="both"/>
        <w:rPr>
          <w:rFonts w:ascii="Palatino Linotype" w:hAnsi="Palatino Linotype" w:cs="Arial"/>
          <w:lang w:val="es-ES"/>
        </w:rPr>
      </w:pPr>
    </w:p>
    <w:p w14:paraId="1955D2A6" w14:textId="77777777" w:rsidR="00FA5B63" w:rsidRPr="00487DC9" w:rsidRDefault="00FA5B63" w:rsidP="00487DC9">
      <w:pPr>
        <w:spacing w:line="360" w:lineRule="auto"/>
        <w:jc w:val="both"/>
        <w:rPr>
          <w:rFonts w:ascii="Palatino Linotype" w:hAnsi="Palatino Linotype"/>
          <w:sz w:val="22"/>
          <w:szCs w:val="22"/>
          <w:lang w:val="es-ES"/>
        </w:rPr>
      </w:pPr>
      <w:r w:rsidRPr="00487DC9">
        <w:rPr>
          <w:rFonts w:ascii="Palatino Linotype" w:hAnsi="Palatino Linotype"/>
          <w:lang w:val="es-ES"/>
        </w:rPr>
        <w:t xml:space="preserve">Aunado a lo anterior, cabe precisar que los artículos 6, Apartado A, fracciones III y IV de la Constitución Política de los Estados Unidos Mexicanos y 5, párrafos </w:t>
      </w:r>
      <w:r w:rsidRPr="00487DC9">
        <w:rPr>
          <w:rFonts w:ascii="Palatino Linotype" w:hAnsi="Palatino Linotype"/>
          <w:bCs/>
        </w:rPr>
        <w:t>trigésimo segundo, trigésimo tercero y trigésimo cuarto</w:t>
      </w:r>
      <w:r w:rsidRPr="00487DC9">
        <w:rPr>
          <w:rFonts w:ascii="Palatino Linotype" w:hAnsi="Palatino Linotype"/>
          <w:lang w:val="es-ES"/>
        </w:rPr>
        <w:t xml:space="preserve">, fracciones I, III, IV y V de la Constitución Política del Estado Libre y Soberano de México, garantizan el ejercicio del derecho de acceso a la información pública, toda vez que disponen que toda persona sin necesidad </w:t>
      </w:r>
      <w:r w:rsidRPr="00487DC9">
        <w:rPr>
          <w:rFonts w:ascii="Palatino Linotype" w:hAnsi="Palatino Linotype"/>
          <w:lang w:val="es-ES"/>
        </w:rPr>
        <w:lastRenderedPageBreak/>
        <w:t>de acreditar interés alguno o justificar su utilización, tendrá acceso gratuito a la información pública.</w:t>
      </w:r>
    </w:p>
    <w:p w14:paraId="0C7EE0B5" w14:textId="77777777" w:rsidR="00FA5B63" w:rsidRPr="00487DC9" w:rsidRDefault="00FA5B63" w:rsidP="00487DC9">
      <w:pPr>
        <w:tabs>
          <w:tab w:val="left" w:pos="851"/>
        </w:tabs>
        <w:spacing w:line="360" w:lineRule="auto"/>
        <w:ind w:left="851" w:right="901"/>
        <w:jc w:val="both"/>
        <w:rPr>
          <w:rFonts w:ascii="Palatino Linotype" w:hAnsi="Palatino Linotype"/>
          <w:sz w:val="22"/>
          <w:szCs w:val="22"/>
          <w:lang w:val="es-ES"/>
        </w:rPr>
      </w:pPr>
    </w:p>
    <w:p w14:paraId="7A7F2E48" w14:textId="77777777" w:rsidR="00FA5B63" w:rsidRPr="00487DC9" w:rsidRDefault="00FA5B63" w:rsidP="00487DC9">
      <w:pPr>
        <w:spacing w:line="360" w:lineRule="auto"/>
        <w:jc w:val="both"/>
        <w:rPr>
          <w:rFonts w:ascii="Palatino Linotype" w:hAnsi="Palatino Linotype"/>
          <w:lang w:val="es-ES"/>
        </w:rPr>
      </w:pPr>
      <w:r w:rsidRPr="00487DC9">
        <w:rPr>
          <w:rFonts w:ascii="Palatino Linotype" w:hAnsi="Palatino Linotype"/>
          <w:lang w:val="es-ES"/>
        </w:rPr>
        <w:t>Asimismo, se estima que el requisito relativo al nombre de</w:t>
      </w:r>
      <w:r w:rsidR="002204AE" w:rsidRPr="00487DC9">
        <w:rPr>
          <w:rFonts w:ascii="Palatino Linotype" w:hAnsi="Palatino Linotype"/>
          <w:lang w:val="es-ES"/>
        </w:rPr>
        <w:t xml:space="preserve"> </w:t>
      </w:r>
      <w:r w:rsidR="002204AE" w:rsidRPr="00487DC9">
        <w:rPr>
          <w:rFonts w:ascii="Palatino Linotype" w:hAnsi="Palatino Linotype"/>
          <w:b/>
          <w:lang w:val="es-ES"/>
        </w:rPr>
        <w:t>LA</w:t>
      </w:r>
      <w:r w:rsidRPr="00487DC9">
        <w:rPr>
          <w:rFonts w:ascii="Palatino Linotype" w:hAnsi="Palatino Linotype"/>
          <w:lang w:val="es-ES"/>
        </w:rPr>
        <w:t xml:space="preserve"> </w:t>
      </w:r>
      <w:r w:rsidRPr="00487DC9">
        <w:rPr>
          <w:rFonts w:ascii="Palatino Linotype" w:hAnsi="Palatino Linotype" w:cs="Arial"/>
          <w:b/>
          <w:lang w:val="es-ES"/>
        </w:rPr>
        <w:t>RECURRENTE</w:t>
      </w:r>
      <w:r w:rsidRPr="00487DC9">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002204AE" w:rsidRPr="00487DC9">
        <w:rPr>
          <w:rFonts w:ascii="Palatino Linotype" w:hAnsi="Palatino Linotype" w:cs="Arial"/>
          <w:b/>
          <w:lang w:val="es-ES"/>
        </w:rPr>
        <w:t>LA</w:t>
      </w:r>
      <w:r w:rsidRPr="00487DC9">
        <w:rPr>
          <w:rFonts w:ascii="Palatino Linotype" w:hAnsi="Palatino Linotype" w:cs="Arial"/>
          <w:b/>
          <w:lang w:val="es-ES"/>
        </w:rPr>
        <w:t xml:space="preserve"> RECURRENTE</w:t>
      </w:r>
      <w:r w:rsidRPr="00487DC9">
        <w:rPr>
          <w:rFonts w:ascii="Palatino Linotype" w:hAnsi="Palatino Linotype"/>
          <w:lang w:val="es-ES"/>
        </w:rPr>
        <w:t xml:space="preserve"> es la misma persona que realizó la solicitud de acceso a la información pública que ahora se impugna.</w:t>
      </w:r>
    </w:p>
    <w:p w14:paraId="7C1F78A3" w14:textId="77777777" w:rsidR="00FA5B63" w:rsidRPr="00487DC9" w:rsidRDefault="00FA5B63" w:rsidP="00487DC9">
      <w:pPr>
        <w:tabs>
          <w:tab w:val="left" w:pos="851"/>
        </w:tabs>
        <w:spacing w:line="360" w:lineRule="auto"/>
        <w:ind w:left="851" w:right="901"/>
        <w:jc w:val="both"/>
        <w:rPr>
          <w:rFonts w:ascii="Palatino Linotype" w:hAnsi="Palatino Linotype"/>
          <w:sz w:val="22"/>
          <w:szCs w:val="22"/>
          <w:lang w:val="es-ES"/>
        </w:rPr>
      </w:pPr>
    </w:p>
    <w:p w14:paraId="5E64086A" w14:textId="77777777" w:rsidR="00FA5B63" w:rsidRPr="00487DC9" w:rsidRDefault="00FA5B63" w:rsidP="00487DC9">
      <w:pPr>
        <w:spacing w:line="360" w:lineRule="auto"/>
        <w:jc w:val="both"/>
        <w:rPr>
          <w:rFonts w:ascii="Palatino Linotype" w:hAnsi="Palatino Linotype"/>
          <w:lang w:val="es-ES"/>
        </w:rPr>
      </w:pPr>
      <w:r w:rsidRPr="00487DC9">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487DC9">
        <w:rPr>
          <w:rFonts w:ascii="Palatino Linotype" w:hAnsi="Palatino Linotype"/>
        </w:rPr>
        <w:t>Constitución Política de los Estados Unidos Mexicanos</w:t>
      </w:r>
      <w:r w:rsidRPr="00487DC9">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3EA3A672" w14:textId="77777777" w:rsidR="00045977" w:rsidRPr="00487DC9" w:rsidRDefault="00045977" w:rsidP="00487DC9">
      <w:pPr>
        <w:spacing w:line="360" w:lineRule="auto"/>
        <w:ind w:right="49"/>
        <w:jc w:val="both"/>
        <w:rPr>
          <w:rFonts w:ascii="Palatino Linotype" w:eastAsia="Palatino Linotype" w:hAnsi="Palatino Linotype" w:cs="Palatino Linotype"/>
        </w:rPr>
      </w:pPr>
    </w:p>
    <w:p w14:paraId="27353862" w14:textId="77777777" w:rsidR="0064438D" w:rsidRPr="00487DC9" w:rsidRDefault="00D41907" w:rsidP="00487DC9">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b/>
          <w:sz w:val="28"/>
          <w:szCs w:val="28"/>
        </w:rPr>
        <w:lastRenderedPageBreak/>
        <w:t>QUINTO</w:t>
      </w:r>
      <w:r w:rsidRPr="00487DC9">
        <w:rPr>
          <w:rFonts w:ascii="Palatino Linotype" w:eastAsia="Palatino Linotype" w:hAnsi="Palatino Linotype" w:cs="Palatino Linotype"/>
          <w:b/>
        </w:rPr>
        <w:t xml:space="preserve">. Estudio y Resolución del Recurso. </w:t>
      </w:r>
    </w:p>
    <w:p w14:paraId="3FC0E0B1" w14:textId="77777777" w:rsidR="0064438D" w:rsidRPr="00487DC9" w:rsidRDefault="00D41907" w:rsidP="00487DC9">
      <w:pP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6578BF04" w14:textId="77777777" w:rsidR="0064438D" w:rsidRPr="00487DC9" w:rsidRDefault="0064438D" w:rsidP="00487DC9">
      <w:pPr>
        <w:spacing w:line="360" w:lineRule="auto"/>
        <w:jc w:val="both"/>
        <w:rPr>
          <w:rFonts w:ascii="Palatino Linotype" w:eastAsia="Palatino Linotype" w:hAnsi="Palatino Linotype" w:cs="Palatino Linotype"/>
        </w:rPr>
      </w:pPr>
    </w:p>
    <w:p w14:paraId="6444D8B0" w14:textId="77777777" w:rsidR="00A8558D" w:rsidRPr="00487DC9" w:rsidRDefault="00D41907" w:rsidP="00487DC9">
      <w:pP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rPr>
        <w:t xml:space="preserve">En primer lugar, es importante señalar que </w:t>
      </w:r>
      <w:r w:rsidR="002204AE" w:rsidRPr="00487DC9">
        <w:rPr>
          <w:rFonts w:ascii="Palatino Linotype" w:eastAsia="Palatino Linotype" w:hAnsi="Palatino Linotype" w:cs="Palatino Linotype"/>
          <w:b/>
        </w:rPr>
        <w:t>LA</w:t>
      </w:r>
      <w:r w:rsidRPr="00487DC9">
        <w:rPr>
          <w:rFonts w:ascii="Palatino Linotype" w:eastAsia="Palatino Linotype" w:hAnsi="Palatino Linotype" w:cs="Palatino Linotype"/>
          <w:b/>
        </w:rPr>
        <w:t xml:space="preserve"> RECURRENTE</w:t>
      </w:r>
      <w:r w:rsidRPr="00487DC9">
        <w:rPr>
          <w:rFonts w:ascii="Palatino Linotype" w:eastAsia="Palatino Linotype" w:hAnsi="Palatino Linotype" w:cs="Palatino Linotype"/>
        </w:rPr>
        <w:t xml:space="preserve"> en el ejercicio de su derecho de Acceso a la Información </w:t>
      </w:r>
      <w:r w:rsidR="00A97A68" w:rsidRPr="00487DC9">
        <w:rPr>
          <w:rFonts w:ascii="Palatino Linotype" w:eastAsia="Palatino Linotype" w:hAnsi="Palatino Linotype" w:cs="Palatino Linotype"/>
        </w:rPr>
        <w:t xml:space="preserve">requirió </w:t>
      </w:r>
      <w:r w:rsidR="006D693D" w:rsidRPr="00487DC9">
        <w:rPr>
          <w:rFonts w:ascii="Palatino Linotype" w:eastAsia="Palatino Linotype" w:hAnsi="Palatino Linotype" w:cs="Palatino Linotype"/>
        </w:rPr>
        <w:t xml:space="preserve">el documento con que acreditan el grado </w:t>
      </w:r>
      <w:r w:rsidR="00A97A68" w:rsidRPr="00487DC9">
        <w:rPr>
          <w:rFonts w:ascii="Palatino Linotype" w:eastAsia="Palatino Linotype" w:hAnsi="Palatino Linotype" w:cs="Palatino Linotype"/>
        </w:rPr>
        <w:t>máximo de estudios</w:t>
      </w:r>
      <w:r w:rsidR="00A8558D" w:rsidRPr="00487DC9">
        <w:rPr>
          <w:rFonts w:ascii="Palatino Linotype" w:eastAsia="Palatino Linotype" w:hAnsi="Palatino Linotype" w:cs="Palatino Linotype"/>
        </w:rPr>
        <w:t xml:space="preserve"> de las personas precisada en la solicitud; así como, el</w:t>
      </w:r>
      <w:r w:rsidR="00A97A68" w:rsidRPr="00487DC9">
        <w:rPr>
          <w:rFonts w:ascii="Palatino Linotype" w:eastAsia="Palatino Linotype" w:hAnsi="Palatino Linotype" w:cs="Palatino Linotype"/>
        </w:rPr>
        <w:t xml:space="preserve"> currículum vitae </w:t>
      </w:r>
      <w:r w:rsidR="00A8558D" w:rsidRPr="00487DC9">
        <w:rPr>
          <w:rFonts w:ascii="Palatino Linotype" w:eastAsia="Palatino Linotype" w:hAnsi="Palatino Linotype" w:cs="Palatino Linotype"/>
        </w:rPr>
        <w:t xml:space="preserve">con la documentación probatoria que amparen que cuentan con la experiencia necesaria para desempeñar los cargos que ocupan en el Hospital General Vicente Villada de Cuautitlán. </w:t>
      </w:r>
    </w:p>
    <w:p w14:paraId="4039C8C8" w14:textId="77777777" w:rsidR="006D693D" w:rsidRPr="00487DC9" w:rsidRDefault="006D693D" w:rsidP="00487DC9">
      <w:pPr>
        <w:spacing w:line="360" w:lineRule="auto"/>
        <w:jc w:val="both"/>
        <w:rPr>
          <w:rFonts w:ascii="Palatino Linotype" w:eastAsia="Palatino Linotype" w:hAnsi="Palatino Linotype" w:cs="Palatino Linotype"/>
        </w:rPr>
      </w:pPr>
    </w:p>
    <w:p w14:paraId="03D86944" w14:textId="77777777" w:rsidR="001502E9" w:rsidRPr="00487DC9" w:rsidRDefault="00D41907" w:rsidP="00487DC9">
      <w:pPr>
        <w:spacing w:line="360" w:lineRule="auto"/>
        <w:jc w:val="both"/>
        <w:rPr>
          <w:rFonts w:ascii="Palatino Linotype" w:hAnsi="Palatino Linotype" w:cs="Arial"/>
          <w:lang w:val="es-ES_tradnl"/>
        </w:rPr>
      </w:pPr>
      <w:r w:rsidRPr="00487DC9">
        <w:rPr>
          <w:rFonts w:ascii="Palatino Linotype" w:eastAsia="Palatino Linotype" w:hAnsi="Palatino Linotype" w:cs="Palatino Linotype"/>
        </w:rPr>
        <w:t xml:space="preserve">Al respecto </w:t>
      </w:r>
      <w:r w:rsidRPr="00487DC9">
        <w:rPr>
          <w:rFonts w:ascii="Palatino Linotype" w:eastAsia="Palatino Linotype" w:hAnsi="Palatino Linotype" w:cs="Palatino Linotype"/>
          <w:b/>
        </w:rPr>
        <w:t>EL SUJETO OBLIGADO</w:t>
      </w:r>
      <w:r w:rsidRPr="00487DC9">
        <w:rPr>
          <w:rFonts w:ascii="Palatino Linotype" w:eastAsia="Palatino Linotype" w:hAnsi="Palatino Linotype" w:cs="Palatino Linotype"/>
        </w:rPr>
        <w:t xml:space="preserve"> mediante respuesta </w:t>
      </w:r>
      <w:r w:rsidR="001502E9" w:rsidRPr="00487DC9">
        <w:rPr>
          <w:rFonts w:ascii="Palatino Linotype" w:eastAsia="Palatino Linotype" w:hAnsi="Palatino Linotype" w:cs="Palatino Linotype"/>
        </w:rPr>
        <w:t>refirió que l</w:t>
      </w:r>
      <w:r w:rsidR="001502E9" w:rsidRPr="00487DC9">
        <w:rPr>
          <w:rFonts w:ascii="Palatino Linotype" w:hAnsi="Palatino Linotype" w:cs="Arial"/>
          <w:lang w:val="es-ES_tradnl"/>
        </w:rPr>
        <w:t>a información solicitada no es administrada por unidades administrativas u órganos desconcentrados pertenecientes a la Secretaría de Salud del Estado de México, derivado que la unidad administrativa y/o médica referida, forma parte de la infraestructura en salud del Instituto de Salud del Estado de México (ISEM), por lo que, se encuentra imposibilitado de dar atención a la solicitud, sugiriendo sea canalizada la solicitud al Instituto de Salud del Estado de México.</w:t>
      </w:r>
    </w:p>
    <w:p w14:paraId="204B098E" w14:textId="77777777" w:rsidR="001502E9" w:rsidRPr="00487DC9" w:rsidRDefault="001502E9" w:rsidP="00487DC9">
      <w:pPr>
        <w:spacing w:line="360" w:lineRule="auto"/>
        <w:jc w:val="both"/>
        <w:rPr>
          <w:rFonts w:ascii="Palatino Linotype" w:eastAsia="Palatino Linotype" w:hAnsi="Palatino Linotype" w:cs="Palatino Linotype"/>
        </w:rPr>
      </w:pPr>
    </w:p>
    <w:p w14:paraId="79BA5ABC" w14:textId="77777777" w:rsidR="00506495" w:rsidRPr="00487DC9" w:rsidRDefault="00D41907" w:rsidP="00487DC9">
      <w:pP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rPr>
        <w:t xml:space="preserve">Ante tal respuesta, </w:t>
      </w:r>
      <w:r w:rsidR="002204AE" w:rsidRPr="00487DC9">
        <w:rPr>
          <w:rFonts w:ascii="Palatino Linotype" w:eastAsia="Palatino Linotype" w:hAnsi="Palatino Linotype" w:cs="Palatino Linotype"/>
        </w:rPr>
        <w:t>la</w:t>
      </w:r>
      <w:r w:rsidRPr="00487DC9">
        <w:rPr>
          <w:rFonts w:ascii="Palatino Linotype" w:eastAsia="Palatino Linotype" w:hAnsi="Palatino Linotype" w:cs="Palatino Linotype"/>
        </w:rPr>
        <w:t xml:space="preserve"> particular interpuso el Recurso de Revisión materia del present</w:t>
      </w:r>
      <w:r w:rsidR="00045977" w:rsidRPr="00487DC9">
        <w:rPr>
          <w:rFonts w:ascii="Palatino Linotype" w:eastAsia="Palatino Linotype" w:hAnsi="Palatino Linotype" w:cs="Palatino Linotype"/>
        </w:rPr>
        <w:t>e asunto, adoleciéndose</w:t>
      </w:r>
      <w:r w:rsidR="008A1825" w:rsidRPr="00487DC9">
        <w:rPr>
          <w:rFonts w:ascii="Palatino Linotype" w:eastAsia="Palatino Linotype" w:hAnsi="Palatino Linotype" w:cs="Palatino Linotype"/>
        </w:rPr>
        <w:t xml:space="preserve"> medularmente </w:t>
      </w:r>
      <w:r w:rsidR="00045977" w:rsidRPr="00487DC9">
        <w:rPr>
          <w:rFonts w:ascii="Palatino Linotype" w:eastAsia="Palatino Linotype" w:hAnsi="Palatino Linotype" w:cs="Palatino Linotype"/>
        </w:rPr>
        <w:t xml:space="preserve">porque </w:t>
      </w:r>
      <w:r w:rsidR="008A1825" w:rsidRPr="00487DC9">
        <w:rPr>
          <w:rFonts w:ascii="Palatino Linotype" w:eastAsia="Palatino Linotype" w:hAnsi="Palatino Linotype" w:cs="Palatino Linotype"/>
        </w:rPr>
        <w:t xml:space="preserve">no se le </w:t>
      </w:r>
      <w:r w:rsidR="00506495" w:rsidRPr="00487DC9">
        <w:rPr>
          <w:rFonts w:ascii="Palatino Linotype" w:eastAsia="Palatino Linotype" w:hAnsi="Palatino Linotype" w:cs="Palatino Linotype"/>
        </w:rPr>
        <w:t xml:space="preserve">hizo entrega de la información solicitada. </w:t>
      </w:r>
    </w:p>
    <w:p w14:paraId="7D37C971" w14:textId="77777777" w:rsidR="00506495" w:rsidRPr="00487DC9" w:rsidRDefault="00506495" w:rsidP="00487DC9">
      <w:pPr>
        <w:spacing w:line="360" w:lineRule="auto"/>
        <w:jc w:val="both"/>
        <w:rPr>
          <w:rFonts w:ascii="Palatino Linotype" w:eastAsia="Palatino Linotype" w:hAnsi="Palatino Linotype" w:cs="Palatino Linotype"/>
        </w:rPr>
      </w:pPr>
    </w:p>
    <w:p w14:paraId="6037EAA9" w14:textId="77777777" w:rsidR="00ED379D" w:rsidRPr="00487DC9" w:rsidRDefault="00ED379D" w:rsidP="00487DC9">
      <w:pPr>
        <w:pStyle w:val="Prrafodelista"/>
        <w:widowControl w:val="0"/>
        <w:autoSpaceDE w:val="0"/>
        <w:autoSpaceDN w:val="0"/>
        <w:adjustRightInd w:val="0"/>
        <w:spacing w:line="360" w:lineRule="auto"/>
        <w:ind w:left="0"/>
        <w:jc w:val="both"/>
        <w:rPr>
          <w:rFonts w:ascii="Palatino Linotype" w:hAnsi="Palatino Linotype"/>
          <w:lang w:eastAsia="es-ES"/>
        </w:rPr>
      </w:pPr>
      <w:r w:rsidRPr="00487DC9">
        <w:rPr>
          <w:rFonts w:ascii="Palatino Linotype" w:hAnsi="Palatino Linotype"/>
        </w:rPr>
        <w:t xml:space="preserve">Asimismo, es importante señalar que </w:t>
      </w:r>
      <w:r w:rsidR="002204AE" w:rsidRPr="00487DC9">
        <w:rPr>
          <w:rFonts w:ascii="Palatino Linotype" w:hAnsi="Palatino Linotype" w:cs="Arial"/>
          <w:b/>
        </w:rPr>
        <w:t>LA</w:t>
      </w:r>
      <w:r w:rsidRPr="00487DC9">
        <w:rPr>
          <w:rFonts w:ascii="Palatino Linotype" w:hAnsi="Palatino Linotype" w:cs="Arial"/>
          <w:b/>
        </w:rPr>
        <w:t xml:space="preserve"> RECURRENTE</w:t>
      </w:r>
      <w:r w:rsidRPr="00487DC9">
        <w:rPr>
          <w:rFonts w:ascii="Palatino Linotype" w:hAnsi="Palatino Linotype" w:cs="Arial"/>
        </w:rPr>
        <w:t xml:space="preserve"> no realizó manifestaciones, alegatos o pruebas y por su parte </w:t>
      </w:r>
      <w:r w:rsidRPr="00487DC9">
        <w:rPr>
          <w:rFonts w:ascii="Palatino Linotype" w:hAnsi="Palatino Linotype" w:cs="Arial"/>
          <w:b/>
        </w:rPr>
        <w:t xml:space="preserve">EL SUJETO OBLIGADO </w:t>
      </w:r>
      <w:r w:rsidRPr="00487DC9">
        <w:rPr>
          <w:rFonts w:ascii="Palatino Linotype" w:hAnsi="Palatino Linotype" w:cs="Arial"/>
        </w:rPr>
        <w:t xml:space="preserve">omitió rendir su </w:t>
      </w:r>
      <w:r w:rsidRPr="00487DC9">
        <w:rPr>
          <w:rFonts w:ascii="Palatino Linotype" w:hAnsi="Palatino Linotype"/>
        </w:rPr>
        <w:t xml:space="preserve">Informe Justificado, en el término establecido en el numeral 185, fracción II de la Ley de Transparencia y Acceso a la Información Pública del Estado de México y Municipios. </w:t>
      </w:r>
    </w:p>
    <w:p w14:paraId="5C3243EA" w14:textId="77777777" w:rsidR="00356AE5" w:rsidRPr="00487DC9" w:rsidRDefault="00356AE5" w:rsidP="00487DC9">
      <w:pPr>
        <w:pStyle w:val="Prrafodelista"/>
        <w:widowControl w:val="0"/>
        <w:autoSpaceDE w:val="0"/>
        <w:autoSpaceDN w:val="0"/>
        <w:adjustRightInd w:val="0"/>
        <w:spacing w:line="360" w:lineRule="auto"/>
        <w:ind w:left="0"/>
        <w:jc w:val="both"/>
        <w:rPr>
          <w:rFonts w:ascii="Palatino Linotype" w:hAnsi="Palatino Linotype"/>
        </w:rPr>
      </w:pPr>
    </w:p>
    <w:p w14:paraId="0F643EC7" w14:textId="77777777" w:rsidR="006E726F" w:rsidRPr="00487DC9" w:rsidRDefault="00C9445C" w:rsidP="00487DC9">
      <w:pPr>
        <w:pStyle w:val="Prrafodelista"/>
        <w:widowControl w:val="0"/>
        <w:autoSpaceDE w:val="0"/>
        <w:autoSpaceDN w:val="0"/>
        <w:adjustRightInd w:val="0"/>
        <w:spacing w:line="360" w:lineRule="auto"/>
        <w:ind w:left="0"/>
        <w:jc w:val="both"/>
        <w:rPr>
          <w:rFonts w:ascii="Palatino Linotype" w:hAnsi="Palatino Linotype"/>
        </w:rPr>
      </w:pPr>
      <w:r w:rsidRPr="00487DC9">
        <w:rPr>
          <w:rFonts w:ascii="Palatino Linotype" w:hAnsi="Palatino Linotype"/>
        </w:rPr>
        <w:t>Es así que</w:t>
      </w:r>
      <w:r w:rsidR="004F1040" w:rsidRPr="00487DC9">
        <w:rPr>
          <w:rFonts w:ascii="Palatino Linotype" w:hAnsi="Palatino Linotype"/>
        </w:rPr>
        <w:t xml:space="preserve">, derivado que </w:t>
      </w:r>
      <w:r w:rsidR="004F1040" w:rsidRPr="00487DC9">
        <w:rPr>
          <w:rFonts w:ascii="Palatino Linotype" w:hAnsi="Palatino Linotype"/>
          <w:b/>
        </w:rPr>
        <w:t xml:space="preserve">EL SUJETO OBLIGADO </w:t>
      </w:r>
      <w:r w:rsidR="004F1040" w:rsidRPr="00487DC9">
        <w:rPr>
          <w:rFonts w:ascii="Palatino Linotype" w:hAnsi="Palatino Linotype"/>
        </w:rPr>
        <w:t xml:space="preserve">declaró su incompetencia, se procede al análisis a fin de determinar si lo solicitado corresponde a información que se encuentra en el ámbito de sus atribuciones y/o funciones; motivo por el cual es necesario precisar </w:t>
      </w:r>
      <w:r w:rsidR="006E726F" w:rsidRPr="00487DC9">
        <w:rPr>
          <w:rFonts w:ascii="Palatino Linotype" w:hAnsi="Palatino Linotype"/>
        </w:rPr>
        <w:t xml:space="preserve">que </w:t>
      </w:r>
      <w:r w:rsidR="006038C9" w:rsidRPr="00487DC9">
        <w:rPr>
          <w:rFonts w:ascii="Palatino Linotype" w:hAnsi="Palatino Linotype"/>
        </w:rPr>
        <w:t xml:space="preserve">de acuerdo a la Ley Orgánica de la Administración Pública del Estado de México, el Titular del Poder Ejecutivo se auxiliará entre otras dependencias de la Secretaría de Salud, que es la encargada de conducir la política estatal en materia de salud en términos de la legislación aplicable y tiene entre sus atribuciones las siguientes: </w:t>
      </w:r>
    </w:p>
    <w:p w14:paraId="13C918CF" w14:textId="77777777" w:rsidR="003B43E1" w:rsidRPr="00487DC9" w:rsidRDefault="003B43E1" w:rsidP="00487DC9">
      <w:pPr>
        <w:pStyle w:val="Prrafodelista"/>
        <w:widowControl w:val="0"/>
        <w:autoSpaceDE w:val="0"/>
        <w:autoSpaceDN w:val="0"/>
        <w:adjustRightInd w:val="0"/>
        <w:ind w:left="0"/>
        <w:jc w:val="both"/>
        <w:rPr>
          <w:rFonts w:ascii="Palatino Linotype" w:hAnsi="Palatino Linotype"/>
        </w:rPr>
      </w:pPr>
    </w:p>
    <w:p w14:paraId="24C97FBD"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i/>
          <w:sz w:val="22"/>
          <w:szCs w:val="20"/>
          <w:lang w:val="es-ES_tradnl"/>
        </w:rPr>
        <w:t>“</w:t>
      </w:r>
      <w:r w:rsidRPr="00487DC9">
        <w:rPr>
          <w:rFonts w:ascii="Palatino Linotype" w:hAnsi="Palatino Linotype"/>
          <w:b/>
          <w:i/>
          <w:sz w:val="22"/>
          <w:szCs w:val="20"/>
          <w:lang w:val="es-ES_tradnl"/>
        </w:rPr>
        <w:t>Artículo 31.</w:t>
      </w:r>
      <w:r w:rsidRPr="00487DC9">
        <w:rPr>
          <w:rFonts w:ascii="Palatino Linotype" w:hAnsi="Palatino Linotype"/>
          <w:i/>
          <w:sz w:val="22"/>
          <w:szCs w:val="20"/>
          <w:lang w:val="es-ES_tradnl"/>
        </w:rPr>
        <w:t xml:space="preserve"> La Secretaría de Salud contará con las siguientes atribuciones:</w:t>
      </w:r>
    </w:p>
    <w:p w14:paraId="61363486"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I.</w:t>
      </w:r>
      <w:r w:rsidRPr="00487DC9">
        <w:rPr>
          <w:rFonts w:ascii="Palatino Linotype" w:hAnsi="Palatino Linotype"/>
          <w:i/>
          <w:sz w:val="22"/>
          <w:szCs w:val="20"/>
          <w:lang w:val="es-ES_tradnl"/>
        </w:rPr>
        <w:t xml:space="preserve"> Ejercer las atribuciones que en materia de salud le correspondan al Poder Ejecutivo, de acuerdo con la Ley General de Salud, el Libro Segundo del Código Administrativo del Estado de México, sus reglamentos y demás disposiciones aplicables; </w:t>
      </w:r>
    </w:p>
    <w:p w14:paraId="7789E1BA"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II.</w:t>
      </w:r>
      <w:r w:rsidRPr="00487DC9">
        <w:rPr>
          <w:rFonts w:ascii="Palatino Linotype" w:hAnsi="Palatino Linotype"/>
          <w:i/>
          <w:sz w:val="22"/>
          <w:szCs w:val="20"/>
          <w:lang w:val="es-ES_tradnl"/>
        </w:rPr>
        <w:t xml:space="preserve"> Conducir la política estatal en materia de salud, en los términos del Libro Segundo del Código Administrativo del Estado de México y demás disposiciones aplicables, de conformidad con el Sistema Nacional de Salud; </w:t>
      </w:r>
    </w:p>
    <w:p w14:paraId="7FA58FBB"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lastRenderedPageBreak/>
        <w:t>III.</w:t>
      </w:r>
      <w:r w:rsidRPr="00487DC9">
        <w:rPr>
          <w:rFonts w:ascii="Palatino Linotype" w:hAnsi="Palatino Linotype"/>
          <w:i/>
          <w:sz w:val="22"/>
          <w:szCs w:val="20"/>
          <w:lang w:val="es-ES_tradnl"/>
        </w:rPr>
        <w:t xml:space="preserve"> Elaborar en coordinación con las autoridades competentes y los diversos actores del sector salud tanto federales, estatales como privados, los programas de salud y presentarlos a la aprobación de la persona titular del Poder Ejecutivo del Estado; </w:t>
      </w:r>
    </w:p>
    <w:p w14:paraId="0D88002F"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IV.</w:t>
      </w:r>
      <w:r w:rsidRPr="00487DC9">
        <w:rPr>
          <w:rFonts w:ascii="Palatino Linotype" w:hAnsi="Palatino Linotype"/>
          <w:i/>
          <w:sz w:val="22"/>
          <w:szCs w:val="20"/>
          <w:lang w:val="es-ES_tradnl"/>
        </w:rPr>
        <w:t xml:space="preserve"> Coordinar la participación de todas las instituciones de los sectores público y privado en la ejecución de las políticas de salud de la Entidad, así como la participación ciudadana del sector civil; </w:t>
      </w:r>
    </w:p>
    <w:p w14:paraId="357BB94E"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V.</w:t>
      </w:r>
      <w:r w:rsidRPr="00487DC9">
        <w:rPr>
          <w:rFonts w:ascii="Palatino Linotype" w:hAnsi="Palatino Linotype"/>
          <w:i/>
          <w:sz w:val="22"/>
          <w:szCs w:val="20"/>
          <w:lang w:val="es-ES_tradnl"/>
        </w:rPr>
        <w:t xml:space="preserve"> Planear, organizar, dirigir, coordinar y evaluar el Sistema Estatal de Salud, con base en la legislación en la materia; </w:t>
      </w:r>
    </w:p>
    <w:p w14:paraId="6680C1F2"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VI.</w:t>
      </w:r>
      <w:r w:rsidRPr="00487DC9">
        <w:rPr>
          <w:rFonts w:ascii="Palatino Linotype" w:hAnsi="Palatino Linotype"/>
          <w:i/>
          <w:sz w:val="22"/>
          <w:szCs w:val="20"/>
          <w:lang w:val="es-ES_tradnl"/>
        </w:rPr>
        <w:t xml:space="preserve"> Coordinar la prestación de servicios de atención médica, salud pública, medicina preventiva y regulación sanitaria en el Estado; y convenir en lo conducente, con cualquier otro sector que promueva acciones en estas materias, tanto de nivel federal, estatal y del sector privado que actúan y participan en el sistema de salud estatal; </w:t>
      </w:r>
    </w:p>
    <w:p w14:paraId="749D4E3B"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VII.</w:t>
      </w:r>
      <w:r w:rsidRPr="00487DC9">
        <w:rPr>
          <w:rFonts w:ascii="Palatino Linotype" w:hAnsi="Palatino Linotype"/>
          <w:i/>
          <w:sz w:val="22"/>
          <w:szCs w:val="20"/>
          <w:lang w:val="es-ES_tradnl"/>
        </w:rPr>
        <w:t xml:space="preserve"> Planear, operar, controlar y evaluar el Sistema Estatal de Donación de Órganos Humanos para trasplante; </w:t>
      </w:r>
    </w:p>
    <w:p w14:paraId="51CF2E29"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VIII.</w:t>
      </w:r>
      <w:r w:rsidRPr="00487DC9">
        <w:rPr>
          <w:rFonts w:ascii="Palatino Linotype" w:hAnsi="Palatino Linotype"/>
          <w:i/>
          <w:sz w:val="22"/>
          <w:szCs w:val="20"/>
          <w:lang w:val="es-ES_tradnl"/>
        </w:rPr>
        <w:t xml:space="preserve"> Planear, operar, controlar y evaluar el Sistema de Información de Salud del Estado de México, participando todas las dependencias y organismos auxiliares que proporcionen servicios de salud, así como el Instituto Mexicano del Seguro Social y el Instituto de Seguridad y Servicios Sociales de los Trabajadores del Estado; </w:t>
      </w:r>
    </w:p>
    <w:p w14:paraId="142AB722"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IX.</w:t>
      </w:r>
      <w:r w:rsidRPr="00487DC9">
        <w:rPr>
          <w:rFonts w:ascii="Palatino Linotype" w:hAnsi="Palatino Linotype"/>
          <w:i/>
          <w:sz w:val="22"/>
          <w:szCs w:val="20"/>
          <w:lang w:val="es-ES_tradnl"/>
        </w:rPr>
        <w:t xml:space="preserve"> Impulsar la descentralización y desconcentración de los servicios de salud a los municipios, mediante los convenios que al efecto se suscriban, en términos del Libro Segundo del Código Administrativo del Estado de México y demás disposiciones legales en la materia; </w:t>
      </w:r>
    </w:p>
    <w:p w14:paraId="45C05DD5"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w:t>
      </w:r>
      <w:r w:rsidRPr="00487DC9">
        <w:rPr>
          <w:rFonts w:ascii="Palatino Linotype" w:hAnsi="Palatino Linotype"/>
          <w:i/>
          <w:sz w:val="22"/>
          <w:szCs w:val="20"/>
          <w:lang w:val="es-ES_tradnl"/>
        </w:rPr>
        <w:t xml:space="preserve"> Proponer a la persona titular del Poder Ejecutivo del Estado, para su aprobación, acuerdos de coordinación con las instituciones del sector salud, tendientes a promover y apoyar los programas de medicina preventiva; </w:t>
      </w:r>
    </w:p>
    <w:p w14:paraId="7FDC7CFB"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XI.</w:t>
      </w:r>
      <w:r w:rsidRPr="00487DC9">
        <w:rPr>
          <w:rFonts w:ascii="Palatino Linotype" w:hAnsi="Palatino Linotype"/>
          <w:i/>
          <w:sz w:val="22"/>
          <w:szCs w:val="20"/>
          <w:lang w:val="es-ES_tradnl"/>
        </w:rPr>
        <w:t xml:space="preserve"> Proponer e implementar la infraestructura sanitaria necesaria que procure niveles de sanidad mínimos entre la población; </w:t>
      </w:r>
    </w:p>
    <w:p w14:paraId="48B3A9C3"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XII.</w:t>
      </w:r>
      <w:r w:rsidRPr="00487DC9">
        <w:rPr>
          <w:rFonts w:ascii="Palatino Linotype" w:hAnsi="Palatino Linotype"/>
          <w:i/>
          <w:sz w:val="22"/>
          <w:szCs w:val="20"/>
          <w:lang w:val="es-ES_tradnl"/>
        </w:rPr>
        <w:t xml:space="preserve"> Dictar las medidas de seguridad sanitaria que sean necesarias para proteger la salud de la población; </w:t>
      </w:r>
    </w:p>
    <w:p w14:paraId="2F846BFE" w14:textId="77777777" w:rsidR="006038C9"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XIII.</w:t>
      </w:r>
      <w:r w:rsidRPr="00487DC9">
        <w:rPr>
          <w:rFonts w:ascii="Palatino Linotype" w:hAnsi="Palatino Linotype"/>
          <w:i/>
          <w:sz w:val="22"/>
          <w:szCs w:val="20"/>
          <w:lang w:val="es-ES_tradnl"/>
        </w:rPr>
        <w:t xml:space="preserve"> Proponer a la persona titular del Poder Ejecutivo del Estado las normas sanitarias a las que deberá sujetarse la salubridad local y aplicar las relativas a salubridad general, en los términos de los acuerdos de coordinación que al efecto se celebren entre el Gobierno del Estado y la Secretaría de Salud del Gobierno Federal;</w:t>
      </w:r>
    </w:p>
    <w:p w14:paraId="062FB410"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XIV.</w:t>
      </w:r>
      <w:r w:rsidRPr="00487DC9">
        <w:rPr>
          <w:rFonts w:ascii="Palatino Linotype" w:hAnsi="Palatino Linotype"/>
          <w:i/>
          <w:sz w:val="22"/>
          <w:szCs w:val="20"/>
          <w:lang w:val="es-ES_tradnl"/>
        </w:rPr>
        <w:t xml:space="preserve"> Coordinar la realización de campañas para prevenir y atacar las epidemias y enfermedades que por su naturaleza requieran de atención y cuidados especiales; </w:t>
      </w:r>
    </w:p>
    <w:p w14:paraId="6F1B738C"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lastRenderedPageBreak/>
        <w:t>XV.</w:t>
      </w:r>
      <w:r w:rsidRPr="00487DC9">
        <w:rPr>
          <w:rFonts w:ascii="Palatino Linotype" w:hAnsi="Palatino Linotype"/>
          <w:i/>
          <w:sz w:val="22"/>
          <w:szCs w:val="20"/>
          <w:lang w:val="es-ES_tradnl"/>
        </w:rPr>
        <w:t xml:space="preserve"> Realizar, en coordinación con otras instancias públicas, sociales y privadas, campañas de concientización, educación, capacitación sanitaria y de salud, y sana alimentación que contribuyan al mejoramiento de las condiciones de vida de la población en general; y ejercer las facultades que los ordenamientos federales y locales le otorguen para prevenir la venta y consumo de alimentos de baja o nula nutrición entre la población en general, con especial cuidado en los que consumen las niñas, niños, adolescentes y personas jóvenes dentro de los planteles escolares; </w:t>
      </w:r>
    </w:p>
    <w:p w14:paraId="0B2CA25F"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XVI.</w:t>
      </w:r>
      <w:r w:rsidRPr="00487DC9">
        <w:rPr>
          <w:rFonts w:ascii="Palatino Linotype" w:hAnsi="Palatino Linotype"/>
          <w:i/>
          <w:sz w:val="22"/>
          <w:szCs w:val="20"/>
          <w:lang w:val="es-ES_tradnl"/>
        </w:rPr>
        <w:t xml:space="preserve"> Desarrollar acciones encaminadas a erradicar las enfermedades transmisibles, así como los factores que afecten la salud, o propicien el alcoholismo, las toxicomanías y otros vicios sociales; con una visión de perspectiva de género; </w:t>
      </w:r>
    </w:p>
    <w:p w14:paraId="4A5DC830"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XVII.</w:t>
      </w:r>
      <w:r w:rsidRPr="00487DC9">
        <w:rPr>
          <w:rFonts w:ascii="Palatino Linotype" w:hAnsi="Palatino Linotype"/>
          <w:i/>
          <w:sz w:val="22"/>
          <w:szCs w:val="20"/>
          <w:lang w:val="es-ES_tradnl"/>
        </w:rPr>
        <w:t xml:space="preserve"> Establecer, coordinar y ejecutar, con la participación de otras instituciones asistenciales públicas y privadas, programas para la asistencia, prevención, atención y tratamiento a las personas discapacitadas; </w:t>
      </w:r>
    </w:p>
    <w:p w14:paraId="0AD5C3B0"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XVIII.</w:t>
      </w:r>
      <w:r w:rsidRPr="00487DC9">
        <w:rPr>
          <w:rFonts w:ascii="Palatino Linotype" w:hAnsi="Palatino Linotype"/>
          <w:i/>
          <w:sz w:val="22"/>
          <w:szCs w:val="20"/>
          <w:lang w:val="es-ES_tradnl"/>
        </w:rPr>
        <w:t xml:space="preserve"> Vigilar que se apliquen las normas oficiales mexicanas, en materia de salud, que emitan las autoridades federales; </w:t>
      </w:r>
    </w:p>
    <w:p w14:paraId="45C10024"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XIX.</w:t>
      </w:r>
      <w:r w:rsidRPr="00487DC9">
        <w:rPr>
          <w:rFonts w:ascii="Palatino Linotype" w:hAnsi="Palatino Linotype"/>
          <w:i/>
          <w:sz w:val="22"/>
          <w:szCs w:val="20"/>
          <w:lang w:val="es-ES_tradnl"/>
        </w:rPr>
        <w:t xml:space="preserve"> Coordinar, supervisar e inspeccionar los centros educativos, para proteger la salud del educando y de la comunidad escolar, los servicios de medicina legal de salud en apoyo a la procuración de justicia, así como la atención médica a la población interna en los centros preventivos y de readaptación social; bajo una política de respeto a los derechos humanos y perspectiva de género; </w:t>
      </w:r>
    </w:p>
    <w:p w14:paraId="182F50AE"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w:t>
      </w:r>
      <w:r w:rsidRPr="00487DC9">
        <w:rPr>
          <w:rFonts w:ascii="Palatino Linotype" w:hAnsi="Palatino Linotype"/>
          <w:i/>
          <w:sz w:val="22"/>
          <w:szCs w:val="20"/>
          <w:lang w:val="es-ES_tradnl"/>
        </w:rPr>
        <w:t xml:space="preserve"> Participar con las dependencias competentes y con las autoridades federales y municipales, así como con la sociedad civil, en la prevención o tratamiento de problemas ambientales y sus efectos en la población; </w:t>
      </w:r>
    </w:p>
    <w:p w14:paraId="6A36D064"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XXI.</w:t>
      </w:r>
      <w:r w:rsidRPr="00487DC9">
        <w:rPr>
          <w:rFonts w:ascii="Palatino Linotype" w:hAnsi="Palatino Linotype"/>
          <w:i/>
          <w:sz w:val="22"/>
          <w:szCs w:val="20"/>
          <w:lang w:val="es-ES_tradnl"/>
        </w:rPr>
        <w:t xml:space="preserve"> Organizar congresos, talleres, conferencias y demás eventos que coadyuven a la capacitación y actualización de los conocimientos del personal médico en materia de salud; </w:t>
      </w:r>
    </w:p>
    <w:p w14:paraId="53E57A79"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XXII.</w:t>
      </w:r>
      <w:r w:rsidRPr="00487DC9">
        <w:rPr>
          <w:rFonts w:ascii="Palatino Linotype" w:hAnsi="Palatino Linotype"/>
          <w:i/>
          <w:sz w:val="22"/>
          <w:szCs w:val="20"/>
          <w:lang w:val="es-ES_tradnl"/>
        </w:rPr>
        <w:t xml:space="preserve"> Verificar el cumplimiento de las normas establecidas para la prestación de servicios de salud, por parte de los sectores público, social y privado en el Estado, vigilando que se aplique el cuadro básico de insumos para la salud; </w:t>
      </w:r>
    </w:p>
    <w:p w14:paraId="25984E3F"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XXIII.</w:t>
      </w:r>
      <w:r w:rsidRPr="00487DC9">
        <w:rPr>
          <w:rFonts w:ascii="Palatino Linotype" w:hAnsi="Palatino Linotype"/>
          <w:i/>
          <w:sz w:val="22"/>
          <w:szCs w:val="20"/>
          <w:lang w:val="es-ES_tradnl"/>
        </w:rPr>
        <w:t xml:space="preserve"> Vigilar, en coordinación con las autoridades educativas, al ejercicio de los profesionales, técnicos y auxiliares de la salud en la prestación de sus servicios; </w:t>
      </w:r>
    </w:p>
    <w:p w14:paraId="5EFE9C01"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XXIV.</w:t>
      </w:r>
      <w:r w:rsidRPr="00487DC9">
        <w:rPr>
          <w:rFonts w:ascii="Palatino Linotype" w:hAnsi="Palatino Linotype"/>
          <w:i/>
          <w:sz w:val="22"/>
          <w:szCs w:val="20"/>
          <w:lang w:val="es-ES_tradnl"/>
        </w:rPr>
        <w:t xml:space="preserve"> Efectuar el control higiénico e inspección sobre preparación, posesión, uso, suministro, importación, exportación y circulación de comestibles y bebidas; </w:t>
      </w:r>
    </w:p>
    <w:p w14:paraId="68B3B963"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XXV.</w:t>
      </w:r>
      <w:r w:rsidRPr="00487DC9">
        <w:rPr>
          <w:rFonts w:ascii="Palatino Linotype" w:hAnsi="Palatino Linotype"/>
          <w:i/>
          <w:sz w:val="22"/>
          <w:szCs w:val="20"/>
          <w:lang w:val="es-ES_tradnl"/>
        </w:rPr>
        <w:t xml:space="preserve"> Controlar la preparación, posesión, uso, suministro, importación, exportación y distribución de productos medicinales, a excepción de los de uso veterinario; </w:t>
      </w:r>
    </w:p>
    <w:p w14:paraId="51DC01CD"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XXVI.</w:t>
      </w:r>
      <w:r w:rsidRPr="00487DC9">
        <w:rPr>
          <w:rFonts w:ascii="Palatino Linotype" w:hAnsi="Palatino Linotype"/>
          <w:i/>
          <w:sz w:val="22"/>
          <w:szCs w:val="20"/>
          <w:lang w:val="es-ES_tradnl"/>
        </w:rPr>
        <w:t xml:space="preserve"> Vigilar y supervisar la operación de clínicas, hospitales y consultorios públicos y privados, a fin de que operen conforme a los términos de las leyes en la materia;</w:t>
      </w:r>
    </w:p>
    <w:p w14:paraId="003DF276"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lastRenderedPageBreak/>
        <w:t>XXVII.</w:t>
      </w:r>
      <w:r w:rsidRPr="00487DC9">
        <w:rPr>
          <w:rFonts w:ascii="Palatino Linotype" w:hAnsi="Palatino Linotype"/>
          <w:i/>
          <w:sz w:val="22"/>
          <w:szCs w:val="20"/>
          <w:lang w:val="es-ES_tradnl"/>
        </w:rPr>
        <w:t xml:space="preserve"> Adquirir, con sujeción a las bases y procedimientos relativos, el equipo instrumental médico que requieran las unidades aplicativas, así como contratar, en su caso, los servicios para su reparación y mantenimiento, observando las disposiciones en la materia; XXVIII. Participar en el establecimiento y expedición, en coordinación con las dependencias competentes del Ejecutivo Estatal, de las bases y normas a las que deben sujetarse los concursos para la ejecución de obras del sector salud; </w:t>
      </w:r>
    </w:p>
    <w:p w14:paraId="638B5C4D"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XXIX.</w:t>
      </w:r>
      <w:r w:rsidRPr="00487DC9">
        <w:rPr>
          <w:rFonts w:ascii="Palatino Linotype" w:hAnsi="Palatino Linotype"/>
          <w:i/>
          <w:sz w:val="22"/>
          <w:szCs w:val="20"/>
          <w:lang w:val="es-ES_tradnl"/>
        </w:rPr>
        <w:t xml:space="preserve"> Participar en la prevención, tratamiento y rehabilitación de la farmacodependencia y coordinarse con las autoridades federales y las instituciones públicas, privadas o sociales para la planeación, programación, ejecución y evaluación de los programas y acciones del proceso para su recuperación, así como para la superación de la problemática; </w:t>
      </w:r>
    </w:p>
    <w:p w14:paraId="7460E218" w14:textId="77777777" w:rsidR="00D1418F"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XXX.</w:t>
      </w:r>
      <w:r w:rsidRPr="00487DC9">
        <w:rPr>
          <w:rFonts w:ascii="Palatino Linotype" w:hAnsi="Palatino Linotype"/>
          <w:i/>
          <w:sz w:val="22"/>
          <w:szCs w:val="20"/>
          <w:lang w:val="es-ES_tradnl"/>
        </w:rPr>
        <w:t xml:space="preserve"> Participar en forma coordinada con las instituciones correspondientes en el fomento de la higiene veterinaria creando programas para la protección y bienestar de los animales de compañía y la sanidad animal en el Estado, promoviendo la salud y el bienestar de los animales, así como prevenir y controlar las enfermedades que puedan afectar a las personas que están en contacto con ellos abarcando temas como la limpieza y desinfección, el control de plagas, el manejo de desechos, la vacunación, esterilización y castración, así como la educación y concientización en la tenencia de mascotas; </w:t>
      </w:r>
    </w:p>
    <w:p w14:paraId="43CE9F11" w14:textId="77777777" w:rsidR="00D1418F"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XXXI.</w:t>
      </w:r>
      <w:r w:rsidRPr="00487DC9">
        <w:rPr>
          <w:rFonts w:ascii="Palatino Linotype" w:hAnsi="Palatino Linotype"/>
          <w:i/>
          <w:sz w:val="22"/>
          <w:szCs w:val="20"/>
          <w:lang w:val="es-ES_tradnl"/>
        </w:rPr>
        <w:t xml:space="preserve"> Fomentar el desarrollo de la activación física, la cultura física y deporte, como medio importante en la preservación de la salud y prevención de enfermedades; </w:t>
      </w:r>
    </w:p>
    <w:p w14:paraId="68B91BD3" w14:textId="77777777" w:rsidR="00D1418F"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XXXII.</w:t>
      </w:r>
      <w:r w:rsidRPr="00487DC9">
        <w:rPr>
          <w:rFonts w:ascii="Palatino Linotype" w:hAnsi="Palatino Linotype"/>
          <w:i/>
          <w:sz w:val="22"/>
          <w:szCs w:val="20"/>
          <w:lang w:val="es-ES_tradnl"/>
        </w:rPr>
        <w:t xml:space="preserve"> Promover e impulsar las medidas de prevención y control del uso de sustancias farmacológicas potencialmente peligrosas para la salud; </w:t>
      </w:r>
    </w:p>
    <w:p w14:paraId="206D66E3" w14:textId="77777777" w:rsidR="00D1418F"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XXXIII.</w:t>
      </w:r>
      <w:r w:rsidRPr="00487DC9">
        <w:rPr>
          <w:rFonts w:ascii="Palatino Linotype" w:hAnsi="Palatino Linotype"/>
          <w:i/>
          <w:sz w:val="22"/>
          <w:szCs w:val="20"/>
          <w:lang w:val="es-ES_tradnl"/>
        </w:rPr>
        <w:t xml:space="preserve"> Apoyar a los municipios en la planeación y ejecución de programas de promoción e impulso de la cultura física como medida preventiva de una buena salud; </w:t>
      </w:r>
    </w:p>
    <w:p w14:paraId="2010E843" w14:textId="77777777" w:rsidR="00D1418F"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XXXIV.</w:t>
      </w:r>
      <w:r w:rsidRPr="00487DC9">
        <w:rPr>
          <w:rFonts w:ascii="Palatino Linotype" w:hAnsi="Palatino Linotype"/>
          <w:i/>
          <w:sz w:val="22"/>
          <w:szCs w:val="20"/>
          <w:lang w:val="es-ES_tradnl"/>
        </w:rPr>
        <w:t xml:space="preserve"> Vigilar, en coordinación con el Instituto de Verificación Administrativa del Estado de México y las autoridades correspondientes, el debido cumplimiento de las disposiciones en el ámbito de su competencia, así como la aplicación de las medidas de seguridad e imposición de sanciones que le correspondan; </w:t>
      </w:r>
    </w:p>
    <w:p w14:paraId="43AB04FE" w14:textId="77777777" w:rsidR="00D1418F"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XXXV.</w:t>
      </w:r>
      <w:r w:rsidRPr="00487DC9">
        <w:rPr>
          <w:rFonts w:ascii="Palatino Linotype" w:hAnsi="Palatino Linotype"/>
          <w:i/>
          <w:sz w:val="22"/>
          <w:szCs w:val="20"/>
          <w:lang w:val="es-ES_tradnl"/>
        </w:rPr>
        <w:t xml:space="preserve"> Dictar las medidas especiales de seguridad sanitaria que sean necesarias para proteger la salud de las mujeres, niñas, niños y adolescentes; y </w:t>
      </w:r>
    </w:p>
    <w:p w14:paraId="12EB5606" w14:textId="77777777" w:rsidR="003B43E1" w:rsidRPr="00487DC9" w:rsidRDefault="003B43E1" w:rsidP="00487DC9">
      <w:pPr>
        <w:ind w:left="851" w:right="1134"/>
        <w:jc w:val="both"/>
        <w:rPr>
          <w:rFonts w:ascii="Palatino Linotype" w:hAnsi="Palatino Linotype"/>
          <w:i/>
          <w:sz w:val="22"/>
          <w:szCs w:val="20"/>
          <w:lang w:val="es-ES_tradnl"/>
        </w:rPr>
      </w:pPr>
      <w:r w:rsidRPr="00487DC9">
        <w:rPr>
          <w:rFonts w:ascii="Palatino Linotype" w:hAnsi="Palatino Linotype"/>
          <w:b/>
          <w:i/>
          <w:sz w:val="22"/>
          <w:szCs w:val="20"/>
          <w:lang w:val="es-ES_tradnl"/>
        </w:rPr>
        <w:t>XXXVI.</w:t>
      </w:r>
      <w:r w:rsidRPr="00487DC9">
        <w:rPr>
          <w:rFonts w:ascii="Palatino Linotype" w:hAnsi="Palatino Linotype"/>
          <w:i/>
          <w:sz w:val="22"/>
          <w:szCs w:val="20"/>
          <w:lang w:val="es-ES_tradnl"/>
        </w:rPr>
        <w:t xml:space="preserve"> Las demás que le señalen otras leyes, reglamentos y disposiciones jurídicas aplicables, así como las que le encomiende la persona titular del Poder Ejecutivo del Estado.</w:t>
      </w:r>
      <w:r w:rsidR="00D1418F" w:rsidRPr="00487DC9">
        <w:rPr>
          <w:rFonts w:ascii="Palatino Linotype" w:hAnsi="Palatino Linotype"/>
          <w:i/>
          <w:sz w:val="22"/>
          <w:szCs w:val="20"/>
          <w:lang w:val="es-ES_tradnl"/>
        </w:rPr>
        <w:t xml:space="preserve">” (sic) </w:t>
      </w:r>
    </w:p>
    <w:p w14:paraId="694FDE2C" w14:textId="77777777" w:rsidR="00D1418F" w:rsidRPr="00487DC9" w:rsidRDefault="00D1418F" w:rsidP="00487DC9">
      <w:pPr>
        <w:ind w:left="851" w:right="1134"/>
        <w:jc w:val="both"/>
        <w:rPr>
          <w:rFonts w:ascii="Palatino Linotype" w:hAnsi="Palatino Linotype"/>
          <w:i/>
          <w:sz w:val="22"/>
          <w:szCs w:val="20"/>
          <w:lang w:val="es-ES_tradnl"/>
        </w:rPr>
      </w:pPr>
    </w:p>
    <w:p w14:paraId="380B2E74" w14:textId="77777777" w:rsidR="006E726F" w:rsidRPr="00487DC9" w:rsidRDefault="00D1418F" w:rsidP="00487DC9">
      <w:pPr>
        <w:pStyle w:val="Prrafodelista"/>
        <w:widowControl w:val="0"/>
        <w:autoSpaceDE w:val="0"/>
        <w:autoSpaceDN w:val="0"/>
        <w:adjustRightInd w:val="0"/>
        <w:spacing w:line="360" w:lineRule="auto"/>
        <w:ind w:left="0"/>
        <w:jc w:val="both"/>
        <w:rPr>
          <w:rFonts w:ascii="Palatino Linotype" w:hAnsi="Palatino Linotype"/>
        </w:rPr>
      </w:pPr>
      <w:r w:rsidRPr="00487DC9">
        <w:rPr>
          <w:rFonts w:ascii="Palatino Linotype" w:hAnsi="Palatino Linotype"/>
        </w:rPr>
        <w:t xml:space="preserve">Es así, que al </w:t>
      </w:r>
      <w:r w:rsidRPr="00487DC9">
        <w:rPr>
          <w:rFonts w:ascii="Palatino Linotype" w:hAnsi="Palatino Linotype"/>
          <w:b/>
        </w:rPr>
        <w:t xml:space="preserve">SUJETO OBLIDADO </w:t>
      </w:r>
      <w:r w:rsidRPr="00487DC9">
        <w:rPr>
          <w:rFonts w:ascii="Palatino Linotype" w:hAnsi="Palatino Linotype"/>
        </w:rPr>
        <w:t xml:space="preserve">le corresponde el planear, coordinar y dirigir las </w:t>
      </w:r>
      <w:r w:rsidRPr="00487DC9">
        <w:rPr>
          <w:rFonts w:ascii="Palatino Linotype" w:hAnsi="Palatino Linotype"/>
        </w:rPr>
        <w:lastRenderedPageBreak/>
        <w:t>acciones de salubridad general y local en la entidad, así como regular y controlar las actividades de las instituciones del Sector Salud con sujeción a las leyes y normas federales y estatales vigentes en la materia.</w:t>
      </w:r>
    </w:p>
    <w:p w14:paraId="2001E445" w14:textId="77777777" w:rsidR="006E726F" w:rsidRPr="00487DC9" w:rsidRDefault="006E726F" w:rsidP="00487DC9">
      <w:pPr>
        <w:pStyle w:val="Prrafodelista"/>
        <w:widowControl w:val="0"/>
        <w:autoSpaceDE w:val="0"/>
        <w:autoSpaceDN w:val="0"/>
        <w:adjustRightInd w:val="0"/>
        <w:spacing w:line="360" w:lineRule="auto"/>
        <w:ind w:left="0"/>
        <w:jc w:val="both"/>
        <w:rPr>
          <w:rFonts w:ascii="Palatino Linotype" w:hAnsi="Palatino Linotype"/>
        </w:rPr>
      </w:pPr>
    </w:p>
    <w:p w14:paraId="039EF387" w14:textId="77777777" w:rsidR="00A46434" w:rsidRPr="00487DC9" w:rsidRDefault="00D1418F" w:rsidP="00487DC9">
      <w:pPr>
        <w:pStyle w:val="Prrafodelista"/>
        <w:widowControl w:val="0"/>
        <w:autoSpaceDE w:val="0"/>
        <w:autoSpaceDN w:val="0"/>
        <w:adjustRightInd w:val="0"/>
        <w:spacing w:line="360" w:lineRule="auto"/>
        <w:ind w:left="0"/>
        <w:jc w:val="both"/>
        <w:rPr>
          <w:rFonts w:ascii="Palatino Linotype" w:hAnsi="Palatino Linotype"/>
          <w:b/>
        </w:rPr>
      </w:pPr>
      <w:r w:rsidRPr="00487DC9">
        <w:rPr>
          <w:rFonts w:ascii="Palatino Linotype" w:hAnsi="Palatino Linotype"/>
        </w:rPr>
        <w:t>Ahora bien, de acuerdo con el Código Administrativo del Estado de México, al Instituto de</w:t>
      </w:r>
      <w:r w:rsidR="00A46434" w:rsidRPr="00487DC9">
        <w:rPr>
          <w:rFonts w:ascii="Palatino Linotype" w:hAnsi="Palatino Linotype"/>
        </w:rPr>
        <w:t xml:space="preserve">l Estado de México, es un organismo público descentralizado, con personalidad jurídica y patrimonio propio, que tiene por objeto la </w:t>
      </w:r>
      <w:r w:rsidR="00A46434" w:rsidRPr="00487DC9">
        <w:rPr>
          <w:rFonts w:ascii="Palatino Linotype" w:hAnsi="Palatino Linotype"/>
          <w:b/>
        </w:rPr>
        <w:t xml:space="preserve">prestación de los servicios de salud en la Entidad. </w:t>
      </w:r>
    </w:p>
    <w:p w14:paraId="03F127F6" w14:textId="77777777" w:rsidR="00513D89" w:rsidRPr="00487DC9" w:rsidRDefault="00513D89" w:rsidP="00487DC9">
      <w:pPr>
        <w:pStyle w:val="Prrafodelista"/>
        <w:widowControl w:val="0"/>
        <w:autoSpaceDE w:val="0"/>
        <w:autoSpaceDN w:val="0"/>
        <w:adjustRightInd w:val="0"/>
        <w:spacing w:line="360" w:lineRule="auto"/>
        <w:ind w:left="0"/>
        <w:jc w:val="both"/>
        <w:rPr>
          <w:rFonts w:ascii="Palatino Linotype" w:hAnsi="Palatino Linotype"/>
          <w:b/>
        </w:rPr>
      </w:pPr>
    </w:p>
    <w:p w14:paraId="5596B865" w14:textId="77777777" w:rsidR="00564858" w:rsidRPr="00487DC9" w:rsidRDefault="00A46434" w:rsidP="00487DC9">
      <w:pPr>
        <w:pStyle w:val="Prrafodelista"/>
        <w:widowControl w:val="0"/>
        <w:autoSpaceDE w:val="0"/>
        <w:autoSpaceDN w:val="0"/>
        <w:adjustRightInd w:val="0"/>
        <w:spacing w:line="360" w:lineRule="auto"/>
        <w:ind w:left="0"/>
        <w:jc w:val="both"/>
        <w:rPr>
          <w:rFonts w:ascii="Palatino Linotype" w:hAnsi="Palatino Linotype"/>
        </w:rPr>
      </w:pPr>
      <w:r w:rsidRPr="00487DC9">
        <w:rPr>
          <w:rFonts w:ascii="Palatino Linotype" w:hAnsi="Palatino Linotype"/>
        </w:rPr>
        <w:t>Por su parte</w:t>
      </w:r>
      <w:r w:rsidR="00513D89" w:rsidRPr="00487DC9">
        <w:rPr>
          <w:rFonts w:ascii="Palatino Linotype" w:hAnsi="Palatino Linotype"/>
        </w:rPr>
        <w:t>, el Manual General de Organización del Instituto de Saludad del Estado de México</w:t>
      </w:r>
      <w:r w:rsidR="00564858" w:rsidRPr="00487DC9">
        <w:rPr>
          <w:rStyle w:val="Refdenotaalpie"/>
          <w:rFonts w:ascii="Palatino Linotype" w:hAnsi="Palatino Linotype"/>
        </w:rPr>
        <w:footnoteReference w:id="2"/>
      </w:r>
      <w:r w:rsidR="00513D89" w:rsidRPr="00487DC9">
        <w:rPr>
          <w:rFonts w:ascii="Palatino Linotype" w:hAnsi="Palatino Linotype"/>
        </w:rPr>
        <w:t xml:space="preserve">, tiene dentro de su estructura </w:t>
      </w:r>
      <w:r w:rsidR="00564858" w:rsidRPr="00487DC9">
        <w:rPr>
          <w:rFonts w:ascii="Palatino Linotype" w:hAnsi="Palatino Linotype"/>
        </w:rPr>
        <w:t>orgánica</w:t>
      </w:r>
      <w:r w:rsidR="00513D89" w:rsidRPr="00487DC9">
        <w:rPr>
          <w:rFonts w:ascii="Palatino Linotype" w:hAnsi="Palatino Linotype"/>
        </w:rPr>
        <w:t xml:space="preserve"> </w:t>
      </w:r>
      <w:r w:rsidR="00564858" w:rsidRPr="00487DC9">
        <w:rPr>
          <w:rFonts w:ascii="Palatino Linotype" w:hAnsi="Palatino Linotype"/>
        </w:rPr>
        <w:t xml:space="preserve">al </w:t>
      </w:r>
      <w:r w:rsidR="00564858" w:rsidRPr="00487DC9">
        <w:rPr>
          <w:rFonts w:ascii="Palatino Linotype" w:hAnsi="Palatino Linotype"/>
          <w:b/>
        </w:rPr>
        <w:t xml:space="preserve">Hospital General “Gral. José Vicente Villada”. </w:t>
      </w:r>
      <w:r w:rsidR="00564858" w:rsidRPr="00487DC9">
        <w:rPr>
          <w:rFonts w:ascii="Palatino Linotype" w:hAnsi="Palatino Linotype"/>
        </w:rPr>
        <w:t>Asimismo, dentro de la página oficial del Instituto de Salud del Estado de México se tiene que dentro de las Unidades Administrativas</w:t>
      </w:r>
      <w:r w:rsidR="00564858" w:rsidRPr="00487DC9">
        <w:rPr>
          <w:rStyle w:val="Refdenotaalpie"/>
          <w:rFonts w:ascii="Palatino Linotype" w:hAnsi="Palatino Linotype"/>
        </w:rPr>
        <w:footnoteReference w:id="3"/>
      </w:r>
      <w:r w:rsidR="00564858" w:rsidRPr="00487DC9">
        <w:rPr>
          <w:rFonts w:ascii="Palatino Linotype" w:hAnsi="Palatino Linotype"/>
        </w:rPr>
        <w:t xml:space="preserve"> se encuentra la correspondiente al Hospital interés de</w:t>
      </w:r>
      <w:r w:rsidR="002204AE" w:rsidRPr="00487DC9">
        <w:rPr>
          <w:rFonts w:ascii="Palatino Linotype" w:hAnsi="Palatino Linotype"/>
        </w:rPr>
        <w:t xml:space="preserve"> </w:t>
      </w:r>
      <w:r w:rsidR="00564858" w:rsidRPr="00487DC9">
        <w:rPr>
          <w:rFonts w:ascii="Palatino Linotype" w:hAnsi="Palatino Linotype"/>
        </w:rPr>
        <w:t>l</w:t>
      </w:r>
      <w:r w:rsidR="002204AE" w:rsidRPr="00487DC9">
        <w:rPr>
          <w:rFonts w:ascii="Palatino Linotype" w:hAnsi="Palatino Linotype"/>
        </w:rPr>
        <w:t>a</w:t>
      </w:r>
      <w:r w:rsidR="00564858" w:rsidRPr="00487DC9">
        <w:rPr>
          <w:rFonts w:ascii="Palatino Linotype" w:hAnsi="Palatino Linotype"/>
        </w:rPr>
        <w:t xml:space="preserve"> particular, como se advierte en la siguiente imagen: </w:t>
      </w:r>
    </w:p>
    <w:p w14:paraId="122CE518" w14:textId="77777777" w:rsidR="00564858" w:rsidRPr="00487DC9" w:rsidRDefault="00564858" w:rsidP="00487DC9">
      <w:pPr>
        <w:pStyle w:val="Prrafodelista"/>
        <w:widowControl w:val="0"/>
        <w:autoSpaceDE w:val="0"/>
        <w:autoSpaceDN w:val="0"/>
        <w:adjustRightInd w:val="0"/>
        <w:spacing w:line="360" w:lineRule="auto"/>
        <w:ind w:left="0"/>
        <w:jc w:val="both"/>
        <w:rPr>
          <w:rFonts w:ascii="Palatino Linotype" w:hAnsi="Palatino Linotype"/>
        </w:rPr>
      </w:pPr>
      <w:r w:rsidRPr="00487DC9">
        <w:rPr>
          <w:rFonts w:ascii="Palatino Linotype" w:hAnsi="Palatino Linotype"/>
          <w:noProof/>
        </w:rPr>
        <w:lastRenderedPageBreak/>
        <mc:AlternateContent>
          <mc:Choice Requires="wps">
            <w:drawing>
              <wp:anchor distT="0" distB="0" distL="114300" distR="114300" simplePos="0" relativeHeight="251661312" behindDoc="0" locked="0" layoutInCell="1" allowOverlap="1" wp14:anchorId="02BE6646" wp14:editId="5D663AA2">
                <wp:simplePos x="0" y="0"/>
                <wp:positionH relativeFrom="column">
                  <wp:posOffset>2885335</wp:posOffset>
                </wp:positionH>
                <wp:positionV relativeFrom="paragraph">
                  <wp:posOffset>3565275</wp:posOffset>
                </wp:positionV>
                <wp:extent cx="414669" cy="297711"/>
                <wp:effectExtent l="57150" t="38100" r="23495" b="102870"/>
                <wp:wrapNone/>
                <wp:docPr id="8" name="Flecha derecha 8"/>
                <wp:cNvGraphicFramePr/>
                <a:graphic xmlns:a="http://schemas.openxmlformats.org/drawingml/2006/main">
                  <a:graphicData uri="http://schemas.microsoft.com/office/word/2010/wordprocessingShape">
                    <wps:wsp>
                      <wps:cNvSpPr/>
                      <wps:spPr>
                        <a:xfrm rot="10277058">
                          <a:off x="0" y="0"/>
                          <a:ext cx="414669" cy="297711"/>
                        </a:xfrm>
                        <a:prstGeom prst="right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A892E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8" o:spid="_x0000_s1026" type="#_x0000_t13" style="position:absolute;margin-left:227.2pt;margin-top:280.75pt;width:32.65pt;height:23.45pt;rotation:11225288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" adj="13846" fillcolor="red" strokecolor="red">
                <v:shadow on="t" color="black" opacity="22937f" origin=",.5" offset="0,.63889mm"/>
              </v:shape>
            </w:pict>
          </mc:Fallback>
        </mc:AlternateContent>
      </w:r>
      <w:r w:rsidRPr="00487DC9">
        <w:rPr>
          <w:rFonts w:ascii="Palatino Linotype" w:hAnsi="Palatino Linotype"/>
          <w:noProof/>
        </w:rPr>
        <mc:AlternateContent>
          <mc:Choice Requires="wps">
            <w:drawing>
              <wp:anchor distT="0" distB="0" distL="114300" distR="114300" simplePos="0" relativeHeight="251660288" behindDoc="0" locked="0" layoutInCell="1" allowOverlap="1" wp14:anchorId="35E44354" wp14:editId="10F7BC45">
                <wp:simplePos x="0" y="0"/>
                <wp:positionH relativeFrom="column">
                  <wp:posOffset>1397251</wp:posOffset>
                </wp:positionH>
                <wp:positionV relativeFrom="paragraph">
                  <wp:posOffset>67620</wp:posOffset>
                </wp:positionV>
                <wp:extent cx="4295554" cy="297712"/>
                <wp:effectExtent l="76200" t="38100" r="67310" b="102870"/>
                <wp:wrapNone/>
                <wp:docPr id="7" name="Rectángulo redondeado 7"/>
                <wp:cNvGraphicFramePr/>
                <a:graphic xmlns:a="http://schemas.openxmlformats.org/drawingml/2006/main">
                  <a:graphicData uri="http://schemas.microsoft.com/office/word/2010/wordprocessingShape">
                    <wps:wsp>
                      <wps:cNvSpPr/>
                      <wps:spPr>
                        <a:xfrm>
                          <a:off x="0" y="0"/>
                          <a:ext cx="4295554" cy="297712"/>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F2D37F8" id="Rectángulo redondeado 7" o:spid="_x0000_s1026" style="position:absolute;margin-left:110pt;margin-top:5.3pt;width:338.25pt;height:23.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" filled="f" strokecolor="red" strokeweight="2.25pt">
                <v:shadow on="t" color="black" opacity="22937f" origin=",.5" offset="0,.63889mm"/>
              </v:roundrect>
            </w:pict>
          </mc:Fallback>
        </mc:AlternateContent>
      </w:r>
      <w:r w:rsidRPr="00487DC9">
        <w:rPr>
          <w:rFonts w:ascii="Palatino Linotype" w:hAnsi="Palatino Linotype"/>
          <w:noProof/>
        </w:rPr>
        <mc:AlternateContent>
          <mc:Choice Requires="wps">
            <w:drawing>
              <wp:anchor distT="0" distB="0" distL="114300" distR="114300" simplePos="0" relativeHeight="251659264" behindDoc="0" locked="0" layoutInCell="1" allowOverlap="1" wp14:anchorId="0AFE52E0" wp14:editId="59BE0A81">
                <wp:simplePos x="0" y="0"/>
                <wp:positionH relativeFrom="column">
                  <wp:posOffset>1524842</wp:posOffset>
                </wp:positionH>
                <wp:positionV relativeFrom="paragraph">
                  <wp:posOffset>2055628</wp:posOffset>
                </wp:positionV>
                <wp:extent cx="45719" cy="45719"/>
                <wp:effectExtent l="38100" t="19050" r="69215" b="88265"/>
                <wp:wrapNone/>
                <wp:docPr id="6" name="Rectángulo redondeado 6"/>
                <wp:cNvGraphicFramePr/>
                <a:graphic xmlns:a="http://schemas.openxmlformats.org/drawingml/2006/main">
                  <a:graphicData uri="http://schemas.microsoft.com/office/word/2010/wordprocessingShape">
                    <wps:wsp>
                      <wps:cNvSpPr/>
                      <wps:spPr>
                        <a:xfrm>
                          <a:off x="0" y="0"/>
                          <a:ext cx="45719" cy="45719"/>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A06012B" id="Rectángulo redondeado 6" o:spid="_x0000_s1026" style="position:absolute;margin-left:120.05pt;margin-top:161.8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" fillcolor="#4f81bd [3204]" strokecolor="#4579b8 [3044]">
                <v:fill color2="#a7bfde [1620]" rotate="t" angle="180" focus="100%" type="gradient">
                  <o:fill v:ext="view" type="gradientUnscaled"/>
                </v:fill>
                <v:shadow on="t" color="black" opacity="22937f" origin=",.5" offset="0,.63889mm"/>
              </v:roundrect>
            </w:pict>
          </mc:Fallback>
        </mc:AlternateContent>
      </w:r>
      <w:r w:rsidRPr="00487DC9">
        <w:rPr>
          <w:rFonts w:ascii="Palatino Linotype" w:hAnsi="Palatino Linotype"/>
          <w:noProof/>
        </w:rPr>
        <w:drawing>
          <wp:inline distT="0" distB="0" distL="0" distR="0" wp14:anchorId="6AA5DA5E" wp14:editId="77B72A60">
            <wp:extent cx="5790950" cy="4880344"/>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14679" cy="4900342"/>
                    </a:xfrm>
                    <a:prstGeom prst="rect">
                      <a:avLst/>
                    </a:prstGeom>
                  </pic:spPr>
                </pic:pic>
              </a:graphicData>
            </a:graphic>
          </wp:inline>
        </w:drawing>
      </w:r>
    </w:p>
    <w:p w14:paraId="5F5D7A7F" w14:textId="77777777" w:rsidR="00513D89" w:rsidRPr="00487DC9" w:rsidRDefault="00513D89" w:rsidP="00487DC9">
      <w:pPr>
        <w:pStyle w:val="Prrafodelista"/>
        <w:widowControl w:val="0"/>
        <w:autoSpaceDE w:val="0"/>
        <w:autoSpaceDN w:val="0"/>
        <w:adjustRightInd w:val="0"/>
        <w:spacing w:line="360" w:lineRule="auto"/>
        <w:ind w:left="0"/>
        <w:jc w:val="both"/>
        <w:rPr>
          <w:rFonts w:ascii="Palatino Linotype" w:hAnsi="Palatino Linotype"/>
        </w:rPr>
      </w:pPr>
    </w:p>
    <w:p w14:paraId="20313D7E" w14:textId="77777777" w:rsidR="006E726F" w:rsidRPr="00487DC9" w:rsidRDefault="006E726F" w:rsidP="00487DC9">
      <w:pPr>
        <w:pStyle w:val="Citas"/>
        <w:spacing w:before="0" w:after="0"/>
        <w:ind w:left="0" w:right="0"/>
        <w:rPr>
          <w:i w:val="0"/>
          <w:sz w:val="24"/>
          <w:szCs w:val="24"/>
        </w:rPr>
      </w:pPr>
      <w:r w:rsidRPr="00487DC9">
        <w:rPr>
          <w:rFonts w:cs="Times New Roman"/>
          <w:i w:val="0"/>
          <w:sz w:val="24"/>
          <w:szCs w:val="24"/>
          <w:lang w:val="es-ES_tradnl" w:eastAsia="es-ES"/>
        </w:rPr>
        <w:t xml:space="preserve">De lo anterior, podemos </w:t>
      </w:r>
      <w:r w:rsidR="00564858" w:rsidRPr="00487DC9">
        <w:rPr>
          <w:rFonts w:cs="Times New Roman"/>
          <w:i w:val="0"/>
          <w:sz w:val="24"/>
          <w:szCs w:val="24"/>
          <w:lang w:val="es-ES_tradnl" w:eastAsia="es-ES"/>
        </w:rPr>
        <w:t>corroborar que el Hospital General Vicente Villada de Cuautitlán está a cargo del Instituto de Salud del Estado de México</w:t>
      </w:r>
      <w:r w:rsidRPr="00487DC9">
        <w:rPr>
          <w:i w:val="0"/>
          <w:sz w:val="24"/>
          <w:szCs w:val="24"/>
        </w:rPr>
        <w:t xml:space="preserve">, el cual corresponde a Sujeto Obligado diverso conforme al 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w:t>
      </w:r>
      <w:r w:rsidRPr="00487DC9">
        <w:rPr>
          <w:i w:val="0"/>
          <w:sz w:val="24"/>
          <w:szCs w:val="24"/>
        </w:rPr>
        <w:lastRenderedPageBreak/>
        <w:t>Municipios”; publicándolo en el Periódico Oficial “Gaceta del Gobierno”, en fecha veintisiete de febrero de dos mil diecisiete</w:t>
      </w:r>
      <w:r w:rsidRPr="00487DC9">
        <w:rPr>
          <w:rStyle w:val="Refdenotaalpie"/>
        </w:rPr>
        <w:footnoteReference w:id="4"/>
      </w:r>
      <w:r w:rsidRPr="00487DC9">
        <w:rPr>
          <w:rFonts w:eastAsia="Calibri"/>
        </w:rPr>
        <w:t xml:space="preserve">, </w:t>
      </w:r>
      <w:r w:rsidRPr="00487DC9">
        <w:rPr>
          <w:i w:val="0"/>
          <w:sz w:val="24"/>
          <w:szCs w:val="24"/>
        </w:rPr>
        <w:t>tal y como se muestra a continuación:</w:t>
      </w:r>
    </w:p>
    <w:p w14:paraId="1C10DF12" w14:textId="77777777" w:rsidR="0053656E" w:rsidRPr="00487DC9" w:rsidRDefault="0053656E" w:rsidP="00487DC9">
      <w:pPr>
        <w:pStyle w:val="Citas"/>
        <w:spacing w:before="0" w:after="0"/>
        <w:ind w:left="0" w:right="0"/>
        <w:rPr>
          <w:i w:val="0"/>
          <w:sz w:val="24"/>
          <w:szCs w:val="24"/>
        </w:rPr>
      </w:pPr>
    </w:p>
    <w:p w14:paraId="4E4A7647" w14:textId="77777777" w:rsidR="00C9445C" w:rsidRPr="00487DC9" w:rsidRDefault="00C9445C" w:rsidP="00487DC9">
      <w:pPr>
        <w:pStyle w:val="Citas"/>
        <w:spacing w:before="0" w:after="0"/>
        <w:ind w:left="0" w:right="0"/>
        <w:rPr>
          <w:i w:val="0"/>
          <w:sz w:val="24"/>
          <w:szCs w:val="24"/>
        </w:rPr>
      </w:pPr>
      <w:r w:rsidRPr="00487DC9">
        <w:rPr>
          <w:noProof/>
          <w:lang w:eastAsia="es-MX"/>
        </w:rPr>
        <mc:AlternateContent>
          <mc:Choice Requires="wps">
            <w:drawing>
              <wp:anchor distT="0" distB="0" distL="114300" distR="114300" simplePos="0" relativeHeight="251658240" behindDoc="0" locked="0" layoutInCell="1" allowOverlap="1" wp14:anchorId="48E1AA19" wp14:editId="1447596D">
                <wp:simplePos x="0" y="0"/>
                <wp:positionH relativeFrom="margin">
                  <wp:posOffset>-16879</wp:posOffset>
                </wp:positionH>
                <wp:positionV relativeFrom="paragraph">
                  <wp:posOffset>949961</wp:posOffset>
                </wp:positionV>
                <wp:extent cx="5812465" cy="159488"/>
                <wp:effectExtent l="76200" t="38100" r="55245" b="88265"/>
                <wp:wrapNone/>
                <wp:docPr id="14" name="Rectángulo redondeado 14"/>
                <wp:cNvGraphicFramePr/>
                <a:graphic xmlns:a="http://schemas.openxmlformats.org/drawingml/2006/main">
                  <a:graphicData uri="http://schemas.microsoft.com/office/word/2010/wordprocessingShape">
                    <wps:wsp>
                      <wps:cNvSpPr/>
                      <wps:spPr>
                        <a:xfrm>
                          <a:off x="0" y="0"/>
                          <a:ext cx="5812465" cy="159488"/>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2930F1F" id="Rectángulo redondeado 14" o:spid="_x0000_s1026" style="position:absolute;margin-left:-1.35pt;margin-top:74.8pt;width:457.65pt;height:1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" filled="f" strokecolor="red" strokeweight="2.25pt">
                <v:shadow on="t" color="black" opacity="22937f" origin=",.5" offset="0,.63889mm"/>
                <w10:wrap anchorx="margin"/>
              </v:roundrect>
            </w:pict>
          </mc:Fallback>
        </mc:AlternateContent>
      </w:r>
      <w:r w:rsidRPr="00487DC9">
        <w:rPr>
          <w:i w:val="0"/>
          <w:noProof/>
          <w:sz w:val="24"/>
          <w:szCs w:val="24"/>
          <w:lang w:eastAsia="es-MX"/>
        </w:rPr>
        <w:drawing>
          <wp:inline distT="0" distB="0" distL="0" distR="0" wp14:anchorId="103E63FF" wp14:editId="448EE65C">
            <wp:extent cx="5791200" cy="130780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57906" cy="1322869"/>
                    </a:xfrm>
                    <a:prstGeom prst="rect">
                      <a:avLst/>
                    </a:prstGeom>
                  </pic:spPr>
                </pic:pic>
              </a:graphicData>
            </a:graphic>
          </wp:inline>
        </w:drawing>
      </w:r>
    </w:p>
    <w:p w14:paraId="19A8593D" w14:textId="77777777" w:rsidR="00C9445C" w:rsidRPr="00487DC9" w:rsidRDefault="00C9445C" w:rsidP="00487DC9">
      <w:pPr>
        <w:pStyle w:val="Citas"/>
        <w:spacing w:before="0" w:after="0"/>
        <w:ind w:left="0" w:right="0"/>
        <w:rPr>
          <w:i w:val="0"/>
          <w:sz w:val="24"/>
          <w:szCs w:val="24"/>
        </w:rPr>
      </w:pPr>
    </w:p>
    <w:p w14:paraId="6A742BA9" w14:textId="77777777" w:rsidR="006E726F" w:rsidRPr="00487DC9" w:rsidRDefault="006E726F" w:rsidP="00487DC9">
      <w:pPr>
        <w:spacing w:line="360" w:lineRule="auto"/>
        <w:jc w:val="both"/>
        <w:rPr>
          <w:rFonts w:ascii="Palatino Linotype" w:eastAsia="Calibri" w:hAnsi="Palatino Linotype"/>
          <w:lang w:eastAsia="en-US"/>
        </w:rPr>
      </w:pPr>
      <w:r w:rsidRPr="00487DC9">
        <w:rPr>
          <w:rFonts w:ascii="Palatino Linotype" w:hAnsi="Palatino Linotype" w:cs="Arial"/>
        </w:rPr>
        <w:t xml:space="preserve">De ahí que, </w:t>
      </w:r>
      <w:r w:rsidR="00C9445C" w:rsidRPr="00487DC9">
        <w:rPr>
          <w:rFonts w:ascii="Palatino Linotype" w:hAnsi="Palatino Linotype" w:cs="Arial"/>
        </w:rPr>
        <w:t xml:space="preserve">dicho Instituto de Salud </w:t>
      </w:r>
      <w:r w:rsidRPr="00487DC9">
        <w:rPr>
          <w:rFonts w:ascii="Palatino Linotype" w:hAnsi="Palatino Linotype" w:cs="Arial"/>
        </w:rPr>
        <w:t>debe cumplir con las obligaciones, procesos, procedimientos y responsabilidades establecidas</w:t>
      </w:r>
      <w:r w:rsidRPr="00487DC9">
        <w:rPr>
          <w:rFonts w:ascii="Palatino Linotype" w:eastAsia="Calibri" w:hAnsi="Palatino Linotype"/>
          <w:lang w:eastAsia="en-US"/>
        </w:rPr>
        <w:t xml:space="preserve">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05BBDC92" w14:textId="77777777" w:rsidR="006E726F" w:rsidRPr="00487DC9" w:rsidRDefault="006E726F" w:rsidP="00487DC9">
      <w:pPr>
        <w:spacing w:line="360" w:lineRule="auto"/>
        <w:jc w:val="both"/>
        <w:rPr>
          <w:rFonts w:ascii="Palatino Linotype" w:eastAsia="Calibri" w:hAnsi="Palatino Linotype"/>
          <w:lang w:eastAsia="en-US"/>
        </w:rPr>
      </w:pPr>
    </w:p>
    <w:p w14:paraId="13098F47" w14:textId="77777777" w:rsidR="006E726F" w:rsidRPr="00487DC9" w:rsidRDefault="006E726F" w:rsidP="00487DC9">
      <w:pPr>
        <w:spacing w:line="360" w:lineRule="auto"/>
        <w:jc w:val="both"/>
        <w:rPr>
          <w:rFonts w:ascii="Palatino Linotype" w:eastAsia="Calibri" w:hAnsi="Palatino Linotype"/>
          <w:lang w:val="es-ES"/>
        </w:rPr>
      </w:pPr>
      <w:r w:rsidRPr="00487DC9">
        <w:rPr>
          <w:rFonts w:ascii="Palatino Linotype" w:eastAsia="Calibri" w:hAnsi="Palatino Linotype" w:cs="Tahoma"/>
          <w:lang w:val="es-ES_tradnl" w:eastAsia="es-ES_tradnl"/>
        </w:rPr>
        <w:t xml:space="preserve">Por lo anterior, y derivado que el requerimiento realizado por </w:t>
      </w:r>
      <w:r w:rsidR="0053656E" w:rsidRPr="00487DC9">
        <w:rPr>
          <w:rFonts w:ascii="Palatino Linotype" w:eastAsia="Calibri" w:hAnsi="Palatino Linotype" w:cs="Tahoma"/>
          <w:lang w:val="es-ES_tradnl" w:eastAsia="es-ES_tradnl"/>
        </w:rPr>
        <w:t>la</w:t>
      </w:r>
      <w:r w:rsidRPr="00487DC9">
        <w:rPr>
          <w:rFonts w:ascii="Palatino Linotype" w:eastAsia="Calibri" w:hAnsi="Palatino Linotype" w:cs="Tahoma"/>
          <w:lang w:val="es-ES_tradnl" w:eastAsia="es-ES_tradnl"/>
        </w:rPr>
        <w:t xml:space="preserve"> particular, corresponde a información que pudieran poseer diverso Sujeto Obligado; al respecto, </w:t>
      </w:r>
      <w:r w:rsidRPr="00487DC9">
        <w:rPr>
          <w:rFonts w:ascii="Palatino Linotype" w:eastAsia="Calibri" w:hAnsi="Palatino Linotype"/>
          <w:lang w:val="es-ES"/>
        </w:rPr>
        <w:t>es importante traer a contexto lo dispuesto en el artículo 167 de la Ley de Transparencia y Acceso a la Información Pública del Estado de México y Municipios:</w:t>
      </w:r>
    </w:p>
    <w:p w14:paraId="70CA6025" w14:textId="77777777" w:rsidR="006E726F" w:rsidRPr="00487DC9" w:rsidRDefault="006E726F" w:rsidP="00487DC9">
      <w:pPr>
        <w:tabs>
          <w:tab w:val="left" w:pos="142"/>
          <w:tab w:val="left" w:pos="284"/>
          <w:tab w:val="left" w:pos="426"/>
        </w:tabs>
        <w:jc w:val="both"/>
        <w:rPr>
          <w:rFonts w:ascii="Palatino Linotype" w:hAnsi="Palatino Linotype"/>
          <w:sz w:val="20"/>
          <w:szCs w:val="20"/>
          <w:lang w:val="es-ES_tradnl"/>
        </w:rPr>
      </w:pPr>
    </w:p>
    <w:p w14:paraId="1ED764FA" w14:textId="77777777" w:rsidR="006E726F" w:rsidRPr="00487DC9" w:rsidRDefault="006E726F" w:rsidP="00487DC9">
      <w:pPr>
        <w:ind w:left="851" w:right="1134"/>
        <w:jc w:val="both"/>
        <w:rPr>
          <w:rFonts w:ascii="Palatino Linotype" w:hAnsi="Palatino Linotype"/>
          <w:i/>
          <w:sz w:val="22"/>
          <w:szCs w:val="20"/>
          <w:lang w:val="es-ES_tradnl"/>
        </w:rPr>
      </w:pPr>
      <w:r w:rsidRPr="00487DC9">
        <w:rPr>
          <w:rFonts w:ascii="Palatino Linotype" w:hAnsi="Palatino Linotype"/>
          <w:sz w:val="22"/>
          <w:szCs w:val="20"/>
          <w:lang w:val="es-ES_tradnl"/>
        </w:rPr>
        <w:t>“</w:t>
      </w:r>
      <w:r w:rsidRPr="00487DC9">
        <w:rPr>
          <w:rFonts w:ascii="Palatino Linotype" w:hAnsi="Palatino Linotype"/>
          <w:b/>
          <w:i/>
          <w:sz w:val="22"/>
          <w:szCs w:val="20"/>
          <w:lang w:val="es-ES_tradnl"/>
        </w:rPr>
        <w:t>Artículo 167.</w:t>
      </w:r>
      <w:r w:rsidRPr="00487DC9">
        <w:rPr>
          <w:rFonts w:ascii="Palatino Linotype" w:hAnsi="Palatino Linotype"/>
          <w:i/>
          <w:sz w:val="22"/>
          <w:szCs w:val="20"/>
          <w:lang w:val="es-ES_tradnl"/>
        </w:rPr>
        <w:t xml:space="preserve"> </w:t>
      </w:r>
      <w:r w:rsidRPr="00487DC9">
        <w:rPr>
          <w:rFonts w:ascii="Palatino Linotype" w:hAnsi="Palatino Linotype"/>
          <w:b/>
          <w:i/>
          <w:sz w:val="22"/>
          <w:szCs w:val="20"/>
          <w:lang w:val="es-ES_tradnl"/>
        </w:rPr>
        <w:t>Cuando las unidades de transparencia determinen la</w:t>
      </w:r>
      <w:r w:rsidRPr="00487DC9">
        <w:rPr>
          <w:rFonts w:ascii="Palatino Linotype" w:hAnsi="Palatino Linotype"/>
          <w:i/>
          <w:sz w:val="22"/>
          <w:szCs w:val="20"/>
          <w:lang w:val="es-ES_tradnl"/>
        </w:rPr>
        <w:t xml:space="preserve"> notoria </w:t>
      </w:r>
      <w:r w:rsidRPr="00487DC9">
        <w:rPr>
          <w:rFonts w:ascii="Palatino Linotype" w:hAnsi="Palatino Linotype"/>
          <w:b/>
          <w:i/>
          <w:sz w:val="22"/>
          <w:szCs w:val="20"/>
          <w:lang w:val="es-ES_tradnl"/>
        </w:rPr>
        <w:t>incompetencia por parte de los sujetos obligados</w:t>
      </w:r>
      <w:r w:rsidRPr="00487DC9">
        <w:rPr>
          <w:rFonts w:ascii="Palatino Linotype" w:hAnsi="Palatino Linotype"/>
          <w:i/>
          <w:sz w:val="22"/>
          <w:szCs w:val="20"/>
          <w:lang w:val="es-ES_tradnl"/>
        </w:rPr>
        <w:t xml:space="preserve">, dentro del ámbito de </w:t>
      </w:r>
      <w:r w:rsidRPr="00487DC9">
        <w:rPr>
          <w:rFonts w:ascii="Palatino Linotype" w:hAnsi="Palatino Linotype"/>
          <w:i/>
          <w:sz w:val="22"/>
          <w:szCs w:val="20"/>
          <w:lang w:val="es-ES_tradnl"/>
        </w:rPr>
        <w:lastRenderedPageBreak/>
        <w:t xml:space="preserve">aplicación, para atender la solicitud de acceso a la información, </w:t>
      </w:r>
      <w:r w:rsidRPr="00487DC9">
        <w:rPr>
          <w:rFonts w:ascii="Palatino Linotype" w:hAnsi="Palatino Linotype"/>
          <w:b/>
          <w:i/>
          <w:sz w:val="22"/>
          <w:szCs w:val="20"/>
          <w:lang w:val="es-ES_tradnl"/>
        </w:rPr>
        <w:t>deberán comunicarlo al solicitante, dentro de los tres días hábiles posteriores a la recepción de la solicitud y, en su caso orientar al solicitante, el o los sujetos obligados competentes.</w:t>
      </w:r>
      <w:r w:rsidRPr="00487DC9">
        <w:rPr>
          <w:rFonts w:ascii="Palatino Linotype" w:hAnsi="Palatino Linotype"/>
          <w:i/>
          <w:sz w:val="22"/>
          <w:szCs w:val="20"/>
          <w:lang w:val="es-ES_tradnl"/>
        </w:rPr>
        <w:t xml:space="preserve"> </w:t>
      </w:r>
    </w:p>
    <w:p w14:paraId="48499646" w14:textId="77777777" w:rsidR="006E726F" w:rsidRPr="00487DC9" w:rsidRDefault="006E726F" w:rsidP="00487DC9">
      <w:pPr>
        <w:ind w:left="851" w:right="1134"/>
        <w:jc w:val="both"/>
        <w:rPr>
          <w:rFonts w:ascii="Palatino Linotype" w:hAnsi="Palatino Linotype"/>
          <w:i/>
          <w:sz w:val="22"/>
          <w:szCs w:val="20"/>
          <w:lang w:val="es-ES_tradnl"/>
        </w:rPr>
      </w:pPr>
      <w:r w:rsidRPr="00487DC9">
        <w:rPr>
          <w:rFonts w:ascii="Palatino Linotype" w:hAnsi="Palatino Linotype"/>
          <w:i/>
          <w:sz w:val="22"/>
          <w:szCs w:val="20"/>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4A16D1E6" w14:textId="77777777" w:rsidR="006E726F" w:rsidRPr="00487DC9" w:rsidRDefault="006E726F" w:rsidP="00487DC9">
      <w:pPr>
        <w:ind w:left="851" w:right="1134"/>
        <w:jc w:val="both"/>
        <w:rPr>
          <w:rFonts w:ascii="Palatino Linotype" w:hAnsi="Palatino Linotype"/>
          <w:sz w:val="22"/>
          <w:szCs w:val="20"/>
          <w:lang w:val="es-ES_tradnl"/>
        </w:rPr>
      </w:pPr>
      <w:r w:rsidRPr="00487DC9">
        <w:rPr>
          <w:rFonts w:ascii="Palatino Linotype" w:hAnsi="Palatino Linotype"/>
          <w:b/>
          <w:i/>
          <w:sz w:val="22"/>
          <w:szCs w:val="20"/>
          <w:lang w:val="es-ES_tradnl"/>
        </w:rPr>
        <w:t>Si transcurrido el plazo señalado en el primer párrafo de este artículo, el sujeto obligado no declina la competencia en los términ</w:t>
      </w:r>
      <w:r w:rsidRPr="00487DC9">
        <w:rPr>
          <w:rFonts w:ascii="Palatino Linotype" w:hAnsi="Palatino Linotype"/>
          <w:i/>
          <w:sz w:val="22"/>
          <w:szCs w:val="20"/>
          <w:lang w:val="es-ES_tradnl"/>
        </w:rPr>
        <w:t>o</w:t>
      </w:r>
      <w:r w:rsidRPr="00487DC9">
        <w:rPr>
          <w:rFonts w:ascii="Palatino Linotype" w:hAnsi="Palatino Linotype"/>
          <w:b/>
          <w:i/>
          <w:sz w:val="22"/>
          <w:szCs w:val="20"/>
          <w:lang w:val="es-ES_tradnl"/>
        </w:rPr>
        <w:t xml:space="preserve">s </w:t>
      </w:r>
      <w:r w:rsidRPr="00487DC9">
        <w:rPr>
          <w:rFonts w:ascii="Palatino Linotype" w:hAnsi="Palatino Linotype"/>
          <w:i/>
          <w:sz w:val="22"/>
          <w:szCs w:val="20"/>
          <w:lang w:val="es-ES_tradnl"/>
        </w:rPr>
        <w:t>establecidos</w:t>
      </w:r>
      <w:r w:rsidRPr="00487DC9">
        <w:rPr>
          <w:rFonts w:ascii="Palatino Linotype" w:hAnsi="Palatino Linotype"/>
          <w:b/>
          <w:i/>
          <w:sz w:val="22"/>
          <w:szCs w:val="20"/>
          <w:lang w:val="es-ES_tradnl"/>
        </w:rPr>
        <w:t>, podrá canalizar la solicitud ante el sujeto obligado competente.</w:t>
      </w:r>
      <w:r w:rsidRPr="00487DC9">
        <w:rPr>
          <w:rFonts w:ascii="Palatino Linotype" w:hAnsi="Palatino Linotype"/>
          <w:i/>
          <w:sz w:val="22"/>
          <w:szCs w:val="20"/>
          <w:lang w:val="es-ES_tradnl"/>
        </w:rPr>
        <w:t>”</w:t>
      </w:r>
    </w:p>
    <w:p w14:paraId="687F2F8E" w14:textId="77777777" w:rsidR="006E726F" w:rsidRPr="00487DC9" w:rsidRDefault="006E726F" w:rsidP="00487DC9">
      <w:pPr>
        <w:ind w:left="851" w:right="1134"/>
        <w:jc w:val="both"/>
        <w:rPr>
          <w:rFonts w:ascii="Palatino Linotype" w:hAnsi="Palatino Linotype"/>
          <w:sz w:val="22"/>
          <w:szCs w:val="20"/>
          <w:lang w:val="es-ES_tradnl"/>
        </w:rPr>
      </w:pPr>
      <w:r w:rsidRPr="00487DC9">
        <w:rPr>
          <w:rFonts w:ascii="Palatino Linotype" w:hAnsi="Palatino Linotype"/>
          <w:sz w:val="22"/>
          <w:szCs w:val="20"/>
          <w:lang w:val="es-ES_tradnl"/>
        </w:rPr>
        <w:t>(Énfasis añadido)</w:t>
      </w:r>
    </w:p>
    <w:p w14:paraId="725053F8" w14:textId="77777777" w:rsidR="006E726F" w:rsidRPr="00487DC9" w:rsidRDefault="006E726F" w:rsidP="00487DC9">
      <w:pPr>
        <w:ind w:right="901"/>
        <w:jc w:val="both"/>
        <w:rPr>
          <w:rFonts w:ascii="Palatino Linotype" w:hAnsi="Palatino Linotype"/>
          <w:sz w:val="22"/>
          <w:szCs w:val="20"/>
          <w:lang w:val="es-ES_tradnl"/>
        </w:rPr>
      </w:pPr>
    </w:p>
    <w:p w14:paraId="0EB234D4" w14:textId="77777777" w:rsidR="006E726F" w:rsidRPr="00487DC9" w:rsidRDefault="006E726F" w:rsidP="00487DC9">
      <w:pPr>
        <w:spacing w:line="360" w:lineRule="auto"/>
        <w:jc w:val="both"/>
        <w:rPr>
          <w:rFonts w:ascii="Palatino Linotype" w:eastAsia="Calibri" w:hAnsi="Palatino Linotype" w:cs="Arial"/>
          <w:lang w:val="es-ES"/>
        </w:rPr>
      </w:pPr>
      <w:r w:rsidRPr="00487DC9">
        <w:rPr>
          <w:rFonts w:ascii="Palatino Linotype" w:eastAsia="Calibri" w:hAnsi="Palatino Linotype"/>
          <w:lang w:val="es-ES"/>
        </w:rPr>
        <w:t>De lo anterior, se puede advertir que una vez recibida una solicitud de información, se determine que es incompetente para para poseer, generar o administrar lo solicitado, dentro de los primeros tres días posteriores a la recepción de la solicitud, deberá hacerlo del conocimiento de</w:t>
      </w:r>
      <w:r w:rsidR="0053656E" w:rsidRPr="00487DC9">
        <w:rPr>
          <w:rFonts w:ascii="Palatino Linotype" w:eastAsia="Calibri" w:hAnsi="Palatino Linotype"/>
          <w:lang w:val="es-ES"/>
        </w:rPr>
        <w:t xml:space="preserve"> </w:t>
      </w:r>
      <w:r w:rsidRPr="00487DC9">
        <w:rPr>
          <w:rFonts w:ascii="Palatino Linotype" w:eastAsia="Calibri" w:hAnsi="Palatino Linotype"/>
          <w:lang w:val="es-ES"/>
        </w:rPr>
        <w:t>l</w:t>
      </w:r>
      <w:r w:rsidR="0053656E" w:rsidRPr="00487DC9">
        <w:rPr>
          <w:rFonts w:ascii="Palatino Linotype" w:eastAsia="Calibri" w:hAnsi="Palatino Linotype"/>
          <w:lang w:val="es-ES"/>
        </w:rPr>
        <w:t>a</w:t>
      </w:r>
      <w:r w:rsidRPr="00487DC9">
        <w:rPr>
          <w:rFonts w:ascii="Palatino Linotype" w:eastAsia="Calibri" w:hAnsi="Palatino Linotype"/>
          <w:lang w:val="es-ES"/>
        </w:rPr>
        <w:t xml:space="preserve"> particular; por lo que ante la falta de pronunciamiento dentro del plazo referido anteriormente, </w:t>
      </w:r>
      <w:r w:rsidRPr="00487DC9">
        <w:rPr>
          <w:rFonts w:ascii="Palatino Linotype" w:eastAsia="Calibri" w:hAnsi="Palatino Linotype" w:cs="Arial"/>
          <w:b/>
          <w:lang w:val="es-ES"/>
        </w:rPr>
        <w:t>EL SUJETO OBLIGADO</w:t>
      </w:r>
      <w:r w:rsidRPr="00487DC9">
        <w:rPr>
          <w:rFonts w:ascii="Palatino Linotype" w:eastAsia="Calibri" w:hAnsi="Palatino Linotype" w:cs="Arial"/>
          <w:lang w:val="es-ES"/>
        </w:rPr>
        <w:t xml:space="preserve"> deberá atender el contenido del artículo 49 de la citada ley, para efectos de que sea declarada por parte del Comité de Transparencia la incompetencia a la que se hace referencia en la respuesta proporcionada. </w:t>
      </w:r>
    </w:p>
    <w:p w14:paraId="65A1537F" w14:textId="77777777" w:rsidR="006E726F" w:rsidRPr="00487DC9" w:rsidRDefault="006E726F" w:rsidP="00487DC9">
      <w:pPr>
        <w:jc w:val="both"/>
        <w:rPr>
          <w:rFonts w:ascii="Palatino Linotype" w:eastAsia="Calibri" w:hAnsi="Palatino Linotype" w:cs="Arial"/>
          <w:lang w:val="es-ES"/>
        </w:rPr>
      </w:pPr>
    </w:p>
    <w:p w14:paraId="790D2EF6" w14:textId="77777777" w:rsidR="006E726F" w:rsidRPr="00487DC9" w:rsidRDefault="006E726F" w:rsidP="00487DC9">
      <w:pPr>
        <w:autoSpaceDE w:val="0"/>
        <w:autoSpaceDN w:val="0"/>
        <w:adjustRightInd w:val="0"/>
        <w:ind w:left="851" w:right="1134"/>
        <w:jc w:val="both"/>
        <w:rPr>
          <w:rFonts w:ascii="Palatino Linotype" w:hAnsi="Palatino Linotype" w:cs="Arial"/>
          <w:i/>
          <w:sz w:val="22"/>
          <w:szCs w:val="22"/>
          <w:lang w:val="es-ES"/>
        </w:rPr>
      </w:pPr>
      <w:r w:rsidRPr="00487DC9">
        <w:rPr>
          <w:rFonts w:ascii="Palatino Linotype" w:hAnsi="Palatino Linotype" w:cs="Arial"/>
          <w:b/>
          <w:bCs/>
          <w:i/>
          <w:sz w:val="22"/>
          <w:szCs w:val="22"/>
          <w:lang w:val="es-ES"/>
        </w:rPr>
        <w:t xml:space="preserve">“Artículo 49. </w:t>
      </w:r>
      <w:r w:rsidRPr="00487DC9">
        <w:rPr>
          <w:rFonts w:ascii="Palatino Linotype" w:hAnsi="Palatino Linotype" w:cs="Arial"/>
          <w:i/>
          <w:sz w:val="22"/>
          <w:szCs w:val="22"/>
          <w:lang w:val="es-ES"/>
        </w:rPr>
        <w:t>Los Comités de Transparencia tendrán las siguientes atribuciones:</w:t>
      </w:r>
    </w:p>
    <w:p w14:paraId="09CF8EED" w14:textId="77777777" w:rsidR="006E726F" w:rsidRPr="00487DC9" w:rsidRDefault="006E726F" w:rsidP="00487DC9">
      <w:pPr>
        <w:autoSpaceDE w:val="0"/>
        <w:autoSpaceDN w:val="0"/>
        <w:adjustRightInd w:val="0"/>
        <w:ind w:left="851" w:right="1134"/>
        <w:jc w:val="both"/>
        <w:rPr>
          <w:rFonts w:ascii="Palatino Linotype" w:hAnsi="Palatino Linotype" w:cs="Arial"/>
          <w:i/>
          <w:sz w:val="22"/>
          <w:szCs w:val="22"/>
          <w:lang w:val="es-ES"/>
        </w:rPr>
      </w:pPr>
      <w:r w:rsidRPr="00487DC9">
        <w:rPr>
          <w:rFonts w:ascii="Palatino Linotype" w:hAnsi="Palatino Linotype" w:cs="Arial"/>
          <w:b/>
          <w:bCs/>
          <w:i/>
          <w:sz w:val="22"/>
          <w:szCs w:val="22"/>
          <w:lang w:val="es-ES"/>
        </w:rPr>
        <w:t xml:space="preserve">I. </w:t>
      </w:r>
      <w:r w:rsidRPr="00487DC9">
        <w:rPr>
          <w:rFonts w:ascii="Palatino Linotype" w:hAnsi="Palatino Linotype" w:cs="Arial"/>
          <w:i/>
          <w:sz w:val="22"/>
          <w:szCs w:val="22"/>
          <w:lang w:val="es-ES"/>
        </w:rPr>
        <w:t>Instituir, coordinar y supervisar en términos de las disposiciones aplicables, las acciones, medidas y procedimientos que coadyuven a asegurar una mayor eficacia en la gestión y atención de las solicitudes en materia de acceso a la información;</w:t>
      </w:r>
    </w:p>
    <w:p w14:paraId="7AAAE1CD" w14:textId="77777777" w:rsidR="006E726F" w:rsidRPr="00487DC9" w:rsidRDefault="006E726F" w:rsidP="00487DC9">
      <w:pPr>
        <w:autoSpaceDE w:val="0"/>
        <w:autoSpaceDN w:val="0"/>
        <w:adjustRightInd w:val="0"/>
        <w:ind w:left="851" w:right="1134"/>
        <w:jc w:val="both"/>
        <w:rPr>
          <w:rFonts w:ascii="Palatino Linotype" w:hAnsi="Palatino Linotype" w:cs="Arial"/>
          <w:i/>
          <w:sz w:val="22"/>
          <w:szCs w:val="22"/>
          <w:lang w:val="es-ES"/>
        </w:rPr>
      </w:pPr>
      <w:r w:rsidRPr="00487DC9">
        <w:rPr>
          <w:rFonts w:ascii="Palatino Linotype" w:hAnsi="Palatino Linotype" w:cs="Arial"/>
          <w:b/>
          <w:bCs/>
          <w:i/>
          <w:sz w:val="22"/>
          <w:szCs w:val="22"/>
          <w:lang w:val="es-ES"/>
        </w:rPr>
        <w:t xml:space="preserve">II. </w:t>
      </w:r>
      <w:r w:rsidRPr="00487DC9">
        <w:rPr>
          <w:rFonts w:ascii="Palatino Linotype" w:hAnsi="Palatino Linotype" w:cs="Arial"/>
          <w:i/>
          <w:sz w:val="22"/>
          <w:szCs w:val="22"/>
          <w:lang w:val="es-ES"/>
        </w:rPr>
        <w:t xml:space="preserve">Confirmar, modificar o revocar las determinaciones que en materia de ampliación del plazo de respuesta, clasificación de la información y declaración de inexistencia </w:t>
      </w:r>
      <w:r w:rsidRPr="00487DC9">
        <w:rPr>
          <w:rFonts w:ascii="Palatino Linotype" w:hAnsi="Palatino Linotype" w:cs="Arial"/>
          <w:b/>
          <w:i/>
          <w:sz w:val="22"/>
          <w:szCs w:val="22"/>
          <w:lang w:val="es-ES"/>
        </w:rPr>
        <w:t>o de incompetencia realicen los titulares de las áreas de los sujetos obligados</w:t>
      </w:r>
      <w:r w:rsidRPr="00487DC9">
        <w:rPr>
          <w:rFonts w:ascii="Palatino Linotype" w:hAnsi="Palatino Linotype" w:cs="Arial"/>
          <w:i/>
          <w:sz w:val="22"/>
          <w:szCs w:val="22"/>
          <w:lang w:val="es-ES"/>
        </w:rPr>
        <w:t>;</w:t>
      </w:r>
    </w:p>
    <w:p w14:paraId="08A56F29" w14:textId="77777777" w:rsidR="006E726F" w:rsidRPr="00487DC9" w:rsidRDefault="006E726F" w:rsidP="00487DC9">
      <w:pPr>
        <w:autoSpaceDE w:val="0"/>
        <w:autoSpaceDN w:val="0"/>
        <w:adjustRightInd w:val="0"/>
        <w:ind w:left="851" w:right="1134"/>
        <w:jc w:val="both"/>
        <w:rPr>
          <w:rFonts w:ascii="Palatino Linotype" w:hAnsi="Palatino Linotype" w:cs="Arial"/>
          <w:i/>
          <w:sz w:val="22"/>
          <w:szCs w:val="22"/>
          <w:lang w:val="es-ES"/>
        </w:rPr>
      </w:pPr>
      <w:r w:rsidRPr="00487DC9">
        <w:rPr>
          <w:rFonts w:ascii="Palatino Linotype" w:hAnsi="Palatino Linotype" w:cs="Arial"/>
          <w:b/>
          <w:bCs/>
          <w:i/>
          <w:sz w:val="22"/>
          <w:szCs w:val="22"/>
          <w:lang w:val="es-ES"/>
        </w:rPr>
        <w:t>.</w:t>
      </w:r>
      <w:r w:rsidRPr="00487DC9">
        <w:rPr>
          <w:rFonts w:ascii="Palatino Linotype" w:hAnsi="Palatino Linotype" w:cs="Arial"/>
          <w:i/>
          <w:sz w:val="22"/>
          <w:szCs w:val="22"/>
          <w:lang w:val="es-ES"/>
        </w:rPr>
        <w:t>. .”</w:t>
      </w:r>
    </w:p>
    <w:p w14:paraId="4DA62AC5" w14:textId="77777777" w:rsidR="006E726F" w:rsidRPr="00487DC9" w:rsidRDefault="006E726F" w:rsidP="00487DC9">
      <w:pPr>
        <w:autoSpaceDE w:val="0"/>
        <w:autoSpaceDN w:val="0"/>
        <w:adjustRightInd w:val="0"/>
        <w:ind w:left="851" w:right="1134"/>
        <w:jc w:val="both"/>
        <w:rPr>
          <w:rFonts w:ascii="Palatino Linotype" w:hAnsi="Palatino Linotype" w:cs="Arial"/>
          <w:i/>
          <w:sz w:val="22"/>
          <w:szCs w:val="22"/>
          <w:lang w:val="es-ES"/>
        </w:rPr>
      </w:pPr>
      <w:r w:rsidRPr="00487DC9">
        <w:rPr>
          <w:rFonts w:ascii="Palatino Linotype" w:hAnsi="Palatino Linotype" w:cs="Arial"/>
          <w:bCs/>
          <w:i/>
          <w:sz w:val="22"/>
          <w:szCs w:val="22"/>
          <w:lang w:val="es-ES"/>
        </w:rPr>
        <w:t>(Énfasis añadido)</w:t>
      </w:r>
    </w:p>
    <w:p w14:paraId="7AC3AE37" w14:textId="77777777" w:rsidR="006E726F" w:rsidRPr="00487DC9" w:rsidRDefault="006E726F" w:rsidP="00487DC9">
      <w:pPr>
        <w:jc w:val="both"/>
        <w:rPr>
          <w:rFonts w:ascii="Palatino Linotype" w:eastAsia="Calibri" w:hAnsi="Palatino Linotype" w:cs="Arial"/>
          <w:lang w:val="es-ES"/>
        </w:rPr>
      </w:pPr>
    </w:p>
    <w:p w14:paraId="3FFF6E57" w14:textId="77777777" w:rsidR="006E726F" w:rsidRPr="00487DC9" w:rsidRDefault="006E726F" w:rsidP="00487DC9">
      <w:pPr>
        <w:spacing w:line="360" w:lineRule="auto"/>
        <w:jc w:val="both"/>
        <w:rPr>
          <w:rFonts w:ascii="Palatino Linotype" w:eastAsia="Calibri" w:hAnsi="Palatino Linotype" w:cs="Arial"/>
          <w:lang w:val="es-ES"/>
        </w:rPr>
      </w:pPr>
      <w:r w:rsidRPr="00487DC9">
        <w:rPr>
          <w:rFonts w:ascii="Palatino Linotype" w:eastAsia="Calibri" w:hAnsi="Palatino Linotype" w:cs="Arial"/>
          <w:lang w:val="es-ES"/>
        </w:rPr>
        <w:lastRenderedPageBreak/>
        <w:t xml:space="preserve">Es de lo expuesto que, este Órgano Garante determina ordenar al </w:t>
      </w:r>
      <w:r w:rsidRPr="00487DC9">
        <w:rPr>
          <w:rFonts w:ascii="Palatino Linotype" w:eastAsia="Calibri" w:hAnsi="Palatino Linotype" w:cs="Arial"/>
          <w:b/>
          <w:lang w:val="es-ES"/>
        </w:rPr>
        <w:t xml:space="preserve">SUJETO OBLIGADO </w:t>
      </w:r>
      <w:r w:rsidRPr="00487DC9">
        <w:rPr>
          <w:rFonts w:ascii="Palatino Linotype" w:eastAsia="Calibri" w:hAnsi="Palatino Linotype" w:cs="Arial"/>
          <w:lang w:val="es-ES"/>
        </w:rPr>
        <w:t xml:space="preserve">haga entrega al particular del Acuerdo que emita el Comité de Transparencia en el que se confirme la declaratoria de incompetencia de la información solicitada. </w:t>
      </w:r>
    </w:p>
    <w:p w14:paraId="4538CAE9" w14:textId="77777777" w:rsidR="006E726F" w:rsidRPr="00487DC9" w:rsidRDefault="006E726F" w:rsidP="00487DC9">
      <w:pPr>
        <w:spacing w:line="360" w:lineRule="auto"/>
        <w:jc w:val="both"/>
        <w:rPr>
          <w:rFonts w:ascii="Palatino Linotype" w:eastAsia="Calibri" w:hAnsi="Palatino Linotype" w:cs="Arial"/>
          <w:lang w:val="es-ES"/>
        </w:rPr>
      </w:pPr>
    </w:p>
    <w:p w14:paraId="2ECD152D" w14:textId="77777777" w:rsidR="006E726F" w:rsidRPr="00487DC9" w:rsidRDefault="006E726F" w:rsidP="00487DC9">
      <w:pPr>
        <w:spacing w:line="360" w:lineRule="auto"/>
        <w:jc w:val="both"/>
        <w:rPr>
          <w:rFonts w:ascii="Palatino Linotype" w:eastAsiaTheme="minorEastAsia" w:hAnsi="Palatino Linotype"/>
          <w:lang w:eastAsia="es-MX"/>
        </w:rPr>
      </w:pPr>
      <w:r w:rsidRPr="00487DC9">
        <w:rPr>
          <w:rFonts w:ascii="Palatino Linotype" w:eastAsia="Calibri" w:hAnsi="Palatino Linotype" w:cs="Arial"/>
          <w:lang w:val="es-ES"/>
        </w:rPr>
        <w:t>Derivado de lo anterior, se dejan a salvo los derechos de</w:t>
      </w:r>
      <w:r w:rsidR="0053656E" w:rsidRPr="00487DC9">
        <w:rPr>
          <w:rFonts w:ascii="Palatino Linotype" w:eastAsia="Calibri" w:hAnsi="Palatino Linotype" w:cs="Arial"/>
          <w:lang w:val="es-ES"/>
        </w:rPr>
        <w:t xml:space="preserve"> </w:t>
      </w:r>
      <w:r w:rsidRPr="00487DC9">
        <w:rPr>
          <w:rFonts w:ascii="Palatino Linotype" w:eastAsia="Calibri" w:hAnsi="Palatino Linotype" w:cs="Arial"/>
          <w:lang w:val="es-ES"/>
        </w:rPr>
        <w:t>l</w:t>
      </w:r>
      <w:r w:rsidR="0053656E" w:rsidRPr="00487DC9">
        <w:rPr>
          <w:rFonts w:ascii="Palatino Linotype" w:eastAsia="Calibri" w:hAnsi="Palatino Linotype" w:cs="Arial"/>
          <w:lang w:val="es-ES"/>
        </w:rPr>
        <w:t>a</w:t>
      </w:r>
      <w:r w:rsidRPr="00487DC9">
        <w:rPr>
          <w:rFonts w:ascii="Palatino Linotype" w:eastAsia="Calibri" w:hAnsi="Palatino Linotype" w:cs="Arial"/>
          <w:lang w:val="es-ES"/>
        </w:rPr>
        <w:t xml:space="preserve"> particular, para que requiera al </w:t>
      </w:r>
      <w:r w:rsidRPr="00487DC9">
        <w:rPr>
          <w:rFonts w:ascii="Palatino Linotype" w:eastAsia="Calibri" w:hAnsi="Palatino Linotype" w:cs="Arial"/>
          <w:b/>
          <w:lang w:val="es-ES"/>
        </w:rPr>
        <w:t>SUJETO OBLIGADO</w:t>
      </w:r>
      <w:r w:rsidRPr="00487DC9">
        <w:rPr>
          <w:rFonts w:ascii="Palatino Linotype" w:eastAsia="Calibri" w:hAnsi="Palatino Linotype" w:cs="Arial"/>
          <w:lang w:val="es-ES"/>
        </w:rPr>
        <w:t xml:space="preserve"> que considere conveniente.</w:t>
      </w:r>
      <w:r w:rsidRPr="00487DC9">
        <w:rPr>
          <w:rFonts w:ascii="Palatino Linotype" w:eastAsiaTheme="minorEastAsia" w:hAnsi="Palatino Linotype"/>
          <w:lang w:val="es-ES" w:eastAsia="es-MX"/>
        </w:rPr>
        <w:t xml:space="preserve"> </w:t>
      </w:r>
    </w:p>
    <w:p w14:paraId="0CB23299" w14:textId="77777777" w:rsidR="006E726F" w:rsidRPr="00487DC9" w:rsidRDefault="006E726F" w:rsidP="00487DC9">
      <w:pPr>
        <w:spacing w:line="360" w:lineRule="auto"/>
        <w:jc w:val="both"/>
        <w:rPr>
          <w:rFonts w:ascii="Palatino Linotype" w:eastAsia="Calibri" w:hAnsi="Palatino Linotype"/>
        </w:rPr>
      </w:pPr>
    </w:p>
    <w:p w14:paraId="2B4BC37E" w14:textId="77777777" w:rsidR="00DA70F3" w:rsidRPr="00487DC9" w:rsidRDefault="00DA70F3" w:rsidP="00487DC9">
      <w:pPr>
        <w:spacing w:line="360" w:lineRule="auto"/>
        <w:jc w:val="both"/>
        <w:rPr>
          <w:rFonts w:ascii="Palatino Linotype" w:hAnsi="Palatino Linotype" w:cs="Arial"/>
          <w:lang w:val="es-ES"/>
        </w:rPr>
      </w:pPr>
      <w:r w:rsidRPr="00487DC9">
        <w:rPr>
          <w:rFonts w:ascii="Palatino Linotype" w:eastAsia="Calibri" w:hAnsi="Palatino Linotype"/>
        </w:rPr>
        <w:t xml:space="preserve">Finalmente, </w:t>
      </w:r>
      <w:r w:rsidRPr="00487DC9">
        <w:rPr>
          <w:rFonts w:ascii="Palatino Linotype" w:eastAsia="Calibri" w:hAnsi="Palatino Linotype" w:cs="Arial"/>
          <w:lang w:val="es-ES"/>
        </w:rPr>
        <w:t>respecto de las manifestaciones</w:t>
      </w:r>
      <w:r w:rsidRPr="00487DC9">
        <w:rPr>
          <w:rFonts w:ascii="Palatino Linotype" w:eastAsia="Arial Unicode MS" w:hAnsi="Palatino Linotype" w:cs="Arial"/>
          <w:lang w:val="es-ES"/>
        </w:rPr>
        <w:t xml:space="preserve"> realizadas por </w:t>
      </w:r>
      <w:r w:rsidRPr="00487DC9">
        <w:rPr>
          <w:rFonts w:ascii="Palatino Linotype" w:eastAsia="Arial Unicode MS" w:hAnsi="Palatino Linotype" w:cs="Arial"/>
          <w:b/>
          <w:lang w:val="es-ES"/>
        </w:rPr>
        <w:t xml:space="preserve">EL </w:t>
      </w:r>
      <w:r w:rsidRPr="00487DC9">
        <w:rPr>
          <w:rFonts w:ascii="Palatino Linotype" w:hAnsi="Palatino Linotype"/>
          <w:b/>
          <w:lang w:val="es-ES"/>
        </w:rPr>
        <w:t>RECURRENTE</w:t>
      </w:r>
      <w:r w:rsidRPr="00487DC9">
        <w:rPr>
          <w:rFonts w:ascii="Palatino Linotype" w:eastAsia="Arial Unicode MS" w:hAnsi="Palatino Linotype" w:cs="Arial"/>
          <w:b/>
          <w:lang w:val="es-ES"/>
        </w:rPr>
        <w:t xml:space="preserve"> </w:t>
      </w:r>
      <w:r w:rsidRPr="00487DC9">
        <w:rPr>
          <w:rFonts w:ascii="Palatino Linotype" w:eastAsia="Arial Unicode MS" w:hAnsi="Palatino Linotype" w:cs="Arial"/>
          <w:lang w:val="es-ES"/>
        </w:rPr>
        <w:t xml:space="preserve">tanto en la solicitud materia de estudio como razones o motivos de inconformidad, consistentes en </w:t>
      </w:r>
      <w:r w:rsidRPr="00487DC9">
        <w:rPr>
          <w:rFonts w:ascii="Palatino Linotype" w:hAnsi="Palatino Linotype" w:cs="Arial"/>
          <w:i/>
          <w:lang w:val="es-ES" w:eastAsia="es-MX"/>
        </w:rPr>
        <w:t xml:space="preserve">“…YA QUE ES UN SECRETO A VOCES QUE HAN MAQUILLADO EL MAL USO DEL RECURSO, ASI COMO DEL MEDICAMENTO CONTROLADO, FALSIFICARON TODO PARA QUE NADIE SE DIERA CUENTA DEL MAL USO QUE LE DAN...” “NO ANDAR MANDANDO CARTAS INSULSAS”(sic); </w:t>
      </w:r>
      <w:r w:rsidRPr="00487DC9">
        <w:rPr>
          <w:rFonts w:ascii="Palatino Linotype" w:hAnsi="Palatino Linotype" w:cs="Arial"/>
          <w:lang w:val="es-ES"/>
        </w:rPr>
        <w:t xml:space="preserve">al respecto, este Órgano Garante advierte que se tratan de </w:t>
      </w:r>
      <w:r w:rsidRPr="00487DC9">
        <w:rPr>
          <w:rFonts w:ascii="Palatino Linotype" w:hAnsi="Palatino Linotype"/>
          <w:lang w:val="es-ES"/>
        </w:rPr>
        <w:t xml:space="preserve">manifestaciones </w:t>
      </w:r>
      <w:r w:rsidRPr="00487DC9">
        <w:rPr>
          <w:rFonts w:ascii="Palatino Linotype" w:hAnsi="Palatino Linotype"/>
          <w:lang w:eastAsia="es-MX"/>
        </w:rPr>
        <w:t>unilaterales subjetivas de la parte recurrente en ejercicio del derecho de libertad de expresión, las cuales resultan inatendibles, ya que este Instituto en términos del artículo 36 de la Ley de Transparencia y Acceso a la Información Pública del Estado de México y Municipios y de las demás disposiciones jurídicas aplicables, carece de facultades para pronunciarse sobre las mismas.</w:t>
      </w:r>
    </w:p>
    <w:p w14:paraId="14977D30" w14:textId="77777777" w:rsidR="00DA70F3" w:rsidRPr="00487DC9" w:rsidRDefault="00DA70F3" w:rsidP="00487DC9">
      <w:pPr>
        <w:spacing w:line="360" w:lineRule="auto"/>
        <w:jc w:val="both"/>
        <w:rPr>
          <w:rFonts w:ascii="Palatino Linotype" w:eastAsia="Calibri" w:hAnsi="Palatino Linotype"/>
        </w:rPr>
      </w:pPr>
    </w:p>
    <w:p w14:paraId="12AA47B3" w14:textId="77777777" w:rsidR="006E726F" w:rsidRPr="00487DC9" w:rsidRDefault="006E726F" w:rsidP="00487DC9">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487DC9">
        <w:rPr>
          <w:rFonts w:ascii="Palatino Linotype" w:hAnsi="Palatino Linotype" w:cs="Arial"/>
        </w:rPr>
        <w:t xml:space="preserve">En razón de lo anteriormente expuesto, este Instituto estima que las razones o motivos de inconformidad hechos valer por </w:t>
      </w:r>
      <w:r w:rsidR="002204AE" w:rsidRPr="00487DC9">
        <w:rPr>
          <w:rFonts w:ascii="Palatino Linotype" w:hAnsi="Palatino Linotype" w:cs="Arial"/>
          <w:b/>
        </w:rPr>
        <w:t>LA</w:t>
      </w:r>
      <w:r w:rsidRPr="00487DC9">
        <w:rPr>
          <w:rFonts w:ascii="Palatino Linotype" w:hAnsi="Palatino Linotype" w:cs="Arial"/>
          <w:b/>
        </w:rPr>
        <w:t xml:space="preserve"> RECURRENTE</w:t>
      </w:r>
      <w:r w:rsidRPr="00487DC9">
        <w:rPr>
          <w:rFonts w:ascii="Palatino Linotype" w:hAnsi="Palatino Linotype" w:cs="Arial"/>
        </w:rPr>
        <w:t xml:space="preserve"> devienen </w:t>
      </w:r>
      <w:r w:rsidRPr="00487DC9">
        <w:rPr>
          <w:rFonts w:ascii="Palatino Linotype" w:hAnsi="Palatino Linotype" w:cs="Arial"/>
          <w:b/>
        </w:rPr>
        <w:t>fundadas</w:t>
      </w:r>
      <w:r w:rsidRPr="00487DC9">
        <w:rPr>
          <w:rFonts w:ascii="Palatino Linotype" w:hAnsi="Palatino Linotype" w:cs="Arial"/>
        </w:rPr>
        <w:t xml:space="preserve"> y suficientes para </w:t>
      </w:r>
      <w:r w:rsidRPr="00487DC9">
        <w:rPr>
          <w:rFonts w:ascii="Palatino Linotype" w:hAnsi="Palatino Linotype" w:cs="Arial"/>
          <w:b/>
        </w:rPr>
        <w:t>MODIFICAR</w:t>
      </w:r>
      <w:r w:rsidRPr="00487DC9">
        <w:rPr>
          <w:rFonts w:ascii="Palatino Linotype" w:hAnsi="Palatino Linotype" w:cs="Arial"/>
        </w:rPr>
        <w:t xml:space="preserve"> la respuesta del </w:t>
      </w:r>
      <w:r w:rsidRPr="00487DC9">
        <w:rPr>
          <w:rFonts w:ascii="Palatino Linotype" w:hAnsi="Palatino Linotype" w:cs="Arial"/>
          <w:b/>
        </w:rPr>
        <w:t>SUJETO OBLIGADO</w:t>
      </w:r>
      <w:r w:rsidRPr="00487DC9">
        <w:rPr>
          <w:rFonts w:ascii="Palatino Linotype" w:hAnsi="Palatino Linotype" w:cs="Arial"/>
        </w:rPr>
        <w:t xml:space="preserve"> y ordenarle haga entrega de la información descrita en el presente Considerando.</w:t>
      </w:r>
    </w:p>
    <w:p w14:paraId="298D466A" w14:textId="77777777" w:rsidR="006E726F" w:rsidRPr="00487DC9" w:rsidRDefault="006E726F" w:rsidP="00487DC9">
      <w:pPr>
        <w:spacing w:line="360" w:lineRule="auto"/>
        <w:rPr>
          <w:rFonts w:ascii="Palatino Linotype" w:hAnsi="Palatino Linotype"/>
        </w:rPr>
      </w:pPr>
    </w:p>
    <w:p w14:paraId="2BD326AD" w14:textId="77777777" w:rsidR="00BD7225" w:rsidRPr="00487DC9" w:rsidRDefault="00BD7225" w:rsidP="00487DC9">
      <w:pPr>
        <w:widowControl w:val="0"/>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689A7746" w14:textId="77777777" w:rsidR="00487DC9" w:rsidRPr="00487DC9" w:rsidRDefault="00487DC9" w:rsidP="00487DC9">
      <w:pPr>
        <w:widowControl w:val="0"/>
        <w:jc w:val="both"/>
        <w:rPr>
          <w:rFonts w:ascii="Palatino Linotype" w:eastAsia="Palatino Linotype" w:hAnsi="Palatino Linotype" w:cs="Palatino Linotype"/>
        </w:rPr>
      </w:pPr>
    </w:p>
    <w:p w14:paraId="08DEB6FD" w14:textId="77777777" w:rsidR="00BD7225" w:rsidRPr="00487DC9" w:rsidRDefault="00BD7225" w:rsidP="00487DC9">
      <w:pPr>
        <w:jc w:val="center"/>
        <w:rPr>
          <w:rFonts w:ascii="Palatino Linotype" w:eastAsia="Palatino Linotype" w:hAnsi="Palatino Linotype" w:cs="Palatino Linotype"/>
          <w:b/>
          <w:sz w:val="28"/>
          <w:szCs w:val="28"/>
        </w:rPr>
      </w:pPr>
      <w:r w:rsidRPr="00487DC9">
        <w:rPr>
          <w:rFonts w:ascii="Palatino Linotype" w:eastAsia="Palatino Linotype" w:hAnsi="Palatino Linotype" w:cs="Palatino Linotype"/>
          <w:b/>
          <w:sz w:val="28"/>
          <w:szCs w:val="28"/>
        </w:rPr>
        <w:t>R E S U E L V E</w:t>
      </w:r>
    </w:p>
    <w:p w14:paraId="631EB35E" w14:textId="77777777" w:rsidR="00BD7225" w:rsidRPr="00487DC9" w:rsidRDefault="00BD7225" w:rsidP="00487DC9">
      <w:pPr>
        <w:jc w:val="center"/>
        <w:rPr>
          <w:rFonts w:ascii="Palatino Linotype" w:eastAsia="Palatino Linotype" w:hAnsi="Palatino Linotype" w:cs="Palatino Linotype"/>
          <w:b/>
          <w:sz w:val="28"/>
          <w:szCs w:val="28"/>
        </w:rPr>
      </w:pPr>
    </w:p>
    <w:p w14:paraId="2BD4047A" w14:textId="77777777" w:rsidR="00BD7225" w:rsidRPr="00487DC9" w:rsidRDefault="00BD7225" w:rsidP="00487DC9">
      <w:pP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b/>
          <w:sz w:val="28"/>
          <w:szCs w:val="28"/>
        </w:rPr>
        <w:t>PRIMERO</w:t>
      </w:r>
      <w:r w:rsidRPr="00487DC9">
        <w:rPr>
          <w:rFonts w:ascii="Palatino Linotype" w:eastAsia="Palatino Linotype" w:hAnsi="Palatino Linotype" w:cs="Palatino Linotype"/>
          <w:sz w:val="28"/>
          <w:szCs w:val="28"/>
        </w:rPr>
        <w:t>.</w:t>
      </w:r>
      <w:r w:rsidRPr="00487DC9">
        <w:rPr>
          <w:rFonts w:ascii="Palatino Linotype" w:eastAsia="Palatino Linotype" w:hAnsi="Palatino Linotype" w:cs="Palatino Linotype"/>
        </w:rPr>
        <w:t xml:space="preserve"> Resultan </w:t>
      </w:r>
      <w:r w:rsidRPr="00487DC9">
        <w:rPr>
          <w:rFonts w:ascii="Palatino Linotype" w:eastAsia="Palatino Linotype" w:hAnsi="Palatino Linotype" w:cs="Palatino Linotype"/>
          <w:b/>
        </w:rPr>
        <w:t>fundadas</w:t>
      </w:r>
      <w:r w:rsidRPr="00487DC9">
        <w:rPr>
          <w:rFonts w:ascii="Palatino Linotype" w:eastAsia="Palatino Linotype" w:hAnsi="Palatino Linotype" w:cs="Palatino Linotype"/>
        </w:rPr>
        <w:t xml:space="preserve"> las razones o motivos de inconformidad planteadas por </w:t>
      </w:r>
      <w:r w:rsidR="002204AE" w:rsidRPr="00487DC9">
        <w:rPr>
          <w:rFonts w:ascii="Palatino Linotype" w:eastAsia="Palatino Linotype" w:hAnsi="Palatino Linotype" w:cs="Palatino Linotype"/>
          <w:b/>
        </w:rPr>
        <w:t>LA</w:t>
      </w:r>
      <w:r w:rsidRPr="00487DC9">
        <w:rPr>
          <w:rFonts w:ascii="Palatino Linotype" w:eastAsia="Palatino Linotype" w:hAnsi="Palatino Linotype" w:cs="Palatino Linotype"/>
          <w:b/>
        </w:rPr>
        <w:t xml:space="preserve"> RECURRENTE</w:t>
      </w:r>
      <w:r w:rsidRPr="00487DC9">
        <w:rPr>
          <w:rFonts w:ascii="Palatino Linotype" w:eastAsia="Palatino Linotype" w:hAnsi="Palatino Linotype" w:cs="Palatino Linotype"/>
        </w:rPr>
        <w:t xml:space="preserve">, en términos del Considerando </w:t>
      </w:r>
      <w:r w:rsidRPr="00487DC9">
        <w:rPr>
          <w:rFonts w:ascii="Palatino Linotype" w:eastAsia="Palatino Linotype" w:hAnsi="Palatino Linotype" w:cs="Palatino Linotype"/>
          <w:b/>
        </w:rPr>
        <w:t>QUINTO</w:t>
      </w:r>
      <w:r w:rsidRPr="00487DC9">
        <w:rPr>
          <w:rFonts w:ascii="Palatino Linotype" w:eastAsia="Palatino Linotype" w:hAnsi="Palatino Linotype" w:cs="Palatino Linotype"/>
        </w:rPr>
        <w:t xml:space="preserve"> de la presente resolución.</w:t>
      </w:r>
    </w:p>
    <w:p w14:paraId="7FBC824D" w14:textId="77777777" w:rsidR="00BD7225" w:rsidRPr="00487DC9" w:rsidRDefault="00BD7225" w:rsidP="00487DC9">
      <w:pPr>
        <w:spacing w:line="360" w:lineRule="auto"/>
        <w:jc w:val="both"/>
        <w:rPr>
          <w:rFonts w:ascii="Palatino Linotype" w:eastAsia="Palatino Linotype" w:hAnsi="Palatino Linotype" w:cs="Palatino Linotype"/>
        </w:rPr>
      </w:pPr>
    </w:p>
    <w:p w14:paraId="7DDFB6D6" w14:textId="77777777" w:rsidR="00BD7225" w:rsidRPr="00487DC9" w:rsidRDefault="00BD7225" w:rsidP="00487DC9">
      <w:pPr>
        <w:spacing w:line="360" w:lineRule="auto"/>
        <w:jc w:val="both"/>
        <w:rPr>
          <w:rFonts w:ascii="Palatino Linotype" w:eastAsia="Palatino Linotype" w:hAnsi="Palatino Linotype" w:cs="Palatino Linotype"/>
          <w:b/>
        </w:rPr>
      </w:pPr>
      <w:r w:rsidRPr="00487DC9">
        <w:rPr>
          <w:rFonts w:ascii="Palatino Linotype" w:eastAsia="Palatino Linotype" w:hAnsi="Palatino Linotype" w:cs="Palatino Linotype"/>
          <w:b/>
          <w:sz w:val="28"/>
          <w:szCs w:val="28"/>
        </w:rPr>
        <w:t>SEGUNDO</w:t>
      </w:r>
      <w:r w:rsidRPr="00487DC9">
        <w:rPr>
          <w:rFonts w:ascii="Palatino Linotype" w:eastAsia="Palatino Linotype" w:hAnsi="Palatino Linotype" w:cs="Palatino Linotype"/>
          <w:sz w:val="28"/>
          <w:szCs w:val="28"/>
        </w:rPr>
        <w:t>.</w:t>
      </w:r>
      <w:r w:rsidRPr="00487DC9">
        <w:rPr>
          <w:rFonts w:ascii="Palatino Linotype" w:eastAsia="Palatino Linotype" w:hAnsi="Palatino Linotype" w:cs="Palatino Linotype"/>
        </w:rPr>
        <w:t xml:space="preserve"> Se </w:t>
      </w:r>
      <w:r w:rsidRPr="00487DC9">
        <w:rPr>
          <w:rFonts w:ascii="Palatino Linotype" w:eastAsia="Palatino Linotype" w:hAnsi="Palatino Linotype" w:cs="Palatino Linotype"/>
          <w:b/>
        </w:rPr>
        <w:t xml:space="preserve">MODIFICA </w:t>
      </w:r>
      <w:r w:rsidRPr="00487DC9">
        <w:rPr>
          <w:rFonts w:ascii="Palatino Linotype" w:eastAsia="Palatino Linotype" w:hAnsi="Palatino Linotype" w:cs="Palatino Linotype"/>
        </w:rPr>
        <w:t xml:space="preserve">la respuesta proporcionada por </w:t>
      </w:r>
      <w:r w:rsidRPr="00487DC9">
        <w:rPr>
          <w:rFonts w:ascii="Palatino Linotype" w:eastAsia="Palatino Linotype" w:hAnsi="Palatino Linotype" w:cs="Palatino Linotype"/>
          <w:b/>
        </w:rPr>
        <w:t xml:space="preserve">EL SUJETO OBLIGADO, </w:t>
      </w:r>
      <w:r w:rsidRPr="00487DC9">
        <w:rPr>
          <w:rFonts w:ascii="Palatino Linotype" w:eastAsia="Palatino Linotype" w:hAnsi="Palatino Linotype" w:cs="Palatino Linotype"/>
        </w:rPr>
        <w:t xml:space="preserve">que generó el Recurso de Revisión </w:t>
      </w:r>
      <w:r w:rsidRPr="00487DC9">
        <w:rPr>
          <w:rFonts w:ascii="Palatino Linotype" w:eastAsia="Palatino Linotype" w:hAnsi="Palatino Linotype" w:cs="Palatino Linotype"/>
          <w:b/>
        </w:rPr>
        <w:t>00</w:t>
      </w:r>
      <w:r w:rsidR="00C26D7A" w:rsidRPr="00487DC9">
        <w:rPr>
          <w:rFonts w:ascii="Palatino Linotype" w:eastAsia="Palatino Linotype" w:hAnsi="Palatino Linotype" w:cs="Palatino Linotype"/>
          <w:b/>
        </w:rPr>
        <w:t>822</w:t>
      </w:r>
      <w:r w:rsidRPr="00487DC9">
        <w:rPr>
          <w:rFonts w:ascii="Palatino Linotype" w:eastAsia="Palatino Linotype" w:hAnsi="Palatino Linotype" w:cs="Palatino Linotype"/>
          <w:b/>
        </w:rPr>
        <w:t xml:space="preserve">/INFOEM/IP/RR/2024, </w:t>
      </w:r>
      <w:r w:rsidRPr="00487DC9">
        <w:rPr>
          <w:rFonts w:ascii="Palatino Linotype" w:eastAsia="Palatino Linotype" w:hAnsi="Palatino Linotype" w:cs="Palatino Linotype"/>
        </w:rPr>
        <w:t>en términos del considerando</w:t>
      </w:r>
      <w:r w:rsidRPr="00487DC9">
        <w:rPr>
          <w:rFonts w:ascii="Palatino Linotype" w:eastAsia="Palatino Linotype" w:hAnsi="Palatino Linotype" w:cs="Palatino Linotype"/>
          <w:b/>
        </w:rPr>
        <w:t xml:space="preserve"> QUINTO </w:t>
      </w:r>
      <w:r w:rsidRPr="00487DC9">
        <w:rPr>
          <w:rFonts w:ascii="Palatino Linotype" w:eastAsia="Palatino Linotype" w:hAnsi="Palatino Linotype" w:cs="Palatino Linotype"/>
        </w:rPr>
        <w:t xml:space="preserve">de la presente resolución, se </w:t>
      </w:r>
      <w:r w:rsidRPr="00487DC9">
        <w:rPr>
          <w:rFonts w:ascii="Palatino Linotype" w:eastAsia="Palatino Linotype" w:hAnsi="Palatino Linotype" w:cs="Palatino Linotype"/>
          <w:b/>
        </w:rPr>
        <w:t>ORDENA</w:t>
      </w:r>
      <w:r w:rsidRPr="00487DC9">
        <w:rPr>
          <w:rFonts w:ascii="Palatino Linotype" w:eastAsia="Palatino Linotype" w:hAnsi="Palatino Linotype" w:cs="Palatino Linotype"/>
        </w:rPr>
        <w:t xml:space="preserve"> al </w:t>
      </w:r>
      <w:r w:rsidRPr="00487DC9">
        <w:rPr>
          <w:rFonts w:ascii="Palatino Linotype" w:eastAsia="Palatino Linotype" w:hAnsi="Palatino Linotype" w:cs="Palatino Linotype"/>
          <w:b/>
        </w:rPr>
        <w:t>SUJETO OBLIGADO</w:t>
      </w:r>
      <w:r w:rsidRPr="00487DC9">
        <w:rPr>
          <w:rFonts w:ascii="Palatino Linotype" w:eastAsia="Palatino Linotype" w:hAnsi="Palatino Linotype" w:cs="Palatino Linotype"/>
        </w:rPr>
        <w:t xml:space="preserve"> entregar a</w:t>
      </w:r>
      <w:r w:rsidR="002204AE" w:rsidRPr="00487DC9">
        <w:rPr>
          <w:rFonts w:ascii="Palatino Linotype" w:eastAsia="Palatino Linotype" w:hAnsi="Palatino Linotype" w:cs="Palatino Linotype"/>
        </w:rPr>
        <w:t xml:space="preserve"> </w:t>
      </w:r>
      <w:r w:rsidR="002204AE" w:rsidRPr="00487DC9">
        <w:rPr>
          <w:rFonts w:ascii="Palatino Linotype" w:eastAsia="Palatino Linotype" w:hAnsi="Palatino Linotype" w:cs="Palatino Linotype"/>
          <w:b/>
        </w:rPr>
        <w:t>LA</w:t>
      </w:r>
      <w:r w:rsidRPr="00487DC9">
        <w:rPr>
          <w:rFonts w:ascii="Palatino Linotype" w:eastAsia="Palatino Linotype" w:hAnsi="Palatino Linotype" w:cs="Palatino Linotype"/>
          <w:b/>
        </w:rPr>
        <w:t xml:space="preserve"> RECURRENTE, </w:t>
      </w:r>
      <w:r w:rsidRPr="00487DC9">
        <w:rPr>
          <w:rFonts w:ascii="Palatino Linotype" w:eastAsia="Palatino Linotype" w:hAnsi="Palatino Linotype" w:cs="Palatino Linotype"/>
        </w:rPr>
        <w:t xml:space="preserve">a través del Sistema de Acceso a la Información Mexiquense </w:t>
      </w:r>
      <w:r w:rsidRPr="00487DC9">
        <w:rPr>
          <w:rFonts w:ascii="Palatino Linotype" w:eastAsia="Palatino Linotype" w:hAnsi="Palatino Linotype" w:cs="Palatino Linotype"/>
          <w:b/>
        </w:rPr>
        <w:t>(SAIMEX)</w:t>
      </w:r>
      <w:r w:rsidRPr="00487DC9">
        <w:rPr>
          <w:rFonts w:ascii="Palatino Linotype" w:eastAsia="Palatino Linotype" w:hAnsi="Palatino Linotype" w:cs="Palatino Linotype"/>
        </w:rPr>
        <w:t>, lo siguiente:</w:t>
      </w:r>
      <w:r w:rsidRPr="00487DC9">
        <w:rPr>
          <w:rFonts w:ascii="Palatino Linotype" w:eastAsia="Palatino Linotype" w:hAnsi="Palatino Linotype" w:cs="Palatino Linotype"/>
          <w:b/>
        </w:rPr>
        <w:t xml:space="preserve"> </w:t>
      </w:r>
    </w:p>
    <w:p w14:paraId="0A761B1E" w14:textId="77777777" w:rsidR="00BD7225" w:rsidRPr="00487DC9" w:rsidRDefault="00BD7225" w:rsidP="00487DC9">
      <w:pPr>
        <w:spacing w:line="276" w:lineRule="auto"/>
        <w:ind w:left="851" w:right="899" w:hanging="142"/>
        <w:jc w:val="both"/>
        <w:rPr>
          <w:rFonts w:ascii="Palatino Linotype" w:eastAsia="Palatino Linotype" w:hAnsi="Palatino Linotype" w:cs="Palatino Linotype"/>
          <w:i/>
          <w:sz w:val="22"/>
          <w:szCs w:val="22"/>
        </w:rPr>
      </w:pPr>
    </w:p>
    <w:p w14:paraId="6FFB0C9C" w14:textId="77777777" w:rsidR="00C26D7A" w:rsidRPr="00487DC9" w:rsidRDefault="00C26D7A" w:rsidP="00487DC9">
      <w:pPr>
        <w:spacing w:line="276" w:lineRule="auto"/>
        <w:ind w:left="851" w:right="899"/>
        <w:jc w:val="both"/>
        <w:rPr>
          <w:rFonts w:ascii="Palatino Linotype" w:hAnsi="Palatino Linotype"/>
          <w:i/>
          <w:sz w:val="22"/>
          <w:szCs w:val="22"/>
        </w:rPr>
      </w:pPr>
      <w:r w:rsidRPr="00487DC9">
        <w:rPr>
          <w:rFonts w:ascii="Palatino Linotype" w:hAnsi="Palatino Linotype"/>
          <w:i/>
          <w:sz w:val="22"/>
          <w:szCs w:val="22"/>
        </w:rPr>
        <w:t xml:space="preserve">El acuerdo mediante el cual se confirme la incompetencia declarada por </w:t>
      </w:r>
      <w:r w:rsidRPr="00487DC9">
        <w:rPr>
          <w:rFonts w:ascii="Palatino Linotype" w:hAnsi="Palatino Linotype"/>
          <w:b/>
          <w:i/>
          <w:sz w:val="22"/>
          <w:szCs w:val="22"/>
        </w:rPr>
        <w:t>EL SUJETO OBLIGADO</w:t>
      </w:r>
      <w:r w:rsidR="00595E6B" w:rsidRPr="00487DC9">
        <w:rPr>
          <w:rFonts w:ascii="Palatino Linotype" w:hAnsi="Palatino Linotype"/>
          <w:b/>
          <w:i/>
          <w:sz w:val="22"/>
          <w:szCs w:val="22"/>
        </w:rPr>
        <w:t xml:space="preserve">, </w:t>
      </w:r>
      <w:r w:rsidRPr="00487DC9">
        <w:rPr>
          <w:rFonts w:ascii="Palatino Linotype" w:hAnsi="Palatino Linotype"/>
          <w:i/>
          <w:sz w:val="22"/>
          <w:szCs w:val="22"/>
        </w:rPr>
        <w:t xml:space="preserve">respecto de la información requerida </w:t>
      </w:r>
      <w:r w:rsidR="00595E6B" w:rsidRPr="00487DC9">
        <w:rPr>
          <w:rFonts w:ascii="Palatino Linotype" w:hAnsi="Palatino Linotype"/>
          <w:i/>
          <w:sz w:val="22"/>
          <w:szCs w:val="22"/>
        </w:rPr>
        <w:t xml:space="preserve">por </w:t>
      </w:r>
      <w:r w:rsidR="002204AE" w:rsidRPr="00487DC9">
        <w:rPr>
          <w:rFonts w:ascii="Palatino Linotype" w:hAnsi="Palatino Linotype"/>
          <w:i/>
          <w:sz w:val="22"/>
          <w:szCs w:val="22"/>
        </w:rPr>
        <w:t>la</w:t>
      </w:r>
      <w:r w:rsidR="00595E6B" w:rsidRPr="00487DC9">
        <w:rPr>
          <w:rFonts w:ascii="Palatino Linotype" w:hAnsi="Palatino Linotype"/>
          <w:i/>
          <w:sz w:val="22"/>
          <w:szCs w:val="22"/>
        </w:rPr>
        <w:t xml:space="preserve"> particular. </w:t>
      </w:r>
    </w:p>
    <w:p w14:paraId="0D1FBE27" w14:textId="77777777" w:rsidR="00C26D7A" w:rsidRPr="00487DC9" w:rsidRDefault="00C26D7A" w:rsidP="00487DC9">
      <w:pPr>
        <w:spacing w:line="276" w:lineRule="auto"/>
        <w:ind w:left="851" w:right="899"/>
        <w:jc w:val="both"/>
        <w:rPr>
          <w:rFonts w:ascii="Palatino Linotype" w:hAnsi="Palatino Linotype"/>
          <w:i/>
          <w:sz w:val="22"/>
          <w:szCs w:val="22"/>
        </w:rPr>
      </w:pPr>
    </w:p>
    <w:p w14:paraId="15CE8CDA" w14:textId="77777777" w:rsidR="00EA45E7" w:rsidRPr="00487DC9" w:rsidRDefault="00EA45E7" w:rsidP="00487DC9">
      <w:pP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b/>
          <w:sz w:val="28"/>
          <w:szCs w:val="28"/>
        </w:rPr>
        <w:t>TERCERO</w:t>
      </w:r>
      <w:r w:rsidRPr="00487DC9">
        <w:rPr>
          <w:rFonts w:ascii="Palatino Linotype" w:eastAsia="Palatino Linotype" w:hAnsi="Palatino Linotype" w:cs="Palatino Linotype"/>
          <w:b/>
        </w:rPr>
        <w:t>.</w:t>
      </w:r>
      <w:r w:rsidRPr="00487DC9">
        <w:rPr>
          <w:rFonts w:ascii="Palatino Linotype" w:eastAsia="Palatino Linotype" w:hAnsi="Palatino Linotype" w:cs="Palatino Linotype"/>
        </w:rPr>
        <w:t xml:space="preserve"> </w:t>
      </w:r>
      <w:r w:rsidRPr="00487DC9">
        <w:rPr>
          <w:rFonts w:ascii="Palatino Linotype" w:eastAsia="Palatino Linotype" w:hAnsi="Palatino Linotype" w:cs="Palatino Linotype"/>
          <w:b/>
        </w:rPr>
        <w:t xml:space="preserve">Notifíquese </w:t>
      </w:r>
      <w:r w:rsidRPr="00487DC9">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w:t>
      </w:r>
      <w:r w:rsidRPr="00487DC9">
        <w:rPr>
          <w:rFonts w:ascii="Palatino Linotype" w:eastAsia="Palatino Linotype" w:hAnsi="Palatino Linotype" w:cs="Palatino Linotype"/>
        </w:rPr>
        <w:lastRenderedPageBreak/>
        <w:t>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FE40E4" w14:textId="77777777" w:rsidR="00EA45E7" w:rsidRPr="00487DC9" w:rsidRDefault="00EA45E7" w:rsidP="00487DC9">
      <w:pPr>
        <w:tabs>
          <w:tab w:val="left" w:pos="709"/>
        </w:tabs>
        <w:spacing w:line="360" w:lineRule="auto"/>
        <w:ind w:right="51"/>
        <w:jc w:val="both"/>
        <w:rPr>
          <w:rFonts w:ascii="Palatino Linotype" w:eastAsia="Palatino Linotype" w:hAnsi="Palatino Linotype" w:cs="Palatino Linotype"/>
          <w:b/>
        </w:rPr>
      </w:pPr>
    </w:p>
    <w:p w14:paraId="480C3F6C" w14:textId="77777777" w:rsidR="00EA45E7" w:rsidRPr="00487DC9" w:rsidRDefault="00EA45E7" w:rsidP="00487DC9">
      <w:pPr>
        <w:tabs>
          <w:tab w:val="left" w:pos="709"/>
        </w:tabs>
        <w:spacing w:line="360" w:lineRule="auto"/>
        <w:ind w:right="51"/>
        <w:jc w:val="both"/>
        <w:rPr>
          <w:rFonts w:ascii="Palatino Linotype" w:eastAsia="Palatino Linotype" w:hAnsi="Palatino Linotype" w:cs="Palatino Linotype"/>
          <w:b/>
        </w:rPr>
      </w:pPr>
      <w:r w:rsidRPr="00487DC9">
        <w:rPr>
          <w:rFonts w:ascii="Palatino Linotype" w:eastAsia="Palatino Linotype" w:hAnsi="Palatino Linotype" w:cs="Palatino Linotype"/>
          <w:b/>
          <w:sz w:val="28"/>
          <w:szCs w:val="28"/>
        </w:rPr>
        <w:t>CUARTO.</w:t>
      </w:r>
      <w:r w:rsidRPr="00487DC9">
        <w:rPr>
          <w:rFonts w:ascii="Palatino Linotype" w:eastAsia="Palatino Linotype" w:hAnsi="Palatino Linotype" w:cs="Palatino Linotype"/>
        </w:rPr>
        <w:t xml:space="preserve"> </w:t>
      </w:r>
      <w:r w:rsidRPr="00487DC9">
        <w:rPr>
          <w:rFonts w:ascii="Palatino Linotype" w:eastAsia="Palatino Linotype" w:hAnsi="Palatino Linotype" w:cs="Palatino Linotype"/>
          <w:b/>
        </w:rPr>
        <w:t>Notifíquese</w:t>
      </w:r>
      <w:r w:rsidRPr="00487DC9">
        <w:rPr>
          <w:rFonts w:ascii="Palatino Linotype" w:eastAsia="Palatino Linotype" w:hAnsi="Palatino Linotype" w:cs="Palatino Linotype"/>
        </w:rPr>
        <w:t xml:space="preserve"> al </w:t>
      </w:r>
      <w:r w:rsidRPr="00487DC9">
        <w:rPr>
          <w:rFonts w:ascii="Palatino Linotype" w:eastAsia="Palatino Linotype" w:hAnsi="Palatino Linotype" w:cs="Palatino Linotype"/>
          <w:b/>
        </w:rPr>
        <w:t>RECURRENTE</w:t>
      </w:r>
      <w:r w:rsidRPr="00487DC9">
        <w:rPr>
          <w:rFonts w:ascii="Palatino Linotype" w:eastAsia="Palatino Linotype" w:hAnsi="Palatino Linotype" w:cs="Palatino Linotype"/>
        </w:rPr>
        <w:t xml:space="preserve"> la presente resolución vía Sistema de Acceso a la Información Mexiquense </w:t>
      </w:r>
      <w:r w:rsidRPr="00487DC9">
        <w:rPr>
          <w:rFonts w:ascii="Palatino Linotype" w:eastAsia="Palatino Linotype" w:hAnsi="Palatino Linotype" w:cs="Palatino Linotype"/>
          <w:b/>
        </w:rPr>
        <w:t>SAIMEX</w:t>
      </w:r>
      <w:r w:rsidRPr="00487DC9">
        <w:rPr>
          <w:rFonts w:ascii="Palatino Linotype" w:eastAsia="Palatino Linotype" w:hAnsi="Palatino Linotype" w:cs="Palatino Linotype"/>
        </w:rPr>
        <w:t>.</w:t>
      </w:r>
    </w:p>
    <w:p w14:paraId="18E9EED9" w14:textId="77777777" w:rsidR="00EA45E7" w:rsidRPr="00487DC9" w:rsidRDefault="00EA45E7" w:rsidP="00487DC9">
      <w:pPr>
        <w:widowControl w:val="0"/>
        <w:spacing w:line="360" w:lineRule="auto"/>
        <w:jc w:val="both"/>
        <w:rPr>
          <w:rFonts w:ascii="Palatino Linotype" w:eastAsia="Palatino Linotype" w:hAnsi="Palatino Linotype" w:cs="Palatino Linotype"/>
        </w:rPr>
      </w:pPr>
    </w:p>
    <w:p w14:paraId="617CC1CA" w14:textId="77777777" w:rsidR="00EA45E7" w:rsidRPr="00487DC9" w:rsidRDefault="00EA45E7" w:rsidP="00487DC9">
      <w:pPr>
        <w:tabs>
          <w:tab w:val="left" w:pos="709"/>
        </w:tabs>
        <w:spacing w:line="360" w:lineRule="auto"/>
        <w:ind w:right="51"/>
        <w:jc w:val="both"/>
        <w:rPr>
          <w:rFonts w:ascii="Palatino Linotype" w:eastAsia="Palatino Linotype" w:hAnsi="Palatino Linotype" w:cs="Palatino Linotype"/>
        </w:rPr>
      </w:pPr>
      <w:r w:rsidRPr="00487DC9">
        <w:rPr>
          <w:rFonts w:ascii="Palatino Linotype" w:eastAsia="Palatino Linotype" w:hAnsi="Palatino Linotype" w:cs="Palatino Linotype"/>
          <w:b/>
          <w:sz w:val="28"/>
          <w:szCs w:val="28"/>
        </w:rPr>
        <w:t>QUINTO.</w:t>
      </w:r>
      <w:r w:rsidRPr="00487DC9">
        <w:rPr>
          <w:rFonts w:ascii="Palatino Linotype" w:eastAsia="Palatino Linotype" w:hAnsi="Palatino Linotype" w:cs="Palatino Linotype"/>
        </w:rPr>
        <w:t xml:space="preserve"> Hágase del conocimiento al </w:t>
      </w:r>
      <w:r w:rsidRPr="00487DC9">
        <w:rPr>
          <w:rFonts w:ascii="Palatino Linotype" w:eastAsia="Palatino Linotype" w:hAnsi="Palatino Linotype" w:cs="Palatino Linotype"/>
          <w:b/>
        </w:rPr>
        <w:t>RECURRENTE</w:t>
      </w:r>
      <w:r w:rsidRPr="00487DC9">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0A233CC0" w14:textId="77777777" w:rsidR="00EA45E7" w:rsidRPr="00487DC9" w:rsidRDefault="00EA45E7" w:rsidP="00487DC9">
      <w:pPr>
        <w:widowControl w:val="0"/>
        <w:spacing w:line="360" w:lineRule="auto"/>
        <w:jc w:val="both"/>
        <w:rPr>
          <w:rFonts w:ascii="Palatino Linotype" w:eastAsia="Palatino Linotype" w:hAnsi="Palatino Linotype" w:cs="Palatino Linotype"/>
        </w:rPr>
      </w:pPr>
    </w:p>
    <w:p w14:paraId="04DE477A" w14:textId="77777777" w:rsidR="00EA45E7" w:rsidRDefault="00EA45E7" w:rsidP="00487DC9">
      <w:pPr>
        <w:tabs>
          <w:tab w:val="left" w:pos="709"/>
        </w:tabs>
        <w:spacing w:line="360" w:lineRule="auto"/>
        <w:ind w:right="51"/>
        <w:jc w:val="both"/>
        <w:rPr>
          <w:rFonts w:ascii="Palatino Linotype" w:eastAsia="Palatino Linotype" w:hAnsi="Palatino Linotype" w:cs="Palatino Linotype"/>
        </w:rPr>
      </w:pPr>
      <w:r w:rsidRPr="00487DC9">
        <w:rPr>
          <w:rFonts w:ascii="Palatino Linotype" w:eastAsia="Palatino Linotype" w:hAnsi="Palatino Linotype" w:cs="Palatino Linotype"/>
          <w:b/>
          <w:sz w:val="28"/>
          <w:szCs w:val="28"/>
        </w:rPr>
        <w:t>SEXTO.</w:t>
      </w:r>
      <w:r w:rsidRPr="00487DC9">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05B8DBD" w14:textId="77777777" w:rsidR="00510AEC" w:rsidRDefault="00510AEC" w:rsidP="00487DC9">
      <w:pPr>
        <w:tabs>
          <w:tab w:val="left" w:pos="709"/>
        </w:tabs>
        <w:spacing w:line="360" w:lineRule="auto"/>
        <w:ind w:right="51"/>
        <w:jc w:val="both"/>
        <w:rPr>
          <w:rFonts w:ascii="Palatino Linotype" w:eastAsia="Palatino Linotype" w:hAnsi="Palatino Linotype" w:cs="Palatino Linotype"/>
        </w:rPr>
      </w:pPr>
    </w:p>
    <w:p w14:paraId="23593FBD" w14:textId="77777777" w:rsidR="00510AEC" w:rsidRPr="00487DC9" w:rsidRDefault="00510AEC" w:rsidP="00487DC9">
      <w:pPr>
        <w:tabs>
          <w:tab w:val="left" w:pos="709"/>
        </w:tabs>
        <w:spacing w:line="360" w:lineRule="auto"/>
        <w:ind w:right="51"/>
        <w:jc w:val="both"/>
        <w:rPr>
          <w:rFonts w:ascii="Palatino Linotype" w:eastAsia="Palatino Linotype" w:hAnsi="Palatino Linotype" w:cs="Palatino Linotype"/>
        </w:rPr>
      </w:pPr>
    </w:p>
    <w:p w14:paraId="5E68CFDC" w14:textId="77777777" w:rsidR="000A7A96" w:rsidRPr="00487DC9" w:rsidRDefault="000A7A96" w:rsidP="00487DC9">
      <w:pPr>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DE MARZO DE DOS MIL VEINTICUATRO, ANTE EL SECRETARIO TÉCNICO DEL PLENO, ALEXIS TAPIA RAMÍREZ.</w:t>
      </w:r>
    </w:p>
    <w:p w14:paraId="75FB2221" w14:textId="77777777" w:rsidR="0064438D" w:rsidRPr="00487DC9" w:rsidRDefault="00D41907" w:rsidP="00487DC9">
      <w:pPr>
        <w:widowControl w:val="0"/>
        <w:spacing w:line="360" w:lineRule="auto"/>
        <w:jc w:val="both"/>
        <w:rPr>
          <w:rFonts w:ascii="Palatino Linotype" w:eastAsia="Palatino Linotype" w:hAnsi="Palatino Linotype" w:cs="Palatino Linotype"/>
        </w:rPr>
      </w:pPr>
      <w:r w:rsidRPr="00487DC9">
        <w:rPr>
          <w:rFonts w:ascii="Palatino Linotype" w:eastAsia="Palatino Linotype" w:hAnsi="Palatino Linotype" w:cs="Palatino Linotype"/>
          <w:sz w:val="20"/>
          <w:szCs w:val="20"/>
        </w:rPr>
        <w:t>SCMM/</w:t>
      </w:r>
      <w:r w:rsidR="00CB2CC5" w:rsidRPr="00487DC9">
        <w:rPr>
          <w:rFonts w:ascii="Palatino Linotype" w:eastAsia="Palatino Linotype" w:hAnsi="Palatino Linotype" w:cs="Palatino Linotype"/>
          <w:sz w:val="20"/>
          <w:szCs w:val="20"/>
        </w:rPr>
        <w:t>AGZ</w:t>
      </w:r>
      <w:r w:rsidRPr="00487DC9">
        <w:rPr>
          <w:rFonts w:ascii="Palatino Linotype" w:eastAsia="Palatino Linotype" w:hAnsi="Palatino Linotype" w:cs="Palatino Linotype"/>
          <w:sz w:val="20"/>
          <w:szCs w:val="20"/>
        </w:rPr>
        <w:t>/DEMF/RPG</w:t>
      </w:r>
      <w:r w:rsidRPr="00487DC9">
        <w:rPr>
          <w:rFonts w:ascii="Palatino Linotype" w:hAnsi="Palatino Linotype"/>
        </w:rPr>
        <w:br w:type="page"/>
      </w:r>
    </w:p>
    <w:p w14:paraId="3E594BD1" w14:textId="77777777" w:rsidR="0064438D" w:rsidRPr="00487DC9" w:rsidRDefault="0064438D" w:rsidP="00487D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487DC9">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AF554" w14:textId="77777777" w:rsidR="005657AB" w:rsidRDefault="005657AB">
      <w:r>
        <w:separator/>
      </w:r>
    </w:p>
  </w:endnote>
  <w:endnote w:type="continuationSeparator" w:id="0">
    <w:p w14:paraId="68A2B47B" w14:textId="77777777" w:rsidR="005657AB" w:rsidRDefault="0056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65E24" w14:textId="77777777" w:rsidR="00D1418F" w:rsidRDefault="00D1418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56F00">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56F00">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73E76" w14:textId="77777777" w:rsidR="00D1418F" w:rsidRDefault="00D1418F">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56F00">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56F00">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61829" w14:textId="77777777" w:rsidR="005657AB" w:rsidRDefault="005657AB">
      <w:r>
        <w:separator/>
      </w:r>
    </w:p>
  </w:footnote>
  <w:footnote w:type="continuationSeparator" w:id="0">
    <w:p w14:paraId="047DD573" w14:textId="77777777" w:rsidR="005657AB" w:rsidRDefault="005657AB">
      <w:r>
        <w:continuationSeparator/>
      </w:r>
    </w:p>
  </w:footnote>
  <w:footnote w:id="1">
    <w:p w14:paraId="22E9B0BF" w14:textId="77777777" w:rsidR="00D1418F" w:rsidRPr="00915C7E" w:rsidRDefault="00D1418F" w:rsidP="00915C7E">
      <w:pPr>
        <w:pStyle w:val="Textonotapie"/>
        <w:jc w:val="both"/>
        <w:rPr>
          <w:rFonts w:ascii="Palatino Linotype" w:eastAsia="Batang" w:hAnsi="Palatino Linotype" w:cs="Tahoma"/>
          <w:i/>
          <w:sz w:val="16"/>
          <w:szCs w:val="22"/>
          <w:lang w:val="es-ES"/>
        </w:rPr>
      </w:pPr>
      <w:r>
        <w:rPr>
          <w:rStyle w:val="Refdenotaalpie"/>
        </w:rPr>
        <w:footnoteRef/>
      </w:r>
      <w:r>
        <w:t xml:space="preserve"> </w:t>
      </w:r>
      <w:r>
        <w:rPr>
          <w:rFonts w:ascii="Palatino Linotype" w:eastAsia="Batang" w:hAnsi="Palatino Linotype" w:cs="Tahoma"/>
          <w:i/>
          <w:sz w:val="16"/>
          <w:szCs w:val="22"/>
          <w:lang w:val="es-ES"/>
        </w:rPr>
        <w:t>Si bien, se registró el veintisiete de diciembre de dos mil veintitrés,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tuvieron por recibidos, el día hábil subsecuente.</w:t>
      </w:r>
    </w:p>
  </w:footnote>
  <w:footnote w:id="2">
    <w:p w14:paraId="7A2E57FD" w14:textId="77777777" w:rsidR="00564858" w:rsidRPr="00564858" w:rsidRDefault="00564858">
      <w:pPr>
        <w:pStyle w:val="Textonotapie"/>
        <w:rPr>
          <w:rFonts w:ascii="Palatino Linotype" w:hAnsi="Palatino Linotype"/>
          <w:i/>
          <w:sz w:val="18"/>
          <w:szCs w:val="18"/>
        </w:rPr>
      </w:pPr>
      <w:r>
        <w:rPr>
          <w:rStyle w:val="Refdenotaalpie"/>
        </w:rPr>
        <w:footnoteRef/>
      </w:r>
      <w:r>
        <w:t xml:space="preserve"> </w:t>
      </w:r>
      <w:r w:rsidRPr="00564858">
        <w:rPr>
          <w:rFonts w:ascii="Palatino Linotype" w:hAnsi="Palatino Linotype"/>
          <w:i/>
          <w:sz w:val="18"/>
          <w:szCs w:val="18"/>
        </w:rPr>
        <w:t>https://legislacion.edomex.gob.mx/sites/legislacion.edomex.gob.mx/files/files/vigentes/dic185.PDF</w:t>
      </w:r>
    </w:p>
  </w:footnote>
  <w:footnote w:id="3">
    <w:p w14:paraId="5EF2857C" w14:textId="77777777" w:rsidR="00564858" w:rsidRDefault="00564858">
      <w:pPr>
        <w:pStyle w:val="Textonotapie"/>
      </w:pPr>
      <w:r>
        <w:rPr>
          <w:rStyle w:val="Refdenotaalpie"/>
        </w:rPr>
        <w:footnoteRef/>
      </w:r>
      <w:r>
        <w:t xml:space="preserve"> </w:t>
      </w:r>
      <w:r w:rsidRPr="00564858">
        <w:rPr>
          <w:rFonts w:ascii="Palatino Linotype" w:hAnsi="Palatino Linotype"/>
          <w:i/>
          <w:sz w:val="18"/>
          <w:szCs w:val="18"/>
        </w:rPr>
        <w:t>https://salud.edomex.gob.mx/isem/at_unidades_medicas</w:t>
      </w:r>
    </w:p>
  </w:footnote>
  <w:footnote w:id="4">
    <w:p w14:paraId="18F7DA90" w14:textId="77777777" w:rsidR="00D1418F" w:rsidRDefault="00D1418F" w:rsidP="006E726F">
      <w:pPr>
        <w:pStyle w:val="Textonotapie"/>
        <w:rPr>
          <w:rFonts w:ascii="Palatino Linotype" w:hAnsi="Palatino Linotype"/>
          <w:i/>
          <w:sz w:val="18"/>
        </w:rPr>
      </w:pPr>
      <w:r>
        <w:rPr>
          <w:rStyle w:val="Refdenotaalpie"/>
        </w:rPr>
        <w:footnoteRef/>
      </w:r>
      <w:r>
        <w:t xml:space="preserve"> </w:t>
      </w:r>
      <w:r>
        <w:rPr>
          <w:rFonts w:ascii="Palatino Linotype" w:hAnsi="Palatino Linotype"/>
          <w:i/>
          <w:sz w:val="18"/>
        </w:rPr>
        <w:t>https://legislacion.edomex.gob.mx/sites/legislacion.edomex.gob.mx/files/files/pdf/gct/2017/feb271.pdf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ACD5D" w14:textId="77777777" w:rsidR="00D1418F" w:rsidRDefault="005657AB">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4E74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63E09" w14:textId="77777777" w:rsidR="00D1418F" w:rsidRDefault="00D1418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D1418F" w14:paraId="2FC63B68" w14:textId="77777777">
      <w:tc>
        <w:tcPr>
          <w:tcW w:w="2977" w:type="dxa"/>
          <w:vMerge w:val="restart"/>
        </w:tcPr>
        <w:p w14:paraId="5726CDF0"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eastAsia="es-MX"/>
            </w:rPr>
            <w:drawing>
              <wp:inline distT="0" distB="0" distL="0" distR="0" wp14:anchorId="57012665" wp14:editId="622AC5A9">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6B754F8"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42436D55" w14:textId="77777777" w:rsidR="00D1418F" w:rsidRDefault="00D1418F" w:rsidP="00915C7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00822/INFOEM/IP/RR/2024</w:t>
          </w:r>
        </w:p>
      </w:tc>
    </w:tr>
    <w:tr w:rsidR="00D1418F" w14:paraId="7B57897A" w14:textId="77777777">
      <w:tc>
        <w:tcPr>
          <w:tcW w:w="2977" w:type="dxa"/>
          <w:vMerge/>
        </w:tcPr>
        <w:p w14:paraId="62E1E357" w14:textId="77777777" w:rsidR="00D1418F" w:rsidRDefault="00D141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EDB634A"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117CC9D4" w14:textId="77777777" w:rsidR="00D1418F" w:rsidRDefault="00D1418F" w:rsidP="005E3414">
          <w:pPr>
            <w:jc w:val="both"/>
            <w:rPr>
              <w:rFonts w:ascii="Palatino Linotype" w:eastAsia="Palatino Linotype" w:hAnsi="Palatino Linotype" w:cs="Palatino Linotype"/>
              <w:b/>
              <w:sz w:val="22"/>
              <w:szCs w:val="22"/>
            </w:rPr>
          </w:pPr>
          <w:r w:rsidRPr="00915C7E">
            <w:rPr>
              <w:rFonts w:ascii="Palatino Linotype" w:eastAsia="Palatino Linotype" w:hAnsi="Palatino Linotype" w:cs="Palatino Linotype"/>
              <w:b/>
              <w:sz w:val="22"/>
              <w:szCs w:val="22"/>
            </w:rPr>
            <w:t>Secretaría de Salud</w:t>
          </w:r>
        </w:p>
      </w:tc>
    </w:tr>
    <w:tr w:rsidR="00D1418F" w14:paraId="4612E363" w14:textId="77777777">
      <w:trPr>
        <w:trHeight w:val="228"/>
      </w:trPr>
      <w:tc>
        <w:tcPr>
          <w:tcW w:w="2977" w:type="dxa"/>
          <w:vMerge/>
        </w:tcPr>
        <w:p w14:paraId="684207C0" w14:textId="77777777" w:rsidR="00D1418F" w:rsidRDefault="00D141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8304976"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7F7EFF3E" w14:textId="77777777" w:rsidR="00D1418F" w:rsidRDefault="00D1418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DAA1C2A" w14:textId="77777777" w:rsidR="00D1418F" w:rsidRDefault="00D1418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3687A" w14:textId="77777777" w:rsidR="00D1418F" w:rsidRDefault="005657AB">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1DEDB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D1418F" w14:paraId="52E184B0" w14:textId="77777777">
      <w:tc>
        <w:tcPr>
          <w:tcW w:w="4111" w:type="dxa"/>
          <w:vMerge w:val="restart"/>
          <w:shd w:val="clear" w:color="auto" w:fill="auto"/>
        </w:tcPr>
        <w:p w14:paraId="0DAC0D01"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lang w:eastAsia="es-MX"/>
            </w:rPr>
            <w:drawing>
              <wp:inline distT="0" distB="0" distL="0" distR="0" wp14:anchorId="448B16C3" wp14:editId="26F51314">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1C7B9C6F"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4D2D0339" w14:textId="77777777" w:rsidR="00D1418F" w:rsidRDefault="00D1418F" w:rsidP="00915C7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00822/INFOEM/IP/RR/2024</w:t>
          </w:r>
        </w:p>
      </w:tc>
    </w:tr>
    <w:tr w:rsidR="00D1418F" w14:paraId="03462304" w14:textId="77777777">
      <w:tc>
        <w:tcPr>
          <w:tcW w:w="4111" w:type="dxa"/>
          <w:vMerge/>
          <w:shd w:val="clear" w:color="auto" w:fill="auto"/>
        </w:tcPr>
        <w:p w14:paraId="30AC2BC1" w14:textId="77777777" w:rsidR="00D1418F" w:rsidRDefault="00D141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8176075"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13DC3E13" w14:textId="168CB513" w:rsidR="00D1418F" w:rsidRDefault="00556F0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w:t>
          </w:r>
        </w:p>
      </w:tc>
    </w:tr>
    <w:tr w:rsidR="00D1418F" w14:paraId="557B931A" w14:textId="77777777">
      <w:trPr>
        <w:trHeight w:val="228"/>
      </w:trPr>
      <w:tc>
        <w:tcPr>
          <w:tcW w:w="4111" w:type="dxa"/>
          <w:vMerge/>
          <w:shd w:val="clear" w:color="auto" w:fill="auto"/>
        </w:tcPr>
        <w:p w14:paraId="34BA0833" w14:textId="77777777" w:rsidR="00D1418F" w:rsidRDefault="00D141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FD96BC3"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33080383" w14:textId="77777777" w:rsidR="00D1418F" w:rsidRDefault="00D1418F" w:rsidP="00DE6135">
          <w:pPr>
            <w:jc w:val="both"/>
            <w:rPr>
              <w:rFonts w:ascii="Palatino Linotype" w:eastAsia="Palatino Linotype" w:hAnsi="Palatino Linotype" w:cs="Palatino Linotype"/>
              <w:b/>
              <w:sz w:val="22"/>
              <w:szCs w:val="22"/>
            </w:rPr>
          </w:pPr>
          <w:r w:rsidRPr="00915C7E">
            <w:rPr>
              <w:rFonts w:ascii="Palatino Linotype" w:eastAsia="Palatino Linotype" w:hAnsi="Palatino Linotype" w:cs="Palatino Linotype"/>
              <w:b/>
              <w:sz w:val="22"/>
              <w:szCs w:val="22"/>
            </w:rPr>
            <w:t>Secretaría de Salud</w:t>
          </w:r>
        </w:p>
      </w:tc>
    </w:tr>
    <w:tr w:rsidR="00D1418F" w14:paraId="3288BA70" w14:textId="77777777">
      <w:tc>
        <w:tcPr>
          <w:tcW w:w="4111" w:type="dxa"/>
          <w:vMerge/>
          <w:shd w:val="clear" w:color="auto" w:fill="auto"/>
        </w:tcPr>
        <w:p w14:paraId="00C73679" w14:textId="77777777" w:rsidR="00D1418F" w:rsidRDefault="00D141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5817441"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0255D994" w14:textId="77777777" w:rsidR="00D1418F" w:rsidRDefault="00D1418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26532F5" w14:textId="77777777" w:rsidR="00D1418F" w:rsidRDefault="00D1418F">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C1"/>
    <w:multiLevelType w:val="hybridMultilevel"/>
    <w:tmpl w:val="4580D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07F66"/>
    <w:multiLevelType w:val="hybridMultilevel"/>
    <w:tmpl w:val="C6A09DDE"/>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B2590A"/>
    <w:multiLevelType w:val="hybridMultilevel"/>
    <w:tmpl w:val="D4D81E46"/>
    <w:lvl w:ilvl="0" w:tplc="A1D86B46">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5"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7"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8" w15:restartNumberingAfterBreak="0">
    <w:nsid w:val="4668D23E"/>
    <w:multiLevelType w:val="hybridMultilevel"/>
    <w:tmpl w:val="5976DE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04D4637"/>
    <w:multiLevelType w:val="hybridMultilevel"/>
    <w:tmpl w:val="8B9091CC"/>
    <w:lvl w:ilvl="0" w:tplc="080A0001">
      <w:start w:val="1"/>
      <w:numFmt w:val="bullet"/>
      <w:lvlText w:val=""/>
      <w:lvlJc w:val="left"/>
      <w:pPr>
        <w:ind w:left="720" w:hanging="360"/>
      </w:pPr>
      <w:rPr>
        <w:rFonts w:ascii="Symbol" w:hAnsi="Symbol" w:hint="default"/>
      </w:rPr>
    </w:lvl>
    <w:lvl w:ilvl="1" w:tplc="B37654C0">
      <w:numFmt w:val="bullet"/>
      <w:lvlText w:val="•"/>
      <w:lvlJc w:val="left"/>
      <w:pPr>
        <w:ind w:left="1440" w:hanging="360"/>
      </w:pPr>
      <w:rPr>
        <w:rFonts w:ascii="Palatino Linotype" w:eastAsia="Palatino Linotype" w:hAnsi="Palatino Linotype" w:cs="Palatino Linotyp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11"/>
  </w:num>
  <w:num w:numId="9">
    <w:abstractNumId w:val="6"/>
  </w:num>
  <w:num w:numId="10">
    <w:abstractNumId w:val="10"/>
  </w:num>
  <w:num w:numId="11">
    <w:abstractNumId w:val="0"/>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45977"/>
    <w:rsid w:val="00071023"/>
    <w:rsid w:val="00076136"/>
    <w:rsid w:val="000872BB"/>
    <w:rsid w:val="000A7A96"/>
    <w:rsid w:val="000C25E9"/>
    <w:rsid w:val="000D00D2"/>
    <w:rsid w:val="000E67A9"/>
    <w:rsid w:val="00134859"/>
    <w:rsid w:val="0013719C"/>
    <w:rsid w:val="00140A21"/>
    <w:rsid w:val="00141A41"/>
    <w:rsid w:val="001502E9"/>
    <w:rsid w:val="001548D4"/>
    <w:rsid w:val="00176CDF"/>
    <w:rsid w:val="00180F18"/>
    <w:rsid w:val="001A19ED"/>
    <w:rsid w:val="002204AE"/>
    <w:rsid w:val="00241F42"/>
    <w:rsid w:val="00256066"/>
    <w:rsid w:val="00263E12"/>
    <w:rsid w:val="00286B7C"/>
    <w:rsid w:val="002904B8"/>
    <w:rsid w:val="00333B69"/>
    <w:rsid w:val="00346CB4"/>
    <w:rsid w:val="003553B6"/>
    <w:rsid w:val="00356AE5"/>
    <w:rsid w:val="003810D4"/>
    <w:rsid w:val="003B43E1"/>
    <w:rsid w:val="003C4183"/>
    <w:rsid w:val="003D1893"/>
    <w:rsid w:val="003D4433"/>
    <w:rsid w:val="004177A8"/>
    <w:rsid w:val="00446202"/>
    <w:rsid w:val="00446FDF"/>
    <w:rsid w:val="004550C3"/>
    <w:rsid w:val="004702DA"/>
    <w:rsid w:val="00472387"/>
    <w:rsid w:val="00487DC9"/>
    <w:rsid w:val="00497EB5"/>
    <w:rsid w:val="004A3B2E"/>
    <w:rsid w:val="004B50A2"/>
    <w:rsid w:val="004C319B"/>
    <w:rsid w:val="004F1040"/>
    <w:rsid w:val="00506495"/>
    <w:rsid w:val="00510AEC"/>
    <w:rsid w:val="00513D89"/>
    <w:rsid w:val="0053656E"/>
    <w:rsid w:val="00536ACB"/>
    <w:rsid w:val="00556F00"/>
    <w:rsid w:val="005573B4"/>
    <w:rsid w:val="00564858"/>
    <w:rsid w:val="005657AB"/>
    <w:rsid w:val="005872EC"/>
    <w:rsid w:val="00595E6B"/>
    <w:rsid w:val="005B3321"/>
    <w:rsid w:val="005E3414"/>
    <w:rsid w:val="005E5B78"/>
    <w:rsid w:val="00600A6E"/>
    <w:rsid w:val="006038C9"/>
    <w:rsid w:val="00607EE7"/>
    <w:rsid w:val="00611FC2"/>
    <w:rsid w:val="00631653"/>
    <w:rsid w:val="0064438D"/>
    <w:rsid w:val="006A1AE2"/>
    <w:rsid w:val="006D4737"/>
    <w:rsid w:val="006D693D"/>
    <w:rsid w:val="006D78AD"/>
    <w:rsid w:val="006E726F"/>
    <w:rsid w:val="00727D97"/>
    <w:rsid w:val="00784DAB"/>
    <w:rsid w:val="007C1C58"/>
    <w:rsid w:val="007D3B56"/>
    <w:rsid w:val="007E60D2"/>
    <w:rsid w:val="007E7CF3"/>
    <w:rsid w:val="008164A9"/>
    <w:rsid w:val="008344AB"/>
    <w:rsid w:val="008560A0"/>
    <w:rsid w:val="0086068C"/>
    <w:rsid w:val="0087003E"/>
    <w:rsid w:val="00895CC4"/>
    <w:rsid w:val="008A1825"/>
    <w:rsid w:val="008A79B7"/>
    <w:rsid w:val="009107AE"/>
    <w:rsid w:val="00915C7E"/>
    <w:rsid w:val="0092425D"/>
    <w:rsid w:val="009375E2"/>
    <w:rsid w:val="00940CFD"/>
    <w:rsid w:val="00957C9D"/>
    <w:rsid w:val="00961BCF"/>
    <w:rsid w:val="009C30B7"/>
    <w:rsid w:val="009E0CA3"/>
    <w:rsid w:val="00A01072"/>
    <w:rsid w:val="00A40F9A"/>
    <w:rsid w:val="00A43442"/>
    <w:rsid w:val="00A46434"/>
    <w:rsid w:val="00A63CCB"/>
    <w:rsid w:val="00A8558D"/>
    <w:rsid w:val="00A97A68"/>
    <w:rsid w:val="00AA3891"/>
    <w:rsid w:val="00AC4B4F"/>
    <w:rsid w:val="00AD1679"/>
    <w:rsid w:val="00AE72EB"/>
    <w:rsid w:val="00B02654"/>
    <w:rsid w:val="00B03C1E"/>
    <w:rsid w:val="00B65293"/>
    <w:rsid w:val="00BD7225"/>
    <w:rsid w:val="00C26D7A"/>
    <w:rsid w:val="00C27CF1"/>
    <w:rsid w:val="00C559E8"/>
    <w:rsid w:val="00C6143C"/>
    <w:rsid w:val="00C833E9"/>
    <w:rsid w:val="00C914B7"/>
    <w:rsid w:val="00C9445C"/>
    <w:rsid w:val="00CA2D9C"/>
    <w:rsid w:val="00CB2CC5"/>
    <w:rsid w:val="00CB3A46"/>
    <w:rsid w:val="00CF3F8C"/>
    <w:rsid w:val="00D1318A"/>
    <w:rsid w:val="00D1418F"/>
    <w:rsid w:val="00D14B17"/>
    <w:rsid w:val="00D259A4"/>
    <w:rsid w:val="00D41907"/>
    <w:rsid w:val="00D5040C"/>
    <w:rsid w:val="00D82D06"/>
    <w:rsid w:val="00D874F7"/>
    <w:rsid w:val="00DA029E"/>
    <w:rsid w:val="00DA4A54"/>
    <w:rsid w:val="00DA70F3"/>
    <w:rsid w:val="00DB4684"/>
    <w:rsid w:val="00DE6135"/>
    <w:rsid w:val="00E23EF3"/>
    <w:rsid w:val="00E27EC7"/>
    <w:rsid w:val="00E5281B"/>
    <w:rsid w:val="00E727B3"/>
    <w:rsid w:val="00E9506B"/>
    <w:rsid w:val="00EA45E7"/>
    <w:rsid w:val="00ED379D"/>
    <w:rsid w:val="00F5246B"/>
    <w:rsid w:val="00F9236A"/>
    <w:rsid w:val="00FA1019"/>
    <w:rsid w:val="00FA5B63"/>
    <w:rsid w:val="00FB35B3"/>
    <w:rsid w:val="00FE3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25DB4B"/>
  <w15:docId w15:val="{47DF0490-E87C-4887-A7DF-634C2F3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96"/>
    <w:rPr>
      <w:lang w:eastAsia="es-ES"/>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eastAsia="es-MX"/>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eastAsia="es-MX"/>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eastAsia="es-MX"/>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lang w:eastAsia="es-MX"/>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eastAsia="es-MX"/>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rPr>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rPr>
      <w:lang w:eastAsia="es-MX"/>
    </w:r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rPr>
      <w:lang w:eastAsia="es-MX"/>
    </w:r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rPr>
      <w:lang w:eastAsia="es-MX"/>
    </w:r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lang w:eastAsia="es-MX"/>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lang w:eastAsia="es-MX"/>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lang w:eastAsia="es-MX"/>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rPr>
      <w:lang w:eastAsia="es-MX"/>
    </w:rPr>
  </w:style>
  <w:style w:type="paragraph" w:styleId="Textocomentario">
    <w:name w:val="annotation text"/>
    <w:basedOn w:val="Normal"/>
    <w:link w:val="TextocomentarioCar"/>
    <w:uiPriority w:val="99"/>
    <w:semiHidden/>
    <w:unhideWhenUsed/>
    <w:rsid w:val="006C2EF9"/>
    <w:rPr>
      <w:sz w:val="20"/>
      <w:szCs w:val="20"/>
      <w:lang w:eastAsia="es-MX"/>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eastAsia="es-MX"/>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eastAsia="es-MX"/>
    </w:rPr>
  </w:style>
  <w:style w:type="paragraph" w:styleId="Lista2">
    <w:name w:val="List 2"/>
    <w:basedOn w:val="Normal"/>
    <w:uiPriority w:val="99"/>
    <w:unhideWhenUsed/>
    <w:rsid w:val="00FC157F"/>
    <w:pPr>
      <w:ind w:left="566" w:hanging="283"/>
      <w:contextualSpacing/>
    </w:pPr>
    <w:rPr>
      <w:lang w:val="es-ES" w:eastAsia="es-MX"/>
    </w:rPr>
  </w:style>
  <w:style w:type="paragraph" w:styleId="Lista3">
    <w:name w:val="List 3"/>
    <w:basedOn w:val="Normal"/>
    <w:uiPriority w:val="99"/>
    <w:unhideWhenUsed/>
    <w:rsid w:val="00FC157F"/>
    <w:pPr>
      <w:ind w:left="849" w:hanging="283"/>
      <w:contextualSpacing/>
    </w:pPr>
    <w:rPr>
      <w:lang w:val="es-ES" w:eastAsia="es-MX"/>
    </w:rPr>
  </w:style>
  <w:style w:type="paragraph" w:styleId="Textoindependiente">
    <w:name w:val="Body Text"/>
    <w:basedOn w:val="Normal"/>
    <w:link w:val="TextoindependienteCar"/>
    <w:uiPriority w:val="99"/>
    <w:unhideWhenUsed/>
    <w:rsid w:val="00FC157F"/>
    <w:pPr>
      <w:spacing w:after="120"/>
    </w:pPr>
    <w:rPr>
      <w:lang w:val="es-ES" w:eastAsia="es-MX"/>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eastAsia="es-MX"/>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lang w:eastAsia="es-MX"/>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165">
      <w:bodyDiv w:val="1"/>
      <w:marLeft w:val="0"/>
      <w:marRight w:val="0"/>
      <w:marTop w:val="0"/>
      <w:marBottom w:val="0"/>
      <w:divBdr>
        <w:top w:val="none" w:sz="0" w:space="0" w:color="auto"/>
        <w:left w:val="none" w:sz="0" w:space="0" w:color="auto"/>
        <w:bottom w:val="none" w:sz="0" w:space="0" w:color="auto"/>
        <w:right w:val="none" w:sz="0" w:space="0" w:color="auto"/>
      </w:divBdr>
    </w:div>
    <w:div w:id="74590560">
      <w:bodyDiv w:val="1"/>
      <w:marLeft w:val="0"/>
      <w:marRight w:val="0"/>
      <w:marTop w:val="0"/>
      <w:marBottom w:val="0"/>
      <w:divBdr>
        <w:top w:val="none" w:sz="0" w:space="0" w:color="auto"/>
        <w:left w:val="none" w:sz="0" w:space="0" w:color="auto"/>
        <w:bottom w:val="none" w:sz="0" w:space="0" w:color="auto"/>
        <w:right w:val="none" w:sz="0" w:space="0" w:color="auto"/>
      </w:divBdr>
    </w:div>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340207426">
      <w:bodyDiv w:val="1"/>
      <w:marLeft w:val="0"/>
      <w:marRight w:val="0"/>
      <w:marTop w:val="0"/>
      <w:marBottom w:val="0"/>
      <w:divBdr>
        <w:top w:val="none" w:sz="0" w:space="0" w:color="auto"/>
        <w:left w:val="none" w:sz="0" w:space="0" w:color="auto"/>
        <w:bottom w:val="none" w:sz="0" w:space="0" w:color="auto"/>
        <w:right w:val="none" w:sz="0" w:space="0" w:color="auto"/>
      </w:divBdr>
    </w:div>
    <w:div w:id="391006400">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794374992">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3381621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 w:id="1682127731">
      <w:bodyDiv w:val="1"/>
      <w:marLeft w:val="0"/>
      <w:marRight w:val="0"/>
      <w:marTop w:val="0"/>
      <w:marBottom w:val="0"/>
      <w:divBdr>
        <w:top w:val="none" w:sz="0" w:space="0" w:color="auto"/>
        <w:left w:val="none" w:sz="0" w:space="0" w:color="auto"/>
        <w:bottom w:val="none" w:sz="0" w:space="0" w:color="auto"/>
        <w:right w:val="none" w:sz="0" w:space="0" w:color="auto"/>
      </w:divBdr>
    </w:div>
    <w:div w:id="1733000078">
      <w:bodyDiv w:val="1"/>
      <w:marLeft w:val="0"/>
      <w:marRight w:val="0"/>
      <w:marTop w:val="0"/>
      <w:marBottom w:val="0"/>
      <w:divBdr>
        <w:top w:val="none" w:sz="0" w:space="0" w:color="auto"/>
        <w:left w:val="none" w:sz="0" w:space="0" w:color="auto"/>
        <w:bottom w:val="none" w:sz="0" w:space="0" w:color="auto"/>
        <w:right w:val="none" w:sz="0" w:space="0" w:color="auto"/>
      </w:divBdr>
    </w:div>
    <w:div w:id="1735935038">
      <w:bodyDiv w:val="1"/>
      <w:marLeft w:val="0"/>
      <w:marRight w:val="0"/>
      <w:marTop w:val="0"/>
      <w:marBottom w:val="0"/>
      <w:divBdr>
        <w:top w:val="none" w:sz="0" w:space="0" w:color="auto"/>
        <w:left w:val="none" w:sz="0" w:space="0" w:color="auto"/>
        <w:bottom w:val="none" w:sz="0" w:space="0" w:color="auto"/>
        <w:right w:val="none" w:sz="0" w:space="0" w:color="auto"/>
      </w:divBdr>
    </w:div>
    <w:div w:id="1780299642">
      <w:bodyDiv w:val="1"/>
      <w:marLeft w:val="0"/>
      <w:marRight w:val="0"/>
      <w:marTop w:val="0"/>
      <w:marBottom w:val="0"/>
      <w:divBdr>
        <w:top w:val="none" w:sz="0" w:space="0" w:color="auto"/>
        <w:left w:val="none" w:sz="0" w:space="0" w:color="auto"/>
        <w:bottom w:val="none" w:sz="0" w:space="0" w:color="auto"/>
        <w:right w:val="none" w:sz="0" w:space="0" w:color="auto"/>
      </w:divBdr>
    </w:div>
    <w:div w:id="1798521034">
      <w:bodyDiv w:val="1"/>
      <w:marLeft w:val="0"/>
      <w:marRight w:val="0"/>
      <w:marTop w:val="0"/>
      <w:marBottom w:val="0"/>
      <w:divBdr>
        <w:top w:val="none" w:sz="0" w:space="0" w:color="auto"/>
        <w:left w:val="none" w:sz="0" w:space="0" w:color="auto"/>
        <w:bottom w:val="none" w:sz="0" w:space="0" w:color="auto"/>
        <w:right w:val="none" w:sz="0" w:space="0" w:color="auto"/>
      </w:divBdr>
    </w:div>
    <w:div w:id="1855652156">
      <w:bodyDiv w:val="1"/>
      <w:marLeft w:val="0"/>
      <w:marRight w:val="0"/>
      <w:marTop w:val="0"/>
      <w:marBottom w:val="0"/>
      <w:divBdr>
        <w:top w:val="none" w:sz="0" w:space="0" w:color="auto"/>
        <w:left w:val="none" w:sz="0" w:space="0" w:color="auto"/>
        <w:bottom w:val="none" w:sz="0" w:space="0" w:color="auto"/>
        <w:right w:val="none" w:sz="0" w:space="0" w:color="auto"/>
      </w:divBdr>
    </w:div>
    <w:div w:id="1968267976">
      <w:bodyDiv w:val="1"/>
      <w:marLeft w:val="0"/>
      <w:marRight w:val="0"/>
      <w:marTop w:val="0"/>
      <w:marBottom w:val="0"/>
      <w:divBdr>
        <w:top w:val="none" w:sz="0" w:space="0" w:color="auto"/>
        <w:left w:val="none" w:sz="0" w:space="0" w:color="auto"/>
        <w:bottom w:val="none" w:sz="0" w:space="0" w:color="auto"/>
        <w:right w:val="none" w:sz="0" w:space="0" w:color="auto"/>
      </w:divBdr>
    </w:div>
    <w:div w:id="2008360931">
      <w:bodyDiv w:val="1"/>
      <w:marLeft w:val="0"/>
      <w:marRight w:val="0"/>
      <w:marTop w:val="0"/>
      <w:marBottom w:val="0"/>
      <w:divBdr>
        <w:top w:val="none" w:sz="0" w:space="0" w:color="auto"/>
        <w:left w:val="none" w:sz="0" w:space="0" w:color="auto"/>
        <w:bottom w:val="none" w:sz="0" w:space="0" w:color="auto"/>
        <w:right w:val="none" w:sz="0" w:space="0" w:color="auto"/>
      </w:divBdr>
    </w:div>
    <w:div w:id="2130660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07680A-C249-44D4-A130-DF4646E5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5236</Words>
  <Characters>28800</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7</cp:revision>
  <cp:lastPrinted>2024-03-15T15:34:00Z</cp:lastPrinted>
  <dcterms:created xsi:type="dcterms:W3CDTF">2024-03-12T01:31:00Z</dcterms:created>
  <dcterms:modified xsi:type="dcterms:W3CDTF">2024-04-11T00:33:00Z</dcterms:modified>
</cp:coreProperties>
</file>