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C8CA" w14:textId="77777777" w:rsidR="00835084" w:rsidRDefault="00835084">
      <w:pPr>
        <w:widowControl w:val="0"/>
        <w:pBdr>
          <w:top w:val="nil"/>
          <w:left w:val="nil"/>
          <w:bottom w:val="nil"/>
          <w:right w:val="nil"/>
          <w:between w:val="nil"/>
        </w:pBdr>
        <w:spacing w:line="276" w:lineRule="auto"/>
      </w:pPr>
    </w:p>
    <w:p w14:paraId="4C59AB0C" w14:textId="77777777" w:rsidR="00835084" w:rsidRDefault="00495C85">
      <w:pPr>
        <w:tabs>
          <w:tab w:val="left" w:pos="3465"/>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de México; de fecha once (11) de septiembre de dos mil veinticuatro.</w:t>
      </w:r>
    </w:p>
    <w:p w14:paraId="2703D802" w14:textId="77777777" w:rsidR="00835084" w:rsidRDefault="00835084">
      <w:pPr>
        <w:tabs>
          <w:tab w:val="left" w:pos="3465"/>
        </w:tabs>
        <w:spacing w:line="360" w:lineRule="auto"/>
        <w:ind w:right="-787"/>
        <w:jc w:val="both"/>
        <w:rPr>
          <w:rFonts w:ascii="Palatino Linotype" w:eastAsia="Palatino Linotype" w:hAnsi="Palatino Linotype" w:cs="Palatino Linotype"/>
          <w:color w:val="000000"/>
        </w:rPr>
      </w:pPr>
    </w:p>
    <w:p w14:paraId="59829234" w14:textId="61C5D00F" w:rsidR="00835084" w:rsidRDefault="00495C85">
      <w:pP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VISTO</w:t>
      </w:r>
      <w:r>
        <w:rPr>
          <w:rFonts w:ascii="Palatino Linotype" w:eastAsia="Palatino Linotype" w:hAnsi="Palatino Linotype" w:cs="Palatino Linotype"/>
          <w:color w:val="000000"/>
        </w:rPr>
        <w:t xml:space="preserve"> el expediente electrónico formado con motivo del recurso de revisión </w:t>
      </w:r>
      <w:r>
        <w:rPr>
          <w:rFonts w:ascii="Palatino Linotype" w:eastAsia="Palatino Linotype" w:hAnsi="Palatino Linotype" w:cs="Palatino Linotype"/>
          <w:b/>
          <w:color w:val="000000"/>
        </w:rPr>
        <w:t>01748/INFOEM/IP/RR/2024</w:t>
      </w:r>
      <w:r>
        <w:rPr>
          <w:rFonts w:ascii="Palatino Linotype" w:eastAsia="Palatino Linotype" w:hAnsi="Palatino Linotype" w:cs="Palatino Linotype"/>
          <w:color w:val="000000"/>
        </w:rPr>
        <w:t xml:space="preserve">, interpuesto por </w:t>
      </w:r>
      <w:r w:rsidR="00196888">
        <w:rPr>
          <w:rFonts w:ascii="Palatino Linotype" w:eastAsia="Palatino Linotype" w:hAnsi="Palatino Linotype" w:cs="Palatino Linotype"/>
          <w:b/>
          <w:color w:val="000000"/>
        </w:rPr>
        <w:t xml:space="preserve">XXX </w:t>
      </w:r>
      <w:proofErr w:type="spellStart"/>
      <w:r w:rsidR="00196888">
        <w:rPr>
          <w:rFonts w:ascii="Palatino Linotype" w:eastAsia="Palatino Linotype" w:hAnsi="Palatino Linotype" w:cs="Palatino Linotype"/>
          <w:b/>
          <w:color w:val="000000"/>
        </w:rPr>
        <w:t>XXX</w:t>
      </w:r>
      <w:proofErr w:type="spellEnd"/>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en lo sucesivo </w:t>
      </w:r>
      <w:r>
        <w:rPr>
          <w:rFonts w:ascii="Palatino Linotype" w:eastAsia="Palatino Linotype" w:hAnsi="Palatino Linotype" w:cs="Palatino Linotype"/>
        </w:rPr>
        <w:t>la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RECURRENTE</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en contra de la respuesta del </w:t>
      </w:r>
      <w:r>
        <w:rPr>
          <w:rFonts w:ascii="Palatino Linotype" w:eastAsia="Palatino Linotype" w:hAnsi="Palatino Linotype" w:cs="Palatino Linotype"/>
          <w:b/>
          <w:color w:val="000000"/>
        </w:rPr>
        <w:t>Sistema Municipal Para el Desarrollo Integral de la Familia de Ecatepec de Morelos</w:t>
      </w:r>
      <w:r>
        <w:rPr>
          <w:rFonts w:ascii="Palatino Linotype" w:eastAsia="Palatino Linotype" w:hAnsi="Palatino Linotype" w:cs="Palatino Linotype"/>
          <w:color w:val="000000"/>
        </w:rPr>
        <w:t>, en adelante el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procede a dictar la presente resolución, con base en los siguientes:</w:t>
      </w:r>
    </w:p>
    <w:p w14:paraId="012FA7B1" w14:textId="77777777" w:rsidR="00835084" w:rsidRDefault="00835084">
      <w:pPr>
        <w:spacing w:line="360" w:lineRule="auto"/>
        <w:ind w:right="-787"/>
        <w:jc w:val="both"/>
        <w:rPr>
          <w:rFonts w:ascii="Palatino Linotype" w:eastAsia="Palatino Linotype" w:hAnsi="Palatino Linotype" w:cs="Palatino Linotype"/>
          <w:b/>
          <w:color w:val="000000"/>
        </w:rPr>
      </w:pPr>
    </w:p>
    <w:p w14:paraId="1C40D9C4" w14:textId="77777777" w:rsidR="00835084" w:rsidRDefault="00495C85">
      <w:pPr>
        <w:pStyle w:val="Ttulo1"/>
        <w:spacing w:before="0" w:line="360" w:lineRule="auto"/>
        <w:ind w:right="-787"/>
        <w:jc w:val="center"/>
        <w:rPr>
          <w:b/>
          <w:color w:val="000000"/>
        </w:rPr>
      </w:pPr>
      <w:r>
        <w:rPr>
          <w:b/>
          <w:color w:val="000000"/>
        </w:rPr>
        <w:t>A N T E C E D E N T E S</w:t>
      </w:r>
    </w:p>
    <w:p w14:paraId="7EEEEAF9" w14:textId="77777777" w:rsidR="00835084" w:rsidRDefault="0083508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14:paraId="2EB955B2"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veintidós (22) de marzo de dos mil veinticuatro</w:t>
      </w:r>
      <w:r>
        <w:rPr>
          <w:rFonts w:ascii="Palatino Linotype" w:eastAsia="Palatino Linotype" w:hAnsi="Palatino Linotype" w:cs="Palatino Linotype"/>
          <w:color w:val="000000"/>
        </w:rPr>
        <w:t>, el particular presentó</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 través del Sistema de Acceso a la Información Mexiquense (SAIMEX), la solicitud de información pública registrada con el número </w:t>
      </w:r>
      <w:r>
        <w:rPr>
          <w:rFonts w:ascii="Palatino Linotype" w:eastAsia="Palatino Linotype" w:hAnsi="Palatino Linotype" w:cs="Palatino Linotype"/>
          <w:b/>
          <w:color w:val="000000"/>
        </w:rPr>
        <w:t>00009/DIFECATEPE/IP/2024,</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en la que</w:t>
      </w:r>
      <w:r>
        <w:rPr>
          <w:rFonts w:ascii="Palatino Linotype" w:eastAsia="Palatino Linotype" w:hAnsi="Palatino Linotype" w:cs="Palatino Linotype"/>
          <w:color w:val="000000"/>
        </w:rPr>
        <w:t xml:space="preserve"> requirió lo siguiente:</w:t>
      </w:r>
    </w:p>
    <w:p w14:paraId="171959DE" w14:textId="77777777" w:rsidR="00835084" w:rsidRDefault="00835084">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p>
    <w:p w14:paraId="42996913" w14:textId="77777777" w:rsidR="00835084" w:rsidRDefault="00495C85">
      <w:pPr>
        <w:pBdr>
          <w:top w:val="nil"/>
          <w:left w:val="nil"/>
          <w:bottom w:val="nil"/>
          <w:right w:val="nil"/>
          <w:between w:val="nil"/>
        </w:pBdr>
        <w:spacing w:line="276" w:lineRule="auto"/>
        <w:ind w:left="567" w:right="-78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 “SOLICITO QUE SOLO ESTE PUNTO SEA ENVIADO A LA PRESIDENTA HONORIFICA DEL DIF LA LIC. ESMERALDA VALLEJO QUIEN SIEMPRE DICE QUE LUCHA POR LAS PERSONAS Y LAS MUJERES QUE SUFREN MALTRATO, QUE CONTESTE SI POR SER EL AHIJADO DE DU ESPOSO ES QUE TOLERAN SUS ACTITUDES DE NIÑO CHIQUITO, DONDE GRITA, CORRE A PERSONAS DE LAS REUNIONES, LES GRITA, HUMILLA Y DENIGRA, REFERENTE AL SECRETARIO TÉCNICO OMAR ALEJANDRO BALDERAS FERNÁNDEZ, la solicitud de contestación debe estar firmada por la presidenta honorifica por nadie </w:t>
      </w:r>
      <w:proofErr w:type="spellStart"/>
      <w:r>
        <w:rPr>
          <w:rFonts w:ascii="Palatino Linotype" w:eastAsia="Palatino Linotype" w:hAnsi="Palatino Linotype" w:cs="Palatino Linotype"/>
          <w:i/>
          <w:color w:val="000000"/>
        </w:rPr>
        <w:t>mas</w:t>
      </w:r>
      <w:proofErr w:type="spellEnd"/>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(Sic).</w:t>
      </w:r>
    </w:p>
    <w:p w14:paraId="1260C610"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lastRenderedPageBreak/>
        <w:t>Se hace constar que el particular señaló como modalidad de entrega de la información: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i/>
          <w:color w:val="000000"/>
        </w:rPr>
        <w:t>A través del SAIMEX</w:t>
      </w:r>
      <w:r>
        <w:rPr>
          <w:rFonts w:ascii="Palatino Linotype" w:eastAsia="Palatino Linotype" w:hAnsi="Palatino Linotype" w:cs="Palatino Linotype"/>
          <w:color w:val="000000"/>
        </w:rPr>
        <w:t>.</w:t>
      </w:r>
    </w:p>
    <w:p w14:paraId="259B0438" w14:textId="77777777" w:rsidR="00835084" w:rsidRDefault="00835084">
      <w:pPr>
        <w:ind w:right="-787"/>
        <w:rPr>
          <w:rFonts w:ascii="Palatino Linotype" w:eastAsia="Palatino Linotype" w:hAnsi="Palatino Linotype" w:cs="Palatino Linotype"/>
          <w:color w:val="000000"/>
        </w:rPr>
      </w:pPr>
    </w:p>
    <w:p w14:paraId="46FD98DB"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cuatro (04) de abril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la solicitud de información en los siguientes términos:</w:t>
      </w:r>
    </w:p>
    <w:p w14:paraId="09DDF276" w14:textId="77777777" w:rsidR="00835084" w:rsidRDefault="00495C85">
      <w:pPr>
        <w:pBdr>
          <w:top w:val="nil"/>
          <w:left w:val="nil"/>
          <w:bottom w:val="nil"/>
          <w:right w:val="nil"/>
          <w:between w:val="nil"/>
        </w:pBdr>
        <w:spacing w:line="276" w:lineRule="auto"/>
        <w:ind w:left="567" w:right="-78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 </w:t>
      </w:r>
    </w:p>
    <w:tbl>
      <w:tblPr>
        <w:tblStyle w:val="a"/>
        <w:tblW w:w="7581" w:type="dxa"/>
        <w:jc w:val="center"/>
        <w:tblInd w:w="0" w:type="dxa"/>
        <w:tblLayout w:type="fixed"/>
        <w:tblLook w:val="0400" w:firstRow="0" w:lastRow="0" w:firstColumn="0" w:lastColumn="0" w:noHBand="0" w:noVBand="1"/>
      </w:tblPr>
      <w:tblGrid>
        <w:gridCol w:w="7581"/>
      </w:tblGrid>
      <w:tr w:rsidR="00835084" w14:paraId="225189FC" w14:textId="77777777">
        <w:trPr>
          <w:trHeight w:val="275"/>
          <w:jc w:val="center"/>
        </w:trPr>
        <w:tc>
          <w:tcPr>
            <w:tcW w:w="7581" w:type="dxa"/>
            <w:vAlign w:val="center"/>
          </w:tcPr>
          <w:p w14:paraId="22AB57BC" w14:textId="77777777" w:rsidR="00835084" w:rsidRDefault="00495C85">
            <w:pPr>
              <w:ind w:right="-787"/>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 Para el Desarrollo Integral de la Familia de Ecatepec de Morelos, México a 04 de Abril de 2024</w:t>
            </w:r>
          </w:p>
        </w:tc>
      </w:tr>
      <w:tr w:rsidR="00835084" w14:paraId="59021823" w14:textId="77777777">
        <w:trPr>
          <w:trHeight w:val="275"/>
          <w:jc w:val="center"/>
        </w:trPr>
        <w:tc>
          <w:tcPr>
            <w:tcW w:w="7581" w:type="dxa"/>
            <w:vAlign w:val="center"/>
          </w:tcPr>
          <w:p w14:paraId="2D27555A" w14:textId="77777777" w:rsidR="00835084" w:rsidRDefault="00495C85">
            <w:pPr>
              <w:ind w:right="-787"/>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835084" w14:paraId="7A89FC40" w14:textId="77777777">
        <w:trPr>
          <w:trHeight w:val="275"/>
          <w:jc w:val="center"/>
        </w:trPr>
        <w:tc>
          <w:tcPr>
            <w:tcW w:w="7581" w:type="dxa"/>
            <w:vAlign w:val="center"/>
          </w:tcPr>
          <w:p w14:paraId="4064EAA1" w14:textId="77777777" w:rsidR="00835084" w:rsidRDefault="00495C85">
            <w:pPr>
              <w:ind w:right="-787"/>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00009/DIFECATEPE/IP/2024</w:t>
            </w:r>
          </w:p>
        </w:tc>
      </w:tr>
      <w:tr w:rsidR="00835084" w14:paraId="63DB4502" w14:textId="77777777">
        <w:trPr>
          <w:trHeight w:val="413"/>
          <w:jc w:val="center"/>
        </w:trPr>
        <w:tc>
          <w:tcPr>
            <w:tcW w:w="7581" w:type="dxa"/>
            <w:vAlign w:val="center"/>
          </w:tcPr>
          <w:p w14:paraId="1A9F1452" w14:textId="77777777" w:rsidR="00835084" w:rsidRDefault="00835084">
            <w:pPr>
              <w:ind w:right="-787"/>
              <w:jc w:val="right"/>
              <w:rPr>
                <w:rFonts w:ascii="Palatino Linotype" w:eastAsia="Palatino Linotype" w:hAnsi="Palatino Linotype" w:cs="Palatino Linotype"/>
                <w:i/>
                <w:sz w:val="22"/>
                <w:szCs w:val="22"/>
              </w:rPr>
            </w:pPr>
          </w:p>
        </w:tc>
      </w:tr>
      <w:tr w:rsidR="00835084" w14:paraId="2BA6ADCD" w14:textId="77777777">
        <w:trPr>
          <w:trHeight w:val="137"/>
          <w:jc w:val="center"/>
        </w:trPr>
        <w:tc>
          <w:tcPr>
            <w:tcW w:w="7581" w:type="dxa"/>
            <w:vAlign w:val="center"/>
          </w:tcPr>
          <w:p w14:paraId="6DF358E8" w14:textId="77777777" w:rsidR="00835084" w:rsidRDefault="00835084">
            <w:pPr>
              <w:ind w:right="-787"/>
              <w:jc w:val="center"/>
              <w:rPr>
                <w:rFonts w:ascii="Palatino Linotype" w:eastAsia="Palatino Linotype" w:hAnsi="Palatino Linotype" w:cs="Palatino Linotype"/>
                <w:i/>
                <w:sz w:val="22"/>
                <w:szCs w:val="22"/>
              </w:rPr>
            </w:pPr>
          </w:p>
        </w:tc>
      </w:tr>
      <w:tr w:rsidR="00835084" w14:paraId="5383E388" w14:textId="77777777">
        <w:trPr>
          <w:trHeight w:val="344"/>
          <w:jc w:val="center"/>
        </w:trPr>
        <w:tc>
          <w:tcPr>
            <w:tcW w:w="7581" w:type="dxa"/>
            <w:vAlign w:val="center"/>
          </w:tcPr>
          <w:p w14:paraId="34664C24" w14:textId="77777777" w:rsidR="00835084" w:rsidRDefault="00835084">
            <w:pPr>
              <w:ind w:right="-787"/>
              <w:rPr>
                <w:rFonts w:ascii="Palatino Linotype" w:eastAsia="Palatino Linotype" w:hAnsi="Palatino Linotype" w:cs="Palatino Linotype"/>
                <w:i/>
                <w:sz w:val="22"/>
                <w:szCs w:val="22"/>
              </w:rPr>
            </w:pPr>
          </w:p>
        </w:tc>
      </w:tr>
      <w:tr w:rsidR="00835084" w14:paraId="36F17FD0" w14:textId="77777777">
        <w:trPr>
          <w:trHeight w:val="137"/>
          <w:jc w:val="center"/>
        </w:trPr>
        <w:tc>
          <w:tcPr>
            <w:tcW w:w="7581" w:type="dxa"/>
            <w:vAlign w:val="center"/>
          </w:tcPr>
          <w:p w14:paraId="05BCCC2D" w14:textId="77777777" w:rsidR="00835084" w:rsidRDefault="00495C85">
            <w:pPr>
              <w:ind w:right="-78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Con fundamento en el artículo 167 de la Ley de Transparencia y Acceso a la Información Pública del Estado de México y Municipios, que a la letra dice: “Cuando las Unidades de Transparencia determinen la notoria incompetencia por parte de los Sujetos obligados, dentro del ámbito de aplicación para atender la Solicitud de Acceso a la Información Mexiquense, deberán comunicarlo al solicitante, en su caso orientar al solicitante, el o los Sujetos Obligados competentes.” En este mismo orden de ideas hago de su conocimiento que este Sujeto Obligado es totalmente incompetente, toda vez que el Servidor Público señalado en su solicitud no pertenece a este Sujeto Obligado, por lo cual solicitamos haga su Solicitud de Acceso a la Información Pública al Sujeto Obligado competente que es el H. Ayuntamiento de Ecatepec de Morelos. Sin otro particular que el momento, reciba un cordial saludo, reiterando mi más atento aprecio. Atte.: Unidad de Transparencia y Acceso a la Información Pública del Sistema Municipal para el Desarrollo Integral de la Familia, Ecatepec de Morelos, Estado de México.</w:t>
            </w:r>
          </w:p>
        </w:tc>
      </w:tr>
      <w:tr w:rsidR="00835084" w14:paraId="312F54FD" w14:textId="77777777">
        <w:trPr>
          <w:trHeight w:val="344"/>
          <w:jc w:val="center"/>
        </w:trPr>
        <w:tc>
          <w:tcPr>
            <w:tcW w:w="7581" w:type="dxa"/>
            <w:vAlign w:val="center"/>
          </w:tcPr>
          <w:p w14:paraId="69C12182" w14:textId="77777777" w:rsidR="00835084" w:rsidRDefault="00835084">
            <w:pPr>
              <w:ind w:right="-787"/>
              <w:rPr>
                <w:rFonts w:ascii="Palatino Linotype" w:eastAsia="Palatino Linotype" w:hAnsi="Palatino Linotype" w:cs="Palatino Linotype"/>
                <w:i/>
                <w:sz w:val="22"/>
                <w:szCs w:val="22"/>
              </w:rPr>
            </w:pPr>
          </w:p>
        </w:tc>
      </w:tr>
      <w:tr w:rsidR="00835084" w14:paraId="3FFBAAF5" w14:textId="77777777">
        <w:trPr>
          <w:trHeight w:val="137"/>
          <w:jc w:val="center"/>
        </w:trPr>
        <w:tc>
          <w:tcPr>
            <w:tcW w:w="7581" w:type="dxa"/>
            <w:vAlign w:val="center"/>
          </w:tcPr>
          <w:p w14:paraId="7FDC42CD" w14:textId="77777777" w:rsidR="00835084" w:rsidRDefault="00835084">
            <w:pPr>
              <w:ind w:right="-787"/>
              <w:jc w:val="center"/>
              <w:rPr>
                <w:rFonts w:ascii="Palatino Linotype" w:eastAsia="Palatino Linotype" w:hAnsi="Palatino Linotype" w:cs="Palatino Linotype"/>
                <w:i/>
                <w:sz w:val="22"/>
                <w:szCs w:val="22"/>
              </w:rPr>
            </w:pPr>
          </w:p>
        </w:tc>
      </w:tr>
      <w:tr w:rsidR="00835084" w14:paraId="371BF4F8" w14:textId="77777777">
        <w:trPr>
          <w:trHeight w:val="137"/>
          <w:jc w:val="center"/>
        </w:trPr>
        <w:tc>
          <w:tcPr>
            <w:tcW w:w="7581" w:type="dxa"/>
            <w:vAlign w:val="center"/>
          </w:tcPr>
          <w:p w14:paraId="34DA55D7" w14:textId="77777777" w:rsidR="00835084" w:rsidRDefault="00835084">
            <w:pPr>
              <w:ind w:right="-787"/>
              <w:rPr>
                <w:rFonts w:ascii="Palatino Linotype" w:eastAsia="Palatino Linotype" w:hAnsi="Palatino Linotype" w:cs="Palatino Linotype"/>
                <w:i/>
                <w:sz w:val="22"/>
                <w:szCs w:val="22"/>
              </w:rPr>
            </w:pPr>
          </w:p>
        </w:tc>
      </w:tr>
      <w:tr w:rsidR="00835084" w14:paraId="5B1E21EE" w14:textId="77777777">
        <w:trPr>
          <w:trHeight w:val="137"/>
          <w:jc w:val="center"/>
        </w:trPr>
        <w:tc>
          <w:tcPr>
            <w:tcW w:w="7581" w:type="dxa"/>
            <w:vAlign w:val="center"/>
          </w:tcPr>
          <w:p w14:paraId="46919C18" w14:textId="77777777" w:rsidR="00835084" w:rsidRDefault="00495C85">
            <w:pPr>
              <w:ind w:right="-787"/>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835084" w14:paraId="171BBB3C" w14:textId="77777777">
        <w:trPr>
          <w:trHeight w:val="206"/>
          <w:jc w:val="center"/>
        </w:trPr>
        <w:tc>
          <w:tcPr>
            <w:tcW w:w="7581" w:type="dxa"/>
            <w:vAlign w:val="center"/>
          </w:tcPr>
          <w:p w14:paraId="2E087FCE" w14:textId="77777777" w:rsidR="00835084" w:rsidRDefault="00835084">
            <w:pPr>
              <w:ind w:right="-787"/>
              <w:rPr>
                <w:rFonts w:ascii="Palatino Linotype" w:eastAsia="Palatino Linotype" w:hAnsi="Palatino Linotype" w:cs="Palatino Linotype"/>
                <w:i/>
                <w:sz w:val="22"/>
                <w:szCs w:val="22"/>
              </w:rPr>
            </w:pPr>
          </w:p>
        </w:tc>
      </w:tr>
      <w:tr w:rsidR="00835084" w14:paraId="4DDCA60C" w14:textId="77777777">
        <w:trPr>
          <w:trHeight w:val="137"/>
          <w:jc w:val="center"/>
        </w:trPr>
        <w:tc>
          <w:tcPr>
            <w:tcW w:w="7581" w:type="dxa"/>
            <w:vAlign w:val="center"/>
          </w:tcPr>
          <w:p w14:paraId="1DEAA585" w14:textId="77777777" w:rsidR="00835084" w:rsidRDefault="00495C85">
            <w:pPr>
              <w:ind w:right="-787"/>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LIC. MIGUEL ÁNGEL DÁVILA ESCALONA</w:t>
            </w:r>
          </w:p>
        </w:tc>
      </w:tr>
    </w:tbl>
    <w:p w14:paraId="24DB062F" w14:textId="77777777" w:rsidR="00835084" w:rsidRDefault="00835084">
      <w:pPr>
        <w:pBdr>
          <w:top w:val="nil"/>
          <w:left w:val="nil"/>
          <w:bottom w:val="nil"/>
          <w:right w:val="nil"/>
          <w:between w:val="nil"/>
        </w:pBdr>
        <w:tabs>
          <w:tab w:val="left" w:pos="284"/>
          <w:tab w:val="left" w:pos="426"/>
        </w:tabs>
        <w:spacing w:line="360" w:lineRule="auto"/>
        <w:ind w:right="-787"/>
        <w:jc w:val="both"/>
        <w:rPr>
          <w:rFonts w:ascii="Palatino Linotype" w:eastAsia="Palatino Linotype" w:hAnsi="Palatino Linotype" w:cs="Palatino Linotype"/>
          <w:color w:val="000000"/>
        </w:rPr>
      </w:pPr>
    </w:p>
    <w:p w14:paraId="0188FB2A" w14:textId="77777777" w:rsidR="00835084" w:rsidRDefault="00495C85">
      <w:pPr>
        <w:numPr>
          <w:ilvl w:val="0"/>
          <w:numId w:val="1"/>
        </w:numPr>
        <w:pBdr>
          <w:top w:val="nil"/>
          <w:left w:val="nil"/>
          <w:bottom w:val="nil"/>
          <w:right w:val="nil"/>
          <w:between w:val="nil"/>
        </w:pBdr>
        <w:tabs>
          <w:tab w:val="left" w:pos="284"/>
          <w:tab w:val="left" w:pos="426"/>
        </w:tabs>
        <w:spacing w:line="360" w:lineRule="auto"/>
        <w:ind w:right="-787"/>
        <w:jc w:val="both"/>
        <w:rPr>
          <w:color w:val="000000"/>
        </w:rPr>
      </w:pPr>
      <w:r>
        <w:rPr>
          <w:rFonts w:ascii="Palatino Linotype" w:eastAsia="Palatino Linotype" w:hAnsi="Palatino Linotype" w:cs="Palatino Linotype"/>
          <w:color w:val="000000"/>
        </w:rPr>
        <w:lastRenderedPageBreak/>
        <w:t xml:space="preserve">Derivado de la respuesta emitida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cuatro (04) de abril de dos mil veinticuatro</w:t>
      </w:r>
      <w:r>
        <w:rPr>
          <w:rFonts w:ascii="Palatino Linotype" w:eastAsia="Palatino Linotype" w:hAnsi="Palatino Linotype" w:cs="Palatino Linotype"/>
          <w:color w:val="000000"/>
        </w:rPr>
        <w:t xml:space="preserve">, el particular interpuso el recurso de revisión </w:t>
      </w:r>
      <w:r>
        <w:rPr>
          <w:rFonts w:ascii="Palatino Linotype" w:eastAsia="Palatino Linotype" w:hAnsi="Palatino Linotype" w:cs="Palatino Linotype"/>
          <w:b/>
          <w:color w:val="000000"/>
        </w:rPr>
        <w:t>01748/INFOEM/IP/RR/2024</w:t>
      </w:r>
      <w:r>
        <w:rPr>
          <w:rFonts w:ascii="Palatino Linotype" w:eastAsia="Palatino Linotype" w:hAnsi="Palatino Linotype" w:cs="Palatino Linotype"/>
          <w:color w:val="000000"/>
        </w:rPr>
        <w:t>; impugnación en la que refirió lo siguiente:</w:t>
      </w:r>
    </w:p>
    <w:p w14:paraId="7F1835AC" w14:textId="77777777" w:rsidR="00835084" w:rsidRDefault="00495C85">
      <w:pPr>
        <w:numPr>
          <w:ilvl w:val="0"/>
          <w:numId w:val="2"/>
        </w:numPr>
        <w:pBdr>
          <w:top w:val="nil"/>
          <w:left w:val="nil"/>
          <w:bottom w:val="nil"/>
          <w:right w:val="nil"/>
          <w:between w:val="nil"/>
        </w:pBdr>
        <w:tabs>
          <w:tab w:val="left" w:pos="1134"/>
          <w:tab w:val="left" w:pos="8222"/>
        </w:tabs>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 xml:space="preserve">yo no pregunte si trabaja </w:t>
      </w:r>
      <w:proofErr w:type="spellStart"/>
      <w:r>
        <w:rPr>
          <w:rFonts w:ascii="Palatino Linotype" w:eastAsia="Palatino Linotype" w:hAnsi="Palatino Linotype" w:cs="Palatino Linotype"/>
          <w:i/>
          <w:color w:val="000000"/>
          <w:sz w:val="22"/>
          <w:szCs w:val="22"/>
        </w:rPr>
        <w:t>ahi</w:t>
      </w:r>
      <w:proofErr w:type="spellEnd"/>
      <w:r>
        <w:rPr>
          <w:rFonts w:ascii="Palatino Linotype" w:eastAsia="Palatino Linotype" w:hAnsi="Palatino Linotype" w:cs="Palatino Linotype"/>
          <w:i/>
          <w:color w:val="000000"/>
          <w:sz w:val="22"/>
          <w:szCs w:val="22"/>
        </w:rPr>
        <w:t xml:space="preserve"> o no lo que solicite e </w:t>
      </w:r>
      <w:proofErr w:type="spellStart"/>
      <w:r>
        <w:rPr>
          <w:rFonts w:ascii="Palatino Linotype" w:eastAsia="Palatino Linotype" w:hAnsi="Palatino Linotype" w:cs="Palatino Linotype"/>
          <w:i/>
          <w:color w:val="000000"/>
          <w:sz w:val="22"/>
          <w:szCs w:val="22"/>
        </w:rPr>
        <w:t>spor</w:t>
      </w:r>
      <w:proofErr w:type="spellEnd"/>
      <w:r>
        <w:rPr>
          <w:rFonts w:ascii="Palatino Linotype" w:eastAsia="Palatino Linotype" w:hAnsi="Palatino Linotype" w:cs="Palatino Linotype"/>
          <w:i/>
          <w:color w:val="000000"/>
          <w:sz w:val="22"/>
          <w:szCs w:val="22"/>
        </w:rPr>
        <w:t xml:space="preserve"> el conflicto de interés que existe entre estos dos servidores públicos y que se niegue la presidente del </w:t>
      </w:r>
      <w:proofErr w:type="spellStart"/>
      <w:r>
        <w:rPr>
          <w:rFonts w:ascii="Palatino Linotype" w:eastAsia="Palatino Linotype" w:hAnsi="Palatino Linotype" w:cs="Palatino Linotype"/>
          <w:i/>
          <w:color w:val="000000"/>
          <w:sz w:val="22"/>
          <w:szCs w:val="22"/>
        </w:rPr>
        <w:t>dif</w:t>
      </w:r>
      <w:proofErr w:type="spellEnd"/>
      <w:r>
        <w:rPr>
          <w:rFonts w:ascii="Palatino Linotype" w:eastAsia="Palatino Linotype" w:hAnsi="Palatino Linotype" w:cs="Palatino Linotype"/>
          <w:i/>
          <w:color w:val="000000"/>
          <w:sz w:val="22"/>
          <w:szCs w:val="22"/>
        </w:rPr>
        <w:t xml:space="preserve"> solo confirma que existe dicho vínculo”</w:t>
      </w:r>
      <w:r>
        <w:rPr>
          <w:rFonts w:ascii="Palatino Linotype" w:eastAsia="Palatino Linotype" w:hAnsi="Palatino Linotype" w:cs="Palatino Linotype"/>
          <w:color w:val="000000"/>
          <w:sz w:val="22"/>
          <w:szCs w:val="22"/>
        </w:rPr>
        <w:t xml:space="preserve"> (Sic).</w:t>
      </w:r>
    </w:p>
    <w:p w14:paraId="5ED00943" w14:textId="77777777" w:rsidR="00835084" w:rsidRDefault="00495C85">
      <w:pPr>
        <w:numPr>
          <w:ilvl w:val="0"/>
          <w:numId w:val="2"/>
        </w:numPr>
        <w:pBdr>
          <w:top w:val="nil"/>
          <w:left w:val="nil"/>
          <w:bottom w:val="nil"/>
          <w:right w:val="nil"/>
          <w:between w:val="nil"/>
        </w:pBdr>
        <w:tabs>
          <w:tab w:val="left" w:pos="1134"/>
          <w:tab w:val="left" w:pos="8222"/>
        </w:tabs>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 xml:space="preserve">yo no pregunte si trabaja </w:t>
      </w:r>
      <w:proofErr w:type="spellStart"/>
      <w:r>
        <w:rPr>
          <w:rFonts w:ascii="Palatino Linotype" w:eastAsia="Palatino Linotype" w:hAnsi="Palatino Linotype" w:cs="Palatino Linotype"/>
          <w:i/>
          <w:color w:val="000000"/>
          <w:sz w:val="22"/>
          <w:szCs w:val="22"/>
        </w:rPr>
        <w:t>ahi</w:t>
      </w:r>
      <w:proofErr w:type="spellEnd"/>
      <w:r>
        <w:rPr>
          <w:rFonts w:ascii="Palatino Linotype" w:eastAsia="Palatino Linotype" w:hAnsi="Palatino Linotype" w:cs="Palatino Linotype"/>
          <w:i/>
          <w:color w:val="000000"/>
          <w:sz w:val="22"/>
          <w:szCs w:val="22"/>
        </w:rPr>
        <w:t xml:space="preserve"> o no lo que solicite e </w:t>
      </w:r>
      <w:proofErr w:type="spellStart"/>
      <w:r>
        <w:rPr>
          <w:rFonts w:ascii="Palatino Linotype" w:eastAsia="Palatino Linotype" w:hAnsi="Palatino Linotype" w:cs="Palatino Linotype"/>
          <w:i/>
          <w:color w:val="000000"/>
          <w:sz w:val="22"/>
          <w:szCs w:val="22"/>
        </w:rPr>
        <w:t>spor</w:t>
      </w:r>
      <w:proofErr w:type="spellEnd"/>
      <w:r>
        <w:rPr>
          <w:rFonts w:ascii="Palatino Linotype" w:eastAsia="Palatino Linotype" w:hAnsi="Palatino Linotype" w:cs="Palatino Linotype"/>
          <w:i/>
          <w:color w:val="000000"/>
          <w:sz w:val="22"/>
          <w:szCs w:val="22"/>
        </w:rPr>
        <w:t xml:space="preserve"> el conflicto de interés que existe entre estos dos servidores públicos y que se niegue la presidente del </w:t>
      </w:r>
      <w:proofErr w:type="spellStart"/>
      <w:r>
        <w:rPr>
          <w:rFonts w:ascii="Palatino Linotype" w:eastAsia="Palatino Linotype" w:hAnsi="Palatino Linotype" w:cs="Palatino Linotype"/>
          <w:i/>
          <w:color w:val="000000"/>
          <w:sz w:val="22"/>
          <w:szCs w:val="22"/>
        </w:rPr>
        <w:t>dif</w:t>
      </w:r>
      <w:proofErr w:type="spellEnd"/>
      <w:r>
        <w:rPr>
          <w:rFonts w:ascii="Palatino Linotype" w:eastAsia="Palatino Linotype" w:hAnsi="Palatino Linotype" w:cs="Palatino Linotype"/>
          <w:i/>
          <w:color w:val="000000"/>
          <w:sz w:val="22"/>
          <w:szCs w:val="22"/>
        </w:rPr>
        <w:t xml:space="preserve"> solo confirma que existe dicho vínculo”</w:t>
      </w:r>
      <w:r>
        <w:rPr>
          <w:rFonts w:ascii="Palatino Linotype" w:eastAsia="Palatino Linotype" w:hAnsi="Palatino Linotype" w:cs="Palatino Linotype"/>
          <w:color w:val="000000"/>
          <w:sz w:val="22"/>
          <w:szCs w:val="22"/>
        </w:rPr>
        <w:t xml:space="preserve"> (Sic).</w:t>
      </w:r>
    </w:p>
    <w:p w14:paraId="6E00256E" w14:textId="77777777" w:rsidR="00835084" w:rsidRDefault="00835084">
      <w:pPr>
        <w:tabs>
          <w:tab w:val="left" w:pos="426"/>
        </w:tabs>
        <w:spacing w:line="360" w:lineRule="auto"/>
        <w:ind w:right="-787"/>
        <w:jc w:val="both"/>
        <w:rPr>
          <w:rFonts w:ascii="Palatino Linotype" w:eastAsia="Palatino Linotype" w:hAnsi="Palatino Linotype" w:cs="Palatino Linotype"/>
          <w:color w:val="000000"/>
        </w:rPr>
      </w:pPr>
    </w:p>
    <w:p w14:paraId="16A8E1DA"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 xml:space="preserve">Se registró el recurso de revisión bajo el número de expediente </w:t>
      </w:r>
      <w:r>
        <w:rPr>
          <w:rFonts w:ascii="Palatino Linotype" w:eastAsia="Palatino Linotype" w:hAnsi="Palatino Linotype" w:cs="Palatino Linotype"/>
          <w:b/>
          <w:color w:val="000000"/>
        </w:rPr>
        <w:t>01748/INFOEM/IP/RR/2024</w:t>
      </w:r>
      <w:r>
        <w:rPr>
          <w:rFonts w:ascii="Palatino Linotype" w:eastAsia="Palatino Linotype" w:hAnsi="Palatino Linotype" w:cs="Palatino Linotype"/>
          <w:color w:val="000000"/>
        </w:rPr>
        <w:t xml:space="preserve">; asimismo, con fundamento en lo dispuesto por el artículo 185, fracción I, de la Ley de Transparencia y Acceso a la Información Pública del Estado de México y Municipios 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Comisionada María del Rosario Mejía Ayala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para</w:t>
      </w:r>
      <w:r>
        <w:rPr>
          <w:rFonts w:ascii="Palatino Linotype" w:eastAsia="Palatino Linotype" w:hAnsi="Palatino Linotype" w:cs="Palatino Linotype"/>
          <w:color w:val="000000"/>
        </w:rPr>
        <w:t xml:space="preserve"> su análisis.</w:t>
      </w:r>
    </w:p>
    <w:p w14:paraId="67ED2975" w14:textId="77777777" w:rsidR="00835084" w:rsidRDefault="0083508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14:paraId="105C4F5D"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bookmarkStart w:id="0" w:name="_heading=h.30j0zll" w:colFirst="0" w:colLast="0"/>
      <w:bookmarkEnd w:id="0"/>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del </w:t>
      </w:r>
      <w:r>
        <w:rPr>
          <w:rFonts w:ascii="Palatino Linotype" w:eastAsia="Palatino Linotype" w:hAnsi="Palatino Linotype" w:cs="Palatino Linotype"/>
          <w:b/>
          <w:color w:val="000000"/>
        </w:rPr>
        <w:t>diez (10) de abril de dos mil veinticuatro</w:t>
      </w:r>
      <w:r>
        <w:rPr>
          <w:rFonts w:ascii="Palatino Linotype" w:eastAsia="Palatino Linotype" w:hAnsi="Palatino Linotype" w:cs="Palatino Linotype"/>
          <w:color w:val="000000"/>
        </w:rPr>
        <w:t xml:space="preserve">, puso a disposición de las partes el expediente electrónico vía SAIMEX, 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su Informe Justificado respectivo.</w:t>
      </w:r>
    </w:p>
    <w:p w14:paraId="405D5ECE" w14:textId="77777777" w:rsidR="00835084" w:rsidRDefault="0083508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14:paraId="590ACB44"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lastRenderedPageBreak/>
        <w:t xml:space="preserve">El </w:t>
      </w:r>
      <w:r>
        <w:rPr>
          <w:rFonts w:ascii="Palatino Linotype" w:eastAsia="Palatino Linotype" w:hAnsi="Palatino Linotype" w:cs="Palatino Linotype"/>
          <w:b/>
          <w:color w:val="000000"/>
        </w:rPr>
        <w:t>dieciocho (18) de abril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presentó su informe justificado y fue puesto a la vista del particular el tres (03) de septiembre de dos mil veinticuatro, a través del archivo electrónico cuyo título y contenido se señala a continuación:</w:t>
      </w:r>
    </w:p>
    <w:p w14:paraId="0E24E605" w14:textId="77777777" w:rsidR="00835084" w:rsidRDefault="00C71DC9">
      <w:pPr>
        <w:numPr>
          <w:ilvl w:val="0"/>
          <w:numId w:val="3"/>
        </w:numPr>
        <w:pBdr>
          <w:top w:val="nil"/>
          <w:left w:val="nil"/>
          <w:bottom w:val="nil"/>
          <w:right w:val="nil"/>
          <w:between w:val="nil"/>
        </w:pBdr>
        <w:tabs>
          <w:tab w:val="left" w:pos="426"/>
        </w:tabs>
        <w:spacing w:line="360" w:lineRule="auto"/>
        <w:ind w:right="-79"/>
        <w:jc w:val="both"/>
        <w:rPr>
          <w:rFonts w:ascii="Palatino Linotype" w:eastAsia="Palatino Linotype" w:hAnsi="Palatino Linotype" w:cs="Palatino Linotype"/>
          <w:b/>
          <w:color w:val="000000"/>
          <w:sz w:val="22"/>
          <w:szCs w:val="22"/>
        </w:rPr>
      </w:pPr>
      <w:hyperlink r:id="rId8">
        <w:r w:rsidR="00495C85">
          <w:rPr>
            <w:rFonts w:ascii="Palatino Linotype" w:eastAsia="Palatino Linotype" w:hAnsi="Palatino Linotype" w:cs="Palatino Linotype"/>
            <w:b/>
            <w:color w:val="000000"/>
            <w:sz w:val="22"/>
            <w:szCs w:val="22"/>
            <w:u w:val="single"/>
          </w:rPr>
          <w:t>R.R. 01748.jpg</w:t>
        </w:r>
      </w:hyperlink>
      <w:r w:rsidR="00495C85">
        <w:rPr>
          <w:rFonts w:ascii="Palatino Linotype" w:eastAsia="Palatino Linotype" w:hAnsi="Palatino Linotype" w:cs="Palatino Linotype"/>
          <w:b/>
          <w:color w:val="000000"/>
          <w:sz w:val="22"/>
          <w:szCs w:val="22"/>
        </w:rPr>
        <w:t xml:space="preserve">: </w:t>
      </w:r>
      <w:r w:rsidR="00495C85">
        <w:rPr>
          <w:rFonts w:ascii="Palatino Linotype" w:eastAsia="Palatino Linotype" w:hAnsi="Palatino Linotype" w:cs="Palatino Linotype"/>
          <w:color w:val="000000"/>
          <w:sz w:val="22"/>
          <w:szCs w:val="22"/>
        </w:rPr>
        <w:t>imagen del oficio UTDIFE/097/2024 de fecha dieciocho (18) de abril de dos mil veinticuatro, suscrito por el Jefa de Transparencia en el que señaló:</w:t>
      </w:r>
    </w:p>
    <w:p w14:paraId="3898FA06" w14:textId="77777777" w:rsidR="00835084" w:rsidRDefault="00495C85">
      <w:pPr>
        <w:pBdr>
          <w:top w:val="nil"/>
          <w:left w:val="nil"/>
          <w:bottom w:val="nil"/>
          <w:right w:val="nil"/>
          <w:between w:val="nil"/>
        </w:pBdr>
        <w:tabs>
          <w:tab w:val="left" w:pos="426"/>
        </w:tabs>
        <w:spacing w:line="360" w:lineRule="auto"/>
        <w:ind w:left="720"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“…como bien se estipulo en la respuesta al solicitante, este Sujeto Obligado es incompetente, toda vez que la persona referida en la Solicitud de Acceso a la Información, presentada en la plataforma SAIMEX, es ajena a este Sujeto Obligado, por lo cual, se desconoce los comportamiento y/o actitudes que tiene la persona mencionada.</w:t>
      </w:r>
    </w:p>
    <w:p w14:paraId="5FBC9876" w14:textId="77777777" w:rsidR="00835084" w:rsidRDefault="00495C85">
      <w:pPr>
        <w:pBdr>
          <w:top w:val="nil"/>
          <w:left w:val="nil"/>
          <w:bottom w:val="nil"/>
          <w:right w:val="nil"/>
          <w:between w:val="nil"/>
        </w:pBdr>
        <w:tabs>
          <w:tab w:val="left" w:pos="426"/>
        </w:tabs>
        <w:spacing w:line="360" w:lineRule="auto"/>
        <w:ind w:left="720" w:right="-79"/>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b/>
          <w:i/>
          <w:color w:val="000000"/>
          <w:sz w:val="22"/>
          <w:szCs w:val="22"/>
          <w:u w:val="single"/>
        </w:rPr>
        <w:t>Así mismo, se hace el recordatorio que la plataforma SAIMEX es para solicitar información Pública que genera, posee y/o administra el Sujeto Obligado, conforme a sus atribuciones.”</w:t>
      </w:r>
    </w:p>
    <w:p w14:paraId="6131D05D" w14:textId="77777777" w:rsidR="00835084" w:rsidRDefault="00835084">
      <w:pPr>
        <w:pBdr>
          <w:top w:val="nil"/>
          <w:left w:val="nil"/>
          <w:bottom w:val="nil"/>
          <w:right w:val="nil"/>
          <w:between w:val="nil"/>
        </w:pBdr>
        <w:tabs>
          <w:tab w:val="left" w:pos="426"/>
        </w:tabs>
        <w:spacing w:line="360" w:lineRule="auto"/>
        <w:ind w:left="720" w:right="-787"/>
        <w:jc w:val="both"/>
        <w:rPr>
          <w:rFonts w:ascii="Palatino Linotype" w:eastAsia="Palatino Linotype" w:hAnsi="Palatino Linotype" w:cs="Palatino Linotype"/>
          <w:b/>
          <w:color w:val="000000"/>
        </w:rPr>
      </w:pPr>
    </w:p>
    <w:p w14:paraId="4F137665"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siete (07) de junio de dos mil veinticuatro</w:t>
      </w:r>
      <w:r>
        <w:rPr>
          <w:rFonts w:ascii="Palatino Linotype" w:eastAsia="Palatino Linotype" w:hAnsi="Palatino Linotype" w:cs="Palatino Linotype"/>
          <w:color w:val="000000"/>
        </w:rPr>
        <w:t>, se notificó en el SAIMEX la ampliación del plazo para resolver el recurso de revisión, con base en lo establecido en el tercer párrafo del artículo 181 de la Ley de Transparencia y Acceso a la Información Pública del Estado de México y Municipios</w:t>
      </w:r>
      <w:r>
        <w:rPr>
          <w:rFonts w:ascii="Palatino Linotype" w:eastAsia="Palatino Linotype" w:hAnsi="Palatino Linotype" w:cs="Palatino Linotype"/>
          <w:color w:val="000000"/>
          <w:vertAlign w:val="superscript"/>
        </w:rPr>
        <w:footnoteReference w:id="1"/>
      </w:r>
      <w:r>
        <w:rPr>
          <w:rFonts w:ascii="Palatino Linotype" w:eastAsia="Palatino Linotype" w:hAnsi="Palatino Linotype" w:cs="Palatino Linotype"/>
          <w:color w:val="000000"/>
        </w:rPr>
        <w:t>.</w:t>
      </w:r>
    </w:p>
    <w:p w14:paraId="38B1EF23" w14:textId="77777777" w:rsidR="00835084" w:rsidRDefault="0083508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14:paraId="1D2FE184"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lastRenderedPageBreak/>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50EB4996" w14:textId="77777777" w:rsidR="00835084" w:rsidRDefault="0083508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14:paraId="6D72E804"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C3BCA33" w14:textId="77777777" w:rsidR="00835084" w:rsidRDefault="0083508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14:paraId="4CC90455"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6B809D1" w14:textId="77777777" w:rsidR="00835084" w:rsidRDefault="0083508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14:paraId="6D5D8811"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839D8A8" w14:textId="77777777" w:rsidR="00835084" w:rsidRDefault="0083508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14:paraId="1E396ED7"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lastRenderedPageBreak/>
        <w:t>Por ello, excepcionalmente, si un asunto es resuelto con posterioridad a los plazos señalados por la norma debe analizarse la razonabilidad de dicha dilación atendiendo a los siguientes criterios:</w:t>
      </w:r>
    </w:p>
    <w:p w14:paraId="1C5DDE5D" w14:textId="77777777" w:rsidR="00835084" w:rsidRDefault="00495C85">
      <w:pPr>
        <w:numPr>
          <w:ilvl w:val="1"/>
          <w:numId w:val="4"/>
        </w:numPr>
        <w:pBdr>
          <w:top w:val="nil"/>
          <w:left w:val="nil"/>
          <w:bottom w:val="nil"/>
          <w:right w:val="nil"/>
          <w:between w:val="nil"/>
        </w:pBdr>
        <w:tabs>
          <w:tab w:val="left" w:pos="426"/>
        </w:tabs>
        <w:spacing w:line="360" w:lineRule="auto"/>
        <w:ind w:left="1134"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Complejidad del </w:t>
      </w:r>
      <w:r>
        <w:rPr>
          <w:rFonts w:ascii="Palatino Linotype" w:eastAsia="Palatino Linotype" w:hAnsi="Palatino Linotype" w:cs="Palatino Linotype"/>
          <w:b/>
          <w:sz w:val="22"/>
          <w:szCs w:val="22"/>
        </w:rPr>
        <w:t>asunto</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14:paraId="5828485C" w14:textId="77777777" w:rsidR="00835084" w:rsidRDefault="00495C85">
      <w:pPr>
        <w:numPr>
          <w:ilvl w:val="1"/>
          <w:numId w:val="4"/>
        </w:numPr>
        <w:pBdr>
          <w:top w:val="nil"/>
          <w:left w:val="nil"/>
          <w:bottom w:val="nil"/>
          <w:right w:val="nil"/>
          <w:between w:val="nil"/>
        </w:pBdr>
        <w:tabs>
          <w:tab w:val="left" w:pos="426"/>
        </w:tabs>
        <w:spacing w:line="360" w:lineRule="auto"/>
        <w:ind w:left="1134"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Actividad Procesal del interesado:</w:t>
      </w:r>
      <w:r>
        <w:rPr>
          <w:rFonts w:ascii="Palatino Linotype" w:eastAsia="Palatino Linotype" w:hAnsi="Palatino Linotype" w:cs="Palatino Linotype"/>
          <w:color w:val="000000"/>
          <w:sz w:val="22"/>
          <w:szCs w:val="22"/>
        </w:rPr>
        <w:t xml:space="preserve"> Acciones u omisiones del interesado.</w:t>
      </w:r>
    </w:p>
    <w:p w14:paraId="1C6CE291" w14:textId="77777777" w:rsidR="00835084" w:rsidRDefault="00495C85">
      <w:pPr>
        <w:numPr>
          <w:ilvl w:val="1"/>
          <w:numId w:val="4"/>
        </w:numPr>
        <w:pBdr>
          <w:top w:val="nil"/>
          <w:left w:val="nil"/>
          <w:bottom w:val="nil"/>
          <w:right w:val="nil"/>
          <w:between w:val="nil"/>
        </w:pBdr>
        <w:tabs>
          <w:tab w:val="left" w:pos="426"/>
        </w:tabs>
        <w:spacing w:line="360" w:lineRule="auto"/>
        <w:ind w:left="1134"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Conducta de la Autoridad:</w:t>
      </w:r>
      <w:r>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14:paraId="183C92CB" w14:textId="77777777" w:rsidR="00835084" w:rsidRDefault="00495C85">
      <w:pPr>
        <w:numPr>
          <w:ilvl w:val="1"/>
          <w:numId w:val="4"/>
        </w:numPr>
        <w:pBdr>
          <w:top w:val="nil"/>
          <w:left w:val="nil"/>
          <w:bottom w:val="nil"/>
          <w:right w:val="nil"/>
          <w:between w:val="nil"/>
        </w:pBdr>
        <w:tabs>
          <w:tab w:val="left" w:pos="426"/>
        </w:tabs>
        <w:spacing w:line="360" w:lineRule="auto"/>
        <w:ind w:left="1134"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Pr>
          <w:rFonts w:ascii="Palatino Linotype" w:eastAsia="Palatino Linotype" w:hAnsi="Palatino Linotype" w:cs="Palatino Linotype"/>
          <w:color w:val="000000"/>
          <w:sz w:val="22"/>
          <w:szCs w:val="22"/>
        </w:rPr>
        <w:t>Violación a sus derechos humanos.</w:t>
      </w:r>
    </w:p>
    <w:p w14:paraId="66D83F79" w14:textId="77777777" w:rsidR="00835084" w:rsidRDefault="0083508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14:paraId="1107FAF9"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A33D927" w14:textId="77777777" w:rsidR="00835084" w:rsidRDefault="0083508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14:paraId="321E9DF0"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i/>
          <w:vertAlign w:val="superscript"/>
        </w:rPr>
        <w:t>”</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5B9DC1E6" w14:textId="77777777" w:rsidR="00835084" w:rsidRDefault="0083508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14:paraId="4E2479DB"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863B693" w14:textId="77777777" w:rsidR="00835084" w:rsidRDefault="0083508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14:paraId="54601472"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04FD3A9A" w14:textId="77777777" w:rsidR="00835084" w:rsidRDefault="00495C85">
      <w:pPr>
        <w:spacing w:line="276" w:lineRule="auto"/>
        <w:ind w:left="567" w:right="-7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“PLAZO RAZONABLE PARA RESOLVER. DIMENSIÓN Y EFECTOS DE ESTE CONCEPTO CUANDO SE ADUCE EXCESIVA CARGA DE TRABAJO.” consultable en el Seminario Judicial de la Federación y su gaceta, con el registro digital 2002351.</w:t>
      </w:r>
    </w:p>
    <w:p w14:paraId="01BDC99E" w14:textId="77777777" w:rsidR="00835084" w:rsidRDefault="00835084">
      <w:pPr>
        <w:spacing w:line="276" w:lineRule="auto"/>
        <w:ind w:left="567" w:right="-79"/>
        <w:jc w:val="both"/>
        <w:rPr>
          <w:rFonts w:ascii="Palatino Linotype" w:eastAsia="Palatino Linotype" w:hAnsi="Palatino Linotype" w:cs="Palatino Linotype"/>
          <w:sz w:val="22"/>
          <w:szCs w:val="22"/>
        </w:rPr>
      </w:pPr>
    </w:p>
    <w:p w14:paraId="68EC5131" w14:textId="77777777" w:rsidR="00835084" w:rsidRDefault="00495C85">
      <w:pPr>
        <w:spacing w:after="240" w:line="276" w:lineRule="auto"/>
        <w:ind w:left="567" w:right="-7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14:paraId="4CF3B7BE" w14:textId="77777777" w:rsidR="00835084" w:rsidRDefault="0083508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i/>
        </w:rPr>
      </w:pPr>
    </w:p>
    <w:p w14:paraId="3CDCD6EE"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7F2E394E" w14:textId="77777777" w:rsidR="00835084" w:rsidRDefault="0083508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14:paraId="2B59652A"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lastRenderedPageBreak/>
        <w:t xml:space="preserve">Finalmente, el </w:t>
      </w:r>
      <w:r>
        <w:rPr>
          <w:rFonts w:ascii="Palatino Linotype" w:eastAsia="Palatino Linotype" w:hAnsi="Palatino Linotype" w:cs="Palatino Linotype"/>
          <w:b/>
          <w:color w:val="000000"/>
        </w:rPr>
        <w:t>nueve (09) de septiembre de dos mil veinticuatro</w:t>
      </w:r>
      <w:r>
        <w:rPr>
          <w:rFonts w:ascii="Palatino Linotype" w:eastAsia="Palatino Linotype" w:hAnsi="Palatino Linotype" w:cs="Palatino Linotype"/>
          <w:color w:val="000000"/>
        </w:rPr>
        <w:t>, la Comisionada Ponente decretó el cierre del periodo de instrucción, por lo que ordenó turnar el expediente para su resolución, misma que ahora se pronuncia; y ----------------------------------</w:t>
      </w:r>
    </w:p>
    <w:p w14:paraId="1F8AD19A" w14:textId="77777777" w:rsidR="00835084" w:rsidRDefault="0083508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bookmarkStart w:id="1" w:name="_heading=h.1fob9te" w:colFirst="0" w:colLast="0"/>
      <w:bookmarkEnd w:id="1"/>
    </w:p>
    <w:p w14:paraId="2B97D684" w14:textId="77777777" w:rsidR="00835084" w:rsidRDefault="00495C85">
      <w:pPr>
        <w:pStyle w:val="Ttulo1"/>
        <w:spacing w:before="0" w:line="360" w:lineRule="auto"/>
        <w:ind w:right="-787"/>
        <w:jc w:val="center"/>
        <w:rPr>
          <w:b/>
          <w:color w:val="000000"/>
        </w:rPr>
      </w:pPr>
      <w:bookmarkStart w:id="2" w:name="_heading=h.3znysh7" w:colFirst="0" w:colLast="0"/>
      <w:bookmarkEnd w:id="2"/>
      <w:r>
        <w:rPr>
          <w:b/>
          <w:color w:val="000000"/>
        </w:rPr>
        <w:t>C O N S I D E R A N D O</w:t>
      </w:r>
    </w:p>
    <w:p w14:paraId="7B0D4A0F" w14:textId="77777777" w:rsidR="00835084" w:rsidRDefault="00835084">
      <w:pPr>
        <w:spacing w:line="360" w:lineRule="auto"/>
        <w:ind w:right="-787"/>
        <w:rPr>
          <w:color w:val="000000"/>
        </w:rPr>
      </w:pPr>
    </w:p>
    <w:p w14:paraId="47DF25EC" w14:textId="77777777" w:rsidR="00835084" w:rsidRDefault="00495C85">
      <w:pPr>
        <w:pStyle w:val="Ttulo2"/>
        <w:spacing w:before="0" w:line="360" w:lineRule="auto"/>
        <w:ind w:right="-787"/>
        <w:rPr>
          <w:rFonts w:ascii="Palatino Linotype" w:eastAsia="Palatino Linotype" w:hAnsi="Palatino Linotype" w:cs="Palatino Linotype"/>
          <w:b/>
          <w:color w:val="000000"/>
          <w:sz w:val="24"/>
          <w:szCs w:val="24"/>
        </w:rPr>
      </w:pPr>
      <w:bookmarkStart w:id="3" w:name="_heading=h.2et92p0" w:colFirst="0" w:colLast="0"/>
      <w:bookmarkEnd w:id="3"/>
      <w:r>
        <w:rPr>
          <w:rFonts w:ascii="Palatino Linotype" w:eastAsia="Palatino Linotype" w:hAnsi="Palatino Linotype" w:cs="Palatino Linotype"/>
          <w:b/>
          <w:color w:val="000000"/>
          <w:sz w:val="24"/>
          <w:szCs w:val="24"/>
        </w:rPr>
        <w:t>PRIMERO. De la competencia</w:t>
      </w:r>
    </w:p>
    <w:p w14:paraId="56BEADF8"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r>
        <w:rPr>
          <w:rFonts w:ascii="Palatino Linotype" w:eastAsia="Palatino Linotype" w:hAnsi="Palatino Linotype" w:cs="Palatino Linotype"/>
          <w:b/>
          <w:color w:val="000000"/>
        </w:rPr>
        <w:t>.</w:t>
      </w:r>
    </w:p>
    <w:p w14:paraId="6C24D7C3" w14:textId="77777777" w:rsidR="00835084" w:rsidRDefault="0083508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p>
    <w:p w14:paraId="5C76376B" w14:textId="77777777" w:rsidR="00835084" w:rsidRDefault="00495C85">
      <w:pPr>
        <w:pStyle w:val="Ttulo2"/>
        <w:tabs>
          <w:tab w:val="left" w:pos="426"/>
        </w:tabs>
        <w:spacing w:before="0" w:line="360" w:lineRule="auto"/>
        <w:ind w:right="-787"/>
        <w:rPr>
          <w:rFonts w:ascii="Palatino Linotype" w:eastAsia="Palatino Linotype" w:hAnsi="Palatino Linotype" w:cs="Palatino Linotype"/>
          <w:b/>
          <w:color w:val="000000"/>
          <w:sz w:val="24"/>
          <w:szCs w:val="24"/>
        </w:rPr>
      </w:pPr>
      <w:bookmarkStart w:id="4" w:name="_heading=h.tyjcwt" w:colFirst="0" w:colLast="0"/>
      <w:bookmarkEnd w:id="4"/>
      <w:r>
        <w:rPr>
          <w:rFonts w:ascii="Palatino Linotype" w:eastAsia="Palatino Linotype" w:hAnsi="Palatino Linotype" w:cs="Palatino Linotype"/>
          <w:b/>
          <w:color w:val="000000"/>
          <w:sz w:val="24"/>
          <w:szCs w:val="24"/>
        </w:rPr>
        <w:t>SEGUNDO. De la oportunidad y procedencia.</w:t>
      </w:r>
    </w:p>
    <w:p w14:paraId="3E38ED25" w14:textId="77777777" w:rsidR="00835084" w:rsidRDefault="00495C85">
      <w:pPr>
        <w:numPr>
          <w:ilvl w:val="0"/>
          <w:numId w:val="1"/>
        </w:numPr>
        <w:tabs>
          <w:tab w:val="left" w:pos="426"/>
        </w:tabs>
        <w:spacing w:line="360" w:lineRule="auto"/>
        <w:ind w:right="-787"/>
        <w:jc w:val="both"/>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rPr>
        <w:t>medio de impugnación fue presentado a través del SAIMEX</w:t>
      </w:r>
      <w:r>
        <w:rPr>
          <w:rFonts w:ascii="Palatino Linotype" w:eastAsia="Palatino Linotype" w:hAnsi="Palatino Linotype" w:cs="Palatino Linotype"/>
          <w:b/>
        </w:rPr>
        <w:t>,</w:t>
      </w:r>
      <w:r>
        <w:rPr>
          <w:rFonts w:ascii="Palatino Linotype" w:eastAsia="Palatino Linotype" w:hAnsi="Palatino Linotype" w:cs="Palatino Linotype"/>
        </w:rPr>
        <w:t xml:space="preserve"> en el formato previamente aprobado para tal efecto y dentro del plazo legal de 15 días hábiles otorgados; para el caso en particular es de señalar que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 el </w:t>
      </w:r>
      <w:r>
        <w:rPr>
          <w:rFonts w:ascii="Palatino Linotype" w:eastAsia="Palatino Linotype" w:hAnsi="Palatino Linotype" w:cs="Palatino Linotype"/>
          <w:b/>
        </w:rPr>
        <w:t>cuatro (04) de abril de do mil veinticuatro</w:t>
      </w:r>
      <w:r>
        <w:rPr>
          <w:rFonts w:ascii="Palatino Linotype" w:eastAsia="Palatino Linotype" w:hAnsi="Palatino Linotype" w:cs="Palatino Linotype"/>
        </w:rPr>
        <w:t xml:space="preserve">, el plazo para interponer el recurso de revisión transcurrió del </w:t>
      </w:r>
      <w:r>
        <w:rPr>
          <w:rFonts w:ascii="Palatino Linotype" w:eastAsia="Palatino Linotype" w:hAnsi="Palatino Linotype" w:cs="Palatino Linotype"/>
          <w:b/>
        </w:rPr>
        <w:t>cinco (05) al veinticinco (25) de abril de dos mil veinticuatro</w:t>
      </w:r>
      <w:r>
        <w:rPr>
          <w:rFonts w:ascii="Palatino Linotype" w:eastAsia="Palatino Linotype" w:hAnsi="Palatino Linotype" w:cs="Palatino Linotype"/>
        </w:rPr>
        <w:t xml:space="preserve">; sin </w:t>
      </w:r>
      <w:r>
        <w:rPr>
          <w:rFonts w:ascii="Palatino Linotype" w:eastAsia="Palatino Linotype" w:hAnsi="Palatino Linotype" w:cs="Palatino Linotype"/>
        </w:rPr>
        <w:lastRenderedPageBreak/>
        <w:t>contemplar en el cómputo los sábados, domingos y días inhábiles, en términos del artículo 3, fracción X, de la Ley de Transparencia y Acceso a la Información Pública del Estado de México y Municipios.</w:t>
      </w:r>
    </w:p>
    <w:p w14:paraId="28EE8626" w14:textId="77777777" w:rsidR="00835084" w:rsidRDefault="00835084">
      <w:pPr>
        <w:tabs>
          <w:tab w:val="left" w:pos="426"/>
        </w:tabs>
        <w:spacing w:line="360" w:lineRule="auto"/>
        <w:ind w:right="-787"/>
        <w:jc w:val="both"/>
        <w:rPr>
          <w:rFonts w:ascii="Palatino Linotype" w:eastAsia="Palatino Linotype" w:hAnsi="Palatino Linotype" w:cs="Palatino Linotype"/>
        </w:rPr>
      </w:pPr>
    </w:p>
    <w:p w14:paraId="619D343F" w14:textId="77777777" w:rsidR="00835084" w:rsidRDefault="00495C85">
      <w:pPr>
        <w:numPr>
          <w:ilvl w:val="0"/>
          <w:numId w:val="1"/>
        </w:numPr>
        <w:pBdr>
          <w:top w:val="nil"/>
          <w:left w:val="nil"/>
          <w:bottom w:val="nil"/>
          <w:right w:val="nil"/>
          <w:between w:val="nil"/>
        </w:pBdr>
        <w:tabs>
          <w:tab w:val="left" w:pos="284"/>
          <w:tab w:val="left" w:pos="426"/>
        </w:tabs>
        <w:spacing w:line="360" w:lineRule="auto"/>
        <w:ind w:right="-787"/>
        <w:jc w:val="both"/>
        <w:rPr>
          <w:color w:val="000000"/>
        </w:rPr>
      </w:pPr>
      <w:r>
        <w:rPr>
          <w:rFonts w:ascii="Palatino Linotype" w:eastAsia="Palatino Linotype" w:hAnsi="Palatino Linotype" w:cs="Palatino Linotype"/>
          <w:color w:val="000000"/>
        </w:rPr>
        <w:t xml:space="preserve">De las constancias que obran dentro del expediente digital formado en el SAIMEX, se advierte que el particular presentó el recurso de revisión </w:t>
      </w:r>
      <w:r>
        <w:rPr>
          <w:rFonts w:ascii="Palatino Linotype" w:eastAsia="Palatino Linotype" w:hAnsi="Palatino Linotype" w:cs="Palatino Linotype"/>
          <w:b/>
          <w:color w:val="000000"/>
        </w:rPr>
        <w:t>01748/INFOEM/IP/RR/2024</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cuatro (04) de abril de dos mil veinticuatro</w:t>
      </w:r>
      <w:r>
        <w:rPr>
          <w:rFonts w:ascii="Palatino Linotype" w:eastAsia="Palatino Linotype" w:hAnsi="Palatino Linotype" w:cs="Palatino Linotype"/>
          <w:color w:val="000000"/>
        </w:rPr>
        <w:t>; por ende, éste se encuentra dentro del plazo legalmente establecido en el artículo 178</w:t>
      </w:r>
      <w:r>
        <w:rPr>
          <w:rFonts w:ascii="Palatino Linotype" w:eastAsia="Palatino Linotype" w:hAnsi="Palatino Linotype" w:cs="Palatino Linotype"/>
          <w:color w:val="000000"/>
          <w:vertAlign w:val="superscript"/>
        </w:rPr>
        <w:footnoteReference w:id="2"/>
      </w:r>
      <w:r>
        <w:rPr>
          <w:rFonts w:ascii="Palatino Linotype" w:eastAsia="Palatino Linotype" w:hAnsi="Palatino Linotype" w:cs="Palatino Linotype"/>
          <w:color w:val="000000"/>
        </w:rPr>
        <w:t xml:space="preserve"> de la Ley de Transparencia y Acceso a la Información Pública del Estado de México y Municipios.</w:t>
      </w:r>
    </w:p>
    <w:p w14:paraId="66EA49EC" w14:textId="77777777" w:rsidR="00835084" w:rsidRDefault="00835084">
      <w:pPr>
        <w:pBdr>
          <w:top w:val="nil"/>
          <w:left w:val="nil"/>
          <w:bottom w:val="nil"/>
          <w:right w:val="nil"/>
          <w:between w:val="nil"/>
        </w:pBdr>
        <w:tabs>
          <w:tab w:val="left" w:pos="284"/>
          <w:tab w:val="left" w:pos="426"/>
        </w:tabs>
        <w:spacing w:line="360" w:lineRule="auto"/>
        <w:ind w:right="-787"/>
        <w:jc w:val="both"/>
        <w:rPr>
          <w:rFonts w:ascii="Palatino Linotype" w:eastAsia="Palatino Linotype" w:hAnsi="Palatino Linotype" w:cs="Palatino Linotype"/>
          <w:color w:val="000000"/>
        </w:rPr>
      </w:pPr>
    </w:p>
    <w:p w14:paraId="4522D84C"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64D0B539" w14:textId="77777777" w:rsidR="00835084" w:rsidRDefault="0083508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i/>
          <w:color w:val="000000"/>
        </w:rPr>
      </w:pPr>
      <w:bookmarkStart w:id="5" w:name="_heading=h.3dy6vkm" w:colFirst="0" w:colLast="0"/>
      <w:bookmarkEnd w:id="5"/>
    </w:p>
    <w:p w14:paraId="35C52ED7" w14:textId="77777777" w:rsidR="00835084" w:rsidRDefault="00495C85">
      <w:pPr>
        <w:pStyle w:val="Ttulo2"/>
        <w:tabs>
          <w:tab w:val="left" w:pos="426"/>
        </w:tabs>
        <w:spacing w:before="0" w:line="360" w:lineRule="auto"/>
        <w:ind w:right="-787"/>
        <w:rPr>
          <w:rFonts w:ascii="Palatino Linotype" w:eastAsia="Palatino Linotype" w:hAnsi="Palatino Linotype" w:cs="Palatino Linotype"/>
          <w:b/>
          <w:color w:val="000000"/>
          <w:sz w:val="24"/>
          <w:szCs w:val="24"/>
        </w:rPr>
      </w:pPr>
      <w:bookmarkStart w:id="6" w:name="_heading=h.4d34og8" w:colFirst="0" w:colLast="0"/>
      <w:bookmarkEnd w:id="6"/>
      <w:r>
        <w:rPr>
          <w:rFonts w:ascii="Palatino Linotype" w:eastAsia="Palatino Linotype" w:hAnsi="Palatino Linotype" w:cs="Palatino Linotype"/>
          <w:b/>
          <w:color w:val="000000"/>
          <w:sz w:val="24"/>
          <w:szCs w:val="24"/>
        </w:rPr>
        <w:t>TERCERO. De las causales de sobreseimiento.</w:t>
      </w:r>
    </w:p>
    <w:p w14:paraId="68A2AD7E"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 xml:space="preserve">Establecido lo anterior, de la lectura a la solicitud de información, se advierte que el entonces </w:t>
      </w:r>
      <w:r>
        <w:rPr>
          <w:rFonts w:ascii="Palatino Linotype" w:eastAsia="Palatino Linotype" w:hAnsi="Palatino Linotype" w:cs="Palatino Linotype"/>
          <w:b/>
          <w:color w:val="000000"/>
        </w:rPr>
        <w:t>SOLICITANTE</w:t>
      </w:r>
      <w:r>
        <w:rPr>
          <w:rFonts w:ascii="Palatino Linotype" w:eastAsia="Palatino Linotype" w:hAnsi="Palatino Linotype" w:cs="Palatino Linotype"/>
          <w:color w:val="000000"/>
        </w:rPr>
        <w:t xml:space="preserve"> requirió acceder a la siguiente información:</w:t>
      </w:r>
    </w:p>
    <w:p w14:paraId="43E6AE3D" w14:textId="77777777" w:rsidR="00835084" w:rsidRDefault="0083508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14:paraId="03B7307B" w14:textId="77777777" w:rsidR="00835084" w:rsidRDefault="00495C85">
      <w:pPr>
        <w:pBdr>
          <w:top w:val="nil"/>
          <w:left w:val="nil"/>
          <w:bottom w:val="nil"/>
          <w:right w:val="nil"/>
          <w:between w:val="nil"/>
        </w:pBdr>
        <w:tabs>
          <w:tab w:val="left" w:pos="426"/>
        </w:tabs>
        <w:spacing w:line="360" w:lineRule="auto"/>
        <w:ind w:left="566"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“SOLICITO QUE SOLO ESTE PUNTO SEA ENVIADO A LA PRESIDENTA HONORIFICA DEL DIF LA LIC. ESMERALDA VALLEJO QUIEN SIEMPRE DICE QUE LUCHA POR LAS PERSONAS Y LAS MUJERES QUE SUFREN MALTRATO, QUE CONTESTE SI POR SER EL AHIJADO DE DU ESPOSO ES QUE TOLERAN SUS ACTITUDES DE NIÑO CHIQUITO, DONDE GRITA, CORRE A PERSONAS DE LAS REUNIONES, LES GRITA, HUMILLA Y DENIGRA, REFERENTE AL SECRETARIO TÉCNICO OMAR ALEJANDRO BALDERAS FERNÁNDEZ, la solicitud de contestación debe estar firmada por la presidenta honorifica por nadie </w:t>
      </w:r>
      <w:proofErr w:type="spellStart"/>
      <w:r>
        <w:rPr>
          <w:rFonts w:ascii="Palatino Linotype" w:eastAsia="Palatino Linotype" w:hAnsi="Palatino Linotype" w:cs="Palatino Linotype"/>
          <w:i/>
          <w:color w:val="000000"/>
          <w:sz w:val="22"/>
          <w:szCs w:val="22"/>
        </w:rPr>
        <w:t>mas</w:t>
      </w:r>
      <w:proofErr w:type="spellEnd"/>
      <w:r>
        <w:rPr>
          <w:rFonts w:ascii="Palatino Linotype" w:eastAsia="Palatino Linotype" w:hAnsi="Palatino Linotype" w:cs="Palatino Linotype"/>
          <w:i/>
          <w:color w:val="000000"/>
          <w:sz w:val="22"/>
          <w:szCs w:val="22"/>
        </w:rPr>
        <w:t>.”</w:t>
      </w:r>
    </w:p>
    <w:p w14:paraId="25CB9BC1" w14:textId="77777777" w:rsidR="00835084" w:rsidRDefault="0083508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14:paraId="0F22F004"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 xml:space="preserve">En respuesta,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señaló que el servidor público no pertenece a ese Sujeto Obligado, por ello desconocen su comportamiento, inconforme con la respuesta, el particular se inconformó, de forma medular, por la negativa de la información. </w:t>
      </w:r>
    </w:p>
    <w:p w14:paraId="4A5E8612" w14:textId="77777777" w:rsidR="00835084" w:rsidRDefault="0083508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14:paraId="274A385B"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 xml:space="preserve">Derivado de la simple lectura de la solicitud se advierte que los requerimientos formulados por el particular no actualizan el ejercicio del derecho de acceso a la información pública, pues pretende que </w:t>
      </w:r>
      <w:r>
        <w:rPr>
          <w:rFonts w:ascii="Palatino Linotype" w:eastAsia="Palatino Linotype" w:hAnsi="Palatino Linotype" w:cs="Palatino Linotype"/>
          <w:b/>
          <w:color w:val="000000"/>
        </w:rPr>
        <w:t xml:space="preserve">EL SUJETO OBLIGADO </w:t>
      </w:r>
      <w:r>
        <w:rPr>
          <w:rFonts w:ascii="Palatino Linotype" w:eastAsia="Palatino Linotype" w:hAnsi="Palatino Linotype" w:cs="Palatino Linotype"/>
          <w:color w:val="000000"/>
        </w:rPr>
        <w:t>emita un pronunciamiento categórico mediante el cual explique determinada situación, a fin de satisfacer su interrogante o inquietud</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rPr>
        <w:t xml:space="preserve"> razón por la cual este Órgano Garante considera pertinente, en primer lugar, establecer las diferencias entre el derecho de petición y el derecho base del asunto que nos ocupa, basado en lo siguiente:</w:t>
      </w:r>
    </w:p>
    <w:p w14:paraId="6560D066" w14:textId="77777777" w:rsidR="00835084" w:rsidRDefault="00835084">
      <w:pPr>
        <w:pBdr>
          <w:top w:val="nil"/>
          <w:left w:val="nil"/>
          <w:bottom w:val="nil"/>
          <w:right w:val="nil"/>
          <w:between w:val="nil"/>
        </w:pBdr>
        <w:tabs>
          <w:tab w:val="left" w:pos="567"/>
        </w:tabs>
        <w:spacing w:line="360" w:lineRule="auto"/>
        <w:ind w:right="-787"/>
        <w:jc w:val="both"/>
        <w:rPr>
          <w:rFonts w:ascii="Palatino Linotype" w:eastAsia="Palatino Linotype" w:hAnsi="Palatino Linotype" w:cs="Palatino Linotype"/>
          <w:color w:val="000000"/>
        </w:rPr>
      </w:pPr>
    </w:p>
    <w:p w14:paraId="4E27D4FC" w14:textId="77777777" w:rsidR="00835084" w:rsidRDefault="00495C85">
      <w:pPr>
        <w:numPr>
          <w:ilvl w:val="0"/>
          <w:numId w:val="1"/>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t>El Maestro Ignacio Burgoa Orihuela refiere que el derecho de petición “…</w:t>
      </w:r>
      <w:r>
        <w:rPr>
          <w:rFonts w:ascii="Palatino Linotype" w:eastAsia="Palatino Linotype" w:hAnsi="Palatino Linotype" w:cs="Palatino Linotype"/>
          <w:i/>
          <w:color w:val="000000"/>
        </w:rPr>
        <w:t xml:space="preserve">es un Derecho Público subjetivo individual de la Garantía Respectiva Consagrada en el Artículo 8 de la </w:t>
      </w:r>
      <w:r>
        <w:rPr>
          <w:rFonts w:ascii="Palatino Linotype" w:eastAsia="Palatino Linotype" w:hAnsi="Palatino Linotype" w:cs="Palatino Linotype"/>
          <w:i/>
          <w:color w:val="000000"/>
        </w:rPr>
        <w:lastRenderedPageBreak/>
        <w:t>Ley Fundamental. En tal virtud, la persona tiene la facultad de acudir a cualquier autoridad, formulando una solicitud o instancia escrito de cualquier índole, la cual adopta, específicamente, el carácter de simple petición administrativa, acción o recurso, etc.</w:t>
      </w:r>
      <w:r>
        <w:rPr>
          <w:rFonts w:ascii="Palatino Linotype" w:eastAsia="Palatino Linotype" w:hAnsi="Palatino Linotype" w:cs="Palatino Linotype"/>
          <w:i/>
          <w:color w:val="000000"/>
          <w:vertAlign w:val="superscript"/>
        </w:rPr>
        <w:t xml:space="preserve"> </w:t>
      </w:r>
      <w:r>
        <w:rPr>
          <w:color w:val="000000"/>
          <w:vertAlign w:val="superscript"/>
        </w:rPr>
        <w:footnoteReference w:id="3"/>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mientras que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David Cienfuegos Salgado, lo concibe como </w:t>
      </w:r>
      <w:r>
        <w:rPr>
          <w:rFonts w:ascii="Palatino Linotype" w:eastAsia="Palatino Linotype" w:hAnsi="Palatino Linotype" w:cs="Palatino Linotype"/>
          <w:i/>
          <w:color w:val="000000"/>
        </w:rPr>
        <w:t>“el derecho de toda persona a ser escuchado por quienes ejercen el poder público.</w:t>
      </w:r>
      <w:r>
        <w:rPr>
          <w:rFonts w:ascii="Palatino Linotype" w:eastAsia="Palatino Linotype" w:hAnsi="Palatino Linotype" w:cs="Palatino Linotype"/>
          <w:i/>
          <w:color w:val="000000"/>
          <w:vertAlign w:val="superscript"/>
        </w:rPr>
        <w:t xml:space="preserve"> </w:t>
      </w:r>
      <w:r>
        <w:rPr>
          <w:color w:val="000000"/>
          <w:vertAlign w:val="superscript"/>
        </w:rPr>
        <w:footnoteReference w:id="4"/>
      </w:r>
      <w:r>
        <w:rPr>
          <w:rFonts w:ascii="Palatino Linotype" w:eastAsia="Palatino Linotype" w:hAnsi="Palatino Linotype" w:cs="Palatino Linotype"/>
          <w:i/>
          <w:color w:val="000000"/>
        </w:rPr>
        <w:t xml:space="preserve">” </w:t>
      </w:r>
    </w:p>
    <w:p w14:paraId="6922B205" w14:textId="77777777" w:rsidR="00835084" w:rsidRDefault="00835084">
      <w:pPr>
        <w:pBdr>
          <w:top w:val="nil"/>
          <w:left w:val="nil"/>
          <w:bottom w:val="nil"/>
          <w:right w:val="nil"/>
          <w:between w:val="nil"/>
        </w:pBdr>
        <w:ind w:left="720" w:right="-787"/>
        <w:rPr>
          <w:rFonts w:ascii="Palatino Linotype" w:eastAsia="Palatino Linotype" w:hAnsi="Palatino Linotype" w:cs="Palatino Linotype"/>
          <w:color w:val="000000"/>
        </w:rPr>
      </w:pPr>
    </w:p>
    <w:p w14:paraId="731447EC" w14:textId="77777777" w:rsidR="00835084" w:rsidRDefault="00495C85">
      <w:pPr>
        <w:numPr>
          <w:ilvl w:val="0"/>
          <w:numId w:val="1"/>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t xml:space="preserve">Para diferenciar el derecho de petición al derecho de acceso a la información, resulta conducente señalar que José Guadalupe Robles, conceptualiza el derecho a la información como </w:t>
      </w:r>
      <w:r>
        <w:rPr>
          <w:rFonts w:ascii="Palatino Linotype" w:eastAsia="Palatino Linotype" w:hAnsi="Palatino Linotype" w:cs="Palatino Linotype"/>
          <w:i/>
          <w:color w:val="000000"/>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Pr>
          <w:rFonts w:ascii="Palatino Linotype" w:eastAsia="Palatino Linotype" w:hAnsi="Palatino Linotype" w:cs="Palatino Linotype"/>
          <w:i/>
          <w:color w:val="000000"/>
          <w:vertAlign w:val="superscript"/>
        </w:rPr>
        <w:t xml:space="preserve"> </w:t>
      </w:r>
      <w:r>
        <w:rPr>
          <w:i/>
          <w:color w:val="000000"/>
          <w:vertAlign w:val="superscript"/>
        </w:rPr>
        <w:footnoteReference w:id="5"/>
      </w:r>
      <w:r>
        <w:rPr>
          <w:rFonts w:ascii="Palatino Linotype" w:eastAsia="Palatino Linotype" w:hAnsi="Palatino Linotype" w:cs="Palatino Linotype"/>
          <w:i/>
          <w:color w:val="000000"/>
        </w:rPr>
        <w:t>“</w:t>
      </w:r>
    </w:p>
    <w:p w14:paraId="6C182E54" w14:textId="77777777" w:rsidR="00835084" w:rsidRDefault="00835084">
      <w:pPr>
        <w:pBdr>
          <w:top w:val="nil"/>
          <w:left w:val="nil"/>
          <w:bottom w:val="nil"/>
          <w:right w:val="nil"/>
          <w:between w:val="nil"/>
        </w:pBdr>
        <w:ind w:left="720" w:right="-787"/>
        <w:rPr>
          <w:rFonts w:ascii="Palatino Linotype" w:eastAsia="Palatino Linotype" w:hAnsi="Palatino Linotype" w:cs="Palatino Linotype"/>
          <w:color w:val="000000"/>
        </w:rPr>
      </w:pPr>
    </w:p>
    <w:p w14:paraId="76B6479F" w14:textId="77777777" w:rsidR="00835084" w:rsidRDefault="00495C85">
      <w:pPr>
        <w:numPr>
          <w:ilvl w:val="0"/>
          <w:numId w:val="1"/>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t xml:space="preserve">Además, el derecho a la información constituye una prerrogativa de acceder a documentación en poder de los </w:t>
      </w:r>
      <w:r>
        <w:rPr>
          <w:rFonts w:ascii="Palatino Linotype" w:eastAsia="Palatino Linotype" w:hAnsi="Palatino Linotype" w:cs="Palatino Linotype"/>
          <w:color w:val="000000"/>
          <w:u w:val="single"/>
        </w:rPr>
        <w:t>Sujetos Obligados</w:t>
      </w:r>
      <w:r>
        <w:rPr>
          <w:rFonts w:ascii="Palatino Linotype" w:eastAsia="Palatino Linotype" w:hAnsi="Palatino Linotype" w:cs="Palatino Linotype"/>
          <w:color w:val="000000"/>
        </w:rPr>
        <w:t xml:space="preserve">, no así a realizar cuestionamientos, o manifestaciones subjetivas. </w:t>
      </w:r>
    </w:p>
    <w:p w14:paraId="49E68962" w14:textId="77777777" w:rsidR="00835084" w:rsidRDefault="00835084">
      <w:pPr>
        <w:pBdr>
          <w:top w:val="nil"/>
          <w:left w:val="nil"/>
          <w:bottom w:val="nil"/>
          <w:right w:val="nil"/>
          <w:between w:val="nil"/>
        </w:pBdr>
        <w:ind w:left="720" w:right="-787"/>
        <w:rPr>
          <w:rFonts w:ascii="Palatino Linotype" w:eastAsia="Palatino Linotype" w:hAnsi="Palatino Linotype" w:cs="Palatino Linotype"/>
          <w:color w:val="000000"/>
        </w:rPr>
      </w:pPr>
    </w:p>
    <w:p w14:paraId="2C3160BA" w14:textId="77777777" w:rsidR="00835084" w:rsidRDefault="00495C85">
      <w:pPr>
        <w:numPr>
          <w:ilvl w:val="0"/>
          <w:numId w:val="1"/>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t xml:space="preserve">Sirve de apoyo a lo anterior la definición de derecho a la información de Ernesto Villanueva </w:t>
      </w:r>
      <w:proofErr w:type="spellStart"/>
      <w:r>
        <w:rPr>
          <w:rFonts w:ascii="Palatino Linotype" w:eastAsia="Palatino Linotype" w:hAnsi="Palatino Linotype" w:cs="Palatino Linotype"/>
          <w:color w:val="000000"/>
        </w:rPr>
        <w:t>Villanueva</w:t>
      </w:r>
      <w:proofErr w:type="spellEnd"/>
      <w:r>
        <w:rPr>
          <w:rFonts w:ascii="Palatino Linotype" w:eastAsia="Palatino Linotype" w:hAnsi="Palatino Linotype" w:cs="Palatino Linotype"/>
          <w:color w:val="000000"/>
        </w:rPr>
        <w:t xml:space="preserve"> que dice: “</w:t>
      </w:r>
      <w:r>
        <w:rPr>
          <w:rFonts w:ascii="Palatino Linotype" w:eastAsia="Palatino Linotype" w:hAnsi="Palatino Linotype" w:cs="Palatino Linotype"/>
          <w:i/>
          <w:color w:val="000000"/>
        </w:rPr>
        <w:t xml:space="preserve">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 </w:t>
      </w:r>
      <w:r>
        <w:rPr>
          <w:i/>
          <w:color w:val="000000"/>
          <w:vertAlign w:val="superscript"/>
        </w:rPr>
        <w:footnoteReference w:id="6"/>
      </w:r>
    </w:p>
    <w:p w14:paraId="7D58772A" w14:textId="77777777" w:rsidR="00835084" w:rsidRDefault="00495C85">
      <w:pPr>
        <w:numPr>
          <w:ilvl w:val="0"/>
          <w:numId w:val="1"/>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lastRenderedPageBreak/>
        <w:t xml:space="preserve">Por lo que, </w:t>
      </w:r>
      <w:r>
        <w:rPr>
          <w:rFonts w:ascii="Palatino Linotype" w:eastAsia="Palatino Linotype" w:hAnsi="Palatino Linotype" w:cs="Palatino Linotype"/>
          <w:b/>
          <w:color w:val="000000"/>
        </w:rPr>
        <w:t>la entrega de una razón o un razonamiento por parte del Sujeto Obligado no es algo que la ley establezca como atribución, derecho, o facultad</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pues ello implicaría un juicio de valor referente a un cuestionamiento realizado</w:t>
      </w:r>
      <w:r>
        <w:rPr>
          <w:rFonts w:ascii="Palatino Linotype" w:eastAsia="Palatino Linotype" w:hAnsi="Palatino Linotype" w:cs="Palatino Linotype"/>
          <w:color w:val="000000"/>
        </w:rPr>
        <w:t>, los cuales, al constituir interrogantes, inquietudes y manifestaciones se satisfacen vía derecho de petición.</w:t>
      </w:r>
    </w:p>
    <w:p w14:paraId="45E07DEB" w14:textId="77777777" w:rsidR="00835084" w:rsidRDefault="00835084">
      <w:pPr>
        <w:pBdr>
          <w:top w:val="nil"/>
          <w:left w:val="nil"/>
          <w:bottom w:val="nil"/>
          <w:right w:val="nil"/>
          <w:between w:val="nil"/>
        </w:pBdr>
        <w:ind w:left="720" w:right="-787"/>
        <w:rPr>
          <w:rFonts w:ascii="Palatino Linotype" w:eastAsia="Palatino Linotype" w:hAnsi="Palatino Linotype" w:cs="Palatino Linotype"/>
          <w:color w:val="000000"/>
        </w:rPr>
      </w:pPr>
    </w:p>
    <w:p w14:paraId="504B7D5B" w14:textId="77777777" w:rsidR="00835084" w:rsidRDefault="00495C85">
      <w:pPr>
        <w:numPr>
          <w:ilvl w:val="0"/>
          <w:numId w:val="1"/>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14:paraId="7B14F5DB" w14:textId="77777777" w:rsidR="00835084" w:rsidRDefault="00835084">
      <w:pPr>
        <w:pBdr>
          <w:top w:val="nil"/>
          <w:left w:val="nil"/>
          <w:bottom w:val="nil"/>
          <w:right w:val="nil"/>
          <w:between w:val="nil"/>
        </w:pBdr>
        <w:ind w:left="720" w:right="-787"/>
        <w:rPr>
          <w:rFonts w:ascii="Palatino Linotype" w:eastAsia="Palatino Linotype" w:hAnsi="Palatino Linotype" w:cs="Palatino Linotype"/>
          <w:color w:val="000000"/>
        </w:rPr>
      </w:pPr>
    </w:p>
    <w:p w14:paraId="6E28BEAD" w14:textId="77777777" w:rsidR="00835084" w:rsidRDefault="00495C85">
      <w:pPr>
        <w:numPr>
          <w:ilvl w:val="0"/>
          <w:numId w:val="1"/>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2C27F73F" w14:textId="77777777" w:rsidR="00835084" w:rsidRDefault="00835084">
      <w:pPr>
        <w:pBdr>
          <w:top w:val="nil"/>
          <w:left w:val="nil"/>
          <w:bottom w:val="nil"/>
          <w:right w:val="nil"/>
          <w:between w:val="nil"/>
        </w:pBdr>
        <w:ind w:left="720" w:right="-787"/>
        <w:rPr>
          <w:rFonts w:ascii="Palatino Linotype" w:eastAsia="Palatino Linotype" w:hAnsi="Palatino Linotype" w:cs="Palatino Linotype"/>
          <w:color w:val="000000"/>
        </w:rPr>
      </w:pPr>
    </w:p>
    <w:p w14:paraId="1445043B" w14:textId="77777777" w:rsidR="00835084" w:rsidRDefault="00495C85">
      <w:pPr>
        <w:numPr>
          <w:ilvl w:val="0"/>
          <w:numId w:val="1"/>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w:t>
      </w:r>
      <w:r>
        <w:rPr>
          <w:rFonts w:ascii="Palatino Linotype" w:eastAsia="Palatino Linotype" w:hAnsi="Palatino Linotype" w:cs="Palatino Linotype"/>
          <w:color w:val="000000"/>
        </w:rPr>
        <w:lastRenderedPageBreak/>
        <w:t xml:space="preserve">Pública del Estado de México y Municipios y demás disposiciones de la materia, privilegiando el principio de máxima publicidad de la información. </w:t>
      </w:r>
    </w:p>
    <w:p w14:paraId="36C004D4" w14:textId="77777777" w:rsidR="00835084" w:rsidRDefault="00835084">
      <w:pPr>
        <w:pBdr>
          <w:top w:val="nil"/>
          <w:left w:val="nil"/>
          <w:bottom w:val="nil"/>
          <w:right w:val="nil"/>
          <w:between w:val="nil"/>
        </w:pBdr>
        <w:ind w:left="720" w:right="-787"/>
        <w:rPr>
          <w:rFonts w:ascii="Palatino Linotype" w:eastAsia="Palatino Linotype" w:hAnsi="Palatino Linotype" w:cs="Palatino Linotype"/>
          <w:color w:val="000000"/>
        </w:rPr>
      </w:pPr>
    </w:p>
    <w:p w14:paraId="7F861819" w14:textId="77777777" w:rsidR="00835084" w:rsidRDefault="00495C85">
      <w:pPr>
        <w:numPr>
          <w:ilvl w:val="0"/>
          <w:numId w:val="1"/>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t>Para ello, la Ley de Transparencia y Acceso a la Información Pública del Estado de México y Municipios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657642D" w14:textId="77777777" w:rsidR="00835084" w:rsidRDefault="00835084">
      <w:pPr>
        <w:pBdr>
          <w:top w:val="nil"/>
          <w:left w:val="nil"/>
          <w:bottom w:val="nil"/>
          <w:right w:val="nil"/>
          <w:between w:val="nil"/>
        </w:pBdr>
        <w:ind w:left="720" w:right="-787"/>
        <w:rPr>
          <w:rFonts w:ascii="Palatino Linotype" w:eastAsia="Palatino Linotype" w:hAnsi="Palatino Linotype" w:cs="Palatino Linotype"/>
          <w:color w:val="000000"/>
        </w:rPr>
      </w:pPr>
    </w:p>
    <w:p w14:paraId="71AAFE2B" w14:textId="77777777" w:rsidR="00835084" w:rsidRDefault="00495C85">
      <w:pPr>
        <w:numPr>
          <w:ilvl w:val="0"/>
          <w:numId w:val="1"/>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t xml:space="preserve">De manera que el derecho de acceso a la información pública se satisface en aquellos casos en que se entregue el soporte documental en que conste la información pública, toda vez que los Sujetos Obligados no tienen el deber de generar información, </w:t>
      </w:r>
      <w:r>
        <w:rPr>
          <w:rFonts w:ascii="Palatino Linotype" w:eastAsia="Palatino Linotype" w:hAnsi="Palatino Linotype" w:cs="Palatino Linotype"/>
        </w:rPr>
        <w:t>resumir</w:t>
      </w:r>
      <w:r>
        <w:rPr>
          <w:rFonts w:ascii="Palatino Linotype" w:eastAsia="Palatino Linotype" w:hAnsi="Palatino Linotype" w:cs="Palatino Linotype"/>
          <w:color w:val="000000"/>
        </w:rPr>
        <w:t xml:space="preserve">, practicar investigaciones o realizar cálculos para satisfacer el derecho de acceso a la información conforme al interés de los particulares. </w:t>
      </w:r>
    </w:p>
    <w:p w14:paraId="47E5A012" w14:textId="77777777" w:rsidR="00835084" w:rsidRDefault="00835084">
      <w:pPr>
        <w:pBdr>
          <w:top w:val="nil"/>
          <w:left w:val="nil"/>
          <w:bottom w:val="nil"/>
          <w:right w:val="nil"/>
          <w:between w:val="nil"/>
        </w:pBdr>
        <w:ind w:left="720" w:right="-787"/>
        <w:rPr>
          <w:rFonts w:ascii="Palatino Linotype" w:eastAsia="Palatino Linotype" w:hAnsi="Palatino Linotype" w:cs="Palatino Linotype"/>
          <w:color w:val="000000"/>
        </w:rPr>
      </w:pPr>
    </w:p>
    <w:p w14:paraId="4F3AB478" w14:textId="77777777" w:rsidR="00835084" w:rsidRDefault="00495C85">
      <w:pPr>
        <w:numPr>
          <w:ilvl w:val="0"/>
          <w:numId w:val="1"/>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t xml:space="preserve">Así, se puede concluir que la distinción entre el derecho de petición y el derecho de acceso a la información pública estriba principalmente en que en el primero de ellos, la pretensión del peticionario consiste generalmente en </w:t>
      </w:r>
      <w:r>
        <w:rPr>
          <w:rFonts w:ascii="Palatino Linotype" w:eastAsia="Palatino Linotype" w:hAnsi="Palatino Linotype" w:cs="Palatino Linotype"/>
          <w:i/>
          <w:color w:val="000000"/>
        </w:rPr>
        <w:t>obligar a la autoridad responsable a que actúe en el sentido de contestar lo solicitado</w:t>
      </w:r>
      <w:r>
        <w:rPr>
          <w:rFonts w:ascii="Palatino Linotype" w:eastAsia="Palatino Linotype" w:hAnsi="Palatino Linotype" w:cs="Palatino Linotype"/>
          <w:color w:val="000000"/>
        </w:rPr>
        <w:t xml:space="preserve">, mientras que en el segundo supuesto la solicitud de acceso a la información pública </w:t>
      </w:r>
      <w:r>
        <w:rPr>
          <w:rFonts w:ascii="Palatino Linotype" w:eastAsia="Palatino Linotype" w:hAnsi="Palatino Linotype" w:cs="Palatino Linotype"/>
          <w:i/>
          <w:color w:val="000000"/>
        </w:rPr>
        <w:t>se encamina primordialmente a permitir el acceso a datos, registros y todo tipo de información pública que conste en documentos, sea generada o se encuentre en posesión de la autoridad.</w:t>
      </w:r>
    </w:p>
    <w:p w14:paraId="1A2A48F2" w14:textId="77777777" w:rsidR="00835084" w:rsidRDefault="00495C85">
      <w:pPr>
        <w:numPr>
          <w:ilvl w:val="0"/>
          <w:numId w:val="1"/>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lastRenderedPageBreak/>
        <w:t xml:space="preserve">Asimismo, es importante enfatizar que el Derecho de Acceso a la Información Pública consiste en que la </w:t>
      </w:r>
      <w:r>
        <w:rPr>
          <w:rFonts w:ascii="Palatino Linotype" w:eastAsia="Palatino Linotype" w:hAnsi="Palatino Linotype" w:cs="Palatino Linotype"/>
          <w:b/>
          <w:color w:val="000000"/>
          <w:u w:val="single"/>
        </w:rPr>
        <w:t>información solicitada conste en un soporte documental</w:t>
      </w:r>
      <w:r>
        <w:rPr>
          <w:rFonts w:ascii="Palatino Linotype" w:eastAsia="Palatino Linotype" w:hAnsi="Palatino Linotype" w:cs="Palatino Linotype"/>
          <w:color w:val="000000"/>
        </w:rPr>
        <w:t xml:space="preserve"> en cualquiera de sus formas, a saber: expedientes, reportes, estudios, actas</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w:t>
      </w:r>
    </w:p>
    <w:p w14:paraId="633D2E39" w14:textId="77777777" w:rsidR="00835084" w:rsidRDefault="00835084">
      <w:pPr>
        <w:pBdr>
          <w:top w:val="nil"/>
          <w:left w:val="nil"/>
          <w:bottom w:val="nil"/>
          <w:right w:val="nil"/>
          <w:between w:val="nil"/>
        </w:pBdr>
        <w:ind w:left="720" w:right="-787"/>
        <w:rPr>
          <w:rFonts w:ascii="Palatino Linotype" w:eastAsia="Palatino Linotype" w:hAnsi="Palatino Linotype" w:cs="Palatino Linotype"/>
          <w:color w:val="000000"/>
        </w:rPr>
      </w:pPr>
    </w:p>
    <w:p w14:paraId="3D233765" w14:textId="77777777" w:rsidR="00835084" w:rsidRDefault="00495C85">
      <w:pPr>
        <w:numPr>
          <w:ilvl w:val="0"/>
          <w:numId w:val="1"/>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t>Es así que, el particular realmente ejerció un derecho de petición y no así, un derecho de acceso a la información pública.</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Por lo que, la entrega de una razón, razonamiento o realización de acciones por parte del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 xml:space="preserve"> no es algo que la ley establezca como atribución, derecho, o facultad.</w:t>
      </w:r>
    </w:p>
    <w:p w14:paraId="0B10ECBF" w14:textId="77777777" w:rsidR="00835084" w:rsidRDefault="00835084">
      <w:pPr>
        <w:pBdr>
          <w:top w:val="nil"/>
          <w:left w:val="nil"/>
          <w:bottom w:val="nil"/>
          <w:right w:val="nil"/>
          <w:between w:val="nil"/>
        </w:pBdr>
        <w:ind w:left="720" w:right="-787"/>
        <w:rPr>
          <w:rFonts w:ascii="Palatino Linotype" w:eastAsia="Palatino Linotype" w:hAnsi="Palatino Linotype" w:cs="Palatino Linotype"/>
          <w:color w:val="000000"/>
        </w:rPr>
      </w:pPr>
    </w:p>
    <w:p w14:paraId="235700B4" w14:textId="77777777" w:rsidR="00835084" w:rsidRDefault="00495C85">
      <w:pPr>
        <w:numPr>
          <w:ilvl w:val="0"/>
          <w:numId w:val="1"/>
        </w:numPr>
        <w:pBdr>
          <w:top w:val="nil"/>
          <w:left w:val="nil"/>
          <w:bottom w:val="nil"/>
          <w:right w:val="nil"/>
          <w:between w:val="nil"/>
        </w:pBdr>
        <w:spacing w:line="360" w:lineRule="auto"/>
        <w:ind w:right="-787"/>
        <w:jc w:val="both"/>
        <w:rPr>
          <w:color w:val="000000"/>
        </w:rPr>
      </w:pPr>
      <w:r>
        <w:rPr>
          <w:rFonts w:ascii="Palatino Linotype" w:eastAsia="Palatino Linotype" w:hAnsi="Palatino Linotype" w:cs="Palatino Linotype"/>
          <w:color w:val="000000"/>
        </w:rPr>
        <w:t>Entonces, al tratarse de un derecho de petición estamos en presencia de una petición que amerita poner en funcionamiento al Sujeto Obligado para ejercer atribuciones que no le corresponden para atender la solicitud. Dicho acto corresponde a una consulta o trámite, actualizando lo dispuesto en el artículo 191 fracción VI de la Ley de Transparencia y Acceso a la Información Pública del Estado de México y Municipios, el cual dispone lo siguiente:</w:t>
      </w:r>
    </w:p>
    <w:p w14:paraId="5BC2BE66" w14:textId="77777777" w:rsidR="00835084" w:rsidRDefault="00495C85">
      <w:pPr>
        <w:pBdr>
          <w:top w:val="nil"/>
          <w:left w:val="nil"/>
          <w:bottom w:val="nil"/>
          <w:right w:val="nil"/>
          <w:between w:val="nil"/>
        </w:pBdr>
        <w:tabs>
          <w:tab w:val="left" w:pos="567"/>
        </w:tabs>
        <w:spacing w:line="360" w:lineRule="auto"/>
        <w:ind w:left="567"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191. El recurso será desechado por improcedente cuando:</w:t>
      </w:r>
    </w:p>
    <w:p w14:paraId="590F340F" w14:textId="77777777" w:rsidR="00835084" w:rsidRDefault="00495C85">
      <w:pPr>
        <w:pBdr>
          <w:top w:val="nil"/>
          <w:left w:val="nil"/>
          <w:bottom w:val="nil"/>
          <w:right w:val="nil"/>
          <w:between w:val="nil"/>
        </w:pBdr>
        <w:tabs>
          <w:tab w:val="left" w:pos="567"/>
        </w:tabs>
        <w:spacing w:line="360" w:lineRule="auto"/>
        <w:ind w:left="567"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Sea extemporáneo por haber transcurrido el plazo establecido en la presente Ley, a partir de la respuesta; </w:t>
      </w:r>
    </w:p>
    <w:p w14:paraId="374CF798" w14:textId="77777777" w:rsidR="00835084" w:rsidRDefault="00495C85">
      <w:pPr>
        <w:pBdr>
          <w:top w:val="nil"/>
          <w:left w:val="nil"/>
          <w:bottom w:val="nil"/>
          <w:right w:val="nil"/>
          <w:between w:val="nil"/>
        </w:pBdr>
        <w:tabs>
          <w:tab w:val="left" w:pos="567"/>
        </w:tabs>
        <w:spacing w:line="360" w:lineRule="auto"/>
        <w:ind w:left="567"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14:paraId="1EC35B63" w14:textId="77777777" w:rsidR="00835084" w:rsidRDefault="00495C85">
      <w:pPr>
        <w:pBdr>
          <w:top w:val="nil"/>
          <w:left w:val="nil"/>
          <w:bottom w:val="nil"/>
          <w:right w:val="nil"/>
          <w:between w:val="nil"/>
        </w:pBdr>
        <w:tabs>
          <w:tab w:val="left" w:pos="567"/>
        </w:tabs>
        <w:spacing w:line="360" w:lineRule="auto"/>
        <w:ind w:left="567"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III. No actualice alguno de los supuestos previstos en la presente Ley; </w:t>
      </w:r>
    </w:p>
    <w:p w14:paraId="47959E49" w14:textId="77777777" w:rsidR="00835084" w:rsidRDefault="00495C85">
      <w:pPr>
        <w:pBdr>
          <w:top w:val="nil"/>
          <w:left w:val="nil"/>
          <w:bottom w:val="nil"/>
          <w:right w:val="nil"/>
          <w:between w:val="nil"/>
        </w:pBdr>
        <w:tabs>
          <w:tab w:val="left" w:pos="567"/>
        </w:tabs>
        <w:spacing w:line="360" w:lineRule="auto"/>
        <w:ind w:left="567"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No se haya desahogado la prevención en los términos establecidos en la presente Ley; </w:t>
      </w:r>
    </w:p>
    <w:p w14:paraId="51E62EA2" w14:textId="77777777" w:rsidR="00835084" w:rsidRDefault="00495C85">
      <w:pPr>
        <w:pBdr>
          <w:top w:val="nil"/>
          <w:left w:val="nil"/>
          <w:bottom w:val="nil"/>
          <w:right w:val="nil"/>
          <w:between w:val="nil"/>
        </w:pBdr>
        <w:tabs>
          <w:tab w:val="left" w:pos="567"/>
        </w:tabs>
        <w:spacing w:line="360" w:lineRule="auto"/>
        <w:ind w:left="567"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Se impugne la veracidad de la información proporcionada; </w:t>
      </w:r>
    </w:p>
    <w:p w14:paraId="0697EE12" w14:textId="77777777" w:rsidR="00835084" w:rsidRDefault="00495C85">
      <w:pPr>
        <w:pBdr>
          <w:top w:val="nil"/>
          <w:left w:val="nil"/>
          <w:bottom w:val="nil"/>
          <w:right w:val="nil"/>
          <w:between w:val="nil"/>
        </w:pBdr>
        <w:tabs>
          <w:tab w:val="left" w:pos="567"/>
        </w:tabs>
        <w:spacing w:line="360" w:lineRule="auto"/>
        <w:ind w:left="567" w:right="-78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VI. Se trate de una consulta, o trámite en específico; y </w:t>
      </w:r>
    </w:p>
    <w:p w14:paraId="0D94EDA0" w14:textId="77777777" w:rsidR="00835084" w:rsidRDefault="00495C85">
      <w:pPr>
        <w:pBdr>
          <w:top w:val="nil"/>
          <w:left w:val="nil"/>
          <w:bottom w:val="nil"/>
          <w:right w:val="nil"/>
          <w:between w:val="nil"/>
        </w:pBdr>
        <w:tabs>
          <w:tab w:val="left" w:pos="567"/>
        </w:tabs>
        <w:spacing w:line="360" w:lineRule="auto"/>
        <w:ind w:left="567"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14:paraId="256CD8BC" w14:textId="77777777" w:rsidR="00835084" w:rsidRDefault="00835084">
      <w:pPr>
        <w:pBdr>
          <w:top w:val="nil"/>
          <w:left w:val="nil"/>
          <w:bottom w:val="nil"/>
          <w:right w:val="nil"/>
          <w:between w:val="nil"/>
        </w:pBdr>
        <w:tabs>
          <w:tab w:val="left" w:pos="567"/>
        </w:tabs>
        <w:spacing w:line="360" w:lineRule="auto"/>
        <w:ind w:right="-787"/>
        <w:jc w:val="both"/>
        <w:rPr>
          <w:color w:val="000000"/>
        </w:rPr>
      </w:pPr>
    </w:p>
    <w:p w14:paraId="5BC37452" w14:textId="77777777" w:rsidR="00835084" w:rsidRDefault="00495C85">
      <w:pPr>
        <w:numPr>
          <w:ilvl w:val="0"/>
          <w:numId w:val="1"/>
        </w:numPr>
        <w:pBdr>
          <w:top w:val="nil"/>
          <w:left w:val="nil"/>
          <w:bottom w:val="nil"/>
          <w:right w:val="nil"/>
          <w:between w:val="nil"/>
        </w:pBdr>
        <w:tabs>
          <w:tab w:val="left" w:pos="567"/>
        </w:tabs>
        <w:spacing w:line="360" w:lineRule="auto"/>
        <w:ind w:right="-787"/>
        <w:jc w:val="both"/>
        <w:rPr>
          <w:color w:val="000000"/>
        </w:rPr>
      </w:pPr>
      <w:r>
        <w:rPr>
          <w:rFonts w:ascii="Palatino Linotype" w:eastAsia="Palatino Linotype" w:hAnsi="Palatino Linotype" w:cs="Palatino Linotype"/>
          <w:color w:val="000000"/>
        </w:rPr>
        <w:t>La fracción VI del citado precepto legal, contempla la improcedencia del recurso de revisión cuando se trate de una consulta, lo cual se relaciona con la solicitud de acceso a la información pública.</w:t>
      </w:r>
    </w:p>
    <w:p w14:paraId="74524753" w14:textId="77777777" w:rsidR="00835084" w:rsidRDefault="00835084">
      <w:pPr>
        <w:pBdr>
          <w:top w:val="nil"/>
          <w:left w:val="nil"/>
          <w:bottom w:val="nil"/>
          <w:right w:val="nil"/>
          <w:between w:val="nil"/>
        </w:pBdr>
        <w:tabs>
          <w:tab w:val="left" w:pos="567"/>
        </w:tabs>
        <w:spacing w:line="360" w:lineRule="auto"/>
        <w:ind w:right="-787"/>
        <w:jc w:val="both"/>
        <w:rPr>
          <w:rFonts w:ascii="Palatino Linotype" w:eastAsia="Palatino Linotype" w:hAnsi="Palatino Linotype" w:cs="Palatino Linotype"/>
          <w:color w:val="000000"/>
        </w:rPr>
      </w:pPr>
    </w:p>
    <w:p w14:paraId="13873DAE" w14:textId="77777777" w:rsidR="00835084" w:rsidRDefault="00495C85">
      <w:pPr>
        <w:numPr>
          <w:ilvl w:val="0"/>
          <w:numId w:val="1"/>
        </w:numPr>
        <w:pBdr>
          <w:top w:val="nil"/>
          <w:left w:val="nil"/>
          <w:bottom w:val="nil"/>
          <w:right w:val="nil"/>
          <w:between w:val="nil"/>
        </w:pBdr>
        <w:tabs>
          <w:tab w:val="left" w:pos="567"/>
        </w:tabs>
        <w:spacing w:line="360" w:lineRule="auto"/>
        <w:ind w:right="-787"/>
        <w:jc w:val="both"/>
        <w:rPr>
          <w:color w:val="000000"/>
        </w:rPr>
      </w:pPr>
      <w:r>
        <w:rPr>
          <w:rFonts w:ascii="Palatino Linotype" w:eastAsia="Palatino Linotype" w:hAnsi="Palatino Linotype" w:cs="Palatino Linotype"/>
          <w:color w:val="000000"/>
        </w:rPr>
        <w:t>Sin embargo, al haber sido admitido el recurso de revisión, aún y cuando actualiza una causal de improcedencia, es necesario traer a contexto el artículo 192 fracción IV, de la multicitada Ley de Transparencia:</w:t>
      </w:r>
    </w:p>
    <w:p w14:paraId="4655FFDF" w14:textId="77777777" w:rsidR="00835084" w:rsidRDefault="00495C85">
      <w:pPr>
        <w:pBdr>
          <w:top w:val="nil"/>
          <w:left w:val="nil"/>
          <w:bottom w:val="nil"/>
          <w:right w:val="nil"/>
          <w:between w:val="nil"/>
        </w:pBdr>
        <w:tabs>
          <w:tab w:val="left" w:pos="567"/>
        </w:tabs>
        <w:spacing w:line="360" w:lineRule="auto"/>
        <w:ind w:left="567"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Artículo 192. El recurso será sobreseído, en todo o en parte, cuando una vez admitido, se actualicen alguno de los siguientes supuestos:</w:t>
      </w:r>
    </w:p>
    <w:p w14:paraId="6C45E8AC" w14:textId="77777777" w:rsidR="00835084" w:rsidRDefault="00495C85">
      <w:pPr>
        <w:pBdr>
          <w:top w:val="nil"/>
          <w:left w:val="nil"/>
          <w:bottom w:val="nil"/>
          <w:right w:val="nil"/>
          <w:between w:val="nil"/>
        </w:pBdr>
        <w:tabs>
          <w:tab w:val="left" w:pos="567"/>
        </w:tabs>
        <w:spacing w:line="360" w:lineRule="auto"/>
        <w:ind w:left="567"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El recurrente se desista expresamente del recurso; </w:t>
      </w:r>
    </w:p>
    <w:p w14:paraId="50FC0672" w14:textId="77777777" w:rsidR="00835084" w:rsidRDefault="00495C85">
      <w:pPr>
        <w:pBdr>
          <w:top w:val="nil"/>
          <w:left w:val="nil"/>
          <w:bottom w:val="nil"/>
          <w:right w:val="nil"/>
          <w:between w:val="nil"/>
        </w:pBdr>
        <w:tabs>
          <w:tab w:val="left" w:pos="567"/>
        </w:tabs>
        <w:spacing w:line="360" w:lineRule="auto"/>
        <w:ind w:left="567"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El recurrente fallezca o, tratándose de personas jurídicas colectivas, se disuelva; </w:t>
      </w:r>
    </w:p>
    <w:p w14:paraId="6F9015E8" w14:textId="77777777" w:rsidR="00835084" w:rsidRDefault="00495C85">
      <w:pPr>
        <w:pBdr>
          <w:top w:val="nil"/>
          <w:left w:val="nil"/>
          <w:bottom w:val="nil"/>
          <w:right w:val="nil"/>
          <w:between w:val="nil"/>
        </w:pBdr>
        <w:tabs>
          <w:tab w:val="left" w:pos="567"/>
        </w:tabs>
        <w:spacing w:line="360" w:lineRule="auto"/>
        <w:ind w:left="567"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El sujeto obligado responsable del acto lo modifique o revoque de tal manera que el recurso de revisión quede sin materia; </w:t>
      </w:r>
    </w:p>
    <w:p w14:paraId="05A564F7" w14:textId="77777777" w:rsidR="00835084" w:rsidRDefault="00495C85">
      <w:pPr>
        <w:pBdr>
          <w:top w:val="nil"/>
          <w:left w:val="nil"/>
          <w:bottom w:val="nil"/>
          <w:right w:val="nil"/>
          <w:between w:val="nil"/>
        </w:pBdr>
        <w:tabs>
          <w:tab w:val="left" w:pos="567"/>
        </w:tabs>
        <w:spacing w:line="360" w:lineRule="auto"/>
        <w:ind w:left="567" w:right="-78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IV. Admitido el recurso de revisión, aparezca alguna causal de improcedencia en los términos de la presente Ley; y </w:t>
      </w:r>
    </w:p>
    <w:p w14:paraId="351EF8A0" w14:textId="77777777" w:rsidR="00835084" w:rsidRDefault="00495C85">
      <w:pPr>
        <w:pBdr>
          <w:top w:val="nil"/>
          <w:left w:val="nil"/>
          <w:bottom w:val="nil"/>
          <w:right w:val="nil"/>
          <w:between w:val="nil"/>
        </w:pBdr>
        <w:tabs>
          <w:tab w:val="left" w:pos="567"/>
        </w:tabs>
        <w:spacing w:line="360" w:lineRule="auto"/>
        <w:ind w:left="567" w:right="-7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Cuando por cualquier motivo quede sin materia el recurso.</w:t>
      </w:r>
    </w:p>
    <w:p w14:paraId="0034E201" w14:textId="77777777" w:rsidR="00835084" w:rsidRDefault="00495C85">
      <w:pPr>
        <w:numPr>
          <w:ilvl w:val="0"/>
          <w:numId w:val="1"/>
        </w:numPr>
        <w:pBdr>
          <w:top w:val="nil"/>
          <w:left w:val="nil"/>
          <w:bottom w:val="nil"/>
          <w:right w:val="nil"/>
          <w:between w:val="nil"/>
        </w:pBdr>
        <w:tabs>
          <w:tab w:val="left" w:pos="567"/>
        </w:tabs>
        <w:spacing w:line="360" w:lineRule="auto"/>
        <w:ind w:right="-787"/>
        <w:jc w:val="both"/>
        <w:rPr>
          <w:color w:val="000000"/>
        </w:rPr>
      </w:pPr>
      <w:r>
        <w:rPr>
          <w:rFonts w:ascii="Palatino Linotype" w:eastAsia="Palatino Linotype" w:hAnsi="Palatino Linotype" w:cs="Palatino Linotype"/>
          <w:color w:val="000000"/>
        </w:rPr>
        <w:lastRenderedPageBreak/>
        <w:t>Es así que, el recurso de revisión actualiza la causal de sobreseimiento establecida en la fracción IV del artículo 192, en relación a la fracción VI del artículo 191, ambos de la Ley de Transparencia y Acceso a la Información Pública del Estado de México y Municipios.</w:t>
      </w:r>
    </w:p>
    <w:p w14:paraId="07CEE59B" w14:textId="77777777" w:rsidR="00835084" w:rsidRDefault="0083508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274B295A" w14:textId="77777777" w:rsidR="00835084" w:rsidRDefault="00495C85">
      <w:pPr>
        <w:numPr>
          <w:ilvl w:val="0"/>
          <w:numId w:val="1"/>
        </w:numPr>
        <w:pBdr>
          <w:top w:val="nil"/>
          <w:left w:val="nil"/>
          <w:bottom w:val="nil"/>
          <w:right w:val="nil"/>
          <w:between w:val="nil"/>
        </w:pBdr>
        <w:spacing w:after="240" w:line="360" w:lineRule="auto"/>
        <w:ind w:right="-787"/>
        <w:jc w:val="both"/>
        <w:rPr>
          <w:color w:val="000000"/>
        </w:rPr>
      </w:pPr>
      <w:r>
        <w:rPr>
          <w:rFonts w:ascii="Palatino Linotype" w:eastAsia="Palatino Linotype" w:hAnsi="Palatino Linotype" w:cs="Palatino Linotype"/>
          <w:color w:val="000000"/>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14:paraId="097E32D6" w14:textId="77777777" w:rsidR="00835084" w:rsidRDefault="00495C85">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w:t>
      </w:r>
      <w:r>
        <w:rPr>
          <w:rFonts w:ascii="Palatino Linotype" w:eastAsia="Palatino Linotype" w:hAnsi="Palatino Linotype" w:cs="Palatino Linotype"/>
          <w:i/>
          <w:sz w:val="22"/>
          <w:szCs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4970FB78" w14:textId="77777777" w:rsidR="00835084" w:rsidRDefault="00495C85">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SEPTIMO TRIBUNAL COLEGIADO EN MATERIA CIVIL DEL PRIMER CIRCUITO</w:t>
      </w:r>
    </w:p>
    <w:p w14:paraId="0E6C03E0" w14:textId="77777777" w:rsidR="00835084" w:rsidRDefault="00495C85">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Amparo directo 699/2008. Mariana Leticia González Steele. 13 de noviembre de 2008. Unanimidad de votos. Ponente: Sara Judith Montalvo Trejo. Secretario: Arnulfo Mateos García.”</w:t>
      </w:r>
    </w:p>
    <w:p w14:paraId="60DD58ED" w14:textId="77777777" w:rsidR="00835084" w:rsidRDefault="00835084">
      <w:pPr>
        <w:pBdr>
          <w:top w:val="nil"/>
          <w:left w:val="nil"/>
          <w:bottom w:val="nil"/>
          <w:right w:val="nil"/>
          <w:between w:val="nil"/>
        </w:pBdr>
        <w:tabs>
          <w:tab w:val="left" w:pos="567"/>
        </w:tabs>
        <w:spacing w:line="360" w:lineRule="auto"/>
        <w:ind w:right="-79"/>
        <w:jc w:val="both"/>
        <w:rPr>
          <w:rFonts w:ascii="Palatino Linotype" w:eastAsia="Palatino Linotype" w:hAnsi="Palatino Linotype" w:cs="Palatino Linotype"/>
          <w:color w:val="000000"/>
          <w:sz w:val="22"/>
          <w:szCs w:val="22"/>
        </w:rPr>
      </w:pPr>
    </w:p>
    <w:p w14:paraId="26A970EA" w14:textId="77777777" w:rsidR="00835084" w:rsidRDefault="00495C85">
      <w:pPr>
        <w:numPr>
          <w:ilvl w:val="0"/>
          <w:numId w:val="1"/>
        </w:numPr>
        <w:pBdr>
          <w:top w:val="nil"/>
          <w:left w:val="nil"/>
          <w:bottom w:val="nil"/>
          <w:right w:val="nil"/>
          <w:between w:val="nil"/>
        </w:pBdr>
        <w:tabs>
          <w:tab w:val="left" w:pos="567"/>
        </w:tabs>
        <w:spacing w:line="360" w:lineRule="auto"/>
        <w:ind w:right="-787"/>
        <w:jc w:val="both"/>
        <w:rPr>
          <w:color w:val="000000"/>
        </w:rPr>
      </w:pPr>
      <w:r>
        <w:rPr>
          <w:rFonts w:ascii="Palatino Linotype" w:eastAsia="Palatino Linotype" w:hAnsi="Palatino Linotype" w:cs="Palatino Linotype"/>
          <w:color w:val="000000"/>
        </w:rPr>
        <w:lastRenderedPageBreak/>
        <w:t>No obstante, a efecto de no vulnerar los derechos del particular, este Órgano Garante deja a salvo sus derechos para que, si así lo desea, presente una nueva solicitud de acceso a la información requiriendo información que sea de su interés.</w:t>
      </w:r>
    </w:p>
    <w:p w14:paraId="4D5D7B4D" w14:textId="77777777" w:rsidR="00835084" w:rsidRDefault="00835084">
      <w:pPr>
        <w:pBdr>
          <w:top w:val="nil"/>
          <w:left w:val="nil"/>
          <w:bottom w:val="nil"/>
          <w:right w:val="nil"/>
          <w:between w:val="nil"/>
        </w:pBdr>
        <w:tabs>
          <w:tab w:val="left" w:pos="567"/>
        </w:tabs>
        <w:spacing w:line="360" w:lineRule="auto"/>
        <w:ind w:right="-787"/>
        <w:jc w:val="both"/>
        <w:rPr>
          <w:rFonts w:ascii="Palatino Linotype" w:eastAsia="Palatino Linotype" w:hAnsi="Palatino Linotype" w:cs="Palatino Linotype"/>
          <w:color w:val="000000"/>
        </w:rPr>
      </w:pPr>
    </w:p>
    <w:p w14:paraId="16501EF4" w14:textId="77777777" w:rsidR="00835084" w:rsidRDefault="00495C85">
      <w:pPr>
        <w:numPr>
          <w:ilvl w:val="0"/>
          <w:numId w:val="1"/>
        </w:numPr>
        <w:pBdr>
          <w:top w:val="nil"/>
          <w:left w:val="nil"/>
          <w:bottom w:val="nil"/>
          <w:right w:val="nil"/>
          <w:between w:val="nil"/>
        </w:pBdr>
        <w:tabs>
          <w:tab w:val="left" w:pos="567"/>
        </w:tabs>
        <w:spacing w:line="360" w:lineRule="auto"/>
        <w:ind w:right="-787"/>
        <w:jc w:val="both"/>
        <w:rPr>
          <w:color w:val="000000"/>
        </w:rPr>
      </w:pPr>
      <w:r>
        <w:rPr>
          <w:rFonts w:ascii="Palatino Linotype" w:eastAsia="Palatino Linotype" w:hAnsi="Palatino Linotype" w:cs="Palatino Linotype"/>
          <w:color w:val="000000"/>
        </w:rPr>
        <w:t>Bajo esas consideraciones, se afirma que en el recurso de revisión sujeto a estudio se actualiza la hipótesis jurídica citada, toda vez que quedó probado la solicitud de acceso a la información que promovió el particular corresponde al ejercicio de un derecho de petición y no al derecho de acceso a la información pública, existiendo una imposibilidad del Sujeto Obligado de atender el cuestionamiento realizado.</w:t>
      </w:r>
    </w:p>
    <w:p w14:paraId="1AC03249" w14:textId="77777777" w:rsidR="00835084" w:rsidRDefault="0083508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14:paraId="5A55E479" w14:textId="77777777" w:rsidR="00835084" w:rsidRDefault="00495C85">
      <w:pPr>
        <w:numPr>
          <w:ilvl w:val="0"/>
          <w:numId w:val="1"/>
        </w:numPr>
        <w:pBdr>
          <w:top w:val="nil"/>
          <w:left w:val="nil"/>
          <w:bottom w:val="nil"/>
          <w:right w:val="nil"/>
          <w:between w:val="nil"/>
        </w:pBdr>
        <w:tabs>
          <w:tab w:val="left" w:pos="426"/>
        </w:tabs>
        <w:spacing w:line="360" w:lineRule="auto"/>
        <w:ind w:right="-787"/>
        <w:jc w:val="both"/>
        <w:rPr>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 </w:t>
      </w:r>
      <w:r>
        <w:rPr>
          <w:rFonts w:ascii="Palatino Linotype" w:eastAsia="Palatino Linotype" w:hAnsi="Palatino Linotype" w:cs="Palatino Linotype"/>
        </w:rPr>
        <w:t>—------------------------------------------------------------------------------------------------------</w:t>
      </w:r>
    </w:p>
    <w:p w14:paraId="2C2ADA83" w14:textId="77777777" w:rsidR="00835084" w:rsidRDefault="00835084">
      <w:pPr>
        <w:spacing w:line="360" w:lineRule="auto"/>
        <w:ind w:right="-787"/>
        <w:rPr>
          <w:rFonts w:ascii="Palatino Linotype" w:eastAsia="Palatino Linotype" w:hAnsi="Palatino Linotype" w:cs="Palatino Linotype"/>
          <w:color w:val="000000"/>
        </w:rPr>
      </w:pPr>
    </w:p>
    <w:p w14:paraId="030DA44B" w14:textId="77777777" w:rsidR="00835084" w:rsidRDefault="00495C85">
      <w:pPr>
        <w:pStyle w:val="Ttulo1"/>
        <w:spacing w:before="0" w:line="360" w:lineRule="auto"/>
        <w:ind w:right="-787"/>
        <w:jc w:val="center"/>
        <w:rPr>
          <w:b/>
          <w:color w:val="000000"/>
        </w:rPr>
      </w:pPr>
      <w:bookmarkStart w:id="7" w:name="_heading=h.17dp8vu" w:colFirst="0" w:colLast="0"/>
      <w:bookmarkEnd w:id="7"/>
      <w:r>
        <w:rPr>
          <w:b/>
          <w:color w:val="000000"/>
        </w:rPr>
        <w:t>R E S O L U T I V O S</w:t>
      </w:r>
    </w:p>
    <w:p w14:paraId="3D647669" w14:textId="77777777" w:rsidR="00835084" w:rsidRDefault="00835084">
      <w:pPr>
        <w:spacing w:line="360" w:lineRule="auto"/>
        <w:ind w:right="-787"/>
        <w:jc w:val="both"/>
        <w:rPr>
          <w:rFonts w:ascii="Palatino Linotype" w:eastAsia="Palatino Linotype" w:hAnsi="Palatino Linotype" w:cs="Palatino Linotype"/>
          <w:b/>
        </w:rPr>
      </w:pPr>
    </w:p>
    <w:p w14:paraId="521F7795" w14:textId="77777777" w:rsidR="00835084" w:rsidRDefault="00495C85">
      <w:pPr>
        <w:spacing w:line="360" w:lineRule="auto"/>
        <w:ind w:right="-787"/>
        <w:jc w:val="both"/>
        <w:rPr>
          <w:rFonts w:ascii="Palatino Linotype" w:eastAsia="Palatino Linotype" w:hAnsi="Palatino Linotype" w:cs="Palatino Linotype"/>
          <w:b/>
        </w:rPr>
      </w:pPr>
      <w:r>
        <w:rPr>
          <w:rFonts w:ascii="Palatino Linotype" w:eastAsia="Palatino Linotype" w:hAnsi="Palatino Linotype" w:cs="Palatino Linotype"/>
          <w:b/>
        </w:rPr>
        <w:t xml:space="preserve">PRIMERO. Se SOBRESEE </w:t>
      </w:r>
      <w:r>
        <w:rPr>
          <w:rFonts w:ascii="Palatino Linotype" w:eastAsia="Palatino Linotype" w:hAnsi="Palatino Linotype" w:cs="Palatino Linotype"/>
        </w:rPr>
        <w:t>el recurso de revisión número</w:t>
      </w:r>
      <w:r>
        <w:rPr>
          <w:rFonts w:ascii="Palatino Linotype" w:eastAsia="Palatino Linotype" w:hAnsi="Palatino Linotype" w:cs="Palatino Linotype"/>
          <w:b/>
        </w:rPr>
        <w:t xml:space="preserve"> 01748/INFOEM/IP/RR/2024, </w:t>
      </w:r>
      <w:r>
        <w:rPr>
          <w:rFonts w:ascii="Palatino Linotype" w:eastAsia="Palatino Linotype" w:hAnsi="Palatino Linotype" w:cs="Palatino Linotype"/>
        </w:rPr>
        <w:t xml:space="preserve">con fundamento en los artículos 191, fracción VI y, 192, fracción IV, de la Ley de Transparencia y Acceso a la Información Pública del Estado de México y Municipios, al tratarse de una consulta, en términos del </w:t>
      </w:r>
      <w:r>
        <w:rPr>
          <w:rFonts w:ascii="Palatino Linotype" w:eastAsia="Palatino Linotype" w:hAnsi="Palatino Linotype" w:cs="Palatino Linotype"/>
          <w:b/>
        </w:rPr>
        <w:t>Considerando TERCERO</w:t>
      </w:r>
      <w:r>
        <w:rPr>
          <w:rFonts w:ascii="Palatino Linotype" w:eastAsia="Palatino Linotype" w:hAnsi="Palatino Linotype" w:cs="Palatino Linotype"/>
        </w:rPr>
        <w:t xml:space="preserve"> de la presente resolución.</w:t>
      </w:r>
    </w:p>
    <w:p w14:paraId="1C3B6D04" w14:textId="77777777" w:rsidR="00835084" w:rsidRDefault="00835084">
      <w:pPr>
        <w:spacing w:line="360" w:lineRule="auto"/>
        <w:ind w:right="-787"/>
        <w:jc w:val="both"/>
        <w:rPr>
          <w:rFonts w:ascii="Palatino Linotype" w:eastAsia="Palatino Linotype" w:hAnsi="Palatino Linotype" w:cs="Palatino Linotype"/>
        </w:rPr>
      </w:pPr>
    </w:p>
    <w:p w14:paraId="2ED1FCC9" w14:textId="77777777" w:rsidR="00835084" w:rsidRDefault="00495C85">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bookmarkStart w:id="8" w:name="_heading=h.gjdgxs" w:colFirst="0" w:colLast="0"/>
      <w:bookmarkEnd w:id="8"/>
      <w:r>
        <w:rPr>
          <w:rFonts w:ascii="Palatino Linotype" w:eastAsia="Palatino Linotype" w:hAnsi="Palatino Linotype" w:cs="Palatino Linotype"/>
          <w:b/>
          <w:color w:val="000000"/>
        </w:rPr>
        <w:t xml:space="preserve">SEGUNDO. Notifíquese </w:t>
      </w:r>
      <w:r>
        <w:rPr>
          <w:rFonts w:ascii="Palatino Linotype" w:eastAsia="Palatino Linotype" w:hAnsi="Palatino Linotype" w:cs="Palatino Linotype"/>
          <w:color w:val="000000"/>
        </w:rPr>
        <w:t>a través del Sistema de Acceso a la Información Mexiquense (SAIMEX) la presente resolución a la Titular de la Unidad de Transparencia del</w:t>
      </w:r>
      <w:r>
        <w:rPr>
          <w:rFonts w:ascii="Palatino Linotype" w:eastAsia="Palatino Linotype" w:hAnsi="Palatino Linotype" w:cs="Palatino Linotype"/>
          <w:b/>
          <w:color w:val="000000"/>
        </w:rPr>
        <w:t xml:space="preserve"> SUJETO OBLIGADO. </w:t>
      </w:r>
    </w:p>
    <w:p w14:paraId="48DB65B0" w14:textId="77777777" w:rsidR="00835084" w:rsidRDefault="00835084">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14:paraId="23D8F365" w14:textId="77777777" w:rsidR="00835084" w:rsidRDefault="00495C85">
      <w:pPr>
        <w:pBdr>
          <w:top w:val="nil"/>
          <w:left w:val="nil"/>
          <w:bottom w:val="nil"/>
          <w:right w:val="nil"/>
          <w:between w:val="nil"/>
        </w:pBdr>
        <w:spacing w:line="360" w:lineRule="auto"/>
        <w:ind w:right="-787"/>
        <w:jc w:val="both"/>
        <w:rPr>
          <w:rFonts w:ascii="Palatino Linotype" w:eastAsia="Palatino Linotype" w:hAnsi="Palatino Linotype" w:cs="Palatino Linotype"/>
          <w:color w:val="222222"/>
        </w:rPr>
      </w:pPr>
      <w:r>
        <w:rPr>
          <w:rFonts w:ascii="Palatino Linotype" w:eastAsia="Palatino Linotype" w:hAnsi="Palatino Linotype" w:cs="Palatino Linotype"/>
          <w:b/>
          <w:color w:val="000000"/>
        </w:rPr>
        <w:lastRenderedPageBreak/>
        <w:t xml:space="preserve">TERCERO. </w:t>
      </w:r>
      <w:r>
        <w:rPr>
          <w:rFonts w:ascii="Palatino Linotype" w:eastAsia="Palatino Linotype" w:hAnsi="Palatino Linotype" w:cs="Palatino Linotype"/>
          <w:b/>
          <w:color w:val="222222"/>
        </w:rPr>
        <w:t xml:space="preserve">Notifíquese </w:t>
      </w:r>
      <w:r>
        <w:rPr>
          <w:rFonts w:ascii="Palatino Linotype" w:eastAsia="Palatino Linotype" w:hAnsi="Palatino Linotype" w:cs="Palatino Linotype"/>
          <w:color w:val="222222"/>
        </w:rPr>
        <w:t xml:space="preserve">al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222222"/>
        </w:rPr>
        <w:t>la presente resolución vía Sistema de Acceso a la Información Mexiquense (SAIMEX).</w:t>
      </w:r>
    </w:p>
    <w:p w14:paraId="54FE3717" w14:textId="77777777" w:rsidR="00835084" w:rsidRDefault="00835084">
      <w:pPr>
        <w:pBdr>
          <w:top w:val="nil"/>
          <w:left w:val="nil"/>
          <w:bottom w:val="nil"/>
          <w:right w:val="nil"/>
          <w:between w:val="nil"/>
        </w:pBdr>
        <w:spacing w:line="360" w:lineRule="auto"/>
        <w:ind w:right="-787"/>
        <w:jc w:val="both"/>
        <w:rPr>
          <w:rFonts w:ascii="Palatino Linotype" w:eastAsia="Palatino Linotype" w:hAnsi="Palatino Linotype" w:cs="Palatino Linotype"/>
          <w:color w:val="222222"/>
        </w:rPr>
      </w:pPr>
    </w:p>
    <w:p w14:paraId="37945F8C" w14:textId="77777777" w:rsidR="00835084" w:rsidRDefault="00495C85">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CUARTO.</w:t>
      </w:r>
      <w:r>
        <w:rPr>
          <w:rFonts w:ascii="Palatino Linotype" w:eastAsia="Palatino Linotype" w:hAnsi="Palatino Linotype" w:cs="Palatino Linotype"/>
          <w:color w:val="000000"/>
        </w:rPr>
        <w:t xml:space="preserve"> Se hace del conocimiento del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resolución le cause algún perjuicio podrá </w:t>
      </w:r>
      <w:r>
        <w:rPr>
          <w:rFonts w:ascii="Palatino Linotype" w:eastAsia="Palatino Linotype" w:hAnsi="Palatino Linotype" w:cs="Palatino Linotype"/>
        </w:rPr>
        <w:t>impugnar vía</w:t>
      </w:r>
      <w:r>
        <w:rPr>
          <w:rFonts w:ascii="Palatino Linotype" w:eastAsia="Palatino Linotype" w:hAnsi="Palatino Linotype" w:cs="Palatino Linotype"/>
          <w:color w:val="000000"/>
        </w:rPr>
        <w:t xml:space="preserve"> juicio de amparo en los términos de las leyes aplicables.</w:t>
      </w:r>
    </w:p>
    <w:p w14:paraId="522250CE" w14:textId="77777777" w:rsidR="00835084" w:rsidRDefault="00835084">
      <w:pPr>
        <w:spacing w:line="360" w:lineRule="auto"/>
        <w:ind w:right="-787"/>
        <w:jc w:val="both"/>
        <w:rPr>
          <w:rFonts w:ascii="Palatino Linotype" w:eastAsia="Palatino Linotype" w:hAnsi="Palatino Linotype" w:cs="Palatino Linotype"/>
          <w:color w:val="000000"/>
        </w:rPr>
      </w:pPr>
    </w:p>
    <w:p w14:paraId="0982CB9A" w14:textId="77777777" w:rsidR="00E208AF" w:rsidRPr="003C7186" w:rsidRDefault="00E208AF" w:rsidP="00731BF2">
      <w:pPr>
        <w:spacing w:line="360" w:lineRule="auto"/>
        <w:ind w:right="-801"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SEGUNDA </w:t>
      </w:r>
      <w:r w:rsidRPr="003C7186">
        <w:rPr>
          <w:rFonts w:ascii="Palatino Linotype" w:hAnsi="Palatino Linotype"/>
        </w:rPr>
        <w:t xml:space="preserve">SESIÓN ORDINARIA CELEBRADA EL </w:t>
      </w:r>
      <w:r>
        <w:rPr>
          <w:rFonts w:ascii="Palatino Linotype" w:hAnsi="Palatino Linotype"/>
        </w:rPr>
        <w:t>ONCE</w:t>
      </w:r>
      <w:r w:rsidRPr="003C7186">
        <w:rPr>
          <w:rFonts w:ascii="Palatino Linotype" w:hAnsi="Palatino Linotype"/>
        </w:rPr>
        <w:t xml:space="preserve"> </w:t>
      </w:r>
      <w:r>
        <w:rPr>
          <w:rFonts w:ascii="Palatino Linotype" w:hAnsi="Palatino Linotype"/>
        </w:rPr>
        <w:t>(11) DE SEPTIEMBRE</w:t>
      </w:r>
      <w:r w:rsidRPr="003C7186">
        <w:rPr>
          <w:rFonts w:ascii="Palatino Linotype" w:hAnsi="Palatino Linotype"/>
        </w:rPr>
        <w:t xml:space="preserve"> DE DOS MIL VEINTICUATRO, ANTE EL SECRETARIO TÉCNICO DEL PLENO ALEXIS TAPIA RAMÍREZ. </w:t>
      </w:r>
    </w:p>
    <w:p w14:paraId="79C98179" w14:textId="77777777" w:rsidR="00F67208" w:rsidRDefault="00F67208">
      <w:pPr>
        <w:rPr>
          <w:rFonts w:ascii="Palatino Linotype" w:eastAsia="Palatino Linotype" w:hAnsi="Palatino Linotype" w:cs="Palatino Linotype"/>
        </w:rPr>
      </w:pPr>
      <w:r>
        <w:rPr>
          <w:rFonts w:ascii="Palatino Linotype" w:eastAsia="Palatino Linotype" w:hAnsi="Palatino Linotype" w:cs="Palatino Linotype"/>
        </w:rPr>
        <w:br w:type="page"/>
      </w:r>
    </w:p>
    <w:p w14:paraId="4278F771" w14:textId="77777777" w:rsidR="00835084" w:rsidRDefault="00835084">
      <w:pPr>
        <w:spacing w:line="360" w:lineRule="auto"/>
        <w:ind w:right="-787"/>
        <w:rPr>
          <w:rFonts w:ascii="Palatino Linotype" w:eastAsia="Palatino Linotype" w:hAnsi="Palatino Linotype" w:cs="Palatino Linotype"/>
        </w:rPr>
      </w:pPr>
    </w:p>
    <w:p w14:paraId="35B986E3" w14:textId="77777777" w:rsidR="00835084" w:rsidRDefault="00835084">
      <w:pPr>
        <w:spacing w:line="360" w:lineRule="auto"/>
        <w:ind w:right="-787"/>
        <w:rPr>
          <w:rFonts w:ascii="Palatino Linotype" w:eastAsia="Palatino Linotype" w:hAnsi="Palatino Linotype" w:cs="Palatino Linotype"/>
        </w:rPr>
      </w:pPr>
    </w:p>
    <w:p w14:paraId="29788E54" w14:textId="77777777" w:rsidR="00835084" w:rsidRDefault="00835084">
      <w:pPr>
        <w:spacing w:line="360" w:lineRule="auto"/>
        <w:ind w:right="-787"/>
        <w:rPr>
          <w:rFonts w:ascii="Palatino Linotype" w:eastAsia="Palatino Linotype" w:hAnsi="Palatino Linotype" w:cs="Palatino Linotype"/>
        </w:rPr>
      </w:pPr>
    </w:p>
    <w:p w14:paraId="10F8FA85" w14:textId="77777777" w:rsidR="00835084" w:rsidRDefault="00835084">
      <w:pPr>
        <w:spacing w:line="360" w:lineRule="auto"/>
        <w:ind w:right="-787"/>
        <w:rPr>
          <w:rFonts w:ascii="Palatino Linotype" w:eastAsia="Palatino Linotype" w:hAnsi="Palatino Linotype" w:cs="Palatino Linotype"/>
        </w:rPr>
      </w:pPr>
    </w:p>
    <w:p w14:paraId="3AAF772A" w14:textId="77777777" w:rsidR="00835084" w:rsidRDefault="00835084">
      <w:pPr>
        <w:spacing w:line="360" w:lineRule="auto"/>
        <w:ind w:right="-787"/>
        <w:rPr>
          <w:rFonts w:ascii="Palatino Linotype" w:eastAsia="Palatino Linotype" w:hAnsi="Palatino Linotype" w:cs="Palatino Linotype"/>
        </w:rPr>
      </w:pPr>
    </w:p>
    <w:p w14:paraId="787B5E98" w14:textId="77777777" w:rsidR="00835084" w:rsidRDefault="00835084">
      <w:pPr>
        <w:spacing w:line="360" w:lineRule="auto"/>
        <w:ind w:right="-787"/>
        <w:rPr>
          <w:rFonts w:ascii="Palatino Linotype" w:eastAsia="Palatino Linotype" w:hAnsi="Palatino Linotype" w:cs="Palatino Linotype"/>
        </w:rPr>
      </w:pPr>
    </w:p>
    <w:p w14:paraId="2FE8F357" w14:textId="77777777" w:rsidR="00835084" w:rsidRDefault="00835084">
      <w:pPr>
        <w:spacing w:line="360" w:lineRule="auto"/>
        <w:ind w:right="-787"/>
        <w:rPr>
          <w:rFonts w:ascii="Palatino Linotype" w:eastAsia="Palatino Linotype" w:hAnsi="Palatino Linotype" w:cs="Palatino Linotype"/>
        </w:rPr>
      </w:pPr>
    </w:p>
    <w:p w14:paraId="16CC2FD8" w14:textId="77777777" w:rsidR="00835084" w:rsidRDefault="00835084">
      <w:pPr>
        <w:ind w:right="-787"/>
      </w:pPr>
    </w:p>
    <w:sectPr w:rsidR="00835084">
      <w:headerReference w:type="default" r:id="rId9"/>
      <w:footerReference w:type="default" r:id="rId10"/>
      <w:headerReference w:type="first" r:id="rId11"/>
      <w:footerReference w:type="first" r:id="rId12"/>
      <w:pgSz w:w="12240" w:h="15840"/>
      <w:pgMar w:top="2021"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56661" w14:textId="77777777" w:rsidR="00C71DC9" w:rsidRDefault="00C71DC9">
      <w:r>
        <w:separator/>
      </w:r>
    </w:p>
  </w:endnote>
  <w:endnote w:type="continuationSeparator" w:id="0">
    <w:p w14:paraId="33B2C3F6" w14:textId="77777777" w:rsidR="00C71DC9" w:rsidRDefault="00C7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CAE3" w14:textId="77777777" w:rsidR="00835084" w:rsidRDefault="00495C8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731BF2">
      <w:rPr>
        <w:rFonts w:ascii="Palatino Linotype" w:eastAsia="Palatino Linotype" w:hAnsi="Palatino Linotype" w:cs="Palatino Linotype"/>
        <w:b/>
        <w:noProof/>
        <w:color w:val="000000"/>
        <w:sz w:val="22"/>
        <w:szCs w:val="22"/>
      </w:rPr>
      <w:t>18</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731BF2">
      <w:rPr>
        <w:rFonts w:ascii="Palatino Linotype" w:eastAsia="Palatino Linotype" w:hAnsi="Palatino Linotype" w:cs="Palatino Linotype"/>
        <w:b/>
        <w:noProof/>
        <w:color w:val="000000"/>
        <w:sz w:val="22"/>
        <w:szCs w:val="22"/>
      </w:rPr>
      <w:t>19</w:t>
    </w:r>
    <w:r>
      <w:rPr>
        <w:rFonts w:ascii="Palatino Linotype" w:eastAsia="Palatino Linotype" w:hAnsi="Palatino Linotype" w:cs="Palatino Linotype"/>
        <w:b/>
        <w:color w:val="000000"/>
        <w:sz w:val="22"/>
        <w:szCs w:val="22"/>
      </w:rPr>
      <w:fldChar w:fldCharType="end"/>
    </w:r>
  </w:p>
  <w:p w14:paraId="31A469E4" w14:textId="77777777" w:rsidR="00835084" w:rsidRDefault="0083508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04AD" w14:textId="77777777" w:rsidR="00835084" w:rsidRDefault="00495C8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731BF2">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731BF2">
      <w:rPr>
        <w:rFonts w:ascii="Palatino Linotype" w:eastAsia="Palatino Linotype" w:hAnsi="Palatino Linotype" w:cs="Palatino Linotype"/>
        <w:noProof/>
        <w:color w:val="000000"/>
        <w:sz w:val="22"/>
        <w:szCs w:val="22"/>
      </w:rPr>
      <w:t>19</w:t>
    </w:r>
    <w:r>
      <w:rPr>
        <w:rFonts w:ascii="Palatino Linotype" w:eastAsia="Palatino Linotype" w:hAnsi="Palatino Linotype" w:cs="Palatino Linotype"/>
        <w:color w:val="000000"/>
        <w:sz w:val="22"/>
        <w:szCs w:val="22"/>
      </w:rPr>
      <w:fldChar w:fldCharType="end"/>
    </w:r>
  </w:p>
  <w:p w14:paraId="040B0C89" w14:textId="77777777" w:rsidR="00835084" w:rsidRDefault="00835084">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66184" w14:textId="77777777" w:rsidR="00C71DC9" w:rsidRDefault="00C71DC9">
      <w:r>
        <w:separator/>
      </w:r>
    </w:p>
  </w:footnote>
  <w:footnote w:type="continuationSeparator" w:id="0">
    <w:p w14:paraId="6565EAC5" w14:textId="77777777" w:rsidR="00C71DC9" w:rsidRDefault="00C71DC9">
      <w:r>
        <w:continuationSeparator/>
      </w:r>
    </w:p>
  </w:footnote>
  <w:footnote w:id="1">
    <w:p w14:paraId="441C644A" w14:textId="77777777" w:rsidR="00835084" w:rsidRDefault="00495C8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b/>
          <w:color w:val="000000"/>
          <w:sz w:val="20"/>
          <w:szCs w:val="20"/>
        </w:rPr>
        <w:t>Artículo 181.-</w:t>
      </w:r>
      <w:r>
        <w:rPr>
          <w:color w:val="000000"/>
          <w:sz w:val="20"/>
          <w:szCs w:val="20"/>
        </w:rPr>
        <w:t xml:space="preserve"> (…)</w:t>
      </w:r>
    </w:p>
    <w:p w14:paraId="10403537" w14:textId="77777777" w:rsidR="00835084" w:rsidRDefault="00495C85">
      <w:pPr>
        <w:pBdr>
          <w:top w:val="nil"/>
          <w:left w:val="nil"/>
          <w:bottom w:val="nil"/>
          <w:right w:val="nil"/>
          <w:between w:val="nil"/>
        </w:pBdr>
        <w:rPr>
          <w:color w:val="000000"/>
          <w:sz w:val="20"/>
          <w:szCs w:val="20"/>
        </w:rPr>
      </w:pPr>
      <w:r>
        <w:rPr>
          <w:color w:val="000000"/>
          <w:sz w:val="20"/>
          <w:szCs w:val="20"/>
        </w:rPr>
        <w:t>El Instituto resolverá el recurso de revisión en un plazo que no podrá exceder de treinta días hábiles, contados a partir de la admisión del mismo, en los términos que establezca la presente ley, plazo que podrá ampliarse por una sola vez y hasta por un periodo de quince días hábiles.</w:t>
      </w:r>
    </w:p>
    <w:p w14:paraId="0A4639A7" w14:textId="77777777" w:rsidR="00835084" w:rsidRDefault="00495C85">
      <w:pPr>
        <w:pBdr>
          <w:top w:val="nil"/>
          <w:left w:val="nil"/>
          <w:bottom w:val="nil"/>
          <w:right w:val="nil"/>
          <w:between w:val="nil"/>
        </w:pBdr>
        <w:rPr>
          <w:color w:val="000000"/>
          <w:sz w:val="20"/>
          <w:szCs w:val="20"/>
        </w:rPr>
      </w:pPr>
      <w:r>
        <w:rPr>
          <w:color w:val="000000"/>
          <w:sz w:val="20"/>
          <w:szCs w:val="20"/>
        </w:rPr>
        <w:t>(…)”</w:t>
      </w:r>
    </w:p>
  </w:footnote>
  <w:footnote w:id="2">
    <w:p w14:paraId="431E77C3" w14:textId="77777777" w:rsidR="00835084" w:rsidRDefault="00495C8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b/>
          <w:color w:val="000000"/>
          <w:sz w:val="20"/>
          <w:szCs w:val="20"/>
        </w:rPr>
        <w:t>Artículo 178.</w:t>
      </w:r>
      <w:r>
        <w:rPr>
          <w:color w:val="000000"/>
          <w:sz w:val="20"/>
          <w:szCs w:val="20"/>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2E5413F" w14:textId="77777777" w:rsidR="00835084" w:rsidRDefault="00495C85">
      <w:pPr>
        <w:pBdr>
          <w:top w:val="nil"/>
          <w:left w:val="nil"/>
          <w:bottom w:val="nil"/>
          <w:right w:val="nil"/>
          <w:between w:val="nil"/>
        </w:pBdr>
        <w:jc w:val="both"/>
        <w:rPr>
          <w:color w:val="000000"/>
          <w:sz w:val="20"/>
          <w:szCs w:val="20"/>
        </w:rPr>
      </w:pPr>
      <w:r>
        <w:rPr>
          <w:color w:val="000000"/>
          <w:sz w:val="20"/>
          <w:szCs w:val="20"/>
        </w:rPr>
        <w:t>(…)”</w:t>
      </w:r>
    </w:p>
  </w:footnote>
  <w:footnote w:id="3">
    <w:p w14:paraId="3004B35A" w14:textId="77777777" w:rsidR="00835084" w:rsidRDefault="00495C85">
      <w:pPr>
        <w:jc w:val="both"/>
        <w:rPr>
          <w:rFonts w:ascii="Palatino Linotype" w:eastAsia="Palatino Linotype" w:hAnsi="Palatino Linotype" w:cs="Palatino Linotype"/>
          <w:sz w:val="14"/>
          <w:szCs w:val="14"/>
        </w:rPr>
      </w:pPr>
      <w:r>
        <w:rPr>
          <w:vertAlign w:val="superscript"/>
        </w:rPr>
        <w:footnoteRef/>
      </w:r>
      <w:r>
        <w:rPr>
          <w:rFonts w:ascii="Palatino Linotype" w:eastAsia="Palatino Linotype" w:hAnsi="Palatino Linotype" w:cs="Palatino Linotype"/>
          <w:sz w:val="14"/>
          <w:szCs w:val="14"/>
        </w:rPr>
        <w:t xml:space="preserve"> BURGOA ORIHUELA Ignacio. </w:t>
      </w:r>
      <w:r>
        <w:rPr>
          <w:rFonts w:ascii="Palatino Linotype" w:eastAsia="Palatino Linotype" w:hAnsi="Palatino Linotype" w:cs="Palatino Linotype"/>
          <w:i/>
          <w:sz w:val="14"/>
          <w:szCs w:val="14"/>
        </w:rPr>
        <w:t>Diccionario De Derecho Constitucional, Garantías y Amparo</w:t>
      </w:r>
      <w:r>
        <w:rPr>
          <w:rFonts w:ascii="Palatino Linotype" w:eastAsia="Palatino Linotype" w:hAnsi="Palatino Linotype" w:cs="Palatino Linotype"/>
          <w:sz w:val="14"/>
          <w:szCs w:val="14"/>
        </w:rPr>
        <w:t>. Ed. Porrúa, S.A., México. 1992. p. 115.</w:t>
      </w:r>
    </w:p>
  </w:footnote>
  <w:footnote w:id="4">
    <w:p w14:paraId="3F6156A5" w14:textId="77777777" w:rsidR="00835084" w:rsidRDefault="00495C85">
      <w:pPr>
        <w:pBdr>
          <w:top w:val="nil"/>
          <w:left w:val="nil"/>
          <w:bottom w:val="nil"/>
          <w:right w:val="nil"/>
          <w:between w:val="nil"/>
        </w:pBdr>
        <w:jc w:val="both"/>
        <w:rPr>
          <w:rFonts w:ascii="Palatino Linotype" w:eastAsia="Palatino Linotype" w:hAnsi="Palatino Linotype" w:cs="Palatino Linotype"/>
          <w:i/>
          <w:color w:val="000000"/>
          <w:sz w:val="14"/>
          <w:szCs w:val="14"/>
        </w:rPr>
      </w:pPr>
      <w:r>
        <w:rPr>
          <w:vertAlign w:val="superscript"/>
        </w:rPr>
        <w:footnoteRef/>
      </w:r>
      <w:r>
        <w:rPr>
          <w:rFonts w:ascii="Palatino Linotype" w:eastAsia="Palatino Linotype" w:hAnsi="Palatino Linotype" w:cs="Palatino Linotype"/>
          <w:color w:val="000000"/>
          <w:sz w:val="14"/>
          <w:szCs w:val="14"/>
        </w:rPr>
        <w:t xml:space="preserve"> CIENFUEGOS SALGADO David. </w:t>
      </w:r>
      <w:r>
        <w:rPr>
          <w:rFonts w:ascii="Palatino Linotype" w:eastAsia="Palatino Linotype" w:hAnsi="Palatino Linotype" w:cs="Palatino Linotype"/>
          <w:i/>
          <w:color w:val="000000"/>
          <w:sz w:val="14"/>
          <w:szCs w:val="14"/>
        </w:rPr>
        <w:t xml:space="preserve">El Derecho de Petición en México. </w:t>
      </w:r>
      <w:r>
        <w:rPr>
          <w:rFonts w:ascii="Palatino Linotype" w:eastAsia="Palatino Linotype" w:hAnsi="Palatino Linotype" w:cs="Palatino Linotype"/>
          <w:color w:val="000000"/>
          <w:sz w:val="14"/>
          <w:szCs w:val="14"/>
        </w:rPr>
        <w:t>Ed. Instituto de Investigaciones Jurídica UNAM. México 2004. p. 31</w:t>
      </w:r>
    </w:p>
  </w:footnote>
  <w:footnote w:id="5">
    <w:p w14:paraId="1445C558" w14:textId="77777777" w:rsidR="00835084" w:rsidRDefault="00495C85">
      <w:pPr>
        <w:pBdr>
          <w:top w:val="nil"/>
          <w:left w:val="nil"/>
          <w:bottom w:val="nil"/>
          <w:right w:val="nil"/>
          <w:between w:val="nil"/>
        </w:pBdr>
        <w:jc w:val="both"/>
        <w:rPr>
          <w:rFonts w:ascii="Palatino Linotype" w:eastAsia="Palatino Linotype" w:hAnsi="Palatino Linotype" w:cs="Palatino Linotype"/>
          <w:color w:val="000000"/>
          <w:sz w:val="14"/>
          <w:szCs w:val="14"/>
        </w:rPr>
      </w:pPr>
      <w:r>
        <w:rPr>
          <w:vertAlign w:val="superscript"/>
        </w:rPr>
        <w:footnoteRef/>
      </w:r>
      <w:r>
        <w:rPr>
          <w:rFonts w:ascii="Palatino Linotype" w:eastAsia="Palatino Linotype" w:hAnsi="Palatino Linotype" w:cs="Palatino Linotype"/>
          <w:color w:val="000000"/>
          <w:sz w:val="14"/>
          <w:szCs w:val="14"/>
        </w:rPr>
        <w:t xml:space="preserve"> ROBLES HERNÁNDEZ José Guadalupe. </w:t>
      </w:r>
      <w:r>
        <w:rPr>
          <w:rFonts w:ascii="Palatino Linotype" w:eastAsia="Palatino Linotype" w:hAnsi="Palatino Linotype" w:cs="Palatino Linotype"/>
          <w:i/>
          <w:color w:val="000000"/>
          <w:sz w:val="14"/>
          <w:szCs w:val="14"/>
        </w:rPr>
        <w:t xml:space="preserve">Derecho de la Información y Comunicación Pública. </w:t>
      </w:r>
      <w:r>
        <w:rPr>
          <w:rFonts w:ascii="Palatino Linotype" w:eastAsia="Palatino Linotype" w:hAnsi="Palatino Linotype" w:cs="Palatino Linotype"/>
          <w:color w:val="000000"/>
          <w:sz w:val="14"/>
          <w:szCs w:val="14"/>
        </w:rPr>
        <w:t>Ed. Universidad de Occidente. México. 2004, p. 72.</w:t>
      </w:r>
    </w:p>
  </w:footnote>
  <w:footnote w:id="6">
    <w:p w14:paraId="53B08CCC" w14:textId="77777777" w:rsidR="00835084" w:rsidRDefault="00495C85">
      <w:pPr>
        <w:jc w:val="both"/>
        <w:rPr>
          <w:rFonts w:ascii="Palatino Linotype" w:eastAsia="Palatino Linotype" w:hAnsi="Palatino Linotype" w:cs="Palatino Linotype"/>
          <w:sz w:val="14"/>
          <w:szCs w:val="14"/>
        </w:rPr>
      </w:pPr>
      <w:r>
        <w:rPr>
          <w:vertAlign w:val="superscript"/>
        </w:rPr>
        <w:footnoteRef/>
      </w:r>
      <w:r>
        <w:rPr>
          <w:rFonts w:ascii="Palatino Linotype" w:eastAsia="Palatino Linotype" w:hAnsi="Palatino Linotype" w:cs="Palatino Linotype"/>
          <w:sz w:val="14"/>
          <w:szCs w:val="14"/>
        </w:rPr>
        <w:t xml:space="preserve"> VILLANUEVA </w:t>
      </w:r>
      <w:r>
        <w:rPr>
          <w:rFonts w:ascii="Palatino Linotype" w:eastAsia="Palatino Linotype" w:hAnsi="Palatino Linotype" w:cs="Palatino Linotype"/>
          <w:sz w:val="14"/>
          <w:szCs w:val="14"/>
        </w:rPr>
        <w:t>VILLANUEVA Ernesto. Derecho de la Información, Ed. Porrúa. S.A., México. 2006. p. 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E0FA" w14:textId="77777777" w:rsidR="00835084" w:rsidRDefault="00835084">
    <w:pPr>
      <w:widowControl w:val="0"/>
      <w:pBdr>
        <w:top w:val="nil"/>
        <w:left w:val="nil"/>
        <w:bottom w:val="nil"/>
        <w:right w:val="nil"/>
        <w:between w:val="nil"/>
      </w:pBdr>
      <w:spacing w:line="276" w:lineRule="auto"/>
      <w:rPr>
        <w:color w:val="000000"/>
        <w:sz w:val="20"/>
        <w:szCs w:val="20"/>
      </w:rPr>
    </w:pPr>
  </w:p>
  <w:tbl>
    <w:tblPr>
      <w:tblStyle w:val="a0"/>
      <w:tblW w:w="8445" w:type="dxa"/>
      <w:tblInd w:w="1605" w:type="dxa"/>
      <w:tblBorders>
        <w:top w:val="nil"/>
        <w:left w:val="nil"/>
        <w:bottom w:val="nil"/>
        <w:right w:val="nil"/>
        <w:insideH w:val="nil"/>
        <w:insideV w:val="nil"/>
      </w:tblBorders>
      <w:tblLayout w:type="fixed"/>
      <w:tblLook w:val="0400" w:firstRow="0" w:lastRow="0" w:firstColumn="0" w:lastColumn="0" w:noHBand="0" w:noVBand="1"/>
    </w:tblPr>
    <w:tblGrid>
      <w:gridCol w:w="3825"/>
      <w:gridCol w:w="4620"/>
    </w:tblGrid>
    <w:tr w:rsidR="00835084" w14:paraId="4CC855BF" w14:textId="77777777">
      <w:trPr>
        <w:trHeight w:val="138"/>
      </w:trPr>
      <w:tc>
        <w:tcPr>
          <w:tcW w:w="3825" w:type="dxa"/>
          <w:vAlign w:val="center"/>
        </w:tcPr>
        <w:p w14:paraId="480DA0C6" w14:textId="77777777" w:rsidR="00835084" w:rsidRDefault="00835084">
          <w:pPr>
            <w:ind w:right="34"/>
            <w:jc w:val="right"/>
            <w:rPr>
              <w:rFonts w:ascii="Palatino Linotype" w:eastAsia="Palatino Linotype" w:hAnsi="Palatino Linotype" w:cs="Palatino Linotype"/>
              <w:b/>
            </w:rPr>
          </w:pPr>
        </w:p>
      </w:tc>
      <w:tc>
        <w:tcPr>
          <w:tcW w:w="4620" w:type="dxa"/>
          <w:vAlign w:val="center"/>
        </w:tcPr>
        <w:p w14:paraId="4DDDB07C" w14:textId="77777777" w:rsidR="00835084" w:rsidRDefault="00835084">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rPr>
          </w:pPr>
        </w:p>
      </w:tc>
    </w:tr>
    <w:tr w:rsidR="00835084" w14:paraId="26F3354C" w14:textId="77777777">
      <w:trPr>
        <w:trHeight w:val="138"/>
      </w:trPr>
      <w:tc>
        <w:tcPr>
          <w:tcW w:w="3825" w:type="dxa"/>
          <w:vAlign w:val="center"/>
        </w:tcPr>
        <w:p w14:paraId="3C8E4BEA" w14:textId="77777777" w:rsidR="00835084" w:rsidRDefault="00495C8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20" w:type="dxa"/>
          <w:vAlign w:val="center"/>
        </w:tcPr>
        <w:p w14:paraId="3A032D72" w14:textId="77777777" w:rsidR="00835084" w:rsidRDefault="00495C85">
          <w:pPr>
            <w:pBdr>
              <w:top w:val="nil"/>
              <w:left w:val="nil"/>
              <w:bottom w:val="nil"/>
              <w:right w:val="nil"/>
              <w:between w:val="nil"/>
            </w:pBdr>
            <w:tabs>
              <w:tab w:val="center" w:pos="4659"/>
              <w:tab w:val="right" w:pos="8504"/>
            </w:tabs>
            <w:ind w:right="-43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01748/INFOEM/IP/RR/2024</w:t>
          </w:r>
        </w:p>
      </w:tc>
    </w:tr>
    <w:tr w:rsidR="00835084" w14:paraId="00882993" w14:textId="77777777">
      <w:trPr>
        <w:trHeight w:val="233"/>
      </w:trPr>
      <w:tc>
        <w:tcPr>
          <w:tcW w:w="3825" w:type="dxa"/>
          <w:vAlign w:val="center"/>
        </w:tcPr>
        <w:p w14:paraId="5B507801" w14:textId="77777777" w:rsidR="00835084" w:rsidRDefault="00495C8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20" w:type="dxa"/>
          <w:vAlign w:val="center"/>
        </w:tcPr>
        <w:p w14:paraId="39189E92" w14:textId="77777777" w:rsidR="00835084" w:rsidRDefault="00495C85">
          <w:pPr>
            <w:pBdr>
              <w:top w:val="nil"/>
              <w:left w:val="nil"/>
              <w:bottom w:val="nil"/>
              <w:right w:val="nil"/>
              <w:between w:val="nil"/>
            </w:pBdr>
            <w:tabs>
              <w:tab w:val="center" w:pos="4659"/>
              <w:tab w:val="right" w:pos="8504"/>
            </w:tabs>
            <w:ind w:right="-43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Municipal Para el Desarrollo Integral de la Familia de Ecatepec de Morelos</w:t>
          </w:r>
        </w:p>
      </w:tc>
    </w:tr>
    <w:tr w:rsidR="00835084" w14:paraId="568D0B04" w14:textId="77777777">
      <w:trPr>
        <w:trHeight w:val="321"/>
      </w:trPr>
      <w:tc>
        <w:tcPr>
          <w:tcW w:w="3825" w:type="dxa"/>
          <w:vAlign w:val="center"/>
        </w:tcPr>
        <w:p w14:paraId="02AF9A6A" w14:textId="77777777" w:rsidR="00835084" w:rsidRDefault="00495C8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20" w:type="dxa"/>
          <w:vAlign w:val="center"/>
        </w:tcPr>
        <w:p w14:paraId="25C375DB" w14:textId="77777777" w:rsidR="00835084" w:rsidRDefault="00495C85">
          <w:pPr>
            <w:pBdr>
              <w:top w:val="nil"/>
              <w:left w:val="nil"/>
              <w:bottom w:val="nil"/>
              <w:right w:val="nil"/>
              <w:between w:val="nil"/>
            </w:pBdr>
            <w:tabs>
              <w:tab w:val="center" w:pos="4659"/>
              <w:tab w:val="right" w:pos="8504"/>
            </w:tabs>
            <w:ind w:right="-43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7BEC6956" w14:textId="77777777" w:rsidR="00835084" w:rsidRDefault="00495C85">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14:anchorId="5FADE422" wp14:editId="2D15CD16">
          <wp:simplePos x="0" y="0"/>
          <wp:positionH relativeFrom="page">
            <wp:posOffset>34285</wp:posOffset>
          </wp:positionH>
          <wp:positionV relativeFrom="page">
            <wp:posOffset>13335</wp:posOffset>
          </wp:positionV>
          <wp:extent cx="7694930" cy="1002030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4930" cy="100203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F12D" w14:textId="77777777" w:rsidR="00835084" w:rsidRDefault="00835084">
    <w:pPr>
      <w:widowControl w:val="0"/>
      <w:pBdr>
        <w:top w:val="nil"/>
        <w:left w:val="nil"/>
        <w:bottom w:val="nil"/>
        <w:right w:val="nil"/>
        <w:between w:val="nil"/>
      </w:pBdr>
      <w:spacing w:line="276" w:lineRule="auto"/>
      <w:rPr>
        <w:color w:val="000000"/>
      </w:rPr>
    </w:pPr>
  </w:p>
  <w:tbl>
    <w:tblPr>
      <w:tblStyle w:val="a1"/>
      <w:tblW w:w="8730" w:type="dxa"/>
      <w:tblInd w:w="1470" w:type="dxa"/>
      <w:tblBorders>
        <w:top w:val="nil"/>
        <w:left w:val="nil"/>
        <w:bottom w:val="nil"/>
        <w:right w:val="nil"/>
        <w:insideH w:val="nil"/>
        <w:insideV w:val="nil"/>
      </w:tblBorders>
      <w:tblLayout w:type="fixed"/>
      <w:tblLook w:val="0400" w:firstRow="0" w:lastRow="0" w:firstColumn="0" w:lastColumn="0" w:noHBand="0" w:noVBand="1"/>
    </w:tblPr>
    <w:tblGrid>
      <w:gridCol w:w="3825"/>
      <w:gridCol w:w="4905"/>
    </w:tblGrid>
    <w:tr w:rsidR="00835084" w14:paraId="779D8106" w14:textId="77777777">
      <w:trPr>
        <w:trHeight w:val="138"/>
      </w:trPr>
      <w:tc>
        <w:tcPr>
          <w:tcW w:w="3825" w:type="dxa"/>
          <w:vAlign w:val="center"/>
        </w:tcPr>
        <w:p w14:paraId="4BE82171" w14:textId="77777777" w:rsidR="00835084" w:rsidRDefault="00495C85">
          <w:pPr>
            <w:jc w:val="right"/>
            <w:rPr>
              <w:rFonts w:ascii="Palatino Linotype" w:eastAsia="Palatino Linotype" w:hAnsi="Palatino Linotype" w:cs="Palatino Linotype"/>
              <w:b/>
              <w:sz w:val="22"/>
              <w:szCs w:val="22"/>
            </w:rPr>
          </w:pPr>
          <w:r>
            <w:rPr>
              <w:sz w:val="22"/>
              <w:szCs w:val="22"/>
            </w:rPr>
            <w:tab/>
          </w:r>
          <w:r>
            <w:rPr>
              <w:rFonts w:ascii="Palatino Linotype" w:eastAsia="Palatino Linotype" w:hAnsi="Palatino Linotype" w:cs="Palatino Linotype"/>
              <w:b/>
              <w:sz w:val="22"/>
              <w:szCs w:val="22"/>
            </w:rPr>
            <w:t>RECURSO DE REVISIÓN:</w:t>
          </w:r>
        </w:p>
      </w:tc>
      <w:tc>
        <w:tcPr>
          <w:tcW w:w="4905" w:type="dxa"/>
          <w:vAlign w:val="center"/>
        </w:tcPr>
        <w:p w14:paraId="2357BA94" w14:textId="77777777" w:rsidR="00835084" w:rsidRDefault="00495C85">
          <w:pPr>
            <w:pBdr>
              <w:top w:val="nil"/>
              <w:left w:val="nil"/>
              <w:bottom w:val="nil"/>
              <w:right w:val="nil"/>
              <w:between w:val="nil"/>
            </w:pBdr>
            <w:tabs>
              <w:tab w:val="center" w:pos="4252"/>
              <w:tab w:val="right" w:pos="8504"/>
            </w:tabs>
            <w:ind w:right="-1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01748/INFOEM/IP/RR/2024</w:t>
          </w:r>
        </w:p>
      </w:tc>
    </w:tr>
    <w:tr w:rsidR="00835084" w14:paraId="714250EF" w14:textId="77777777">
      <w:trPr>
        <w:trHeight w:val="233"/>
      </w:trPr>
      <w:tc>
        <w:tcPr>
          <w:tcW w:w="3825" w:type="dxa"/>
          <w:vAlign w:val="center"/>
        </w:tcPr>
        <w:p w14:paraId="706BCB66" w14:textId="77777777" w:rsidR="00835084" w:rsidRDefault="00495C8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905" w:type="dxa"/>
        </w:tcPr>
        <w:p w14:paraId="7266EA95" w14:textId="022C7408" w:rsidR="00835084" w:rsidRDefault="00196888">
          <w:pPr>
            <w:pBdr>
              <w:top w:val="nil"/>
              <w:left w:val="nil"/>
              <w:bottom w:val="nil"/>
              <w:right w:val="nil"/>
              <w:between w:val="nil"/>
            </w:pBdr>
            <w:tabs>
              <w:tab w:val="center" w:pos="4252"/>
              <w:tab w:val="right" w:pos="8504"/>
            </w:tabs>
            <w:ind w:right="-1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835084" w14:paraId="04CD0E6D" w14:textId="77777777">
      <w:trPr>
        <w:trHeight w:val="321"/>
      </w:trPr>
      <w:tc>
        <w:tcPr>
          <w:tcW w:w="3825" w:type="dxa"/>
          <w:vAlign w:val="center"/>
        </w:tcPr>
        <w:p w14:paraId="1827D5F1" w14:textId="77777777" w:rsidR="00835084" w:rsidRDefault="00495C8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05" w:type="dxa"/>
          <w:vAlign w:val="center"/>
        </w:tcPr>
        <w:p w14:paraId="4B472E6E" w14:textId="77777777" w:rsidR="00835084" w:rsidRDefault="00495C85">
          <w:pPr>
            <w:pBdr>
              <w:top w:val="nil"/>
              <w:left w:val="nil"/>
              <w:bottom w:val="nil"/>
              <w:right w:val="nil"/>
              <w:between w:val="nil"/>
            </w:pBdr>
            <w:tabs>
              <w:tab w:val="center" w:pos="4252"/>
              <w:tab w:val="right" w:pos="8504"/>
            </w:tabs>
            <w:ind w:right="-1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Municipal Para el Desarrollo Integral de la Familia de Ecatepec de Morelos</w:t>
          </w:r>
        </w:p>
      </w:tc>
    </w:tr>
    <w:tr w:rsidR="00835084" w14:paraId="68CC95B3" w14:textId="77777777">
      <w:trPr>
        <w:trHeight w:val="321"/>
      </w:trPr>
      <w:tc>
        <w:tcPr>
          <w:tcW w:w="3825" w:type="dxa"/>
          <w:vAlign w:val="center"/>
        </w:tcPr>
        <w:p w14:paraId="49AF249E" w14:textId="77777777" w:rsidR="00835084" w:rsidRDefault="00495C8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05" w:type="dxa"/>
          <w:vAlign w:val="center"/>
        </w:tcPr>
        <w:p w14:paraId="5F1CA401" w14:textId="77777777" w:rsidR="00835084" w:rsidRDefault="00495C85">
          <w:pPr>
            <w:pBdr>
              <w:top w:val="nil"/>
              <w:left w:val="nil"/>
              <w:bottom w:val="nil"/>
              <w:right w:val="nil"/>
              <w:between w:val="nil"/>
            </w:pBdr>
            <w:tabs>
              <w:tab w:val="center" w:pos="4252"/>
              <w:tab w:val="right" w:pos="8504"/>
            </w:tabs>
            <w:ind w:left="33" w:right="-1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0B97DDFB" w14:textId="77777777" w:rsidR="00835084" w:rsidRDefault="00C71DC9">
    <w:pPr>
      <w:pBdr>
        <w:top w:val="nil"/>
        <w:left w:val="nil"/>
        <w:bottom w:val="nil"/>
        <w:right w:val="nil"/>
        <w:between w:val="nil"/>
      </w:pBdr>
      <w:tabs>
        <w:tab w:val="center" w:pos="4252"/>
        <w:tab w:val="right" w:pos="8504"/>
        <w:tab w:val="left" w:pos="3103"/>
      </w:tabs>
      <w:rPr>
        <w:color w:val="000000"/>
      </w:rPr>
    </w:pPr>
    <w:r>
      <w:rPr>
        <w:color w:val="000000"/>
      </w:rPr>
      <w:pict w14:anchorId="38698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8.55pt;margin-top:-111.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43160"/>
    <w:multiLevelType w:val="multilevel"/>
    <w:tmpl w:val="CCE88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B10CF5"/>
    <w:multiLevelType w:val="multilevel"/>
    <w:tmpl w:val="6EDA0C4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A562A1"/>
    <w:multiLevelType w:val="multilevel"/>
    <w:tmpl w:val="E9EA32FA"/>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FCD6791"/>
    <w:multiLevelType w:val="multilevel"/>
    <w:tmpl w:val="0A16369E"/>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0522128">
    <w:abstractNumId w:val="3"/>
  </w:num>
  <w:num w:numId="2" w16cid:durableId="486671671">
    <w:abstractNumId w:val="2"/>
  </w:num>
  <w:num w:numId="3" w16cid:durableId="277223093">
    <w:abstractNumId w:val="0"/>
  </w:num>
  <w:num w:numId="4" w16cid:durableId="99961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084"/>
    <w:rsid w:val="00196888"/>
    <w:rsid w:val="00495C85"/>
    <w:rsid w:val="005C45AA"/>
    <w:rsid w:val="00731BF2"/>
    <w:rsid w:val="00835084"/>
    <w:rsid w:val="00845C1C"/>
    <w:rsid w:val="008A344B"/>
    <w:rsid w:val="00A207C8"/>
    <w:rsid w:val="00C71DC9"/>
    <w:rsid w:val="00E208AF"/>
    <w:rsid w:val="00F672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063BA"/>
  <w15:docId w15:val="{F7C4DE1D-94BF-4A3E-84A2-79A566E0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88B"/>
  </w:style>
  <w:style w:type="paragraph" w:styleId="Ttulo1">
    <w:name w:val="heading 1"/>
    <w:basedOn w:val="Normal"/>
    <w:next w:val="Normal"/>
    <w:link w:val="Ttulo1Car"/>
    <w:uiPriority w:val="9"/>
    <w:qFormat/>
    <w:rsid w:val="00A0288B"/>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0288B"/>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A0288B"/>
    <w:rPr>
      <w:rFonts w:ascii="Palatino Linotype" w:eastAsiaTheme="majorEastAsia" w:hAnsi="Palatino Linotype" w:cstheme="majorBidi"/>
      <w:sz w:val="24"/>
      <w:szCs w:val="32"/>
    </w:rPr>
  </w:style>
  <w:style w:type="character" w:customStyle="1" w:styleId="Ttulo2Car">
    <w:name w:val="Título 2 Car"/>
    <w:basedOn w:val="Fuentedeprrafopredeter"/>
    <w:link w:val="Ttulo2"/>
    <w:uiPriority w:val="9"/>
    <w:rsid w:val="00A0288B"/>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0288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0288B"/>
    <w:rPr>
      <w:rFonts w:ascii="Cambria" w:eastAsia="Cambria" w:hAnsi="Cambria" w:cs="Cambria"/>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A0288B"/>
    <w:rPr>
      <w:color w:val="0563C1" w:themeColor="hyperlink"/>
      <w:u w:val="single"/>
    </w:rPr>
  </w:style>
  <w:style w:type="paragraph" w:styleId="Listaconvietas2">
    <w:name w:val="List Bullet 2"/>
    <w:basedOn w:val="Normal"/>
    <w:uiPriority w:val="99"/>
    <w:unhideWhenUsed/>
    <w:rsid w:val="00A0288B"/>
    <w:pPr>
      <w:numPr>
        <w:numId w:val="2"/>
      </w:numPr>
      <w:contextualSpacing/>
    </w:pPr>
    <w:rPr>
      <w:rFonts w:ascii="Times New Roman" w:eastAsia="Times New Roman" w:hAnsi="Times New Roman" w:cs="Times New Roman"/>
      <w:sz w:val="20"/>
      <w:szCs w:val="20"/>
    </w:rPr>
  </w:style>
  <w:style w:type="paragraph" w:styleId="Encabezado">
    <w:name w:val="header"/>
    <w:basedOn w:val="Normal"/>
    <w:link w:val="EncabezadoCar"/>
    <w:uiPriority w:val="99"/>
    <w:unhideWhenUsed/>
    <w:rsid w:val="00A0288B"/>
    <w:pPr>
      <w:tabs>
        <w:tab w:val="center" w:pos="4419"/>
        <w:tab w:val="right" w:pos="8838"/>
      </w:tabs>
    </w:pPr>
  </w:style>
  <w:style w:type="character" w:customStyle="1" w:styleId="EncabezadoCar">
    <w:name w:val="Encabezado Car"/>
    <w:basedOn w:val="Fuentedeprrafopredeter"/>
    <w:link w:val="Encabezado"/>
    <w:uiPriority w:val="99"/>
    <w:rsid w:val="00A0288B"/>
    <w:rPr>
      <w:rFonts w:ascii="Cambria" w:eastAsia="Cambria" w:hAnsi="Cambria" w:cs="Cambria"/>
      <w:sz w:val="24"/>
      <w:szCs w:val="24"/>
      <w:lang w:eastAsia="es-MX"/>
    </w:rPr>
  </w:style>
  <w:style w:type="paragraph" w:styleId="Piedepgina">
    <w:name w:val="footer"/>
    <w:basedOn w:val="Normal"/>
    <w:link w:val="PiedepginaCar"/>
    <w:uiPriority w:val="99"/>
    <w:unhideWhenUsed/>
    <w:rsid w:val="00A0288B"/>
    <w:pPr>
      <w:tabs>
        <w:tab w:val="center" w:pos="4419"/>
        <w:tab w:val="right" w:pos="8838"/>
      </w:tabs>
    </w:pPr>
  </w:style>
  <w:style w:type="character" w:customStyle="1" w:styleId="PiedepginaCar">
    <w:name w:val="Pie de página Car"/>
    <w:basedOn w:val="Fuentedeprrafopredeter"/>
    <w:link w:val="Piedepgina"/>
    <w:uiPriority w:val="99"/>
    <w:rsid w:val="00A0288B"/>
    <w:rPr>
      <w:rFonts w:ascii="Cambria" w:eastAsia="Cambria" w:hAnsi="Cambria" w:cs="Cambria"/>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72195.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BlSa+LnO8a7yeiTskudiylSb2A==">CgMxLjAyCGguZ2pkZ3hzMgloLjMwajB6bGwyCWguMWZvYjl0ZTIJaC4zem55c2g3MgloLjJldDkycDAyCGgudHlqY3d0MgloLjNkeTZ2a20yCWguNGQzNG9nODIJaC4xN2RwOHZ1MghoLmdqZGd4czgAciExXzY1RWNKLS1iNGVYdlRkbWRCak1JeWhheF84NE5Xa0c=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4166</Words>
  <Characters>22913</Characters>
  <Application>Microsoft Office Word</Application>
  <DocSecurity>0</DocSecurity>
  <Lines>190</Lines>
  <Paragraphs>54</Paragraphs>
  <ScaleCrop>false</ScaleCrop>
  <Company>HP Inc.</Company>
  <LinksUpToDate>false</LinksUpToDate>
  <CharactersWithSpaces>27025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inf03m612@outlook.com</cp:lastModifiedBy>
  <cp:revision>6</cp:revision>
  <cp:lastPrinted>2024-09-12T20:51:00Z</cp:lastPrinted>
  <dcterms:created xsi:type="dcterms:W3CDTF">2024-09-04T00:09:00Z</dcterms:created>
  <dcterms:modified xsi:type="dcterms:W3CDTF">2024-09-18T20:27:00Z</dcterms:modified>
</cp:coreProperties>
</file>