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650984B" w:rsidR="005000AA" w:rsidRPr="007F41E1" w:rsidRDefault="005000AA" w:rsidP="005000AA">
      <w:pPr>
        <w:spacing w:before="240" w:after="240" w:line="360" w:lineRule="auto"/>
        <w:jc w:val="both"/>
        <w:rPr>
          <w:rFonts w:ascii="Palatino Linotype" w:hAnsi="Palatino Linotype"/>
          <w:sz w:val="24"/>
          <w:szCs w:val="24"/>
        </w:rPr>
      </w:pPr>
      <w:r w:rsidRPr="007F41E1">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2879EC" w:rsidRPr="007F41E1">
        <w:rPr>
          <w:rFonts w:ascii="Palatino Linotype" w:hAnsi="Palatino Linotype"/>
          <w:sz w:val="24"/>
          <w:szCs w:val="24"/>
        </w:rPr>
        <w:t xml:space="preserve"> fecha</w:t>
      </w:r>
      <w:r w:rsidRPr="007F41E1">
        <w:rPr>
          <w:rFonts w:ascii="Palatino Linotype" w:hAnsi="Palatino Linotype"/>
          <w:sz w:val="24"/>
          <w:szCs w:val="24"/>
        </w:rPr>
        <w:t xml:space="preserve"> </w:t>
      </w:r>
      <w:r w:rsidR="007F41E1" w:rsidRPr="007F41E1">
        <w:rPr>
          <w:rFonts w:ascii="Palatino Linotype" w:hAnsi="Palatino Linotype"/>
          <w:sz w:val="24"/>
          <w:szCs w:val="24"/>
        </w:rPr>
        <w:t>diecisiete</w:t>
      </w:r>
      <w:r w:rsidRPr="007F41E1">
        <w:rPr>
          <w:rFonts w:ascii="Palatino Linotype" w:hAnsi="Palatino Linotype"/>
          <w:sz w:val="24"/>
          <w:szCs w:val="24"/>
        </w:rPr>
        <w:t xml:space="preserve"> (</w:t>
      </w:r>
      <w:r w:rsidR="00FF34DE" w:rsidRPr="007F41E1">
        <w:rPr>
          <w:rFonts w:ascii="Palatino Linotype" w:hAnsi="Palatino Linotype"/>
          <w:sz w:val="24"/>
          <w:szCs w:val="24"/>
        </w:rPr>
        <w:t>1</w:t>
      </w:r>
      <w:r w:rsidR="007F41E1" w:rsidRPr="007F41E1">
        <w:rPr>
          <w:rFonts w:ascii="Palatino Linotype" w:hAnsi="Palatino Linotype"/>
          <w:sz w:val="24"/>
          <w:szCs w:val="24"/>
        </w:rPr>
        <w:t>7</w:t>
      </w:r>
      <w:r w:rsidR="00BE6E79" w:rsidRPr="007F41E1">
        <w:rPr>
          <w:rFonts w:ascii="Palatino Linotype" w:hAnsi="Palatino Linotype"/>
          <w:sz w:val="24"/>
          <w:szCs w:val="24"/>
        </w:rPr>
        <w:t xml:space="preserve">) de </w:t>
      </w:r>
      <w:r w:rsidR="001C52A7" w:rsidRPr="007F41E1">
        <w:rPr>
          <w:rFonts w:ascii="Palatino Linotype" w:hAnsi="Palatino Linotype"/>
          <w:sz w:val="24"/>
          <w:szCs w:val="24"/>
        </w:rPr>
        <w:t>enero</w:t>
      </w:r>
      <w:r w:rsidRPr="007F41E1">
        <w:rPr>
          <w:rFonts w:ascii="Palatino Linotype" w:hAnsi="Palatino Linotype"/>
          <w:sz w:val="24"/>
          <w:szCs w:val="24"/>
        </w:rPr>
        <w:t xml:space="preserve"> de dos mil veinti</w:t>
      </w:r>
      <w:r w:rsidR="001C52A7" w:rsidRPr="007F41E1">
        <w:rPr>
          <w:rFonts w:ascii="Palatino Linotype" w:hAnsi="Palatino Linotype"/>
          <w:sz w:val="24"/>
          <w:szCs w:val="24"/>
        </w:rPr>
        <w:t>cuatro</w:t>
      </w:r>
      <w:r w:rsidRPr="007F41E1">
        <w:rPr>
          <w:rFonts w:ascii="Palatino Linotype" w:hAnsi="Palatino Linotype"/>
          <w:sz w:val="24"/>
          <w:szCs w:val="24"/>
        </w:rPr>
        <w:t>.</w:t>
      </w:r>
    </w:p>
    <w:p w14:paraId="4C818016" w14:textId="35D6385A" w:rsidR="005000AA" w:rsidRPr="007F41E1" w:rsidRDefault="005000AA" w:rsidP="005000AA">
      <w:pPr>
        <w:pStyle w:val="Encabezado"/>
        <w:spacing w:line="360" w:lineRule="auto"/>
        <w:jc w:val="both"/>
        <w:rPr>
          <w:rFonts w:ascii="Palatino Linotype" w:hAnsi="Palatino Linotype"/>
          <w:sz w:val="24"/>
          <w:szCs w:val="24"/>
        </w:rPr>
      </w:pPr>
      <w:r w:rsidRPr="007F41E1">
        <w:rPr>
          <w:rFonts w:ascii="Palatino Linotype" w:hAnsi="Palatino Linotype"/>
          <w:b/>
          <w:sz w:val="24"/>
          <w:szCs w:val="24"/>
        </w:rPr>
        <w:t>VISTO el</w:t>
      </w:r>
      <w:r w:rsidRPr="007F41E1">
        <w:rPr>
          <w:rFonts w:ascii="Palatino Linotype" w:hAnsi="Palatino Linotype"/>
          <w:sz w:val="24"/>
          <w:szCs w:val="24"/>
        </w:rPr>
        <w:t xml:space="preserve"> expediente electrónico formado con motivo del recurso de revisión </w:t>
      </w:r>
      <w:r w:rsidR="001C52A7" w:rsidRPr="007F41E1">
        <w:rPr>
          <w:rFonts w:ascii="Palatino Linotype" w:hAnsi="Palatino Linotype" w:cs="Arial"/>
          <w:b/>
          <w:sz w:val="24"/>
          <w:szCs w:val="24"/>
        </w:rPr>
        <w:t>07108/</w:t>
      </w:r>
      <w:r w:rsidR="001C52A7" w:rsidRPr="007F41E1">
        <w:rPr>
          <w:rFonts w:ascii="Palatino Linotype" w:eastAsia="Calibri" w:hAnsi="Palatino Linotype" w:cs="Tahoma"/>
          <w:b/>
          <w:sz w:val="24"/>
          <w:szCs w:val="24"/>
          <w:lang w:eastAsia="en-US"/>
        </w:rPr>
        <w:t>INFOEM/IP/RR/2023</w:t>
      </w:r>
      <w:r w:rsidRPr="007F41E1">
        <w:rPr>
          <w:rFonts w:ascii="Palatino Linotype" w:hAnsi="Palatino Linotype" w:cs="Arial"/>
          <w:b/>
          <w:bCs/>
          <w:sz w:val="24"/>
          <w:szCs w:val="24"/>
        </w:rPr>
        <w:t xml:space="preserve">, </w:t>
      </w:r>
      <w:r w:rsidRPr="007F41E1">
        <w:rPr>
          <w:rFonts w:ascii="Palatino Linotype" w:hAnsi="Palatino Linotype"/>
          <w:sz w:val="24"/>
          <w:szCs w:val="24"/>
        </w:rPr>
        <w:t>promovido por</w:t>
      </w:r>
      <w:r w:rsidR="001C52A7" w:rsidRPr="007F41E1">
        <w:rPr>
          <w:rFonts w:ascii="Palatino Linotype" w:hAnsi="Palatino Linotype"/>
          <w:sz w:val="24"/>
          <w:szCs w:val="24"/>
        </w:rPr>
        <w:t xml:space="preserve"> </w:t>
      </w:r>
      <w:r w:rsidR="002879EC" w:rsidRPr="007F41E1">
        <w:rPr>
          <w:rFonts w:ascii="Palatino Linotype" w:hAnsi="Palatino Linotype"/>
          <w:b/>
          <w:sz w:val="24"/>
          <w:szCs w:val="24"/>
        </w:rPr>
        <w:t>un Usuario que no proporcionó</w:t>
      </w:r>
      <w:r w:rsidR="001C52A7" w:rsidRPr="007F41E1">
        <w:rPr>
          <w:rFonts w:ascii="Palatino Linotype" w:hAnsi="Palatino Linotype"/>
          <w:b/>
          <w:sz w:val="24"/>
          <w:szCs w:val="24"/>
        </w:rPr>
        <w:t xml:space="preserve"> nombre</w:t>
      </w:r>
      <w:r w:rsidR="002879EC" w:rsidRPr="007F41E1">
        <w:rPr>
          <w:rFonts w:ascii="Palatino Linotype" w:hAnsi="Palatino Linotype"/>
          <w:b/>
          <w:sz w:val="24"/>
          <w:szCs w:val="24"/>
        </w:rPr>
        <w:t xml:space="preserve"> alguno</w:t>
      </w:r>
      <w:r w:rsidR="007F41E1" w:rsidRPr="007F41E1">
        <w:rPr>
          <w:rFonts w:ascii="Palatino Linotype" w:hAnsi="Palatino Linotype"/>
          <w:b/>
          <w:sz w:val="24"/>
          <w:szCs w:val="24"/>
        </w:rPr>
        <w:t xml:space="preserve"> </w:t>
      </w:r>
      <w:r w:rsidR="007F41E1" w:rsidRPr="007F41E1">
        <w:rPr>
          <w:rFonts w:ascii="Palatino Linotype" w:hAnsi="Palatino Linotype"/>
          <w:sz w:val="24"/>
          <w:szCs w:val="24"/>
        </w:rPr>
        <w:t>para ser identificado</w:t>
      </w:r>
      <w:r w:rsidR="00CA3902" w:rsidRPr="007F41E1">
        <w:rPr>
          <w:rFonts w:ascii="Palatino Linotype" w:eastAsia="Calibri" w:hAnsi="Palatino Linotype" w:cs="Tahoma"/>
          <w:b/>
          <w:sz w:val="24"/>
          <w:szCs w:val="24"/>
          <w:lang w:eastAsia="en-US"/>
        </w:rPr>
        <w:t>,</w:t>
      </w:r>
      <w:r w:rsidR="005D09C1" w:rsidRPr="007F41E1">
        <w:rPr>
          <w:rFonts w:ascii="Palatino Linotype" w:hAnsi="Palatino Linotype"/>
          <w:sz w:val="24"/>
          <w:szCs w:val="24"/>
        </w:rPr>
        <w:t xml:space="preserve"> en su calidad de </w:t>
      </w:r>
      <w:r w:rsidRPr="007F41E1">
        <w:rPr>
          <w:rFonts w:ascii="Palatino Linotype" w:hAnsi="Palatino Linotype"/>
          <w:b/>
          <w:sz w:val="24"/>
          <w:szCs w:val="24"/>
        </w:rPr>
        <w:t>RECURRENTE</w:t>
      </w:r>
      <w:r w:rsidRPr="007F41E1">
        <w:rPr>
          <w:rFonts w:ascii="Palatino Linotype" w:hAnsi="Palatino Linotype" w:cs="Arial"/>
          <w:sz w:val="24"/>
          <w:szCs w:val="24"/>
        </w:rPr>
        <w:t xml:space="preserve">, en contra de la </w:t>
      </w:r>
      <w:r w:rsidR="005D09C1" w:rsidRPr="007F41E1">
        <w:rPr>
          <w:rFonts w:ascii="Palatino Linotype" w:hAnsi="Palatino Linotype" w:cs="Arial"/>
          <w:sz w:val="24"/>
          <w:szCs w:val="24"/>
        </w:rPr>
        <w:t xml:space="preserve">falta de </w:t>
      </w:r>
      <w:r w:rsidRPr="007F41E1">
        <w:rPr>
          <w:rFonts w:ascii="Palatino Linotype" w:hAnsi="Palatino Linotype" w:cs="Arial"/>
          <w:sz w:val="24"/>
          <w:szCs w:val="24"/>
        </w:rPr>
        <w:t xml:space="preserve">respuesta del </w:t>
      </w:r>
      <w:r w:rsidR="001C52A7" w:rsidRPr="007F41E1">
        <w:rPr>
          <w:rFonts w:ascii="Palatino Linotype" w:eastAsia="Calibri" w:hAnsi="Palatino Linotype" w:cs="Arial"/>
          <w:b/>
          <w:bCs/>
          <w:sz w:val="24"/>
          <w:szCs w:val="24"/>
          <w:lang w:val="es-ES"/>
        </w:rPr>
        <w:t>Ayuntamiento de Ocuilan</w:t>
      </w:r>
      <w:r w:rsidRPr="007F41E1">
        <w:rPr>
          <w:rFonts w:ascii="Palatino Linotype" w:hAnsi="Palatino Linotype" w:cs="Arial"/>
          <w:sz w:val="24"/>
          <w:szCs w:val="24"/>
        </w:rPr>
        <w:t>,</w:t>
      </w:r>
      <w:r w:rsidRPr="007F41E1">
        <w:rPr>
          <w:rFonts w:ascii="Palatino Linotype" w:hAnsi="Palatino Linotype"/>
          <w:b/>
          <w:sz w:val="24"/>
          <w:szCs w:val="24"/>
        </w:rPr>
        <w:t xml:space="preserve"> </w:t>
      </w:r>
      <w:r w:rsidRPr="007F41E1">
        <w:rPr>
          <w:rFonts w:ascii="Palatino Linotype" w:hAnsi="Palatino Linotype"/>
          <w:sz w:val="24"/>
          <w:szCs w:val="24"/>
        </w:rPr>
        <w:t>en lo sucesivo el</w:t>
      </w:r>
      <w:r w:rsidRPr="007F41E1">
        <w:rPr>
          <w:rFonts w:ascii="Palatino Linotype" w:hAnsi="Palatino Linotype"/>
          <w:b/>
          <w:sz w:val="24"/>
          <w:szCs w:val="24"/>
        </w:rPr>
        <w:t xml:space="preserve"> SUJETO OBLIGADO, </w:t>
      </w:r>
      <w:r w:rsidRPr="007F41E1">
        <w:rPr>
          <w:rFonts w:ascii="Palatino Linotype" w:hAnsi="Palatino Linotype"/>
          <w:sz w:val="24"/>
          <w:szCs w:val="24"/>
        </w:rPr>
        <w:t>se procede a dictar la presente resolución, con base en los siguientes:</w:t>
      </w:r>
    </w:p>
    <w:p w14:paraId="1F1BAF80" w14:textId="77777777" w:rsidR="005000AA" w:rsidRPr="007F41E1" w:rsidRDefault="005000AA" w:rsidP="005000AA">
      <w:pPr>
        <w:pStyle w:val="Ttulo1"/>
        <w:jc w:val="center"/>
        <w:rPr>
          <w:rFonts w:ascii="Palatino Linotype" w:hAnsi="Palatino Linotype"/>
          <w:b/>
          <w:color w:val="auto"/>
          <w:sz w:val="24"/>
          <w:szCs w:val="24"/>
        </w:rPr>
      </w:pPr>
      <w:bookmarkStart w:id="0" w:name="_Toc87549671"/>
      <w:r w:rsidRPr="007F41E1">
        <w:rPr>
          <w:rFonts w:ascii="Palatino Linotype" w:hAnsi="Palatino Linotype"/>
          <w:b/>
          <w:color w:val="auto"/>
          <w:sz w:val="24"/>
          <w:szCs w:val="24"/>
        </w:rPr>
        <w:t>ANTECEDENTES</w:t>
      </w:r>
      <w:bookmarkEnd w:id="0"/>
    </w:p>
    <w:p w14:paraId="04287D5F" w14:textId="77777777" w:rsidR="005000AA" w:rsidRPr="007F41E1" w:rsidRDefault="005000AA" w:rsidP="005000AA">
      <w:pPr>
        <w:rPr>
          <w:rFonts w:ascii="Palatino Linotype" w:hAnsi="Palatino Linotype"/>
          <w:sz w:val="24"/>
          <w:szCs w:val="24"/>
          <w:lang w:eastAsia="en-US"/>
        </w:rPr>
      </w:pPr>
    </w:p>
    <w:p w14:paraId="205E5E03" w14:textId="7863B76B" w:rsidR="005000AA" w:rsidRPr="007F41E1"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7F41E1">
        <w:rPr>
          <w:rFonts w:ascii="Palatino Linotype" w:eastAsia="Calibri" w:hAnsi="Palatino Linotype" w:cs="Arial"/>
          <w:sz w:val="24"/>
          <w:lang w:val="es-ES"/>
        </w:rPr>
        <w:t xml:space="preserve">El día </w:t>
      </w:r>
      <w:r w:rsidR="001C52A7" w:rsidRPr="007F41E1">
        <w:rPr>
          <w:rFonts w:ascii="Palatino Linotype" w:eastAsia="Calibri" w:hAnsi="Palatino Linotype" w:cs="Arial"/>
          <w:sz w:val="24"/>
          <w:lang w:val="es-ES"/>
        </w:rPr>
        <w:t>doce</w:t>
      </w:r>
      <w:r w:rsidR="00AA58C8" w:rsidRPr="007F41E1">
        <w:rPr>
          <w:rFonts w:ascii="Palatino Linotype" w:eastAsia="Calibri" w:hAnsi="Palatino Linotype" w:cs="Arial"/>
          <w:sz w:val="24"/>
          <w:lang w:val="es-ES"/>
        </w:rPr>
        <w:t xml:space="preserve"> (</w:t>
      </w:r>
      <w:r w:rsidR="001C52A7" w:rsidRPr="007F41E1">
        <w:rPr>
          <w:rFonts w:ascii="Palatino Linotype" w:eastAsia="Calibri" w:hAnsi="Palatino Linotype" w:cs="Arial"/>
          <w:sz w:val="24"/>
          <w:lang w:val="es-ES"/>
        </w:rPr>
        <w:t>12</w:t>
      </w:r>
      <w:r w:rsidR="00AA58C8" w:rsidRPr="007F41E1">
        <w:rPr>
          <w:rFonts w:ascii="Palatino Linotype" w:eastAsia="Calibri" w:hAnsi="Palatino Linotype" w:cs="Arial"/>
          <w:sz w:val="24"/>
          <w:lang w:val="es-ES"/>
        </w:rPr>
        <w:t xml:space="preserve">) de </w:t>
      </w:r>
      <w:r w:rsidR="001C52A7" w:rsidRPr="007F41E1">
        <w:rPr>
          <w:rFonts w:ascii="Palatino Linotype" w:eastAsia="Calibri" w:hAnsi="Palatino Linotype" w:cs="Arial"/>
          <w:sz w:val="24"/>
          <w:lang w:val="es-ES"/>
        </w:rPr>
        <w:t>septiembre</w:t>
      </w:r>
      <w:r w:rsidR="005000AA" w:rsidRPr="007F41E1">
        <w:rPr>
          <w:rFonts w:ascii="Palatino Linotype" w:eastAsia="Calibri" w:hAnsi="Palatino Linotype"/>
          <w:sz w:val="24"/>
          <w:lang w:val="es-ES"/>
        </w:rPr>
        <w:t xml:space="preserve"> de dos mil veinti</w:t>
      </w:r>
      <w:r w:rsidR="001C52A7" w:rsidRPr="007F41E1">
        <w:rPr>
          <w:rFonts w:ascii="Palatino Linotype" w:eastAsia="Calibri" w:hAnsi="Palatino Linotype"/>
          <w:sz w:val="24"/>
          <w:lang w:val="es-ES"/>
        </w:rPr>
        <w:t>trés</w:t>
      </w:r>
      <w:r w:rsidR="005000AA" w:rsidRPr="007F41E1">
        <w:rPr>
          <w:rFonts w:ascii="Palatino Linotype" w:eastAsia="Calibri" w:hAnsi="Palatino Linotype" w:cs="Arial"/>
          <w:sz w:val="24"/>
          <w:lang w:val="es-ES"/>
        </w:rPr>
        <w:t>,</w:t>
      </w:r>
      <w:r w:rsidR="005000AA" w:rsidRPr="007F41E1">
        <w:rPr>
          <w:rFonts w:ascii="Palatino Linotype" w:eastAsia="Calibri" w:hAnsi="Palatino Linotype"/>
          <w:sz w:val="24"/>
          <w:lang w:val="es-ES"/>
        </w:rPr>
        <w:t xml:space="preserve"> </w:t>
      </w:r>
      <w:r w:rsidR="005000AA" w:rsidRPr="007F41E1">
        <w:rPr>
          <w:rFonts w:ascii="Palatino Linotype" w:eastAsia="Calibri" w:hAnsi="Palatino Linotype"/>
          <w:b/>
          <w:sz w:val="24"/>
          <w:lang w:val="es-ES"/>
        </w:rPr>
        <w:t xml:space="preserve">EL RECURRENTE </w:t>
      </w:r>
      <w:r w:rsidR="005000AA" w:rsidRPr="007F41E1">
        <w:rPr>
          <w:rFonts w:ascii="Palatino Linotype" w:eastAsia="Calibri" w:hAnsi="Palatino Linotype"/>
          <w:bCs/>
          <w:sz w:val="24"/>
          <w:lang w:val="es-ES"/>
        </w:rPr>
        <w:t>presentó</w:t>
      </w:r>
      <w:r w:rsidR="005000AA" w:rsidRPr="007F41E1">
        <w:rPr>
          <w:rFonts w:ascii="Palatino Linotype" w:hAnsi="Palatino Linotype"/>
          <w:b/>
          <w:sz w:val="24"/>
        </w:rPr>
        <w:t>,</w:t>
      </w:r>
      <w:r w:rsidR="005000AA" w:rsidRPr="007F41E1">
        <w:rPr>
          <w:rFonts w:ascii="Palatino Linotype" w:eastAsia="Calibri" w:hAnsi="Palatino Linotype" w:cs="Arial"/>
          <w:sz w:val="24"/>
          <w:lang w:val="es-ES"/>
        </w:rPr>
        <w:t xml:space="preserve"> ante el </w:t>
      </w:r>
      <w:r w:rsidR="005000AA" w:rsidRPr="007F41E1">
        <w:rPr>
          <w:rFonts w:ascii="Palatino Linotype" w:eastAsia="Calibri" w:hAnsi="Palatino Linotype" w:cs="Arial"/>
          <w:b/>
          <w:sz w:val="24"/>
          <w:lang w:val="es-ES"/>
        </w:rPr>
        <w:t>SUJETO OBLIGADO</w:t>
      </w:r>
      <w:r w:rsidR="005000AA" w:rsidRPr="007F41E1">
        <w:rPr>
          <w:rFonts w:ascii="Palatino Linotype" w:eastAsia="Calibri" w:hAnsi="Palatino Linotype" w:cs="Arial"/>
          <w:sz w:val="24"/>
        </w:rPr>
        <w:t xml:space="preserve"> vía </w:t>
      </w:r>
      <w:r w:rsidR="005000AA" w:rsidRPr="007F41E1">
        <w:rPr>
          <w:rFonts w:ascii="Palatino Linotype" w:eastAsia="Calibri" w:hAnsi="Palatino Linotype" w:cs="Arial"/>
          <w:sz w:val="24"/>
          <w:lang w:val="es-ES"/>
        </w:rPr>
        <w:t>Sistema de Acceso a la Información Mexiquense (</w:t>
      </w:r>
      <w:r w:rsidR="005000AA" w:rsidRPr="007F41E1">
        <w:rPr>
          <w:rFonts w:ascii="Palatino Linotype" w:eastAsia="Calibri" w:hAnsi="Palatino Linotype" w:cs="Arial"/>
          <w:b/>
          <w:sz w:val="24"/>
          <w:lang w:val="es-ES"/>
        </w:rPr>
        <w:t>SAIMEX)</w:t>
      </w:r>
      <w:r w:rsidR="005000AA" w:rsidRPr="007F41E1">
        <w:rPr>
          <w:rFonts w:ascii="Palatino Linotype" w:eastAsia="Calibri" w:hAnsi="Palatino Linotype" w:cs="Arial"/>
          <w:sz w:val="24"/>
          <w:lang w:val="es-ES"/>
        </w:rPr>
        <w:t xml:space="preserve">, la solicitud de información pública registrada con el número </w:t>
      </w:r>
      <w:r w:rsidR="004A4956" w:rsidRPr="007F41E1">
        <w:rPr>
          <w:rFonts w:ascii="Palatino Linotype" w:eastAsia="Calibri" w:hAnsi="Palatino Linotype" w:cs="Arial"/>
          <w:b/>
          <w:sz w:val="24"/>
          <w:lang w:val="es-ES"/>
        </w:rPr>
        <w:t>00</w:t>
      </w:r>
      <w:r w:rsidR="001C52A7" w:rsidRPr="007F41E1">
        <w:rPr>
          <w:rFonts w:ascii="Palatino Linotype" w:eastAsia="Calibri" w:hAnsi="Palatino Linotype" w:cs="Arial"/>
          <w:b/>
          <w:sz w:val="24"/>
          <w:lang w:val="es-ES"/>
        </w:rPr>
        <w:t>128</w:t>
      </w:r>
      <w:r w:rsidR="004A4956" w:rsidRPr="007F41E1">
        <w:rPr>
          <w:rFonts w:ascii="Palatino Linotype" w:eastAsia="Calibri" w:hAnsi="Palatino Linotype" w:cs="Arial"/>
          <w:b/>
          <w:sz w:val="24"/>
          <w:lang w:val="es-ES"/>
        </w:rPr>
        <w:t>/</w:t>
      </w:r>
      <w:r w:rsidR="001C52A7" w:rsidRPr="007F41E1">
        <w:rPr>
          <w:rFonts w:ascii="Palatino Linotype" w:eastAsia="Calibri" w:hAnsi="Palatino Linotype" w:cs="Arial"/>
          <w:b/>
          <w:sz w:val="24"/>
          <w:lang w:val="es-ES"/>
        </w:rPr>
        <w:t>OCUILAN</w:t>
      </w:r>
      <w:r w:rsidR="004A4956" w:rsidRPr="007F41E1">
        <w:rPr>
          <w:rFonts w:ascii="Palatino Linotype" w:eastAsia="Calibri" w:hAnsi="Palatino Linotype" w:cs="Arial"/>
          <w:b/>
          <w:sz w:val="24"/>
          <w:lang w:val="es-ES"/>
        </w:rPr>
        <w:t>/IP/202</w:t>
      </w:r>
      <w:r w:rsidR="001C52A7" w:rsidRPr="007F41E1">
        <w:rPr>
          <w:rFonts w:ascii="Palatino Linotype" w:eastAsia="Calibri" w:hAnsi="Palatino Linotype" w:cs="Arial"/>
          <w:b/>
          <w:sz w:val="24"/>
          <w:lang w:val="es-ES"/>
        </w:rPr>
        <w:t>3</w:t>
      </w:r>
      <w:r w:rsidR="002879EC" w:rsidRPr="007F41E1">
        <w:rPr>
          <w:rFonts w:ascii="Palatino Linotype" w:eastAsia="Calibri" w:hAnsi="Palatino Linotype" w:cs="Arial"/>
          <w:b/>
          <w:sz w:val="24"/>
          <w:lang w:val="es-ES"/>
        </w:rPr>
        <w:t>,</w:t>
      </w:r>
      <w:r w:rsidR="005D09C1" w:rsidRPr="007F41E1">
        <w:rPr>
          <w:rFonts w:ascii="Palatino Linotype" w:hAnsi="Palatino Linotype"/>
          <w:b/>
          <w:sz w:val="24"/>
          <w:lang w:val="es-ES"/>
        </w:rPr>
        <w:t xml:space="preserve"> </w:t>
      </w:r>
      <w:r w:rsidR="002879EC" w:rsidRPr="007F41E1">
        <w:rPr>
          <w:rFonts w:ascii="Palatino Linotype" w:eastAsia="Calibri" w:hAnsi="Palatino Linotype" w:cs="Arial"/>
          <w:sz w:val="24"/>
          <w:lang w:val="es-ES"/>
        </w:rPr>
        <w:t xml:space="preserve">en la que </w:t>
      </w:r>
      <w:r w:rsidR="005000AA" w:rsidRPr="007F41E1">
        <w:rPr>
          <w:rFonts w:ascii="Palatino Linotype" w:eastAsia="Calibri" w:hAnsi="Palatino Linotype" w:cs="Arial"/>
          <w:sz w:val="24"/>
          <w:lang w:val="es-ES"/>
        </w:rPr>
        <w:t>solicitó lo siguiente:</w:t>
      </w:r>
    </w:p>
    <w:p w14:paraId="0A3CDCB5" w14:textId="77777777" w:rsidR="00965001" w:rsidRPr="007F41E1" w:rsidRDefault="00965001" w:rsidP="00965001">
      <w:pPr>
        <w:pStyle w:val="Prrafodelista"/>
        <w:spacing w:line="360" w:lineRule="auto"/>
        <w:ind w:left="0"/>
        <w:jc w:val="both"/>
        <w:rPr>
          <w:rFonts w:ascii="Palatino Linotype" w:hAnsi="Palatino Linotype" w:cs="Arial"/>
          <w:sz w:val="24"/>
          <w:lang w:val="es-ES"/>
        </w:rPr>
      </w:pPr>
    </w:p>
    <w:p w14:paraId="19CBEB32" w14:textId="5773B0C4" w:rsidR="005000AA" w:rsidRPr="007F41E1" w:rsidRDefault="005000AA" w:rsidP="005000AA">
      <w:pPr>
        <w:ind w:left="567" w:right="567"/>
        <w:jc w:val="both"/>
        <w:rPr>
          <w:rFonts w:ascii="Palatino Linotype" w:eastAsia="Calibri" w:hAnsi="Palatino Linotype" w:cs="Arial"/>
          <w:i/>
          <w:sz w:val="24"/>
          <w:szCs w:val="24"/>
          <w:lang w:val="es-ES"/>
        </w:rPr>
      </w:pPr>
      <w:r w:rsidRPr="007F41E1">
        <w:rPr>
          <w:rFonts w:ascii="Palatino Linotype" w:eastAsia="Calibri" w:hAnsi="Palatino Linotype" w:cs="Arial"/>
          <w:i/>
          <w:sz w:val="24"/>
          <w:szCs w:val="24"/>
          <w:lang w:val="es-ES"/>
        </w:rPr>
        <w:t>“</w:t>
      </w:r>
      <w:r w:rsidR="001C52A7" w:rsidRPr="007F41E1">
        <w:rPr>
          <w:rFonts w:ascii="Palatino Linotype" w:hAnsi="Palatino Linotype"/>
          <w:i/>
          <w:sz w:val="24"/>
          <w:szCs w:val="24"/>
          <w:lang w:eastAsia="es-MX"/>
        </w:rPr>
        <w:t>Solicito el contrato digitalizado versión pública de la obra denominada " Suministro e Instalación de Luminarias LED en todo el Municipio"</w:t>
      </w:r>
      <w:r w:rsidRPr="007F41E1">
        <w:rPr>
          <w:rFonts w:ascii="Palatino Linotype" w:eastAsia="Calibri" w:hAnsi="Palatino Linotype" w:cs="Arial"/>
          <w:i/>
          <w:sz w:val="24"/>
          <w:szCs w:val="24"/>
          <w:lang w:val="es-ES"/>
        </w:rPr>
        <w:t>” (Sic)</w:t>
      </w:r>
    </w:p>
    <w:p w14:paraId="7690DF83" w14:textId="77777777" w:rsidR="00A36BE2" w:rsidRPr="007F41E1"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7F41E1"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 xml:space="preserve">Señaló como modalidad de entrega de la información a través del </w:t>
      </w:r>
      <w:r w:rsidRPr="007F41E1">
        <w:rPr>
          <w:rFonts w:ascii="Palatino Linotype" w:hAnsi="Palatino Linotype" w:cs="Arial"/>
          <w:b/>
          <w:sz w:val="24"/>
          <w:lang w:val="es-ES"/>
        </w:rPr>
        <w:t>SAIMEX.</w:t>
      </w:r>
    </w:p>
    <w:p w14:paraId="318044EA" w14:textId="77777777" w:rsidR="00427E2F" w:rsidRPr="007F41E1" w:rsidRDefault="00427E2F" w:rsidP="00427E2F">
      <w:pPr>
        <w:pStyle w:val="Prrafodelista"/>
        <w:spacing w:line="360" w:lineRule="auto"/>
        <w:ind w:left="0"/>
        <w:jc w:val="both"/>
        <w:rPr>
          <w:rFonts w:ascii="Palatino Linotype" w:hAnsi="Palatino Linotype" w:cs="Arial"/>
          <w:sz w:val="24"/>
          <w:lang w:val="es-ES"/>
        </w:rPr>
      </w:pPr>
    </w:p>
    <w:p w14:paraId="315AE2FE" w14:textId="2AB9B383" w:rsidR="00FF34DE" w:rsidRPr="007F41E1" w:rsidRDefault="001C52A7"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7F41E1">
        <w:rPr>
          <w:rFonts w:ascii="Palatino Linotype" w:hAnsi="Palatino Linotype"/>
          <w:color w:val="000000"/>
          <w:sz w:val="24"/>
        </w:rPr>
        <w:t>El dos</w:t>
      </w:r>
      <w:r w:rsidR="00FF34DE" w:rsidRPr="007F41E1">
        <w:rPr>
          <w:rFonts w:ascii="Palatino Linotype" w:hAnsi="Palatino Linotype"/>
          <w:color w:val="000000"/>
          <w:sz w:val="24"/>
        </w:rPr>
        <w:t xml:space="preserve"> (</w:t>
      </w:r>
      <w:r w:rsidRPr="007F41E1">
        <w:rPr>
          <w:rFonts w:ascii="Palatino Linotype" w:hAnsi="Palatino Linotype"/>
          <w:color w:val="000000"/>
          <w:sz w:val="24"/>
        </w:rPr>
        <w:t>2</w:t>
      </w:r>
      <w:r w:rsidR="00FF34DE" w:rsidRPr="007F41E1">
        <w:rPr>
          <w:rFonts w:ascii="Palatino Linotype" w:hAnsi="Palatino Linotype"/>
          <w:color w:val="000000"/>
          <w:sz w:val="24"/>
        </w:rPr>
        <w:t xml:space="preserve">) de </w:t>
      </w:r>
      <w:r w:rsidRPr="007F41E1">
        <w:rPr>
          <w:rFonts w:ascii="Palatino Linotype" w:hAnsi="Palatino Linotype"/>
          <w:color w:val="000000"/>
          <w:sz w:val="24"/>
        </w:rPr>
        <w:t>octubre</w:t>
      </w:r>
      <w:r w:rsidR="00FF34DE" w:rsidRPr="007F41E1">
        <w:rPr>
          <w:rFonts w:ascii="Palatino Linotype" w:hAnsi="Palatino Linotype"/>
          <w:color w:val="000000"/>
          <w:sz w:val="24"/>
        </w:rPr>
        <w:t xml:space="preserve"> de dos mil </w:t>
      </w:r>
      <w:r w:rsidRPr="007F41E1">
        <w:rPr>
          <w:rFonts w:ascii="Palatino Linotype" w:eastAsia="Calibri" w:hAnsi="Palatino Linotype"/>
          <w:sz w:val="24"/>
          <w:lang w:val="es-ES"/>
        </w:rPr>
        <w:t>veintitrés</w:t>
      </w:r>
      <w:r w:rsidR="00FF34DE" w:rsidRPr="007F41E1">
        <w:rPr>
          <w:rFonts w:ascii="Palatino Linotype" w:hAnsi="Palatino Linotype"/>
          <w:color w:val="000000"/>
          <w:sz w:val="24"/>
        </w:rPr>
        <w:t xml:space="preserve">, el Sujeto Obligado solicitó una </w:t>
      </w:r>
      <w:r w:rsidRPr="007F41E1">
        <w:rPr>
          <w:rFonts w:ascii="Palatino Linotype" w:hAnsi="Palatino Linotype"/>
          <w:color w:val="000000"/>
          <w:sz w:val="24"/>
        </w:rPr>
        <w:t>prórroga para dar respuesta a la solicitud.</w:t>
      </w:r>
    </w:p>
    <w:p w14:paraId="518CDCD9" w14:textId="01C4174C" w:rsidR="005000AA" w:rsidRPr="007F41E1"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F41E1">
        <w:rPr>
          <w:rFonts w:ascii="Palatino Linotype" w:eastAsia="Calibri" w:hAnsi="Palatino Linotype" w:cs="Arial"/>
          <w:sz w:val="24"/>
          <w:lang w:val="es-AR"/>
        </w:rPr>
        <w:lastRenderedPageBreak/>
        <w:t xml:space="preserve">El </w:t>
      </w:r>
      <w:r w:rsidR="001C52A7" w:rsidRPr="007F41E1">
        <w:rPr>
          <w:rFonts w:ascii="Palatino Linotype" w:eastAsia="Calibri" w:hAnsi="Palatino Linotype" w:cs="Arial"/>
          <w:sz w:val="24"/>
          <w:lang w:val="es-AR"/>
        </w:rPr>
        <w:t>diecisiete</w:t>
      </w:r>
      <w:r w:rsidR="005000AA" w:rsidRPr="007F41E1">
        <w:rPr>
          <w:rFonts w:ascii="Palatino Linotype" w:eastAsia="Calibri" w:hAnsi="Palatino Linotype" w:cs="Arial"/>
          <w:sz w:val="24"/>
          <w:lang w:val="es-AR"/>
        </w:rPr>
        <w:t xml:space="preserve"> (</w:t>
      </w:r>
      <w:r w:rsidR="001C52A7" w:rsidRPr="007F41E1">
        <w:rPr>
          <w:rFonts w:ascii="Palatino Linotype" w:eastAsia="Calibri" w:hAnsi="Palatino Linotype" w:cs="Arial"/>
          <w:sz w:val="24"/>
          <w:lang w:val="es-AR"/>
        </w:rPr>
        <w:t>17</w:t>
      </w:r>
      <w:r w:rsidR="005000AA" w:rsidRPr="007F41E1">
        <w:rPr>
          <w:rFonts w:ascii="Palatino Linotype" w:eastAsia="Calibri" w:hAnsi="Palatino Linotype" w:cs="Arial"/>
          <w:sz w:val="24"/>
          <w:lang w:val="es-AR"/>
        </w:rPr>
        <w:t xml:space="preserve">) de </w:t>
      </w:r>
      <w:r w:rsidR="001C52A7" w:rsidRPr="007F41E1">
        <w:rPr>
          <w:rFonts w:ascii="Palatino Linotype" w:eastAsia="Calibri" w:hAnsi="Palatino Linotype" w:cs="Arial"/>
          <w:sz w:val="24"/>
          <w:lang w:val="es-AR"/>
        </w:rPr>
        <w:t>octubre</w:t>
      </w:r>
      <w:r w:rsidR="00FF34DE" w:rsidRPr="007F41E1">
        <w:rPr>
          <w:rFonts w:ascii="Palatino Linotype" w:eastAsia="Calibri" w:hAnsi="Palatino Linotype" w:cs="Arial"/>
          <w:sz w:val="24"/>
          <w:lang w:val="es-AR"/>
        </w:rPr>
        <w:t xml:space="preserve"> </w:t>
      </w:r>
      <w:r w:rsidR="005000AA" w:rsidRPr="007F41E1">
        <w:rPr>
          <w:rFonts w:ascii="Palatino Linotype" w:eastAsia="Calibri" w:hAnsi="Palatino Linotype" w:cs="Arial"/>
          <w:sz w:val="24"/>
          <w:lang w:val="es-AR"/>
        </w:rPr>
        <w:t>de</w:t>
      </w:r>
      <w:r w:rsidR="005000AA" w:rsidRPr="007F41E1">
        <w:rPr>
          <w:rFonts w:ascii="Palatino Linotype" w:hAnsi="Palatino Linotype" w:cs="Arial"/>
          <w:sz w:val="24"/>
          <w:lang w:val="es-ES"/>
        </w:rPr>
        <w:t xml:space="preserve"> dos mil </w:t>
      </w:r>
      <w:r w:rsidR="001C52A7" w:rsidRPr="007F41E1">
        <w:rPr>
          <w:rFonts w:ascii="Palatino Linotype" w:eastAsia="Calibri" w:hAnsi="Palatino Linotype"/>
          <w:sz w:val="24"/>
          <w:lang w:val="es-ES"/>
        </w:rPr>
        <w:t>veintitrés</w:t>
      </w:r>
      <w:r w:rsidR="005000AA" w:rsidRPr="007F41E1">
        <w:rPr>
          <w:rFonts w:ascii="Palatino Linotype" w:hAnsi="Palatino Linotype" w:cs="Arial"/>
          <w:sz w:val="24"/>
          <w:lang w:val="es-ES"/>
        </w:rPr>
        <w:t xml:space="preserve">, </w:t>
      </w:r>
      <w:r w:rsidR="005000AA" w:rsidRPr="007F41E1">
        <w:rPr>
          <w:rFonts w:ascii="Palatino Linotype" w:hAnsi="Palatino Linotype"/>
          <w:b/>
          <w:sz w:val="24"/>
        </w:rPr>
        <w:t>EL RECURRENTE</w:t>
      </w:r>
      <w:r w:rsidR="005000AA" w:rsidRPr="007F41E1">
        <w:rPr>
          <w:rFonts w:ascii="Palatino Linotype" w:hAnsi="Palatino Linotype" w:cs="Arial"/>
          <w:sz w:val="24"/>
          <w:lang w:val="es-ES"/>
        </w:rPr>
        <w:t xml:space="preserve"> interpuso el recurso de revisión, en contra de la </w:t>
      </w:r>
      <w:r w:rsidR="005D09C1" w:rsidRPr="007F41E1">
        <w:rPr>
          <w:rFonts w:ascii="Palatino Linotype" w:hAnsi="Palatino Linotype" w:cs="Arial"/>
          <w:sz w:val="24"/>
          <w:lang w:val="es-ES"/>
        </w:rPr>
        <w:t xml:space="preserve">falta de </w:t>
      </w:r>
      <w:r w:rsidR="005000AA" w:rsidRPr="007F41E1">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7F41E1" w:rsidRDefault="005000AA" w:rsidP="005000AA">
      <w:pPr>
        <w:pStyle w:val="Prrafodelista"/>
        <w:rPr>
          <w:rFonts w:ascii="Palatino Linotype" w:hAnsi="Palatino Linotype" w:cs="Arial"/>
          <w:i/>
        </w:rPr>
      </w:pPr>
    </w:p>
    <w:p w14:paraId="60DF770D" w14:textId="6DA92543" w:rsidR="005000AA" w:rsidRPr="007F41E1" w:rsidRDefault="005000AA" w:rsidP="005000AA">
      <w:pPr>
        <w:pStyle w:val="Prrafodelista"/>
        <w:spacing w:line="360" w:lineRule="auto"/>
        <w:jc w:val="both"/>
        <w:rPr>
          <w:rFonts w:ascii="Palatino Linotype" w:hAnsi="Palatino Linotype" w:cstheme="minorBidi"/>
          <w:bCs/>
          <w:i/>
          <w:iCs/>
        </w:rPr>
      </w:pPr>
      <w:r w:rsidRPr="007F41E1">
        <w:rPr>
          <w:rFonts w:ascii="Palatino Linotype" w:hAnsi="Palatino Linotype"/>
          <w:b/>
        </w:rPr>
        <w:t xml:space="preserve">Acto impugnado: </w:t>
      </w:r>
      <w:r w:rsidRPr="007F41E1">
        <w:rPr>
          <w:rFonts w:ascii="Palatino Linotype" w:hAnsi="Palatino Linotype"/>
          <w:bCs/>
          <w:i/>
          <w:iCs/>
        </w:rPr>
        <w:t>“</w:t>
      </w:r>
      <w:r w:rsidR="001C52A7" w:rsidRPr="007F41E1">
        <w:rPr>
          <w:rFonts w:ascii="Palatino Linotype" w:eastAsia="Calibri" w:hAnsi="Palatino Linotype" w:cs="Tahoma"/>
          <w:i/>
          <w:lang w:eastAsia="en-US"/>
        </w:rPr>
        <w:t>HICE MI SOLICITUD Y CON BASE EN LO QUE MARCAN LOS 15 DÍAS HÁBILES SE VENCIA EL PLAZO EL 3 DE OCTUBRE DE ESTE AÑO, PERO LA TITULAR DE TRANSPARENCIA DE MANERA SISTEMATICA Y MALICIOSA HA SOLICITADO PRÓRROGA EN LA MAYORÍA DE MIS SOLICITUDES, AÚN Y CUANDO ES INFORMACIÓN QUE EN TEORÍA DEBERÍAN DE TENER A LA MANO. POR DICHA SITUACIÓN SE SUPONE QUE AÚN CON LA PRÓRROGA TENDRÍA UN PLAZO MÁXIMO DE OTROS 7 DÍAS HÁBILES MÁS PARA BRINDARME LA INFORMACIÓN Y AÚN ASÍ NO SE ME HA BRINDADO LA INFORMACIÓN.</w:t>
      </w:r>
      <w:r w:rsidRPr="007F41E1">
        <w:rPr>
          <w:rFonts w:ascii="Palatino Linotype" w:hAnsi="Palatino Linotype"/>
          <w:bCs/>
          <w:i/>
          <w:iCs/>
        </w:rPr>
        <w:t>” (sic) y,</w:t>
      </w:r>
    </w:p>
    <w:p w14:paraId="777595D3" w14:textId="4BCE8048" w:rsidR="005000AA" w:rsidRPr="007F41E1" w:rsidRDefault="005000AA" w:rsidP="005000AA">
      <w:pPr>
        <w:pStyle w:val="Prrafodelista"/>
        <w:spacing w:line="360" w:lineRule="auto"/>
        <w:jc w:val="both"/>
        <w:rPr>
          <w:rFonts w:ascii="Palatino Linotype" w:eastAsia="Calibri" w:hAnsi="Palatino Linotype" w:cs="Arial"/>
          <w:lang w:val="es-ES"/>
        </w:rPr>
      </w:pPr>
      <w:r w:rsidRPr="007F41E1">
        <w:rPr>
          <w:rFonts w:ascii="Palatino Linotype" w:hAnsi="Palatino Linotype"/>
          <w:b/>
        </w:rPr>
        <w:t>Razones o Motivos de Inconformidad:</w:t>
      </w:r>
      <w:r w:rsidRPr="007F41E1">
        <w:rPr>
          <w:rStyle w:val="Ttulo2Car"/>
          <w:rFonts w:ascii="Palatino Linotype" w:hAnsi="Palatino Linotype"/>
          <w:b/>
          <w:i/>
          <w:sz w:val="22"/>
          <w:szCs w:val="24"/>
          <w:lang w:val="es-ES"/>
        </w:rPr>
        <w:t xml:space="preserve"> </w:t>
      </w:r>
      <w:r w:rsidRPr="007F41E1">
        <w:rPr>
          <w:rFonts w:ascii="Palatino Linotype" w:hAnsi="Palatino Linotype"/>
        </w:rPr>
        <w:t>“</w:t>
      </w:r>
      <w:r w:rsidR="001C52A7" w:rsidRPr="007F41E1">
        <w:rPr>
          <w:rFonts w:ascii="Palatino Linotype" w:hAnsi="Palatino Linotype"/>
          <w:i/>
        </w:rPr>
        <w:t xml:space="preserve">HICE MI SOLICITUD Y CON BASE EN LO QUE MARCAN LOS 15 DÍAS HÁBILES SE VENCIA EL PLAZO EL 3 DE OCTUBRE DE ESTE AÑO, PERO LA TITULAR DE TRANSPARENCIA DE MANERA SISTEMATICA Y MALICIOSA HA SOLICITADO PRÓRROGA EN LA MAYORÍA DE MIS SOLICITUDES, AÚN Y CUANDO ES INFORMACIÓN QUE EN TEORÍA DEBERÍAN DE TENER A LA MANO. POR DICHA SITUACIÓN SE SUPONE QUE AÚN CON LA PRÓRROGA TENDRÍA UN PLAZO MÁXIMO DE OTROS 7 DÍAS HÁBILES MÁS PARA BRINDARME LA INFORMACIÓN Y AÚN ASÍ NO SE ME HA BRINDADO LA INFORMACIÓN. </w:t>
      </w:r>
      <w:r w:rsidR="004E6A3B" w:rsidRPr="007F41E1">
        <w:rPr>
          <w:rFonts w:ascii="Palatino Linotype" w:hAnsi="Palatino Linotype"/>
          <w:i/>
        </w:rPr>
        <w:t>"</w:t>
      </w:r>
      <w:r w:rsidRPr="007F41E1">
        <w:rPr>
          <w:rFonts w:ascii="Palatino Linotype" w:eastAsia="Calibri" w:hAnsi="Palatino Linotype" w:cs="Arial"/>
          <w:lang w:val="es-ES"/>
        </w:rPr>
        <w:t>(Sic)</w:t>
      </w:r>
      <w:r w:rsidR="005358D9" w:rsidRPr="007F41E1">
        <w:rPr>
          <w:rFonts w:ascii="Palatino Linotype" w:eastAsia="Calibri" w:hAnsi="Palatino Linotype" w:cs="Arial"/>
          <w:lang w:val="es-ES"/>
        </w:rPr>
        <w:t>.</w:t>
      </w:r>
    </w:p>
    <w:p w14:paraId="518E834F" w14:textId="77777777" w:rsidR="00BC6FDD" w:rsidRPr="007F41E1"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6F07794A" w:rsidR="005000AA" w:rsidRPr="007F41E1"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F41E1">
        <w:rPr>
          <w:rFonts w:ascii="Palatino Linotype" w:hAnsi="Palatino Linotype" w:cs="Arial"/>
          <w:sz w:val="24"/>
          <w:lang w:val="es-ES"/>
        </w:rPr>
        <w:t xml:space="preserve">Se registró el recurso de revisión bajo el número de expediente </w:t>
      </w:r>
      <w:r w:rsidRPr="007F41E1">
        <w:rPr>
          <w:rFonts w:ascii="Palatino Linotype" w:hAnsi="Palatino Linotype" w:cs="Arial"/>
          <w:bCs/>
          <w:sz w:val="24"/>
        </w:rPr>
        <w:t xml:space="preserve">al rubro indicado, asimismo con fundamento en lo dispuesto por el </w:t>
      </w:r>
      <w:r w:rsidRPr="007F41E1">
        <w:rPr>
          <w:rFonts w:ascii="Palatino Linotype" w:eastAsia="Calibri" w:hAnsi="Palatino Linotype" w:cs="Arial"/>
          <w:sz w:val="24"/>
          <w:lang w:val="es-ES"/>
        </w:rPr>
        <w:t xml:space="preserve">artículo 185 fracción I de la </w:t>
      </w:r>
      <w:r w:rsidRPr="007F41E1">
        <w:rPr>
          <w:rFonts w:ascii="Palatino Linotype" w:eastAsia="Calibri" w:hAnsi="Palatino Linotype" w:cs="Arial"/>
          <w:b/>
          <w:sz w:val="24"/>
          <w:lang w:val="es-ES"/>
        </w:rPr>
        <w:t xml:space="preserve">Ley de Transparencia y Acceso a la Información Pública del Estado de México y </w:t>
      </w:r>
      <w:r w:rsidRPr="007F41E1">
        <w:rPr>
          <w:rFonts w:ascii="Palatino Linotype" w:eastAsia="Calibri" w:hAnsi="Palatino Linotype" w:cs="Arial"/>
          <w:b/>
          <w:sz w:val="24"/>
          <w:lang w:val="es-ES"/>
        </w:rPr>
        <w:lastRenderedPageBreak/>
        <w:t xml:space="preserve">Municipios </w:t>
      </w:r>
      <w:r w:rsidR="00D31521" w:rsidRPr="007F41E1">
        <w:rPr>
          <w:rFonts w:ascii="Palatino Linotype" w:hAnsi="Palatino Linotype" w:cs="Arial"/>
          <w:sz w:val="24"/>
          <w:lang w:val="es-ES"/>
        </w:rPr>
        <w:t>se turnó a</w:t>
      </w:r>
      <w:r w:rsidR="00F942BD" w:rsidRPr="007F41E1">
        <w:rPr>
          <w:rFonts w:ascii="Palatino Linotype" w:hAnsi="Palatino Linotype" w:cs="Arial"/>
          <w:sz w:val="24"/>
          <w:lang w:val="es-ES"/>
        </w:rPr>
        <w:t xml:space="preserve"> </w:t>
      </w:r>
      <w:r w:rsidRPr="007F41E1">
        <w:rPr>
          <w:rFonts w:ascii="Palatino Linotype" w:hAnsi="Palatino Linotype" w:cs="Arial"/>
          <w:sz w:val="24"/>
          <w:lang w:val="es-ES"/>
        </w:rPr>
        <w:t>l</w:t>
      </w:r>
      <w:r w:rsidR="00F942BD" w:rsidRPr="007F41E1">
        <w:rPr>
          <w:rFonts w:ascii="Palatino Linotype" w:hAnsi="Palatino Linotype" w:cs="Arial"/>
          <w:sz w:val="24"/>
          <w:lang w:val="es-ES"/>
        </w:rPr>
        <w:t>a</w:t>
      </w:r>
      <w:r w:rsidRPr="007F41E1">
        <w:rPr>
          <w:rFonts w:ascii="Palatino Linotype" w:hAnsi="Palatino Linotype" w:cs="Arial"/>
          <w:sz w:val="24"/>
          <w:lang w:val="es-ES"/>
        </w:rPr>
        <w:t xml:space="preserve"> </w:t>
      </w:r>
      <w:r w:rsidR="00F942BD" w:rsidRPr="007F41E1">
        <w:rPr>
          <w:rFonts w:ascii="Palatino Linotype" w:hAnsi="Palatino Linotype" w:cs="Arial"/>
          <w:b/>
          <w:sz w:val="24"/>
          <w:lang w:val="es-ES"/>
        </w:rPr>
        <w:t>Comisionada</w:t>
      </w:r>
      <w:r w:rsidRPr="007F41E1">
        <w:rPr>
          <w:rFonts w:ascii="Palatino Linotype" w:hAnsi="Palatino Linotype" w:cs="Arial"/>
          <w:b/>
          <w:sz w:val="24"/>
          <w:lang w:val="es-ES"/>
        </w:rPr>
        <w:t xml:space="preserve"> </w:t>
      </w:r>
      <w:r w:rsidR="00F942BD" w:rsidRPr="007F41E1">
        <w:rPr>
          <w:rFonts w:ascii="Palatino Linotype" w:hAnsi="Palatino Linotype" w:cs="Arial"/>
          <w:b/>
          <w:sz w:val="24"/>
          <w:lang w:val="es-ES"/>
        </w:rPr>
        <w:t>María del Rosario Mejía Ayala</w:t>
      </w:r>
      <w:r w:rsidRPr="007F41E1">
        <w:rPr>
          <w:rFonts w:ascii="Palatino Linotype" w:hAnsi="Palatino Linotype" w:cs="Arial"/>
          <w:b/>
          <w:sz w:val="24"/>
          <w:lang w:val="es-ES"/>
        </w:rPr>
        <w:t xml:space="preserve">, </w:t>
      </w:r>
      <w:r w:rsidR="002879EC" w:rsidRPr="007F41E1">
        <w:rPr>
          <w:rFonts w:ascii="Palatino Linotype" w:hAnsi="Palatino Linotype" w:cs="Arial"/>
          <w:sz w:val="24"/>
          <w:lang w:val="es-ES"/>
        </w:rPr>
        <w:t>para</w:t>
      </w:r>
      <w:r w:rsidRPr="007F41E1">
        <w:rPr>
          <w:rFonts w:ascii="Palatino Linotype" w:hAnsi="Palatino Linotype" w:cs="Arial"/>
          <w:sz w:val="24"/>
          <w:lang w:val="es-ES"/>
        </w:rPr>
        <w:t xml:space="preserve"> </w:t>
      </w:r>
      <w:r w:rsidRPr="007F41E1">
        <w:rPr>
          <w:rFonts w:ascii="Palatino Linotype" w:hAnsi="Palatino Linotype" w:cs="Arial"/>
          <w:sz w:val="24"/>
        </w:rPr>
        <w:t>su análisis.</w:t>
      </w:r>
    </w:p>
    <w:p w14:paraId="21EFF6B2" w14:textId="77777777" w:rsidR="005000AA" w:rsidRPr="007F41E1"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CC4F130" w:rsidR="005000AA" w:rsidRPr="007F41E1"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F41E1">
        <w:rPr>
          <w:rFonts w:ascii="Palatino Linotype" w:eastAsia="Calibri" w:hAnsi="Palatino Linotype" w:cs="Arial"/>
          <w:sz w:val="24"/>
          <w:lang w:val="es-ES"/>
        </w:rPr>
        <w:t>La Comisionada</w:t>
      </w:r>
      <w:r w:rsidR="005000AA" w:rsidRPr="007F41E1">
        <w:rPr>
          <w:rFonts w:ascii="Palatino Linotype" w:eastAsia="Calibri" w:hAnsi="Palatino Linotype" w:cs="Arial"/>
          <w:sz w:val="24"/>
          <w:lang w:val="es-ES"/>
        </w:rPr>
        <w:t xml:space="preserve"> Ponente</w:t>
      </w:r>
      <w:r w:rsidR="002879EC" w:rsidRPr="007F41E1">
        <w:rPr>
          <w:rFonts w:ascii="Palatino Linotype" w:eastAsia="Calibri" w:hAnsi="Palatino Linotype" w:cs="Arial"/>
          <w:sz w:val="24"/>
          <w:lang w:val="es-ES"/>
        </w:rPr>
        <w:t>,</w:t>
      </w:r>
      <w:r w:rsidR="005000AA" w:rsidRPr="007F41E1">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1C52A7" w:rsidRPr="007F41E1">
        <w:rPr>
          <w:rFonts w:ascii="Palatino Linotype" w:eastAsia="Calibri" w:hAnsi="Palatino Linotype" w:cs="Arial"/>
          <w:sz w:val="24"/>
          <w:lang w:val="es-ES"/>
        </w:rPr>
        <w:t>veinte</w:t>
      </w:r>
      <w:r w:rsidR="005D09C1" w:rsidRPr="007F41E1">
        <w:rPr>
          <w:rFonts w:ascii="Palatino Linotype" w:eastAsia="Calibri" w:hAnsi="Palatino Linotype" w:cs="Arial"/>
          <w:sz w:val="24"/>
          <w:lang w:val="es-ES"/>
        </w:rPr>
        <w:t xml:space="preserve"> (</w:t>
      </w:r>
      <w:r w:rsidR="001C52A7" w:rsidRPr="007F41E1">
        <w:rPr>
          <w:rFonts w:ascii="Palatino Linotype" w:eastAsia="Calibri" w:hAnsi="Palatino Linotype" w:cs="Arial"/>
          <w:sz w:val="24"/>
          <w:lang w:val="es-ES"/>
        </w:rPr>
        <w:t>20</w:t>
      </w:r>
      <w:r w:rsidR="005D09C1" w:rsidRPr="007F41E1">
        <w:rPr>
          <w:rFonts w:ascii="Palatino Linotype" w:eastAsia="Calibri" w:hAnsi="Palatino Linotype" w:cs="Arial"/>
          <w:sz w:val="24"/>
          <w:lang w:val="es-ES"/>
        </w:rPr>
        <w:t xml:space="preserve">) </w:t>
      </w:r>
      <w:r w:rsidR="004E6A3B" w:rsidRPr="007F41E1">
        <w:rPr>
          <w:rFonts w:ascii="Palatino Linotype" w:eastAsia="Calibri" w:hAnsi="Palatino Linotype" w:cs="Arial"/>
          <w:sz w:val="24"/>
          <w:lang w:val="es-ES"/>
        </w:rPr>
        <w:t xml:space="preserve">de </w:t>
      </w:r>
      <w:r w:rsidR="001C52A7" w:rsidRPr="007F41E1">
        <w:rPr>
          <w:rFonts w:ascii="Palatino Linotype" w:eastAsia="Calibri" w:hAnsi="Palatino Linotype" w:cs="Arial"/>
          <w:sz w:val="24"/>
          <w:lang w:val="es-ES"/>
        </w:rPr>
        <w:t>octubre</w:t>
      </w:r>
      <w:r w:rsidR="00965001" w:rsidRPr="007F41E1">
        <w:rPr>
          <w:rFonts w:ascii="Palatino Linotype" w:eastAsia="Calibri" w:hAnsi="Palatino Linotype" w:cs="Arial"/>
          <w:sz w:val="24"/>
          <w:lang w:val="es-ES"/>
        </w:rPr>
        <w:t xml:space="preserve"> </w:t>
      </w:r>
      <w:r w:rsidR="005000AA" w:rsidRPr="007F41E1">
        <w:rPr>
          <w:rFonts w:ascii="Palatino Linotype" w:eastAsia="Calibri" w:hAnsi="Palatino Linotype" w:cs="Arial"/>
          <w:sz w:val="24"/>
          <w:lang w:val="es-ES"/>
        </w:rPr>
        <w:t xml:space="preserve">de dos mil </w:t>
      </w:r>
      <w:r w:rsidR="001C52A7" w:rsidRPr="007F41E1">
        <w:rPr>
          <w:rFonts w:ascii="Palatino Linotype" w:eastAsia="Calibri" w:hAnsi="Palatino Linotype"/>
          <w:sz w:val="24"/>
          <w:lang w:val="es-ES"/>
        </w:rPr>
        <w:t>veintitrés</w:t>
      </w:r>
      <w:r w:rsidR="005000AA" w:rsidRPr="007F41E1">
        <w:rPr>
          <w:rFonts w:ascii="Palatino Linotype" w:eastAsia="Calibri" w:hAnsi="Palatino Linotype" w:cs="Arial"/>
          <w:sz w:val="24"/>
          <w:lang w:val="es-ES"/>
        </w:rPr>
        <w:t xml:space="preserve">, puso a disposición de las partes el expediente electrónico </w:t>
      </w:r>
      <w:r w:rsidR="005000AA" w:rsidRPr="007F41E1">
        <w:rPr>
          <w:rFonts w:ascii="Palatino Linotype" w:eastAsia="Calibri" w:hAnsi="Palatino Linotype" w:cs="Arial"/>
          <w:sz w:val="24"/>
        </w:rPr>
        <w:t xml:space="preserve">vía </w:t>
      </w:r>
      <w:r w:rsidR="005000AA" w:rsidRPr="007F41E1">
        <w:rPr>
          <w:rFonts w:ascii="Palatino Linotype" w:eastAsia="Calibri" w:hAnsi="Palatino Linotype" w:cs="Arial"/>
          <w:b/>
          <w:sz w:val="24"/>
          <w:lang w:val="es-ES"/>
        </w:rPr>
        <w:t xml:space="preserve">SAIMEX </w:t>
      </w:r>
      <w:r w:rsidR="005000AA" w:rsidRPr="007F41E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F41E1">
        <w:rPr>
          <w:rFonts w:ascii="Palatino Linotype" w:eastAsia="Calibri" w:hAnsi="Palatino Linotype" w:cs="Arial"/>
          <w:b/>
          <w:sz w:val="24"/>
          <w:lang w:val="es-ES"/>
        </w:rPr>
        <w:t>SUJETO OBLIGADO</w:t>
      </w:r>
      <w:r w:rsidR="005000AA" w:rsidRPr="007F41E1">
        <w:rPr>
          <w:rFonts w:ascii="Palatino Linotype" w:eastAsia="Calibri" w:hAnsi="Palatino Linotype" w:cs="Arial"/>
          <w:sz w:val="24"/>
          <w:lang w:val="es-ES"/>
        </w:rPr>
        <w:t xml:space="preserve"> presentara el informe justificado procedente.</w:t>
      </w:r>
    </w:p>
    <w:p w14:paraId="65F46BAC" w14:textId="77777777" w:rsidR="001C52A7" w:rsidRPr="007F41E1" w:rsidRDefault="00BC6FDD" w:rsidP="001C52A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7F41E1">
        <w:rPr>
          <w:rFonts w:ascii="Palatino Linotype" w:eastAsiaTheme="minorEastAsia" w:hAnsi="Palatino Linotype"/>
          <w:color w:val="000000"/>
          <w:sz w:val="24"/>
          <w:szCs w:val="24"/>
          <w:lang w:val="es-ES_tradnl"/>
        </w:rPr>
        <w:t xml:space="preserve">El </w:t>
      </w:r>
      <w:r w:rsidRPr="007F41E1">
        <w:rPr>
          <w:rFonts w:ascii="Palatino Linotype" w:eastAsiaTheme="minorEastAsia" w:hAnsi="Palatino Linotype"/>
          <w:b/>
          <w:color w:val="000000"/>
          <w:sz w:val="24"/>
          <w:szCs w:val="24"/>
          <w:lang w:val="es-ES_tradnl"/>
        </w:rPr>
        <w:t xml:space="preserve">SUJETO OBLIGADO </w:t>
      </w:r>
      <w:r w:rsidR="00DB4D4E" w:rsidRPr="007F41E1">
        <w:rPr>
          <w:rFonts w:ascii="Palatino Linotype" w:eastAsiaTheme="minorEastAsia" w:hAnsi="Palatino Linotype"/>
          <w:color w:val="000000"/>
          <w:sz w:val="24"/>
          <w:szCs w:val="24"/>
          <w:lang w:val="es-ES_tradnl"/>
        </w:rPr>
        <w:t xml:space="preserve">el </w:t>
      </w:r>
      <w:r w:rsidR="001C52A7" w:rsidRPr="007F41E1">
        <w:rPr>
          <w:rFonts w:ascii="Palatino Linotype" w:eastAsiaTheme="minorEastAsia" w:hAnsi="Palatino Linotype"/>
          <w:color w:val="000000"/>
          <w:sz w:val="24"/>
          <w:szCs w:val="24"/>
          <w:lang w:val="es-ES_tradnl"/>
        </w:rPr>
        <w:t xml:space="preserve">treinta </w:t>
      </w:r>
      <w:r w:rsidR="00DB4D4E" w:rsidRPr="007F41E1">
        <w:rPr>
          <w:rFonts w:ascii="Palatino Linotype" w:eastAsiaTheme="minorEastAsia" w:hAnsi="Palatino Linotype"/>
          <w:color w:val="000000"/>
          <w:sz w:val="24"/>
          <w:szCs w:val="24"/>
          <w:lang w:val="es-ES_tradnl"/>
        </w:rPr>
        <w:t>(</w:t>
      </w:r>
      <w:r w:rsidR="001C52A7" w:rsidRPr="007F41E1">
        <w:rPr>
          <w:rFonts w:ascii="Palatino Linotype" w:eastAsiaTheme="minorEastAsia" w:hAnsi="Palatino Linotype"/>
          <w:color w:val="000000"/>
          <w:sz w:val="24"/>
          <w:szCs w:val="24"/>
          <w:lang w:val="es-ES_tradnl"/>
        </w:rPr>
        <w:t>30</w:t>
      </w:r>
      <w:r w:rsidR="00DB4D4E" w:rsidRPr="007F41E1">
        <w:rPr>
          <w:rFonts w:ascii="Palatino Linotype" w:eastAsiaTheme="minorEastAsia" w:hAnsi="Palatino Linotype"/>
          <w:color w:val="000000"/>
          <w:sz w:val="24"/>
          <w:szCs w:val="24"/>
          <w:lang w:val="es-ES_tradnl"/>
        </w:rPr>
        <w:t xml:space="preserve">) de </w:t>
      </w:r>
      <w:r w:rsidR="001C52A7" w:rsidRPr="007F41E1">
        <w:rPr>
          <w:rFonts w:ascii="Palatino Linotype" w:eastAsiaTheme="minorEastAsia" w:hAnsi="Palatino Linotype"/>
          <w:color w:val="000000"/>
          <w:sz w:val="24"/>
          <w:szCs w:val="24"/>
          <w:lang w:val="es-ES_tradnl"/>
        </w:rPr>
        <w:t>octubre</w:t>
      </w:r>
      <w:r w:rsidR="00DB4D4E" w:rsidRPr="007F41E1">
        <w:rPr>
          <w:rFonts w:ascii="Palatino Linotype" w:eastAsiaTheme="minorEastAsia" w:hAnsi="Palatino Linotype"/>
          <w:color w:val="000000"/>
          <w:sz w:val="24"/>
          <w:szCs w:val="24"/>
          <w:lang w:val="es-ES_tradnl"/>
        </w:rPr>
        <w:t xml:space="preserve"> de dos mil </w:t>
      </w:r>
      <w:r w:rsidR="001C52A7" w:rsidRPr="007F41E1">
        <w:rPr>
          <w:rFonts w:ascii="Palatino Linotype" w:eastAsia="Calibri" w:hAnsi="Palatino Linotype"/>
          <w:sz w:val="24"/>
          <w:szCs w:val="24"/>
          <w:lang w:val="es-ES"/>
        </w:rPr>
        <w:t>veintitrés</w:t>
      </w:r>
      <w:r w:rsidR="00DB4D4E" w:rsidRPr="007F41E1">
        <w:rPr>
          <w:rFonts w:ascii="Palatino Linotype" w:eastAsiaTheme="minorEastAsia" w:hAnsi="Palatino Linotype"/>
          <w:color w:val="000000"/>
          <w:sz w:val="24"/>
          <w:szCs w:val="24"/>
          <w:lang w:val="es-ES_tradnl"/>
        </w:rPr>
        <w:t>, rindió su in</w:t>
      </w:r>
      <w:r w:rsidR="004858C5" w:rsidRPr="007F41E1">
        <w:rPr>
          <w:rFonts w:ascii="Palatino Linotype" w:eastAsiaTheme="minorEastAsia" w:hAnsi="Palatino Linotype"/>
          <w:color w:val="000000"/>
          <w:sz w:val="24"/>
          <w:szCs w:val="24"/>
          <w:lang w:val="es-ES_tradnl"/>
        </w:rPr>
        <w:t>forme justificado a través de</w:t>
      </w:r>
      <w:r w:rsidR="001C52A7" w:rsidRPr="007F41E1">
        <w:rPr>
          <w:rFonts w:ascii="Palatino Linotype" w:eastAsiaTheme="minorEastAsia" w:hAnsi="Palatino Linotype"/>
          <w:color w:val="000000"/>
          <w:sz w:val="24"/>
          <w:szCs w:val="24"/>
          <w:lang w:val="es-ES_tradnl"/>
        </w:rPr>
        <w:t xml:space="preserve"> </w:t>
      </w:r>
      <w:r w:rsidR="004858C5" w:rsidRPr="007F41E1">
        <w:rPr>
          <w:rFonts w:ascii="Palatino Linotype" w:eastAsiaTheme="minorEastAsia" w:hAnsi="Palatino Linotype"/>
          <w:color w:val="000000"/>
          <w:sz w:val="24"/>
          <w:szCs w:val="24"/>
          <w:lang w:val="es-ES_tradnl"/>
        </w:rPr>
        <w:t>l</w:t>
      </w:r>
      <w:r w:rsidR="001C52A7" w:rsidRPr="007F41E1">
        <w:rPr>
          <w:rFonts w:ascii="Palatino Linotype" w:eastAsiaTheme="minorEastAsia" w:hAnsi="Palatino Linotype"/>
          <w:color w:val="000000"/>
          <w:sz w:val="24"/>
          <w:szCs w:val="24"/>
          <w:lang w:val="es-ES_tradnl"/>
        </w:rPr>
        <w:t>os</w:t>
      </w:r>
      <w:r w:rsidR="004858C5" w:rsidRPr="007F41E1">
        <w:rPr>
          <w:rFonts w:ascii="Palatino Linotype" w:eastAsiaTheme="minorEastAsia" w:hAnsi="Palatino Linotype"/>
          <w:color w:val="000000"/>
          <w:sz w:val="24"/>
          <w:szCs w:val="24"/>
          <w:lang w:val="es-ES_tradnl"/>
        </w:rPr>
        <w:t xml:space="preserve"> documento</w:t>
      </w:r>
      <w:r w:rsidR="001C52A7" w:rsidRPr="007F41E1">
        <w:rPr>
          <w:rFonts w:ascii="Palatino Linotype" w:eastAsiaTheme="minorEastAsia" w:hAnsi="Palatino Linotype"/>
          <w:color w:val="000000"/>
          <w:sz w:val="24"/>
          <w:szCs w:val="24"/>
          <w:lang w:val="es-ES_tradnl"/>
        </w:rPr>
        <w:t>s</w:t>
      </w:r>
      <w:r w:rsidR="004858C5" w:rsidRPr="007F41E1">
        <w:rPr>
          <w:rFonts w:ascii="Palatino Linotype" w:eastAsiaTheme="minorEastAsia" w:hAnsi="Palatino Linotype"/>
          <w:color w:val="000000"/>
          <w:sz w:val="24"/>
          <w:szCs w:val="24"/>
          <w:lang w:val="es-ES_tradnl"/>
        </w:rPr>
        <w:t xml:space="preserve"> electrónico</w:t>
      </w:r>
      <w:r w:rsidR="001C52A7" w:rsidRPr="007F41E1">
        <w:rPr>
          <w:rFonts w:ascii="Palatino Linotype" w:eastAsiaTheme="minorEastAsia" w:hAnsi="Palatino Linotype"/>
          <w:color w:val="000000"/>
          <w:sz w:val="24"/>
          <w:szCs w:val="24"/>
          <w:lang w:val="es-ES_tradnl"/>
        </w:rPr>
        <w:t>s</w:t>
      </w:r>
      <w:r w:rsidR="004858C5" w:rsidRPr="007F41E1">
        <w:rPr>
          <w:rFonts w:ascii="Palatino Linotype" w:eastAsiaTheme="minorEastAsia" w:hAnsi="Palatino Linotype"/>
          <w:color w:val="000000"/>
          <w:sz w:val="24"/>
          <w:szCs w:val="24"/>
          <w:lang w:val="es-ES_tradnl"/>
        </w:rPr>
        <w:t xml:space="preserve"> denominado</w:t>
      </w:r>
      <w:r w:rsidR="001C52A7" w:rsidRPr="007F41E1">
        <w:rPr>
          <w:rFonts w:ascii="Palatino Linotype" w:eastAsiaTheme="minorEastAsia" w:hAnsi="Palatino Linotype"/>
          <w:color w:val="000000"/>
          <w:sz w:val="24"/>
          <w:szCs w:val="24"/>
          <w:lang w:val="es-ES_tradnl"/>
        </w:rPr>
        <w:t>s</w:t>
      </w:r>
      <w:r w:rsidR="001C52A7" w:rsidRPr="007F41E1">
        <w:rPr>
          <w:rFonts w:ascii="Palatino Linotype" w:eastAsiaTheme="minorEastAsia" w:hAnsi="Palatino Linotype"/>
          <w:b/>
          <w:i/>
          <w:color w:val="000000"/>
          <w:sz w:val="24"/>
          <w:szCs w:val="24"/>
          <w:lang w:val="es-ES_tradnl"/>
        </w:rPr>
        <w:t xml:space="preserve"> 07108 RR.pdf, ACTA OCTAVA SESION.pdf y 00128 RR.pdf</w:t>
      </w:r>
      <w:r w:rsidR="001C52A7" w:rsidRPr="007F41E1">
        <w:rPr>
          <w:rFonts w:ascii="Palatino Linotype" w:eastAsiaTheme="minorEastAsia" w:hAnsi="Palatino Linotype"/>
          <w:i/>
          <w:color w:val="000000"/>
          <w:sz w:val="24"/>
          <w:szCs w:val="24"/>
          <w:lang w:val="es-ES_tradnl"/>
        </w:rPr>
        <w:t xml:space="preserve">, </w:t>
      </w:r>
      <w:r w:rsidR="001C52A7" w:rsidRPr="007F41E1">
        <w:rPr>
          <w:rFonts w:ascii="Palatino Linotype" w:eastAsiaTheme="minorEastAsia" w:hAnsi="Palatino Linotype"/>
          <w:color w:val="000000"/>
          <w:sz w:val="24"/>
          <w:szCs w:val="24"/>
          <w:lang w:val="es-ES_tradnl"/>
        </w:rPr>
        <w:t>los cuales se pusieron a la vista del particular el veintiuno (21) de noviembre de la misma anualidad; sin embargo, se procede a describir su contenido medular, siendo el siguiente:</w:t>
      </w:r>
    </w:p>
    <w:p w14:paraId="73BBB08A" w14:textId="7488E739" w:rsidR="001C52A7" w:rsidRPr="007F41E1" w:rsidRDefault="001C52A7" w:rsidP="001C52A7">
      <w:pPr>
        <w:pStyle w:val="Prrafodelista"/>
        <w:numPr>
          <w:ilvl w:val="0"/>
          <w:numId w:val="25"/>
        </w:numPr>
        <w:tabs>
          <w:tab w:val="left" w:pos="284"/>
        </w:tabs>
        <w:spacing w:before="240" w:after="240" w:line="360" w:lineRule="auto"/>
        <w:jc w:val="both"/>
        <w:rPr>
          <w:rFonts w:ascii="Palatino Linotype" w:eastAsiaTheme="minorEastAsia" w:hAnsi="Palatino Linotype"/>
          <w:i/>
          <w:color w:val="000000"/>
          <w:lang w:val="es-ES_tradnl"/>
        </w:rPr>
      </w:pPr>
      <w:r w:rsidRPr="007F41E1">
        <w:rPr>
          <w:rFonts w:ascii="Palatino Linotype" w:eastAsiaTheme="minorEastAsia" w:hAnsi="Palatino Linotype"/>
          <w:b/>
          <w:i/>
          <w:color w:val="000000"/>
          <w:lang w:val="es-ES_tradnl"/>
        </w:rPr>
        <w:t>07108 RR.pdf:</w:t>
      </w:r>
      <w:r w:rsidRPr="007F41E1">
        <w:rPr>
          <w:rFonts w:ascii="Palatino Linotype" w:eastAsiaTheme="minorEastAsia" w:hAnsi="Palatino Linotype"/>
          <w:i/>
          <w:color w:val="000000"/>
          <w:lang w:val="es-ES_tradnl"/>
        </w:rPr>
        <w:t xml:space="preserve"> </w:t>
      </w:r>
      <w:r w:rsidRPr="007F41E1">
        <w:rPr>
          <w:rFonts w:ascii="Palatino Linotype" w:eastAsiaTheme="minorEastAsia" w:hAnsi="Palatino Linotype"/>
          <w:color w:val="000000"/>
          <w:lang w:val="es-ES_tradnl"/>
        </w:rPr>
        <w:t>Contiene un contrato por el suministro y colocación de luminarias, el cual no se puso a la vista del particular por contener datos personales que no se clasificaron.</w:t>
      </w:r>
    </w:p>
    <w:p w14:paraId="0270A409" w14:textId="24A95CA4" w:rsidR="001C52A7" w:rsidRPr="007F41E1" w:rsidRDefault="001C52A7" w:rsidP="001C52A7">
      <w:pPr>
        <w:pStyle w:val="Prrafodelista"/>
        <w:numPr>
          <w:ilvl w:val="0"/>
          <w:numId w:val="25"/>
        </w:numPr>
        <w:tabs>
          <w:tab w:val="left" w:pos="284"/>
        </w:tabs>
        <w:spacing w:before="240" w:after="240" w:line="360" w:lineRule="auto"/>
        <w:jc w:val="both"/>
        <w:rPr>
          <w:rFonts w:ascii="Palatino Linotype" w:eastAsiaTheme="minorEastAsia" w:hAnsi="Palatino Linotype"/>
          <w:i/>
          <w:color w:val="000000"/>
          <w:lang w:val="es-ES_tradnl"/>
        </w:rPr>
      </w:pPr>
      <w:r w:rsidRPr="007F41E1">
        <w:rPr>
          <w:rFonts w:ascii="Palatino Linotype" w:eastAsiaTheme="minorEastAsia" w:hAnsi="Palatino Linotype"/>
          <w:b/>
          <w:i/>
          <w:color w:val="000000"/>
          <w:lang w:val="es-ES_tradnl"/>
        </w:rPr>
        <w:t xml:space="preserve">ACTA OCTAVA SESION.pdf: </w:t>
      </w:r>
      <w:r w:rsidRPr="007F41E1">
        <w:rPr>
          <w:rFonts w:ascii="Palatino Linotype" w:eastAsiaTheme="minorEastAsia" w:hAnsi="Palatino Linotype"/>
          <w:color w:val="000000"/>
          <w:lang w:val="es-ES_tradnl"/>
        </w:rPr>
        <w:t>Contiene el acta de la octava sesión del Comité de Transparencia, mediante el cual se aprueba la clasificación de datos personales como información confidencial y se ordena la elaboración de versión pública.</w:t>
      </w:r>
    </w:p>
    <w:p w14:paraId="36519129" w14:textId="369A2984" w:rsidR="001C52A7" w:rsidRPr="007F41E1" w:rsidRDefault="001C52A7" w:rsidP="001C52A7">
      <w:pPr>
        <w:pStyle w:val="Prrafodelista"/>
        <w:numPr>
          <w:ilvl w:val="0"/>
          <w:numId w:val="25"/>
        </w:numPr>
        <w:tabs>
          <w:tab w:val="left" w:pos="284"/>
        </w:tabs>
        <w:spacing w:before="240" w:after="240" w:line="360" w:lineRule="auto"/>
        <w:jc w:val="both"/>
        <w:rPr>
          <w:rFonts w:ascii="Palatino Linotype" w:eastAsiaTheme="minorEastAsia" w:hAnsi="Palatino Linotype"/>
          <w:b/>
          <w:i/>
          <w:color w:val="000000"/>
          <w:lang w:val="es-ES_tradnl"/>
        </w:rPr>
      </w:pPr>
      <w:r w:rsidRPr="007F41E1">
        <w:rPr>
          <w:rFonts w:ascii="Palatino Linotype" w:eastAsiaTheme="minorEastAsia" w:hAnsi="Palatino Linotype"/>
          <w:b/>
          <w:i/>
          <w:color w:val="000000"/>
          <w:lang w:val="es-ES_tradnl"/>
        </w:rPr>
        <w:lastRenderedPageBreak/>
        <w:t>00128 RR.pdf</w:t>
      </w:r>
      <w:r w:rsidR="00537686" w:rsidRPr="007F41E1">
        <w:rPr>
          <w:rFonts w:ascii="Palatino Linotype" w:eastAsiaTheme="minorEastAsia" w:hAnsi="Palatino Linotype"/>
          <w:b/>
          <w:i/>
          <w:color w:val="000000"/>
          <w:lang w:val="es-ES_tradnl"/>
        </w:rPr>
        <w:t xml:space="preserve">: </w:t>
      </w:r>
      <w:r w:rsidR="00537686" w:rsidRPr="007F41E1">
        <w:rPr>
          <w:rFonts w:ascii="Palatino Linotype" w:eastAsiaTheme="minorEastAsia" w:hAnsi="Palatino Linotype"/>
          <w:color w:val="000000"/>
          <w:lang w:val="es-ES_tradnl"/>
        </w:rPr>
        <w:t>Documento que contiene el turno de la solicitud por parte del Titular de la Unidad de Transparencia al Director de Obras Públicas.</w:t>
      </w:r>
    </w:p>
    <w:p w14:paraId="010D7EEE" w14:textId="77777777" w:rsidR="001C52A7" w:rsidRPr="007F41E1" w:rsidRDefault="001C52A7" w:rsidP="001C52A7">
      <w:pPr>
        <w:pStyle w:val="Prrafodelista"/>
        <w:tabs>
          <w:tab w:val="left" w:pos="284"/>
        </w:tabs>
        <w:spacing w:before="240" w:after="240" w:line="360" w:lineRule="auto"/>
        <w:ind w:left="709"/>
        <w:jc w:val="both"/>
        <w:rPr>
          <w:rFonts w:ascii="Palatino Linotype" w:eastAsiaTheme="minorEastAsia" w:hAnsi="Palatino Linotype"/>
          <w:i/>
          <w:color w:val="000000"/>
          <w:sz w:val="24"/>
          <w:lang w:val="es-ES_tradnl"/>
        </w:rPr>
      </w:pPr>
    </w:p>
    <w:p w14:paraId="53378165" w14:textId="01FC1BC3" w:rsidR="00537686" w:rsidRPr="007F41E1" w:rsidRDefault="00537686" w:rsidP="00834DD0">
      <w:pPr>
        <w:pStyle w:val="Prrafodelista"/>
        <w:numPr>
          <w:ilvl w:val="0"/>
          <w:numId w:val="3"/>
        </w:numPr>
        <w:spacing w:line="360" w:lineRule="auto"/>
        <w:ind w:left="0" w:firstLine="0"/>
        <w:jc w:val="both"/>
        <w:rPr>
          <w:rFonts w:ascii="Palatino Linotype" w:hAnsi="Palatino Linotype" w:cs="Tahoma"/>
          <w:sz w:val="24"/>
        </w:rPr>
      </w:pPr>
      <w:r w:rsidRPr="007F41E1">
        <w:rPr>
          <w:rFonts w:ascii="Palatino Linotype" w:hAnsi="Palatino Linotype" w:cs="Tahoma"/>
          <w:sz w:val="24"/>
        </w:rPr>
        <w:t xml:space="preserve">Por su parte, el Recurrente, el siete (7) de noviembre de dos mil veintitrés, adjuntó el documento electrónico denominado </w:t>
      </w:r>
      <w:r w:rsidRPr="007F41E1">
        <w:rPr>
          <w:rFonts w:ascii="Palatino Linotype" w:hAnsi="Palatino Linotype" w:cs="Tahoma"/>
          <w:b/>
          <w:i/>
          <w:sz w:val="24"/>
        </w:rPr>
        <w:t>07108.INFOEM.IP.RR.2023.docx</w:t>
      </w:r>
      <w:r w:rsidRPr="007F41E1">
        <w:rPr>
          <w:rFonts w:ascii="Palatino Linotype" w:hAnsi="Palatino Linotype" w:cs="Tahoma"/>
          <w:sz w:val="24"/>
        </w:rPr>
        <w:t>, el cual contiene lo siguiente:</w:t>
      </w:r>
    </w:p>
    <w:p w14:paraId="3FC1C62E" w14:textId="77777777" w:rsidR="00537686" w:rsidRPr="007F41E1" w:rsidRDefault="00537686" w:rsidP="00537686">
      <w:pPr>
        <w:pStyle w:val="Prrafodelista"/>
        <w:spacing w:line="360" w:lineRule="auto"/>
        <w:ind w:left="0"/>
        <w:jc w:val="both"/>
        <w:rPr>
          <w:rFonts w:ascii="Palatino Linotype" w:hAnsi="Palatino Linotype" w:cs="Tahoma"/>
        </w:rPr>
      </w:pPr>
    </w:p>
    <w:p w14:paraId="07DCB15A" w14:textId="4A434C9F" w:rsidR="00537686" w:rsidRPr="007F41E1" w:rsidRDefault="00537686" w:rsidP="00537686">
      <w:pPr>
        <w:pStyle w:val="Prrafodelista"/>
        <w:spacing w:line="360" w:lineRule="auto"/>
        <w:ind w:left="567" w:right="822"/>
        <w:jc w:val="both"/>
        <w:rPr>
          <w:rFonts w:ascii="Palatino Linotype" w:hAnsi="Palatino Linotype" w:cs="Tahoma"/>
          <w:i/>
        </w:rPr>
      </w:pPr>
      <w:r w:rsidRPr="007F41E1">
        <w:rPr>
          <w:rFonts w:ascii="Palatino Linotype" w:hAnsi="Palatino Linotype" w:cs="Tahoma"/>
          <w:i/>
        </w:rPr>
        <w:t>HICE MI SOLICITUD Y CON BASE EN LO QUE MARCAN LOS 15 DÍAS HÁBILES SE VENCIA EL PLAZO EL 3 DE OCTUBRE DE ESTE AÑO, PERO LA TITULAR DE TRANSPARENCIA DE MANERA SISTEMATICA Y MALICIOSA HA SOLICITADO PRÓRROGA EN LA MAYORÍA DE MIS SOLICITUDES, AÚN Y CUANDO ES INFORMACIÓN QUE EN TEORÍA DEBERÍAN DE TENER A LA MANO. POR DICHA SITUACIÓN SE SUPONE QUE AÚN CON LA PRÓRROGA TENDRÍA UN PLAZO MÁXIMO DE OTROS 7 DÍAS HÁBILES MÁS PARA BRINDARME LA INFORMACIÓN Y AÚN ASÍ NO SE ME HA BRINDADO LA INFORMACIÓN.</w:t>
      </w:r>
    </w:p>
    <w:p w14:paraId="7A658817" w14:textId="77777777" w:rsidR="002879EC" w:rsidRPr="007F41E1" w:rsidRDefault="002879EC" w:rsidP="00537686">
      <w:pPr>
        <w:pStyle w:val="Prrafodelista"/>
        <w:spacing w:line="360" w:lineRule="auto"/>
        <w:ind w:left="567" w:right="822"/>
        <w:jc w:val="both"/>
        <w:rPr>
          <w:rFonts w:ascii="Palatino Linotype" w:hAnsi="Palatino Linotype" w:cs="Tahoma"/>
          <w:i/>
        </w:rPr>
      </w:pPr>
    </w:p>
    <w:p w14:paraId="04016115" w14:textId="514ECB24" w:rsidR="00BC6FDD" w:rsidRPr="007F41E1" w:rsidRDefault="000E3BE7" w:rsidP="002879EC">
      <w:pPr>
        <w:pStyle w:val="Prrafodelista"/>
        <w:numPr>
          <w:ilvl w:val="0"/>
          <w:numId w:val="3"/>
        </w:numPr>
        <w:spacing w:line="360" w:lineRule="auto"/>
        <w:ind w:left="0" w:firstLine="0"/>
        <w:jc w:val="both"/>
        <w:rPr>
          <w:rFonts w:ascii="Palatino Linotype" w:hAnsi="Palatino Linotype" w:cs="Tahoma"/>
          <w:sz w:val="24"/>
        </w:rPr>
      </w:pPr>
      <w:r w:rsidRPr="007F41E1">
        <w:rPr>
          <w:rFonts w:ascii="Palatino Linotype" w:hAnsi="Palatino Linotype" w:cs="Tahoma"/>
          <w:sz w:val="24"/>
        </w:rPr>
        <w:t xml:space="preserve">El </w:t>
      </w:r>
      <w:r w:rsidR="00537686" w:rsidRPr="007F41E1">
        <w:rPr>
          <w:rFonts w:ascii="Palatino Linotype" w:hAnsi="Palatino Linotype" w:cs="Tahoma"/>
          <w:sz w:val="24"/>
        </w:rPr>
        <w:t>trece</w:t>
      </w:r>
      <w:r w:rsidR="00F3033C" w:rsidRPr="007F41E1">
        <w:rPr>
          <w:rFonts w:ascii="Palatino Linotype" w:hAnsi="Palatino Linotype" w:cs="Tahoma"/>
          <w:sz w:val="24"/>
        </w:rPr>
        <w:t xml:space="preserve"> (</w:t>
      </w:r>
      <w:r w:rsidR="00537686" w:rsidRPr="007F41E1">
        <w:rPr>
          <w:rFonts w:ascii="Palatino Linotype" w:hAnsi="Palatino Linotype" w:cs="Tahoma"/>
          <w:sz w:val="24"/>
        </w:rPr>
        <w:t>13</w:t>
      </w:r>
      <w:r w:rsidRPr="007F41E1">
        <w:rPr>
          <w:rFonts w:ascii="Palatino Linotype" w:hAnsi="Palatino Linotype" w:cs="Tahoma"/>
          <w:sz w:val="24"/>
        </w:rPr>
        <w:t xml:space="preserve">) de </w:t>
      </w:r>
      <w:r w:rsidR="00537686" w:rsidRPr="007F41E1">
        <w:rPr>
          <w:rFonts w:ascii="Palatino Linotype" w:hAnsi="Palatino Linotype" w:cs="Tahoma"/>
          <w:sz w:val="24"/>
        </w:rPr>
        <w:t>diciembre</w:t>
      </w:r>
      <w:r w:rsidRPr="007F41E1">
        <w:rPr>
          <w:rFonts w:ascii="Palatino Linotype" w:hAnsi="Palatino Linotype" w:cs="Tahoma"/>
          <w:sz w:val="24"/>
        </w:rPr>
        <w:t xml:space="preserve"> de dos mil veinti</w:t>
      </w:r>
      <w:r w:rsidR="00374D86" w:rsidRPr="007F41E1">
        <w:rPr>
          <w:rFonts w:ascii="Palatino Linotype" w:hAnsi="Palatino Linotype" w:cs="Tahoma"/>
          <w:sz w:val="24"/>
        </w:rPr>
        <w:t>trés</w:t>
      </w:r>
      <w:r w:rsidRPr="007F41E1">
        <w:rPr>
          <w:rFonts w:ascii="Palatino Linotype" w:hAnsi="Palatino Linotype" w:cs="Tahoma"/>
          <w:sz w:val="24"/>
        </w:rPr>
        <w:t xml:space="preserve">, se notificó el acuerdo mediante el cual se amplió </w:t>
      </w:r>
      <w:r w:rsidR="00374D86" w:rsidRPr="007F41E1">
        <w:rPr>
          <w:rFonts w:ascii="Palatino Linotype" w:hAnsi="Palatino Linotype" w:cs="Tahoma"/>
          <w:sz w:val="24"/>
        </w:rPr>
        <w:t>e</w:t>
      </w:r>
      <w:r w:rsidR="00537686" w:rsidRPr="007F41E1">
        <w:rPr>
          <w:rFonts w:ascii="Palatino Linotype" w:hAnsi="Palatino Linotype" w:cs="Tahoma"/>
          <w:sz w:val="24"/>
        </w:rPr>
        <w:t>l plazo para emitir resolución, en la misma fecha,</w:t>
      </w:r>
      <w:r w:rsidR="00912ED6" w:rsidRPr="007F41E1">
        <w:rPr>
          <w:rFonts w:ascii="Palatino Linotype" w:hAnsi="Palatino Linotype" w:cs="Tahoma"/>
          <w:sz w:val="24"/>
        </w:rPr>
        <w:t xml:space="preserve"> </w:t>
      </w:r>
      <w:r w:rsidR="00D73603" w:rsidRPr="007F41E1">
        <w:rPr>
          <w:rFonts w:ascii="Palatino Linotype" w:eastAsia="Calibri" w:hAnsi="Palatino Linotype" w:cs="Arial"/>
          <w:sz w:val="24"/>
          <w:lang w:val="es-ES"/>
        </w:rPr>
        <w:t>la</w:t>
      </w:r>
      <w:r w:rsidR="005000AA" w:rsidRPr="007F41E1">
        <w:rPr>
          <w:rFonts w:ascii="Palatino Linotype" w:hAnsi="Palatino Linotype"/>
          <w:sz w:val="24"/>
        </w:rPr>
        <w:t xml:space="preserve"> Comisionad</w:t>
      </w:r>
      <w:r w:rsidR="00D73603" w:rsidRPr="007F41E1">
        <w:rPr>
          <w:rFonts w:ascii="Palatino Linotype" w:hAnsi="Palatino Linotype"/>
          <w:sz w:val="24"/>
        </w:rPr>
        <w:t>a</w:t>
      </w:r>
      <w:r w:rsidR="005000AA" w:rsidRPr="007F41E1">
        <w:rPr>
          <w:rFonts w:ascii="Palatino Linotype" w:hAnsi="Palatino Linotype"/>
          <w:sz w:val="24"/>
        </w:rPr>
        <w:t xml:space="preserve"> Ponente decretó el cierre de instrucción</w:t>
      </w:r>
      <w:r w:rsidR="005000AA" w:rsidRPr="007F41E1">
        <w:rPr>
          <w:rFonts w:ascii="Palatino Linotype" w:hAnsi="Palatino Linotype" w:cs="Arial"/>
          <w:sz w:val="24"/>
        </w:rPr>
        <w:t>.</w:t>
      </w:r>
      <w:r w:rsidR="005000AA" w:rsidRPr="007F41E1">
        <w:rPr>
          <w:rFonts w:ascii="Palatino Linotype" w:hAnsi="Palatino Linotype" w:cs="Tahoma"/>
          <w:sz w:val="24"/>
        </w:rPr>
        <w:t xml:space="preserve"> </w:t>
      </w:r>
      <w:r w:rsidR="003C497F" w:rsidRPr="007F41E1">
        <w:rPr>
          <w:rFonts w:ascii="Palatino Linotype" w:hAnsi="Palatino Linotype" w:cs="Tahoma"/>
          <w:sz w:val="24"/>
        </w:rPr>
        <w:t xml:space="preserve">Por lo que turnó la presente resolución </w:t>
      </w:r>
      <w:r w:rsidR="003C5753" w:rsidRPr="007F41E1">
        <w:rPr>
          <w:rFonts w:ascii="Palatino Linotype" w:hAnsi="Palatino Linotype" w:cs="Tahoma"/>
          <w:sz w:val="24"/>
        </w:rPr>
        <w:t>para su aprobación.</w:t>
      </w:r>
    </w:p>
    <w:p w14:paraId="658A711D" w14:textId="77777777" w:rsidR="00834DD0" w:rsidRPr="007F41E1" w:rsidRDefault="00834DD0" w:rsidP="00834DD0">
      <w:pPr>
        <w:pStyle w:val="Prrafodelista"/>
        <w:spacing w:line="360" w:lineRule="auto"/>
        <w:ind w:left="0"/>
        <w:jc w:val="both"/>
        <w:rPr>
          <w:rFonts w:ascii="Palatino Linotype" w:hAnsi="Palatino Linotype" w:cs="Tahoma"/>
          <w:sz w:val="24"/>
        </w:rPr>
      </w:pPr>
    </w:p>
    <w:p w14:paraId="41F5EAC8" w14:textId="6A6A11A5" w:rsidR="00834DD0" w:rsidRPr="007F41E1" w:rsidRDefault="00834DD0" w:rsidP="00834DD0">
      <w:pPr>
        <w:pStyle w:val="Prrafodelista"/>
        <w:numPr>
          <w:ilvl w:val="0"/>
          <w:numId w:val="2"/>
        </w:numPr>
        <w:spacing w:before="240" w:after="240" w:line="360" w:lineRule="auto"/>
        <w:ind w:left="0" w:hanging="11"/>
        <w:jc w:val="both"/>
        <w:rPr>
          <w:rFonts w:ascii="Palatino Linotype" w:hAnsi="Palatino Linotype"/>
          <w:b/>
          <w:sz w:val="24"/>
          <w:u w:val="single"/>
        </w:rPr>
      </w:pPr>
      <w:r w:rsidRPr="007F41E1">
        <w:rPr>
          <w:rFonts w:ascii="Palatino Linotype" w:hAnsi="Palatino Linotype"/>
          <w:sz w:val="24"/>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w:t>
      </w:r>
      <w:r w:rsidR="001C52A7" w:rsidRPr="007F41E1">
        <w:rPr>
          <w:rFonts w:ascii="Palatino Linotype" w:eastAsia="Calibri" w:hAnsi="Palatino Linotype"/>
          <w:sz w:val="24"/>
          <w:lang w:val="es-ES"/>
        </w:rPr>
        <w:t>veintitrés</w:t>
      </w:r>
      <w:r w:rsidRPr="007F41E1">
        <w:rPr>
          <w:rFonts w:ascii="Palatino Linotype" w:hAnsi="Palatino Linotype"/>
          <w:sz w:val="24"/>
        </w:rPr>
        <w:t>,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3CC5BD" w14:textId="77777777" w:rsidR="00834DD0" w:rsidRPr="007F41E1" w:rsidRDefault="00834DD0" w:rsidP="00834DD0">
      <w:pPr>
        <w:pStyle w:val="Prrafodelista"/>
        <w:rPr>
          <w:rFonts w:ascii="Palatino Linotype" w:hAnsi="Palatino Linotype"/>
          <w:sz w:val="24"/>
        </w:rPr>
      </w:pPr>
    </w:p>
    <w:p w14:paraId="407A9749"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0AAB21" w14:textId="77777777" w:rsidR="00834DD0" w:rsidRPr="007F41E1" w:rsidRDefault="00834DD0" w:rsidP="00834DD0">
      <w:pPr>
        <w:pStyle w:val="Prrafodelista"/>
        <w:spacing w:before="240" w:after="240" w:line="360" w:lineRule="auto"/>
        <w:ind w:left="0"/>
        <w:jc w:val="both"/>
        <w:rPr>
          <w:rFonts w:ascii="Palatino Linotype" w:hAnsi="Palatino Linotype"/>
          <w:sz w:val="24"/>
        </w:rPr>
      </w:pPr>
    </w:p>
    <w:p w14:paraId="4653E223" w14:textId="77777777" w:rsidR="00834DD0"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9F463F" w14:textId="77777777" w:rsidR="007F41E1" w:rsidRPr="007F41E1" w:rsidRDefault="007F41E1" w:rsidP="007F41E1">
      <w:pPr>
        <w:pStyle w:val="Prrafodelista"/>
        <w:rPr>
          <w:rFonts w:ascii="Palatino Linotype" w:hAnsi="Palatino Linotype"/>
          <w:sz w:val="24"/>
        </w:rPr>
      </w:pPr>
    </w:p>
    <w:p w14:paraId="1B612A44" w14:textId="77777777" w:rsidR="007F41E1" w:rsidRPr="007F41E1" w:rsidRDefault="007F41E1" w:rsidP="007F41E1">
      <w:pPr>
        <w:spacing w:before="240" w:after="240" w:line="360" w:lineRule="auto"/>
        <w:jc w:val="both"/>
        <w:rPr>
          <w:rFonts w:ascii="Palatino Linotype" w:hAnsi="Palatino Linotype"/>
          <w:sz w:val="24"/>
        </w:rPr>
      </w:pPr>
    </w:p>
    <w:p w14:paraId="625A7602"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6E1A38" w14:textId="77777777" w:rsidR="00834DD0" w:rsidRPr="007F41E1" w:rsidRDefault="00834DD0" w:rsidP="00834DD0">
      <w:pPr>
        <w:pStyle w:val="Prrafodelista"/>
        <w:spacing w:before="240" w:after="240" w:line="360" w:lineRule="auto"/>
        <w:ind w:left="0"/>
        <w:jc w:val="both"/>
        <w:rPr>
          <w:rFonts w:ascii="Palatino Linotype" w:hAnsi="Palatino Linotype"/>
          <w:sz w:val="24"/>
        </w:rPr>
      </w:pPr>
    </w:p>
    <w:p w14:paraId="71F0BAF8"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B41BA20" w14:textId="77777777" w:rsidR="00834DD0" w:rsidRPr="007F41E1" w:rsidRDefault="00834DD0" w:rsidP="00834DD0">
      <w:pPr>
        <w:pStyle w:val="Prrafodelista"/>
        <w:spacing w:before="240" w:after="240" w:line="360" w:lineRule="auto"/>
        <w:ind w:left="0"/>
        <w:jc w:val="both"/>
        <w:rPr>
          <w:rFonts w:ascii="Palatino Linotype" w:hAnsi="Palatino Linotype"/>
        </w:rPr>
      </w:pPr>
    </w:p>
    <w:p w14:paraId="638E252E" w14:textId="65952F62" w:rsidR="00834DD0" w:rsidRPr="007F41E1" w:rsidRDefault="002879EC" w:rsidP="00834DD0">
      <w:pPr>
        <w:pStyle w:val="Prrafodelista"/>
        <w:spacing w:before="240" w:after="240" w:line="360" w:lineRule="auto"/>
        <w:ind w:left="284"/>
        <w:jc w:val="both"/>
        <w:rPr>
          <w:rFonts w:ascii="Palatino Linotype" w:hAnsi="Palatino Linotype"/>
        </w:rPr>
      </w:pPr>
      <w:r w:rsidRPr="007F41E1">
        <w:rPr>
          <w:rFonts w:ascii="Palatino Linotype" w:hAnsi="Palatino Linotype"/>
        </w:rPr>
        <w:t xml:space="preserve">a)  </w:t>
      </w:r>
      <w:r w:rsidR="00834DD0" w:rsidRPr="007F41E1">
        <w:rPr>
          <w:rFonts w:ascii="Palatino Linotype" w:hAnsi="Palatino Linotype"/>
        </w:rPr>
        <w:t>Complejidad del asunto: La complejidad de la prueba, la pluralidad de sujetos procesales, el tiempo transcurrido, las características y contexto del recurso.</w:t>
      </w:r>
    </w:p>
    <w:p w14:paraId="5F354175" w14:textId="77777777" w:rsidR="00834DD0" w:rsidRPr="007F41E1" w:rsidRDefault="00834DD0" w:rsidP="00834DD0">
      <w:pPr>
        <w:pStyle w:val="Prrafodelista"/>
        <w:spacing w:before="240" w:after="240" w:line="360" w:lineRule="auto"/>
        <w:ind w:left="284"/>
        <w:jc w:val="both"/>
        <w:rPr>
          <w:rFonts w:ascii="Palatino Linotype" w:hAnsi="Palatino Linotype"/>
        </w:rPr>
      </w:pPr>
      <w:r w:rsidRPr="007F41E1">
        <w:rPr>
          <w:rFonts w:ascii="Palatino Linotype" w:hAnsi="Palatino Linotype"/>
        </w:rPr>
        <w:t>b)     Actividad Procesal del interesado: Acciones u omisiones del interesado.</w:t>
      </w:r>
    </w:p>
    <w:p w14:paraId="191D06FD" w14:textId="06C14DBF" w:rsidR="00834DD0" w:rsidRPr="007F41E1" w:rsidRDefault="00834DD0" w:rsidP="00834DD0">
      <w:pPr>
        <w:pStyle w:val="Prrafodelista"/>
        <w:spacing w:before="240" w:after="240" w:line="360" w:lineRule="auto"/>
        <w:ind w:left="284"/>
        <w:jc w:val="both"/>
        <w:rPr>
          <w:rFonts w:ascii="Palatino Linotype" w:hAnsi="Palatino Linotype"/>
        </w:rPr>
      </w:pPr>
      <w:r w:rsidRPr="007F41E1">
        <w:rPr>
          <w:rFonts w:ascii="Palatino Linotype" w:hAnsi="Palatino Linotype"/>
        </w:rPr>
        <w:t>c)     Conducta de la Autoridad: Las Acciones u omisiones realizadas en el procedimiento. Así como si la autoridad actuó con la debida diligencia.</w:t>
      </w:r>
    </w:p>
    <w:p w14:paraId="09A1D774" w14:textId="2747C0EF" w:rsidR="00834DD0" w:rsidRPr="007F41E1" w:rsidRDefault="00834DD0" w:rsidP="00834DD0">
      <w:pPr>
        <w:pStyle w:val="Prrafodelista"/>
        <w:spacing w:before="240" w:after="240" w:line="360" w:lineRule="auto"/>
        <w:ind w:left="284"/>
        <w:jc w:val="both"/>
        <w:rPr>
          <w:rFonts w:ascii="Palatino Linotype" w:hAnsi="Palatino Linotype"/>
        </w:rPr>
      </w:pPr>
      <w:r w:rsidRPr="007F41E1">
        <w:rPr>
          <w:rFonts w:ascii="Palatino Linotype" w:hAnsi="Palatino Linotype"/>
        </w:rPr>
        <w:t xml:space="preserve">d) </w:t>
      </w:r>
      <w:r w:rsidR="002879EC" w:rsidRPr="007F41E1">
        <w:rPr>
          <w:rFonts w:ascii="Palatino Linotype" w:hAnsi="Palatino Linotype"/>
        </w:rPr>
        <w:t xml:space="preserve">     </w:t>
      </w:r>
      <w:r w:rsidRPr="007F41E1">
        <w:rPr>
          <w:rFonts w:ascii="Palatino Linotype" w:hAnsi="Palatino Linotype"/>
        </w:rPr>
        <w:t>La afectación generada en la situación jurídica de la persona involucrada en el proceso: Violación a sus derechos humanos.</w:t>
      </w:r>
    </w:p>
    <w:p w14:paraId="20D331D1" w14:textId="77777777" w:rsidR="00834DD0" w:rsidRPr="007F41E1" w:rsidRDefault="00834DD0" w:rsidP="00834DD0">
      <w:pPr>
        <w:pStyle w:val="Prrafodelista"/>
        <w:spacing w:before="240" w:after="240" w:line="360" w:lineRule="auto"/>
        <w:ind w:left="0"/>
        <w:jc w:val="both"/>
        <w:rPr>
          <w:rFonts w:ascii="Palatino Linotype" w:hAnsi="Palatino Linotype"/>
          <w:sz w:val="24"/>
        </w:rPr>
      </w:pPr>
    </w:p>
    <w:p w14:paraId="612AED00"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2FD2E" w14:textId="77777777" w:rsidR="00834DD0" w:rsidRPr="007F41E1" w:rsidRDefault="00834DD0" w:rsidP="00834DD0">
      <w:pPr>
        <w:pStyle w:val="Prrafodelista"/>
        <w:spacing w:before="240" w:after="240" w:line="360" w:lineRule="auto"/>
        <w:ind w:left="0"/>
        <w:jc w:val="both"/>
        <w:rPr>
          <w:rFonts w:ascii="Palatino Linotype" w:hAnsi="Palatino Linotype"/>
          <w:sz w:val="24"/>
        </w:rPr>
      </w:pPr>
    </w:p>
    <w:p w14:paraId="2747A1EF"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1C0799" w14:textId="77777777" w:rsidR="00834DD0" w:rsidRPr="007F41E1" w:rsidRDefault="00834DD0" w:rsidP="00834DD0">
      <w:pPr>
        <w:pStyle w:val="Prrafodelista"/>
        <w:rPr>
          <w:rFonts w:ascii="Palatino Linotype" w:hAnsi="Palatino Linotype"/>
          <w:sz w:val="24"/>
        </w:rPr>
      </w:pPr>
    </w:p>
    <w:p w14:paraId="085C2DC9"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552A26" w14:textId="77777777" w:rsidR="00834DD0" w:rsidRPr="007F41E1" w:rsidRDefault="00834DD0" w:rsidP="00834DD0">
      <w:pPr>
        <w:pStyle w:val="Prrafodelista"/>
        <w:spacing w:before="240" w:after="240" w:line="360" w:lineRule="auto"/>
        <w:ind w:left="0"/>
        <w:jc w:val="both"/>
        <w:rPr>
          <w:rFonts w:ascii="Palatino Linotype" w:hAnsi="Palatino Linotype"/>
          <w:sz w:val="24"/>
        </w:rPr>
      </w:pPr>
    </w:p>
    <w:p w14:paraId="053ED222" w14:textId="77777777" w:rsidR="00834DD0" w:rsidRPr="007F41E1"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7F41E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3C8C4AD" w14:textId="77777777" w:rsidR="00834DD0" w:rsidRPr="007F41E1" w:rsidRDefault="00834DD0" w:rsidP="00834DD0">
      <w:pPr>
        <w:pStyle w:val="Prrafodelista"/>
        <w:spacing w:before="240" w:after="240" w:line="360" w:lineRule="auto"/>
        <w:ind w:left="567"/>
        <w:jc w:val="both"/>
        <w:rPr>
          <w:rFonts w:ascii="Palatino Linotype" w:hAnsi="Palatino Linotype"/>
        </w:rPr>
      </w:pPr>
      <w:r w:rsidRPr="007F41E1">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082E0242" w14:textId="77777777" w:rsidR="00834DD0" w:rsidRPr="007F41E1" w:rsidRDefault="00834DD0" w:rsidP="00834DD0">
      <w:pPr>
        <w:pStyle w:val="Prrafodelista"/>
        <w:spacing w:before="240" w:after="240" w:line="360" w:lineRule="auto"/>
        <w:ind w:left="567"/>
        <w:jc w:val="both"/>
        <w:rPr>
          <w:rFonts w:ascii="Palatino Linotype" w:hAnsi="Palatino Linotype"/>
        </w:rPr>
      </w:pPr>
      <w:r w:rsidRPr="007F41E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819568C" w14:textId="77777777" w:rsidR="00834DD0" w:rsidRPr="007F41E1" w:rsidRDefault="00834DD0" w:rsidP="00834DD0">
      <w:pPr>
        <w:pStyle w:val="Prrafodelista"/>
        <w:spacing w:before="240" w:after="240" w:line="360" w:lineRule="auto"/>
        <w:ind w:left="708"/>
        <w:jc w:val="both"/>
        <w:rPr>
          <w:rFonts w:ascii="Palatino Linotype" w:hAnsi="Palatino Linotype"/>
        </w:rPr>
      </w:pPr>
    </w:p>
    <w:p w14:paraId="2F1A1805" w14:textId="77777777" w:rsidR="00834DD0" w:rsidRPr="007F41E1" w:rsidRDefault="00834DD0" w:rsidP="00834DD0">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7F41E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01B248F" w14:textId="77777777" w:rsidR="002879EC" w:rsidRPr="007F41E1" w:rsidRDefault="002879EC" w:rsidP="002879EC">
      <w:pPr>
        <w:tabs>
          <w:tab w:val="left" w:pos="426"/>
        </w:tabs>
        <w:spacing w:line="360" w:lineRule="auto"/>
        <w:jc w:val="both"/>
        <w:rPr>
          <w:rFonts w:ascii="Palatino Linotype" w:hAnsi="Palatino Linotype"/>
          <w:color w:val="000000" w:themeColor="text1"/>
          <w:sz w:val="24"/>
          <w:szCs w:val="24"/>
        </w:rPr>
      </w:pPr>
    </w:p>
    <w:p w14:paraId="0F9176A0" w14:textId="77777777" w:rsidR="005000AA" w:rsidRPr="007F41E1" w:rsidRDefault="005000AA" w:rsidP="005000AA">
      <w:pPr>
        <w:pStyle w:val="Ttulo1"/>
        <w:jc w:val="center"/>
        <w:rPr>
          <w:rFonts w:ascii="Palatino Linotype" w:hAnsi="Palatino Linotype"/>
          <w:b/>
          <w:color w:val="auto"/>
          <w:sz w:val="24"/>
          <w:szCs w:val="24"/>
        </w:rPr>
      </w:pPr>
      <w:bookmarkStart w:id="4" w:name="_Toc87549672"/>
      <w:r w:rsidRPr="007F41E1">
        <w:rPr>
          <w:rFonts w:ascii="Palatino Linotype" w:hAnsi="Palatino Linotype"/>
          <w:b/>
          <w:color w:val="auto"/>
          <w:sz w:val="24"/>
          <w:szCs w:val="24"/>
        </w:rPr>
        <w:t>CONSIDERANDO</w:t>
      </w:r>
      <w:bookmarkEnd w:id="4"/>
      <w:r w:rsidRPr="007F41E1">
        <w:rPr>
          <w:rFonts w:ascii="Palatino Linotype" w:hAnsi="Palatino Linotype"/>
          <w:b/>
          <w:color w:val="auto"/>
          <w:sz w:val="24"/>
          <w:szCs w:val="24"/>
        </w:rPr>
        <w:t xml:space="preserve"> </w:t>
      </w:r>
    </w:p>
    <w:p w14:paraId="40D03F5A" w14:textId="77777777" w:rsidR="002879EC" w:rsidRPr="007F41E1" w:rsidRDefault="002879EC" w:rsidP="002879EC">
      <w:pPr>
        <w:rPr>
          <w:sz w:val="24"/>
          <w:szCs w:val="24"/>
        </w:rPr>
      </w:pPr>
    </w:p>
    <w:p w14:paraId="1058C60B" w14:textId="77777777" w:rsidR="005000AA" w:rsidRPr="007F41E1" w:rsidRDefault="005000AA" w:rsidP="005000AA">
      <w:pPr>
        <w:pStyle w:val="Ttulo2"/>
        <w:rPr>
          <w:rFonts w:ascii="Palatino Linotype" w:hAnsi="Palatino Linotype"/>
          <w:b/>
          <w:bCs/>
          <w:color w:val="auto"/>
          <w:spacing w:val="60"/>
          <w:sz w:val="24"/>
          <w:szCs w:val="24"/>
          <w:lang w:eastAsia="en-US"/>
        </w:rPr>
      </w:pPr>
      <w:bookmarkStart w:id="5" w:name="_Toc87549673"/>
      <w:r w:rsidRPr="007F41E1">
        <w:rPr>
          <w:rFonts w:ascii="Palatino Linotype" w:hAnsi="Palatino Linotype"/>
          <w:b/>
          <w:color w:val="auto"/>
          <w:sz w:val="24"/>
          <w:szCs w:val="24"/>
        </w:rPr>
        <w:t>PRIMERO. De la competencia</w:t>
      </w:r>
      <w:bookmarkEnd w:id="5"/>
    </w:p>
    <w:p w14:paraId="38B24DFE" w14:textId="654B04D2" w:rsidR="005000AA" w:rsidRPr="007F41E1"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F41E1">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41E1">
        <w:rPr>
          <w:rFonts w:ascii="Palatino Linotype" w:eastAsia="Calibri" w:hAnsi="Palatino Linotype"/>
          <w:b/>
          <w:sz w:val="24"/>
          <w:lang w:val="es-ES"/>
        </w:rPr>
        <w:t>Constitución Política de los Estados Unidos Mexicanos</w:t>
      </w:r>
      <w:r w:rsidRPr="007F41E1">
        <w:rPr>
          <w:rFonts w:ascii="Palatino Linotype" w:eastAsia="Calibri" w:hAnsi="Palatino Linotype"/>
          <w:sz w:val="24"/>
          <w:lang w:val="es-ES"/>
        </w:rPr>
        <w:t xml:space="preserve">; 5, párrafos </w:t>
      </w:r>
      <w:r w:rsidR="00537686" w:rsidRPr="007F41E1">
        <w:rPr>
          <w:rFonts w:ascii="Palatino Linotype" w:eastAsia="Calibri" w:hAnsi="Palatino Linotype"/>
          <w:sz w:val="24"/>
          <w:lang w:val="es-ES"/>
        </w:rPr>
        <w:t xml:space="preserve">trigésimo primero, </w:t>
      </w:r>
      <w:r w:rsidRPr="007F41E1">
        <w:rPr>
          <w:rFonts w:ascii="Palatino Linotype" w:hAnsi="Palatino Linotype" w:cs="Arial"/>
          <w:bCs/>
          <w:color w:val="222222"/>
          <w:sz w:val="24"/>
          <w:lang w:val="es-ES"/>
        </w:rPr>
        <w:t>trigésimo</w:t>
      </w:r>
      <w:r w:rsidR="00537686" w:rsidRPr="007F41E1">
        <w:rPr>
          <w:rFonts w:ascii="Palatino Linotype" w:hAnsi="Palatino Linotype" w:cs="Arial"/>
          <w:bCs/>
          <w:color w:val="222222"/>
          <w:sz w:val="24"/>
          <w:lang w:val="es-ES"/>
        </w:rPr>
        <w:t xml:space="preserve"> segundo,</w:t>
      </w:r>
      <w:r w:rsidRPr="007F41E1">
        <w:rPr>
          <w:rFonts w:ascii="Palatino Linotype" w:hAnsi="Palatino Linotype" w:cs="Arial"/>
          <w:bCs/>
          <w:color w:val="222222"/>
          <w:sz w:val="24"/>
          <w:lang w:val="es-ES"/>
        </w:rPr>
        <w:t xml:space="preserve"> trigésimo </w:t>
      </w:r>
      <w:r w:rsidR="00537686" w:rsidRPr="007F41E1">
        <w:rPr>
          <w:rFonts w:ascii="Palatino Linotype" w:hAnsi="Palatino Linotype" w:cs="Arial"/>
          <w:bCs/>
          <w:color w:val="222222"/>
          <w:sz w:val="24"/>
          <w:lang w:val="es-ES"/>
        </w:rPr>
        <w:t>tercero</w:t>
      </w:r>
      <w:r w:rsidRPr="007F41E1">
        <w:rPr>
          <w:rFonts w:ascii="Palatino Linotype" w:hAnsi="Palatino Linotype" w:cs="Arial"/>
          <w:bCs/>
          <w:color w:val="222222"/>
          <w:sz w:val="24"/>
          <w:lang w:val="es-ES"/>
        </w:rPr>
        <w:t xml:space="preserve"> fracciones</w:t>
      </w:r>
      <w:r w:rsidRPr="007F41E1">
        <w:rPr>
          <w:rFonts w:ascii="Palatino Linotype" w:eastAsia="Calibri" w:hAnsi="Palatino Linotype"/>
          <w:sz w:val="24"/>
          <w:lang w:val="es-ES"/>
        </w:rPr>
        <w:t xml:space="preserve"> IV y V de la </w:t>
      </w:r>
      <w:r w:rsidRPr="007F41E1">
        <w:rPr>
          <w:rFonts w:ascii="Palatino Linotype" w:eastAsia="Calibri" w:hAnsi="Palatino Linotype"/>
          <w:b/>
          <w:sz w:val="24"/>
          <w:lang w:val="es-ES"/>
        </w:rPr>
        <w:t>Constitución Política del Estado Libre y Soberano de México</w:t>
      </w:r>
      <w:r w:rsidRPr="007F41E1">
        <w:rPr>
          <w:rFonts w:ascii="Palatino Linotype" w:eastAsia="Calibri" w:hAnsi="Palatino Linotype"/>
          <w:sz w:val="24"/>
          <w:lang w:val="es-ES"/>
        </w:rPr>
        <w:t xml:space="preserve">; artículos 1, 2 fracción II, 13, 29, 36 fracciones I y II, 176, 178, 179, 181 párrafo tercero y 185 </w:t>
      </w:r>
      <w:r w:rsidRPr="007F41E1">
        <w:rPr>
          <w:rFonts w:ascii="Palatino Linotype" w:eastAsia="Calibri" w:hAnsi="Palatino Linotype" w:cs="Arial"/>
          <w:sz w:val="24"/>
          <w:lang w:val="es-ES"/>
        </w:rPr>
        <w:t xml:space="preserve">de la </w:t>
      </w:r>
      <w:r w:rsidRPr="007F41E1">
        <w:rPr>
          <w:rFonts w:ascii="Palatino Linotype" w:eastAsia="Calibri" w:hAnsi="Palatino Linotype" w:cs="Arial"/>
          <w:b/>
          <w:sz w:val="24"/>
          <w:lang w:val="es-ES"/>
        </w:rPr>
        <w:t>Ley de Transparencia y Acceso a la Información Pública del Estado de México y Municipios</w:t>
      </w:r>
      <w:r w:rsidRPr="007F41E1">
        <w:rPr>
          <w:rFonts w:ascii="Palatino Linotype" w:eastAsia="Calibri" w:hAnsi="Palatino Linotype" w:cs="Arial"/>
          <w:sz w:val="24"/>
          <w:lang w:val="es-ES"/>
        </w:rPr>
        <w:t xml:space="preserve">; y 7, 9 fracciones </w:t>
      </w:r>
      <w:r w:rsidRPr="007F41E1">
        <w:rPr>
          <w:rFonts w:ascii="Palatino Linotype" w:eastAsia="Calibri" w:hAnsi="Palatino Linotype" w:cs="Arial"/>
          <w:sz w:val="24"/>
          <w:lang w:val="es-ES"/>
        </w:rPr>
        <w:lastRenderedPageBreak/>
        <w:t xml:space="preserve">I y XXIV, y 11 del </w:t>
      </w:r>
      <w:r w:rsidRPr="007F41E1">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F41E1">
        <w:rPr>
          <w:rFonts w:ascii="Palatino Linotype" w:hAnsi="Palatino Linotype"/>
          <w:sz w:val="24"/>
        </w:rPr>
        <w:t>.</w:t>
      </w:r>
    </w:p>
    <w:p w14:paraId="6D296A9A" w14:textId="77777777" w:rsidR="005000AA" w:rsidRPr="007F41E1" w:rsidRDefault="005000AA" w:rsidP="005000AA">
      <w:pPr>
        <w:pStyle w:val="Ttulo2"/>
        <w:rPr>
          <w:rFonts w:ascii="Palatino Linotype" w:hAnsi="Palatino Linotype"/>
          <w:b/>
          <w:color w:val="auto"/>
          <w:sz w:val="24"/>
          <w:szCs w:val="24"/>
        </w:rPr>
      </w:pPr>
      <w:bookmarkStart w:id="6" w:name="_Toc87549674"/>
      <w:r w:rsidRPr="007F41E1">
        <w:rPr>
          <w:rFonts w:ascii="Palatino Linotype" w:hAnsi="Palatino Linotype"/>
          <w:b/>
          <w:color w:val="auto"/>
          <w:sz w:val="24"/>
          <w:szCs w:val="24"/>
        </w:rPr>
        <w:t>SEGUNDO. De la oportunidad y procedencia.</w:t>
      </w:r>
      <w:bookmarkEnd w:id="6"/>
    </w:p>
    <w:p w14:paraId="53051EF8" w14:textId="77777777" w:rsidR="00BC6FDD" w:rsidRPr="007F41E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F41E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7F41E1">
        <w:rPr>
          <w:rFonts w:ascii="Palatino Linotype" w:eastAsia="Calibri" w:hAnsi="Palatino Linotype" w:cs="Arial"/>
          <w:b/>
          <w:sz w:val="24"/>
          <w:szCs w:val="24"/>
          <w:lang w:val="es-ES"/>
        </w:rPr>
        <w:t>SUJETO OBLIGADO</w:t>
      </w:r>
      <w:r w:rsidRPr="007F41E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7F41E1"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7F41E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F41E1">
        <w:rPr>
          <w:rFonts w:ascii="Palatino Linotype" w:eastAsia="Calibri" w:hAnsi="Palatino Linotype" w:cs="Arial"/>
          <w:sz w:val="24"/>
          <w:szCs w:val="24"/>
          <w:lang w:val="es-ES"/>
        </w:rPr>
        <w:t xml:space="preserve">Por ende, se constituye la figura jurídica de la </w:t>
      </w:r>
      <w:r w:rsidRPr="007F41E1">
        <w:rPr>
          <w:rFonts w:ascii="Palatino Linotype" w:eastAsia="Calibri" w:hAnsi="Palatino Linotype" w:cs="Arial"/>
          <w:i/>
          <w:sz w:val="24"/>
          <w:szCs w:val="24"/>
          <w:lang w:val="es-ES"/>
        </w:rPr>
        <w:t>negativa ficta</w:t>
      </w:r>
      <w:r w:rsidRPr="007F41E1">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7F41E1">
        <w:rPr>
          <w:rFonts w:ascii="Palatino Linotype" w:eastAsia="Calibri" w:hAnsi="Palatino Linotype" w:cs="Arial"/>
          <w:b/>
          <w:sz w:val="24"/>
          <w:szCs w:val="24"/>
          <w:lang w:val="es-ES"/>
        </w:rPr>
        <w:t>178</w:t>
      </w:r>
      <w:r w:rsidRPr="007F41E1">
        <w:rPr>
          <w:rFonts w:ascii="Palatino Linotype" w:eastAsia="Calibri" w:hAnsi="Palatino Linotype" w:cs="Arial"/>
          <w:sz w:val="24"/>
          <w:szCs w:val="24"/>
          <w:lang w:val="es-ES"/>
        </w:rPr>
        <w:t xml:space="preserve"> segundo párrafo de </w:t>
      </w:r>
      <w:r w:rsidRPr="007F41E1">
        <w:rPr>
          <w:rFonts w:ascii="Palatino Linotype" w:eastAsia="Calibri" w:hAnsi="Palatino Linotype" w:cs="Arial"/>
          <w:b/>
          <w:sz w:val="24"/>
          <w:szCs w:val="24"/>
          <w:lang w:val="es-ES"/>
        </w:rPr>
        <w:t>Ley de Transparencia y Acceso a la Información Pública del Estado de México y Municipios</w:t>
      </w:r>
      <w:r w:rsidRPr="007F41E1">
        <w:rPr>
          <w:rFonts w:ascii="Palatino Linotype" w:eastAsia="Calibri" w:hAnsi="Palatino Linotype"/>
          <w:color w:val="000000"/>
          <w:sz w:val="24"/>
          <w:szCs w:val="24"/>
          <w:shd w:val="clear" w:color="auto" w:fill="FFFFFF"/>
        </w:rPr>
        <w:t xml:space="preserve">, que dispone; ante la falta de respuesta del </w:t>
      </w:r>
      <w:r w:rsidRPr="007F41E1">
        <w:rPr>
          <w:rFonts w:ascii="Palatino Linotype" w:eastAsia="Calibri" w:hAnsi="Palatino Linotype"/>
          <w:b/>
          <w:color w:val="000000"/>
          <w:sz w:val="24"/>
          <w:szCs w:val="24"/>
          <w:shd w:val="clear" w:color="auto" w:fill="FFFFFF"/>
        </w:rPr>
        <w:t>SUJETO OBLIGADO,</w:t>
      </w:r>
      <w:r w:rsidRPr="007F41E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7F41E1">
        <w:rPr>
          <w:rFonts w:ascii="Palatino Linotype" w:eastAsia="Calibri" w:hAnsi="Palatino Linotype"/>
          <w:b/>
          <w:color w:val="000000"/>
          <w:sz w:val="24"/>
          <w:szCs w:val="24"/>
          <w:shd w:val="clear" w:color="auto" w:fill="FFFFFF"/>
        </w:rPr>
        <w:t xml:space="preserve">podrá ser interpuesto en cualquier momento. </w:t>
      </w:r>
    </w:p>
    <w:p w14:paraId="0CA02E95" w14:textId="77777777" w:rsidR="00BC6FDD" w:rsidRPr="007F41E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7F41E1">
        <w:rPr>
          <w:rFonts w:ascii="Palatino Linotype" w:eastAsia="Calibri" w:hAnsi="Palatino Linotype" w:cs="Arial"/>
          <w:sz w:val="24"/>
          <w:szCs w:val="24"/>
          <w:lang w:val="es-ES"/>
        </w:rPr>
        <w:lastRenderedPageBreak/>
        <w:t xml:space="preserve">Por lo que, tratándose de la </w:t>
      </w:r>
      <w:r w:rsidRPr="007F41E1">
        <w:rPr>
          <w:rFonts w:ascii="Palatino Linotype" w:eastAsia="Calibri" w:hAnsi="Palatino Linotype" w:cs="Arial"/>
          <w:i/>
          <w:sz w:val="24"/>
          <w:szCs w:val="24"/>
          <w:lang w:val="es-ES"/>
        </w:rPr>
        <w:t>negativa ficta</w:t>
      </w:r>
      <w:r w:rsidRPr="007F41E1">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F41E1">
        <w:rPr>
          <w:rFonts w:ascii="Palatino Linotype" w:eastAsia="Calibri" w:hAnsi="Palatino Linotype" w:cs="Arial"/>
          <w:i/>
          <w:sz w:val="24"/>
          <w:szCs w:val="24"/>
          <w:lang w:val="es-ES"/>
        </w:rPr>
        <w:t>negativa ficta</w:t>
      </w:r>
      <w:r w:rsidRPr="007F41E1">
        <w:rPr>
          <w:rFonts w:ascii="Palatino Linotype" w:eastAsia="Calibri" w:hAnsi="Palatino Linotype" w:cs="Arial"/>
          <w:sz w:val="24"/>
          <w:szCs w:val="24"/>
          <w:lang w:val="es-ES"/>
        </w:rPr>
        <w:t>, que señala:</w:t>
      </w:r>
    </w:p>
    <w:p w14:paraId="7827B0A4" w14:textId="77777777" w:rsidR="00BC6FDD" w:rsidRPr="007F41E1"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7F41E1">
        <w:rPr>
          <w:rFonts w:ascii="Palatino Linotype" w:eastAsia="Calibri" w:hAnsi="Palatino Linotype" w:cs="Arial"/>
          <w:b/>
          <w:sz w:val="22"/>
          <w:szCs w:val="24"/>
          <w:lang w:val="es-ES"/>
        </w:rPr>
        <w:t>Criterio 0001-15</w:t>
      </w:r>
    </w:p>
    <w:p w14:paraId="25B06B5B" w14:textId="77777777" w:rsidR="00BC6FDD" w:rsidRPr="007F41E1"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7F41E1">
        <w:rPr>
          <w:rFonts w:ascii="Palatino Linotype" w:eastAsia="Calibri" w:hAnsi="Palatino Linotype" w:cs="Arial"/>
          <w:b/>
          <w:i/>
          <w:sz w:val="22"/>
          <w:szCs w:val="24"/>
          <w:lang w:val="es-ES"/>
        </w:rPr>
        <w:t>NEGATIVA FICTA. PLAZO PARA INTERPONER EL RECURSO DE REVISIÓN TRATÁNDOSE DE.</w:t>
      </w:r>
      <w:r w:rsidRPr="007F41E1">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7F41E1">
        <w:rPr>
          <w:rFonts w:ascii="Palatino Linotype" w:eastAsia="Calibri" w:hAnsi="Palatino Linotype" w:cs="Arial"/>
          <w:i/>
          <w:sz w:val="22"/>
          <w:szCs w:val="24"/>
          <w:lang w:val="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7F41E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7F41E1">
        <w:rPr>
          <w:rFonts w:ascii="Palatino Linotype" w:hAnsi="Palatino Linotype" w:cs="Arial"/>
          <w:color w:val="000000" w:themeColor="text1"/>
          <w:sz w:val="24"/>
          <w:szCs w:val="24"/>
          <w:lang w:val="es-ES" w:eastAsia="es-MX"/>
        </w:rPr>
        <w:t xml:space="preserve">Lo anterior, se explica porque la </w:t>
      </w:r>
      <w:r w:rsidRPr="007F41E1">
        <w:rPr>
          <w:rFonts w:ascii="Palatino Linotype" w:hAnsi="Palatino Linotype" w:cs="Arial"/>
          <w:b/>
          <w:color w:val="000000" w:themeColor="text1"/>
          <w:sz w:val="24"/>
          <w:szCs w:val="24"/>
          <w:u w:val="single"/>
          <w:lang w:val="es-ES" w:eastAsia="es-MX"/>
        </w:rPr>
        <w:t>posible ausencia</w:t>
      </w:r>
      <w:r w:rsidRPr="007F41E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F41E1">
        <w:rPr>
          <w:rFonts w:ascii="Palatino Linotype" w:hAnsi="Palatino Linotype" w:cs="Arial"/>
          <w:b/>
          <w:color w:val="000000" w:themeColor="text1"/>
          <w:sz w:val="24"/>
          <w:szCs w:val="24"/>
          <w:lang w:val="es-ES" w:eastAsia="es-MX"/>
        </w:rPr>
        <w:t>SUJETO OBLIGADO</w:t>
      </w:r>
      <w:r w:rsidRPr="007F41E1">
        <w:rPr>
          <w:rFonts w:ascii="Palatino Linotype" w:hAnsi="Palatino Linotype" w:cs="Arial"/>
          <w:color w:val="000000" w:themeColor="text1"/>
          <w:sz w:val="24"/>
          <w:szCs w:val="24"/>
          <w:lang w:val="es-ES" w:eastAsia="es-MX"/>
        </w:rPr>
        <w:t>.</w:t>
      </w:r>
    </w:p>
    <w:p w14:paraId="0B46B46C" w14:textId="77777777" w:rsidR="00BC6FDD" w:rsidRPr="007F41E1"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7F41E1"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7F41E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2BB4B04C" w:rsidR="005000AA" w:rsidRPr="007F41E1" w:rsidRDefault="005000AA" w:rsidP="005000AA">
      <w:pPr>
        <w:pStyle w:val="Ttulo1"/>
        <w:rPr>
          <w:rFonts w:ascii="Palatino Linotype" w:eastAsia="MS Mincho" w:hAnsi="Palatino Linotype" w:cs="Times New Roman"/>
          <w:b/>
          <w:color w:val="auto"/>
          <w:sz w:val="24"/>
          <w:szCs w:val="24"/>
        </w:rPr>
      </w:pPr>
      <w:bookmarkStart w:id="7" w:name="_Toc87549675"/>
      <w:r w:rsidRPr="007F41E1">
        <w:rPr>
          <w:rFonts w:ascii="Palatino Linotype" w:hAnsi="Palatino Linotype"/>
          <w:b/>
          <w:color w:val="auto"/>
          <w:sz w:val="24"/>
          <w:szCs w:val="24"/>
        </w:rPr>
        <w:t xml:space="preserve">TERCERO. </w:t>
      </w:r>
      <w:r w:rsidR="006D6B50" w:rsidRPr="007F41E1">
        <w:rPr>
          <w:rFonts w:ascii="Palatino Linotype" w:hAnsi="Palatino Linotype"/>
          <w:b/>
          <w:color w:val="auto"/>
          <w:sz w:val="24"/>
          <w:szCs w:val="24"/>
        </w:rPr>
        <w:t xml:space="preserve">Del </w:t>
      </w:r>
      <w:r w:rsidR="001A18BD" w:rsidRPr="007F41E1">
        <w:rPr>
          <w:rFonts w:ascii="Palatino Linotype" w:hAnsi="Palatino Linotype"/>
          <w:b/>
          <w:color w:val="auto"/>
          <w:sz w:val="24"/>
          <w:szCs w:val="24"/>
        </w:rPr>
        <w:t>Planteamiento de la Litis</w:t>
      </w:r>
      <w:bookmarkEnd w:id="7"/>
      <w:r w:rsidRPr="007F41E1">
        <w:rPr>
          <w:rFonts w:ascii="Palatino Linotype" w:hAnsi="Palatino Linotype"/>
          <w:b/>
          <w:color w:val="auto"/>
          <w:sz w:val="24"/>
          <w:szCs w:val="24"/>
        </w:rPr>
        <w:t xml:space="preserve"> </w:t>
      </w:r>
    </w:p>
    <w:p w14:paraId="3DC4CDF7" w14:textId="1AF93F90" w:rsidR="00396CF5" w:rsidRPr="007F41E1"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F41E1">
        <w:rPr>
          <w:rFonts w:ascii="Palatino Linotype" w:hAnsi="Palatino Linotype"/>
          <w:bCs/>
          <w:sz w:val="24"/>
        </w:rPr>
        <w:t>El recurrente solicitó</w:t>
      </w:r>
      <w:r w:rsidR="00495DAC" w:rsidRPr="007F41E1">
        <w:rPr>
          <w:rFonts w:ascii="Palatino Linotype" w:hAnsi="Palatino Linotype"/>
          <w:bCs/>
          <w:sz w:val="24"/>
        </w:rPr>
        <w:t xml:space="preserve"> lo siguiente:</w:t>
      </w:r>
    </w:p>
    <w:p w14:paraId="670825C4" w14:textId="77777777" w:rsidR="004934A5" w:rsidRPr="007F41E1" w:rsidRDefault="004934A5" w:rsidP="004934A5">
      <w:pPr>
        <w:pStyle w:val="Prrafodelista"/>
        <w:spacing w:before="240" w:after="240" w:line="360" w:lineRule="auto"/>
        <w:ind w:left="0" w:right="49"/>
        <w:jc w:val="both"/>
        <w:rPr>
          <w:rFonts w:ascii="Palatino Linotype" w:hAnsi="Palatino Linotype"/>
          <w:i/>
          <w:lang w:eastAsia="es-MX"/>
        </w:rPr>
      </w:pPr>
    </w:p>
    <w:p w14:paraId="63322FE2" w14:textId="77777777" w:rsidR="00537686" w:rsidRPr="007F41E1" w:rsidRDefault="00537686" w:rsidP="00537686">
      <w:pPr>
        <w:pStyle w:val="Prrafodelista"/>
        <w:numPr>
          <w:ilvl w:val="0"/>
          <w:numId w:val="6"/>
        </w:numPr>
        <w:tabs>
          <w:tab w:val="left" w:pos="284"/>
        </w:tabs>
        <w:spacing w:before="240" w:after="240" w:line="360" w:lineRule="auto"/>
        <w:ind w:right="822"/>
        <w:jc w:val="both"/>
        <w:rPr>
          <w:rFonts w:ascii="Palatino Linotype" w:eastAsiaTheme="minorEastAsia" w:hAnsi="Palatino Linotype"/>
          <w:iCs/>
          <w:lang w:val="es-ES_tradnl"/>
        </w:rPr>
      </w:pPr>
      <w:r w:rsidRPr="007F41E1">
        <w:rPr>
          <w:rFonts w:ascii="Palatino Linotype" w:eastAsiaTheme="minorEastAsia" w:hAnsi="Palatino Linotype"/>
          <w:iCs/>
          <w:lang w:val="es-ES_tradnl"/>
        </w:rPr>
        <w:t>Solicito el contrato digitalizado versión pública de la obra denominada " Suministro e Instalación de Luminarias LED en todo el Municipio"</w:t>
      </w:r>
    </w:p>
    <w:p w14:paraId="47F626A1" w14:textId="77777777" w:rsidR="00374D86" w:rsidRPr="007F41E1" w:rsidRDefault="00374D86"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p>
    <w:p w14:paraId="49EC6DB9" w14:textId="7DF948EE" w:rsidR="00616297" w:rsidRPr="007F41E1"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F41E1">
        <w:rPr>
          <w:rFonts w:ascii="Palatino Linotype" w:eastAsiaTheme="minorEastAsia" w:hAnsi="Palatino Linotype"/>
          <w:iCs/>
          <w:sz w:val="24"/>
          <w:lang w:val="es-ES_tradnl"/>
        </w:rPr>
        <w:t xml:space="preserve">El Sujeto Obligado </w:t>
      </w:r>
      <w:r w:rsidR="00912ED6" w:rsidRPr="007F41E1">
        <w:rPr>
          <w:rFonts w:ascii="Palatino Linotype" w:eastAsiaTheme="minorEastAsia" w:hAnsi="Palatino Linotype"/>
          <w:iCs/>
          <w:sz w:val="24"/>
          <w:lang w:val="es-ES_tradnl"/>
        </w:rPr>
        <w:t>fue omiso en dar respuesta a la solicitud.</w:t>
      </w:r>
    </w:p>
    <w:p w14:paraId="675FA98C" w14:textId="5F6FD7AF" w:rsidR="00616297" w:rsidRPr="007F41E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F41E1">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7F41E1">
        <w:rPr>
          <w:rFonts w:ascii="Palatino Linotype" w:hAnsi="Palatino Linotype"/>
          <w:sz w:val="24"/>
          <w:szCs w:val="24"/>
          <w:lang w:val="es-ES_tradnl"/>
        </w:rPr>
        <w:t>actualiza las causales de procedencia</w:t>
      </w:r>
      <w:r w:rsidRPr="007F41E1">
        <w:rPr>
          <w:rFonts w:ascii="Palatino Linotype" w:hAnsi="Palatino Linotype"/>
          <w:b/>
          <w:sz w:val="24"/>
          <w:szCs w:val="24"/>
          <w:lang w:val="es-ES_tradnl"/>
        </w:rPr>
        <w:t xml:space="preserve"> </w:t>
      </w:r>
      <w:r w:rsidRPr="007F41E1">
        <w:rPr>
          <w:rFonts w:ascii="Palatino Linotype" w:hAnsi="Palatino Linotype" w:cs="Arial"/>
          <w:sz w:val="24"/>
          <w:szCs w:val="24"/>
          <w:lang w:val="es-ES_tradnl" w:eastAsia="es-MX"/>
        </w:rPr>
        <w:t xml:space="preserve">contenidas en </w:t>
      </w:r>
      <w:r w:rsidRPr="007F41E1">
        <w:rPr>
          <w:rFonts w:ascii="Palatino Linotype" w:hAnsi="Palatino Linotype" w:cs="Arial"/>
          <w:sz w:val="24"/>
          <w:szCs w:val="24"/>
          <w:lang w:val="es-ES" w:eastAsia="es-MX"/>
        </w:rPr>
        <w:t>el artículo 179 fracciones V</w:t>
      </w:r>
      <w:r w:rsidR="00912ED6" w:rsidRPr="007F41E1">
        <w:rPr>
          <w:rFonts w:ascii="Palatino Linotype" w:hAnsi="Palatino Linotype" w:cs="Arial"/>
          <w:sz w:val="24"/>
          <w:szCs w:val="24"/>
          <w:lang w:val="es-ES" w:eastAsia="es-MX"/>
        </w:rPr>
        <w:t>II</w:t>
      </w:r>
      <w:r w:rsidRPr="007F41E1">
        <w:rPr>
          <w:rFonts w:ascii="Palatino Linotype" w:hAnsi="Palatino Linotype" w:cs="Arial"/>
          <w:sz w:val="24"/>
          <w:szCs w:val="24"/>
          <w:lang w:val="es-ES" w:eastAsia="es-MX"/>
        </w:rPr>
        <w:t xml:space="preserve"> de la </w:t>
      </w:r>
      <w:r w:rsidRPr="007F41E1">
        <w:rPr>
          <w:rFonts w:ascii="Palatino Linotype" w:eastAsia="Calibri" w:hAnsi="Palatino Linotype" w:cs="Arial"/>
          <w:b/>
          <w:sz w:val="24"/>
          <w:szCs w:val="24"/>
          <w:lang w:val="es-ES"/>
        </w:rPr>
        <w:t>Ley de Transparencia y Acceso a la Información Pública del Estado de México y Municipios</w:t>
      </w:r>
      <w:r w:rsidRPr="007F41E1">
        <w:rPr>
          <w:rFonts w:ascii="Palatino Linotype" w:hAnsi="Palatino Linotype" w:cs="Arial"/>
          <w:sz w:val="24"/>
          <w:szCs w:val="24"/>
          <w:lang w:val="es-ES" w:eastAsia="es-MX"/>
        </w:rPr>
        <w:t>.</w:t>
      </w:r>
    </w:p>
    <w:p w14:paraId="01DB98EB" w14:textId="3D3C867C" w:rsidR="001A18BD" w:rsidRPr="007F41E1" w:rsidRDefault="001A18BD" w:rsidP="001A18BD">
      <w:pPr>
        <w:pStyle w:val="Ttulo1"/>
        <w:rPr>
          <w:rFonts w:ascii="Palatino Linotype" w:eastAsiaTheme="minorEastAsia" w:hAnsi="Palatino Linotype"/>
          <w:i/>
          <w:sz w:val="24"/>
          <w:szCs w:val="24"/>
          <w:lang w:val="es-ES_tradnl"/>
        </w:rPr>
      </w:pPr>
      <w:r w:rsidRPr="007F41E1">
        <w:rPr>
          <w:rFonts w:ascii="Palatino Linotype" w:hAnsi="Palatino Linotype"/>
          <w:b/>
          <w:color w:val="auto"/>
          <w:sz w:val="24"/>
          <w:szCs w:val="24"/>
        </w:rPr>
        <w:t>CUARTO. Del estudio y resolución</w:t>
      </w:r>
    </w:p>
    <w:p w14:paraId="30671737" w14:textId="77777777" w:rsidR="000E3BE7" w:rsidRPr="007F41E1" w:rsidRDefault="000E3BE7" w:rsidP="000E3BE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r w:rsidRPr="007F41E1">
        <w:rPr>
          <w:rFonts w:ascii="Palatino Linotype" w:hAnsi="Palatino Linotype"/>
          <w:b/>
          <w:bCs/>
          <w:color w:val="000000" w:themeColor="text1"/>
          <w:sz w:val="24"/>
        </w:rPr>
        <w:t>I. De la atención a la solicitud de información.</w:t>
      </w:r>
      <w:bookmarkEnd w:id="8"/>
    </w:p>
    <w:p w14:paraId="7DF257FE" w14:textId="272D9A79" w:rsidR="000E3BE7" w:rsidRPr="007F41E1" w:rsidRDefault="000E3BE7" w:rsidP="00A64E94">
      <w:pPr>
        <w:pStyle w:val="Ttulo2"/>
        <w:numPr>
          <w:ilvl w:val="0"/>
          <w:numId w:val="16"/>
        </w:numPr>
        <w:spacing w:line="259" w:lineRule="auto"/>
        <w:rPr>
          <w:rFonts w:ascii="Palatino Linotype" w:hAnsi="Palatino Linotype"/>
          <w:b/>
          <w:color w:val="auto"/>
          <w:sz w:val="24"/>
          <w:szCs w:val="24"/>
        </w:rPr>
      </w:pPr>
      <w:bookmarkStart w:id="9" w:name="_Toc59195561"/>
      <w:bookmarkStart w:id="10" w:name="_Toc83830727"/>
      <w:bookmarkStart w:id="11" w:name="_Toc85112350"/>
      <w:bookmarkStart w:id="12" w:name="_Toc27141117"/>
      <w:bookmarkStart w:id="13" w:name="_Toc4061684"/>
      <w:r w:rsidRPr="007F41E1">
        <w:rPr>
          <w:rFonts w:ascii="Palatino Linotype" w:hAnsi="Palatino Linotype"/>
          <w:b/>
          <w:color w:val="auto"/>
          <w:sz w:val="24"/>
          <w:szCs w:val="24"/>
        </w:rPr>
        <w:t>De la fuente obligacional</w:t>
      </w:r>
      <w:bookmarkEnd w:id="9"/>
      <w:bookmarkEnd w:id="10"/>
      <w:bookmarkEnd w:id="11"/>
    </w:p>
    <w:bookmarkEnd w:id="12"/>
    <w:bookmarkEnd w:id="13"/>
    <w:p w14:paraId="5526A242" w14:textId="77777777" w:rsidR="000E3BE7" w:rsidRPr="007F41E1" w:rsidRDefault="000E3BE7" w:rsidP="000E3BE7">
      <w:pPr>
        <w:rPr>
          <w:sz w:val="24"/>
          <w:szCs w:val="24"/>
          <w:lang w:val="es-ES"/>
        </w:rPr>
      </w:pPr>
    </w:p>
    <w:p w14:paraId="462BA8E6" w14:textId="77777777" w:rsidR="000E3BE7" w:rsidRPr="007F41E1" w:rsidRDefault="000E3BE7" w:rsidP="000E3BE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F41E1">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F41E1">
        <w:rPr>
          <w:rFonts w:ascii="Palatino Linotype" w:hAnsi="Palatino Linotype" w:cs="Arial"/>
          <w:color w:val="000000"/>
          <w:sz w:val="24"/>
          <w:szCs w:val="24"/>
        </w:rPr>
        <w:t xml:space="preserve"> </w:t>
      </w:r>
      <w:r w:rsidRPr="007F41E1">
        <w:rPr>
          <w:rFonts w:ascii="Palatino Linotype" w:hAnsi="Palatino Linotype" w:cs="Arial"/>
          <w:b/>
          <w:color w:val="000000"/>
          <w:sz w:val="24"/>
          <w:szCs w:val="24"/>
        </w:rPr>
        <w:t>SUJETO OBLIGADO</w:t>
      </w:r>
      <w:r w:rsidRPr="007F41E1">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F41E1">
        <w:rPr>
          <w:rFonts w:ascii="Palatino Linotype" w:hAnsi="Palatino Linotype" w:cs="Arial"/>
          <w:b/>
          <w:color w:val="000000"/>
          <w:sz w:val="24"/>
          <w:szCs w:val="24"/>
        </w:rPr>
        <w:t xml:space="preserve">Constitución Política de los Estados Unidos Mexicanos </w:t>
      </w:r>
      <w:r w:rsidRPr="007F41E1">
        <w:rPr>
          <w:rFonts w:ascii="Palatino Linotype" w:hAnsi="Palatino Linotype" w:cs="Arial"/>
          <w:color w:val="000000"/>
          <w:sz w:val="24"/>
          <w:szCs w:val="24"/>
        </w:rPr>
        <w:t xml:space="preserve">al señalar la obligación de “promover, </w:t>
      </w:r>
      <w:r w:rsidRPr="007F41E1">
        <w:rPr>
          <w:rFonts w:ascii="Palatino Linotype" w:hAnsi="Palatino Linotype" w:cs="Arial"/>
          <w:b/>
          <w:color w:val="000000"/>
          <w:sz w:val="24"/>
          <w:szCs w:val="24"/>
        </w:rPr>
        <w:t>respetar</w:t>
      </w:r>
      <w:r w:rsidRPr="007F41E1">
        <w:rPr>
          <w:rFonts w:ascii="Palatino Linotype" w:hAnsi="Palatino Linotype" w:cs="Arial"/>
          <w:color w:val="000000"/>
          <w:sz w:val="24"/>
          <w:szCs w:val="24"/>
        </w:rPr>
        <w:t xml:space="preserve">, proteger y </w:t>
      </w:r>
      <w:r w:rsidRPr="007F41E1">
        <w:rPr>
          <w:rFonts w:ascii="Palatino Linotype" w:hAnsi="Palatino Linotype" w:cs="Arial"/>
          <w:b/>
          <w:color w:val="000000"/>
          <w:sz w:val="24"/>
          <w:szCs w:val="24"/>
        </w:rPr>
        <w:t>garantizar</w:t>
      </w:r>
      <w:r w:rsidRPr="007F41E1">
        <w:rPr>
          <w:rFonts w:ascii="Palatino Linotype" w:hAnsi="Palatino Linotype" w:cs="Arial"/>
          <w:color w:val="000000"/>
          <w:sz w:val="24"/>
          <w:szCs w:val="24"/>
        </w:rPr>
        <w:t xml:space="preserve"> los derechos humanos”, entre los cuales se encuentra dicho derecho. </w:t>
      </w:r>
    </w:p>
    <w:p w14:paraId="13FB611D" w14:textId="77777777" w:rsidR="000E3BE7" w:rsidRPr="007F41E1" w:rsidRDefault="000E3BE7" w:rsidP="000E3BE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2DC95C0B" w14:textId="77777777" w:rsidR="000E3BE7" w:rsidRPr="007F41E1"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F41E1">
        <w:rPr>
          <w:rFonts w:ascii="Palatino Linotype" w:hAnsi="Palatino Linotype"/>
          <w:sz w:val="24"/>
          <w:szCs w:val="24"/>
        </w:rPr>
        <w:lastRenderedPageBreak/>
        <w:t xml:space="preserve">Definiendo el Derecho de Acceso a la Información Pública como: </w:t>
      </w:r>
      <w:r w:rsidRPr="007F41E1">
        <w:rPr>
          <w:rFonts w:ascii="Palatino Linotype" w:hAnsi="Palatino Linotype"/>
          <w:i/>
          <w:color w:val="000000"/>
          <w:sz w:val="24"/>
          <w:szCs w:val="24"/>
        </w:rPr>
        <w:t>La igualdad de oportunidades para recibir, buscar e impartir información</w:t>
      </w:r>
      <w:r w:rsidRPr="007F41E1">
        <w:rPr>
          <w:rFonts w:ascii="Palatino Linotype" w:hAnsi="Palatino Linotype"/>
          <w:i/>
          <w:color w:val="000000"/>
          <w:sz w:val="24"/>
          <w:szCs w:val="24"/>
          <w:vertAlign w:val="superscript"/>
        </w:rPr>
        <w:footnoteReference w:id="1"/>
      </w:r>
      <w:r w:rsidRPr="007F41E1">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41E1">
        <w:rPr>
          <w:rFonts w:ascii="Palatino Linotype" w:hAnsi="Palatino Linotype"/>
          <w:i/>
          <w:color w:val="000000"/>
          <w:sz w:val="24"/>
          <w:szCs w:val="24"/>
          <w:vertAlign w:val="superscript"/>
        </w:rPr>
        <w:footnoteReference w:id="2"/>
      </w:r>
      <w:r w:rsidRPr="007F41E1">
        <w:rPr>
          <w:rFonts w:ascii="Palatino Linotype" w:hAnsi="Palatino Linotype"/>
          <w:color w:val="000000"/>
          <w:sz w:val="24"/>
          <w:szCs w:val="24"/>
        </w:rPr>
        <w:t>que se constituye como una herramienta fundamental para ejercer</w:t>
      </w:r>
      <w:r w:rsidRPr="007F41E1">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F41E1">
        <w:rPr>
          <w:rFonts w:ascii="Palatino Linotype" w:hAnsi="Palatino Linotype"/>
          <w:i/>
          <w:color w:val="000000"/>
          <w:sz w:val="24"/>
          <w:szCs w:val="24"/>
          <w:vertAlign w:val="superscript"/>
        </w:rPr>
        <w:footnoteReference w:id="3"/>
      </w:r>
      <w:r w:rsidRPr="007F41E1">
        <w:rPr>
          <w:rFonts w:ascii="Palatino Linotype" w:hAnsi="Palatino Linotype"/>
          <w:color w:val="000000"/>
          <w:sz w:val="24"/>
          <w:szCs w:val="24"/>
        </w:rPr>
        <w:t>fomentando</w:t>
      </w:r>
      <w:r w:rsidRPr="007F41E1">
        <w:rPr>
          <w:rFonts w:ascii="Palatino Linotype" w:hAnsi="Palatino Linotype"/>
          <w:i/>
          <w:color w:val="000000"/>
          <w:sz w:val="24"/>
          <w:szCs w:val="24"/>
        </w:rPr>
        <w:t xml:space="preserve"> la transparencia de las actividades estatales y </w:t>
      </w:r>
      <w:r w:rsidRPr="007F41E1">
        <w:rPr>
          <w:rFonts w:ascii="Palatino Linotype" w:hAnsi="Palatino Linotype"/>
          <w:color w:val="000000"/>
          <w:sz w:val="24"/>
          <w:szCs w:val="24"/>
        </w:rPr>
        <w:t>promoviendo</w:t>
      </w:r>
      <w:r w:rsidRPr="007F41E1">
        <w:rPr>
          <w:rFonts w:ascii="Palatino Linotype" w:hAnsi="Palatino Linotype"/>
          <w:i/>
          <w:color w:val="000000"/>
          <w:sz w:val="24"/>
          <w:szCs w:val="24"/>
        </w:rPr>
        <w:t xml:space="preserve"> la responsabilidad de los funcionarios sobre su gestión pública,</w:t>
      </w:r>
      <w:r w:rsidRPr="007F41E1">
        <w:rPr>
          <w:rFonts w:ascii="Palatino Linotype" w:hAnsi="Palatino Linotype"/>
          <w:i/>
          <w:color w:val="000000"/>
          <w:sz w:val="24"/>
          <w:szCs w:val="24"/>
          <w:vertAlign w:val="superscript"/>
        </w:rPr>
        <w:footnoteReference w:id="4"/>
      </w:r>
      <w:r w:rsidRPr="007F41E1">
        <w:rPr>
          <w:rFonts w:ascii="Palatino Linotype" w:hAnsi="Palatino Linotype"/>
          <w:color w:val="000000"/>
          <w:sz w:val="24"/>
          <w:szCs w:val="24"/>
        </w:rPr>
        <w:t>que permite</w:t>
      </w:r>
      <w:r w:rsidRPr="007F41E1">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20DCE8EA" w14:textId="77777777" w:rsidR="000E3BE7" w:rsidRPr="007F41E1" w:rsidRDefault="000E3BE7" w:rsidP="000E3BE7">
      <w:pPr>
        <w:tabs>
          <w:tab w:val="left" w:pos="284"/>
        </w:tabs>
        <w:contextualSpacing/>
        <w:rPr>
          <w:rFonts w:ascii="Palatino Linotype" w:hAnsi="Palatino Linotype"/>
          <w:sz w:val="24"/>
          <w:szCs w:val="24"/>
        </w:rPr>
      </w:pPr>
    </w:p>
    <w:p w14:paraId="55E02775" w14:textId="77777777" w:rsidR="000E3BE7" w:rsidRPr="007F41E1"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F41E1">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56942A" w14:textId="77777777" w:rsidR="000E3BE7" w:rsidRPr="007F41E1" w:rsidRDefault="000E3BE7" w:rsidP="000E3BE7">
      <w:pPr>
        <w:tabs>
          <w:tab w:val="left" w:pos="284"/>
        </w:tabs>
        <w:spacing w:before="240" w:after="240" w:line="360" w:lineRule="auto"/>
        <w:contextualSpacing/>
        <w:jc w:val="both"/>
        <w:rPr>
          <w:rFonts w:ascii="Palatino Linotype" w:hAnsi="Palatino Linotype"/>
          <w:i/>
          <w:sz w:val="24"/>
          <w:szCs w:val="24"/>
        </w:rPr>
      </w:pPr>
      <w:r w:rsidRPr="007F41E1">
        <w:rPr>
          <w:rFonts w:ascii="Palatino Linotype" w:hAnsi="Palatino Linotype"/>
          <w:i/>
          <w:sz w:val="24"/>
          <w:szCs w:val="24"/>
        </w:rPr>
        <w:t xml:space="preserve"> </w:t>
      </w:r>
    </w:p>
    <w:p w14:paraId="7B7ECEDE" w14:textId="77777777" w:rsidR="000E3BE7" w:rsidRPr="007F41E1" w:rsidRDefault="000E3BE7" w:rsidP="000E3BE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F41E1">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F41E1">
        <w:rPr>
          <w:rFonts w:ascii="Palatino Linotype" w:hAnsi="Palatino Linotype" w:cs="Arial"/>
          <w:i/>
          <w:sz w:val="24"/>
          <w:szCs w:val="24"/>
        </w:rPr>
        <w:t>por los principios de simplicidad, rapidez gratuidad del procedimiento, auxilio y orientación a los particulares</w:t>
      </w:r>
      <w:r w:rsidRPr="007F41E1">
        <w:rPr>
          <w:rFonts w:ascii="Palatino Linotype" w:hAnsi="Palatino Linotype" w:cs="Arial"/>
          <w:sz w:val="24"/>
          <w:szCs w:val="24"/>
        </w:rPr>
        <w:t xml:space="preserve">, contemplando el derecho de las personas con discapacidad y hablantes de lengua indígena. </w:t>
      </w:r>
    </w:p>
    <w:p w14:paraId="4AD32305" w14:textId="77777777" w:rsidR="000E3BE7" w:rsidRPr="007F41E1" w:rsidRDefault="000E3BE7" w:rsidP="000E3BE7">
      <w:pPr>
        <w:tabs>
          <w:tab w:val="left" w:pos="284"/>
        </w:tabs>
        <w:spacing w:before="240" w:after="240" w:line="360" w:lineRule="auto"/>
        <w:contextualSpacing/>
        <w:jc w:val="both"/>
        <w:rPr>
          <w:rFonts w:ascii="Palatino Linotype" w:hAnsi="Palatino Linotype"/>
          <w:sz w:val="24"/>
          <w:szCs w:val="24"/>
        </w:rPr>
      </w:pPr>
    </w:p>
    <w:p w14:paraId="20F340C6" w14:textId="77777777" w:rsidR="000E3BE7" w:rsidRPr="007F41E1"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F41E1">
        <w:rPr>
          <w:rFonts w:ascii="Palatino Linotype" w:hAnsi="Palatino Linotype"/>
          <w:sz w:val="24"/>
          <w:szCs w:val="24"/>
        </w:rPr>
        <w:t xml:space="preserve">Es así que la </w:t>
      </w:r>
      <w:r w:rsidRPr="007F41E1">
        <w:rPr>
          <w:rFonts w:ascii="Palatino Linotype" w:hAnsi="Palatino Linotype"/>
          <w:b/>
          <w:sz w:val="24"/>
          <w:szCs w:val="24"/>
        </w:rPr>
        <w:t xml:space="preserve">Ley de Transparencia y Acceso a la Información Pública del Estado de México y Municipios, </w:t>
      </w:r>
      <w:r w:rsidRPr="007F41E1">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F41E1">
        <w:rPr>
          <w:rFonts w:ascii="Palatino Linotype" w:hAnsi="Palatino Linotype"/>
          <w:b/>
          <w:sz w:val="24"/>
          <w:szCs w:val="24"/>
        </w:rPr>
        <w:t xml:space="preserve"> </w:t>
      </w:r>
      <w:r w:rsidRPr="007F41E1">
        <w:rPr>
          <w:rFonts w:ascii="Palatino Linotype" w:hAnsi="Palatino Linotype"/>
          <w:sz w:val="24"/>
          <w:szCs w:val="24"/>
        </w:rPr>
        <w:t xml:space="preserve">establece que </w:t>
      </w:r>
      <w:r w:rsidRPr="007F41E1">
        <w:rPr>
          <w:rFonts w:ascii="Palatino Linotype" w:hAnsi="Palatino Linotype"/>
          <w:b/>
          <w:i/>
          <w:sz w:val="24"/>
          <w:szCs w:val="24"/>
          <w:u w:val="single"/>
        </w:rPr>
        <w:t>el recurso de revisión es la garantía secundaria</w:t>
      </w:r>
      <w:r w:rsidRPr="007F41E1">
        <w:rPr>
          <w:rFonts w:ascii="Palatino Linotype" w:hAnsi="Palatino Linotype"/>
          <w:b/>
          <w:i/>
          <w:sz w:val="24"/>
          <w:szCs w:val="24"/>
        </w:rPr>
        <w:t xml:space="preserve"> mediante la cual se pretende reparar cualquier posible afectación al derecho de acceso a la información pública</w:t>
      </w:r>
      <w:r w:rsidRPr="007F41E1">
        <w:rPr>
          <w:rFonts w:ascii="Palatino Linotype" w:hAnsi="Palatino Linotype"/>
          <w:b/>
          <w:sz w:val="24"/>
          <w:szCs w:val="24"/>
        </w:rPr>
        <w:t>, s</w:t>
      </w:r>
      <w:r w:rsidRPr="007F41E1">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F08AA1F" w14:textId="77777777" w:rsidR="000E3BE7" w:rsidRPr="007F41E1" w:rsidRDefault="000E3BE7" w:rsidP="000E3BE7">
      <w:pPr>
        <w:tabs>
          <w:tab w:val="left" w:pos="284"/>
        </w:tabs>
        <w:rPr>
          <w:rFonts w:ascii="Palatino Linotype" w:eastAsia="MS Mincho" w:hAnsi="Palatino Linotype" w:cs="Arial"/>
          <w:sz w:val="24"/>
          <w:szCs w:val="24"/>
        </w:rPr>
      </w:pPr>
    </w:p>
    <w:p w14:paraId="7A7337F5" w14:textId="77777777" w:rsidR="000E3BE7" w:rsidRPr="007F41E1" w:rsidRDefault="000E3BE7" w:rsidP="000E3BE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F41E1">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F41E1">
        <w:rPr>
          <w:rFonts w:ascii="Palatino Linotype" w:eastAsia="Calibri" w:hAnsi="Palatino Linotype"/>
          <w:b/>
          <w:sz w:val="24"/>
          <w:szCs w:val="24"/>
        </w:rPr>
        <w:t>fundadas y procedentes</w:t>
      </w:r>
      <w:r w:rsidRPr="007F41E1">
        <w:rPr>
          <w:rFonts w:ascii="Palatino Linotype" w:eastAsia="Calibri" w:hAnsi="Palatino Linotype"/>
          <w:sz w:val="24"/>
          <w:szCs w:val="24"/>
        </w:rPr>
        <w:t xml:space="preserve">, debido a que el </w:t>
      </w:r>
      <w:r w:rsidRPr="007F41E1">
        <w:rPr>
          <w:rFonts w:ascii="Palatino Linotype" w:eastAsia="Calibri" w:hAnsi="Palatino Linotype"/>
          <w:b/>
          <w:sz w:val="24"/>
          <w:szCs w:val="24"/>
        </w:rPr>
        <w:t>SUJETO OBLIGADO</w:t>
      </w:r>
      <w:r w:rsidRPr="007F41E1">
        <w:rPr>
          <w:rFonts w:ascii="Palatino Linotype" w:eastAsia="Calibri" w:hAnsi="Palatino Linotype"/>
          <w:sz w:val="24"/>
          <w:szCs w:val="24"/>
        </w:rPr>
        <w:t xml:space="preserve"> proporcionó información que no corresponde con lo solicitado.</w:t>
      </w:r>
    </w:p>
    <w:p w14:paraId="3136A3E5" w14:textId="77777777" w:rsidR="000E3BE7" w:rsidRPr="007F41E1" w:rsidRDefault="000E3BE7" w:rsidP="000E3BE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F41E1">
        <w:rPr>
          <w:rFonts w:ascii="Palatino Linotype" w:hAnsi="Palatino Linotype" w:cs="Arial"/>
          <w:sz w:val="24"/>
        </w:rPr>
        <w:lastRenderedPageBreak/>
        <w:t xml:space="preserve">Ahora bien, para entender los alcances de la información pública se considera importante citar el criterio </w:t>
      </w:r>
      <w:r w:rsidRPr="007F41E1">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F41E1">
        <w:rPr>
          <w:rFonts w:ascii="Palatino Linotype" w:hAnsi="Palatino Linotype" w:cs="Arial"/>
          <w:sz w:val="24"/>
        </w:rPr>
        <w:t>cuyo rubro y texto dispone:</w:t>
      </w:r>
    </w:p>
    <w:p w14:paraId="183A65A1" w14:textId="77777777" w:rsidR="000E3BE7" w:rsidRPr="007F41E1" w:rsidRDefault="000E3BE7" w:rsidP="000E3BE7">
      <w:pPr>
        <w:pStyle w:val="Prrafodelista"/>
        <w:autoSpaceDE w:val="0"/>
        <w:autoSpaceDN w:val="0"/>
        <w:adjustRightInd w:val="0"/>
        <w:spacing w:line="360" w:lineRule="auto"/>
        <w:ind w:left="0"/>
        <w:jc w:val="both"/>
        <w:rPr>
          <w:rFonts w:ascii="Palatino Linotype" w:hAnsi="Palatino Linotype" w:cs="Arial"/>
        </w:rPr>
      </w:pPr>
    </w:p>
    <w:p w14:paraId="13599860" w14:textId="77777777" w:rsidR="000E3BE7" w:rsidRPr="007F41E1" w:rsidRDefault="000E3BE7" w:rsidP="000E3BE7">
      <w:pPr>
        <w:autoSpaceDE w:val="0"/>
        <w:autoSpaceDN w:val="0"/>
        <w:adjustRightInd w:val="0"/>
        <w:ind w:left="567" w:right="567"/>
        <w:jc w:val="both"/>
        <w:rPr>
          <w:rFonts w:ascii="Palatino Linotype" w:hAnsi="Palatino Linotype" w:cs="Arial"/>
          <w:b/>
          <w:i/>
          <w:sz w:val="22"/>
          <w:szCs w:val="24"/>
          <w:lang w:eastAsia="es-MX"/>
        </w:rPr>
      </w:pPr>
      <w:r w:rsidRPr="007F41E1">
        <w:rPr>
          <w:rFonts w:ascii="Palatino Linotype" w:hAnsi="Palatino Linotype" w:cs="Arial"/>
          <w:b/>
          <w:i/>
          <w:sz w:val="22"/>
          <w:szCs w:val="24"/>
          <w:lang w:eastAsia="es-MX"/>
        </w:rPr>
        <w:t>“CRITERIO 0002-11</w:t>
      </w:r>
    </w:p>
    <w:p w14:paraId="6F3747E8" w14:textId="77777777" w:rsidR="000E3BE7" w:rsidRPr="007F41E1"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7F41E1">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F41E1">
        <w:rPr>
          <w:rFonts w:ascii="Palatino Linotype" w:hAnsi="Palatino Linotype" w:cs="Arial"/>
          <w:b/>
          <w:bCs/>
          <w:i/>
          <w:sz w:val="22"/>
          <w:szCs w:val="24"/>
          <w:lang w:eastAsia="es-MX"/>
        </w:rPr>
        <w:t xml:space="preserve">V, XV, Y XVI, </w:t>
      </w:r>
      <w:r w:rsidRPr="007F41E1">
        <w:rPr>
          <w:rFonts w:ascii="Palatino Linotype" w:hAnsi="Palatino Linotype" w:cs="Arial"/>
          <w:b/>
          <w:i/>
          <w:sz w:val="22"/>
          <w:szCs w:val="24"/>
          <w:lang w:eastAsia="es-MX"/>
        </w:rPr>
        <w:t>3, 4,11 Y 41.</w:t>
      </w:r>
      <w:r w:rsidRPr="007F41E1">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E6F7D" w14:textId="77777777" w:rsidR="000E3BE7" w:rsidRPr="007F41E1"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7F41E1">
        <w:rPr>
          <w:rFonts w:ascii="Palatino Linotype" w:hAnsi="Palatino Linotype" w:cs="Arial"/>
          <w:i/>
          <w:sz w:val="22"/>
          <w:szCs w:val="24"/>
          <w:lang w:eastAsia="es-MX"/>
        </w:rPr>
        <w:t>En consecuencia el acceso a la información se refiere a que se cumplan cualquiera de los siguientes tres supuestos:</w:t>
      </w:r>
    </w:p>
    <w:p w14:paraId="2897F0F1" w14:textId="77777777" w:rsidR="000E3BE7" w:rsidRPr="007F41E1"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7F41E1">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680321EB" w14:textId="77777777" w:rsidR="000E3BE7" w:rsidRPr="007F41E1" w:rsidRDefault="000E3BE7" w:rsidP="000E3BE7">
      <w:pPr>
        <w:autoSpaceDE w:val="0"/>
        <w:autoSpaceDN w:val="0"/>
        <w:adjustRightInd w:val="0"/>
        <w:ind w:left="567" w:right="567"/>
        <w:jc w:val="both"/>
        <w:rPr>
          <w:rFonts w:ascii="Palatino Linotype" w:hAnsi="Palatino Linotype" w:cs="Arial"/>
          <w:i/>
          <w:sz w:val="22"/>
          <w:szCs w:val="24"/>
          <w:lang w:eastAsia="es-MX"/>
        </w:rPr>
      </w:pPr>
      <w:r w:rsidRPr="007F41E1">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5B392270" w14:textId="77777777" w:rsidR="000E3BE7" w:rsidRPr="007F41E1" w:rsidRDefault="000E3BE7" w:rsidP="000E3BE7">
      <w:pPr>
        <w:ind w:left="567" w:right="567"/>
        <w:jc w:val="both"/>
        <w:rPr>
          <w:rFonts w:ascii="Palatino Linotype" w:hAnsi="Palatino Linotype" w:cs="Arial"/>
          <w:i/>
          <w:color w:val="000000" w:themeColor="text1"/>
          <w:sz w:val="22"/>
          <w:szCs w:val="24"/>
        </w:rPr>
      </w:pPr>
      <w:r w:rsidRPr="007F41E1">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39EB1C5F" w14:textId="77777777" w:rsidR="000E3BE7" w:rsidRPr="007F41E1"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0BAC41C1" w14:textId="77777777" w:rsidR="000E3BE7" w:rsidRPr="007F41E1" w:rsidRDefault="000E3BE7" w:rsidP="000E3BE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F41E1">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A634966"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i/>
          <w:sz w:val="22"/>
          <w:szCs w:val="24"/>
          <w:lang w:val="es-ES"/>
        </w:rPr>
      </w:pPr>
      <w:r w:rsidRPr="007F41E1">
        <w:rPr>
          <w:rFonts w:ascii="Palatino Linotype" w:eastAsiaTheme="minorHAnsi" w:hAnsi="Palatino Linotype" w:cs="Bookman Old Style,Bold"/>
          <w:b/>
          <w:bCs/>
          <w:i/>
          <w:sz w:val="22"/>
          <w:szCs w:val="24"/>
          <w:lang w:eastAsia="en-US"/>
        </w:rPr>
        <w:lastRenderedPageBreak/>
        <w:t xml:space="preserve">XI. Documento: </w:t>
      </w:r>
      <w:r w:rsidRPr="007F41E1">
        <w:rPr>
          <w:rFonts w:ascii="Palatino Linotype" w:eastAsiaTheme="minorHAnsi" w:hAnsi="Palatino Linotype" w:cs="Bookman Old Style"/>
          <w:i/>
          <w:sz w:val="22"/>
          <w:szCs w:val="24"/>
          <w:lang w:eastAsia="en-US"/>
        </w:rPr>
        <w:t xml:space="preserve">Los expedientes, reportes, estudios, actas, resoluciones, </w:t>
      </w:r>
      <w:r w:rsidRPr="007F41E1">
        <w:rPr>
          <w:rFonts w:ascii="Palatino Linotype" w:eastAsiaTheme="minorHAnsi" w:hAnsi="Palatino Linotype" w:cs="Bookman Old Style"/>
          <w:b/>
          <w:i/>
          <w:sz w:val="22"/>
          <w:szCs w:val="24"/>
          <w:lang w:eastAsia="en-US"/>
        </w:rPr>
        <w:t>oficios,</w:t>
      </w:r>
      <w:r w:rsidRPr="007F41E1">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F41E1">
        <w:rPr>
          <w:rFonts w:ascii="Palatino Linotype" w:eastAsiaTheme="minorHAnsi" w:hAnsi="Palatino Linotype" w:cs="Bookman Old Style"/>
          <w:b/>
          <w:i/>
          <w:sz w:val="22"/>
          <w:szCs w:val="24"/>
          <w:lang w:eastAsia="en-US"/>
        </w:rPr>
        <w:t>cualquier otro registro</w:t>
      </w:r>
      <w:r w:rsidRPr="007F41E1">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3C869" w14:textId="77777777" w:rsidR="000E3BE7" w:rsidRPr="007F41E1"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722C55BC" w14:textId="77777777" w:rsidR="000E3BE7" w:rsidRPr="007F41E1"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F41E1">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E1F539" w14:textId="77777777" w:rsidR="000E3BE7" w:rsidRPr="007F41E1" w:rsidRDefault="000E3BE7" w:rsidP="000E3BE7">
      <w:pPr>
        <w:pStyle w:val="Prrafodelista"/>
        <w:spacing w:line="360" w:lineRule="auto"/>
        <w:ind w:left="0"/>
        <w:jc w:val="both"/>
        <w:rPr>
          <w:rFonts w:ascii="Palatino Linotype" w:eastAsia="Calibri" w:hAnsi="Palatino Linotype" w:cs="Arial"/>
          <w:sz w:val="24"/>
        </w:rPr>
      </w:pPr>
    </w:p>
    <w:p w14:paraId="5C896326" w14:textId="77777777" w:rsidR="000E3BE7" w:rsidRPr="007F41E1"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7F41E1">
        <w:rPr>
          <w:rFonts w:ascii="Palatino Linotype" w:hAnsi="Palatino Linotype"/>
          <w:color w:val="000000" w:themeColor="text1"/>
          <w:sz w:val="24"/>
        </w:rPr>
        <w:t xml:space="preserve">Resulta necesario referir que, el </w:t>
      </w:r>
      <w:r w:rsidRPr="007F41E1">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F41E1">
        <w:rPr>
          <w:rFonts w:ascii="Palatino Linotype" w:eastAsia="Calibri" w:hAnsi="Palatino Linotype" w:cs="Arial"/>
          <w:b/>
          <w:sz w:val="24"/>
        </w:rPr>
        <w:t>los Sujetos Obligados deberán documentar todo acto que se derive del ejercicio de sus facultades, competencias o funciones,</w:t>
      </w:r>
      <w:r w:rsidRPr="007F41E1">
        <w:rPr>
          <w:rFonts w:ascii="Palatino Linotype" w:eastAsia="Calibri" w:hAnsi="Palatino Linotype" w:cs="Arial"/>
          <w:sz w:val="24"/>
        </w:rPr>
        <w:t xml:space="preserve"> considerando desde su origen la eventual publicidad y reutilización de la información que generen, posean o administren.</w:t>
      </w:r>
    </w:p>
    <w:p w14:paraId="1DAD81AC" w14:textId="77777777" w:rsidR="000E3BE7" w:rsidRPr="007F41E1" w:rsidRDefault="000E3BE7" w:rsidP="000E3BE7">
      <w:pPr>
        <w:pStyle w:val="Prrafodelista"/>
        <w:rPr>
          <w:rFonts w:ascii="Palatino Linotype" w:eastAsia="Calibri" w:hAnsi="Palatino Linotype" w:cs="Arial"/>
          <w:sz w:val="24"/>
        </w:rPr>
      </w:pPr>
    </w:p>
    <w:p w14:paraId="2454674C" w14:textId="77777777" w:rsidR="000E3BE7" w:rsidRPr="007F41E1"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7F41E1">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550B90D8" w14:textId="77777777" w:rsidR="000E3BE7" w:rsidRPr="007F41E1" w:rsidRDefault="000E3BE7" w:rsidP="000E3BE7">
      <w:pPr>
        <w:pStyle w:val="Prrafodelista"/>
        <w:spacing w:line="360" w:lineRule="auto"/>
        <w:rPr>
          <w:rFonts w:ascii="Palatino Linotype" w:hAnsi="Palatino Linotype" w:cs="Arial"/>
          <w:color w:val="000000"/>
        </w:rPr>
      </w:pPr>
    </w:p>
    <w:p w14:paraId="37C09E30"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7F41E1">
        <w:rPr>
          <w:rFonts w:ascii="Palatino Linotype" w:hAnsi="Palatino Linotype" w:cs="Bookman Old Style,Bold"/>
          <w:b/>
          <w:bCs/>
          <w:i/>
          <w:sz w:val="22"/>
          <w:szCs w:val="24"/>
        </w:rPr>
        <w:t xml:space="preserve">Artículo 4. </w:t>
      </w:r>
      <w:r w:rsidRPr="007F41E1">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73816A9B"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7F41E1">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3ADFA"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p>
    <w:p w14:paraId="2796186D"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7F41E1">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4433E7D0"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Arial"/>
          <w:i/>
          <w:color w:val="000000"/>
          <w:sz w:val="22"/>
          <w:szCs w:val="24"/>
        </w:rPr>
      </w:pPr>
    </w:p>
    <w:p w14:paraId="1650E4B7"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i/>
          <w:sz w:val="22"/>
          <w:szCs w:val="24"/>
        </w:rPr>
      </w:pPr>
      <w:r w:rsidRPr="007F41E1">
        <w:rPr>
          <w:rFonts w:ascii="Palatino Linotype" w:hAnsi="Palatino Linotype" w:cs="Bookman Old Style,Bold"/>
          <w:b/>
          <w:bCs/>
          <w:i/>
          <w:sz w:val="22"/>
          <w:szCs w:val="24"/>
        </w:rPr>
        <w:t xml:space="preserve">Artículo 12. </w:t>
      </w:r>
      <w:r w:rsidRPr="007F41E1">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38630544"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b/>
          <w:i/>
          <w:sz w:val="22"/>
          <w:szCs w:val="24"/>
        </w:rPr>
      </w:pPr>
      <w:r w:rsidRPr="007F41E1">
        <w:rPr>
          <w:rFonts w:ascii="Palatino Linotype" w:hAnsi="Palatino Linotype" w:cs="Bookman Old Style"/>
          <w:i/>
          <w:sz w:val="22"/>
          <w:szCs w:val="24"/>
        </w:rPr>
        <w:lastRenderedPageBreak/>
        <w:t xml:space="preserve">Los sujetos obligados sólo proporcionarán la información pública que se les requiera y que obre en sus archivos y en el estado en que ésta se encuentre. </w:t>
      </w:r>
      <w:r w:rsidRPr="007F41E1">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49CDD1CD" w14:textId="77777777" w:rsidR="000E3BE7" w:rsidRPr="007F41E1" w:rsidRDefault="000E3BE7" w:rsidP="000E3BE7">
      <w:pPr>
        <w:autoSpaceDE w:val="0"/>
        <w:autoSpaceDN w:val="0"/>
        <w:adjustRightInd w:val="0"/>
        <w:spacing w:line="360" w:lineRule="auto"/>
        <w:ind w:left="567" w:right="567"/>
        <w:jc w:val="both"/>
        <w:rPr>
          <w:rFonts w:ascii="Palatino Linotype" w:hAnsi="Palatino Linotype" w:cs="Bookman Old Style"/>
          <w:i/>
          <w:sz w:val="24"/>
          <w:szCs w:val="24"/>
        </w:rPr>
      </w:pPr>
    </w:p>
    <w:p w14:paraId="77F685FA" w14:textId="77777777" w:rsidR="000E3BE7" w:rsidRPr="007F41E1"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F41E1">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F41E1">
        <w:rPr>
          <w:rStyle w:val="Refdenotaalpie"/>
          <w:rFonts w:ascii="Palatino Linotype" w:hAnsi="Palatino Linotype"/>
          <w:sz w:val="24"/>
        </w:rPr>
        <w:footnoteReference w:id="5"/>
      </w:r>
      <w:r w:rsidRPr="007F41E1">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974379B" w14:textId="77777777" w:rsidR="000E3BE7" w:rsidRPr="007F41E1"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65876307" w14:textId="77777777" w:rsidR="000E3BE7" w:rsidRPr="007F41E1"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F41E1">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5EEFA15" w14:textId="77777777" w:rsidR="000E3BE7" w:rsidRPr="007F41E1" w:rsidRDefault="000E3BE7" w:rsidP="000E3BE7">
      <w:pPr>
        <w:pStyle w:val="Prrafodelista"/>
        <w:tabs>
          <w:tab w:val="left" w:pos="851"/>
        </w:tabs>
        <w:spacing w:line="360" w:lineRule="auto"/>
        <w:ind w:left="567" w:right="567"/>
        <w:jc w:val="both"/>
        <w:rPr>
          <w:rFonts w:ascii="Palatino Linotype" w:hAnsi="Palatino Linotype"/>
          <w:i/>
        </w:rPr>
      </w:pPr>
      <w:r w:rsidRPr="007F41E1">
        <w:rPr>
          <w:rFonts w:ascii="Palatino Linotype" w:hAnsi="Palatino Linotype"/>
          <w:b/>
          <w:i/>
        </w:rPr>
        <w:lastRenderedPageBreak/>
        <w:t>ACCESO A LA INFORMACIÓN. IMPLICACIÓN DEL PRINCIPIO DE MÁXIMA PUBLICIDAD EN EL DERECHO FUNDAMENTAL RELATIVO.</w:t>
      </w:r>
      <w:r w:rsidRPr="007F41E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FCB8BF" w14:textId="77777777" w:rsidR="000E3BE7" w:rsidRPr="007F41E1" w:rsidRDefault="000E3BE7" w:rsidP="000E3BE7">
      <w:pPr>
        <w:pStyle w:val="Prrafodelista"/>
        <w:tabs>
          <w:tab w:val="left" w:pos="851"/>
        </w:tabs>
        <w:spacing w:line="360" w:lineRule="auto"/>
        <w:ind w:left="567" w:right="567"/>
        <w:jc w:val="both"/>
        <w:rPr>
          <w:rFonts w:ascii="Palatino Linotype" w:hAnsi="Palatino Linotype"/>
          <w:i/>
        </w:rPr>
      </w:pPr>
    </w:p>
    <w:p w14:paraId="794824F1" w14:textId="77777777" w:rsidR="000E3BE7" w:rsidRPr="007F41E1" w:rsidRDefault="000E3BE7" w:rsidP="000E3BE7">
      <w:pPr>
        <w:pStyle w:val="Prrafodelista"/>
        <w:tabs>
          <w:tab w:val="left" w:pos="851"/>
        </w:tabs>
        <w:spacing w:line="360" w:lineRule="auto"/>
        <w:ind w:left="567" w:right="567"/>
        <w:jc w:val="both"/>
        <w:rPr>
          <w:rFonts w:ascii="Palatino Linotype" w:hAnsi="Palatino Linotype"/>
          <w:i/>
        </w:rPr>
      </w:pPr>
      <w:r w:rsidRPr="007F41E1">
        <w:rPr>
          <w:rFonts w:ascii="Palatino Linotype" w:hAnsi="Palatino Linotype"/>
          <w:i/>
        </w:rPr>
        <w:lastRenderedPageBreak/>
        <w:t xml:space="preserve">CUARTO TRIBUNAL COLEGIADO EN MATERIA ADMINISTRATIVA DEL PRIMER CIRCUITO. </w:t>
      </w:r>
    </w:p>
    <w:p w14:paraId="5FBE1C2C" w14:textId="77777777" w:rsidR="000E3BE7" w:rsidRPr="007F41E1" w:rsidRDefault="000E3BE7" w:rsidP="000E3BE7">
      <w:pPr>
        <w:pStyle w:val="Prrafodelista"/>
        <w:tabs>
          <w:tab w:val="left" w:pos="851"/>
        </w:tabs>
        <w:spacing w:line="360" w:lineRule="auto"/>
        <w:ind w:left="567" w:right="567"/>
        <w:jc w:val="both"/>
        <w:rPr>
          <w:rFonts w:ascii="Palatino Linotype" w:hAnsi="Palatino Linotype"/>
          <w:i/>
        </w:rPr>
      </w:pPr>
    </w:p>
    <w:p w14:paraId="1B4BB01C" w14:textId="77777777" w:rsidR="000E3BE7" w:rsidRPr="007F41E1" w:rsidRDefault="000E3BE7" w:rsidP="000E3BE7">
      <w:pPr>
        <w:pStyle w:val="Prrafodelista"/>
        <w:tabs>
          <w:tab w:val="left" w:pos="851"/>
        </w:tabs>
        <w:spacing w:line="360" w:lineRule="auto"/>
        <w:ind w:left="567" w:right="567"/>
        <w:jc w:val="both"/>
        <w:rPr>
          <w:rFonts w:ascii="Palatino Linotype" w:hAnsi="Palatino Linotype"/>
          <w:i/>
        </w:rPr>
      </w:pPr>
      <w:r w:rsidRPr="007F41E1">
        <w:rPr>
          <w:rFonts w:ascii="Palatino Linotype" w:hAnsi="Palatino Linotype"/>
          <w:i/>
        </w:rPr>
        <w:t>Amparo en revisión 257/2012. Ruth Corona Muñoz. 6 de diciembre de 2012. Unanimidad de votos. Ponente: Jean Claude Tron Petit. Secretaria: Mayra Susana Martínez López.</w:t>
      </w:r>
    </w:p>
    <w:p w14:paraId="41AFD9C5" w14:textId="77777777" w:rsidR="000E3BE7" w:rsidRPr="007F41E1" w:rsidRDefault="000E3BE7" w:rsidP="000E3BE7">
      <w:pPr>
        <w:pStyle w:val="Prrafodelista"/>
        <w:tabs>
          <w:tab w:val="left" w:pos="851"/>
        </w:tabs>
        <w:ind w:left="567" w:right="567"/>
        <w:jc w:val="both"/>
        <w:rPr>
          <w:rFonts w:ascii="Palatino Linotype" w:hAnsi="Palatino Linotype"/>
          <w:i/>
          <w:sz w:val="24"/>
          <w:lang w:val="es-ES"/>
        </w:rPr>
      </w:pPr>
    </w:p>
    <w:p w14:paraId="12422BDE" w14:textId="77777777" w:rsidR="000E3BE7" w:rsidRPr="007F41E1"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F41E1">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F999A33" w14:textId="77777777" w:rsidR="000E3BE7" w:rsidRPr="007F41E1" w:rsidRDefault="000E3BE7" w:rsidP="000E3BE7">
      <w:pPr>
        <w:tabs>
          <w:tab w:val="left" w:pos="851"/>
        </w:tabs>
        <w:spacing w:line="360" w:lineRule="auto"/>
        <w:ind w:right="49"/>
        <w:jc w:val="both"/>
        <w:rPr>
          <w:rFonts w:ascii="Palatino Linotype" w:hAnsi="Palatino Linotype"/>
          <w:sz w:val="24"/>
          <w:szCs w:val="24"/>
          <w:lang w:val="es-ES"/>
        </w:rPr>
      </w:pPr>
    </w:p>
    <w:p w14:paraId="12BD52FF" w14:textId="77777777" w:rsidR="000E3BE7" w:rsidRPr="007F41E1" w:rsidRDefault="000E3BE7" w:rsidP="000E3BE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F41E1">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425CA85"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b/>
          <w:i/>
          <w:sz w:val="22"/>
          <w:szCs w:val="24"/>
        </w:rPr>
        <w:t>“Artículo 6o.</w:t>
      </w:r>
      <w:r w:rsidRPr="007F41E1">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F41E1">
        <w:rPr>
          <w:rFonts w:ascii="Palatino Linotype" w:hAnsi="Palatino Linotype" w:cs="Arial"/>
          <w:b/>
          <w:i/>
          <w:sz w:val="22"/>
          <w:szCs w:val="24"/>
        </w:rPr>
        <w:t>El derecho a la información será garantizado por el Estado.</w:t>
      </w:r>
      <w:r w:rsidRPr="007F41E1">
        <w:rPr>
          <w:rFonts w:ascii="Palatino Linotype" w:hAnsi="Palatino Linotype" w:cs="Arial"/>
          <w:i/>
          <w:sz w:val="22"/>
          <w:szCs w:val="24"/>
        </w:rPr>
        <w:t xml:space="preserve"> </w:t>
      </w:r>
    </w:p>
    <w:p w14:paraId="38D7078A"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2C490DF4"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09A914CC" w14:textId="77777777" w:rsidR="000E3BE7" w:rsidRPr="007F41E1" w:rsidRDefault="000E3BE7" w:rsidP="000E3BE7">
      <w:pPr>
        <w:spacing w:line="360" w:lineRule="auto"/>
        <w:ind w:left="567" w:right="567"/>
        <w:jc w:val="both"/>
        <w:rPr>
          <w:rFonts w:ascii="Palatino Linotype" w:hAnsi="Palatino Linotype" w:cs="Arial"/>
          <w:i/>
          <w:szCs w:val="24"/>
        </w:rPr>
      </w:pPr>
    </w:p>
    <w:p w14:paraId="368F90B4"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Para efectos de lo dispuesto en el presente artículo se observará lo siguiente:</w:t>
      </w:r>
    </w:p>
    <w:p w14:paraId="26269D43"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lastRenderedPageBreak/>
        <w:t>A. Para el ejercicio del derecho de acceso a la información, la Federación, los Estados y el Distrito Federal, en el ámbito de sus respectivas competencias, se regirán por los siguientes principios y bases:</w:t>
      </w:r>
    </w:p>
    <w:p w14:paraId="326BDECB" w14:textId="77777777" w:rsidR="000E3BE7" w:rsidRPr="007F41E1" w:rsidRDefault="000E3BE7" w:rsidP="000E3BE7">
      <w:pPr>
        <w:spacing w:line="360" w:lineRule="auto"/>
        <w:ind w:left="567" w:right="567"/>
        <w:jc w:val="both"/>
        <w:rPr>
          <w:rFonts w:ascii="Palatino Linotype" w:hAnsi="Palatino Linotype" w:cs="Arial"/>
          <w:b/>
          <w:i/>
          <w:sz w:val="22"/>
          <w:szCs w:val="24"/>
        </w:rPr>
      </w:pPr>
    </w:p>
    <w:p w14:paraId="6F4EE836"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b/>
          <w:i/>
          <w:sz w:val="22"/>
          <w:szCs w:val="24"/>
        </w:rPr>
        <w:t>I. Toda la información en posesión de</w:t>
      </w:r>
      <w:r w:rsidRPr="007F41E1">
        <w:rPr>
          <w:rFonts w:ascii="Palatino Linotype" w:hAnsi="Palatino Linotype" w:cs="Arial"/>
          <w:i/>
          <w:sz w:val="22"/>
          <w:szCs w:val="24"/>
        </w:rPr>
        <w:t xml:space="preserve"> </w:t>
      </w:r>
      <w:r w:rsidRPr="007F41E1">
        <w:rPr>
          <w:rFonts w:ascii="Palatino Linotype" w:hAnsi="Palatino Linotype" w:cs="Arial"/>
          <w:b/>
          <w:i/>
          <w:sz w:val="22"/>
          <w:szCs w:val="24"/>
        </w:rPr>
        <w:t>cualquier autoridad</w:t>
      </w:r>
      <w:r w:rsidRPr="007F41E1">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F41E1">
        <w:rPr>
          <w:rFonts w:ascii="Palatino Linotype" w:hAnsi="Palatino Linotype" w:cs="Arial"/>
          <w:b/>
          <w:i/>
          <w:sz w:val="22"/>
          <w:szCs w:val="24"/>
        </w:rPr>
        <w:t>es pública</w:t>
      </w:r>
      <w:r w:rsidRPr="007F41E1">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F41E1">
        <w:rPr>
          <w:rFonts w:ascii="Palatino Linotype" w:hAnsi="Palatino Linotype" w:cs="Arial"/>
          <w:b/>
          <w:i/>
          <w:sz w:val="22"/>
          <w:szCs w:val="24"/>
        </w:rPr>
        <w:t>Los sujetos obligados deberán documentar todo acto que derive del ejercicio de sus facultades, competencias o funciones</w:t>
      </w:r>
      <w:r w:rsidRPr="007F41E1">
        <w:rPr>
          <w:rFonts w:ascii="Palatino Linotype" w:hAnsi="Palatino Linotype" w:cs="Arial"/>
          <w:i/>
          <w:sz w:val="22"/>
          <w:szCs w:val="24"/>
        </w:rPr>
        <w:t>, la ley determinará los supuestos específicos bajo los cuales procederá la declaración de inexistencia de la información.</w:t>
      </w:r>
    </w:p>
    <w:p w14:paraId="412F50FC"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4F42A6A4"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II. La información que se refiere a la vida privada y los datos personales será protegida en los términos y con las excepciones que fijen las leyes.</w:t>
      </w:r>
    </w:p>
    <w:p w14:paraId="4AFFCC47"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524C8C72"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5DB4C449"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7ADAFA4F"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3DC1A814" w14:textId="77777777" w:rsidR="000E3BE7" w:rsidRPr="007F41E1" w:rsidRDefault="000E3BE7" w:rsidP="000E3BE7">
      <w:pPr>
        <w:spacing w:line="360" w:lineRule="auto"/>
        <w:ind w:left="567" w:right="567"/>
        <w:jc w:val="both"/>
        <w:rPr>
          <w:rFonts w:ascii="Palatino Linotype" w:hAnsi="Palatino Linotype" w:cs="Arial"/>
          <w:b/>
          <w:i/>
          <w:sz w:val="22"/>
          <w:szCs w:val="24"/>
        </w:rPr>
      </w:pPr>
    </w:p>
    <w:p w14:paraId="4959D903"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F41E1">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16E72873"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3D078DE2"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65DAE33A"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194C16E4"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VII. La inobservancia a las disposiciones en materia de acceso a la información pública será sancionada en los términos que dispongan las leyes.</w:t>
      </w:r>
    </w:p>
    <w:p w14:paraId="1716F51C" w14:textId="77777777" w:rsidR="000E3BE7" w:rsidRPr="007F41E1" w:rsidRDefault="000E3BE7" w:rsidP="000E3BE7">
      <w:pPr>
        <w:spacing w:line="360" w:lineRule="auto"/>
        <w:ind w:left="567" w:right="567"/>
        <w:jc w:val="both"/>
        <w:rPr>
          <w:rFonts w:ascii="Palatino Linotype" w:hAnsi="Palatino Linotype" w:cs="Arial"/>
          <w:i/>
          <w:sz w:val="22"/>
          <w:szCs w:val="24"/>
        </w:rPr>
      </w:pPr>
    </w:p>
    <w:p w14:paraId="66C5E333"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AA05ED"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w:t>
      </w:r>
    </w:p>
    <w:p w14:paraId="25B22C3E"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cs="Arial"/>
          <w:i/>
          <w:sz w:val="22"/>
          <w:szCs w:val="24"/>
        </w:rPr>
        <w:t>La ley establecerá aquella información que se considere reservada o confidencial.”</w:t>
      </w:r>
    </w:p>
    <w:p w14:paraId="2E8BB340"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lastRenderedPageBreak/>
        <w:t>(Énfasis añadido)</w:t>
      </w:r>
    </w:p>
    <w:p w14:paraId="40685EFD" w14:textId="77777777" w:rsidR="000E3BE7" w:rsidRPr="007F41E1" w:rsidRDefault="000E3BE7" w:rsidP="000E3BE7">
      <w:pPr>
        <w:spacing w:line="360" w:lineRule="auto"/>
        <w:ind w:left="709" w:right="757"/>
        <w:jc w:val="both"/>
        <w:rPr>
          <w:rFonts w:ascii="Palatino Linotype" w:hAnsi="Palatino Linotype"/>
          <w:sz w:val="24"/>
          <w:szCs w:val="24"/>
        </w:rPr>
      </w:pPr>
    </w:p>
    <w:p w14:paraId="7F10E759" w14:textId="77777777" w:rsidR="000E3BE7" w:rsidRPr="007F41E1"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7F41E1">
        <w:rPr>
          <w:rFonts w:ascii="Palatino Linotype" w:hAnsi="Palatino Linotype" w:cs="Arial"/>
          <w:sz w:val="24"/>
        </w:rPr>
        <w:t>Por su parte, la Constitución Política del Estado Libre y Soberano de México, en su artículo 5°, dispone en su parte conducente, lo siguiente:</w:t>
      </w:r>
    </w:p>
    <w:p w14:paraId="4688408F" w14:textId="77777777" w:rsidR="000E3BE7" w:rsidRPr="007F41E1" w:rsidRDefault="000E3BE7" w:rsidP="000E3BE7">
      <w:pPr>
        <w:spacing w:line="360" w:lineRule="auto"/>
        <w:ind w:left="709" w:right="757"/>
        <w:jc w:val="both"/>
        <w:rPr>
          <w:rFonts w:ascii="Palatino Linotype" w:hAnsi="Palatino Linotype" w:cs="Arial"/>
          <w:sz w:val="22"/>
          <w:szCs w:val="24"/>
        </w:rPr>
      </w:pPr>
    </w:p>
    <w:p w14:paraId="74219845" w14:textId="77777777" w:rsidR="000E3BE7" w:rsidRPr="007F41E1" w:rsidRDefault="000E3BE7" w:rsidP="000E3BE7">
      <w:pPr>
        <w:spacing w:line="360" w:lineRule="auto"/>
        <w:ind w:left="567" w:right="567"/>
        <w:jc w:val="both"/>
        <w:rPr>
          <w:rFonts w:ascii="Palatino Linotype" w:hAnsi="Palatino Linotype" w:cs="Arial"/>
          <w:b/>
          <w:i/>
          <w:sz w:val="22"/>
          <w:szCs w:val="24"/>
        </w:rPr>
      </w:pPr>
      <w:r w:rsidRPr="007F41E1">
        <w:rPr>
          <w:rFonts w:ascii="Palatino Linotype" w:hAnsi="Palatino Linotype" w:cs="Arial"/>
          <w:b/>
          <w:i/>
          <w:sz w:val="22"/>
          <w:szCs w:val="24"/>
        </w:rPr>
        <w:t xml:space="preserve">“Artículo 5. … </w:t>
      </w:r>
    </w:p>
    <w:p w14:paraId="47DB859A"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b/>
          <w:i/>
          <w:sz w:val="22"/>
          <w:szCs w:val="24"/>
        </w:rPr>
        <w:t>El derecho a la información será garantizado por el Estado</w:t>
      </w:r>
      <w:r w:rsidRPr="007F41E1">
        <w:rPr>
          <w:rFonts w:ascii="Palatino Linotype" w:hAnsi="Palatino Linotype"/>
          <w:i/>
          <w:sz w:val="22"/>
          <w:szCs w:val="24"/>
        </w:rPr>
        <w:t xml:space="preserve">. La ley establecerá las previsiones que permitan asegurar la protección, el respeto y la difusión de este derecho. </w:t>
      </w:r>
    </w:p>
    <w:p w14:paraId="4BA14C92"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35EE6" w14:textId="77777777" w:rsidR="000E3BE7" w:rsidRPr="007F41E1" w:rsidRDefault="000E3BE7" w:rsidP="000E3BE7">
      <w:pPr>
        <w:spacing w:line="360" w:lineRule="auto"/>
        <w:ind w:left="567" w:right="567"/>
        <w:jc w:val="both"/>
        <w:rPr>
          <w:rFonts w:ascii="Palatino Linotype" w:hAnsi="Palatino Linotype"/>
          <w:i/>
          <w:sz w:val="22"/>
          <w:szCs w:val="24"/>
        </w:rPr>
      </w:pPr>
    </w:p>
    <w:p w14:paraId="4A5C5992"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t>Este derecho se regirá por los principios y bases siguientes:</w:t>
      </w:r>
    </w:p>
    <w:p w14:paraId="53E522D6" w14:textId="77777777" w:rsidR="000E3BE7" w:rsidRPr="007F41E1" w:rsidRDefault="000E3BE7" w:rsidP="000E3BE7">
      <w:pPr>
        <w:spacing w:line="360" w:lineRule="auto"/>
        <w:ind w:left="567" w:right="567"/>
        <w:jc w:val="both"/>
        <w:rPr>
          <w:rFonts w:ascii="Palatino Linotype" w:hAnsi="Palatino Linotype"/>
          <w:b/>
          <w:i/>
          <w:sz w:val="22"/>
          <w:szCs w:val="24"/>
        </w:rPr>
      </w:pPr>
    </w:p>
    <w:p w14:paraId="18763BB2"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b/>
          <w:i/>
          <w:sz w:val="22"/>
          <w:szCs w:val="24"/>
        </w:rPr>
        <w:t xml:space="preserve">I. Toda la información en posesión </w:t>
      </w:r>
      <w:r w:rsidRPr="007F41E1">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F41E1">
        <w:rPr>
          <w:rFonts w:ascii="Palatino Linotype" w:hAnsi="Palatino Linotype"/>
          <w:b/>
          <w:i/>
          <w:sz w:val="22"/>
          <w:szCs w:val="24"/>
        </w:rPr>
        <w:t>del gobierno y de la administración pública municipal y sus organismos descentralizados</w:t>
      </w:r>
      <w:r w:rsidRPr="007F41E1">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F41E1">
        <w:rPr>
          <w:rFonts w:ascii="Palatino Linotype" w:hAnsi="Palatino Linotype"/>
          <w:b/>
          <w:i/>
          <w:sz w:val="22"/>
          <w:szCs w:val="24"/>
        </w:rPr>
        <w:t>es pública</w:t>
      </w:r>
      <w:r w:rsidRPr="007F41E1">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7F41E1">
        <w:rPr>
          <w:rFonts w:ascii="Palatino Linotype" w:hAnsi="Palatino Linotype"/>
          <w:i/>
          <w:sz w:val="22"/>
          <w:szCs w:val="24"/>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0ADCC7E0" w14:textId="77777777" w:rsidR="000E3BE7" w:rsidRPr="007F41E1" w:rsidRDefault="000E3BE7" w:rsidP="000E3BE7">
      <w:pPr>
        <w:spacing w:line="360" w:lineRule="auto"/>
        <w:ind w:left="567" w:right="567"/>
        <w:jc w:val="both"/>
        <w:rPr>
          <w:rFonts w:ascii="Palatino Linotype" w:hAnsi="Palatino Linotype"/>
          <w:i/>
          <w:sz w:val="22"/>
          <w:szCs w:val="24"/>
        </w:rPr>
      </w:pPr>
    </w:p>
    <w:p w14:paraId="52EC964B"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594EA4BE" w14:textId="77777777" w:rsidR="000E3BE7" w:rsidRPr="007F41E1" w:rsidRDefault="000E3BE7" w:rsidP="000E3BE7">
      <w:pPr>
        <w:spacing w:line="360" w:lineRule="auto"/>
        <w:ind w:left="567" w:right="567"/>
        <w:jc w:val="both"/>
        <w:rPr>
          <w:rFonts w:ascii="Palatino Linotype" w:hAnsi="Palatino Linotype"/>
          <w:i/>
          <w:sz w:val="22"/>
          <w:szCs w:val="24"/>
        </w:rPr>
      </w:pPr>
    </w:p>
    <w:p w14:paraId="391303A3"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297F4C4C" w14:textId="77777777" w:rsidR="000E3BE7" w:rsidRPr="007F41E1" w:rsidRDefault="000E3BE7" w:rsidP="000E3BE7">
      <w:pPr>
        <w:spacing w:line="360" w:lineRule="auto"/>
        <w:ind w:left="567" w:right="567"/>
        <w:jc w:val="both"/>
        <w:rPr>
          <w:rFonts w:ascii="Palatino Linotype" w:hAnsi="Palatino Linotype"/>
          <w:i/>
          <w:sz w:val="22"/>
          <w:szCs w:val="24"/>
        </w:rPr>
      </w:pPr>
    </w:p>
    <w:p w14:paraId="139ECF69"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4E87B3C7" w14:textId="77777777" w:rsidR="000E3BE7" w:rsidRPr="007F41E1" w:rsidRDefault="000E3BE7" w:rsidP="000E3BE7">
      <w:pPr>
        <w:spacing w:line="360" w:lineRule="auto"/>
        <w:ind w:left="567" w:right="567"/>
        <w:jc w:val="both"/>
        <w:rPr>
          <w:rFonts w:ascii="Palatino Linotype" w:hAnsi="Palatino Linotype"/>
          <w:i/>
          <w:sz w:val="22"/>
          <w:szCs w:val="24"/>
        </w:rPr>
      </w:pPr>
    </w:p>
    <w:p w14:paraId="4708C1D1"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0057AD" w14:textId="77777777" w:rsidR="000E3BE7" w:rsidRPr="007F41E1" w:rsidRDefault="000E3BE7" w:rsidP="000E3BE7">
      <w:pPr>
        <w:spacing w:line="360" w:lineRule="auto"/>
        <w:ind w:left="567" w:right="567"/>
        <w:jc w:val="both"/>
        <w:rPr>
          <w:rFonts w:ascii="Palatino Linotype" w:hAnsi="Palatino Linotype"/>
          <w:b/>
          <w:i/>
          <w:sz w:val="22"/>
          <w:szCs w:val="24"/>
        </w:rPr>
      </w:pPr>
    </w:p>
    <w:p w14:paraId="46305F24" w14:textId="77777777" w:rsidR="000E3BE7" w:rsidRPr="007F41E1" w:rsidRDefault="000E3BE7" w:rsidP="000E3BE7">
      <w:pPr>
        <w:spacing w:line="360" w:lineRule="auto"/>
        <w:ind w:left="567" w:right="567"/>
        <w:jc w:val="both"/>
        <w:rPr>
          <w:rFonts w:ascii="Palatino Linotype" w:hAnsi="Palatino Linotype"/>
          <w:i/>
          <w:sz w:val="22"/>
          <w:szCs w:val="24"/>
        </w:rPr>
      </w:pPr>
      <w:r w:rsidRPr="007F41E1">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7F41E1">
        <w:rPr>
          <w:rFonts w:ascii="Palatino Linotype" w:hAnsi="Palatino Linotype"/>
          <w:i/>
          <w:sz w:val="22"/>
          <w:szCs w:val="24"/>
        </w:rPr>
        <w:t xml:space="preserve"> y los indicadores que permitan rendir cuenta del cumplimiento de sus objetivos y los resultados obtenidos.</w:t>
      </w:r>
    </w:p>
    <w:p w14:paraId="48BEB302" w14:textId="77777777" w:rsidR="000E3BE7" w:rsidRPr="007F41E1" w:rsidRDefault="000E3BE7" w:rsidP="000E3BE7">
      <w:pPr>
        <w:spacing w:line="360" w:lineRule="auto"/>
        <w:ind w:left="567" w:right="567"/>
        <w:jc w:val="both"/>
        <w:rPr>
          <w:rFonts w:ascii="Palatino Linotype" w:hAnsi="Palatino Linotype"/>
          <w:i/>
          <w:sz w:val="22"/>
          <w:szCs w:val="24"/>
        </w:rPr>
      </w:pPr>
    </w:p>
    <w:p w14:paraId="56E61FC7" w14:textId="77777777" w:rsidR="000E3BE7" w:rsidRPr="007F41E1" w:rsidRDefault="000E3BE7" w:rsidP="000E3BE7">
      <w:pPr>
        <w:spacing w:line="360" w:lineRule="auto"/>
        <w:ind w:left="567" w:right="567"/>
        <w:jc w:val="both"/>
        <w:rPr>
          <w:rFonts w:ascii="Palatino Linotype" w:hAnsi="Palatino Linotype" w:cs="Arial"/>
          <w:i/>
          <w:sz w:val="22"/>
          <w:szCs w:val="24"/>
        </w:rPr>
      </w:pPr>
      <w:r w:rsidRPr="007F41E1">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555DFD25" w14:textId="77777777" w:rsidR="000E3BE7" w:rsidRPr="007F41E1" w:rsidRDefault="000E3BE7" w:rsidP="000E3BE7">
      <w:pPr>
        <w:spacing w:line="360" w:lineRule="auto"/>
        <w:ind w:left="567" w:right="567"/>
        <w:jc w:val="both"/>
        <w:rPr>
          <w:rFonts w:ascii="Palatino Linotype" w:hAnsi="Palatino Linotype"/>
          <w:sz w:val="22"/>
          <w:szCs w:val="24"/>
        </w:rPr>
      </w:pPr>
    </w:p>
    <w:p w14:paraId="11C544D8" w14:textId="77777777" w:rsidR="000E3BE7" w:rsidRPr="007F41E1" w:rsidRDefault="000E3BE7" w:rsidP="000E3BE7">
      <w:pPr>
        <w:spacing w:line="360" w:lineRule="auto"/>
        <w:ind w:left="567" w:right="567"/>
        <w:jc w:val="both"/>
        <w:rPr>
          <w:rFonts w:ascii="Palatino Linotype" w:hAnsi="Palatino Linotype"/>
          <w:sz w:val="22"/>
          <w:szCs w:val="24"/>
        </w:rPr>
      </w:pPr>
      <w:r w:rsidRPr="007F41E1">
        <w:rPr>
          <w:rFonts w:ascii="Palatino Linotype" w:hAnsi="Palatino Linotype"/>
          <w:sz w:val="22"/>
          <w:szCs w:val="24"/>
        </w:rPr>
        <w:t>(Énfasis añadido)</w:t>
      </w:r>
    </w:p>
    <w:p w14:paraId="57EEC21F" w14:textId="77777777" w:rsidR="000E3BE7" w:rsidRPr="007F41E1" w:rsidRDefault="000E3BE7" w:rsidP="000E3BE7">
      <w:pPr>
        <w:spacing w:line="360" w:lineRule="auto"/>
        <w:ind w:left="567" w:right="567"/>
        <w:jc w:val="both"/>
        <w:rPr>
          <w:rFonts w:ascii="Palatino Linotype" w:hAnsi="Palatino Linotype"/>
          <w:sz w:val="24"/>
          <w:szCs w:val="24"/>
        </w:rPr>
      </w:pPr>
    </w:p>
    <w:p w14:paraId="7D9A0D2E" w14:textId="77777777" w:rsidR="000E3BE7" w:rsidRPr="007F41E1"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7F41E1">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F88976" w14:textId="77777777" w:rsidR="000E3BE7" w:rsidRPr="007F41E1" w:rsidRDefault="000E3BE7" w:rsidP="000E3BE7">
      <w:pPr>
        <w:spacing w:line="360" w:lineRule="auto"/>
        <w:jc w:val="both"/>
        <w:rPr>
          <w:rFonts w:ascii="Palatino Linotype" w:hAnsi="Palatino Linotype" w:cs="Arial"/>
          <w:sz w:val="22"/>
          <w:szCs w:val="24"/>
        </w:rPr>
      </w:pPr>
    </w:p>
    <w:p w14:paraId="6EBE2F22" w14:textId="77777777" w:rsidR="000E3BE7" w:rsidRPr="007F41E1" w:rsidRDefault="000E3BE7" w:rsidP="000E3BE7">
      <w:pPr>
        <w:spacing w:line="360" w:lineRule="auto"/>
        <w:ind w:left="567" w:right="822"/>
        <w:jc w:val="both"/>
        <w:rPr>
          <w:rFonts w:ascii="Palatino Linotype" w:eastAsia="MS Mincho" w:hAnsi="Palatino Linotype" w:cs="Arial"/>
          <w:i/>
          <w:sz w:val="22"/>
          <w:szCs w:val="24"/>
        </w:rPr>
      </w:pPr>
      <w:r w:rsidRPr="007F41E1">
        <w:rPr>
          <w:rFonts w:ascii="Palatino Linotype" w:eastAsia="MS Mincho" w:hAnsi="Palatino Linotype" w:cs="Arial"/>
          <w:b/>
          <w:i/>
          <w:sz w:val="22"/>
          <w:szCs w:val="24"/>
        </w:rPr>
        <w:t xml:space="preserve">“Artículo 23. Son sujetos obligados a transparentar y permitir el acceso a su información y </w:t>
      </w:r>
      <w:r w:rsidRPr="007F41E1">
        <w:rPr>
          <w:rFonts w:ascii="Palatino Linotype" w:eastAsia="MS Mincho" w:hAnsi="Palatino Linotype"/>
          <w:b/>
          <w:i/>
          <w:sz w:val="22"/>
          <w:szCs w:val="24"/>
        </w:rPr>
        <w:t>proteger</w:t>
      </w:r>
      <w:r w:rsidRPr="007F41E1">
        <w:rPr>
          <w:rFonts w:ascii="Palatino Linotype" w:eastAsia="MS Mincho" w:hAnsi="Palatino Linotype" w:cs="Arial"/>
          <w:b/>
          <w:i/>
          <w:sz w:val="22"/>
          <w:szCs w:val="24"/>
        </w:rPr>
        <w:t xml:space="preserve"> los datos personales que obren en su poder</w:t>
      </w:r>
      <w:r w:rsidRPr="007F41E1">
        <w:rPr>
          <w:rFonts w:ascii="Palatino Linotype" w:eastAsia="MS Mincho" w:hAnsi="Palatino Linotype" w:cs="Arial"/>
          <w:i/>
          <w:sz w:val="22"/>
          <w:szCs w:val="24"/>
        </w:rPr>
        <w:t>:</w:t>
      </w:r>
    </w:p>
    <w:p w14:paraId="11231F32" w14:textId="77777777" w:rsidR="000E3BE7" w:rsidRPr="007F41E1" w:rsidRDefault="000E3BE7" w:rsidP="000E3BE7">
      <w:pPr>
        <w:spacing w:line="360" w:lineRule="auto"/>
        <w:ind w:left="567" w:right="822"/>
        <w:jc w:val="both"/>
        <w:rPr>
          <w:rFonts w:ascii="Palatino Linotype" w:eastAsia="MS Mincho" w:hAnsi="Palatino Linotype" w:cs="Arial"/>
          <w:i/>
          <w:sz w:val="22"/>
          <w:szCs w:val="24"/>
        </w:rPr>
      </w:pPr>
      <w:r w:rsidRPr="007F41E1">
        <w:rPr>
          <w:rFonts w:ascii="Palatino Linotype" w:eastAsia="MS Mincho" w:hAnsi="Palatino Linotype" w:cs="Arial"/>
          <w:i/>
          <w:sz w:val="22"/>
          <w:szCs w:val="24"/>
        </w:rPr>
        <w:t>…</w:t>
      </w:r>
    </w:p>
    <w:p w14:paraId="0B706DC0" w14:textId="77777777" w:rsidR="000E3BE7" w:rsidRPr="007F41E1" w:rsidRDefault="000E3BE7" w:rsidP="000E3BE7">
      <w:pPr>
        <w:spacing w:line="360" w:lineRule="auto"/>
        <w:ind w:left="567" w:right="822"/>
        <w:jc w:val="both"/>
        <w:rPr>
          <w:rFonts w:ascii="Palatino Linotype" w:eastAsia="MS Mincho" w:hAnsi="Palatino Linotype" w:cs="Arial"/>
          <w:b/>
          <w:i/>
          <w:iCs/>
          <w:sz w:val="22"/>
          <w:szCs w:val="24"/>
        </w:rPr>
      </w:pPr>
      <w:r w:rsidRPr="007F41E1">
        <w:rPr>
          <w:rFonts w:ascii="Palatino Linotype" w:hAnsi="Palatino Linotype"/>
          <w:i/>
          <w:iCs/>
          <w:sz w:val="22"/>
          <w:szCs w:val="24"/>
        </w:rPr>
        <w:t>IV. Los ayuntamientos y las dependencias, organismos, órganos y entidades de la administración municipal;</w:t>
      </w:r>
      <w:r w:rsidRPr="007F41E1">
        <w:rPr>
          <w:rFonts w:ascii="Palatino Linotype" w:eastAsia="MS Mincho" w:hAnsi="Palatino Linotype" w:cs="Arial"/>
          <w:b/>
          <w:i/>
          <w:iCs/>
          <w:sz w:val="22"/>
          <w:szCs w:val="24"/>
        </w:rPr>
        <w:t xml:space="preserve"> </w:t>
      </w:r>
    </w:p>
    <w:p w14:paraId="732F1525" w14:textId="77777777" w:rsidR="000E3BE7" w:rsidRPr="007F41E1" w:rsidRDefault="000E3BE7" w:rsidP="000E3BE7">
      <w:pPr>
        <w:spacing w:line="360" w:lineRule="auto"/>
        <w:ind w:left="567" w:right="822"/>
        <w:jc w:val="both"/>
        <w:rPr>
          <w:rFonts w:ascii="Palatino Linotype" w:eastAsia="MS Mincho" w:hAnsi="Palatino Linotype" w:cs="Arial"/>
          <w:b/>
          <w:i/>
          <w:sz w:val="22"/>
          <w:szCs w:val="24"/>
        </w:rPr>
      </w:pPr>
      <w:r w:rsidRPr="007F41E1">
        <w:rPr>
          <w:rFonts w:ascii="Palatino Linotype" w:eastAsia="MS Mincho" w:hAnsi="Palatino Linotype" w:cs="Arial"/>
          <w:b/>
          <w:i/>
          <w:sz w:val="22"/>
          <w:szCs w:val="24"/>
        </w:rPr>
        <w:t>…</w:t>
      </w:r>
    </w:p>
    <w:p w14:paraId="704B27B2" w14:textId="77777777" w:rsidR="000E3BE7" w:rsidRPr="007F41E1" w:rsidRDefault="000E3BE7" w:rsidP="000E3BE7">
      <w:pPr>
        <w:spacing w:line="360" w:lineRule="auto"/>
        <w:ind w:left="567" w:right="822"/>
        <w:jc w:val="both"/>
        <w:rPr>
          <w:rFonts w:ascii="Palatino Linotype" w:eastAsia="MS Mincho" w:hAnsi="Palatino Linotype"/>
          <w:b/>
          <w:i/>
          <w:sz w:val="22"/>
          <w:szCs w:val="24"/>
        </w:rPr>
      </w:pPr>
      <w:r w:rsidRPr="007F41E1">
        <w:rPr>
          <w:rFonts w:ascii="Palatino Linotype" w:eastAsia="MS Mincho" w:hAnsi="Palatino Linotype"/>
          <w:b/>
          <w:i/>
          <w:sz w:val="22"/>
          <w:szCs w:val="24"/>
        </w:rPr>
        <w:t xml:space="preserve">Los sujetos obligados deberán hacer pública toda aquella información relativa a los montos y las personas a quienes entreguen, por cualquier motivo, recursos </w:t>
      </w:r>
      <w:r w:rsidRPr="007F41E1">
        <w:rPr>
          <w:rFonts w:ascii="Palatino Linotype" w:eastAsia="MS Mincho" w:hAnsi="Palatino Linotype"/>
          <w:b/>
          <w:i/>
          <w:sz w:val="22"/>
          <w:szCs w:val="24"/>
        </w:rPr>
        <w:lastRenderedPageBreak/>
        <w:t>públicos</w:t>
      </w:r>
      <w:r w:rsidRPr="007F41E1">
        <w:rPr>
          <w:rFonts w:ascii="Palatino Linotype" w:eastAsia="MS Mincho" w:hAnsi="Palatino Linotype"/>
          <w:i/>
          <w:sz w:val="22"/>
          <w:szCs w:val="24"/>
        </w:rPr>
        <w:t xml:space="preserve">, </w:t>
      </w:r>
      <w:r w:rsidRPr="007F41E1">
        <w:rPr>
          <w:rFonts w:ascii="Palatino Linotype" w:eastAsia="MS Mincho" w:hAnsi="Palatino Linotype"/>
          <w:b/>
          <w:i/>
          <w:sz w:val="22"/>
          <w:szCs w:val="24"/>
        </w:rPr>
        <w:t>así como</w:t>
      </w:r>
      <w:r w:rsidRPr="007F41E1">
        <w:rPr>
          <w:rFonts w:ascii="Palatino Linotype" w:eastAsia="MS Mincho" w:hAnsi="Palatino Linotype"/>
          <w:i/>
          <w:sz w:val="22"/>
          <w:szCs w:val="24"/>
        </w:rPr>
        <w:t xml:space="preserve"> </w:t>
      </w:r>
      <w:r w:rsidRPr="007F41E1">
        <w:rPr>
          <w:rFonts w:ascii="Palatino Linotype" w:eastAsia="MS Mincho" w:hAnsi="Palatino Linotype"/>
          <w:b/>
          <w:i/>
          <w:sz w:val="22"/>
          <w:szCs w:val="24"/>
        </w:rPr>
        <w:t>los informes que dichas personas les entreguen sobre el uso y destino de dichos recursos.</w:t>
      </w:r>
    </w:p>
    <w:p w14:paraId="0E3ED03A" w14:textId="77777777" w:rsidR="000E3BE7" w:rsidRPr="007F41E1" w:rsidRDefault="000E3BE7" w:rsidP="000E3BE7">
      <w:pPr>
        <w:spacing w:line="360" w:lineRule="auto"/>
        <w:ind w:left="567" w:right="822"/>
        <w:jc w:val="both"/>
        <w:rPr>
          <w:rFonts w:ascii="Palatino Linotype" w:eastAsia="MS Mincho" w:hAnsi="Palatino Linotype"/>
          <w:b/>
          <w:i/>
          <w:sz w:val="22"/>
          <w:szCs w:val="24"/>
        </w:rPr>
      </w:pPr>
    </w:p>
    <w:p w14:paraId="1AC6FE97" w14:textId="77777777" w:rsidR="000E3BE7" w:rsidRPr="007F41E1" w:rsidRDefault="000E3BE7" w:rsidP="000E3BE7">
      <w:pPr>
        <w:spacing w:line="360" w:lineRule="auto"/>
        <w:ind w:left="567" w:right="822"/>
        <w:jc w:val="both"/>
        <w:rPr>
          <w:rFonts w:ascii="Palatino Linotype" w:eastAsia="MS Mincho" w:hAnsi="Palatino Linotype" w:cs="Arial"/>
          <w:i/>
          <w:sz w:val="22"/>
          <w:szCs w:val="24"/>
        </w:rPr>
      </w:pPr>
      <w:r w:rsidRPr="007F41E1">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5F219F33" w14:textId="77777777" w:rsidR="000E3BE7" w:rsidRPr="007F41E1" w:rsidRDefault="000E3BE7" w:rsidP="000E3BE7">
      <w:pPr>
        <w:spacing w:line="360" w:lineRule="auto"/>
        <w:ind w:left="567" w:right="822"/>
        <w:jc w:val="both"/>
        <w:rPr>
          <w:rFonts w:ascii="Palatino Linotype" w:eastAsia="MS Mincho" w:hAnsi="Palatino Linotype" w:cs="Arial"/>
          <w:i/>
          <w:sz w:val="22"/>
          <w:szCs w:val="24"/>
        </w:rPr>
      </w:pPr>
      <w:r w:rsidRPr="007F41E1">
        <w:rPr>
          <w:rFonts w:ascii="Palatino Linotype" w:eastAsia="MS Mincho" w:hAnsi="Palatino Linotype" w:cs="Arial"/>
          <w:i/>
          <w:sz w:val="22"/>
          <w:szCs w:val="24"/>
        </w:rPr>
        <w:t>(Énfasis añadido)</w:t>
      </w:r>
    </w:p>
    <w:p w14:paraId="27E55825" w14:textId="77777777" w:rsidR="000E3BE7" w:rsidRPr="007F41E1" w:rsidRDefault="000E3BE7" w:rsidP="000E3BE7">
      <w:pPr>
        <w:spacing w:line="360" w:lineRule="auto"/>
        <w:jc w:val="both"/>
        <w:rPr>
          <w:rFonts w:ascii="Palatino Linotype" w:hAnsi="Palatino Linotype" w:cs="Arial"/>
          <w:sz w:val="24"/>
          <w:szCs w:val="24"/>
        </w:rPr>
      </w:pPr>
    </w:p>
    <w:p w14:paraId="24735D82" w14:textId="77777777" w:rsidR="000E3BE7" w:rsidRPr="007F41E1"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7F41E1">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D70470" w14:textId="77777777" w:rsidR="000E3BE7" w:rsidRPr="007F41E1" w:rsidRDefault="000E3BE7" w:rsidP="000E3BE7">
      <w:pPr>
        <w:pStyle w:val="Prrafodelista"/>
        <w:spacing w:line="360" w:lineRule="auto"/>
        <w:ind w:left="0"/>
        <w:jc w:val="both"/>
        <w:rPr>
          <w:rFonts w:ascii="Palatino Linotype" w:hAnsi="Palatino Linotype" w:cs="Arial"/>
          <w:sz w:val="24"/>
        </w:rPr>
      </w:pPr>
    </w:p>
    <w:p w14:paraId="6BD23013" w14:textId="588848E2" w:rsidR="000E3BE7" w:rsidRPr="007F41E1"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7F41E1">
        <w:rPr>
          <w:rFonts w:ascii="Palatino Linotype" w:hAnsi="Palatino Linotype" w:cs="Arial"/>
          <w:sz w:val="24"/>
        </w:rPr>
        <w:t>Por lo anterior, es de referir que,</w:t>
      </w:r>
      <w:r w:rsidRPr="007F41E1">
        <w:rPr>
          <w:rFonts w:ascii="Palatino Linotype" w:hAnsi="Palatino Linotype" w:cs="Arial"/>
          <w:b/>
          <w:sz w:val="24"/>
        </w:rPr>
        <w:t xml:space="preserve"> el</w:t>
      </w:r>
      <w:r w:rsidRPr="007F41E1">
        <w:rPr>
          <w:rFonts w:ascii="Palatino Linotype" w:hAnsi="Palatino Linotype"/>
          <w:b/>
          <w:bCs/>
          <w:sz w:val="24"/>
        </w:rPr>
        <w:t xml:space="preserve"> </w:t>
      </w:r>
      <w:r w:rsidR="001C52A7" w:rsidRPr="007F41E1">
        <w:rPr>
          <w:rFonts w:ascii="Palatino Linotype" w:eastAsia="Calibri" w:hAnsi="Palatino Linotype" w:cs="Arial"/>
          <w:b/>
          <w:bCs/>
          <w:sz w:val="24"/>
          <w:lang w:val="es-ES"/>
        </w:rPr>
        <w:t>Ayuntamiento de Ocuilan</w:t>
      </w:r>
      <w:r w:rsidRPr="007F41E1">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762E6E8" w14:textId="77777777" w:rsidR="00A64E94" w:rsidRPr="007F41E1" w:rsidRDefault="00A64E94" w:rsidP="00A64E94">
      <w:pPr>
        <w:pStyle w:val="Prrafodelista"/>
        <w:rPr>
          <w:rFonts w:ascii="Palatino Linotype" w:hAnsi="Palatino Linotype" w:cs="Arial"/>
          <w:sz w:val="24"/>
        </w:rPr>
      </w:pPr>
    </w:p>
    <w:p w14:paraId="0AB3F5D1" w14:textId="64DBF9DF" w:rsidR="00327045" w:rsidRPr="007F41E1" w:rsidRDefault="00A64E94" w:rsidP="00537686">
      <w:pPr>
        <w:pStyle w:val="Prrafodelista"/>
        <w:spacing w:line="360" w:lineRule="auto"/>
        <w:ind w:left="567"/>
        <w:jc w:val="both"/>
        <w:rPr>
          <w:rFonts w:ascii="Palatino Linotype" w:hAnsi="Palatino Linotype" w:cs="Arial"/>
          <w:sz w:val="24"/>
        </w:rPr>
      </w:pPr>
      <w:r w:rsidRPr="007F41E1">
        <w:rPr>
          <w:rFonts w:ascii="Palatino Linotype" w:hAnsi="Palatino Linotype" w:cs="Arial"/>
          <w:b/>
          <w:sz w:val="24"/>
        </w:rPr>
        <w:t xml:space="preserve">II. </w:t>
      </w:r>
      <w:r w:rsidR="00327045" w:rsidRPr="007F41E1">
        <w:rPr>
          <w:rFonts w:ascii="Palatino Linotype" w:hAnsi="Palatino Linotype" w:cs="Arial"/>
          <w:b/>
          <w:sz w:val="24"/>
        </w:rPr>
        <w:t xml:space="preserve">De los </w:t>
      </w:r>
      <w:r w:rsidR="00537686" w:rsidRPr="007F41E1">
        <w:rPr>
          <w:rFonts w:ascii="Palatino Linotype" w:hAnsi="Palatino Linotype" w:cs="Arial"/>
          <w:b/>
          <w:sz w:val="24"/>
        </w:rPr>
        <w:t>procedimientos de contratación</w:t>
      </w:r>
      <w:r w:rsidR="00327045" w:rsidRPr="007F41E1">
        <w:rPr>
          <w:rFonts w:ascii="Palatino Linotype" w:hAnsi="Palatino Linotype" w:cs="Arial"/>
          <w:b/>
          <w:sz w:val="24"/>
        </w:rPr>
        <w:t>.</w:t>
      </w:r>
    </w:p>
    <w:p w14:paraId="7D4217AA" w14:textId="3B1AC9C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rPr>
      </w:pPr>
      <w:r w:rsidRPr="007F41E1">
        <w:rPr>
          <w:rFonts w:ascii="Palatino Linotype" w:hAnsi="Palatino Linotype" w:cs="Arial"/>
          <w:sz w:val="24"/>
        </w:rPr>
        <w:t>E</w:t>
      </w:r>
      <w:r w:rsidRPr="007F41E1">
        <w:rPr>
          <w:rFonts w:ascii="Palatino Linotype" w:hAnsi="Palatino Linotype" w:cs="Arial"/>
          <w:sz w:val="24"/>
          <w:lang w:val="es-ES"/>
        </w:rPr>
        <w:t xml:space="preserve">s conveniente traer a contexto lo dispuesto en la Ley de la  Contratación Pública del Estado de México y Municipios, la cual tiene por objeto regular los actos relativos a la planeación, programación, presupuestación, ejecución y control de la </w:t>
      </w:r>
      <w:r w:rsidRPr="007F41E1">
        <w:rPr>
          <w:rFonts w:ascii="Palatino Linotype" w:hAnsi="Palatino Linotype" w:cs="Arial"/>
          <w:b/>
          <w:sz w:val="24"/>
          <w:u w:val="single"/>
          <w:lang w:val="es-ES"/>
        </w:rPr>
        <w:t>adquisición</w:t>
      </w:r>
      <w:r w:rsidRPr="007F41E1">
        <w:rPr>
          <w:rFonts w:ascii="Palatino Linotype" w:hAnsi="Palatino Linotype" w:cs="Arial"/>
          <w:sz w:val="24"/>
          <w:lang w:val="es-ES"/>
        </w:rPr>
        <w:t xml:space="preserve">, enajenación y arrendamiento </w:t>
      </w:r>
      <w:r w:rsidRPr="007F41E1">
        <w:rPr>
          <w:rFonts w:ascii="Palatino Linotype" w:hAnsi="Palatino Linotype" w:cs="Arial"/>
          <w:b/>
          <w:sz w:val="24"/>
          <w:u w:val="single"/>
          <w:lang w:val="es-ES"/>
        </w:rPr>
        <w:t>de bienes</w:t>
      </w:r>
      <w:r w:rsidRPr="007F41E1">
        <w:rPr>
          <w:rFonts w:ascii="Palatino Linotype" w:hAnsi="Palatino Linotype" w:cs="Arial"/>
          <w:sz w:val="24"/>
          <w:lang w:val="es-ES"/>
        </w:rPr>
        <w:t xml:space="preserve">, y la </w:t>
      </w:r>
      <w:r w:rsidRPr="007F41E1">
        <w:rPr>
          <w:rFonts w:ascii="Palatino Linotype" w:hAnsi="Palatino Linotype" w:cs="Arial"/>
          <w:b/>
          <w:sz w:val="24"/>
          <w:u w:val="single"/>
          <w:lang w:val="es-ES"/>
        </w:rPr>
        <w:t xml:space="preserve">contratación de servicios </w:t>
      </w:r>
      <w:r w:rsidRPr="007F41E1">
        <w:rPr>
          <w:rFonts w:ascii="Palatino Linotype" w:hAnsi="Palatino Linotype" w:cs="Arial"/>
          <w:b/>
          <w:sz w:val="24"/>
          <w:u w:val="single"/>
          <w:lang w:val="es-ES"/>
        </w:rPr>
        <w:lastRenderedPageBreak/>
        <w:t>de cualquier naturaleza, que realicen los Ayuntamientos del Estado</w:t>
      </w:r>
      <w:r w:rsidRPr="007F41E1">
        <w:rPr>
          <w:rFonts w:ascii="Palatino Linotype" w:hAnsi="Palatino Linotype" w:cs="Arial"/>
          <w:sz w:val="24"/>
          <w:lang w:val="es-ES"/>
        </w:rPr>
        <w:t xml:space="preserve">; los cuales se adjudicarán a través de </w:t>
      </w:r>
      <w:r w:rsidRPr="007F41E1">
        <w:rPr>
          <w:rFonts w:ascii="Palatino Linotype" w:hAnsi="Palatino Linotype" w:cs="Arial"/>
          <w:b/>
          <w:sz w:val="24"/>
          <w:u w:val="single"/>
          <w:lang w:val="es-ES"/>
        </w:rPr>
        <w:t>licitaciones públicas</w:t>
      </w:r>
      <w:r w:rsidRPr="007F41E1">
        <w:rPr>
          <w:rFonts w:ascii="Palatino Linotype" w:hAnsi="Palatino Linotype" w:cs="Arial"/>
          <w:sz w:val="24"/>
          <w:lang w:val="es-ES"/>
        </w:rPr>
        <w:t>, invitación restringida o adjudicación directa, mediante convocatoria pública, tal y como lo establecen los artículos 4, 26 y 27 de dicha Ley, los cuales son del tenor siguiente:</w:t>
      </w:r>
    </w:p>
    <w:p w14:paraId="6B92C200" w14:textId="77777777" w:rsidR="00537686" w:rsidRPr="007F41E1" w:rsidRDefault="00537686" w:rsidP="00537686">
      <w:pPr>
        <w:jc w:val="both"/>
        <w:rPr>
          <w:rFonts w:ascii="Palatino Linotype" w:hAnsi="Palatino Linotype" w:cs="Arial"/>
          <w:sz w:val="22"/>
          <w:szCs w:val="24"/>
          <w:lang w:val="es-ES"/>
        </w:rPr>
      </w:pPr>
    </w:p>
    <w:p w14:paraId="782973E8"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w:t>
      </w:r>
      <w:r w:rsidRPr="007F41E1">
        <w:rPr>
          <w:rFonts w:ascii="Palatino Linotype" w:hAnsi="Palatino Linotype" w:cs="Arial"/>
          <w:b/>
          <w:i/>
          <w:sz w:val="22"/>
          <w:szCs w:val="24"/>
          <w:lang w:val="es-ES"/>
        </w:rPr>
        <w:t>Artículo 4.-</w:t>
      </w:r>
      <w:r w:rsidRPr="007F41E1">
        <w:rPr>
          <w:rFonts w:ascii="Palatino Linotype" w:hAnsi="Palatino Linotype" w:cs="Arial"/>
          <w:i/>
          <w:sz w:val="22"/>
          <w:szCs w:val="24"/>
          <w:lang w:val="es-ES"/>
        </w:rPr>
        <w:t xml:space="preserve"> Para los efectos de esta Ley, en las adquisiciones, enajenaciones, arrendamientos y servicios, quedan comprendidos: </w:t>
      </w:r>
    </w:p>
    <w:p w14:paraId="69507980" w14:textId="77777777" w:rsidR="00537686" w:rsidRPr="007F41E1" w:rsidRDefault="00537686" w:rsidP="00537686">
      <w:pPr>
        <w:spacing w:line="360" w:lineRule="auto"/>
        <w:ind w:left="567" w:right="822"/>
        <w:jc w:val="both"/>
        <w:rPr>
          <w:rFonts w:ascii="Palatino Linotype" w:hAnsi="Palatino Linotype" w:cs="Arial"/>
          <w:b/>
          <w:i/>
          <w:sz w:val="22"/>
          <w:szCs w:val="24"/>
          <w:u w:val="single"/>
          <w:lang w:val="es-ES"/>
        </w:rPr>
      </w:pPr>
      <w:r w:rsidRPr="007F41E1">
        <w:rPr>
          <w:rFonts w:ascii="Palatino Linotype" w:hAnsi="Palatino Linotype" w:cs="Arial"/>
          <w:b/>
          <w:i/>
          <w:sz w:val="22"/>
          <w:szCs w:val="24"/>
          <w:u w:val="single"/>
          <w:lang w:val="es-ES"/>
        </w:rPr>
        <w:t xml:space="preserve">I. La adquisición de bienes muebles. </w:t>
      </w:r>
    </w:p>
    <w:p w14:paraId="4F5204D5"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 xml:space="preserve">II. La adquisición de bienes inmuebles, a través de compraventa. </w:t>
      </w:r>
    </w:p>
    <w:p w14:paraId="18903759"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 xml:space="preserve">III. La enajenación de bienes muebles e inmuebles. </w:t>
      </w:r>
    </w:p>
    <w:p w14:paraId="6FA80E3F"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b/>
          <w:i/>
          <w:sz w:val="22"/>
          <w:szCs w:val="24"/>
          <w:u w:val="single"/>
          <w:lang w:val="es-ES"/>
        </w:rPr>
        <w:t>IV. El arrendamiento de bienes muebles</w:t>
      </w:r>
      <w:r w:rsidRPr="007F41E1">
        <w:rPr>
          <w:rFonts w:ascii="Palatino Linotype" w:hAnsi="Palatino Linotype" w:cs="Arial"/>
          <w:i/>
          <w:sz w:val="22"/>
          <w:szCs w:val="24"/>
          <w:lang w:val="es-ES"/>
        </w:rPr>
        <w:t xml:space="preserve"> e inmuebles. </w:t>
      </w:r>
    </w:p>
    <w:p w14:paraId="1D377A94" w14:textId="77777777" w:rsidR="00537686" w:rsidRPr="007F41E1" w:rsidRDefault="00537686" w:rsidP="00537686">
      <w:pPr>
        <w:spacing w:line="360" w:lineRule="auto"/>
        <w:ind w:left="567" w:right="822"/>
        <w:jc w:val="both"/>
        <w:rPr>
          <w:rFonts w:ascii="Palatino Linotype" w:hAnsi="Palatino Linotype" w:cs="Arial"/>
          <w:b/>
          <w:i/>
          <w:sz w:val="22"/>
          <w:szCs w:val="24"/>
          <w:u w:val="single"/>
          <w:lang w:val="es-ES"/>
        </w:rPr>
      </w:pPr>
      <w:r w:rsidRPr="007F41E1">
        <w:rPr>
          <w:rFonts w:ascii="Palatino Linotype" w:hAnsi="Palatino Linotype" w:cs="Arial"/>
          <w:b/>
          <w:i/>
          <w:sz w:val="22"/>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7466449F"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 xml:space="preserve">VI. La contratación de los servicios de reconstrucción y mantenimiento de bienes muebles. </w:t>
      </w:r>
    </w:p>
    <w:p w14:paraId="12638532"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b/>
          <w:i/>
          <w:sz w:val="22"/>
          <w:szCs w:val="24"/>
          <w:u w:val="single"/>
          <w:lang w:val="es-ES"/>
        </w:rPr>
        <w:t xml:space="preserve">VII. La contratación de los servicios </w:t>
      </w:r>
      <w:r w:rsidRPr="007F41E1">
        <w:rPr>
          <w:rFonts w:ascii="Palatino Linotype" w:hAnsi="Palatino Linotype" w:cs="Arial"/>
          <w:i/>
          <w:sz w:val="22"/>
          <w:szCs w:val="24"/>
          <w:lang w:val="es-ES"/>
        </w:rPr>
        <w:t>de maquila, seguros y transportación, así como de los de limpieza y vigilancia de bienes inmuebles</w:t>
      </w:r>
    </w:p>
    <w:p w14:paraId="0EF98557"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157D1A99" w14:textId="77777777" w:rsidR="00537686" w:rsidRPr="007F41E1" w:rsidRDefault="00537686" w:rsidP="00537686">
      <w:pPr>
        <w:spacing w:line="360" w:lineRule="auto"/>
        <w:ind w:left="567" w:right="822"/>
        <w:jc w:val="both"/>
        <w:rPr>
          <w:rFonts w:ascii="Palatino Linotype" w:hAnsi="Palatino Linotype" w:cs="Arial"/>
          <w:b/>
          <w:i/>
          <w:sz w:val="22"/>
          <w:szCs w:val="24"/>
          <w:u w:val="single"/>
          <w:lang w:val="es-ES"/>
        </w:rPr>
      </w:pPr>
      <w:r w:rsidRPr="007F41E1">
        <w:rPr>
          <w:rFonts w:ascii="Palatino Linotype" w:hAnsi="Palatino Linotype" w:cs="Arial"/>
          <w:b/>
          <w:i/>
          <w:sz w:val="22"/>
          <w:szCs w:val="24"/>
          <w:u w:val="single"/>
          <w:lang w:val="es-ES"/>
        </w:rPr>
        <w:t>En general, otros actos que impliquen la contratación de servicios de cualquier naturaleza.</w:t>
      </w:r>
    </w:p>
    <w:p w14:paraId="7B7217B3" w14:textId="77777777" w:rsidR="00537686" w:rsidRPr="007F41E1" w:rsidRDefault="00537686" w:rsidP="00537686">
      <w:pPr>
        <w:spacing w:line="360" w:lineRule="auto"/>
        <w:ind w:left="567" w:right="822"/>
        <w:jc w:val="both"/>
        <w:rPr>
          <w:rFonts w:ascii="Palatino Linotype" w:hAnsi="Palatino Linotype" w:cs="Arial"/>
          <w:b/>
          <w:i/>
          <w:sz w:val="22"/>
          <w:szCs w:val="24"/>
          <w:lang w:val="es-ES"/>
        </w:rPr>
      </w:pPr>
      <w:r w:rsidRPr="007F41E1">
        <w:rPr>
          <w:rFonts w:ascii="Palatino Linotype" w:hAnsi="Palatino Linotype" w:cs="Arial"/>
          <w:b/>
          <w:i/>
          <w:sz w:val="22"/>
          <w:szCs w:val="24"/>
          <w:lang w:val="es-ES"/>
        </w:rPr>
        <w:lastRenderedPageBreak/>
        <w:t>Artículo 26.- Las adquisiciones, arrendamientos y servicios se adjudicarán a través de licitaciones públicas, mediante convocatoria pública.</w:t>
      </w:r>
    </w:p>
    <w:p w14:paraId="6304301A" w14:textId="77777777" w:rsidR="00537686" w:rsidRPr="007F41E1" w:rsidRDefault="00537686" w:rsidP="00537686">
      <w:pPr>
        <w:spacing w:line="360" w:lineRule="auto"/>
        <w:ind w:left="567" w:right="822"/>
        <w:jc w:val="both"/>
        <w:rPr>
          <w:rFonts w:ascii="Palatino Linotype" w:hAnsi="Palatino Linotype" w:cs="Arial"/>
          <w:b/>
          <w:i/>
          <w:sz w:val="22"/>
          <w:szCs w:val="24"/>
          <w:lang w:val="es-ES"/>
        </w:rPr>
      </w:pPr>
    </w:p>
    <w:p w14:paraId="32B63BE0"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b/>
          <w:i/>
          <w:sz w:val="22"/>
          <w:szCs w:val="24"/>
          <w:lang w:val="es-ES"/>
        </w:rPr>
        <w:t xml:space="preserve">Artículo 27.- </w:t>
      </w:r>
      <w:r w:rsidRPr="007F41E1">
        <w:rPr>
          <w:rFonts w:ascii="Palatino Linotype" w:hAnsi="Palatino Linotype" w:cs="Arial"/>
          <w:i/>
          <w:sz w:val="22"/>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1423BF78" w14:textId="77777777" w:rsidR="00537686" w:rsidRPr="007F41E1" w:rsidRDefault="00537686" w:rsidP="00537686">
      <w:pPr>
        <w:spacing w:line="360" w:lineRule="auto"/>
        <w:ind w:left="567" w:right="822"/>
        <w:jc w:val="both"/>
        <w:rPr>
          <w:rFonts w:ascii="Palatino Linotype" w:hAnsi="Palatino Linotype" w:cs="Arial"/>
          <w:b/>
          <w:i/>
          <w:sz w:val="22"/>
          <w:szCs w:val="24"/>
          <w:lang w:val="es-ES"/>
        </w:rPr>
      </w:pPr>
      <w:r w:rsidRPr="007F41E1">
        <w:rPr>
          <w:rFonts w:ascii="Palatino Linotype" w:hAnsi="Palatino Linotype" w:cs="Arial"/>
          <w:b/>
          <w:i/>
          <w:sz w:val="22"/>
          <w:szCs w:val="24"/>
          <w:lang w:val="es-ES"/>
        </w:rPr>
        <w:t xml:space="preserve">I. Invitación restringida. </w:t>
      </w:r>
    </w:p>
    <w:p w14:paraId="3A750FD3" w14:textId="77777777" w:rsidR="00537686" w:rsidRPr="007F41E1" w:rsidRDefault="00537686" w:rsidP="00537686">
      <w:pPr>
        <w:spacing w:line="360" w:lineRule="auto"/>
        <w:ind w:left="567" w:right="822"/>
        <w:jc w:val="both"/>
        <w:rPr>
          <w:rFonts w:ascii="Palatino Linotype" w:hAnsi="Palatino Linotype" w:cs="Arial"/>
          <w:b/>
          <w:i/>
          <w:sz w:val="22"/>
          <w:szCs w:val="24"/>
          <w:lang w:val="es-ES"/>
        </w:rPr>
      </w:pPr>
      <w:r w:rsidRPr="007F41E1">
        <w:rPr>
          <w:rFonts w:ascii="Palatino Linotype" w:hAnsi="Palatino Linotype" w:cs="Arial"/>
          <w:b/>
          <w:i/>
          <w:sz w:val="22"/>
          <w:szCs w:val="24"/>
          <w:lang w:val="es-ES"/>
        </w:rPr>
        <w:t>II. Adjudicación directa.”</w:t>
      </w:r>
    </w:p>
    <w:p w14:paraId="37ECD217" w14:textId="77777777" w:rsidR="00537686" w:rsidRPr="007F41E1" w:rsidRDefault="00537686" w:rsidP="00537686">
      <w:pPr>
        <w:ind w:left="567" w:right="567"/>
        <w:jc w:val="right"/>
        <w:rPr>
          <w:rFonts w:ascii="Palatino Linotype" w:hAnsi="Palatino Linotype" w:cs="Arial"/>
          <w:i/>
          <w:sz w:val="22"/>
          <w:szCs w:val="24"/>
          <w:lang w:val="es-ES"/>
        </w:rPr>
      </w:pPr>
      <w:r w:rsidRPr="007F41E1">
        <w:rPr>
          <w:rFonts w:ascii="Palatino Linotype" w:hAnsi="Palatino Linotype" w:cs="Arial"/>
          <w:i/>
          <w:sz w:val="22"/>
          <w:szCs w:val="24"/>
          <w:lang w:val="es-ES"/>
        </w:rPr>
        <w:t xml:space="preserve">(Énfasis añadido) </w:t>
      </w:r>
    </w:p>
    <w:p w14:paraId="13449E4A" w14:textId="77777777" w:rsidR="00537686" w:rsidRPr="007F41E1" w:rsidRDefault="00537686" w:rsidP="00537686">
      <w:pPr>
        <w:spacing w:line="360" w:lineRule="auto"/>
        <w:jc w:val="both"/>
        <w:rPr>
          <w:rFonts w:ascii="Palatino Linotype" w:hAnsi="Palatino Linotype" w:cs="Arial"/>
          <w:sz w:val="24"/>
          <w:szCs w:val="24"/>
          <w:lang w:val="es-ES"/>
        </w:rPr>
      </w:pPr>
    </w:p>
    <w:p w14:paraId="4A793FDE"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8941053" w14:textId="77777777" w:rsidR="00537686" w:rsidRPr="007F41E1" w:rsidRDefault="00537686" w:rsidP="00537686">
      <w:pPr>
        <w:pStyle w:val="Prrafodelista"/>
        <w:spacing w:line="360" w:lineRule="auto"/>
        <w:ind w:left="0"/>
        <w:jc w:val="both"/>
        <w:rPr>
          <w:rFonts w:ascii="Palatino Linotype" w:hAnsi="Palatino Linotype" w:cs="Arial"/>
          <w:sz w:val="24"/>
          <w:lang w:val="es-ES"/>
        </w:rPr>
      </w:pPr>
    </w:p>
    <w:p w14:paraId="5343107A"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4EDBE75E" w14:textId="77777777" w:rsidR="00537686" w:rsidRPr="007F41E1" w:rsidRDefault="00537686" w:rsidP="00537686">
      <w:pPr>
        <w:pStyle w:val="Prrafodelista"/>
        <w:rPr>
          <w:rFonts w:ascii="Palatino Linotype" w:hAnsi="Palatino Linotype" w:cs="Arial"/>
          <w:sz w:val="24"/>
          <w:lang w:val="es-ES"/>
        </w:rPr>
      </w:pPr>
    </w:p>
    <w:p w14:paraId="6547F330"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lastRenderedPageBreak/>
        <w:t>Por lo que, en las licitaciones se debe seguir el procedimiento marcado en el artículo 35 del precitado ordenamiento, que literalmente establece:</w:t>
      </w:r>
    </w:p>
    <w:p w14:paraId="144963D0" w14:textId="77777777" w:rsidR="00537686" w:rsidRPr="007F41E1" w:rsidRDefault="00537686" w:rsidP="00537686">
      <w:pPr>
        <w:jc w:val="both"/>
        <w:rPr>
          <w:rFonts w:ascii="Palatino Linotype" w:hAnsi="Palatino Linotype" w:cs="Arial"/>
          <w:sz w:val="24"/>
          <w:szCs w:val="24"/>
          <w:lang w:val="es-ES"/>
        </w:rPr>
      </w:pPr>
    </w:p>
    <w:p w14:paraId="5E86E133"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b/>
          <w:i/>
          <w:sz w:val="22"/>
          <w:szCs w:val="24"/>
          <w:lang w:val="es-ES"/>
        </w:rPr>
        <w:t>“Artículo 35</w:t>
      </w:r>
      <w:r w:rsidRPr="007F41E1">
        <w:rPr>
          <w:rFonts w:ascii="Palatino Linotype" w:hAnsi="Palatino Linotype" w:cs="Arial"/>
          <w:i/>
          <w:sz w:val="22"/>
          <w:szCs w:val="24"/>
          <w:lang w:val="es-ES"/>
        </w:rPr>
        <w:t>.- En los procedimientos de licitación pública se observará lo siguiente:</w:t>
      </w:r>
    </w:p>
    <w:p w14:paraId="777A5C08"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I. El acto de presentación y apertura de propuestas se llevará a cabo por el servidor público que designe la convocante, conforme al procedimiento que se establezca en el reglamento de esta Ley.</w:t>
      </w:r>
    </w:p>
    <w:p w14:paraId="2C299E70"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53AFE828" w14:textId="77777777" w:rsidR="00537686" w:rsidRPr="007F41E1" w:rsidRDefault="00537686" w:rsidP="00537686">
      <w:pPr>
        <w:spacing w:line="360" w:lineRule="auto"/>
        <w:ind w:left="567" w:right="567"/>
        <w:jc w:val="both"/>
        <w:rPr>
          <w:rFonts w:ascii="Palatino Linotype" w:hAnsi="Palatino Linotype" w:cs="Arial"/>
          <w:i/>
          <w:sz w:val="22"/>
          <w:szCs w:val="24"/>
          <w:u w:val="single"/>
          <w:lang w:val="es-ES"/>
        </w:rPr>
      </w:pPr>
      <w:r w:rsidRPr="007F41E1">
        <w:rPr>
          <w:rFonts w:ascii="Palatino Linotype" w:hAnsi="Palatino Linotype" w:cs="Arial"/>
          <w:i/>
          <w:sz w:val="22"/>
          <w:szCs w:val="24"/>
          <w:u w:val="single"/>
          <w:lang w:val="es-ES"/>
        </w:rPr>
        <w:t xml:space="preserve">III. Las bases de licitación se pondrán a la venta a partir de la fecha de publicación de la convocatoria y hasta el día hábil anterior a la fecha de celebración </w:t>
      </w:r>
      <w:r w:rsidRPr="007F41E1">
        <w:rPr>
          <w:rFonts w:ascii="Palatino Linotype" w:hAnsi="Palatino Linotype" w:cs="Arial"/>
          <w:b/>
          <w:i/>
          <w:sz w:val="22"/>
          <w:szCs w:val="24"/>
          <w:u w:val="single"/>
          <w:lang w:val="es-ES"/>
        </w:rPr>
        <w:t>de la junta de aclaraciones</w:t>
      </w:r>
      <w:r w:rsidRPr="007F41E1">
        <w:rPr>
          <w:rFonts w:ascii="Palatino Linotype" w:hAnsi="Palatino Linotype" w:cs="Arial"/>
          <w:i/>
          <w:sz w:val="22"/>
          <w:szCs w:val="24"/>
          <w:u w:val="single"/>
          <w:lang w:val="es-ES"/>
        </w:rPr>
        <w:t xml:space="preserve"> o, en su defecto, del acto de presentación y apertura de propuestas.</w:t>
      </w:r>
    </w:p>
    <w:p w14:paraId="1E6A2C96"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6A3D391A"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V. Las modificaciones no podrán limitar el número de licitantes, sustituir o variar sustancialmente los bienes o servicios convocados originalmente, ni adicionar otros  distintos.</w:t>
      </w:r>
    </w:p>
    <w:p w14:paraId="49C486A4"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VI. Las modificaciones a la convocatoria o a las bases se harán del conocimiento de los interesados hasta tres días hábiles antes de la fecha señalada para el acto de presentación y apertura de propuestas.</w:t>
      </w:r>
    </w:p>
    <w:p w14:paraId="136E2682"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VII. Se emitirá el fallo dentro de los 15 días hábiles siguientes a la publicación de la convocatoria.</w:t>
      </w:r>
    </w:p>
    <w:p w14:paraId="03C81668"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lastRenderedPageBreak/>
        <w:t>VIII. Los licitantes se podrán registrar hasta el día y la hora fijados para el acto de presentación y apertura de propuestas.</w:t>
      </w:r>
      <w:r w:rsidRPr="007F41E1">
        <w:rPr>
          <w:rFonts w:ascii="Palatino Linotype" w:hAnsi="Palatino Linotype" w:cs="Arial"/>
          <w:b/>
          <w:i/>
          <w:sz w:val="22"/>
          <w:szCs w:val="24"/>
          <w:lang w:val="es-ES"/>
        </w:rPr>
        <w:t>”</w:t>
      </w:r>
    </w:p>
    <w:p w14:paraId="2E104AB5" w14:textId="77777777" w:rsidR="00537686" w:rsidRPr="007F41E1" w:rsidRDefault="00537686" w:rsidP="00537686">
      <w:pPr>
        <w:spacing w:line="360" w:lineRule="auto"/>
        <w:ind w:left="567" w:right="567"/>
        <w:jc w:val="right"/>
        <w:rPr>
          <w:rFonts w:ascii="Palatino Linotype" w:hAnsi="Palatino Linotype" w:cs="Arial"/>
          <w:i/>
          <w:sz w:val="22"/>
          <w:szCs w:val="24"/>
          <w:lang w:val="es-ES"/>
        </w:rPr>
      </w:pPr>
      <w:r w:rsidRPr="007F41E1">
        <w:rPr>
          <w:rFonts w:ascii="Palatino Linotype" w:hAnsi="Palatino Linotype" w:cs="Arial"/>
          <w:i/>
          <w:sz w:val="22"/>
          <w:szCs w:val="24"/>
          <w:lang w:val="es-ES"/>
        </w:rPr>
        <w:t>(Énfasis añadido)</w:t>
      </w:r>
    </w:p>
    <w:p w14:paraId="4A1D40AA"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5F469937" w14:textId="77777777" w:rsidR="00537686" w:rsidRPr="007F41E1" w:rsidRDefault="00537686" w:rsidP="00537686">
      <w:pPr>
        <w:pStyle w:val="Prrafodelista"/>
        <w:spacing w:line="360" w:lineRule="auto"/>
        <w:ind w:left="0"/>
        <w:jc w:val="both"/>
        <w:rPr>
          <w:rFonts w:ascii="Palatino Linotype" w:hAnsi="Palatino Linotype" w:cs="Arial"/>
          <w:sz w:val="24"/>
          <w:lang w:val="es-ES"/>
        </w:rPr>
      </w:pPr>
    </w:p>
    <w:p w14:paraId="3270BC8E"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Además, respecto al dictamen y el fallo de la adjudicación, es de señalar que la Ley en mención indica lo siguiente:</w:t>
      </w:r>
    </w:p>
    <w:p w14:paraId="29FE6ACE" w14:textId="77777777" w:rsidR="00537686" w:rsidRPr="007F41E1" w:rsidRDefault="00537686" w:rsidP="00537686">
      <w:pPr>
        <w:jc w:val="both"/>
        <w:rPr>
          <w:rFonts w:ascii="Palatino Linotype" w:hAnsi="Palatino Linotype" w:cs="Arial"/>
          <w:sz w:val="22"/>
          <w:szCs w:val="24"/>
          <w:lang w:val="es-ES"/>
        </w:rPr>
      </w:pPr>
    </w:p>
    <w:p w14:paraId="205424CC"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b/>
          <w:i/>
          <w:sz w:val="22"/>
          <w:szCs w:val="24"/>
          <w:lang w:val="es-ES"/>
        </w:rPr>
        <w:t>“Artículo 37.-</w:t>
      </w:r>
      <w:r w:rsidRPr="007F41E1">
        <w:rPr>
          <w:rFonts w:ascii="Palatino Linotype" w:hAnsi="Palatino Linotype" w:cs="Arial"/>
          <w:i/>
          <w:sz w:val="22"/>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57147648" w14:textId="77777777" w:rsidR="00537686" w:rsidRPr="007F41E1" w:rsidRDefault="00537686" w:rsidP="00537686">
      <w:pPr>
        <w:spacing w:line="360" w:lineRule="auto"/>
        <w:ind w:left="567" w:right="567"/>
        <w:jc w:val="both"/>
        <w:rPr>
          <w:rFonts w:ascii="Palatino Linotype" w:hAnsi="Palatino Linotype" w:cs="Arial"/>
          <w:b/>
          <w:i/>
          <w:sz w:val="24"/>
          <w:szCs w:val="24"/>
          <w:lang w:val="es-ES"/>
        </w:rPr>
      </w:pPr>
    </w:p>
    <w:p w14:paraId="470A8FA2"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b/>
          <w:i/>
          <w:sz w:val="22"/>
          <w:szCs w:val="24"/>
          <w:lang w:val="es-ES"/>
        </w:rPr>
        <w:lastRenderedPageBreak/>
        <w:t>Artículo 38.-</w:t>
      </w:r>
      <w:r w:rsidRPr="007F41E1">
        <w:rPr>
          <w:rFonts w:ascii="Palatino Linotype" w:hAnsi="Palatino Linotype" w:cs="Arial"/>
          <w:i/>
          <w:sz w:val="22"/>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7B350DC5" w14:textId="77777777" w:rsidR="00537686" w:rsidRPr="007F41E1" w:rsidRDefault="00537686" w:rsidP="00537686">
      <w:pPr>
        <w:spacing w:line="360" w:lineRule="auto"/>
        <w:ind w:left="567" w:right="567"/>
        <w:jc w:val="both"/>
        <w:rPr>
          <w:rFonts w:ascii="Palatino Linotype" w:hAnsi="Palatino Linotype" w:cs="Arial"/>
          <w:i/>
          <w:sz w:val="22"/>
          <w:szCs w:val="24"/>
          <w:lang w:val="es-ES"/>
        </w:rPr>
      </w:pPr>
      <w:r w:rsidRPr="007F41E1">
        <w:rPr>
          <w:rFonts w:ascii="Palatino Linotype" w:hAnsi="Palatino Linotype" w:cs="Arial"/>
          <w:i/>
          <w:sz w:val="22"/>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7F41E1">
        <w:rPr>
          <w:rFonts w:ascii="Palatino Linotype" w:hAnsi="Palatino Linotype" w:cs="Arial"/>
          <w:b/>
          <w:i/>
          <w:sz w:val="22"/>
          <w:szCs w:val="24"/>
          <w:lang w:val="es-ES"/>
        </w:rPr>
        <w:t>”</w:t>
      </w:r>
      <w:r w:rsidRPr="007F41E1">
        <w:rPr>
          <w:rFonts w:ascii="Palatino Linotype" w:hAnsi="Palatino Linotype" w:cs="Arial"/>
          <w:i/>
          <w:sz w:val="22"/>
          <w:szCs w:val="24"/>
          <w:lang w:val="es-ES"/>
        </w:rPr>
        <w:t xml:space="preserve"> </w:t>
      </w:r>
    </w:p>
    <w:p w14:paraId="3D5E2931" w14:textId="77777777" w:rsidR="00537686" w:rsidRPr="007F41E1" w:rsidRDefault="00537686" w:rsidP="00537686">
      <w:pPr>
        <w:spacing w:line="360" w:lineRule="auto"/>
        <w:ind w:left="567" w:right="567"/>
        <w:jc w:val="both"/>
        <w:rPr>
          <w:rFonts w:ascii="Palatino Linotype" w:hAnsi="Palatino Linotype" w:cs="Arial"/>
          <w:i/>
          <w:sz w:val="24"/>
          <w:szCs w:val="24"/>
          <w:lang w:val="es-ES"/>
        </w:rPr>
      </w:pPr>
    </w:p>
    <w:p w14:paraId="605F028F"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37F205E9" w14:textId="77777777" w:rsidR="00537686" w:rsidRPr="007F41E1" w:rsidRDefault="00537686" w:rsidP="00537686">
      <w:pPr>
        <w:pStyle w:val="Prrafodelista"/>
        <w:spacing w:line="360" w:lineRule="auto"/>
        <w:ind w:left="0"/>
        <w:jc w:val="both"/>
        <w:rPr>
          <w:rFonts w:ascii="Palatino Linotype" w:hAnsi="Palatino Linotype" w:cs="Arial"/>
          <w:sz w:val="24"/>
          <w:lang w:val="es-ES"/>
        </w:rPr>
      </w:pPr>
    </w:p>
    <w:p w14:paraId="5AD98CF1"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700D676" w14:textId="77777777" w:rsidR="00537686" w:rsidRPr="007F41E1" w:rsidRDefault="00537686" w:rsidP="00537686">
      <w:pPr>
        <w:spacing w:line="360" w:lineRule="auto"/>
        <w:jc w:val="both"/>
        <w:rPr>
          <w:rFonts w:ascii="Palatino Linotype" w:hAnsi="Palatino Linotype" w:cs="Arial"/>
          <w:sz w:val="24"/>
          <w:szCs w:val="24"/>
          <w:lang w:val="es-ES"/>
        </w:rPr>
      </w:pPr>
    </w:p>
    <w:p w14:paraId="26304FB3"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b/>
          <w:i/>
          <w:sz w:val="22"/>
          <w:szCs w:val="24"/>
          <w:lang w:val="es-ES"/>
        </w:rPr>
        <w:t>“Artículo 46.-</w:t>
      </w:r>
      <w:r w:rsidRPr="007F41E1">
        <w:rPr>
          <w:rFonts w:ascii="Palatino Linotype" w:hAnsi="Palatino Linotype" w:cs="Arial"/>
          <w:i/>
          <w:sz w:val="22"/>
          <w:szCs w:val="24"/>
          <w:lang w:val="es-ES"/>
        </w:rPr>
        <w:t xml:space="preserve"> El procedimiento de invitación restringida se desarrollará en los términos de la licitación pública, a excepción de la publicación de la convocatoria.” (Sic)</w:t>
      </w:r>
    </w:p>
    <w:p w14:paraId="266E4FE9"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lastRenderedPageBreak/>
        <w:t>Por ello, el Reglamento de la Ley en comento, en su artículo 90, indica cuales lo son los supuestos que deberán observarse para llevar a cabo dicho procedimiento:</w:t>
      </w:r>
    </w:p>
    <w:p w14:paraId="70FC54DD" w14:textId="77777777" w:rsidR="00537686" w:rsidRPr="007F41E1" w:rsidRDefault="00537686" w:rsidP="00537686">
      <w:pPr>
        <w:spacing w:line="360" w:lineRule="auto"/>
        <w:ind w:left="567" w:right="822"/>
        <w:jc w:val="both"/>
        <w:rPr>
          <w:rFonts w:ascii="Palatino Linotype" w:hAnsi="Palatino Linotype" w:cs="Arial"/>
          <w:b/>
          <w:i/>
          <w:sz w:val="22"/>
          <w:szCs w:val="24"/>
          <w:lang w:val="es-ES"/>
        </w:rPr>
      </w:pPr>
    </w:p>
    <w:p w14:paraId="1B509D78"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b/>
          <w:i/>
          <w:sz w:val="22"/>
          <w:szCs w:val="24"/>
          <w:lang w:val="es-ES"/>
        </w:rPr>
        <w:t>Artículo 90.-</w:t>
      </w:r>
      <w:r w:rsidRPr="007F41E1">
        <w:rPr>
          <w:rFonts w:ascii="Palatino Linotype" w:hAnsi="Palatino Linotype" w:cs="Arial"/>
          <w:i/>
          <w:sz w:val="22"/>
          <w:szCs w:val="24"/>
          <w:lang w:val="es-ES"/>
        </w:rPr>
        <w:t xml:space="preserve"> En el procedimiento de invitación restringida se deberá observar lo siguiente:</w:t>
      </w:r>
    </w:p>
    <w:p w14:paraId="7EB5CFBE"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p>
    <w:p w14:paraId="1FEFB359"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I. Se invitará a un mínimo de tres personas seleccionadas de entre las que se encuentren inscritas en el catálogo de proveedores y de prestadores de servicios.</w:t>
      </w:r>
    </w:p>
    <w:p w14:paraId="49C0129B"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Se podrá invitar a personas que no se encuentren inscritas, cuando en el giro correspondiente del catálogo de proveedores y prestadores de servicios no exista el registro mínimo de personas requeridas para tal modalidad;</w:t>
      </w:r>
    </w:p>
    <w:p w14:paraId="6896A3C4" w14:textId="77777777" w:rsidR="00537686" w:rsidRPr="007F41E1" w:rsidRDefault="00537686" w:rsidP="00537686">
      <w:pPr>
        <w:spacing w:line="360" w:lineRule="auto"/>
        <w:ind w:left="567" w:right="822"/>
        <w:jc w:val="both"/>
        <w:rPr>
          <w:rFonts w:ascii="Palatino Linotype" w:hAnsi="Palatino Linotype" w:cs="Arial"/>
          <w:i/>
          <w:sz w:val="22"/>
          <w:szCs w:val="24"/>
          <w:lang w:val="es-ES"/>
        </w:rPr>
      </w:pPr>
      <w:r w:rsidRPr="007F41E1">
        <w:rPr>
          <w:rFonts w:ascii="Palatino Linotype" w:hAnsi="Palatino Linotype" w:cs="Arial"/>
          <w:i/>
          <w:sz w:val="22"/>
          <w:szCs w:val="24"/>
          <w:lang w:val="es-ES"/>
        </w:rPr>
        <w:t>II. Las bases de la invitación restringida indicarán los aspectos de la adquisición o contratación; y</w:t>
      </w:r>
    </w:p>
    <w:p w14:paraId="76157FC6" w14:textId="77777777" w:rsidR="00537686" w:rsidRPr="007F41E1" w:rsidRDefault="00537686" w:rsidP="00537686">
      <w:pPr>
        <w:spacing w:line="360" w:lineRule="auto"/>
        <w:ind w:left="567" w:right="822"/>
        <w:jc w:val="both"/>
        <w:rPr>
          <w:rFonts w:ascii="Palatino Linotype" w:hAnsi="Palatino Linotype" w:cs="Arial"/>
          <w:b/>
          <w:i/>
          <w:sz w:val="22"/>
          <w:szCs w:val="24"/>
          <w:lang w:val="es-ES"/>
        </w:rPr>
      </w:pPr>
      <w:r w:rsidRPr="007F41E1">
        <w:rPr>
          <w:rFonts w:ascii="Palatino Linotype" w:hAnsi="Palatino Linotype" w:cs="Arial"/>
          <w:i/>
          <w:sz w:val="22"/>
          <w:szCs w:val="24"/>
          <w:lang w:val="es-ES"/>
        </w:rPr>
        <w:t>III. Serán aplicables, en lo conducente, las disposiciones de la licitación pública.</w:t>
      </w:r>
      <w:r w:rsidRPr="007F41E1">
        <w:rPr>
          <w:rFonts w:ascii="Palatino Linotype" w:hAnsi="Palatino Linotype" w:cs="Arial"/>
          <w:b/>
          <w:i/>
          <w:sz w:val="22"/>
          <w:szCs w:val="24"/>
          <w:lang w:val="es-ES"/>
        </w:rPr>
        <w:t>”</w:t>
      </w:r>
    </w:p>
    <w:p w14:paraId="31D3CC83" w14:textId="77777777" w:rsidR="00537686" w:rsidRPr="007F41E1" w:rsidRDefault="00537686" w:rsidP="00537686">
      <w:pPr>
        <w:spacing w:line="360" w:lineRule="auto"/>
        <w:ind w:left="709" w:right="822"/>
        <w:jc w:val="both"/>
        <w:rPr>
          <w:rFonts w:ascii="Palatino Linotype" w:hAnsi="Palatino Linotype" w:cs="Arial"/>
          <w:i/>
          <w:sz w:val="24"/>
          <w:szCs w:val="24"/>
          <w:lang w:val="es-ES"/>
        </w:rPr>
      </w:pPr>
    </w:p>
    <w:p w14:paraId="2559818D"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5CBCE65" w14:textId="77777777" w:rsidR="00537686" w:rsidRPr="007F41E1" w:rsidRDefault="00537686" w:rsidP="00537686">
      <w:pPr>
        <w:pStyle w:val="Prrafodelista"/>
        <w:spacing w:line="360" w:lineRule="auto"/>
        <w:ind w:left="0"/>
        <w:jc w:val="both"/>
        <w:rPr>
          <w:rFonts w:ascii="Palatino Linotype" w:hAnsi="Palatino Linotype" w:cs="Arial"/>
          <w:sz w:val="24"/>
          <w:lang w:val="es-ES"/>
        </w:rPr>
      </w:pPr>
    </w:p>
    <w:p w14:paraId="26B9E02B"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0FB369A1"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lastRenderedPageBreak/>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70E8070C" w14:textId="77777777" w:rsidR="00537686" w:rsidRPr="007F41E1" w:rsidRDefault="00537686" w:rsidP="00537686">
      <w:pPr>
        <w:pStyle w:val="Prrafodelista"/>
        <w:rPr>
          <w:rFonts w:ascii="Palatino Linotype" w:hAnsi="Palatino Linotype" w:cs="Arial"/>
          <w:sz w:val="24"/>
          <w:lang w:val="es-ES"/>
        </w:rPr>
      </w:pPr>
    </w:p>
    <w:p w14:paraId="10635518"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 xml:space="preserve">Además, el artículo 67, 68, del 73 al 81 y 94, del referido Reglamento, detalla el procedimiento que se llevará a cabo en la adjudicación directa, así como lo relacionado a la junta de aclaraciones, de la siguiente manera: </w:t>
      </w:r>
    </w:p>
    <w:p w14:paraId="4DC42567" w14:textId="77777777" w:rsidR="00537686" w:rsidRPr="007F41E1" w:rsidRDefault="00537686" w:rsidP="00537686">
      <w:pPr>
        <w:jc w:val="both"/>
        <w:rPr>
          <w:rFonts w:ascii="Palatino Linotype" w:hAnsi="Palatino Linotype" w:cs="Arial"/>
          <w:sz w:val="24"/>
          <w:szCs w:val="24"/>
          <w:lang w:val="es-ES"/>
        </w:rPr>
      </w:pPr>
    </w:p>
    <w:p w14:paraId="78DBB648"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cs="Arial"/>
          <w:b/>
          <w:i/>
          <w:sz w:val="22"/>
          <w:szCs w:val="22"/>
          <w:lang w:val="es-ES"/>
        </w:rPr>
        <w:t>“</w:t>
      </w:r>
      <w:r w:rsidRPr="007F41E1">
        <w:rPr>
          <w:rFonts w:ascii="Palatino Linotype" w:hAnsi="Palatino Linotype"/>
          <w:b/>
          <w:i/>
          <w:sz w:val="22"/>
          <w:szCs w:val="22"/>
        </w:rPr>
        <w:t>Artículo 67.-</w:t>
      </w:r>
      <w:r w:rsidRPr="007F41E1">
        <w:rPr>
          <w:rFonts w:ascii="Palatino Linotype" w:hAnsi="Palatino Linotype"/>
          <w:i/>
          <w:sz w:val="22"/>
          <w:szCs w:val="22"/>
        </w:rPr>
        <w:t xml:space="preserve"> El procedimiento de licitación pública comprende las siguientes fases: </w:t>
      </w:r>
    </w:p>
    <w:p w14:paraId="1FECEE81"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 Publicación de la convocatoria; </w:t>
      </w:r>
    </w:p>
    <w:p w14:paraId="5F869890"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 Venta de las bases de licitación; </w:t>
      </w:r>
    </w:p>
    <w:p w14:paraId="4997B403"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III. Visita, en su caso, al sitio donde se vayan a suministrar los bienes o a prestar los servicios; </w:t>
      </w:r>
    </w:p>
    <w:p w14:paraId="5BE1BFEA" w14:textId="77777777" w:rsidR="00537686" w:rsidRPr="007F41E1" w:rsidRDefault="00537686" w:rsidP="00537686">
      <w:pPr>
        <w:spacing w:line="360" w:lineRule="auto"/>
        <w:ind w:left="567" w:right="567"/>
        <w:jc w:val="both"/>
        <w:rPr>
          <w:rFonts w:ascii="Palatino Linotype" w:hAnsi="Palatino Linotype"/>
          <w:b/>
          <w:i/>
          <w:sz w:val="22"/>
          <w:szCs w:val="22"/>
          <w:u w:val="single"/>
        </w:rPr>
      </w:pPr>
      <w:r w:rsidRPr="007F41E1">
        <w:rPr>
          <w:rFonts w:ascii="Palatino Linotype" w:hAnsi="Palatino Linotype"/>
          <w:b/>
          <w:i/>
          <w:sz w:val="22"/>
          <w:szCs w:val="22"/>
          <w:u w:val="single"/>
        </w:rPr>
        <w:t xml:space="preserve">IV. Junta de aclaraciones, en su caso; </w:t>
      </w:r>
    </w:p>
    <w:p w14:paraId="7E8C5244"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 Acto de presentación y apertura de propuestas; </w:t>
      </w:r>
    </w:p>
    <w:p w14:paraId="683CE7DF"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 Análisis y evaluación de propuestas; </w:t>
      </w:r>
    </w:p>
    <w:p w14:paraId="039848E1"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VII. Dictamen de adjudicación; </w:t>
      </w:r>
    </w:p>
    <w:p w14:paraId="0430A4AD"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VIII. Fallo; </w:t>
      </w:r>
    </w:p>
    <w:p w14:paraId="592A3885"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IX. Suscripción del contrato; y </w:t>
      </w:r>
    </w:p>
    <w:p w14:paraId="43C71E95"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X. Suministro de los bienes o inicio de la prestación del servicio.</w:t>
      </w:r>
    </w:p>
    <w:p w14:paraId="48ED12EB" w14:textId="77777777" w:rsidR="00537686" w:rsidRPr="007F41E1" w:rsidRDefault="00537686" w:rsidP="00537686">
      <w:pPr>
        <w:spacing w:line="360" w:lineRule="auto"/>
        <w:ind w:left="567" w:right="567"/>
        <w:jc w:val="both"/>
        <w:rPr>
          <w:rFonts w:ascii="Palatino Linotype" w:hAnsi="Palatino Linotype"/>
          <w:i/>
          <w:sz w:val="22"/>
          <w:szCs w:val="22"/>
        </w:rPr>
      </w:pPr>
    </w:p>
    <w:p w14:paraId="49FBA493"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 xml:space="preserve">Artículo 68.- </w:t>
      </w:r>
      <w:r w:rsidRPr="007F41E1">
        <w:rPr>
          <w:rFonts w:ascii="Palatino Linotype" w:hAnsi="Palatino Linotype"/>
          <w:i/>
          <w:sz w:val="22"/>
          <w:szCs w:val="22"/>
        </w:rPr>
        <w:t>En el procedimiento de licitación pública se observará lo siguiente:</w:t>
      </w:r>
    </w:p>
    <w:p w14:paraId="55E5881F"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lastRenderedPageBreak/>
        <w:t xml:space="preserve">I. La convocante con base en las necesidades de las unidades administrativas solicitantes de la adquisición de bienes o la contratación de servicios, y atendiendo a las características de los mismos, </w:t>
      </w:r>
      <w:r w:rsidRPr="007F41E1">
        <w:rPr>
          <w:rFonts w:ascii="Palatino Linotype" w:hAnsi="Palatino Linotype"/>
          <w:b/>
          <w:i/>
          <w:sz w:val="22"/>
          <w:szCs w:val="22"/>
        </w:rPr>
        <w:t>programará las fechas en que tendrá verificativo la junta de aclaraciones</w:t>
      </w:r>
      <w:r w:rsidRPr="007F41E1">
        <w:rPr>
          <w:rFonts w:ascii="Palatino Linotype" w:hAnsi="Palatino Linotype"/>
          <w:i/>
          <w:sz w:val="22"/>
          <w:szCs w:val="22"/>
        </w:rPr>
        <w:t>, en su caso, y el acto de presentación y apertura de propuestas, y fallo, dentro del plazo de quince días hábiles siguientes a la publicación de la convocatoria;</w:t>
      </w:r>
    </w:p>
    <w:p w14:paraId="61A3FC9A"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 La venta de bases iniciará a partir del día de publicación de la convocatoria y concluirá el día hábil anterior al día de celebración de la junta de aclaraciones. </w:t>
      </w:r>
    </w:p>
    <w:p w14:paraId="6B1E9D00"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u w:val="single"/>
        </w:rPr>
        <w:t>Cuando no se celebre junta de aclarac</w:t>
      </w:r>
      <w:r w:rsidRPr="007F41E1">
        <w:rPr>
          <w:rFonts w:ascii="Palatino Linotype" w:hAnsi="Palatino Linotype"/>
          <w:i/>
          <w:sz w:val="22"/>
          <w:szCs w:val="22"/>
        </w:rPr>
        <w:t xml:space="preserve">iones, la venta de bases concluirá el día hábil anterior a la celebración del acto de presentación y apertura de propuestas. </w:t>
      </w:r>
    </w:p>
    <w:p w14:paraId="1079E8E9"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En todo caso, el plazo de venta de bases no será menor a tres días hábiles contados a partir del día de la publicación de la convocatoria; </w:t>
      </w:r>
    </w:p>
    <w:p w14:paraId="2FE8F94E"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III. La convocante podrá modificar la convocatoria o las bases dentro de los cinco días hábiles anteriores a la fecha de la celebración del acto de presentación y apertura de propuestas. </w:t>
      </w:r>
    </w:p>
    <w:p w14:paraId="17B0E3D4"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u w:val="single"/>
        </w:rPr>
        <w:t>En caso de que no se celebre junta de aclaraciones</w:t>
      </w:r>
      <w:r w:rsidRPr="007F41E1">
        <w:rPr>
          <w:rFonts w:ascii="Palatino Linotype" w:hAnsi="Palatino Linotype"/>
          <w:i/>
          <w:sz w:val="22"/>
          <w:szCs w:val="22"/>
        </w:rPr>
        <w:t xml:space="preserve"> y se hagan modificaciones a la convocatoria o a las bases, se ajustará el plazo programado para la celebración del acto de presentación y apertura de propuestas; </w:t>
      </w:r>
    </w:p>
    <w:p w14:paraId="78210238"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14:paraId="255F261E"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u w:val="single"/>
        </w:rPr>
        <w:t>V</w:t>
      </w:r>
      <w:r w:rsidRPr="007F41E1">
        <w:rPr>
          <w:rFonts w:ascii="Palatino Linotype" w:hAnsi="Palatino Linotype"/>
          <w:b/>
          <w:i/>
          <w:sz w:val="22"/>
          <w:szCs w:val="22"/>
          <w:u w:val="single"/>
        </w:rPr>
        <w:t>. La junta de aclaraciones</w:t>
      </w:r>
      <w:r w:rsidRPr="007F41E1">
        <w:rPr>
          <w:rFonts w:ascii="Palatino Linotype" w:hAnsi="Palatino Linotype"/>
          <w:i/>
          <w:sz w:val="22"/>
          <w:szCs w:val="22"/>
          <w:u w:val="single"/>
        </w:rPr>
        <w:t xml:space="preserve"> deberá realizarse tres días hábiles antes de la celebración del acto de presentación y apertura de propuestas</w:t>
      </w:r>
      <w:r w:rsidRPr="007F41E1">
        <w:rPr>
          <w:rFonts w:ascii="Palatino Linotype" w:hAnsi="Palatino Linotype"/>
          <w:i/>
          <w:sz w:val="22"/>
          <w:szCs w:val="22"/>
        </w:rPr>
        <w:t>. Las modificaciones que se deriven de la junta de aclaraciones formarán parte integral de las bases y se entregará copia simple del acta correspondiente a las personas que acrediten haberlas adquirido.</w:t>
      </w:r>
    </w:p>
    <w:p w14:paraId="6F4CABC0"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lastRenderedPageBreak/>
        <w:t>Artículo 73.-</w:t>
      </w:r>
      <w:r w:rsidRPr="007F41E1">
        <w:rPr>
          <w:rFonts w:ascii="Palatino Linotype" w:hAnsi="Palatino Linotype"/>
          <w:i/>
          <w:sz w:val="22"/>
          <w:szCs w:val="22"/>
        </w:rPr>
        <w:t xml:space="preserve"> La junta tiene por objeto aclarar a los interesados, los aspectos y lineamientos establecidos en la convocatoria y bases. </w:t>
      </w:r>
    </w:p>
    <w:p w14:paraId="6B65D8D0" w14:textId="77777777" w:rsidR="00537686" w:rsidRPr="007F41E1" w:rsidRDefault="00537686" w:rsidP="00537686">
      <w:pPr>
        <w:spacing w:line="360" w:lineRule="auto"/>
        <w:ind w:left="567" w:right="567"/>
        <w:jc w:val="both"/>
        <w:rPr>
          <w:rFonts w:ascii="Palatino Linotype" w:hAnsi="Palatino Linotype"/>
          <w:i/>
          <w:sz w:val="22"/>
          <w:szCs w:val="22"/>
        </w:rPr>
      </w:pPr>
    </w:p>
    <w:p w14:paraId="3D3B8B57"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Artículo 74.-</w:t>
      </w:r>
      <w:r w:rsidRPr="007F41E1">
        <w:rPr>
          <w:rFonts w:ascii="Palatino Linotype" w:hAnsi="Palatino Linotype"/>
          <w:i/>
          <w:sz w:val="22"/>
          <w:szCs w:val="22"/>
        </w:rPr>
        <w:t xml:space="preserve"> La asistencia a la junta de aclaraciones es optativa. Las personas que deseen asistir y acrediten haber adquirido las bases, se deberán registrar dentro de los treinta minutos anteriores a la hora programada para la celebración de la junta de aclaraciones. </w:t>
      </w:r>
    </w:p>
    <w:p w14:paraId="305D521D" w14:textId="77777777" w:rsidR="00537686" w:rsidRPr="007F41E1" w:rsidRDefault="00537686" w:rsidP="00537686">
      <w:pPr>
        <w:spacing w:line="360" w:lineRule="auto"/>
        <w:ind w:left="567" w:right="567"/>
        <w:jc w:val="both"/>
        <w:rPr>
          <w:rFonts w:ascii="Palatino Linotype" w:hAnsi="Palatino Linotype"/>
          <w:i/>
          <w:sz w:val="22"/>
          <w:szCs w:val="22"/>
        </w:rPr>
      </w:pPr>
    </w:p>
    <w:p w14:paraId="0723DD48"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Artículo 75.-</w:t>
      </w:r>
      <w:r w:rsidRPr="007F41E1">
        <w:rPr>
          <w:rFonts w:ascii="Palatino Linotype" w:hAnsi="Palatino Linotype"/>
          <w:i/>
          <w:sz w:val="22"/>
          <w:szCs w:val="22"/>
        </w:rPr>
        <w:t xml:space="preserve"> Las solicitudes de aclaraciones deberán enviarse a través de COMPRAMEX o entregarlas personalmente a la convocante, a más tardar veinticuatro horas antes de la fecha y hora en que se vaya a realizar la junta de aclaraciones; en todo caso deberá acompañarse a dichas solicitudes una versión electrónica. Las solicitudes que se envíen con posterioridad al plazo señalado no serán contestadas por la convocante. </w:t>
      </w:r>
    </w:p>
    <w:p w14:paraId="05ECD639" w14:textId="77777777" w:rsidR="00537686" w:rsidRPr="007F41E1" w:rsidRDefault="00537686" w:rsidP="00537686">
      <w:pPr>
        <w:spacing w:line="360" w:lineRule="auto"/>
        <w:ind w:left="567" w:right="567"/>
        <w:jc w:val="both"/>
        <w:rPr>
          <w:rFonts w:ascii="Palatino Linotype" w:hAnsi="Palatino Linotype"/>
          <w:i/>
          <w:sz w:val="22"/>
          <w:szCs w:val="22"/>
        </w:rPr>
      </w:pPr>
    </w:p>
    <w:p w14:paraId="69E2EB9F"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Artículo 76.-</w:t>
      </w:r>
      <w:r w:rsidRPr="007F41E1">
        <w:rPr>
          <w:rFonts w:ascii="Palatino Linotype" w:hAnsi="Palatino Linotype"/>
          <w:i/>
          <w:sz w:val="22"/>
          <w:szCs w:val="22"/>
        </w:rPr>
        <w:t xml:space="preserve"> Las solicitudes de aclaración deberán plantearse de manera concisa y estar directamente vinculadas con los puntos contenidos en las bases, indicando el numeral o punto específico con el cual se relaciona. Las solicitudes de aclaración que no cumplan con estos requisitos, podrán ser desechadas por la convocante. </w:t>
      </w:r>
    </w:p>
    <w:p w14:paraId="41762554" w14:textId="77777777" w:rsidR="00537686" w:rsidRPr="007F41E1" w:rsidRDefault="00537686" w:rsidP="00537686">
      <w:pPr>
        <w:spacing w:line="360" w:lineRule="auto"/>
        <w:ind w:left="567" w:right="567"/>
        <w:jc w:val="both"/>
        <w:rPr>
          <w:rFonts w:ascii="Palatino Linotype" w:hAnsi="Palatino Linotype"/>
          <w:i/>
          <w:sz w:val="22"/>
          <w:szCs w:val="22"/>
        </w:rPr>
      </w:pPr>
    </w:p>
    <w:p w14:paraId="6C82D6F0"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Artículo 77.-</w:t>
      </w:r>
      <w:r w:rsidRPr="007F41E1">
        <w:rPr>
          <w:rFonts w:ascii="Palatino Linotype" w:hAnsi="Palatino Linotype"/>
          <w:i/>
          <w:sz w:val="22"/>
          <w:szCs w:val="22"/>
        </w:rPr>
        <w:t xml:space="preserve"> El servidor público que presida la junta de aclaraciones podrá suspender la sesión, en razón del número de solicitudes de aclaraciones recibidas o del tiempo que emplearía en darles contestación, informando a los licitantes la hora y, en su caso, fecha o lugar, en que se continuará con la junta de aclaraciones. Cuando por virtud de la suspensión de la junta de aclaraciones, se tenga que modificar la fecha del acto de presentación y apertura de propuestas, tal circunstancia se asentará en el acta </w:t>
      </w:r>
      <w:r w:rsidRPr="007F41E1">
        <w:rPr>
          <w:rFonts w:ascii="Palatino Linotype" w:hAnsi="Palatino Linotype"/>
          <w:i/>
          <w:sz w:val="22"/>
          <w:szCs w:val="22"/>
        </w:rPr>
        <w:lastRenderedPageBreak/>
        <w:t xml:space="preserve">correspondiente. En todo caso, será responsabilidad de los interesados obtener una copia del acta de la junta de aclaraciones que estará a su disposición en el domicilio que haya señalado la convocante, o en COMPRAMEX. </w:t>
      </w:r>
    </w:p>
    <w:p w14:paraId="727CA3B4" w14:textId="77777777" w:rsidR="00537686" w:rsidRPr="007F41E1" w:rsidRDefault="00537686" w:rsidP="00537686">
      <w:pPr>
        <w:spacing w:line="360" w:lineRule="auto"/>
        <w:ind w:left="567" w:right="567"/>
        <w:jc w:val="both"/>
        <w:rPr>
          <w:rFonts w:ascii="Palatino Linotype" w:hAnsi="Palatino Linotype"/>
          <w:i/>
          <w:sz w:val="22"/>
          <w:szCs w:val="22"/>
        </w:rPr>
      </w:pPr>
    </w:p>
    <w:p w14:paraId="32A12D99"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 xml:space="preserve">Artículo 78.- </w:t>
      </w:r>
      <w:r w:rsidRPr="007F41E1">
        <w:rPr>
          <w:rFonts w:ascii="Palatino Linotype" w:hAnsi="Palatino Linotype"/>
          <w:i/>
          <w:sz w:val="22"/>
          <w:szCs w:val="22"/>
        </w:rPr>
        <w:t xml:space="preserve">La junta de aclaraciones se sujetará al orden siguiente: </w:t>
      </w:r>
    </w:p>
    <w:p w14:paraId="6C5F0E23"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 Lectura del registro de asistencia; </w:t>
      </w:r>
    </w:p>
    <w:p w14:paraId="15AE4077"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 Objeto de la junta; </w:t>
      </w:r>
    </w:p>
    <w:p w14:paraId="58EBD07F"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III. Aclaraciones de orden técnico;</w:t>
      </w:r>
    </w:p>
    <w:p w14:paraId="69AA8BF9"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IV. Aclaraciones de orden administrativo; </w:t>
      </w:r>
    </w:p>
    <w:p w14:paraId="4EC8C89E"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 En su caso, modificaciones a los plazos y términos de la convocatoria o las bases, que no cambien de manera sustancial las mismas; </w:t>
      </w:r>
    </w:p>
    <w:p w14:paraId="07C5243A"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 Declaración de que se dio respuesta a los cuestionamientos formulados; </w:t>
      </w:r>
    </w:p>
    <w:p w14:paraId="310B7BD8"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VII. Declaración de la terminación de la junta de aclaraciones y cierre del acta; y </w:t>
      </w:r>
    </w:p>
    <w:p w14:paraId="209ADED8"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VIII. Firma de los servidores públicos y, en su caso, de los interesados que hayan participado en el acto. </w:t>
      </w:r>
    </w:p>
    <w:p w14:paraId="7063C1FB" w14:textId="77777777" w:rsidR="00537686" w:rsidRPr="007F41E1" w:rsidRDefault="00537686" w:rsidP="00537686">
      <w:pPr>
        <w:spacing w:line="360" w:lineRule="auto"/>
        <w:ind w:left="567" w:right="567"/>
        <w:jc w:val="both"/>
        <w:rPr>
          <w:rFonts w:ascii="Palatino Linotype" w:hAnsi="Palatino Linotype"/>
          <w:i/>
          <w:sz w:val="22"/>
          <w:szCs w:val="22"/>
        </w:rPr>
      </w:pPr>
    </w:p>
    <w:p w14:paraId="3E15BF42"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Artículo 79.-</w:t>
      </w:r>
      <w:r w:rsidRPr="007F41E1">
        <w:rPr>
          <w:rFonts w:ascii="Palatino Linotype" w:hAnsi="Palatino Linotype"/>
          <w:i/>
          <w:sz w:val="22"/>
          <w:szCs w:val="22"/>
        </w:rPr>
        <w:t xml:space="preserve"> El acta de la junta de aclaraciones deberá referir como mínimo, lo siguiente: </w:t>
      </w:r>
    </w:p>
    <w:p w14:paraId="6357113B"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 Nombre de los servidores públicos que intervienen en el acto; </w:t>
      </w:r>
    </w:p>
    <w:p w14:paraId="1E3CDE80"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 Nombre o clave de los interesados que participen; </w:t>
      </w:r>
    </w:p>
    <w:p w14:paraId="203094B7"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III. Las preguntas y las aclaraciones respectivas; </w:t>
      </w:r>
    </w:p>
    <w:p w14:paraId="02C5FD83"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IV. En su caso, las modificaciones a la convocatoria o bases; </w:t>
      </w:r>
    </w:p>
    <w:p w14:paraId="009B3394"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 Las demás consideraciones que se estimen necesarias; y </w:t>
      </w:r>
    </w:p>
    <w:p w14:paraId="5D1675F4"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i/>
          <w:sz w:val="22"/>
          <w:szCs w:val="22"/>
        </w:rPr>
        <w:t xml:space="preserve">VI. Firma de los servidores públicos y, en su caso, de los interesados que hayan participado en el acto. </w:t>
      </w:r>
    </w:p>
    <w:p w14:paraId="4B6C1C5F"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lastRenderedPageBreak/>
        <w:t>Artículo 80.-</w:t>
      </w:r>
      <w:r w:rsidRPr="007F41E1">
        <w:rPr>
          <w:rFonts w:ascii="Palatino Linotype" w:hAnsi="Palatino Linotype"/>
          <w:i/>
          <w:sz w:val="22"/>
          <w:szCs w:val="22"/>
        </w:rPr>
        <w:t xml:space="preserve"> El servidor público que designe la convocante, será responsable del desarrollo de la junta de aclaraciones, a la que podrá asistir cualquier persona en calidad de observador sin tener derecho a voz y sólo podrán presentar preguntas o solicitudes de aclaración las personas que hayan adquirido bases. El servidor público responsable del desarrollo del acto, estará facultado para imponer los medios de apremio y medidas disciplinarias que se establecen en el artículo 19 del Código de Procedimientos Administrativos del Estado de México. </w:t>
      </w:r>
    </w:p>
    <w:p w14:paraId="0D89498C" w14:textId="77777777" w:rsidR="00537686" w:rsidRPr="007F41E1" w:rsidRDefault="00537686" w:rsidP="00537686">
      <w:pPr>
        <w:spacing w:line="360" w:lineRule="auto"/>
        <w:ind w:left="567" w:right="567"/>
        <w:jc w:val="both"/>
        <w:rPr>
          <w:rFonts w:ascii="Palatino Linotype" w:hAnsi="Palatino Linotype"/>
          <w:i/>
          <w:sz w:val="22"/>
          <w:szCs w:val="22"/>
        </w:rPr>
      </w:pPr>
      <w:r w:rsidRPr="007F41E1">
        <w:rPr>
          <w:rFonts w:ascii="Palatino Linotype" w:hAnsi="Palatino Linotype"/>
          <w:b/>
          <w:i/>
          <w:sz w:val="22"/>
          <w:szCs w:val="22"/>
        </w:rPr>
        <w:t>Artículo 81.-</w:t>
      </w:r>
      <w:r w:rsidRPr="007F41E1">
        <w:rPr>
          <w:rFonts w:ascii="Palatino Linotype" w:hAnsi="Palatino Linotype"/>
          <w:i/>
          <w:sz w:val="22"/>
          <w:szCs w:val="22"/>
        </w:rPr>
        <w:t xml:space="preserve"> El acta de la junta de aclaraciones será firmada por todos los participantes que acudan de manera presencial y servidores públicos asistentes, a quienes se les entregará copia de la misma.</w:t>
      </w:r>
    </w:p>
    <w:p w14:paraId="66D73BF3" w14:textId="77777777" w:rsidR="00537686" w:rsidRPr="007F41E1" w:rsidRDefault="00537686" w:rsidP="00537686">
      <w:pPr>
        <w:spacing w:line="360" w:lineRule="auto"/>
        <w:ind w:left="567" w:right="567"/>
        <w:jc w:val="both"/>
        <w:rPr>
          <w:rFonts w:ascii="Palatino Linotype" w:hAnsi="Palatino Linotype" w:cs="Arial"/>
          <w:b/>
          <w:i/>
          <w:sz w:val="22"/>
          <w:szCs w:val="22"/>
          <w:lang w:val="es-ES"/>
        </w:rPr>
      </w:pPr>
      <w:r w:rsidRPr="007F41E1">
        <w:rPr>
          <w:rFonts w:ascii="Palatino Linotype" w:hAnsi="Palatino Linotype" w:cs="Arial"/>
          <w:b/>
          <w:i/>
          <w:sz w:val="22"/>
          <w:szCs w:val="22"/>
          <w:lang w:val="es-ES"/>
        </w:rPr>
        <w:t xml:space="preserve">Artículo 94.- </w:t>
      </w:r>
      <w:r w:rsidRPr="007F41E1">
        <w:rPr>
          <w:rFonts w:ascii="Palatino Linotype" w:hAnsi="Palatino Linotype" w:cs="Arial"/>
          <w:i/>
          <w:sz w:val="22"/>
          <w:szCs w:val="22"/>
          <w:lang w:val="es-ES"/>
        </w:rPr>
        <w:t>En el procedimiento de adjudicación directa se observará lo siguiente:</w:t>
      </w:r>
      <w:r w:rsidRPr="007F41E1">
        <w:rPr>
          <w:rFonts w:ascii="Palatino Linotype" w:hAnsi="Palatino Linotype" w:cs="Arial"/>
          <w:b/>
          <w:i/>
          <w:sz w:val="22"/>
          <w:szCs w:val="22"/>
          <w:lang w:val="es-ES"/>
        </w:rPr>
        <w:t xml:space="preserve"> </w:t>
      </w:r>
    </w:p>
    <w:p w14:paraId="6A23CD0A"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t>I.</w:t>
      </w:r>
      <w:r w:rsidRPr="007F41E1">
        <w:rPr>
          <w:rFonts w:ascii="Palatino Linotype" w:hAnsi="Palatino Linotype" w:cs="Arial"/>
          <w:i/>
          <w:sz w:val="22"/>
          <w:szCs w:val="22"/>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A7DEAD2"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t>II.</w:t>
      </w:r>
      <w:r w:rsidRPr="007F41E1">
        <w:rPr>
          <w:rFonts w:ascii="Palatino Linotype" w:hAnsi="Palatino Linotype" w:cs="Arial"/>
          <w:i/>
          <w:sz w:val="22"/>
          <w:szCs w:val="22"/>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4BA67399"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t>III.</w:t>
      </w:r>
      <w:r w:rsidRPr="007F41E1">
        <w:rPr>
          <w:rFonts w:ascii="Palatino Linotype" w:hAnsi="Palatino Linotype" w:cs="Arial"/>
          <w:i/>
          <w:sz w:val="22"/>
          <w:szCs w:val="22"/>
          <w:lang w:val="es-ES"/>
        </w:rPr>
        <w:t xml:space="preserve"> La solicitud de participación contendrá, como mínimo, la descripción y cantidad de los bienes o servicios requeridos, lugar, plazo de entrega o duración del servicio y forma de pago;</w:t>
      </w:r>
    </w:p>
    <w:p w14:paraId="4BAD916B"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lastRenderedPageBreak/>
        <w:t>IV.</w:t>
      </w:r>
      <w:r w:rsidRPr="007F41E1">
        <w:rPr>
          <w:rFonts w:ascii="Palatino Linotype" w:hAnsi="Palatino Linotype" w:cs="Arial"/>
          <w:i/>
          <w:sz w:val="22"/>
          <w:szCs w:val="22"/>
          <w:lang w:val="es-ES"/>
        </w:rPr>
        <w:t xml:space="preserve"> La solicitud de participación deberá señalar el día, hora y lugar en que tendrá verificativo el acto de presentación y apertura de ofertas;</w:t>
      </w:r>
    </w:p>
    <w:p w14:paraId="5CB091BB"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u w:val="single"/>
          <w:lang w:val="es-ES"/>
        </w:rPr>
        <w:t>V.</w:t>
      </w:r>
      <w:r w:rsidRPr="007F41E1">
        <w:rPr>
          <w:rFonts w:ascii="Palatino Linotype" w:hAnsi="Palatino Linotype" w:cs="Arial"/>
          <w:i/>
          <w:sz w:val="22"/>
          <w:szCs w:val="22"/>
          <w:u w:val="single"/>
          <w:lang w:val="es-ES"/>
        </w:rPr>
        <w:t xml:space="preserve"> Atendiendo a la naturaleza de los bienes o servicios, la convocante podrá optar entre </w:t>
      </w:r>
      <w:r w:rsidRPr="007F41E1">
        <w:rPr>
          <w:rFonts w:ascii="Palatino Linotype" w:hAnsi="Palatino Linotype" w:cs="Arial"/>
          <w:b/>
          <w:i/>
          <w:sz w:val="22"/>
          <w:szCs w:val="22"/>
          <w:u w:val="single"/>
          <w:lang w:val="es-ES"/>
        </w:rPr>
        <w:t>celebrar o no junta de aclaraciones</w:t>
      </w:r>
      <w:r w:rsidRPr="007F41E1">
        <w:rPr>
          <w:rFonts w:ascii="Palatino Linotype" w:hAnsi="Palatino Linotype" w:cs="Arial"/>
          <w:i/>
          <w:sz w:val="22"/>
          <w:szCs w:val="22"/>
          <w:u w:val="single"/>
          <w:lang w:val="es-ES"/>
        </w:rPr>
        <w:t>, en términos de lo dispuesto por este Reglamento</w:t>
      </w:r>
      <w:r w:rsidRPr="007F41E1">
        <w:rPr>
          <w:rFonts w:ascii="Palatino Linotype" w:hAnsi="Palatino Linotype" w:cs="Arial"/>
          <w:i/>
          <w:sz w:val="22"/>
          <w:szCs w:val="22"/>
          <w:lang w:val="es-ES"/>
        </w:rPr>
        <w:t>;</w:t>
      </w:r>
    </w:p>
    <w:p w14:paraId="7CD3A74B"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t>VI.</w:t>
      </w:r>
      <w:r w:rsidRPr="007F41E1">
        <w:rPr>
          <w:rFonts w:ascii="Palatino Linotype" w:hAnsi="Palatino Linotype" w:cs="Arial"/>
          <w:i/>
          <w:sz w:val="22"/>
          <w:szCs w:val="22"/>
          <w:lang w:val="es-ES"/>
        </w:rPr>
        <w:t xml:space="preserve"> El servidor público designado por la convocante será el responsable de llevar a cabo el acto de presentación y apertura de propuestas;</w:t>
      </w:r>
    </w:p>
    <w:p w14:paraId="5EC5EBD2"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t>VII.</w:t>
      </w:r>
      <w:r w:rsidRPr="007F41E1">
        <w:rPr>
          <w:rFonts w:ascii="Palatino Linotype" w:hAnsi="Palatino Linotype" w:cs="Arial"/>
          <w:i/>
          <w:sz w:val="22"/>
          <w:szCs w:val="22"/>
          <w:lang w:val="es-ES"/>
        </w:rPr>
        <w:t xml:space="preserve"> Se observarán, en lo conducente, las disposiciones relativas a la contraoferta; y</w:t>
      </w:r>
    </w:p>
    <w:p w14:paraId="69F4AFA1"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b/>
          <w:i/>
          <w:sz w:val="22"/>
          <w:szCs w:val="22"/>
          <w:lang w:val="es-ES"/>
        </w:rPr>
        <w:t>VIII.</w:t>
      </w:r>
      <w:r w:rsidRPr="007F41E1">
        <w:rPr>
          <w:rFonts w:ascii="Palatino Linotype" w:hAnsi="Palatino Linotype" w:cs="Arial"/>
          <w:i/>
          <w:sz w:val="22"/>
          <w:szCs w:val="22"/>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7F41E1">
        <w:rPr>
          <w:rFonts w:ascii="Palatino Linotype" w:hAnsi="Palatino Linotype" w:cs="Arial"/>
          <w:b/>
          <w:i/>
          <w:sz w:val="22"/>
          <w:szCs w:val="22"/>
          <w:lang w:val="es-ES"/>
        </w:rPr>
        <w:t>”</w:t>
      </w:r>
      <w:r w:rsidRPr="007F41E1">
        <w:rPr>
          <w:rFonts w:ascii="Palatino Linotype" w:hAnsi="Palatino Linotype" w:cs="Arial"/>
          <w:i/>
          <w:sz w:val="22"/>
          <w:szCs w:val="22"/>
          <w:lang w:val="es-ES"/>
        </w:rPr>
        <w:t xml:space="preserve"> </w:t>
      </w:r>
    </w:p>
    <w:p w14:paraId="6B02933F" w14:textId="77777777" w:rsidR="00537686" w:rsidRPr="007F41E1" w:rsidRDefault="00537686" w:rsidP="00537686">
      <w:pPr>
        <w:spacing w:line="360" w:lineRule="auto"/>
        <w:ind w:left="567" w:right="567"/>
        <w:jc w:val="both"/>
        <w:rPr>
          <w:rFonts w:ascii="Palatino Linotype" w:hAnsi="Palatino Linotype" w:cs="Arial"/>
          <w:i/>
          <w:sz w:val="22"/>
          <w:szCs w:val="22"/>
          <w:lang w:val="es-ES"/>
        </w:rPr>
      </w:pPr>
      <w:r w:rsidRPr="007F41E1">
        <w:rPr>
          <w:rFonts w:ascii="Palatino Linotype" w:hAnsi="Palatino Linotype" w:cs="Arial"/>
          <w:i/>
          <w:sz w:val="22"/>
          <w:szCs w:val="22"/>
          <w:lang w:val="es-ES"/>
        </w:rPr>
        <w:t>(Énfasis añadido)</w:t>
      </w:r>
    </w:p>
    <w:p w14:paraId="5CD7B6F8" w14:textId="77777777" w:rsidR="00537686" w:rsidRPr="007F41E1" w:rsidRDefault="00537686" w:rsidP="00537686">
      <w:pPr>
        <w:ind w:left="851" w:right="851"/>
        <w:jc w:val="both"/>
        <w:rPr>
          <w:rFonts w:ascii="Palatino Linotype" w:hAnsi="Palatino Linotype" w:cs="Arial"/>
          <w:i/>
          <w:sz w:val="24"/>
          <w:szCs w:val="24"/>
          <w:lang w:val="es-ES"/>
        </w:rPr>
      </w:pPr>
    </w:p>
    <w:p w14:paraId="5A933543"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cs="Arial"/>
          <w:sz w:val="24"/>
        </w:rPr>
      </w:pPr>
      <w:r w:rsidRPr="007F41E1">
        <w:rPr>
          <w:rFonts w:ascii="Palatino Linotype" w:hAnsi="Palatino Linotype"/>
          <w:sz w:val="24"/>
          <w:lang w:val="es-ES"/>
        </w:rPr>
        <w:t xml:space="preserve">En este sentido, </w:t>
      </w:r>
      <w:r w:rsidRPr="007F41E1">
        <w:rPr>
          <w:rFonts w:ascii="Palatino Linotype" w:hAnsi="Palatino Linotype" w:cs="Arial"/>
          <w:sz w:val="24"/>
          <w:lang w:val="es-ES"/>
        </w:rPr>
        <w:t xml:space="preserve">debe decirse que los </w:t>
      </w:r>
      <w:r w:rsidRPr="007F41E1">
        <w:rPr>
          <w:rFonts w:ascii="Palatino Linotype" w:hAnsi="Palatino Linotype" w:cs="Arial"/>
          <w:b/>
          <w:bCs/>
          <w:sz w:val="24"/>
          <w:u w:val="single"/>
          <w:lang w:val="es-ES"/>
        </w:rPr>
        <w:t>expedientes de las adquisiciones, arrendamientos, enajenaciones y servicios</w:t>
      </w:r>
      <w:r w:rsidRPr="007F41E1">
        <w:rPr>
          <w:rFonts w:ascii="Palatino Linotype" w:hAnsi="Palatino Linotype" w:cs="Arial"/>
          <w:sz w:val="24"/>
          <w:lang w:val="es-ES"/>
        </w:rPr>
        <w:t xml:space="preserve">, </w:t>
      </w:r>
      <w:r w:rsidRPr="007F41E1">
        <w:rPr>
          <w:rFonts w:ascii="Palatino Linotype" w:hAnsi="Palatino Linotype" w:cs="Arial"/>
          <w:sz w:val="24"/>
        </w:rPr>
        <w:t>se encuentra considerada como una de las obligaciones de transparencias comunes que l</w:t>
      </w:r>
      <w:r w:rsidRPr="007F41E1">
        <w:rPr>
          <w:rFonts w:ascii="Palatino Linotype" w:hAnsi="Palatino Linotype"/>
          <w:sz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7F41E1">
        <w:rPr>
          <w:rFonts w:ascii="Palatino Linotype" w:hAnsi="Palatino Linotype" w:cs="Arial"/>
          <w:color w:val="000000"/>
          <w:sz w:val="24"/>
        </w:rPr>
        <w:t xml:space="preserve">el </w:t>
      </w:r>
      <w:r w:rsidRPr="007F41E1">
        <w:rPr>
          <w:rFonts w:ascii="Palatino Linotype" w:hAnsi="Palatino Linotype" w:cs="Arial"/>
          <w:sz w:val="24"/>
        </w:rPr>
        <w:t>artículo 92 de la de la Ley de Transparencia y Acceso a la Información Pública del Estado de México y Municipios, en su fracción XXIX, dispone lo siguiente:</w:t>
      </w:r>
    </w:p>
    <w:p w14:paraId="5C6F3E21" w14:textId="77777777" w:rsidR="00537686" w:rsidRPr="007F41E1" w:rsidRDefault="00537686" w:rsidP="00537686">
      <w:pPr>
        <w:jc w:val="both"/>
        <w:rPr>
          <w:rFonts w:ascii="Palatino Linotype" w:hAnsi="Palatino Linotype" w:cs="Arial"/>
          <w:sz w:val="24"/>
          <w:szCs w:val="24"/>
        </w:rPr>
      </w:pPr>
    </w:p>
    <w:p w14:paraId="32AF5C52"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“Artículo 92. </w:t>
      </w:r>
      <w:r w:rsidRPr="007F41E1">
        <w:rPr>
          <w:rFonts w:ascii="Palatino Linotype" w:hAnsi="Palatino Linotype" w:cs="Arial"/>
          <w:i/>
          <w:iCs/>
          <w:sz w:val="22"/>
          <w:szCs w:val="24"/>
          <w:lang w:val="es-ES"/>
        </w:rPr>
        <w:t xml:space="preserve">Los sujetos obligados deberán poner a disposición del público de manera permanente y actualizada de forma sencilla, precisa y entendible, en los </w:t>
      </w:r>
      <w:r w:rsidRPr="007F41E1">
        <w:rPr>
          <w:rFonts w:ascii="Palatino Linotype" w:hAnsi="Palatino Linotype" w:cs="Arial"/>
          <w:i/>
          <w:iCs/>
          <w:sz w:val="22"/>
          <w:szCs w:val="24"/>
          <w:lang w:val="es-ES"/>
        </w:rPr>
        <w:lastRenderedPageBreak/>
        <w:t>respectivos medios electrónicos, de acuerdo con sus facultades, atribuciones, funciones u objeto social, según corresponda, la información, por lo menos, de los temas, documentos y políticas que a continuación se señalan:</w:t>
      </w:r>
    </w:p>
    <w:p w14:paraId="0C757196"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i/>
          <w:iCs/>
          <w:sz w:val="22"/>
          <w:szCs w:val="24"/>
          <w:lang w:val="es-ES"/>
        </w:rPr>
        <w:t>(…)</w:t>
      </w:r>
    </w:p>
    <w:p w14:paraId="10933906" w14:textId="77777777" w:rsidR="00537686" w:rsidRPr="007F41E1" w:rsidRDefault="00537686" w:rsidP="00537686">
      <w:pPr>
        <w:spacing w:line="360" w:lineRule="auto"/>
        <w:ind w:left="567" w:right="822"/>
        <w:jc w:val="both"/>
        <w:rPr>
          <w:rFonts w:ascii="Palatino Linotype" w:hAnsi="Palatino Linotype" w:cs="Arial"/>
          <w:b/>
          <w:bCs/>
          <w:i/>
          <w:iCs/>
          <w:sz w:val="22"/>
          <w:szCs w:val="24"/>
          <w:lang w:val="es-ES"/>
        </w:rPr>
      </w:pPr>
    </w:p>
    <w:p w14:paraId="7AFF5120"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XXIX. </w:t>
      </w:r>
      <w:r w:rsidRPr="007F41E1">
        <w:rPr>
          <w:rFonts w:ascii="Palatino Linotype" w:hAnsi="Palatino Linotype" w:cs="Arial"/>
          <w:i/>
          <w:iCs/>
          <w:sz w:val="22"/>
          <w:szCs w:val="24"/>
          <w:lang w:val="es-ES"/>
        </w:rPr>
        <w:t>La información sobre los procesos y resultados sobre procedimientos de adjudicación directa, invitación restringida y licitación de cualquier naturaleza, </w:t>
      </w:r>
      <w:r w:rsidRPr="007F41E1">
        <w:rPr>
          <w:rFonts w:ascii="Palatino Linotype" w:hAnsi="Palatino Linotype" w:cs="Arial"/>
          <w:b/>
          <w:bCs/>
          <w:i/>
          <w:iCs/>
          <w:sz w:val="22"/>
          <w:szCs w:val="24"/>
          <w:u w:val="single"/>
          <w:lang w:val="es-ES"/>
        </w:rPr>
        <w:t>incluyendo la versión pública del expediente respectivo y de los contratos</w:t>
      </w:r>
      <w:r w:rsidRPr="007F41E1">
        <w:rPr>
          <w:rFonts w:ascii="Palatino Linotype" w:hAnsi="Palatino Linotype" w:cs="Arial"/>
          <w:i/>
          <w:iCs/>
          <w:sz w:val="22"/>
          <w:szCs w:val="24"/>
          <w:lang w:val="es-ES"/>
        </w:rPr>
        <w:t> celebrados, que deberán contener, por los menos, lo siguiente:</w:t>
      </w:r>
    </w:p>
    <w:p w14:paraId="2FD83070"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a) </w:t>
      </w:r>
      <w:r w:rsidRPr="007F41E1">
        <w:rPr>
          <w:rFonts w:ascii="Palatino Linotype" w:hAnsi="Palatino Linotype" w:cs="Arial"/>
          <w:i/>
          <w:iCs/>
          <w:sz w:val="22"/>
          <w:szCs w:val="24"/>
          <w:lang w:val="es-ES"/>
        </w:rPr>
        <w:t>De licitaciones públicas o procedimientos de invitación restringida:</w:t>
      </w:r>
    </w:p>
    <w:p w14:paraId="13C6FD40"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1)</w:t>
      </w:r>
      <w:r w:rsidRPr="007F41E1">
        <w:rPr>
          <w:rFonts w:ascii="Palatino Linotype" w:hAnsi="Palatino Linotype" w:cs="Arial"/>
          <w:i/>
          <w:iCs/>
          <w:sz w:val="22"/>
          <w:szCs w:val="24"/>
          <w:lang w:val="es-ES"/>
        </w:rPr>
        <w:t> La convocatoria o invitación emitida, así como los fundamentos legales aplicados para llevarla a cabo;</w:t>
      </w:r>
    </w:p>
    <w:p w14:paraId="53EE3B71"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2) </w:t>
      </w:r>
      <w:r w:rsidRPr="007F41E1">
        <w:rPr>
          <w:rFonts w:ascii="Palatino Linotype" w:hAnsi="Palatino Linotype" w:cs="Arial"/>
          <w:i/>
          <w:iCs/>
          <w:sz w:val="22"/>
          <w:szCs w:val="24"/>
          <w:lang w:val="es-ES"/>
        </w:rPr>
        <w:t>Los nombres de los participantes o invitados;</w:t>
      </w:r>
    </w:p>
    <w:p w14:paraId="756B4AEB"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3)</w:t>
      </w:r>
      <w:r w:rsidRPr="007F41E1">
        <w:rPr>
          <w:rFonts w:ascii="Palatino Linotype" w:hAnsi="Palatino Linotype" w:cs="Arial"/>
          <w:i/>
          <w:iCs/>
          <w:sz w:val="22"/>
          <w:szCs w:val="24"/>
          <w:lang w:val="es-ES"/>
        </w:rPr>
        <w:t> El nombre del ganador y las razones que lo justifican;</w:t>
      </w:r>
    </w:p>
    <w:p w14:paraId="302616A7"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4) </w:t>
      </w:r>
      <w:r w:rsidRPr="007F41E1">
        <w:rPr>
          <w:rFonts w:ascii="Palatino Linotype" w:hAnsi="Palatino Linotype" w:cs="Arial"/>
          <w:i/>
          <w:iCs/>
          <w:sz w:val="22"/>
          <w:szCs w:val="24"/>
          <w:lang w:val="es-ES"/>
        </w:rPr>
        <w:t>El área solicitante y la responsable de su ejecución;</w:t>
      </w:r>
    </w:p>
    <w:p w14:paraId="403FD31E"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5) </w:t>
      </w:r>
      <w:r w:rsidRPr="007F41E1">
        <w:rPr>
          <w:rFonts w:ascii="Palatino Linotype" w:hAnsi="Palatino Linotype" w:cs="Arial"/>
          <w:i/>
          <w:iCs/>
          <w:sz w:val="22"/>
          <w:szCs w:val="24"/>
          <w:lang w:val="es-ES"/>
        </w:rPr>
        <w:t>Las convocatorias e invitaciones emitidas;</w:t>
      </w:r>
    </w:p>
    <w:p w14:paraId="6B93068E"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6)</w:t>
      </w:r>
      <w:r w:rsidRPr="007F41E1">
        <w:rPr>
          <w:rFonts w:ascii="Palatino Linotype" w:hAnsi="Palatino Linotype" w:cs="Arial"/>
          <w:i/>
          <w:iCs/>
          <w:sz w:val="22"/>
          <w:szCs w:val="24"/>
          <w:lang w:val="es-ES"/>
        </w:rPr>
        <w:t> Los dictámenes y fallo de adjudicación;</w:t>
      </w:r>
    </w:p>
    <w:p w14:paraId="026F5B91"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u w:val="single"/>
          <w:lang w:val="es-ES"/>
        </w:rPr>
        <w:t>7) El contrato y, en su caso, sus anexos</w:t>
      </w:r>
      <w:r w:rsidRPr="007F41E1">
        <w:rPr>
          <w:rFonts w:ascii="Palatino Linotype" w:hAnsi="Palatino Linotype" w:cs="Arial"/>
          <w:bCs/>
          <w:i/>
          <w:iCs/>
          <w:sz w:val="22"/>
          <w:szCs w:val="24"/>
          <w:lang w:val="es-ES"/>
        </w:rPr>
        <w:t>;</w:t>
      </w:r>
    </w:p>
    <w:p w14:paraId="05188566"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8) </w:t>
      </w:r>
      <w:r w:rsidRPr="007F41E1">
        <w:rPr>
          <w:rFonts w:ascii="Palatino Linotype" w:hAnsi="Palatino Linotype" w:cs="Arial"/>
          <w:i/>
          <w:iCs/>
          <w:sz w:val="22"/>
          <w:szCs w:val="24"/>
          <w:lang w:val="es-ES"/>
        </w:rPr>
        <w:t>Los mecanismos de vigilancia y supervisión, incluyendo en su caso, los estudios de impacto urbano y ambiental, según corresponda;</w:t>
      </w:r>
    </w:p>
    <w:p w14:paraId="18C2449E"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9) </w:t>
      </w:r>
      <w:r w:rsidRPr="007F41E1">
        <w:rPr>
          <w:rFonts w:ascii="Palatino Linotype" w:hAnsi="Palatino Linotype" w:cs="Arial"/>
          <w:i/>
          <w:iCs/>
          <w:sz w:val="22"/>
          <w:szCs w:val="24"/>
          <w:lang w:val="es-ES"/>
        </w:rPr>
        <w:t>La partida presupuestal, de conformidad con el clasificador por objeto del gasto, en el caso de ser aplicable;</w:t>
      </w:r>
    </w:p>
    <w:p w14:paraId="6FCF3275"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Cs/>
          <w:i/>
          <w:iCs/>
          <w:sz w:val="22"/>
          <w:szCs w:val="24"/>
          <w:lang w:val="es-ES"/>
        </w:rPr>
        <w:t xml:space="preserve">10) Origen de los recursos especificando si son federales, estatales o municipales, </w:t>
      </w:r>
      <w:r w:rsidRPr="007F41E1">
        <w:rPr>
          <w:rFonts w:ascii="Palatino Linotype" w:hAnsi="Palatino Linotype" w:cs="Arial"/>
          <w:i/>
          <w:iCs/>
          <w:sz w:val="22"/>
          <w:szCs w:val="24"/>
          <w:lang w:val="es-ES"/>
        </w:rPr>
        <w:t>así como el tipo de fondo de participación o aportación respectiva;</w:t>
      </w:r>
    </w:p>
    <w:p w14:paraId="7ACFB7FC"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lastRenderedPageBreak/>
        <w:t>11) </w:t>
      </w:r>
      <w:r w:rsidRPr="007F41E1">
        <w:rPr>
          <w:rFonts w:ascii="Palatino Linotype" w:hAnsi="Palatino Linotype" w:cs="Arial"/>
          <w:i/>
          <w:iCs/>
          <w:sz w:val="22"/>
          <w:szCs w:val="24"/>
          <w:lang w:val="es-ES"/>
        </w:rPr>
        <w:t>Los convenios modificatorios que, en su caso, sean firmados, precisando el objeto y la fecha de celebración;</w:t>
      </w:r>
    </w:p>
    <w:p w14:paraId="0DD24259"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12) </w:t>
      </w:r>
      <w:r w:rsidRPr="007F41E1">
        <w:rPr>
          <w:rFonts w:ascii="Palatino Linotype" w:hAnsi="Palatino Linotype" w:cs="Arial"/>
          <w:i/>
          <w:iCs/>
          <w:sz w:val="22"/>
          <w:szCs w:val="24"/>
          <w:lang w:val="es-ES"/>
        </w:rPr>
        <w:t>Los informes de avance físico y financiero sobre las obras o servicios contratados;</w:t>
      </w:r>
    </w:p>
    <w:p w14:paraId="5648174A"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13) </w:t>
      </w:r>
      <w:r w:rsidRPr="007F41E1">
        <w:rPr>
          <w:rFonts w:ascii="Palatino Linotype" w:hAnsi="Palatino Linotype" w:cs="Arial"/>
          <w:i/>
          <w:iCs/>
          <w:sz w:val="22"/>
          <w:szCs w:val="24"/>
          <w:lang w:val="es-ES"/>
        </w:rPr>
        <w:t>El convenio de terminación; y</w:t>
      </w:r>
    </w:p>
    <w:p w14:paraId="26B24C40"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14) </w:t>
      </w:r>
      <w:r w:rsidRPr="007F41E1">
        <w:rPr>
          <w:rFonts w:ascii="Palatino Linotype" w:hAnsi="Palatino Linotype" w:cs="Arial"/>
          <w:i/>
          <w:iCs/>
          <w:sz w:val="22"/>
          <w:szCs w:val="24"/>
          <w:lang w:val="es-ES"/>
        </w:rPr>
        <w:t>El finiquito.</w:t>
      </w:r>
    </w:p>
    <w:p w14:paraId="2123E8FA"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b) </w:t>
      </w:r>
      <w:r w:rsidRPr="007F41E1">
        <w:rPr>
          <w:rFonts w:ascii="Palatino Linotype" w:hAnsi="Palatino Linotype" w:cs="Arial"/>
          <w:i/>
          <w:iCs/>
          <w:sz w:val="22"/>
          <w:szCs w:val="24"/>
          <w:lang w:val="es-ES"/>
        </w:rPr>
        <w:t>De las adjudicaciones directas:</w:t>
      </w:r>
    </w:p>
    <w:p w14:paraId="79AD7B5C"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1) </w:t>
      </w:r>
      <w:r w:rsidRPr="007F41E1">
        <w:rPr>
          <w:rFonts w:ascii="Palatino Linotype" w:hAnsi="Palatino Linotype" w:cs="Arial"/>
          <w:i/>
          <w:iCs/>
          <w:sz w:val="22"/>
          <w:szCs w:val="24"/>
          <w:lang w:val="es-ES"/>
        </w:rPr>
        <w:t>La propuesta enviada por el participante;</w:t>
      </w:r>
    </w:p>
    <w:p w14:paraId="0F626FA3"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2) </w:t>
      </w:r>
      <w:r w:rsidRPr="007F41E1">
        <w:rPr>
          <w:rFonts w:ascii="Palatino Linotype" w:hAnsi="Palatino Linotype" w:cs="Arial"/>
          <w:i/>
          <w:iCs/>
          <w:sz w:val="22"/>
          <w:szCs w:val="24"/>
          <w:lang w:val="es-ES"/>
        </w:rPr>
        <w:t>Los motivos y fundamentos legales aplicados para llevarla a cabo;</w:t>
      </w:r>
    </w:p>
    <w:p w14:paraId="4E617364"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3) </w:t>
      </w:r>
      <w:r w:rsidRPr="007F41E1">
        <w:rPr>
          <w:rFonts w:ascii="Palatino Linotype" w:hAnsi="Palatino Linotype" w:cs="Arial"/>
          <w:i/>
          <w:iCs/>
          <w:sz w:val="22"/>
          <w:szCs w:val="24"/>
          <w:lang w:val="es-ES"/>
        </w:rPr>
        <w:t>La autorización del ejercicio de la opción;</w:t>
      </w:r>
    </w:p>
    <w:p w14:paraId="0B949F7E"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Cs/>
          <w:i/>
          <w:iCs/>
          <w:sz w:val="22"/>
          <w:szCs w:val="24"/>
          <w:lang w:val="es-ES"/>
        </w:rPr>
        <w:t>4) En su caso, las cotizaciones consideradas, especificando los nombres de los proveedores y sus montos</w:t>
      </w:r>
      <w:r w:rsidRPr="007F41E1">
        <w:rPr>
          <w:rFonts w:ascii="Palatino Linotype" w:hAnsi="Palatino Linotype" w:cs="Arial"/>
          <w:i/>
          <w:iCs/>
          <w:sz w:val="22"/>
          <w:szCs w:val="24"/>
          <w:lang w:val="es-ES"/>
        </w:rPr>
        <w:t>;</w:t>
      </w:r>
    </w:p>
    <w:p w14:paraId="5FB76848"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5) </w:t>
      </w:r>
      <w:r w:rsidRPr="007F41E1">
        <w:rPr>
          <w:rFonts w:ascii="Palatino Linotype" w:hAnsi="Palatino Linotype" w:cs="Arial"/>
          <w:i/>
          <w:iCs/>
          <w:sz w:val="22"/>
          <w:szCs w:val="24"/>
          <w:lang w:val="es-ES"/>
        </w:rPr>
        <w:t>El nombre de la persona física o jurídica colectiva adjudicada;</w:t>
      </w:r>
    </w:p>
    <w:p w14:paraId="1A288540"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6) </w:t>
      </w:r>
      <w:r w:rsidRPr="007F41E1">
        <w:rPr>
          <w:rFonts w:ascii="Palatino Linotype" w:hAnsi="Palatino Linotype" w:cs="Arial"/>
          <w:i/>
          <w:iCs/>
          <w:sz w:val="22"/>
          <w:szCs w:val="24"/>
          <w:lang w:val="es-ES"/>
        </w:rPr>
        <w:t>La unidad administrativa solicitante y la responsable de su ejecución;</w:t>
      </w:r>
    </w:p>
    <w:p w14:paraId="1F8C9BBA"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7)</w:t>
      </w:r>
      <w:r w:rsidRPr="007F41E1">
        <w:rPr>
          <w:rFonts w:ascii="Palatino Linotype" w:hAnsi="Palatino Linotype" w:cs="Arial"/>
          <w:bCs/>
          <w:i/>
          <w:iCs/>
          <w:sz w:val="22"/>
          <w:szCs w:val="24"/>
          <w:lang w:val="es-ES"/>
        </w:rPr>
        <w:t> El número, fecha, el monto del contrato y el plazo de entrega o de ejecución de los servicios u obra;</w:t>
      </w:r>
    </w:p>
    <w:p w14:paraId="703F003D"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8) </w:t>
      </w:r>
      <w:r w:rsidRPr="007F41E1">
        <w:rPr>
          <w:rFonts w:ascii="Palatino Linotype" w:hAnsi="Palatino Linotype" w:cs="Arial"/>
          <w:i/>
          <w:iCs/>
          <w:sz w:val="22"/>
          <w:szCs w:val="24"/>
          <w:lang w:val="es-ES"/>
        </w:rPr>
        <w:t>Los mecanismos de vigilancia y supervisión, incluyendo, en su caso, los estudios de impacto urbano y ambiental, según corresponda;</w:t>
      </w:r>
    </w:p>
    <w:p w14:paraId="3BF923EA"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9) </w:t>
      </w:r>
      <w:r w:rsidRPr="007F41E1">
        <w:rPr>
          <w:rFonts w:ascii="Palatino Linotype" w:hAnsi="Palatino Linotype" w:cs="Arial"/>
          <w:i/>
          <w:iCs/>
          <w:sz w:val="22"/>
          <w:szCs w:val="24"/>
          <w:lang w:val="es-ES"/>
        </w:rPr>
        <w:t>Los informes de avance sobre las obras o servicios contratados;</w:t>
      </w:r>
    </w:p>
    <w:p w14:paraId="5FE3964E" w14:textId="77777777" w:rsidR="00537686" w:rsidRPr="007F41E1" w:rsidRDefault="00537686" w:rsidP="00537686">
      <w:pPr>
        <w:spacing w:line="360" w:lineRule="auto"/>
        <w:ind w:left="567" w:right="822"/>
        <w:jc w:val="both"/>
        <w:rPr>
          <w:rFonts w:ascii="Palatino Linotype" w:hAnsi="Palatino Linotype" w:cs="Arial"/>
          <w:sz w:val="22"/>
          <w:szCs w:val="24"/>
          <w:lang w:val="es-ES"/>
        </w:rPr>
      </w:pPr>
      <w:r w:rsidRPr="007F41E1">
        <w:rPr>
          <w:rFonts w:ascii="Palatino Linotype" w:hAnsi="Palatino Linotype" w:cs="Arial"/>
          <w:b/>
          <w:bCs/>
          <w:i/>
          <w:iCs/>
          <w:sz w:val="22"/>
          <w:szCs w:val="24"/>
          <w:lang w:val="es-ES"/>
        </w:rPr>
        <w:t>10) </w:t>
      </w:r>
      <w:r w:rsidRPr="007F41E1">
        <w:rPr>
          <w:rFonts w:ascii="Palatino Linotype" w:hAnsi="Palatino Linotype" w:cs="Arial"/>
          <w:i/>
          <w:iCs/>
          <w:sz w:val="22"/>
          <w:szCs w:val="24"/>
          <w:lang w:val="es-ES"/>
        </w:rPr>
        <w:t>El convenio de terminación; y</w:t>
      </w:r>
    </w:p>
    <w:p w14:paraId="390A276C" w14:textId="77777777" w:rsidR="00537686" w:rsidRPr="007F41E1" w:rsidRDefault="00537686" w:rsidP="00537686">
      <w:pPr>
        <w:spacing w:line="360" w:lineRule="auto"/>
        <w:ind w:left="567" w:right="822"/>
        <w:jc w:val="both"/>
        <w:rPr>
          <w:rFonts w:ascii="Palatino Linotype" w:hAnsi="Palatino Linotype" w:cs="Arial"/>
          <w:b/>
          <w:i/>
          <w:iCs/>
          <w:sz w:val="22"/>
          <w:szCs w:val="24"/>
          <w:lang w:val="es-ES"/>
        </w:rPr>
      </w:pPr>
      <w:r w:rsidRPr="007F41E1">
        <w:rPr>
          <w:rFonts w:ascii="Palatino Linotype" w:hAnsi="Palatino Linotype" w:cs="Arial"/>
          <w:b/>
          <w:bCs/>
          <w:i/>
          <w:iCs/>
          <w:sz w:val="22"/>
          <w:szCs w:val="24"/>
          <w:lang w:val="es-ES"/>
        </w:rPr>
        <w:t>11) </w:t>
      </w:r>
      <w:r w:rsidRPr="007F41E1">
        <w:rPr>
          <w:rFonts w:ascii="Palatino Linotype" w:hAnsi="Palatino Linotype" w:cs="Arial"/>
          <w:i/>
          <w:iCs/>
          <w:sz w:val="22"/>
          <w:szCs w:val="24"/>
          <w:lang w:val="es-ES"/>
        </w:rPr>
        <w:t>El finiquito.</w:t>
      </w:r>
      <w:r w:rsidRPr="007F41E1">
        <w:rPr>
          <w:rFonts w:ascii="Palatino Linotype" w:hAnsi="Palatino Linotype" w:cs="Arial"/>
          <w:b/>
          <w:i/>
          <w:iCs/>
          <w:sz w:val="22"/>
          <w:szCs w:val="24"/>
          <w:lang w:val="es-ES"/>
        </w:rPr>
        <w:t>”</w:t>
      </w:r>
    </w:p>
    <w:p w14:paraId="55972217" w14:textId="77777777" w:rsidR="00537686" w:rsidRPr="007F41E1" w:rsidRDefault="00537686" w:rsidP="00537686">
      <w:pPr>
        <w:ind w:left="851" w:right="850"/>
        <w:jc w:val="both"/>
        <w:rPr>
          <w:rFonts w:ascii="Palatino Linotype" w:hAnsi="Palatino Linotype" w:cs="Arial"/>
          <w:sz w:val="24"/>
          <w:szCs w:val="24"/>
          <w:lang w:val="es-ES"/>
        </w:rPr>
      </w:pPr>
    </w:p>
    <w:p w14:paraId="02283109"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sz w:val="24"/>
          <w:lang w:val="es-ES"/>
        </w:rPr>
      </w:pPr>
      <w:r w:rsidRPr="007F41E1">
        <w:rPr>
          <w:rFonts w:ascii="Palatino Linotype" w:eastAsia="Calibri" w:hAnsi="Palatino Linotype" w:cs="Arial"/>
          <w:sz w:val="24"/>
        </w:rPr>
        <w:t xml:space="preserve">En consecuencia, se determina que existe fuente obligacional para celebrar contratos relacionados con la adquisición de bienes y servicios por parte de los Ayuntamientos, a través de procedimientos de licitación, invitación restringida o </w:t>
      </w:r>
      <w:r w:rsidRPr="007F41E1">
        <w:rPr>
          <w:rFonts w:ascii="Palatino Linotype" w:eastAsia="Calibri" w:hAnsi="Palatino Linotype" w:cs="Arial"/>
          <w:sz w:val="24"/>
        </w:rPr>
        <w:lastRenderedPageBreak/>
        <w:t>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5AEDE74E" w14:textId="77777777" w:rsidR="00537686" w:rsidRPr="007F41E1" w:rsidRDefault="00537686" w:rsidP="00537686">
      <w:pPr>
        <w:pStyle w:val="Prrafodelista"/>
        <w:spacing w:line="360" w:lineRule="auto"/>
        <w:ind w:left="0"/>
        <w:jc w:val="both"/>
        <w:rPr>
          <w:rFonts w:ascii="Palatino Linotype" w:eastAsia="Calibri" w:hAnsi="Palatino Linotype" w:cs="Arial"/>
          <w:sz w:val="24"/>
        </w:rPr>
      </w:pPr>
    </w:p>
    <w:p w14:paraId="73CF8EA6" w14:textId="77777777" w:rsidR="00537686" w:rsidRPr="007F41E1" w:rsidRDefault="00537686" w:rsidP="00537686">
      <w:pPr>
        <w:pStyle w:val="Prrafodelista"/>
        <w:numPr>
          <w:ilvl w:val="0"/>
          <w:numId w:val="2"/>
        </w:numPr>
        <w:spacing w:line="360" w:lineRule="auto"/>
        <w:ind w:left="0" w:firstLine="0"/>
        <w:jc w:val="both"/>
        <w:rPr>
          <w:rFonts w:ascii="Palatino Linotype" w:hAnsi="Palatino Linotype"/>
          <w:sz w:val="24"/>
          <w:lang w:val="es-ES"/>
        </w:rPr>
      </w:pPr>
      <w:r w:rsidRPr="007F41E1">
        <w:rPr>
          <w:rFonts w:ascii="Palatino Linotype" w:eastAsia="Calibri" w:hAnsi="Palatino Linotype" w:cs="Arial"/>
          <w:sz w:val="24"/>
        </w:rPr>
        <w:t>Robustecen lo anterior</w:t>
      </w:r>
      <w:r w:rsidRPr="007F41E1">
        <w:rPr>
          <w:rFonts w:ascii="Palatino Linotype" w:hAnsi="Palatino Linotype"/>
          <w:sz w:val="24"/>
          <w:lang w:val="es-ES"/>
        </w:rPr>
        <w:t xml:space="preserve"> </w:t>
      </w:r>
      <w:r w:rsidRPr="007F41E1">
        <w:rPr>
          <w:rFonts w:ascii="Palatino Linotype" w:hAnsi="Palatino Linotype"/>
          <w:i/>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7F41E1">
        <w:rPr>
          <w:rFonts w:ascii="Palatino Linotype" w:hAnsi="Palatino Linotype"/>
          <w:sz w:val="24"/>
        </w:rPr>
        <w:t>en los criterios sustantivos de contenido correspondientes a la fracción XXVIII del artículo 70 de la Ley General de Transparencia que marcan los parámetros para publicar la información en medios electrónicos en los siguientes términos:</w:t>
      </w:r>
    </w:p>
    <w:p w14:paraId="7CA07C0C" w14:textId="77777777" w:rsidR="00537686" w:rsidRPr="007F41E1" w:rsidRDefault="00537686" w:rsidP="00537686">
      <w:pPr>
        <w:pStyle w:val="Prrafodelista"/>
        <w:ind w:left="0"/>
        <w:rPr>
          <w:rFonts w:ascii="Palatino Linotype" w:hAnsi="Palatino Linotype"/>
          <w:szCs w:val="22"/>
          <w:lang w:val="es-ES"/>
        </w:rPr>
      </w:pPr>
    </w:p>
    <w:p w14:paraId="33C3E167"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Criterios sustantivos de contenido </w:t>
      </w:r>
    </w:p>
    <w:p w14:paraId="7CAB0EC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Respecto de cada uno de los eventos de licitación pública y de invitación a cuando menos tres personas se publicarán los siguientes datos: </w:t>
      </w:r>
    </w:p>
    <w:p w14:paraId="496394E8"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0C54583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1 Ejercicio</w:t>
      </w:r>
    </w:p>
    <w:p w14:paraId="1AC9A202"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2 Periodo que se informa (fecha de inicio y fecha de término con el formato día/mes/año) </w:t>
      </w:r>
    </w:p>
    <w:p w14:paraId="4458E0A5"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3 Tipo de procedimiento (catálogo): Licitación pública/Invitación a cuando menos tres personas/ Otra (especificar) En caso de que no se haya llevado a cabo alguno de los </w:t>
      </w:r>
      <w:r w:rsidRPr="007F41E1">
        <w:rPr>
          <w:rFonts w:ascii="Palatino Linotype" w:hAnsi="Palatino Linotype"/>
          <w:i/>
          <w:szCs w:val="22"/>
        </w:rPr>
        <w:lastRenderedPageBreak/>
        <w:t xml:space="preserve">tres procedimientos en el periodo que se informa, se deberá incluir un registro con el periodo respectivo, el procedimiento y señalar mediante una nota fundamentada, motivada y actualizada al periodo correspondiente, que no se llevó a cabo ningún procedimiento de ese tipo. </w:t>
      </w:r>
    </w:p>
    <w:p w14:paraId="20AF037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 Materia o tipo de contratación (catálogo): Obra pública/Servicios relacionados con obra pública/Adquisiciones/Arrendamientos/Servicios </w:t>
      </w:r>
    </w:p>
    <w:p w14:paraId="7523D64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5 Carácter del procedimiento (catálogo): Nacional/Internacional Relación con los nombres de las personas físicas o morales de los posibles contratantes: </w:t>
      </w:r>
    </w:p>
    <w:p w14:paraId="7AE1100D"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6 En el caso de personas físicas: nombre[s], primer apellido, segundo apellido. En el caso de persona moral: razón social. En su caso, incluir una leyenda señalando que no se realizaron cotizaciones</w:t>
      </w:r>
    </w:p>
    <w:p w14:paraId="2731B909"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7 Registro Federal de Contribuyentes (RFC) de las personas físicas o morales de los posibles contratantes </w:t>
      </w:r>
    </w:p>
    <w:p w14:paraId="399460EB"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8 Número de expediente, folio o nomenclatura que identifique a cada procedimiento Criterio 9 Hipervínculo a la convocatoria o invitaciones emitidas </w:t>
      </w:r>
    </w:p>
    <w:p w14:paraId="0C56D843"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10 Fecha de la convocatoria o invitación, expresada con el formato día/mes/año </w:t>
      </w:r>
    </w:p>
    <w:p w14:paraId="7AB3415A"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11 Descripción de las obras públicas, los bienes o los servicios contratados </w:t>
      </w:r>
    </w:p>
    <w:p w14:paraId="49DF10AE"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0D8FCE23"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Relación con los nombres de las personas físicas o morales que presentaron una proposición u oferta: </w:t>
      </w:r>
    </w:p>
    <w:p w14:paraId="60E3CFE8"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1EABE428"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12 En el caso de personas físicas: nombre[s], primer apellido, segundo apellido. En el caso de persona moral: razón social </w:t>
      </w:r>
    </w:p>
    <w:p w14:paraId="435C8316"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i/>
          <w:szCs w:val="22"/>
        </w:rPr>
        <w:lastRenderedPageBreak/>
        <w:t>Criterio 13 Registro Federal de Contribuyentes (RFC</w:t>
      </w:r>
      <w:r w:rsidRPr="007F41E1">
        <w:rPr>
          <w:rFonts w:ascii="Palatino Linotype" w:hAnsi="Palatino Linotype"/>
          <w:b/>
          <w:i/>
          <w:szCs w:val="22"/>
        </w:rPr>
        <w:t xml:space="preserve">) </w:t>
      </w:r>
      <w:r w:rsidRPr="007F41E1">
        <w:rPr>
          <w:rFonts w:ascii="Palatino Linotype" w:hAnsi="Palatino Linotype"/>
          <w:i/>
          <w:szCs w:val="22"/>
        </w:rPr>
        <w:t xml:space="preserve">de las personas físicas o morales que presentaron una proposición u oferta </w:t>
      </w:r>
    </w:p>
    <w:p w14:paraId="4F1DB17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14 Fecha en la que se celebró la junta de aclaraciones108, expresada con el formato día/mes/año </w:t>
      </w:r>
    </w:p>
    <w:p w14:paraId="412D1CB5"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7AB331BA"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b/>
          <w:i/>
          <w:szCs w:val="22"/>
        </w:rPr>
        <w:t>Relación con los nombres de los asistentes a la junta de aclaraciones</w:t>
      </w:r>
      <w:r w:rsidRPr="007F41E1">
        <w:rPr>
          <w:rFonts w:ascii="Palatino Linotype" w:hAnsi="Palatino Linotype"/>
          <w:i/>
          <w:szCs w:val="22"/>
        </w:rPr>
        <w:t xml:space="preserve">: </w:t>
      </w:r>
    </w:p>
    <w:p w14:paraId="4787B4F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3C354B8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Criterio 15 Nombre[s], primer apellido, segundo apellido. En el caso de personas morales especificar su denominación o razón social</w:t>
      </w:r>
    </w:p>
    <w:p w14:paraId="639E786A"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16 Registro Federal de Contribuyentes (RFC) de las personas físicas o morales asistentes a la junta de aclaraciones </w:t>
      </w:r>
    </w:p>
    <w:p w14:paraId="517E719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7AD7B990"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Relación con los nombres de los servidores públicos asistentes a la junta de aclaraciones: </w:t>
      </w:r>
    </w:p>
    <w:p w14:paraId="40F6CD1D"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5727987E"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17 Nombre[s], primer apellido, segundo apellido) </w:t>
      </w:r>
    </w:p>
    <w:p w14:paraId="2511F424"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18 Registro Federal de Contribuyentes (RFC) de los servidores públicos asistentes a la junta de aclaraciones </w:t>
      </w:r>
    </w:p>
    <w:p w14:paraId="3CCFBECD"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19 Cargo que ocupan en el sujeto obligado los servidores públicos asistentes a la junta de aclaraciones </w:t>
      </w:r>
    </w:p>
    <w:p w14:paraId="08D7A162"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20 Hipervínculo al fallo de la junta de aclaraciones o al documento correspondiente </w:t>
      </w:r>
    </w:p>
    <w:p w14:paraId="5356D716"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Criterio 21 Hipervínculo al documento donde conste la presentación las propuestas</w:t>
      </w:r>
    </w:p>
    <w:p w14:paraId="45864075"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lastRenderedPageBreak/>
        <w:t xml:space="preserve">Criterio 22 Hipervínculo, en su caso, al (los) dictamen(es) </w:t>
      </w:r>
    </w:p>
    <w:p w14:paraId="4A639DB2"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23 Nombre completo o razón social del contratista o proveedor (en el caso de personas físicas: nombre[s], primer apellido, segundo apellido) </w:t>
      </w:r>
    </w:p>
    <w:p w14:paraId="6AA5A3A8"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24 RFC de la persona física o moral contratista o proveedor </w:t>
      </w:r>
    </w:p>
    <w:p w14:paraId="6F8456BE"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25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w:t>
      </w:r>
    </w:p>
    <w:p w14:paraId="4300BABF"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26 Domicilio en el extranjero. En caso de que la empresa, proveedor o contratista sea de otro país, se deberá especificar, por lo menos: país, ciudad, calle y número</w:t>
      </w:r>
    </w:p>
    <w:p w14:paraId="0E0917D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27 Descripción breve de las razones que justifican la elección del/los proveedor/es o contratista/s </w:t>
      </w:r>
    </w:p>
    <w:p w14:paraId="0DE36C05"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28 Área(s) solicitante(s) de las obras públicas, el arrendamiento, la adquisición de bienes y/o la prestación de servicios </w:t>
      </w:r>
    </w:p>
    <w:p w14:paraId="68B3AD0B"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29 Área(s) contratante(s) </w:t>
      </w:r>
    </w:p>
    <w:p w14:paraId="500265C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30 Área(s) responsable de la ejecución </w:t>
      </w:r>
    </w:p>
    <w:p w14:paraId="0708250B"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31 Número que identifique al contrato </w:t>
      </w:r>
    </w:p>
    <w:p w14:paraId="5E81D9FB"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32 Fecha del contrato, expresada con el formato día/mes/año </w:t>
      </w:r>
    </w:p>
    <w:p w14:paraId="36945AD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33 Fecha de inicio de la vigencia del contrato, expresada con el formato día/mes/año </w:t>
      </w:r>
    </w:p>
    <w:p w14:paraId="746E7A3E"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34 Fecha de término de la vigencia del contrato, expresada con el formato día/mes/año Criterio</w:t>
      </w:r>
    </w:p>
    <w:p w14:paraId="4D5491F0"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lastRenderedPageBreak/>
        <w:t xml:space="preserve">Criterio 35 Monto del contrato sin impuestos incluidos (expresados en pesos mexicanos) </w:t>
      </w:r>
    </w:p>
    <w:p w14:paraId="406F6FF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36 Monto total del contrato con impuestos incluidos (expresados en pesos mexicanos) </w:t>
      </w:r>
    </w:p>
    <w:p w14:paraId="0E263C88"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Criterio 37 Monto mínimo con impuestos incluidos, en su caso109</w:t>
      </w:r>
    </w:p>
    <w:p w14:paraId="6BECE7E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38 Monto máximo con impuestos incluidos, en su caso </w:t>
      </w:r>
    </w:p>
    <w:p w14:paraId="7A8A439D"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39 Tipo de moneda. Por ejemplo: Peso, Dólar, Euro, Libra, Yen </w:t>
      </w:r>
    </w:p>
    <w:p w14:paraId="2550DA0B"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40 Tipo de cambio de referencia, en su caso </w:t>
      </w:r>
    </w:p>
    <w:p w14:paraId="29C9A327"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41 Forma de pago. Por ejemplo: efectivo, cheque o transacción bancaria </w:t>
      </w:r>
    </w:p>
    <w:p w14:paraId="3784C9C3"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42 Objeto del contrato </w:t>
      </w:r>
    </w:p>
    <w:p w14:paraId="7C3D1953"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4F017D09"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Señalar el plazo de entrega o de ejecución de los servicios contratados u obra pública a realizar: </w:t>
      </w:r>
    </w:p>
    <w:p w14:paraId="0726B417"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p>
    <w:p w14:paraId="72D78675"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43 Fecha de inicio expresada con el formato día/mes/año </w:t>
      </w:r>
    </w:p>
    <w:p w14:paraId="514E27DF"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44 Fecha de término expresada con el formato día/mes/año </w:t>
      </w:r>
    </w:p>
    <w:p w14:paraId="3E5C691C"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45 Hipervínculo al documento del contrato y sus anexos, en versión pública si así corresponde</w:t>
      </w:r>
    </w:p>
    <w:p w14:paraId="7A391B8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46 Hipervínculo, en su caso al comunicado de suspensión, rescisión o terminación anticipada del contrato </w:t>
      </w:r>
    </w:p>
    <w:p w14:paraId="7BE116E0"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47 Partida presupuestal. Catálogo de acuerdo con el Clasificador por Objeto del Gasto en el caso de ser aplicable  </w:t>
      </w:r>
    </w:p>
    <w:p w14:paraId="053788B0"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Criterio 48 Origen de los recursos públicos (catálogo): Federales / Estatales / Municipales</w:t>
      </w:r>
    </w:p>
    <w:p w14:paraId="3E837E69"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lastRenderedPageBreak/>
        <w:t xml:space="preserve">Criterio 49 Fuente de financiamiento. Por ejemplo: Recursos fiscales, financiamientos internos, financiamientos externos, ingresos propios, recursos federales, recursos estatales,110 </w:t>
      </w:r>
    </w:p>
    <w:p w14:paraId="55955E01" w14:textId="77777777" w:rsidR="00537686" w:rsidRPr="007F41E1" w:rsidRDefault="00537686" w:rsidP="00537686">
      <w:pPr>
        <w:pStyle w:val="Prrafodelista"/>
        <w:tabs>
          <w:tab w:val="left" w:pos="851"/>
          <w:tab w:val="left" w:pos="8505"/>
        </w:tabs>
        <w:spacing w:before="240" w:after="240" w:line="360" w:lineRule="auto"/>
        <w:ind w:left="567" w:right="616"/>
        <w:jc w:val="both"/>
        <w:rPr>
          <w:rFonts w:ascii="Palatino Linotype" w:hAnsi="Palatino Linotype"/>
          <w:i/>
          <w:szCs w:val="22"/>
          <w:lang w:val="es-ES"/>
        </w:rPr>
      </w:pPr>
      <w:r w:rsidRPr="007F41E1">
        <w:rPr>
          <w:rFonts w:ascii="Palatino Linotype" w:hAnsi="Palatino Linotype"/>
          <w:i/>
          <w:szCs w:val="22"/>
        </w:rPr>
        <w:t>Criterio 50 Tipo de fondo de participación o aportación respectiva (en caso de que se haya elegido en el criterio 49 la opción "recursos federales", "recursos estatales" u "otros recursos")</w:t>
      </w:r>
    </w:p>
    <w:p w14:paraId="5E4440BA" w14:textId="77777777" w:rsidR="00537686" w:rsidRPr="007F41E1" w:rsidRDefault="00537686" w:rsidP="00537686">
      <w:pPr>
        <w:pStyle w:val="Prrafodelista"/>
        <w:ind w:left="567"/>
        <w:rPr>
          <w:rFonts w:ascii="Palatino Linotype" w:hAnsi="Palatino Linotype"/>
          <w:szCs w:val="22"/>
          <w:lang w:val="es-ES"/>
        </w:rPr>
      </w:pPr>
    </w:p>
    <w:p w14:paraId="5DA231B0"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Si se trata de obra pública y/o servicios relacionados con la misma se deberán incluir los siguientes datos: </w:t>
      </w:r>
    </w:p>
    <w:p w14:paraId="32591C5B"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51 Lugar donde se realizará la obra pública y/o servicio relacionado con la misma </w:t>
      </w:r>
    </w:p>
    <w:p w14:paraId="1FA1ACB9"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52 Breve descripción de la obra pública </w:t>
      </w:r>
    </w:p>
    <w:p w14:paraId="186BEAA2"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53 Hipervínculo a los estudios de impacto urbano y ambiental. En su caso, señalar que no se realizaron </w:t>
      </w:r>
    </w:p>
    <w:p w14:paraId="7F150FE1"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54 Incluir, en su caso, observaciones dirigidas a la población relativas a la realización de las obras públicas, tales como: cierre de calles, cambio de circulación, impedimentos de paso, etcétera </w:t>
      </w:r>
    </w:p>
    <w:p w14:paraId="660F326E"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55 Etapa de la obra pública y/o servicio de la misma (catálogo): En planeación/ En progreso/ Finiquito En el registro de cada uno de los contratos ya sea de obra pública, servicios relacionados con la misma; adquisiciones; arrendamientos y servicios de orden administrativo se deberá incluir: </w:t>
      </w:r>
    </w:p>
    <w:p w14:paraId="700EA45D"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t xml:space="preserve">Criterio 56 Se realizaron convenios modificatorios (catálogo): Sí/ No </w:t>
      </w:r>
    </w:p>
    <w:p w14:paraId="7CC46E08"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57 Número de convenio modificatorio que recaiga a la contratación; en su caso, señalar que no se realizó </w:t>
      </w:r>
    </w:p>
    <w:p w14:paraId="16BE18A1"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58 Objeto del convenio modificatorio </w:t>
      </w:r>
    </w:p>
    <w:p w14:paraId="15C38560"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i/>
          <w:szCs w:val="22"/>
        </w:rPr>
      </w:pPr>
      <w:r w:rsidRPr="007F41E1">
        <w:rPr>
          <w:rFonts w:ascii="Palatino Linotype" w:hAnsi="Palatino Linotype"/>
          <w:i/>
          <w:szCs w:val="22"/>
        </w:rPr>
        <w:lastRenderedPageBreak/>
        <w:t xml:space="preserve">Criterio 59 Fecha de firma del convenio modificatorio, expresada con el formato día/mes/año </w:t>
      </w:r>
    </w:p>
    <w:p w14:paraId="08E05FC9"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60 Hipervínculo al documento del convenio, en versión pública si así corresponde </w:t>
      </w:r>
    </w:p>
    <w:p w14:paraId="22C7666E"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61 Mecanismos de vigilancia y supervisión de la ejecución, especificados en los contratos y/o convenios, en su caso Asimismo, se deberán publicar los siguientes documentos: </w:t>
      </w:r>
    </w:p>
    <w:p w14:paraId="56B15D94"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62 Hipervínculo, en su caso, al (los) informe(s) de avance físicos en versión pública si así corresponde </w:t>
      </w:r>
    </w:p>
    <w:p w14:paraId="6D5FEBE0"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63 Hipervínculo, en su caso, al (los) informe(s) de avance financieros, en versión pública si así corresponde </w:t>
      </w:r>
    </w:p>
    <w:p w14:paraId="13E8ECE9"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rPr>
      </w:pPr>
      <w:r w:rsidRPr="007F41E1">
        <w:rPr>
          <w:rFonts w:ascii="Palatino Linotype" w:hAnsi="Palatino Linotype"/>
          <w:b/>
          <w:i/>
          <w:szCs w:val="22"/>
        </w:rPr>
        <w:t xml:space="preserve">Criterio 64 Hipervínculo al acta de recepción física de los trabajos ejecutados u homóloga, en su caso </w:t>
      </w:r>
    </w:p>
    <w:p w14:paraId="69D555EC" w14:textId="77777777" w:rsidR="00537686" w:rsidRPr="007F41E1" w:rsidRDefault="00537686" w:rsidP="00537686">
      <w:pPr>
        <w:pStyle w:val="Prrafodelista"/>
        <w:tabs>
          <w:tab w:val="left" w:pos="851"/>
        </w:tabs>
        <w:spacing w:before="240" w:after="240" w:line="360" w:lineRule="auto"/>
        <w:ind w:left="567" w:right="616"/>
        <w:jc w:val="both"/>
        <w:rPr>
          <w:rFonts w:ascii="Palatino Linotype" w:hAnsi="Palatino Linotype"/>
          <w:b/>
          <w:i/>
          <w:szCs w:val="22"/>
          <w:lang w:val="es-ES"/>
        </w:rPr>
      </w:pPr>
      <w:r w:rsidRPr="007F41E1">
        <w:rPr>
          <w:rFonts w:ascii="Palatino Linotype" w:hAnsi="Palatino Linotype"/>
          <w:b/>
          <w:i/>
          <w:szCs w:val="22"/>
        </w:rPr>
        <w:t>Criterio 65 Hipervínculo al finiquito, contrato sin efectos concluido con anticipación o informe de resultados, en su caso111a</w:t>
      </w:r>
    </w:p>
    <w:p w14:paraId="384E302D" w14:textId="77777777" w:rsidR="00537686" w:rsidRPr="007F41E1" w:rsidRDefault="00537686" w:rsidP="00537686">
      <w:pPr>
        <w:pStyle w:val="Prrafodelista"/>
        <w:tabs>
          <w:tab w:val="left" w:pos="851"/>
        </w:tabs>
        <w:spacing w:before="240" w:after="240" w:line="360" w:lineRule="auto"/>
        <w:ind w:left="0" w:right="49"/>
        <w:jc w:val="both"/>
        <w:rPr>
          <w:rFonts w:ascii="Palatino Linotype" w:hAnsi="Palatino Linotype"/>
          <w:sz w:val="24"/>
          <w:lang w:val="es-ES"/>
        </w:rPr>
      </w:pPr>
    </w:p>
    <w:p w14:paraId="53B59E2D" w14:textId="77777777" w:rsidR="002B7BDE" w:rsidRPr="007F41E1" w:rsidRDefault="00537686"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w:t>
      </w:r>
      <w:r w:rsidR="002B7BDE" w:rsidRPr="007F41E1">
        <w:rPr>
          <w:rFonts w:ascii="Palatino Linotype" w:hAnsi="Palatino Linotype" w:cs="Arial"/>
          <w:b/>
          <w:sz w:val="24"/>
          <w:lang w:val="es-ES"/>
        </w:rPr>
        <w:t>,</w:t>
      </w:r>
      <w:r w:rsidRPr="007F41E1">
        <w:rPr>
          <w:rFonts w:ascii="Palatino Linotype" w:hAnsi="Palatino Linotype" w:cs="Arial"/>
          <w:b/>
          <w:sz w:val="24"/>
          <w:lang w:val="es-ES"/>
        </w:rPr>
        <w:t xml:space="preserve"> los contratos celebrados,</w:t>
      </w:r>
      <w:r w:rsidRPr="007F41E1">
        <w:rPr>
          <w:rFonts w:ascii="Palatino Linotype" w:hAnsi="Palatino Linotype" w:cs="Arial"/>
          <w:sz w:val="24"/>
          <w:lang w:val="es-ES"/>
        </w:rPr>
        <w:t xml:space="preserve"> el cual debe contener entre otros requisitos, nombre de los proveedores y sus montos, así como el origen de los recursos, </w:t>
      </w:r>
      <w:r w:rsidRPr="007F41E1">
        <w:rPr>
          <w:rFonts w:ascii="Palatino Linotype" w:hAnsi="Palatino Linotype" w:cs="Arial"/>
          <w:sz w:val="24"/>
          <w:lang w:val="es-ES"/>
        </w:rPr>
        <w:lastRenderedPageBreak/>
        <w:t>así como la descripción de los bienes adquiridos y el tipo de licitación al que corresponde</w:t>
      </w:r>
      <w:r w:rsidR="002B7BDE" w:rsidRPr="007F41E1">
        <w:rPr>
          <w:rFonts w:ascii="Palatino Linotype" w:hAnsi="Palatino Linotype" w:cs="Arial"/>
          <w:sz w:val="24"/>
          <w:lang w:val="es-ES"/>
        </w:rPr>
        <w:t>.</w:t>
      </w:r>
    </w:p>
    <w:p w14:paraId="0A63303A" w14:textId="77777777" w:rsidR="002B7BDE" w:rsidRPr="007F41E1" w:rsidRDefault="002B7BDE" w:rsidP="002B7BDE">
      <w:pPr>
        <w:pStyle w:val="Prrafodelista"/>
        <w:spacing w:line="360" w:lineRule="auto"/>
        <w:ind w:left="0"/>
        <w:jc w:val="both"/>
        <w:rPr>
          <w:rFonts w:ascii="Palatino Linotype" w:hAnsi="Palatino Linotype" w:cs="Arial"/>
          <w:sz w:val="24"/>
          <w:lang w:val="es-ES"/>
        </w:rPr>
      </w:pPr>
    </w:p>
    <w:p w14:paraId="66F6CF46" w14:textId="64A0DA7C" w:rsidR="002B7BDE" w:rsidRPr="007F41E1" w:rsidRDefault="002B7BDE" w:rsidP="00537686">
      <w:pPr>
        <w:pStyle w:val="Prrafodelista"/>
        <w:numPr>
          <w:ilvl w:val="0"/>
          <w:numId w:val="2"/>
        </w:numPr>
        <w:spacing w:line="360" w:lineRule="auto"/>
        <w:ind w:left="0" w:firstLine="0"/>
        <w:jc w:val="both"/>
        <w:rPr>
          <w:rFonts w:ascii="Palatino Linotype" w:hAnsi="Palatino Linotype" w:cs="Arial"/>
          <w:b/>
          <w:sz w:val="24"/>
          <w:lang w:val="es-ES"/>
        </w:rPr>
      </w:pPr>
      <w:r w:rsidRPr="007F41E1">
        <w:rPr>
          <w:rFonts w:ascii="Palatino Linotype" w:hAnsi="Palatino Linotype" w:cs="Arial"/>
          <w:sz w:val="24"/>
          <w:lang w:val="es-ES"/>
        </w:rPr>
        <w:t xml:space="preserve">En el presente asunto en particular, el Sujeto obligado, a través del informe justificado remitió el contrato de prestación de servicios No. OCU/DOPYDU/ADQ-ADM/RP/005/2023 por la adquisición de material para la obra denominada </w:t>
      </w:r>
      <w:r w:rsidRPr="007F41E1">
        <w:rPr>
          <w:rFonts w:ascii="Palatino Linotype" w:hAnsi="Palatino Linotype" w:cs="Arial"/>
          <w:b/>
          <w:sz w:val="24"/>
          <w:lang w:val="es-ES"/>
        </w:rPr>
        <w:t xml:space="preserve">“Construcción de Alumbrado Público”, </w:t>
      </w:r>
      <w:r w:rsidRPr="007F41E1">
        <w:rPr>
          <w:rFonts w:ascii="Palatino Linotype" w:hAnsi="Palatino Linotype" w:cs="Arial"/>
          <w:sz w:val="24"/>
          <w:lang w:val="es-ES"/>
        </w:rPr>
        <w:t xml:space="preserve">con el que se satisface el requerimiento del particular; sin embargo, dicho contrato no se encuentra en una correcta versión pública, dejando a la vista información confidencial, </w:t>
      </w:r>
      <w:r w:rsidR="003A789D" w:rsidRPr="007F41E1">
        <w:rPr>
          <w:rFonts w:ascii="Palatino Linotype" w:hAnsi="Palatino Linotype" w:cs="Arial"/>
          <w:sz w:val="24"/>
          <w:lang w:val="es-ES"/>
        </w:rPr>
        <w:t xml:space="preserve">como clave de elector </w:t>
      </w:r>
      <w:r w:rsidRPr="007F41E1">
        <w:rPr>
          <w:rFonts w:ascii="Palatino Linotype" w:hAnsi="Palatino Linotype" w:cs="Arial"/>
          <w:sz w:val="24"/>
          <w:lang w:val="es-ES"/>
        </w:rPr>
        <w:t>motivo por el cual no se puso a la vista del particular.</w:t>
      </w:r>
    </w:p>
    <w:p w14:paraId="6C58E53B" w14:textId="77777777" w:rsidR="002B7BDE" w:rsidRPr="007F41E1" w:rsidRDefault="002B7BDE" w:rsidP="002B7BDE">
      <w:pPr>
        <w:pStyle w:val="Prrafodelista"/>
        <w:rPr>
          <w:rFonts w:ascii="Palatino Linotype" w:hAnsi="Palatino Linotype" w:cs="Arial"/>
          <w:sz w:val="24"/>
          <w:lang w:val="es-ES"/>
        </w:rPr>
      </w:pPr>
    </w:p>
    <w:p w14:paraId="7B8E6B14" w14:textId="7219D2B3" w:rsidR="002B7BDE" w:rsidRPr="007F41E1" w:rsidRDefault="002B7BDE" w:rsidP="00537686">
      <w:pPr>
        <w:pStyle w:val="Prrafodelista"/>
        <w:numPr>
          <w:ilvl w:val="0"/>
          <w:numId w:val="2"/>
        </w:numPr>
        <w:spacing w:line="360" w:lineRule="auto"/>
        <w:ind w:left="0" w:firstLine="0"/>
        <w:jc w:val="both"/>
        <w:rPr>
          <w:rFonts w:ascii="Palatino Linotype" w:hAnsi="Palatino Linotype" w:cs="Arial"/>
          <w:sz w:val="24"/>
          <w:lang w:val="es-ES"/>
        </w:rPr>
      </w:pPr>
      <w:r w:rsidRPr="007F41E1">
        <w:rPr>
          <w:rFonts w:ascii="Palatino Linotype" w:hAnsi="Palatino Linotype" w:cs="Arial"/>
          <w:sz w:val="24"/>
          <w:lang w:val="es-ES"/>
        </w:rPr>
        <w:t>En consecuencia, al haber manifestado que cuenta con la información requerida, es que se ORDENA al Sujeto Obligado entregar nuevamente el contrato remitido en informe justificado en una correcta versión pública, para tal efecto, deberá estar a lo dispuesto en el Considerando QUINTO de la presente resolución.</w:t>
      </w:r>
    </w:p>
    <w:p w14:paraId="6525F920" w14:textId="77777777" w:rsidR="00F24236" w:rsidRPr="007F41E1" w:rsidRDefault="00F24236" w:rsidP="00F24236">
      <w:pPr>
        <w:pStyle w:val="Ttulo1"/>
        <w:rPr>
          <w:rFonts w:ascii="Palatino Linotype" w:hAnsi="Palatino Linotype"/>
          <w:b/>
          <w:color w:val="auto"/>
          <w:sz w:val="24"/>
          <w:szCs w:val="24"/>
          <w:lang w:val="es-ES_tradnl"/>
        </w:rPr>
      </w:pPr>
      <w:bookmarkStart w:id="14" w:name="_Toc87549682"/>
      <w:r w:rsidRPr="007F41E1">
        <w:rPr>
          <w:rFonts w:ascii="Palatino Linotype" w:hAnsi="Palatino Linotype"/>
          <w:b/>
          <w:color w:val="auto"/>
          <w:sz w:val="24"/>
          <w:szCs w:val="24"/>
          <w:lang w:val="es-ES_tradnl"/>
        </w:rPr>
        <w:t>QUINTO. De la versión pública.</w:t>
      </w:r>
      <w:bookmarkEnd w:id="14"/>
    </w:p>
    <w:p w14:paraId="4D4E6F00" w14:textId="77777777" w:rsidR="00F24236" w:rsidRPr="007F41E1" w:rsidRDefault="00F24236" w:rsidP="00F242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 w:name="_Toc48135362"/>
      <w:bookmarkStart w:id="16" w:name="_Toc72309902"/>
      <w:bookmarkStart w:id="17" w:name="_Toc73643041"/>
      <w:bookmarkStart w:id="18" w:name="_Toc73911519"/>
      <w:bookmarkStart w:id="19" w:name="_Toc87549683"/>
      <w:r w:rsidRPr="007F41E1">
        <w:rPr>
          <w:rFonts w:ascii="Palatino Linotype" w:hAnsi="Palatino Linotype" w:cs="Times New Roman"/>
          <w:b/>
          <w:color w:val="000000" w:themeColor="text1"/>
          <w:sz w:val="24"/>
          <w:szCs w:val="24"/>
          <w:lang w:eastAsia="es-ES_tradnl"/>
        </w:rPr>
        <w:t>Nociones generales.</w:t>
      </w:r>
      <w:bookmarkEnd w:id="15"/>
      <w:bookmarkEnd w:id="16"/>
      <w:bookmarkEnd w:id="17"/>
      <w:bookmarkEnd w:id="18"/>
      <w:bookmarkEnd w:id="19"/>
      <w:r w:rsidRPr="007F41E1">
        <w:rPr>
          <w:rFonts w:ascii="Palatino Linotype" w:hAnsi="Palatino Linotype" w:cs="Times New Roman"/>
          <w:b/>
          <w:color w:val="000000" w:themeColor="text1"/>
          <w:sz w:val="24"/>
          <w:szCs w:val="24"/>
          <w:lang w:eastAsia="es-ES_tradnl"/>
        </w:rPr>
        <w:t xml:space="preserve"> </w:t>
      </w:r>
    </w:p>
    <w:p w14:paraId="43A9F95D" w14:textId="77777777" w:rsidR="00F24236" w:rsidRPr="007F41E1" w:rsidRDefault="00F24236" w:rsidP="00F242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7F41E1">
        <w:rPr>
          <w:rFonts w:ascii="Palatino Linotype" w:hAnsi="Palatino Linotype" w:cs="Arial"/>
          <w:color w:val="000000"/>
          <w:sz w:val="24"/>
        </w:rPr>
        <w:t>Debe destacarse que, debido a la naturaleza de la información solicitada</w:t>
      </w:r>
      <w:r w:rsidRPr="007F41E1">
        <w:rPr>
          <w:rFonts w:ascii="Palatino Linotype" w:hAnsi="Palatino Linotype" w:cs="Arial"/>
          <w:b/>
          <w:color w:val="000000"/>
          <w:sz w:val="24"/>
        </w:rPr>
        <w:t xml:space="preserve">, </w:t>
      </w:r>
      <w:r w:rsidRPr="007F41E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7F41E1">
        <w:rPr>
          <w:rFonts w:ascii="Palatino Linotype" w:hAnsi="Palatino Linotype" w:cs="Arial"/>
          <w:b/>
          <w:bCs/>
          <w:color w:val="000000"/>
          <w:sz w:val="24"/>
        </w:rPr>
        <w:t xml:space="preserve">Sujeto Obligado </w:t>
      </w:r>
      <w:r w:rsidRPr="007F41E1">
        <w:rPr>
          <w:rFonts w:ascii="Palatino Linotype" w:hAnsi="Palatino Linotype" w:cs="Arial"/>
          <w:color w:val="000000"/>
          <w:sz w:val="24"/>
        </w:rPr>
        <w:t xml:space="preserve">deberá de hacer la adecuada versión pública, protegiendo los datos que no son susceptibles de ser proporcionados. </w:t>
      </w:r>
    </w:p>
    <w:p w14:paraId="50222744" w14:textId="77777777" w:rsidR="00F24236" w:rsidRPr="007F41E1" w:rsidRDefault="00F24236" w:rsidP="00F242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7F41E1">
        <w:rPr>
          <w:rFonts w:ascii="Palatino Linotype" w:hAnsi="Palatino Linotype" w:cs="Arial"/>
          <w:color w:val="000000"/>
          <w:sz w:val="24"/>
          <w:szCs w:val="24"/>
        </w:rPr>
        <w:lastRenderedPageBreak/>
        <w:t xml:space="preserve">No pasa desapercibido para este Órgano Garante que los </w:t>
      </w:r>
      <w:r w:rsidRPr="007F41E1">
        <w:rPr>
          <w:rFonts w:ascii="Palatino Linotype" w:hAnsi="Palatino Linotype" w:cs="Arial"/>
          <w:b/>
          <w:bCs/>
          <w:color w:val="000000"/>
          <w:sz w:val="24"/>
          <w:szCs w:val="24"/>
        </w:rPr>
        <w:t xml:space="preserve">Sujetos Obligados </w:t>
      </w:r>
      <w:r w:rsidRPr="007F41E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9492EA6" w14:textId="77777777" w:rsidR="00F24236" w:rsidRPr="007F41E1" w:rsidRDefault="00F24236" w:rsidP="00F24236">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8505" w:type="dxa"/>
        <w:tblInd w:w="137" w:type="dxa"/>
        <w:tblLook w:val="04A0" w:firstRow="1" w:lastRow="0" w:firstColumn="1" w:lastColumn="0" w:noHBand="0" w:noVBand="1"/>
      </w:tblPr>
      <w:tblGrid>
        <w:gridCol w:w="1838"/>
        <w:gridCol w:w="6667"/>
      </w:tblGrid>
      <w:tr w:rsidR="00F24236" w:rsidRPr="007F41E1" w14:paraId="293F047B" w14:textId="77777777" w:rsidTr="001C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8F7312" w14:textId="77777777" w:rsidR="00F24236" w:rsidRPr="007F41E1" w:rsidRDefault="00F24236" w:rsidP="001C52A7">
            <w:pPr>
              <w:tabs>
                <w:tab w:val="left" w:pos="284"/>
              </w:tabs>
              <w:spacing w:line="360" w:lineRule="auto"/>
              <w:rPr>
                <w:rFonts w:ascii="Palatino Linotype" w:hAnsi="Palatino Linotype"/>
                <w:bCs w:val="0"/>
                <w:sz w:val="20"/>
                <w:szCs w:val="24"/>
              </w:rPr>
            </w:pPr>
            <w:r w:rsidRPr="007F41E1">
              <w:rPr>
                <w:rFonts w:ascii="Palatino Linotype" w:hAnsi="Palatino Linotype" w:cstheme="majorBidi"/>
                <w:sz w:val="20"/>
                <w:szCs w:val="24"/>
              </w:rPr>
              <w:t>a) Requisitos previos.</w:t>
            </w:r>
          </w:p>
        </w:tc>
        <w:tc>
          <w:tcPr>
            <w:tcW w:w="6667" w:type="dxa"/>
            <w:hideMark/>
          </w:tcPr>
          <w:p w14:paraId="753E2811" w14:textId="77777777" w:rsidR="00F24236" w:rsidRPr="007F41E1" w:rsidRDefault="00F24236" w:rsidP="001C52A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F41E1">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C940CA8" w14:textId="77777777" w:rsidR="00F24236" w:rsidRPr="007F41E1" w:rsidRDefault="00F24236" w:rsidP="001C52A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F41E1">
              <w:rPr>
                <w:rFonts w:ascii="Palatino Linotype" w:hAnsi="Palatino Linotype" w:cs="Arial"/>
                <w:color w:val="000000"/>
                <w:sz w:val="20"/>
                <w:szCs w:val="24"/>
              </w:rPr>
              <w:t>Al hacerlo tienen que precisar de qué información se trata, señalando el supuesto de clasificación (confidencialidad o reserva).</w:t>
            </w:r>
          </w:p>
          <w:p w14:paraId="06B68C3C" w14:textId="77777777" w:rsidR="00F24236" w:rsidRPr="007F41E1" w:rsidRDefault="00F24236" w:rsidP="001C52A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F41E1">
              <w:rPr>
                <w:rFonts w:ascii="Palatino Linotype" w:hAnsi="Palatino Linotype" w:cs="Arial"/>
                <w:color w:val="000000"/>
                <w:sz w:val="20"/>
                <w:szCs w:val="24"/>
              </w:rPr>
              <w:t>Además, se debe señalar el procedimiento, de los tres que establecen los artículos 132 y 106 de la Ley Estatal y General, respectivamente.</w:t>
            </w:r>
          </w:p>
          <w:p w14:paraId="242E8F5F" w14:textId="77777777" w:rsidR="00F24236" w:rsidRPr="007F41E1" w:rsidRDefault="00F24236" w:rsidP="001C52A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7F41E1">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7F41E1">
              <w:rPr>
                <w:rFonts w:ascii="Palatino Linotype" w:hAnsi="Palatino Linotype" w:cs="Arial"/>
                <w:color w:val="000000"/>
                <w:sz w:val="20"/>
                <w:szCs w:val="24"/>
                <w:u w:val="single"/>
              </w:rPr>
              <w:t>no se puede hacer un acuerdo para clasificar de manera general todos los documentos de un expediente o área, sin</w:t>
            </w:r>
            <w:r w:rsidRPr="007F41E1">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F24236" w:rsidRPr="007F41E1" w14:paraId="2ACD985B" w14:textId="77777777" w:rsidTr="001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9BBBC5" w14:textId="77777777" w:rsidR="00F24236" w:rsidRPr="007F41E1" w:rsidRDefault="00F24236" w:rsidP="001C52A7">
            <w:pPr>
              <w:tabs>
                <w:tab w:val="left" w:pos="284"/>
              </w:tabs>
              <w:spacing w:line="360" w:lineRule="auto"/>
              <w:rPr>
                <w:rFonts w:ascii="Palatino Linotype" w:hAnsi="Palatino Linotype"/>
                <w:bCs w:val="0"/>
                <w:sz w:val="20"/>
                <w:szCs w:val="24"/>
              </w:rPr>
            </w:pPr>
            <w:r w:rsidRPr="007F41E1">
              <w:rPr>
                <w:rFonts w:ascii="Palatino Linotype" w:hAnsi="Palatino Linotype" w:cstheme="majorBidi"/>
                <w:sz w:val="20"/>
                <w:szCs w:val="24"/>
              </w:rPr>
              <w:lastRenderedPageBreak/>
              <w:t>b) Supuestos de clasificación.</w:t>
            </w:r>
          </w:p>
        </w:tc>
        <w:tc>
          <w:tcPr>
            <w:tcW w:w="6667" w:type="dxa"/>
            <w:hideMark/>
          </w:tcPr>
          <w:p w14:paraId="7E7F73A4"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7A845D2D"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F77844" w14:textId="77777777" w:rsidR="00F24236" w:rsidRPr="007F41E1" w:rsidRDefault="00F24236" w:rsidP="001C52A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7F41E1">
              <w:rPr>
                <w:rFonts w:ascii="Palatino Linotype" w:hAnsi="Palatino Linotype" w:cs="Arial"/>
                <w:color w:val="000000"/>
                <w:sz w:val="20"/>
                <w:szCs w:val="24"/>
              </w:rPr>
              <w:t xml:space="preserve">El </w:t>
            </w:r>
            <w:r w:rsidRPr="007F41E1">
              <w:rPr>
                <w:rFonts w:ascii="Palatino Linotype" w:hAnsi="Palatino Linotype" w:cs="Arial"/>
                <w:b/>
                <w:color w:val="000000"/>
                <w:sz w:val="20"/>
                <w:szCs w:val="24"/>
              </w:rPr>
              <w:t>Sujeto Obligado</w:t>
            </w:r>
            <w:r w:rsidRPr="007F41E1">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24236" w:rsidRPr="007F41E1" w14:paraId="503FF869" w14:textId="77777777" w:rsidTr="001C52A7">
        <w:tc>
          <w:tcPr>
            <w:cnfStyle w:val="001000000000" w:firstRow="0" w:lastRow="0" w:firstColumn="1" w:lastColumn="0" w:oddVBand="0" w:evenVBand="0" w:oddHBand="0" w:evenHBand="0" w:firstRowFirstColumn="0" w:firstRowLastColumn="0" w:lastRowFirstColumn="0" w:lastRowLastColumn="0"/>
            <w:tcW w:w="1838" w:type="dxa"/>
            <w:hideMark/>
          </w:tcPr>
          <w:p w14:paraId="2C5A91C2" w14:textId="77777777" w:rsidR="00F24236" w:rsidRPr="007F41E1" w:rsidRDefault="00F24236" w:rsidP="001C52A7">
            <w:pPr>
              <w:tabs>
                <w:tab w:val="left" w:pos="284"/>
              </w:tabs>
              <w:spacing w:line="360" w:lineRule="auto"/>
              <w:rPr>
                <w:rFonts w:ascii="Palatino Linotype" w:hAnsi="Palatino Linotype"/>
                <w:bCs w:val="0"/>
                <w:sz w:val="20"/>
                <w:szCs w:val="24"/>
              </w:rPr>
            </w:pPr>
            <w:r w:rsidRPr="007F41E1">
              <w:rPr>
                <w:rFonts w:ascii="Palatino Linotype" w:hAnsi="Palatino Linotype" w:cstheme="majorBidi"/>
                <w:sz w:val="20"/>
                <w:szCs w:val="24"/>
              </w:rPr>
              <w:t>c) Formalidades para emitir el acuerdo de clasificación.</w:t>
            </w:r>
          </w:p>
        </w:tc>
        <w:tc>
          <w:tcPr>
            <w:tcW w:w="6667" w:type="dxa"/>
            <w:hideMark/>
          </w:tcPr>
          <w:p w14:paraId="299689E2" w14:textId="77777777" w:rsidR="00F24236" w:rsidRPr="007F41E1" w:rsidRDefault="00F24236" w:rsidP="001C52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0F3464BE" w14:textId="77777777" w:rsidR="00F24236" w:rsidRPr="007F41E1" w:rsidRDefault="00F24236" w:rsidP="001C52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Es necesario que </w:t>
            </w:r>
            <w:r w:rsidRPr="007F41E1">
              <w:rPr>
                <w:rFonts w:ascii="Palatino Linotype" w:hAnsi="Palatino Linotype" w:cs="Arial"/>
                <w:b/>
                <w:color w:val="000000"/>
                <w:sz w:val="20"/>
                <w:szCs w:val="24"/>
                <w:u w:val="single"/>
              </w:rPr>
              <w:t>el acto reúna con los requisitos elementales</w:t>
            </w:r>
            <w:r w:rsidRPr="007F41E1">
              <w:rPr>
                <w:rFonts w:ascii="Palatino Linotype" w:hAnsi="Palatino Linotype" w:cs="Arial"/>
                <w:color w:val="000000"/>
                <w:sz w:val="20"/>
                <w:szCs w:val="24"/>
              </w:rPr>
              <w:t>, entre ellos, que la autoridad que va a emitir el acto de autoridad sea la legalmente facultada para ello.</w:t>
            </w:r>
          </w:p>
          <w:p w14:paraId="680984FE" w14:textId="77777777" w:rsidR="00F24236" w:rsidRPr="007F41E1" w:rsidRDefault="00F24236" w:rsidP="001C52A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F41E1">
              <w:rPr>
                <w:rFonts w:ascii="Palatino Linotype" w:hAnsi="Palatino Linotype" w:cs="Arial"/>
                <w:color w:val="000000"/>
                <w:sz w:val="20"/>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7F41E1">
              <w:rPr>
                <w:rFonts w:ascii="Palatino Linotype" w:hAnsi="Palatino Linotype" w:cs="Arial"/>
                <w:color w:val="000000"/>
                <w:sz w:val="20"/>
                <w:szCs w:val="24"/>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F24236" w:rsidRPr="007F41E1" w14:paraId="4F3FAADA" w14:textId="77777777" w:rsidTr="001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29C2D0" w14:textId="77777777" w:rsidR="00F24236" w:rsidRPr="007F41E1" w:rsidRDefault="00F24236" w:rsidP="001C52A7">
            <w:pPr>
              <w:tabs>
                <w:tab w:val="left" w:pos="284"/>
              </w:tabs>
              <w:spacing w:line="360" w:lineRule="auto"/>
              <w:rPr>
                <w:rFonts w:ascii="Palatino Linotype" w:hAnsi="Palatino Linotype"/>
                <w:b w:val="0"/>
                <w:sz w:val="20"/>
                <w:szCs w:val="24"/>
              </w:rPr>
            </w:pPr>
          </w:p>
          <w:p w14:paraId="7A238A43" w14:textId="77777777" w:rsidR="00F24236" w:rsidRPr="007F41E1" w:rsidRDefault="00F24236" w:rsidP="001C52A7">
            <w:pPr>
              <w:tabs>
                <w:tab w:val="left" w:pos="284"/>
              </w:tabs>
              <w:spacing w:line="360" w:lineRule="auto"/>
              <w:jc w:val="both"/>
              <w:rPr>
                <w:rFonts w:ascii="Palatino Linotype" w:hAnsi="Palatino Linotype"/>
                <w:bCs w:val="0"/>
                <w:sz w:val="20"/>
                <w:szCs w:val="24"/>
              </w:rPr>
            </w:pPr>
            <w:r w:rsidRPr="007F41E1">
              <w:rPr>
                <w:rFonts w:ascii="Palatino Linotype" w:hAnsi="Palatino Linotype" w:cs="Arial"/>
                <w:color w:val="000000"/>
                <w:sz w:val="20"/>
                <w:szCs w:val="24"/>
              </w:rPr>
              <w:t xml:space="preserve">d) Requisitos de fondo del acuerdo de clasificación. </w:t>
            </w:r>
          </w:p>
        </w:tc>
        <w:tc>
          <w:tcPr>
            <w:tcW w:w="6667" w:type="dxa"/>
            <w:hideMark/>
          </w:tcPr>
          <w:p w14:paraId="407C3156"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F41E1">
              <w:rPr>
                <w:rFonts w:ascii="Palatino Linotype" w:hAnsi="Palatino Linotype" w:cs="Arial"/>
                <w:b/>
                <w:color w:val="000000"/>
                <w:sz w:val="20"/>
                <w:szCs w:val="24"/>
              </w:rPr>
              <w:t>Sujetos Obligados</w:t>
            </w:r>
            <w:r w:rsidRPr="007F41E1">
              <w:rPr>
                <w:rFonts w:ascii="Palatino Linotype" w:hAnsi="Palatino Linotype" w:cs="Arial"/>
                <w:color w:val="000000"/>
                <w:sz w:val="20"/>
                <w:szCs w:val="24"/>
              </w:rPr>
              <w:t xml:space="preserve">, por lo que deberán fundar y motivar debidamente la clasificación. </w:t>
            </w:r>
          </w:p>
          <w:p w14:paraId="777D99F7"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De lo anterior, se desprende que para una correcta </w:t>
            </w:r>
            <w:r w:rsidRPr="007F41E1">
              <w:rPr>
                <w:rFonts w:ascii="Palatino Linotype" w:hAnsi="Palatino Linotype" w:cs="Arial"/>
                <w:b/>
                <w:color w:val="000000"/>
                <w:sz w:val="20"/>
                <w:szCs w:val="24"/>
              </w:rPr>
              <w:t>clasificación total o parcial</w:t>
            </w:r>
            <w:r w:rsidRPr="007F41E1">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887DE3"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522956"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lastRenderedPageBreak/>
              <w:t>En ese mismo sentido, el numeral trigésimo tercero fracción V de los Lineamientos Generales, precisa que para motivar la clasificación se deben acreditar las circunstancias de tiempo, modo y lugar.</w:t>
            </w:r>
          </w:p>
          <w:p w14:paraId="460880BD" w14:textId="77777777" w:rsidR="00F24236" w:rsidRPr="007F41E1" w:rsidRDefault="00F24236" w:rsidP="001C52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Ahora bien, </w:t>
            </w:r>
            <w:r w:rsidRPr="007F41E1">
              <w:rPr>
                <w:rFonts w:ascii="Palatino Linotype" w:hAnsi="Palatino Linotype" w:cs="Arial"/>
                <w:b/>
                <w:color w:val="000000"/>
                <w:sz w:val="20"/>
                <w:szCs w:val="24"/>
                <w:u w:val="single"/>
              </w:rPr>
              <w:t>para cada caso además de fundar y motivar</w:t>
            </w:r>
            <w:r w:rsidRPr="007F41E1">
              <w:rPr>
                <w:rFonts w:ascii="Palatino Linotype" w:hAnsi="Palatino Linotype" w:cs="Arial"/>
                <w:color w:val="000000"/>
                <w:sz w:val="20"/>
                <w:szCs w:val="24"/>
              </w:rPr>
              <w:t xml:space="preserve">, se debe identificar con claridad que datos contenidos en las documentales que son susceptibles de suprimirse, por ejemplo; </w:t>
            </w:r>
            <w:r w:rsidRPr="007F41E1">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24236" w:rsidRPr="007F41E1" w14:paraId="0432E791" w14:textId="77777777" w:rsidTr="001C52A7">
        <w:tc>
          <w:tcPr>
            <w:cnfStyle w:val="001000000000" w:firstRow="0" w:lastRow="0" w:firstColumn="1" w:lastColumn="0" w:oddVBand="0" w:evenVBand="0" w:oddHBand="0" w:evenHBand="0" w:firstRowFirstColumn="0" w:firstRowLastColumn="0" w:lastRowFirstColumn="0" w:lastRowLastColumn="0"/>
            <w:tcW w:w="1838" w:type="dxa"/>
          </w:tcPr>
          <w:p w14:paraId="588A3F04" w14:textId="77777777" w:rsidR="00F24236" w:rsidRPr="007F41E1" w:rsidRDefault="00F24236" w:rsidP="001C52A7">
            <w:pPr>
              <w:tabs>
                <w:tab w:val="left" w:pos="284"/>
              </w:tabs>
              <w:spacing w:line="360" w:lineRule="auto"/>
              <w:ind w:right="49"/>
              <w:jc w:val="both"/>
              <w:rPr>
                <w:rFonts w:ascii="Palatino Linotype" w:hAnsi="Palatino Linotype" w:cs="Arial"/>
                <w:bCs w:val="0"/>
                <w:sz w:val="20"/>
                <w:szCs w:val="24"/>
              </w:rPr>
            </w:pPr>
            <w:r w:rsidRPr="007F41E1">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4AA063C7" w14:textId="77777777" w:rsidR="00F24236" w:rsidRPr="007F41E1" w:rsidRDefault="00F24236" w:rsidP="001C52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0620B5A5" w14:textId="77777777" w:rsidR="00F24236" w:rsidRPr="007F41E1" w:rsidRDefault="00F24236" w:rsidP="001C52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F41E1">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E52115" w14:textId="77777777" w:rsidR="00F24236" w:rsidRPr="007F41E1" w:rsidRDefault="00F24236" w:rsidP="001C52A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F41E1">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A5D59" w14:textId="77777777" w:rsidR="00F24236" w:rsidRPr="007F41E1" w:rsidRDefault="00F24236" w:rsidP="00F24236">
      <w:pPr>
        <w:pStyle w:val="Prrafodelista"/>
        <w:tabs>
          <w:tab w:val="left" w:pos="284"/>
        </w:tabs>
        <w:ind w:left="0"/>
        <w:rPr>
          <w:rFonts w:ascii="Palatino Linotype" w:hAnsi="Palatino Linotype" w:cs="Arial"/>
          <w:color w:val="000000"/>
          <w:sz w:val="24"/>
        </w:rPr>
      </w:pPr>
    </w:p>
    <w:p w14:paraId="4D0BF799" w14:textId="77777777" w:rsidR="00F24236" w:rsidRPr="007F41E1" w:rsidRDefault="00F24236" w:rsidP="00F242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7F41E1">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7F41E1">
        <w:rPr>
          <w:rFonts w:ascii="Palatino Linotype" w:hAnsi="Palatino Linotype" w:cs="Arial"/>
          <w:sz w:val="24"/>
        </w:rPr>
        <w:lastRenderedPageBreak/>
        <w:t xml:space="preserve">establecidas, asimismo que si entrega un documento testado sin el debido acuerdo de clasificación. </w:t>
      </w:r>
    </w:p>
    <w:p w14:paraId="21913DD3" w14:textId="0B676904" w:rsidR="009E1309" w:rsidRPr="007F41E1" w:rsidRDefault="00F24236" w:rsidP="009E1309">
      <w:pPr>
        <w:keepNext/>
        <w:keepLines/>
        <w:tabs>
          <w:tab w:val="left" w:pos="284"/>
        </w:tabs>
        <w:spacing w:before="240"/>
        <w:outlineLvl w:val="0"/>
        <w:rPr>
          <w:rFonts w:ascii="Palatino Linotype" w:eastAsia="MS Gothic" w:hAnsi="Palatino Linotype" w:cstheme="majorBidi"/>
          <w:b/>
          <w:sz w:val="24"/>
          <w:szCs w:val="24"/>
        </w:rPr>
      </w:pPr>
      <w:bookmarkStart w:id="20" w:name="_Toc487739452"/>
      <w:bookmarkStart w:id="21" w:name="_Toc524344196"/>
      <w:bookmarkStart w:id="22" w:name="_Toc526271201"/>
      <w:bookmarkStart w:id="23" w:name="_Toc536106975"/>
      <w:bookmarkStart w:id="24" w:name="_Toc68793658"/>
      <w:bookmarkStart w:id="25" w:name="_Toc87549681"/>
      <w:r w:rsidRPr="007F41E1">
        <w:rPr>
          <w:rFonts w:ascii="Palatino Linotype" w:eastAsia="MS Gothic" w:hAnsi="Palatino Linotype" w:cstheme="majorBidi"/>
          <w:b/>
          <w:sz w:val="24"/>
          <w:szCs w:val="24"/>
        </w:rPr>
        <w:t>SEXTO</w:t>
      </w:r>
      <w:r w:rsidR="006A637D" w:rsidRPr="007F41E1">
        <w:rPr>
          <w:rFonts w:ascii="Palatino Linotype" w:eastAsia="MS Gothic" w:hAnsi="Palatino Linotype" w:cstheme="majorBidi"/>
          <w:b/>
          <w:sz w:val="24"/>
          <w:szCs w:val="24"/>
        </w:rPr>
        <w:t>. Vista al Ó</w:t>
      </w:r>
      <w:r w:rsidR="009E1309" w:rsidRPr="007F41E1">
        <w:rPr>
          <w:rFonts w:ascii="Palatino Linotype" w:eastAsia="MS Gothic" w:hAnsi="Palatino Linotype" w:cstheme="majorBidi"/>
          <w:b/>
          <w:sz w:val="24"/>
          <w:szCs w:val="24"/>
        </w:rPr>
        <w:t xml:space="preserve">rganos </w:t>
      </w:r>
      <w:r w:rsidR="006A637D" w:rsidRPr="007F41E1">
        <w:rPr>
          <w:rFonts w:ascii="Palatino Linotype" w:eastAsia="MS Gothic" w:hAnsi="Palatino Linotype" w:cstheme="majorBidi"/>
          <w:b/>
          <w:sz w:val="24"/>
          <w:szCs w:val="24"/>
        </w:rPr>
        <w:t>Interno de C</w:t>
      </w:r>
      <w:r w:rsidR="009E1309" w:rsidRPr="007F41E1">
        <w:rPr>
          <w:rFonts w:ascii="Palatino Linotype" w:eastAsia="MS Gothic" w:hAnsi="Palatino Linotype" w:cstheme="majorBidi"/>
          <w:b/>
          <w:sz w:val="24"/>
          <w:szCs w:val="24"/>
        </w:rPr>
        <w:t>ontrol</w:t>
      </w:r>
      <w:bookmarkEnd w:id="20"/>
      <w:r w:rsidR="009E1309" w:rsidRPr="007F41E1">
        <w:rPr>
          <w:rFonts w:ascii="Palatino Linotype" w:eastAsia="MS Gothic" w:hAnsi="Palatino Linotype" w:cstheme="majorBidi"/>
          <w:b/>
          <w:sz w:val="24"/>
          <w:szCs w:val="24"/>
        </w:rPr>
        <w:t>.</w:t>
      </w:r>
      <w:bookmarkEnd w:id="21"/>
      <w:bookmarkEnd w:id="22"/>
      <w:bookmarkEnd w:id="23"/>
      <w:bookmarkEnd w:id="24"/>
      <w:bookmarkEnd w:id="25"/>
    </w:p>
    <w:p w14:paraId="2B4BE5E8" w14:textId="77777777" w:rsidR="009E1309" w:rsidRPr="007F41E1"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F41E1">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19BFC169" w14:textId="77777777" w:rsidR="009E1309" w:rsidRPr="007F41E1" w:rsidRDefault="009E1309" w:rsidP="009E1309">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6C6BA199"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Artículo 222. Son causas de responsabilidad administrativa de los servidores públicos de los sujetos obligados, por incumplimiento de las obligaciones establecidas en la materia de la presente Ley, las siguientes:</w:t>
      </w:r>
    </w:p>
    <w:p w14:paraId="78235D38"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 xml:space="preserve">I. Cualquier acto u omisión que provoque la suspensión o deficiencia en la atención de las solicitudes de información; </w:t>
      </w:r>
    </w:p>
    <w:p w14:paraId="7FBC2A3F"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II. La falta de respuesta a las solicitudes de información en los plazos señalados en la normatividad aplicable;</w:t>
      </w:r>
    </w:p>
    <w:p w14:paraId="70ADAB4B"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III. a XXI. …</w:t>
      </w:r>
    </w:p>
    <w:p w14:paraId="5191588D" w14:textId="77777777" w:rsidR="009E1309" w:rsidRPr="007F41E1"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2"/>
          <w:szCs w:val="24"/>
          <w:lang w:val="es-ES_tradnl"/>
        </w:rPr>
      </w:pPr>
    </w:p>
    <w:p w14:paraId="4FFF0040"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B967BA"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p>
    <w:p w14:paraId="57CD0131"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Artículo 59. Los servidores públicos habilitados tendrán las funciones siguientes:</w:t>
      </w:r>
    </w:p>
    <w:p w14:paraId="6EB39E99"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p>
    <w:p w14:paraId="7BD83FB3"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lastRenderedPageBreak/>
        <w:t xml:space="preserve">I. Localizar la información que le solicite la Unidad de Transparencia; </w:t>
      </w:r>
    </w:p>
    <w:p w14:paraId="3210BA6D"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II. Proporcionar la información que obre en los archivos y que le sea solicitada por la Unidad de Transparencia;</w:t>
      </w:r>
    </w:p>
    <w:p w14:paraId="46CCBFF0" w14:textId="77777777" w:rsidR="009E1309" w:rsidRPr="007F41E1" w:rsidRDefault="009E1309" w:rsidP="009E1309">
      <w:pPr>
        <w:tabs>
          <w:tab w:val="left" w:pos="284"/>
        </w:tabs>
        <w:spacing w:before="240" w:after="240" w:line="360" w:lineRule="auto"/>
        <w:ind w:left="567" w:right="567"/>
        <w:contextualSpacing/>
        <w:jc w:val="both"/>
        <w:rPr>
          <w:rFonts w:ascii="Palatino Linotype" w:hAnsi="Palatino Linotype"/>
          <w:i/>
          <w:iCs/>
          <w:sz w:val="22"/>
          <w:szCs w:val="24"/>
        </w:rPr>
      </w:pPr>
      <w:r w:rsidRPr="007F41E1">
        <w:rPr>
          <w:rFonts w:ascii="Palatino Linotype" w:hAnsi="Palatino Linotype"/>
          <w:i/>
          <w:iCs/>
          <w:sz w:val="22"/>
          <w:szCs w:val="24"/>
        </w:rPr>
        <w:t>III. a VII. …</w:t>
      </w:r>
    </w:p>
    <w:p w14:paraId="37EC39F2" w14:textId="77777777" w:rsidR="009E1309" w:rsidRPr="007F41E1"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7C77D7FF" w14:textId="77777777" w:rsidR="009E1309" w:rsidRPr="007F41E1"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F41E1">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CA63EBC" w14:textId="77777777" w:rsidR="009E1309" w:rsidRPr="007F41E1"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0C177C2" w14:textId="77777777" w:rsidR="009E1309" w:rsidRPr="007F41E1"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F41E1">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91C0F91" w14:textId="77777777" w:rsidR="009E1309" w:rsidRPr="007F41E1"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DE919" w14:textId="77777777" w:rsidR="009E1309" w:rsidRPr="007F41E1"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7F41E1">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3341922" w14:textId="77777777" w:rsidR="009E1309" w:rsidRPr="007F41E1"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F41E1">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20B4F7E8" w14:textId="77777777" w:rsidR="009E1309" w:rsidRPr="007F41E1" w:rsidRDefault="009E1309" w:rsidP="009E1309">
      <w:pPr>
        <w:pStyle w:val="Prrafodelista"/>
        <w:tabs>
          <w:tab w:val="left" w:pos="284"/>
        </w:tabs>
        <w:spacing w:before="240" w:after="240" w:line="360" w:lineRule="auto"/>
        <w:ind w:left="0"/>
        <w:jc w:val="both"/>
        <w:rPr>
          <w:rFonts w:ascii="Palatino Linotype" w:hAnsi="Palatino Linotype"/>
          <w:sz w:val="24"/>
        </w:rPr>
      </w:pPr>
    </w:p>
    <w:p w14:paraId="59974EDB" w14:textId="092D8CE6" w:rsidR="009E1309" w:rsidRPr="007F41E1"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7F41E1">
        <w:rPr>
          <w:rFonts w:ascii="Palatino Linotype" w:hAnsi="Palatino Linotype"/>
          <w:sz w:val="24"/>
        </w:rPr>
        <w:lastRenderedPageBreak/>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w:t>
      </w:r>
      <w:r w:rsidR="006A637D" w:rsidRPr="007F41E1">
        <w:rPr>
          <w:rFonts w:ascii="Palatino Linotype" w:hAnsi="Palatino Linotype"/>
          <w:sz w:val="24"/>
        </w:rPr>
        <w:t>debe hacer de conocimiento del Ó</w:t>
      </w:r>
      <w:r w:rsidRPr="007F41E1">
        <w:rPr>
          <w:rFonts w:ascii="Palatino Linotype" w:hAnsi="Palatino Linotype"/>
          <w:sz w:val="24"/>
        </w:rPr>
        <w:t xml:space="preserve">rgano </w:t>
      </w:r>
      <w:r w:rsidR="006A637D" w:rsidRPr="007F41E1">
        <w:rPr>
          <w:rFonts w:ascii="Palatino Linotype" w:hAnsi="Palatino Linotype"/>
          <w:sz w:val="24"/>
        </w:rPr>
        <w:t>Interno de C</w:t>
      </w:r>
      <w:r w:rsidRPr="007F41E1">
        <w:rPr>
          <w:rFonts w:ascii="Palatino Linotype" w:hAnsi="Palatino Linotype"/>
          <w:sz w:val="24"/>
        </w:rPr>
        <w:t>ontrol</w:t>
      </w:r>
      <w:r w:rsidR="002E0862">
        <w:rPr>
          <w:rFonts w:ascii="Palatino Linotype" w:hAnsi="Palatino Linotype"/>
          <w:sz w:val="24"/>
        </w:rPr>
        <w:t xml:space="preserve"> competente</w:t>
      </w:r>
      <w:r w:rsidR="006A637D" w:rsidRPr="007F41E1">
        <w:rPr>
          <w:rFonts w:ascii="Palatino Linotype" w:hAnsi="Palatino Linotype"/>
          <w:sz w:val="24"/>
        </w:rPr>
        <w:t>, para que inicie</w:t>
      </w:r>
      <w:r w:rsidRPr="007F41E1">
        <w:rPr>
          <w:rFonts w:ascii="Palatino Linotype" w:hAnsi="Palatino Linotype"/>
          <w:sz w:val="24"/>
        </w:rPr>
        <w:t xml:space="preserve"> en su caso, el procedimiento de responsabilidad respectivo.</w:t>
      </w:r>
    </w:p>
    <w:p w14:paraId="0B52C0E2" w14:textId="77777777" w:rsidR="009E1309" w:rsidRPr="007F41E1" w:rsidRDefault="009E1309" w:rsidP="009E1309">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7F41E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F41E1">
        <w:rPr>
          <w:rFonts w:ascii="Palatino Linotype" w:hAnsi="Palatino Linotype" w:cs="Arial"/>
          <w:color w:val="222222"/>
          <w:sz w:val="24"/>
          <w:lang w:eastAsia="es-MX"/>
        </w:rPr>
        <w:t xml:space="preserve">Por lo anteriormente expuesto y fundado, este </w:t>
      </w:r>
      <w:r w:rsidRPr="007F41E1">
        <w:rPr>
          <w:rFonts w:ascii="Palatino Linotype" w:hAnsi="Palatino Linotype" w:cs="Arial"/>
          <w:b/>
          <w:bCs/>
          <w:color w:val="222222"/>
          <w:sz w:val="24"/>
          <w:lang w:eastAsia="es-MX"/>
        </w:rPr>
        <w:t>ÓRGANO GARANTE</w:t>
      </w:r>
      <w:r w:rsidRPr="007F41E1">
        <w:rPr>
          <w:rFonts w:ascii="Palatino Linotype" w:hAnsi="Palatino Linotype" w:cs="Arial"/>
          <w:color w:val="222222"/>
          <w:sz w:val="24"/>
          <w:lang w:eastAsia="es-MX"/>
        </w:rPr>
        <w:t xml:space="preserve"> emite los siguientes:</w:t>
      </w:r>
    </w:p>
    <w:p w14:paraId="463AEB82" w14:textId="1A6F6637" w:rsidR="005000AA" w:rsidRPr="007F41E1" w:rsidRDefault="005000AA" w:rsidP="00C53585">
      <w:pPr>
        <w:pStyle w:val="Ttulo1"/>
        <w:jc w:val="center"/>
        <w:rPr>
          <w:rFonts w:ascii="Palatino Linotype" w:hAnsi="Palatino Linotype"/>
          <w:b/>
          <w:color w:val="auto"/>
          <w:sz w:val="24"/>
          <w:szCs w:val="24"/>
        </w:rPr>
      </w:pPr>
      <w:bookmarkStart w:id="26" w:name="_Toc4061692"/>
      <w:bookmarkStart w:id="27" w:name="_Toc486525261"/>
      <w:bookmarkStart w:id="28" w:name="_Toc445745148"/>
      <w:bookmarkStart w:id="29" w:name="_Toc447699324"/>
      <w:bookmarkStart w:id="30" w:name="_Toc87549684"/>
      <w:r w:rsidRPr="007F41E1">
        <w:rPr>
          <w:rFonts w:ascii="Palatino Linotype" w:hAnsi="Palatino Linotype"/>
          <w:b/>
          <w:color w:val="auto"/>
          <w:sz w:val="24"/>
          <w:szCs w:val="24"/>
        </w:rPr>
        <w:t>R E S O L U T I V O S</w:t>
      </w:r>
      <w:bookmarkEnd w:id="26"/>
      <w:bookmarkEnd w:id="27"/>
      <w:bookmarkEnd w:id="28"/>
      <w:bookmarkEnd w:id="29"/>
      <w:bookmarkEnd w:id="30"/>
    </w:p>
    <w:p w14:paraId="2B38CFA8" w14:textId="77777777" w:rsidR="00C53585" w:rsidRPr="007F41E1" w:rsidRDefault="00C53585" w:rsidP="00616297">
      <w:pPr>
        <w:tabs>
          <w:tab w:val="left" w:pos="284"/>
        </w:tabs>
        <w:spacing w:line="360" w:lineRule="auto"/>
        <w:jc w:val="both"/>
        <w:rPr>
          <w:rFonts w:ascii="Palatino Linotype" w:hAnsi="Palatino Linotype" w:cs="Arial"/>
          <w:b/>
          <w:sz w:val="24"/>
          <w:szCs w:val="24"/>
          <w:lang w:val="es-ES_tradnl"/>
        </w:rPr>
      </w:pPr>
    </w:p>
    <w:p w14:paraId="33D6D94C" w14:textId="061D2449" w:rsidR="00F24236" w:rsidRPr="007F41E1" w:rsidRDefault="00F24236" w:rsidP="00F24236">
      <w:pPr>
        <w:spacing w:line="360" w:lineRule="auto"/>
        <w:jc w:val="both"/>
        <w:rPr>
          <w:rFonts w:ascii="Palatino Linotype" w:hAnsi="Palatino Linotype"/>
          <w:sz w:val="24"/>
          <w:szCs w:val="24"/>
        </w:rPr>
      </w:pPr>
      <w:r w:rsidRPr="007F41E1">
        <w:rPr>
          <w:rFonts w:ascii="Palatino Linotype" w:hAnsi="Palatino Linotype" w:cs="Arial"/>
          <w:b/>
          <w:sz w:val="24"/>
          <w:szCs w:val="24"/>
        </w:rPr>
        <w:t xml:space="preserve">PRIMERO. </w:t>
      </w:r>
      <w:r w:rsidRPr="007F41E1">
        <w:rPr>
          <w:rFonts w:ascii="Palatino Linotype" w:hAnsi="Palatino Linotype" w:cs="Arial"/>
          <w:sz w:val="24"/>
          <w:szCs w:val="24"/>
        </w:rPr>
        <w:t>Resultan fundadas las</w:t>
      </w:r>
      <w:r w:rsidRPr="007F41E1">
        <w:rPr>
          <w:rFonts w:ascii="Palatino Linotype" w:hAnsi="Palatino Linotype" w:cs="Arial"/>
          <w:b/>
          <w:sz w:val="24"/>
          <w:szCs w:val="24"/>
        </w:rPr>
        <w:t xml:space="preserve"> </w:t>
      </w:r>
      <w:r w:rsidRPr="007F41E1">
        <w:rPr>
          <w:rFonts w:ascii="Palatino Linotype" w:hAnsi="Palatino Linotype" w:cs="Arial"/>
          <w:sz w:val="24"/>
          <w:szCs w:val="24"/>
          <w:lang w:val="es-ES"/>
        </w:rPr>
        <w:t xml:space="preserve">razones o motivos de inconformidad hechos valer </w:t>
      </w:r>
      <w:r w:rsidRPr="007F41E1">
        <w:rPr>
          <w:rFonts w:ascii="Palatino Linotype" w:eastAsia="Calibri" w:hAnsi="Palatino Linotype" w:cs="Arial"/>
          <w:sz w:val="24"/>
          <w:szCs w:val="24"/>
          <w:lang w:val="es-ES"/>
        </w:rPr>
        <w:t xml:space="preserve">en el recurso de revisión </w:t>
      </w:r>
      <w:r w:rsidR="001C52A7" w:rsidRPr="007F41E1">
        <w:rPr>
          <w:rFonts w:ascii="Palatino Linotype" w:hAnsi="Palatino Linotype" w:cs="Arial"/>
          <w:b/>
          <w:sz w:val="24"/>
          <w:szCs w:val="24"/>
        </w:rPr>
        <w:t>07108/</w:t>
      </w:r>
      <w:r w:rsidR="001C52A7" w:rsidRPr="007F41E1">
        <w:rPr>
          <w:rFonts w:ascii="Palatino Linotype" w:eastAsia="Calibri" w:hAnsi="Palatino Linotype" w:cs="Tahoma"/>
          <w:b/>
          <w:sz w:val="24"/>
          <w:szCs w:val="24"/>
          <w:lang w:eastAsia="en-US"/>
        </w:rPr>
        <w:t>INFOEM/IP/RR/2023</w:t>
      </w:r>
      <w:r w:rsidR="006A637D" w:rsidRPr="007F41E1">
        <w:rPr>
          <w:rFonts w:ascii="Palatino Linotype" w:eastAsia="Calibri" w:hAnsi="Palatino Linotype" w:cs="Tahoma"/>
          <w:b/>
          <w:sz w:val="24"/>
          <w:szCs w:val="24"/>
          <w:lang w:eastAsia="en-US"/>
        </w:rPr>
        <w:t>,</w:t>
      </w:r>
      <w:r w:rsidRPr="007F41E1">
        <w:rPr>
          <w:rFonts w:ascii="Palatino Linotype" w:eastAsia="Calibri" w:hAnsi="Palatino Linotype" w:cs="Tahoma"/>
          <w:sz w:val="24"/>
          <w:szCs w:val="24"/>
          <w:lang w:eastAsia="en-US"/>
        </w:rPr>
        <w:t xml:space="preserve"> </w:t>
      </w:r>
      <w:r w:rsidRPr="007F41E1">
        <w:rPr>
          <w:rFonts w:ascii="Palatino Linotype" w:hAnsi="Palatino Linotype"/>
          <w:b/>
          <w:sz w:val="24"/>
          <w:szCs w:val="24"/>
        </w:rPr>
        <w:t xml:space="preserve"> </w:t>
      </w:r>
      <w:r w:rsidRPr="007F41E1">
        <w:rPr>
          <w:rFonts w:ascii="Palatino Linotype" w:hAnsi="Palatino Linotype"/>
          <w:sz w:val="24"/>
          <w:szCs w:val="24"/>
        </w:rPr>
        <w:t>en términos de los</w:t>
      </w:r>
      <w:r w:rsidRPr="007F41E1">
        <w:rPr>
          <w:rFonts w:ascii="Palatino Linotype" w:hAnsi="Palatino Linotype"/>
          <w:b/>
          <w:bCs/>
          <w:sz w:val="24"/>
          <w:szCs w:val="24"/>
        </w:rPr>
        <w:t xml:space="preserve"> </w:t>
      </w:r>
      <w:r w:rsidR="006A637D" w:rsidRPr="007F41E1">
        <w:rPr>
          <w:rFonts w:ascii="Palatino Linotype" w:hAnsi="Palatino Linotype"/>
          <w:b/>
          <w:bCs/>
          <w:sz w:val="24"/>
          <w:szCs w:val="24"/>
        </w:rPr>
        <w:t>c</w:t>
      </w:r>
      <w:r w:rsidRPr="007F41E1">
        <w:rPr>
          <w:rFonts w:ascii="Palatino Linotype" w:hAnsi="Palatino Linotype"/>
          <w:b/>
          <w:bCs/>
          <w:sz w:val="24"/>
          <w:szCs w:val="24"/>
        </w:rPr>
        <w:t>onsiderandos</w:t>
      </w:r>
      <w:r w:rsidRPr="007F41E1">
        <w:rPr>
          <w:rFonts w:ascii="Palatino Linotype" w:hAnsi="Palatino Linotype"/>
          <w:sz w:val="24"/>
          <w:szCs w:val="24"/>
        </w:rPr>
        <w:t xml:space="preserve"> </w:t>
      </w:r>
      <w:r w:rsidRPr="007F41E1">
        <w:rPr>
          <w:rFonts w:ascii="Palatino Linotype" w:hAnsi="Palatino Linotype"/>
          <w:b/>
          <w:sz w:val="24"/>
          <w:szCs w:val="24"/>
        </w:rPr>
        <w:t>CUARTO y QUINTO</w:t>
      </w:r>
      <w:r w:rsidRPr="007F41E1">
        <w:rPr>
          <w:rFonts w:ascii="Palatino Linotype" w:hAnsi="Palatino Linotype"/>
          <w:sz w:val="24"/>
          <w:szCs w:val="24"/>
        </w:rPr>
        <w:t xml:space="preserve"> de la presente resolución.</w:t>
      </w:r>
    </w:p>
    <w:p w14:paraId="545AF84C" w14:textId="77777777" w:rsidR="00F24236" w:rsidRPr="007F41E1" w:rsidRDefault="00F24236" w:rsidP="00F24236">
      <w:pPr>
        <w:spacing w:line="360" w:lineRule="auto"/>
        <w:contextualSpacing/>
        <w:jc w:val="both"/>
        <w:rPr>
          <w:rFonts w:ascii="Palatino Linotype" w:eastAsia="Calibri" w:hAnsi="Palatino Linotype" w:cs="Arial"/>
          <w:b/>
          <w:bCs/>
          <w:sz w:val="24"/>
          <w:szCs w:val="24"/>
          <w:lang w:val="es-ES"/>
        </w:rPr>
      </w:pPr>
    </w:p>
    <w:p w14:paraId="77104CA6" w14:textId="4712F429" w:rsidR="00D6652D" w:rsidRPr="007F41E1" w:rsidRDefault="00F24236" w:rsidP="00D6652D">
      <w:pPr>
        <w:pStyle w:val="Sinespaciado"/>
        <w:spacing w:line="360" w:lineRule="auto"/>
        <w:ind w:left="0" w:right="0"/>
        <w:rPr>
          <w:rFonts w:ascii="Palatino Linotype" w:eastAsia="Calibri" w:hAnsi="Palatino Linotype" w:cs="Arial"/>
          <w:sz w:val="24"/>
          <w:lang w:val="es-ES"/>
        </w:rPr>
      </w:pPr>
      <w:r w:rsidRPr="007F41E1">
        <w:rPr>
          <w:rFonts w:ascii="Palatino Linotype" w:eastAsia="Calibri" w:hAnsi="Palatino Linotype" w:cs="Arial"/>
          <w:b/>
          <w:bCs/>
          <w:sz w:val="24"/>
          <w:lang w:val="es-ES"/>
        </w:rPr>
        <w:t xml:space="preserve">SEGUNDO. </w:t>
      </w:r>
      <w:r w:rsidR="002E0862">
        <w:rPr>
          <w:rFonts w:ascii="Palatino Linotype" w:eastAsia="Calibri" w:hAnsi="Palatino Linotype" w:cs="Arial"/>
          <w:bCs/>
          <w:sz w:val="24"/>
          <w:lang w:val="es-ES"/>
        </w:rPr>
        <w:t>Se</w:t>
      </w:r>
      <w:r w:rsidRPr="007F41E1">
        <w:rPr>
          <w:rFonts w:ascii="Palatino Linotype" w:eastAsia="Calibri" w:hAnsi="Palatino Linotype" w:cs="Arial"/>
          <w:bCs/>
          <w:sz w:val="24"/>
          <w:lang w:val="es-ES"/>
        </w:rPr>
        <w:t xml:space="preserve"> </w:t>
      </w:r>
      <w:r w:rsidRPr="007F41E1">
        <w:rPr>
          <w:rFonts w:ascii="Palatino Linotype" w:eastAsia="Calibri" w:hAnsi="Palatino Linotype" w:cs="Arial"/>
          <w:b/>
          <w:bCs/>
          <w:sz w:val="24"/>
          <w:lang w:val="es-ES"/>
        </w:rPr>
        <w:t xml:space="preserve">ORDENA </w:t>
      </w:r>
      <w:r w:rsidRPr="007F41E1">
        <w:rPr>
          <w:rFonts w:ascii="Palatino Linotype" w:eastAsia="Calibri" w:hAnsi="Palatino Linotype" w:cs="Arial"/>
          <w:bCs/>
          <w:sz w:val="24"/>
          <w:lang w:val="es-ES"/>
        </w:rPr>
        <w:t xml:space="preserve">al </w:t>
      </w:r>
      <w:r w:rsidRPr="007F41E1">
        <w:rPr>
          <w:rFonts w:ascii="Palatino Linotype" w:eastAsia="Calibri" w:hAnsi="Palatino Linotype" w:cs="Arial"/>
          <w:b/>
          <w:bCs/>
          <w:sz w:val="24"/>
          <w:lang w:val="es-ES"/>
        </w:rPr>
        <w:t xml:space="preserve">Ayuntamiento de </w:t>
      </w:r>
      <w:r w:rsidR="001C52A7" w:rsidRPr="007F41E1">
        <w:rPr>
          <w:rFonts w:ascii="Palatino Linotype" w:eastAsia="Calibri" w:hAnsi="Palatino Linotype" w:cs="Arial"/>
          <w:b/>
          <w:bCs/>
          <w:sz w:val="24"/>
          <w:lang w:val="es-ES"/>
        </w:rPr>
        <w:t>Ocuilan</w:t>
      </w:r>
      <w:r w:rsidR="006A637D" w:rsidRPr="007F41E1">
        <w:rPr>
          <w:rFonts w:ascii="Palatino Linotype" w:eastAsia="Calibri" w:hAnsi="Palatino Linotype" w:cs="Arial"/>
          <w:b/>
          <w:bCs/>
          <w:sz w:val="24"/>
          <w:lang w:val="es-ES"/>
        </w:rPr>
        <w:t>,</w:t>
      </w:r>
      <w:r w:rsidRPr="007F41E1">
        <w:rPr>
          <w:rFonts w:ascii="Palatino Linotype" w:eastAsia="Calibri" w:hAnsi="Palatino Linotype" w:cs="Arial"/>
          <w:b/>
          <w:bCs/>
          <w:sz w:val="24"/>
          <w:lang w:val="es-ES"/>
        </w:rPr>
        <w:t xml:space="preserve"> </w:t>
      </w:r>
      <w:r w:rsidRPr="007F41E1">
        <w:rPr>
          <w:rFonts w:ascii="Palatino Linotype" w:eastAsia="Calibri" w:hAnsi="Palatino Linotype" w:cs="Arial"/>
          <w:bCs/>
          <w:sz w:val="24"/>
          <w:lang w:val="es-ES"/>
        </w:rPr>
        <w:t xml:space="preserve">entregar vía </w:t>
      </w:r>
      <w:r w:rsidRPr="007F41E1">
        <w:rPr>
          <w:rFonts w:ascii="Palatino Linotype" w:eastAsia="Calibri" w:hAnsi="Palatino Linotype" w:cs="Arial"/>
          <w:b/>
          <w:bCs/>
          <w:sz w:val="24"/>
          <w:lang w:val="es-ES"/>
        </w:rPr>
        <w:t xml:space="preserve">Sistema de Acceso a la Información Mexiquense (SAIMEX), </w:t>
      </w:r>
      <w:r w:rsidRPr="007F41E1">
        <w:rPr>
          <w:rFonts w:ascii="Palatino Linotype" w:eastAsia="Calibri" w:hAnsi="Palatino Linotype" w:cs="Arial"/>
          <w:bCs/>
          <w:sz w:val="24"/>
          <w:lang w:val="es-ES"/>
        </w:rPr>
        <w:t xml:space="preserve">en </w:t>
      </w:r>
      <w:r w:rsidRPr="007F41E1">
        <w:rPr>
          <w:rFonts w:ascii="Palatino Linotype" w:eastAsia="Calibri" w:hAnsi="Palatino Linotype" w:cs="Arial"/>
          <w:sz w:val="24"/>
          <w:lang w:val="es-ES"/>
        </w:rPr>
        <w:t>versión pública,</w:t>
      </w:r>
      <w:r w:rsidR="00D6652D" w:rsidRPr="007F41E1">
        <w:rPr>
          <w:rFonts w:ascii="Palatino Linotype" w:eastAsia="Calibri" w:hAnsi="Palatino Linotype" w:cs="Arial"/>
          <w:sz w:val="24"/>
          <w:lang w:val="es-ES"/>
        </w:rPr>
        <w:t xml:space="preserve"> la siguiente información:</w:t>
      </w:r>
    </w:p>
    <w:p w14:paraId="79EA8543" w14:textId="77777777" w:rsidR="00D6652D" w:rsidRPr="007F41E1" w:rsidRDefault="00D6652D" w:rsidP="00F24236">
      <w:pPr>
        <w:pStyle w:val="Sinespaciado"/>
        <w:spacing w:line="360" w:lineRule="auto"/>
        <w:ind w:left="0" w:right="0"/>
        <w:rPr>
          <w:rFonts w:ascii="Palatino Linotype" w:eastAsia="Calibri" w:hAnsi="Palatino Linotype" w:cs="Arial"/>
          <w:sz w:val="24"/>
          <w:lang w:val="es-ES"/>
        </w:rPr>
      </w:pPr>
    </w:p>
    <w:p w14:paraId="175A1FD8" w14:textId="7B6B9FA0" w:rsidR="00D6652D" w:rsidRPr="007F41E1" w:rsidRDefault="002B7BDE" w:rsidP="002B7BDE">
      <w:pPr>
        <w:pStyle w:val="Prrafodelista"/>
        <w:numPr>
          <w:ilvl w:val="3"/>
          <w:numId w:val="2"/>
        </w:numPr>
        <w:spacing w:line="360" w:lineRule="auto"/>
        <w:ind w:left="709"/>
        <w:jc w:val="both"/>
        <w:rPr>
          <w:rFonts w:ascii="Palatino Linotype" w:hAnsi="Palatino Linotype" w:cs="Arial"/>
          <w:sz w:val="24"/>
        </w:rPr>
      </w:pPr>
      <w:r w:rsidRPr="007F41E1">
        <w:rPr>
          <w:rFonts w:ascii="Palatino Linotype" w:hAnsi="Palatino Linotype" w:cs="Arial"/>
          <w:sz w:val="24"/>
        </w:rPr>
        <w:t>Contrato emitido en informe justificado.</w:t>
      </w:r>
    </w:p>
    <w:p w14:paraId="7934D8BC" w14:textId="77777777" w:rsidR="002B7BDE" w:rsidRPr="007F41E1" w:rsidRDefault="002B7BDE" w:rsidP="002B7BDE">
      <w:pPr>
        <w:pStyle w:val="Prrafodelista"/>
        <w:spacing w:line="360" w:lineRule="auto"/>
        <w:ind w:left="709"/>
        <w:jc w:val="both"/>
        <w:rPr>
          <w:rFonts w:ascii="Palatino Linotype" w:hAnsi="Palatino Linotype" w:cs="Arial"/>
          <w:sz w:val="24"/>
        </w:rPr>
      </w:pPr>
    </w:p>
    <w:p w14:paraId="10B95936" w14:textId="77777777" w:rsidR="00F24236" w:rsidRPr="007F41E1" w:rsidRDefault="00F24236" w:rsidP="00F24236">
      <w:pPr>
        <w:spacing w:line="360" w:lineRule="auto"/>
        <w:jc w:val="both"/>
        <w:rPr>
          <w:rFonts w:ascii="Palatino Linotype" w:eastAsia="Calibri" w:hAnsi="Palatino Linotype" w:cs="Arial"/>
          <w:sz w:val="24"/>
          <w:szCs w:val="24"/>
        </w:rPr>
      </w:pPr>
      <w:r w:rsidRPr="007F41E1">
        <w:rPr>
          <w:rFonts w:ascii="Palatino Linotype" w:eastAsia="Calibri" w:hAnsi="Palatino Linotype" w:cs="Arial"/>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1A01827" w14:textId="77777777" w:rsidR="00F24236" w:rsidRPr="007F41E1" w:rsidRDefault="00F24236" w:rsidP="00F24236">
      <w:pPr>
        <w:spacing w:line="360" w:lineRule="auto"/>
        <w:jc w:val="both"/>
        <w:rPr>
          <w:rFonts w:ascii="Palatino Linotype" w:eastAsia="Calibri" w:hAnsi="Palatino Linotype" w:cs="Arial"/>
          <w:sz w:val="24"/>
          <w:szCs w:val="24"/>
        </w:rPr>
      </w:pPr>
    </w:p>
    <w:p w14:paraId="1DFDAE08" w14:textId="77777777" w:rsidR="00F24236" w:rsidRPr="007F41E1" w:rsidRDefault="00F24236" w:rsidP="00F242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7F41E1">
        <w:rPr>
          <w:rFonts w:ascii="Palatino Linotype" w:eastAsia="Palatino Linotype" w:hAnsi="Palatino Linotype" w:cs="Palatino Linotype"/>
          <w:b/>
          <w:sz w:val="24"/>
          <w:szCs w:val="24"/>
          <w:lang w:val="es-ES_tradnl"/>
        </w:rPr>
        <w:t xml:space="preserve">TERCERO. </w:t>
      </w:r>
      <w:r w:rsidRPr="007F41E1">
        <w:rPr>
          <w:rFonts w:ascii="Palatino Linotype" w:hAnsi="Palatino Linotype" w:cs="Arial"/>
          <w:b/>
          <w:color w:val="222222"/>
          <w:sz w:val="24"/>
          <w:szCs w:val="24"/>
          <w:shd w:val="clear" w:color="auto" w:fill="FFFFFF"/>
        </w:rPr>
        <w:t>NOTIFÍQUESE</w:t>
      </w:r>
      <w:r w:rsidRPr="007F41E1">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F41E1">
        <w:rPr>
          <w:rFonts w:ascii="Palatino Linotype" w:hAnsi="Palatino Linotype" w:cs="Arial"/>
          <w:b/>
          <w:color w:val="222222"/>
          <w:sz w:val="24"/>
          <w:szCs w:val="24"/>
          <w:shd w:val="clear" w:color="auto" w:fill="FFFFFF"/>
        </w:rPr>
        <w:t>dé cumplimiento a lo ordenado dentro del plazo de diez días hábiles,</w:t>
      </w:r>
      <w:r w:rsidRPr="007F41E1">
        <w:rPr>
          <w:rFonts w:ascii="Palatino Linotype" w:hAnsi="Palatino Linotype" w:cs="Arial"/>
          <w:color w:val="222222"/>
          <w:sz w:val="24"/>
          <w:szCs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459260" w14:textId="77777777" w:rsidR="00F24236" w:rsidRPr="007F41E1" w:rsidRDefault="00F24236" w:rsidP="00F242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p>
    <w:p w14:paraId="54239724" w14:textId="280A2BF8" w:rsidR="00F24236" w:rsidRPr="007F41E1" w:rsidRDefault="00F24236" w:rsidP="00F24236">
      <w:pPr>
        <w:tabs>
          <w:tab w:val="left" w:pos="284"/>
          <w:tab w:val="left" w:pos="8080"/>
        </w:tabs>
        <w:spacing w:line="360" w:lineRule="auto"/>
        <w:ind w:right="49"/>
        <w:contextualSpacing/>
        <w:jc w:val="both"/>
        <w:rPr>
          <w:rFonts w:ascii="Palatino Linotype" w:eastAsia="MS Mincho" w:hAnsi="Palatino Linotype"/>
          <w:sz w:val="24"/>
          <w:szCs w:val="24"/>
          <w:lang w:val="es-ES_tradnl"/>
        </w:rPr>
      </w:pPr>
      <w:r w:rsidRPr="007F41E1">
        <w:rPr>
          <w:rFonts w:ascii="Palatino Linotype" w:hAnsi="Palatino Linotype" w:cs="Arial"/>
          <w:b/>
          <w:sz w:val="24"/>
          <w:szCs w:val="24"/>
          <w:lang w:val="es-ES_tradnl"/>
        </w:rPr>
        <w:t xml:space="preserve">CUARTO. </w:t>
      </w:r>
      <w:r w:rsidRPr="007F41E1">
        <w:rPr>
          <w:rFonts w:ascii="Palatino Linotype" w:hAnsi="Palatino Linotype"/>
          <w:b/>
          <w:bCs/>
          <w:color w:val="222222"/>
          <w:sz w:val="24"/>
          <w:szCs w:val="24"/>
          <w:lang w:val="es-ES"/>
        </w:rPr>
        <w:t xml:space="preserve">Notifíquese </w:t>
      </w:r>
      <w:r w:rsidRPr="007F41E1">
        <w:rPr>
          <w:rFonts w:ascii="Palatino Linotype" w:hAnsi="Palatino Linotype"/>
          <w:bCs/>
          <w:color w:val="222222"/>
          <w:sz w:val="24"/>
          <w:szCs w:val="24"/>
          <w:lang w:val="es-ES"/>
        </w:rPr>
        <w:t xml:space="preserve">al </w:t>
      </w:r>
      <w:r w:rsidRPr="007F41E1">
        <w:rPr>
          <w:rFonts w:ascii="Palatino Linotype" w:hAnsi="Palatino Linotype"/>
          <w:b/>
          <w:bCs/>
          <w:color w:val="222222"/>
          <w:sz w:val="24"/>
          <w:szCs w:val="24"/>
          <w:lang w:val="es-ES"/>
        </w:rPr>
        <w:t>RECURRENTE</w:t>
      </w:r>
      <w:r w:rsidRPr="007F41E1">
        <w:rPr>
          <w:rFonts w:ascii="Palatino Linotype" w:hAnsi="Palatino Linotype"/>
          <w:b/>
          <w:color w:val="222222"/>
          <w:sz w:val="24"/>
          <w:szCs w:val="24"/>
          <w:lang w:val="es-ES"/>
        </w:rPr>
        <w:t xml:space="preserve"> </w:t>
      </w:r>
      <w:r w:rsidRPr="007F41E1">
        <w:rPr>
          <w:rFonts w:ascii="Palatino Linotype" w:eastAsiaTheme="minorEastAsia" w:hAnsi="Palatino Linotype"/>
          <w:sz w:val="24"/>
          <w:szCs w:val="24"/>
          <w:lang w:val="es-ES_tradnl"/>
        </w:rPr>
        <w:t>la presente resolución</w:t>
      </w:r>
      <w:r w:rsidRPr="007F41E1">
        <w:rPr>
          <w:rFonts w:ascii="Palatino Linotype" w:eastAsia="MS Mincho" w:hAnsi="Palatino Linotype"/>
          <w:sz w:val="24"/>
          <w:szCs w:val="24"/>
          <w:lang w:val="es-ES_tradnl"/>
        </w:rPr>
        <w:t xml:space="preserve"> a través del Sistema de Acceso a la Información Mexiquense (SAIMEX)</w:t>
      </w:r>
    </w:p>
    <w:p w14:paraId="2C50CCFC" w14:textId="77777777" w:rsidR="00F24236" w:rsidRPr="007F41E1" w:rsidRDefault="00F24236" w:rsidP="00F24236">
      <w:pPr>
        <w:pStyle w:val="Sinespaciado"/>
        <w:spacing w:line="360" w:lineRule="auto"/>
        <w:rPr>
          <w:rFonts w:ascii="Palatino Linotype" w:eastAsia="Times New Roman" w:hAnsi="Palatino Linotype" w:cs="Arial"/>
          <w:b/>
          <w:sz w:val="24"/>
          <w:highlight w:val="yellow"/>
        </w:rPr>
      </w:pPr>
    </w:p>
    <w:p w14:paraId="08C342A1" w14:textId="77777777" w:rsidR="002B7BDE" w:rsidRPr="007F41E1" w:rsidRDefault="002B7BDE" w:rsidP="002B7BDE">
      <w:pPr>
        <w:shd w:val="clear" w:color="auto" w:fill="FFFFFF"/>
        <w:tabs>
          <w:tab w:val="left" w:pos="284"/>
        </w:tabs>
        <w:spacing w:line="360" w:lineRule="auto"/>
        <w:jc w:val="both"/>
        <w:rPr>
          <w:rFonts w:ascii="Palatino Linotype" w:eastAsia="MS Mincho" w:hAnsi="Palatino Linotype"/>
          <w:sz w:val="24"/>
          <w:szCs w:val="24"/>
          <w:lang w:val="es-ES"/>
        </w:rPr>
      </w:pPr>
      <w:r w:rsidRPr="007F41E1">
        <w:rPr>
          <w:rFonts w:ascii="Palatino Linotype" w:eastAsia="MS Mincho" w:hAnsi="Palatino Linotype"/>
          <w:b/>
          <w:sz w:val="24"/>
          <w:szCs w:val="24"/>
        </w:rPr>
        <w:lastRenderedPageBreak/>
        <w:t>QUINTO.</w:t>
      </w:r>
      <w:r w:rsidRPr="007F41E1">
        <w:rPr>
          <w:rFonts w:ascii="Palatino Linotype" w:eastAsia="MS Mincho" w:hAnsi="Palatino Linotype"/>
          <w:sz w:val="24"/>
          <w:szCs w:val="24"/>
        </w:rPr>
        <w:t xml:space="preserve"> </w:t>
      </w:r>
      <w:r w:rsidRPr="007F41E1">
        <w:rPr>
          <w:rFonts w:ascii="Palatino Linotype" w:eastAsia="MS Mincho" w:hAnsi="Palatino Linotype"/>
          <w:sz w:val="24"/>
          <w:szCs w:val="24"/>
          <w:lang w:val="es-ES"/>
        </w:rPr>
        <w:t>Se hace del conocimiento del</w:t>
      </w:r>
      <w:r w:rsidRPr="007F41E1">
        <w:rPr>
          <w:rFonts w:ascii="Palatino Linotype" w:eastAsiaTheme="minorEastAsia" w:hAnsi="Palatino Linotype"/>
          <w:b/>
          <w:sz w:val="24"/>
          <w:szCs w:val="24"/>
          <w:lang w:val="es-ES_tradnl"/>
        </w:rPr>
        <w:t xml:space="preserve"> RECURRENTE </w:t>
      </w:r>
      <w:r w:rsidRPr="007F41E1">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41E1">
        <w:rPr>
          <w:rFonts w:ascii="Palatino Linotype" w:eastAsia="MS Mincho" w:hAnsi="Palatino Linotype"/>
          <w:bCs/>
          <w:sz w:val="24"/>
          <w:szCs w:val="24"/>
          <w:lang w:val="es-ES"/>
        </w:rPr>
        <w:t>vía juicio de amparo</w:t>
      </w:r>
      <w:r w:rsidRPr="007F41E1">
        <w:rPr>
          <w:rFonts w:ascii="Palatino Linotype" w:eastAsia="MS Mincho" w:hAnsi="Palatino Linotype"/>
          <w:sz w:val="24"/>
          <w:szCs w:val="24"/>
          <w:lang w:val="es-ES"/>
        </w:rPr>
        <w:t> en los términos de las leyes aplicables.</w:t>
      </w:r>
    </w:p>
    <w:p w14:paraId="45DFDCE0" w14:textId="77777777" w:rsidR="002B7BDE" w:rsidRPr="007F41E1" w:rsidRDefault="002B7BDE" w:rsidP="002B7BDE">
      <w:pPr>
        <w:shd w:val="clear" w:color="auto" w:fill="FFFFFF"/>
        <w:tabs>
          <w:tab w:val="left" w:pos="284"/>
        </w:tabs>
        <w:spacing w:line="360" w:lineRule="auto"/>
        <w:jc w:val="both"/>
        <w:rPr>
          <w:rFonts w:ascii="Palatino Linotype" w:eastAsia="MS Mincho" w:hAnsi="Palatino Linotype"/>
          <w:sz w:val="24"/>
          <w:szCs w:val="24"/>
          <w:lang w:val="es-ES"/>
        </w:rPr>
      </w:pPr>
    </w:p>
    <w:p w14:paraId="382954AB" w14:textId="77777777" w:rsidR="002B7BDE" w:rsidRPr="007F41E1" w:rsidRDefault="002B7BDE" w:rsidP="002B7BDE">
      <w:pPr>
        <w:shd w:val="clear" w:color="auto" w:fill="FFFFFF"/>
        <w:tabs>
          <w:tab w:val="left" w:pos="284"/>
        </w:tabs>
        <w:spacing w:line="360" w:lineRule="auto"/>
        <w:jc w:val="both"/>
        <w:rPr>
          <w:rFonts w:ascii="Palatino Linotype" w:eastAsia="MS Mincho" w:hAnsi="Palatino Linotype"/>
          <w:sz w:val="24"/>
          <w:szCs w:val="24"/>
        </w:rPr>
      </w:pPr>
      <w:r w:rsidRPr="007F41E1">
        <w:rPr>
          <w:rFonts w:ascii="Palatino Linotype" w:eastAsia="MS Mincho" w:hAnsi="Palatino Linotype"/>
          <w:b/>
          <w:bCs/>
          <w:sz w:val="24"/>
          <w:szCs w:val="24"/>
        </w:rPr>
        <w:t>SEXTO.</w:t>
      </w:r>
      <w:r w:rsidRPr="007F41E1">
        <w:rPr>
          <w:rFonts w:ascii="Palatino Linotype" w:eastAsia="MS Mincho" w:hAnsi="Palatino Linotype"/>
          <w:bCs/>
          <w:sz w:val="24"/>
          <w:szCs w:val="24"/>
        </w:rPr>
        <w:t xml:space="preserve"> Hágase del conocimiento</w:t>
      </w:r>
      <w:r w:rsidRPr="007F41E1">
        <w:rPr>
          <w:rFonts w:ascii="Palatino Linotype" w:eastAsia="MS Mincho" w:hAnsi="Palatino Linotype"/>
          <w:b/>
          <w:bCs/>
          <w:sz w:val="24"/>
          <w:szCs w:val="24"/>
        </w:rPr>
        <w:t> </w:t>
      </w:r>
      <w:r w:rsidRPr="007F41E1">
        <w:rPr>
          <w:rFonts w:ascii="Palatino Linotype" w:eastAsia="MS Mincho" w:hAnsi="Palatino Linotype"/>
          <w:sz w:val="24"/>
          <w:szCs w:val="24"/>
        </w:rPr>
        <w:t>del </w:t>
      </w:r>
      <w:r w:rsidRPr="007F41E1">
        <w:rPr>
          <w:rFonts w:ascii="Palatino Linotype" w:hAnsi="Palatino Linotype"/>
          <w:b/>
          <w:color w:val="222222"/>
          <w:sz w:val="24"/>
          <w:szCs w:val="24"/>
          <w:lang w:val="es-ES"/>
        </w:rPr>
        <w:t>RECURRENTE</w:t>
      </w:r>
      <w:r w:rsidRPr="007F41E1">
        <w:rPr>
          <w:rFonts w:ascii="Palatino Linotype" w:eastAsia="MS Mincho" w:hAnsi="Palatino Linotype"/>
          <w:b/>
          <w:bCs/>
          <w:sz w:val="24"/>
          <w:szCs w:val="24"/>
        </w:rPr>
        <w:t> </w:t>
      </w:r>
      <w:r w:rsidRPr="007F41E1">
        <w:rPr>
          <w:rFonts w:ascii="Palatino Linotype" w:eastAsia="MS Mincho" w:hAnsi="Palatino Linotype"/>
          <w:sz w:val="24"/>
          <w:szCs w:val="24"/>
        </w:rPr>
        <w:t>que la respuesta que dé </w:t>
      </w:r>
      <w:r w:rsidRPr="007F41E1">
        <w:rPr>
          <w:rFonts w:ascii="Palatino Linotype" w:eastAsia="MS Mincho" w:hAnsi="Palatino Linotype"/>
          <w:b/>
          <w:bCs/>
          <w:sz w:val="24"/>
          <w:szCs w:val="24"/>
        </w:rPr>
        <w:t>EL SUJETO OBLIGADO</w:t>
      </w:r>
      <w:r w:rsidRPr="007F41E1">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4A1EF0D" w14:textId="77777777" w:rsidR="002B7BDE" w:rsidRPr="007F41E1" w:rsidRDefault="002B7BDE" w:rsidP="002B7BDE">
      <w:pPr>
        <w:shd w:val="clear" w:color="auto" w:fill="FFFFFF"/>
        <w:tabs>
          <w:tab w:val="left" w:pos="284"/>
        </w:tabs>
        <w:spacing w:line="360" w:lineRule="auto"/>
        <w:jc w:val="both"/>
        <w:rPr>
          <w:rFonts w:ascii="Palatino Linotype" w:eastAsia="MS Mincho" w:hAnsi="Palatino Linotype"/>
          <w:sz w:val="24"/>
          <w:szCs w:val="24"/>
        </w:rPr>
      </w:pPr>
    </w:p>
    <w:p w14:paraId="735C91C6" w14:textId="77777777" w:rsidR="002B7BDE" w:rsidRPr="007F41E1" w:rsidRDefault="002B7BDE" w:rsidP="002B7BDE">
      <w:pPr>
        <w:shd w:val="clear" w:color="auto" w:fill="FFFFFF"/>
        <w:tabs>
          <w:tab w:val="left" w:pos="284"/>
        </w:tabs>
        <w:spacing w:line="360" w:lineRule="auto"/>
        <w:jc w:val="both"/>
        <w:rPr>
          <w:rFonts w:ascii="Palatino Linotype" w:eastAsia="MS Mincho" w:hAnsi="Palatino Linotype"/>
          <w:sz w:val="24"/>
          <w:szCs w:val="24"/>
          <w:lang w:val="es-ES"/>
        </w:rPr>
      </w:pPr>
      <w:r w:rsidRPr="007F41E1">
        <w:rPr>
          <w:rFonts w:ascii="Palatino Linotype" w:eastAsia="MS Mincho" w:hAnsi="Palatino Linotype"/>
          <w:b/>
          <w:sz w:val="24"/>
          <w:szCs w:val="24"/>
        </w:rPr>
        <w:t>SÉPTIMO</w:t>
      </w:r>
      <w:r w:rsidRPr="007F41E1">
        <w:rPr>
          <w:rFonts w:ascii="Palatino Linotype" w:eastAsia="MS Mincho" w:hAnsi="Palatino Linotype"/>
          <w:sz w:val="24"/>
          <w:szCs w:val="24"/>
        </w:rPr>
        <w:t xml:space="preserve">. </w:t>
      </w:r>
      <w:r w:rsidRPr="007F41E1">
        <w:rPr>
          <w:rFonts w:ascii="Palatino Linotype" w:eastAsia="MS Mincho" w:hAnsi="Palatino Linotype"/>
          <w:sz w:val="24"/>
          <w:szCs w:val="24"/>
          <w:lang w:val="es-E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0A996375" w14:textId="1C0509BF" w:rsidR="007F2199" w:rsidRPr="001E5EB4" w:rsidRDefault="007F2199" w:rsidP="007F2199">
      <w:pPr>
        <w:spacing w:before="240" w:after="240" w:line="360" w:lineRule="auto"/>
        <w:ind w:firstLine="1"/>
        <w:jc w:val="both"/>
        <w:rPr>
          <w:rStyle w:val="Referenciasutil"/>
          <w:rFonts w:ascii="Palatino Linotype" w:hAnsi="Palatino Linotype"/>
          <w:color w:val="000000" w:themeColor="text1"/>
          <w:sz w:val="24"/>
        </w:rPr>
      </w:pPr>
      <w:bookmarkStart w:id="31" w:name="_Hlk129792997"/>
      <w:r w:rsidRPr="001E5EB4">
        <w:rPr>
          <w:rStyle w:val="Referenciasutil"/>
          <w:rFonts w:ascii="Palatino Linotype" w:hAnsi="Palatino Linotype"/>
          <w:color w:val="000000" w:themeColor="text1"/>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1E5EB4">
        <w:rPr>
          <w:rStyle w:val="Referenciasutil"/>
          <w:rFonts w:ascii="Palatino Linotype" w:hAnsi="Palatino Linotype"/>
          <w:color w:val="000000" w:themeColor="text1"/>
          <w:sz w:val="24"/>
        </w:rPr>
        <w:lastRenderedPageBreak/>
        <w:t xml:space="preserve">MEJÍA AYALA; SHARON CRISTINA MORALES MARTÍNEZ; LUIS GUSTAVO PARRA NORIEGA Y GUADALUPE RAMÍREZ PEÑA; EN LA PRIMERA SESIÓN ORDINARIA CELEBRADA EL DIECISIETE (17) DE ENERO DE DOS MIL VEINTICUATRO, ANTE EL SECRETARIO TÉCNICO DEL PLENO ALEXIS TAPIA </w:t>
      </w:r>
      <w:r w:rsidR="002E0862">
        <w:rPr>
          <w:rFonts w:ascii="Palatino Linotype" w:hAnsi="Palatino Linotype"/>
          <w:smallCaps/>
          <w:noProof/>
          <w:color w:val="000000" w:themeColor="text1"/>
          <w:sz w:val="24"/>
          <w:lang w:eastAsia="es-MX"/>
        </w:rPr>
        <mc:AlternateContent>
          <mc:Choice Requires="wps">
            <w:drawing>
              <wp:anchor distT="0" distB="0" distL="114300" distR="114300" simplePos="0" relativeHeight="251659264" behindDoc="0" locked="0" layoutInCell="1" allowOverlap="1" wp14:anchorId="08539E76" wp14:editId="78173D98">
                <wp:simplePos x="0" y="0"/>
                <wp:positionH relativeFrom="column">
                  <wp:posOffset>29844</wp:posOffset>
                </wp:positionH>
                <wp:positionV relativeFrom="paragraph">
                  <wp:posOffset>1565274</wp:posOffset>
                </wp:positionV>
                <wp:extent cx="5667375" cy="51339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67375" cy="513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01FB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23.25pt" to="448.6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" strokecolor="#4472c4 [3204]" strokeweight=".5pt">
                <v:stroke joinstyle="miter"/>
              </v:line>
            </w:pict>
          </mc:Fallback>
        </mc:AlternateContent>
      </w:r>
      <w:r w:rsidRPr="001E5EB4">
        <w:rPr>
          <w:rStyle w:val="Referenciasutil"/>
          <w:rFonts w:ascii="Palatino Linotype" w:hAnsi="Palatino Linotype"/>
          <w:color w:val="000000" w:themeColor="text1"/>
          <w:sz w:val="24"/>
        </w:rPr>
        <w:t xml:space="preserve">RAMÍREZ. </w:t>
      </w:r>
      <w:bookmarkEnd w:id="31"/>
    </w:p>
    <w:p w14:paraId="39893C1F"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5A608DA2"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45265DF6"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6BEF9110"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609D05D3"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02F568F7"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1BC88222"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763500E2" w14:textId="77777777" w:rsidR="007F2199" w:rsidRDefault="007F2199" w:rsidP="007F2199">
      <w:pPr>
        <w:spacing w:before="240" w:after="240" w:line="360" w:lineRule="auto"/>
        <w:ind w:firstLine="1"/>
        <w:jc w:val="both"/>
        <w:rPr>
          <w:rStyle w:val="Referenciasutil"/>
          <w:rFonts w:ascii="Palatino Linotype" w:hAnsi="Palatino Linotype"/>
          <w:sz w:val="24"/>
        </w:rPr>
      </w:pPr>
      <w:bookmarkStart w:id="32" w:name="_GoBack"/>
      <w:bookmarkEnd w:id="32"/>
    </w:p>
    <w:p w14:paraId="6A6FC739"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5D3ACFEA"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344727AA"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28C96E90"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52A360EE" w14:textId="77777777" w:rsidR="007F2199" w:rsidRDefault="007F2199" w:rsidP="007F2199">
      <w:pPr>
        <w:spacing w:before="240" w:after="240" w:line="360" w:lineRule="auto"/>
        <w:ind w:firstLine="1"/>
        <w:jc w:val="both"/>
        <w:rPr>
          <w:rStyle w:val="Referenciasutil"/>
          <w:rFonts w:ascii="Palatino Linotype" w:hAnsi="Palatino Linotype"/>
          <w:sz w:val="24"/>
        </w:rPr>
      </w:pPr>
    </w:p>
    <w:p w14:paraId="6D10D57F" w14:textId="77777777" w:rsidR="005000AA" w:rsidRPr="007F41E1"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7F41E1"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7F41E1">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9B9CC" w14:textId="77777777" w:rsidR="00805881" w:rsidRDefault="00805881">
      <w:r>
        <w:separator/>
      </w:r>
    </w:p>
  </w:endnote>
  <w:endnote w:type="continuationSeparator" w:id="0">
    <w:p w14:paraId="556440E1" w14:textId="77777777" w:rsidR="00805881" w:rsidRDefault="0080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F41E1" w:rsidRDefault="007F41E1">
            <w:pPr>
              <w:pStyle w:val="Piedepgina"/>
              <w:jc w:val="right"/>
            </w:pPr>
          </w:p>
          <w:p w14:paraId="1F7A191C" w14:textId="6E9D9F97" w:rsidR="007F41E1" w:rsidRDefault="007F41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0862">
              <w:rPr>
                <w:b/>
                <w:bCs/>
                <w:noProof/>
              </w:rPr>
              <w:t>59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0862">
              <w:rPr>
                <w:b/>
                <w:bCs/>
                <w:noProof/>
              </w:rPr>
              <w:t>59</w:t>
            </w:r>
            <w:r>
              <w:rPr>
                <w:b/>
                <w:bCs/>
                <w:sz w:val="24"/>
                <w:szCs w:val="24"/>
              </w:rPr>
              <w:fldChar w:fldCharType="end"/>
            </w:r>
          </w:p>
        </w:sdtContent>
      </w:sdt>
    </w:sdtContent>
  </w:sdt>
  <w:p w14:paraId="2A221972" w14:textId="77777777" w:rsidR="007F41E1" w:rsidRDefault="007F41E1">
    <w:pPr>
      <w:pStyle w:val="Piedepgina"/>
    </w:pPr>
  </w:p>
  <w:p w14:paraId="1D6FF208" w14:textId="77777777" w:rsidR="007F41E1" w:rsidRDefault="007F41E1"/>
  <w:p w14:paraId="70055CD7" w14:textId="77777777" w:rsidR="007F41E1" w:rsidRDefault="007F41E1"/>
  <w:p w14:paraId="5452645F" w14:textId="77777777" w:rsidR="007F41E1" w:rsidRDefault="007F41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92C82E0" w:rsidR="007F41E1" w:rsidRDefault="007F41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08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0862">
              <w:rPr>
                <w:b/>
                <w:bCs/>
                <w:noProof/>
              </w:rPr>
              <w:t>59</w:t>
            </w:r>
            <w:r>
              <w:rPr>
                <w:b/>
                <w:bCs/>
                <w:sz w:val="24"/>
                <w:szCs w:val="24"/>
              </w:rPr>
              <w:fldChar w:fldCharType="end"/>
            </w:r>
          </w:p>
        </w:sdtContent>
      </w:sdt>
    </w:sdtContent>
  </w:sdt>
  <w:p w14:paraId="2D12AEB2" w14:textId="77777777" w:rsidR="007F41E1" w:rsidRDefault="007F41E1">
    <w:pPr>
      <w:pStyle w:val="Piedepgina"/>
    </w:pPr>
  </w:p>
  <w:p w14:paraId="54227169" w14:textId="77777777" w:rsidR="007F41E1" w:rsidRDefault="007F41E1"/>
  <w:p w14:paraId="7DE40FB1" w14:textId="77777777" w:rsidR="007F41E1" w:rsidRDefault="007F41E1"/>
  <w:p w14:paraId="33755E87" w14:textId="77777777" w:rsidR="007F41E1" w:rsidRDefault="007F41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7279A" w14:textId="77777777" w:rsidR="00805881" w:rsidRDefault="00805881">
      <w:r>
        <w:separator/>
      </w:r>
    </w:p>
  </w:footnote>
  <w:footnote w:type="continuationSeparator" w:id="0">
    <w:p w14:paraId="1BD4EAF7" w14:textId="77777777" w:rsidR="00805881" w:rsidRDefault="00805881">
      <w:r>
        <w:continuationSeparator/>
      </w:r>
    </w:p>
  </w:footnote>
  <w:footnote w:id="1">
    <w:p w14:paraId="798B3E9D" w14:textId="77777777" w:rsidR="007F41E1" w:rsidRDefault="007F41E1" w:rsidP="000E3BE7">
      <w:pPr>
        <w:pStyle w:val="Textonotapie"/>
      </w:pPr>
      <w:r>
        <w:rPr>
          <w:rStyle w:val="Refdenotaalpie"/>
        </w:rPr>
        <w:footnoteRef/>
      </w:r>
      <w:r>
        <w:t xml:space="preserve"> Convención Americana sobre Derechos Humanos. Artículo 13.</w:t>
      </w:r>
    </w:p>
  </w:footnote>
  <w:footnote w:id="2">
    <w:p w14:paraId="6DEDF4A9" w14:textId="77777777" w:rsidR="007F41E1" w:rsidRDefault="007F41E1" w:rsidP="000E3BE7">
      <w:pPr>
        <w:pStyle w:val="Textonotapie"/>
      </w:pPr>
      <w:r>
        <w:rPr>
          <w:rStyle w:val="Refdenotaalpie"/>
        </w:rPr>
        <w:footnoteRef/>
      </w:r>
      <w:r>
        <w:t xml:space="preserve"> Constitución Política de los Estados Unidos Mexicanos. Artículo sexto, sección A, fracción I.</w:t>
      </w:r>
    </w:p>
  </w:footnote>
  <w:footnote w:id="3">
    <w:p w14:paraId="5CCFD953" w14:textId="77777777" w:rsidR="007F41E1" w:rsidRDefault="007F41E1" w:rsidP="000E3B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CD12E94" w14:textId="77777777" w:rsidR="007F41E1" w:rsidRDefault="007F41E1" w:rsidP="000E3BE7">
      <w:pPr>
        <w:pStyle w:val="Textonotapie"/>
      </w:pPr>
      <w:r>
        <w:rPr>
          <w:rStyle w:val="Refdenotaalpie"/>
        </w:rPr>
        <w:footnoteRef/>
      </w:r>
      <w:r>
        <w:t xml:space="preserve"> Ibídem. Parr. 87.</w:t>
      </w:r>
    </w:p>
  </w:footnote>
  <w:footnote w:id="5">
    <w:p w14:paraId="6FF4AD0B" w14:textId="77777777" w:rsidR="007F41E1" w:rsidRDefault="007F41E1" w:rsidP="000E3BE7">
      <w:pPr>
        <w:pStyle w:val="Textonotapie"/>
      </w:pPr>
      <w:r>
        <w:rPr>
          <w:rStyle w:val="Refdenotaalpie"/>
        </w:rPr>
        <w:footnoteRef/>
      </w:r>
      <w:r>
        <w:t xml:space="preserve"> Ley de Transparencia y Acceso a la Información Pública del Estado de México y Municipios. Artículo 9. …</w:t>
      </w:r>
    </w:p>
    <w:p w14:paraId="189F7190" w14:textId="77777777" w:rsidR="007F41E1" w:rsidRDefault="007F41E1" w:rsidP="000E3BE7">
      <w:pPr>
        <w:pStyle w:val="Textonotapie"/>
      </w:pPr>
      <w:r>
        <w:t>II. Eficacia: Obligación del Instituto para tutelar, de manera efectiva, el derecho de acceso a la información;</w:t>
      </w:r>
    </w:p>
    <w:p w14:paraId="37D470D0" w14:textId="77777777" w:rsidR="007F41E1" w:rsidRDefault="007F41E1" w:rsidP="000E3BE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F41E1" w:rsidRDefault="0080588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F41E1" w:rsidRDefault="007F41E1"/>
  <w:p w14:paraId="77B719CE" w14:textId="77777777" w:rsidR="007F41E1" w:rsidRDefault="007F41E1"/>
  <w:p w14:paraId="50A3AAAA" w14:textId="77777777" w:rsidR="007F41E1" w:rsidRDefault="007F41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F41E1" w14:paraId="6255E3A4" w14:textId="77777777" w:rsidTr="00814079">
      <w:trPr>
        <w:trHeight w:val="1435"/>
      </w:trPr>
      <w:tc>
        <w:tcPr>
          <w:tcW w:w="1843" w:type="dxa"/>
          <w:shd w:val="clear" w:color="auto" w:fill="auto"/>
        </w:tcPr>
        <w:p w14:paraId="3E05202F" w14:textId="4A7C9DF8" w:rsidR="007F41E1" w:rsidRDefault="007F41E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F41E1" w:rsidRDefault="007F41E1"/>
        <w:tbl>
          <w:tblPr>
            <w:tblStyle w:val="Tablaconcuadrcula"/>
            <w:tblW w:w="6526" w:type="dxa"/>
            <w:tblInd w:w="1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75"/>
          </w:tblGrid>
          <w:tr w:rsidR="007F41E1" w14:paraId="727F90BF" w14:textId="77777777" w:rsidTr="002879EC">
            <w:trPr>
              <w:trHeight w:val="338"/>
            </w:trPr>
            <w:tc>
              <w:tcPr>
                <w:tcW w:w="2551" w:type="dxa"/>
              </w:tcPr>
              <w:p w14:paraId="23087CD5" w14:textId="77777777" w:rsidR="007F41E1" w:rsidRDefault="007F41E1">
                <w:pPr>
                  <w:tabs>
                    <w:tab w:val="right" w:pos="8838"/>
                  </w:tabs>
                  <w:ind w:right="-105"/>
                  <w:rPr>
                    <w:rFonts w:ascii="Palatino Linotype" w:eastAsia="Calibri" w:hAnsi="Palatino Linotype" w:cs="Tahoma"/>
                    <w:b/>
                    <w:sz w:val="22"/>
                    <w:szCs w:val="22"/>
                    <w:lang w:eastAsia="en-US"/>
                  </w:rPr>
                </w:pPr>
              </w:p>
              <w:p w14:paraId="410A3741" w14:textId="535C9D39" w:rsidR="007F41E1" w:rsidRDefault="007F41E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975" w:type="dxa"/>
              </w:tcPr>
              <w:p w14:paraId="67E34D7D" w14:textId="77777777" w:rsidR="007F41E1" w:rsidRPr="002879EC" w:rsidRDefault="007F41E1" w:rsidP="00427B6E">
                <w:pPr>
                  <w:tabs>
                    <w:tab w:val="right" w:pos="8838"/>
                  </w:tabs>
                  <w:ind w:right="-105" w:hanging="101"/>
                  <w:jc w:val="both"/>
                  <w:rPr>
                    <w:rFonts w:ascii="Palatino Linotype" w:eastAsia="Calibri" w:hAnsi="Palatino Linotype" w:cs="Tahoma"/>
                    <w:bCs/>
                    <w:sz w:val="22"/>
                    <w:szCs w:val="22"/>
                    <w:lang w:eastAsia="en-US"/>
                  </w:rPr>
                </w:pPr>
              </w:p>
              <w:p w14:paraId="3FF69A05" w14:textId="1C0CE2FC" w:rsidR="007F41E1" w:rsidRPr="002879EC" w:rsidRDefault="007F41E1" w:rsidP="004A4956">
                <w:pPr>
                  <w:tabs>
                    <w:tab w:val="right" w:pos="8838"/>
                  </w:tabs>
                  <w:ind w:right="-105" w:hanging="101"/>
                  <w:jc w:val="both"/>
                  <w:rPr>
                    <w:rFonts w:ascii="Palatino Linotype" w:eastAsia="Calibri" w:hAnsi="Palatino Linotype" w:cs="Tahoma"/>
                    <w:bCs/>
                    <w:sz w:val="22"/>
                    <w:szCs w:val="22"/>
                    <w:lang w:eastAsia="en-US"/>
                  </w:rPr>
                </w:pPr>
                <w:r w:rsidRPr="002879EC">
                  <w:rPr>
                    <w:rFonts w:ascii="Palatino Linotype" w:hAnsi="Palatino Linotype" w:cs="Arial"/>
                    <w:sz w:val="22"/>
                    <w:szCs w:val="22"/>
                  </w:rPr>
                  <w:t>07108/</w:t>
                </w:r>
                <w:r w:rsidRPr="002879EC">
                  <w:rPr>
                    <w:rFonts w:ascii="Palatino Linotype" w:eastAsia="Calibri" w:hAnsi="Palatino Linotype" w:cs="Tahoma"/>
                    <w:sz w:val="22"/>
                    <w:szCs w:val="22"/>
                    <w:lang w:eastAsia="en-US"/>
                  </w:rPr>
                  <w:t>INFOEM/IP/RR/2023</w:t>
                </w:r>
                <w:r w:rsidRPr="002879EC">
                  <w:rPr>
                    <w:rFonts w:ascii="Palatino Linotype" w:eastAsia="Calibri" w:hAnsi="Palatino Linotype" w:cs="Tahoma"/>
                    <w:bCs/>
                    <w:sz w:val="22"/>
                    <w:szCs w:val="22"/>
                    <w:lang w:eastAsia="en-US"/>
                  </w:rPr>
                  <w:t xml:space="preserve"> </w:t>
                </w:r>
              </w:p>
            </w:tc>
          </w:tr>
          <w:tr w:rsidR="007F41E1" w14:paraId="1389436A" w14:textId="4EB800AC" w:rsidTr="002879EC">
            <w:trPr>
              <w:trHeight w:val="283"/>
            </w:trPr>
            <w:tc>
              <w:tcPr>
                <w:tcW w:w="2551" w:type="dxa"/>
              </w:tcPr>
              <w:p w14:paraId="22E0F4E9" w14:textId="77777777" w:rsidR="007F41E1" w:rsidRDefault="007F41E1">
                <w:pPr>
                  <w:tabs>
                    <w:tab w:val="right" w:pos="8838"/>
                  </w:tabs>
                  <w:ind w:right="-105"/>
                  <w:rPr>
                    <w:rFonts w:ascii="Palatino Linotype" w:eastAsia="Calibri" w:hAnsi="Palatino Linotype" w:cs="Tahoma"/>
                    <w:b/>
                    <w:sz w:val="22"/>
                    <w:szCs w:val="22"/>
                    <w:lang w:eastAsia="en-US"/>
                  </w:rPr>
                </w:pPr>
                <w:bookmarkStart w:id="33" w:name="_Hlk33010189"/>
                <w:r>
                  <w:rPr>
                    <w:rFonts w:ascii="Palatino Linotype" w:eastAsia="Calibri" w:hAnsi="Palatino Linotype" w:cs="Tahoma"/>
                    <w:b/>
                    <w:sz w:val="22"/>
                    <w:szCs w:val="22"/>
                    <w:lang w:eastAsia="en-US"/>
                  </w:rPr>
                  <w:t>Sujeto Obligado:</w:t>
                </w:r>
              </w:p>
            </w:tc>
            <w:tc>
              <w:tcPr>
                <w:tcW w:w="3975" w:type="dxa"/>
              </w:tcPr>
              <w:p w14:paraId="2B205C7F" w14:textId="745AEB2E" w:rsidR="007F41E1" w:rsidRPr="002879EC" w:rsidRDefault="007F41E1" w:rsidP="00B93FF6">
                <w:pPr>
                  <w:tabs>
                    <w:tab w:val="left" w:pos="2834"/>
                    <w:tab w:val="right" w:pos="8838"/>
                  </w:tabs>
                  <w:ind w:left="-113" w:right="1318"/>
                  <w:jc w:val="both"/>
                  <w:rPr>
                    <w:rFonts w:ascii="Palatino Linotype" w:eastAsia="Calibri" w:hAnsi="Palatino Linotype" w:cs="Tahoma"/>
                    <w:sz w:val="22"/>
                    <w:szCs w:val="22"/>
                    <w:lang w:eastAsia="en-US"/>
                  </w:rPr>
                </w:pPr>
                <w:r w:rsidRPr="002879EC">
                  <w:rPr>
                    <w:rFonts w:ascii="Palatino Linotype" w:eastAsia="Calibri" w:hAnsi="Palatino Linotype" w:cs="Arial"/>
                    <w:bCs/>
                    <w:sz w:val="22"/>
                    <w:szCs w:val="22"/>
                  </w:rPr>
                  <w:t>Ayuntamiento de Ocuilan</w:t>
                </w:r>
              </w:p>
            </w:tc>
          </w:tr>
          <w:bookmarkEnd w:id="33"/>
          <w:tr w:rsidR="007F41E1" w14:paraId="28CCE4E5" w14:textId="77777777" w:rsidTr="002879EC">
            <w:trPr>
              <w:trHeight w:val="283"/>
            </w:trPr>
            <w:tc>
              <w:tcPr>
                <w:tcW w:w="2551" w:type="dxa"/>
              </w:tcPr>
              <w:p w14:paraId="13EBF3BB" w14:textId="6E4ECE4B" w:rsidR="007F41E1" w:rsidRDefault="007F41E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975" w:type="dxa"/>
              </w:tcPr>
              <w:p w14:paraId="5DF20594" w14:textId="1A6CDEA4" w:rsidR="007F41E1" w:rsidRPr="002879EC" w:rsidRDefault="007F41E1" w:rsidP="00187E51">
                <w:pPr>
                  <w:tabs>
                    <w:tab w:val="right" w:pos="8838"/>
                  </w:tabs>
                  <w:ind w:left="-113" w:right="-105"/>
                  <w:jc w:val="both"/>
                  <w:rPr>
                    <w:rFonts w:ascii="Palatino Linotype" w:eastAsia="Calibri" w:hAnsi="Palatino Linotype" w:cs="Tahoma"/>
                    <w:sz w:val="22"/>
                    <w:szCs w:val="22"/>
                    <w:lang w:eastAsia="en-US"/>
                  </w:rPr>
                </w:pPr>
                <w:r w:rsidRPr="002879EC">
                  <w:rPr>
                    <w:rFonts w:ascii="Palatino Linotype" w:eastAsia="Calibri" w:hAnsi="Palatino Linotype" w:cs="Tahoma"/>
                    <w:sz w:val="22"/>
                    <w:szCs w:val="22"/>
                    <w:lang w:eastAsia="en-US"/>
                  </w:rPr>
                  <w:t>María del Rosario Mejía Ayala</w:t>
                </w:r>
              </w:p>
            </w:tc>
          </w:tr>
        </w:tbl>
        <w:p w14:paraId="5775EEC5" w14:textId="77777777" w:rsidR="007F41E1" w:rsidRDefault="007F41E1">
          <w:pPr>
            <w:tabs>
              <w:tab w:val="right" w:pos="8838"/>
            </w:tabs>
            <w:ind w:left="-28"/>
            <w:jc w:val="both"/>
            <w:rPr>
              <w:rFonts w:ascii="Arial" w:eastAsia="Calibri" w:hAnsi="Arial" w:cs="Arial"/>
              <w:b/>
              <w:sz w:val="22"/>
              <w:szCs w:val="22"/>
              <w:lang w:eastAsia="en-US"/>
            </w:rPr>
          </w:pPr>
        </w:p>
      </w:tc>
    </w:tr>
  </w:tbl>
  <w:p w14:paraId="07EF2D29" w14:textId="1620A8B4" w:rsidR="007F41E1" w:rsidRDefault="0080588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F41E1" w:rsidRDefault="007F41E1"/>
  <w:p w14:paraId="104386EF" w14:textId="77777777" w:rsidR="007F41E1" w:rsidRDefault="007F41E1"/>
  <w:p w14:paraId="60A3E393" w14:textId="77777777" w:rsidR="007F41E1" w:rsidRDefault="007F41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F41E1" w14:paraId="61517A1D" w14:textId="77777777" w:rsidTr="003A6126">
      <w:trPr>
        <w:trHeight w:val="1435"/>
      </w:trPr>
      <w:tc>
        <w:tcPr>
          <w:tcW w:w="1560" w:type="dxa"/>
          <w:shd w:val="clear" w:color="auto" w:fill="auto"/>
        </w:tcPr>
        <w:p w14:paraId="4B74E846" w14:textId="1E0D62B9" w:rsidR="007F41E1" w:rsidRDefault="007F41E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7F41E1" w14:paraId="7F59E1EF" w14:textId="77777777" w:rsidTr="00483482">
            <w:trPr>
              <w:trHeight w:val="144"/>
            </w:trPr>
            <w:tc>
              <w:tcPr>
                <w:tcW w:w="2444" w:type="dxa"/>
              </w:tcPr>
              <w:p w14:paraId="5EFF942E" w14:textId="77777777" w:rsidR="007F41E1" w:rsidRDefault="007F41E1" w:rsidP="000D485D">
                <w:pPr>
                  <w:tabs>
                    <w:tab w:val="right" w:pos="8838"/>
                  </w:tabs>
                  <w:ind w:left="-74" w:right="-105"/>
                  <w:rPr>
                    <w:rFonts w:ascii="Palatino Linotype" w:eastAsia="Calibri" w:hAnsi="Palatino Linotype" w:cs="Tahoma"/>
                    <w:b/>
                    <w:sz w:val="22"/>
                    <w:szCs w:val="22"/>
                    <w:lang w:eastAsia="en-US"/>
                  </w:rPr>
                </w:pPr>
                <w:bookmarkStart w:id="34" w:name="_Hlk12526980"/>
                <w:r>
                  <w:rPr>
                    <w:rFonts w:ascii="Palatino Linotype" w:eastAsia="Calibri" w:hAnsi="Palatino Linotype" w:cs="Tahoma"/>
                    <w:b/>
                    <w:sz w:val="22"/>
                    <w:szCs w:val="22"/>
                    <w:lang w:eastAsia="en-US"/>
                  </w:rPr>
                  <w:t>Recurso de Revisión:</w:t>
                </w:r>
              </w:p>
            </w:tc>
            <w:tc>
              <w:tcPr>
                <w:tcW w:w="4646" w:type="dxa"/>
              </w:tcPr>
              <w:p w14:paraId="0DE47EE2" w14:textId="768548D4" w:rsidR="007F41E1" w:rsidRPr="002879EC" w:rsidRDefault="007F41E1" w:rsidP="001C52A7">
                <w:pPr>
                  <w:tabs>
                    <w:tab w:val="right" w:pos="8838"/>
                  </w:tabs>
                  <w:ind w:left="-3" w:right="-105"/>
                  <w:jc w:val="both"/>
                  <w:rPr>
                    <w:rFonts w:ascii="Palatino Linotype" w:eastAsia="Calibri" w:hAnsi="Palatino Linotype" w:cs="Tahoma"/>
                    <w:sz w:val="22"/>
                    <w:szCs w:val="22"/>
                    <w:lang w:eastAsia="en-US"/>
                  </w:rPr>
                </w:pPr>
                <w:r w:rsidRPr="002879EC">
                  <w:rPr>
                    <w:rFonts w:ascii="Palatino Linotype" w:hAnsi="Palatino Linotype" w:cs="Arial"/>
                    <w:sz w:val="22"/>
                    <w:szCs w:val="22"/>
                  </w:rPr>
                  <w:t>07108/</w:t>
                </w:r>
                <w:r w:rsidRPr="002879EC">
                  <w:rPr>
                    <w:rFonts w:ascii="Palatino Linotype" w:eastAsia="Calibri" w:hAnsi="Palatino Linotype" w:cs="Tahoma"/>
                    <w:sz w:val="22"/>
                    <w:szCs w:val="22"/>
                    <w:lang w:eastAsia="en-US"/>
                  </w:rPr>
                  <w:t>INFOEM/IP/RR/2023</w:t>
                </w:r>
              </w:p>
            </w:tc>
            <w:tc>
              <w:tcPr>
                <w:tcW w:w="3402" w:type="dxa"/>
              </w:tcPr>
              <w:p w14:paraId="11E4533C" w14:textId="3B21362A" w:rsidR="007F41E1" w:rsidRDefault="007F41E1">
                <w:pPr>
                  <w:tabs>
                    <w:tab w:val="right" w:pos="8838"/>
                  </w:tabs>
                  <w:ind w:left="-74" w:right="-105"/>
                  <w:jc w:val="both"/>
                  <w:rPr>
                    <w:rFonts w:ascii="Palatino Linotype" w:eastAsia="Calibri" w:hAnsi="Palatino Linotype" w:cs="Tahoma"/>
                    <w:bCs/>
                    <w:sz w:val="22"/>
                    <w:szCs w:val="22"/>
                    <w:lang w:eastAsia="en-US"/>
                  </w:rPr>
                </w:pPr>
              </w:p>
            </w:tc>
          </w:tr>
          <w:tr w:rsidR="007F41E1" w14:paraId="3FC4FA7D" w14:textId="77777777" w:rsidTr="00483482">
            <w:trPr>
              <w:trHeight w:val="144"/>
            </w:trPr>
            <w:tc>
              <w:tcPr>
                <w:tcW w:w="2444" w:type="dxa"/>
              </w:tcPr>
              <w:p w14:paraId="363D966B" w14:textId="77777777" w:rsidR="007F41E1" w:rsidRDefault="007F41E1" w:rsidP="000D485D">
                <w:pPr>
                  <w:tabs>
                    <w:tab w:val="right" w:pos="8838"/>
                  </w:tabs>
                  <w:ind w:left="-74" w:right="-105"/>
                  <w:rPr>
                    <w:rFonts w:ascii="Palatino Linotype" w:eastAsia="Calibri" w:hAnsi="Palatino Linotype" w:cs="Tahoma"/>
                    <w:b/>
                    <w:sz w:val="22"/>
                    <w:szCs w:val="22"/>
                    <w:lang w:eastAsia="en-US"/>
                  </w:rPr>
                </w:pPr>
                <w:bookmarkStart w:id="35" w:name="_Hlk10641523"/>
                <w:bookmarkEnd w:id="34"/>
                <w:r>
                  <w:rPr>
                    <w:rFonts w:ascii="Palatino Linotype" w:eastAsia="Calibri" w:hAnsi="Palatino Linotype" w:cs="Tahoma"/>
                    <w:b/>
                    <w:sz w:val="22"/>
                    <w:szCs w:val="22"/>
                    <w:lang w:eastAsia="en-US"/>
                  </w:rPr>
                  <w:t>Recurrente:</w:t>
                </w:r>
              </w:p>
            </w:tc>
            <w:tc>
              <w:tcPr>
                <w:tcW w:w="4646" w:type="dxa"/>
              </w:tcPr>
              <w:p w14:paraId="73C065CD" w14:textId="55A6074A" w:rsidR="007F41E1" w:rsidRPr="002879EC" w:rsidRDefault="007F41E1" w:rsidP="00FF34DE">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7F41E1" w:rsidRDefault="007F41E1" w:rsidP="003037E1">
                <w:pPr>
                  <w:tabs>
                    <w:tab w:val="left" w:pos="3122"/>
                    <w:tab w:val="right" w:pos="8838"/>
                  </w:tabs>
                  <w:ind w:right="-105"/>
                  <w:jc w:val="both"/>
                  <w:rPr>
                    <w:rFonts w:ascii="Palatino Linotype" w:eastAsia="Calibri" w:hAnsi="Palatino Linotype" w:cs="Tahoma"/>
                    <w:sz w:val="22"/>
                    <w:szCs w:val="22"/>
                    <w:lang w:eastAsia="en-US"/>
                  </w:rPr>
                </w:pPr>
              </w:p>
            </w:tc>
          </w:tr>
          <w:bookmarkEnd w:id="35"/>
          <w:tr w:rsidR="007F41E1" w14:paraId="4D832A43" w14:textId="77777777" w:rsidTr="00483482">
            <w:trPr>
              <w:trHeight w:val="283"/>
            </w:trPr>
            <w:tc>
              <w:tcPr>
                <w:tcW w:w="2444" w:type="dxa"/>
              </w:tcPr>
              <w:p w14:paraId="02CA5CB0" w14:textId="77777777" w:rsidR="007F41E1" w:rsidRDefault="007F41E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A5D928A" w:rsidR="007F41E1" w:rsidRPr="002879EC" w:rsidRDefault="007F41E1" w:rsidP="004A4956">
                <w:pPr>
                  <w:tabs>
                    <w:tab w:val="left" w:pos="2834"/>
                    <w:tab w:val="right" w:pos="8838"/>
                  </w:tabs>
                  <w:ind w:left="-3" w:right="1315"/>
                  <w:jc w:val="both"/>
                  <w:rPr>
                    <w:rFonts w:ascii="Palatino Linotype" w:eastAsia="Calibri" w:hAnsi="Palatino Linotype" w:cs="Tahoma"/>
                    <w:sz w:val="22"/>
                    <w:szCs w:val="22"/>
                    <w:lang w:eastAsia="en-US"/>
                  </w:rPr>
                </w:pPr>
                <w:r w:rsidRPr="002879EC">
                  <w:rPr>
                    <w:rFonts w:ascii="Palatino Linotype" w:eastAsia="Calibri" w:hAnsi="Palatino Linotype" w:cs="Arial"/>
                    <w:bCs/>
                    <w:sz w:val="22"/>
                    <w:szCs w:val="22"/>
                  </w:rPr>
                  <w:t>Ayuntamiento de Ocuilan</w:t>
                </w:r>
              </w:p>
            </w:tc>
            <w:tc>
              <w:tcPr>
                <w:tcW w:w="3402" w:type="dxa"/>
              </w:tcPr>
              <w:p w14:paraId="00F18B8C" w14:textId="77777777" w:rsidR="007F41E1" w:rsidRDefault="007F41E1">
                <w:pPr>
                  <w:tabs>
                    <w:tab w:val="left" w:pos="2834"/>
                    <w:tab w:val="right" w:pos="8838"/>
                  </w:tabs>
                  <w:ind w:left="-74" w:right="-105"/>
                  <w:jc w:val="both"/>
                  <w:rPr>
                    <w:rFonts w:ascii="Palatino Linotype" w:eastAsia="Calibri" w:hAnsi="Palatino Linotype" w:cs="Tahoma"/>
                    <w:sz w:val="22"/>
                    <w:szCs w:val="22"/>
                    <w:lang w:eastAsia="en-US"/>
                  </w:rPr>
                </w:pPr>
              </w:p>
            </w:tc>
          </w:tr>
          <w:tr w:rsidR="007F41E1" w14:paraId="7BC74D7A" w14:textId="77777777" w:rsidTr="00483482">
            <w:trPr>
              <w:trHeight w:val="283"/>
            </w:trPr>
            <w:tc>
              <w:tcPr>
                <w:tcW w:w="2444" w:type="dxa"/>
              </w:tcPr>
              <w:p w14:paraId="3BF93338" w14:textId="01E84F2D" w:rsidR="007F41E1" w:rsidRDefault="007F41E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7F41E1" w:rsidRPr="002879EC" w:rsidRDefault="007F41E1" w:rsidP="003037E1">
                <w:pPr>
                  <w:tabs>
                    <w:tab w:val="right" w:pos="8838"/>
                  </w:tabs>
                  <w:ind w:left="-3" w:right="-105"/>
                  <w:jc w:val="both"/>
                  <w:rPr>
                    <w:rFonts w:ascii="Palatino Linotype" w:eastAsia="Calibri" w:hAnsi="Palatino Linotype" w:cs="Tahoma"/>
                    <w:sz w:val="22"/>
                    <w:szCs w:val="22"/>
                    <w:lang w:eastAsia="en-US"/>
                  </w:rPr>
                </w:pPr>
                <w:r w:rsidRPr="002879EC">
                  <w:rPr>
                    <w:rFonts w:ascii="Palatino Linotype" w:eastAsia="Calibri" w:hAnsi="Palatino Linotype" w:cs="Tahoma"/>
                    <w:sz w:val="22"/>
                    <w:szCs w:val="22"/>
                    <w:lang w:eastAsia="en-US"/>
                  </w:rPr>
                  <w:t>María del Rosario Mejía Ayala</w:t>
                </w:r>
              </w:p>
            </w:tc>
            <w:tc>
              <w:tcPr>
                <w:tcW w:w="3402" w:type="dxa"/>
              </w:tcPr>
              <w:p w14:paraId="6DBCB70D" w14:textId="77777777" w:rsidR="007F41E1" w:rsidRDefault="007F41E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F41E1" w:rsidRDefault="007F41E1">
          <w:pPr>
            <w:tabs>
              <w:tab w:val="right" w:pos="8838"/>
            </w:tabs>
            <w:ind w:left="-28"/>
            <w:jc w:val="both"/>
            <w:rPr>
              <w:rFonts w:ascii="Arial" w:eastAsia="Calibri" w:hAnsi="Arial" w:cs="Arial"/>
              <w:b/>
              <w:sz w:val="22"/>
              <w:szCs w:val="22"/>
              <w:lang w:eastAsia="en-US"/>
            </w:rPr>
          </w:pPr>
        </w:p>
      </w:tc>
    </w:tr>
  </w:tbl>
  <w:p w14:paraId="5F654A99" w14:textId="6CB7D4AE" w:rsidR="007F41E1" w:rsidRDefault="0080588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7F41E1" w:rsidRDefault="007F41E1"/>
  <w:p w14:paraId="69AC6122" w14:textId="77777777" w:rsidR="007F41E1" w:rsidRDefault="007F41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F2773E0"/>
    <w:multiLevelType w:val="hybridMultilevel"/>
    <w:tmpl w:val="53F09ACC"/>
    <w:lvl w:ilvl="0" w:tplc="080A0013">
      <w:start w:val="1"/>
      <w:numFmt w:val="upperRoman"/>
      <w:lvlText w:val="%1."/>
      <w:lvlJc w:val="righ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8B5EC6"/>
    <w:multiLevelType w:val="hybridMultilevel"/>
    <w:tmpl w:val="F63C0A7C"/>
    <w:lvl w:ilvl="0" w:tplc="A2BCB84E">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50589B"/>
    <w:multiLevelType w:val="hybridMultilevel"/>
    <w:tmpl w:val="F95E4B52"/>
    <w:lvl w:ilvl="0" w:tplc="080A0001">
      <w:start w:val="1"/>
      <w:numFmt w:val="bullet"/>
      <w:lvlText w:val=""/>
      <w:lvlJc w:val="left"/>
      <w:pPr>
        <w:ind w:left="-522" w:hanging="360"/>
      </w:pPr>
      <w:rPr>
        <w:rFonts w:ascii="Symbol" w:hAnsi="Symbol" w:hint="default"/>
      </w:rPr>
    </w:lvl>
    <w:lvl w:ilvl="1" w:tplc="080A0003" w:tentative="1">
      <w:start w:val="1"/>
      <w:numFmt w:val="bullet"/>
      <w:lvlText w:val="o"/>
      <w:lvlJc w:val="left"/>
      <w:pPr>
        <w:ind w:left="198" w:hanging="360"/>
      </w:pPr>
      <w:rPr>
        <w:rFonts w:ascii="Courier New" w:hAnsi="Courier New" w:cs="Courier New" w:hint="default"/>
      </w:rPr>
    </w:lvl>
    <w:lvl w:ilvl="2" w:tplc="080A0005" w:tentative="1">
      <w:start w:val="1"/>
      <w:numFmt w:val="bullet"/>
      <w:lvlText w:val=""/>
      <w:lvlJc w:val="left"/>
      <w:pPr>
        <w:ind w:left="918" w:hanging="360"/>
      </w:pPr>
      <w:rPr>
        <w:rFonts w:ascii="Wingdings" w:hAnsi="Wingdings" w:hint="default"/>
      </w:rPr>
    </w:lvl>
    <w:lvl w:ilvl="3" w:tplc="080A0001" w:tentative="1">
      <w:start w:val="1"/>
      <w:numFmt w:val="bullet"/>
      <w:lvlText w:val=""/>
      <w:lvlJc w:val="left"/>
      <w:pPr>
        <w:ind w:left="1638" w:hanging="360"/>
      </w:pPr>
      <w:rPr>
        <w:rFonts w:ascii="Symbol" w:hAnsi="Symbol" w:hint="default"/>
      </w:rPr>
    </w:lvl>
    <w:lvl w:ilvl="4" w:tplc="080A0003" w:tentative="1">
      <w:start w:val="1"/>
      <w:numFmt w:val="bullet"/>
      <w:lvlText w:val="o"/>
      <w:lvlJc w:val="left"/>
      <w:pPr>
        <w:ind w:left="2358" w:hanging="360"/>
      </w:pPr>
      <w:rPr>
        <w:rFonts w:ascii="Courier New" w:hAnsi="Courier New" w:cs="Courier New" w:hint="default"/>
      </w:rPr>
    </w:lvl>
    <w:lvl w:ilvl="5" w:tplc="080A0005" w:tentative="1">
      <w:start w:val="1"/>
      <w:numFmt w:val="bullet"/>
      <w:lvlText w:val=""/>
      <w:lvlJc w:val="left"/>
      <w:pPr>
        <w:ind w:left="3078" w:hanging="360"/>
      </w:pPr>
      <w:rPr>
        <w:rFonts w:ascii="Wingdings" w:hAnsi="Wingdings" w:hint="default"/>
      </w:rPr>
    </w:lvl>
    <w:lvl w:ilvl="6" w:tplc="080A0001" w:tentative="1">
      <w:start w:val="1"/>
      <w:numFmt w:val="bullet"/>
      <w:lvlText w:val=""/>
      <w:lvlJc w:val="left"/>
      <w:pPr>
        <w:ind w:left="3798" w:hanging="360"/>
      </w:pPr>
      <w:rPr>
        <w:rFonts w:ascii="Symbol" w:hAnsi="Symbol" w:hint="default"/>
      </w:rPr>
    </w:lvl>
    <w:lvl w:ilvl="7" w:tplc="080A0003" w:tentative="1">
      <w:start w:val="1"/>
      <w:numFmt w:val="bullet"/>
      <w:lvlText w:val="o"/>
      <w:lvlJc w:val="left"/>
      <w:pPr>
        <w:ind w:left="4518" w:hanging="360"/>
      </w:pPr>
      <w:rPr>
        <w:rFonts w:ascii="Courier New" w:hAnsi="Courier New" w:cs="Courier New" w:hint="default"/>
      </w:rPr>
    </w:lvl>
    <w:lvl w:ilvl="8" w:tplc="080A0005" w:tentative="1">
      <w:start w:val="1"/>
      <w:numFmt w:val="bullet"/>
      <w:lvlText w:val=""/>
      <w:lvlJc w:val="left"/>
      <w:pPr>
        <w:ind w:left="5238" w:hanging="360"/>
      </w:pPr>
      <w:rPr>
        <w:rFonts w:ascii="Wingdings" w:hAnsi="Wingdings" w:hint="default"/>
      </w:rPr>
    </w:lvl>
  </w:abstractNum>
  <w:abstractNum w:abstractNumId="8"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A2BA6"/>
    <w:multiLevelType w:val="hybridMultilevel"/>
    <w:tmpl w:val="922A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537862"/>
    <w:multiLevelType w:val="hybridMultilevel"/>
    <w:tmpl w:val="582A9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3C11B6"/>
    <w:multiLevelType w:val="hybridMultilevel"/>
    <w:tmpl w:val="B1CA0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1607D8"/>
    <w:multiLevelType w:val="hybridMultilevel"/>
    <w:tmpl w:val="661CD1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1A6B5E"/>
    <w:multiLevelType w:val="hybridMultilevel"/>
    <w:tmpl w:val="8E8AA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445445"/>
    <w:multiLevelType w:val="hybridMultilevel"/>
    <w:tmpl w:val="2C3A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A5152D"/>
    <w:multiLevelType w:val="hybridMultilevel"/>
    <w:tmpl w:val="4A7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0C45D3"/>
    <w:multiLevelType w:val="hybridMultilevel"/>
    <w:tmpl w:val="C7C21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5614A2"/>
    <w:multiLevelType w:val="hybridMultilevel"/>
    <w:tmpl w:val="7BE0B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06572F"/>
    <w:multiLevelType w:val="hybridMultilevel"/>
    <w:tmpl w:val="E9A8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F3908F4"/>
    <w:multiLevelType w:val="hybridMultilevel"/>
    <w:tmpl w:val="764EF0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9"/>
  </w:num>
  <w:num w:numId="7">
    <w:abstractNumId w:val="17"/>
  </w:num>
  <w:num w:numId="8">
    <w:abstractNumId w:val="21"/>
  </w:num>
  <w:num w:numId="9">
    <w:abstractNumId w:val="18"/>
  </w:num>
  <w:num w:numId="10">
    <w:abstractNumId w:val="11"/>
  </w:num>
  <w:num w:numId="11">
    <w:abstractNumId w:val="14"/>
  </w:num>
  <w:num w:numId="12">
    <w:abstractNumId w:val="1"/>
  </w:num>
  <w:num w:numId="13">
    <w:abstractNumId w:val="6"/>
  </w:num>
  <w:num w:numId="14">
    <w:abstractNumId w:val="16"/>
  </w:num>
  <w:num w:numId="15">
    <w:abstractNumId w:val="23"/>
  </w:num>
  <w:num w:numId="16">
    <w:abstractNumId w:val="5"/>
  </w:num>
  <w:num w:numId="17">
    <w:abstractNumId w:val="4"/>
  </w:num>
  <w:num w:numId="18">
    <w:abstractNumId w:val="20"/>
  </w:num>
  <w:num w:numId="19">
    <w:abstractNumId w:val="10"/>
  </w:num>
  <w:num w:numId="20">
    <w:abstractNumId w:val="7"/>
  </w:num>
  <w:num w:numId="21">
    <w:abstractNumId w:val="12"/>
  </w:num>
  <w:num w:numId="22">
    <w:abstractNumId w:val="22"/>
  </w:num>
  <w:num w:numId="23">
    <w:abstractNumId w:val="19"/>
  </w:num>
  <w:num w:numId="24">
    <w:abstractNumId w:val="2"/>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1E5"/>
    <w:rsid w:val="000D2A27"/>
    <w:rsid w:val="000D485D"/>
    <w:rsid w:val="000D5156"/>
    <w:rsid w:val="000D5383"/>
    <w:rsid w:val="000D60B0"/>
    <w:rsid w:val="000D62EF"/>
    <w:rsid w:val="000D686E"/>
    <w:rsid w:val="000D68C7"/>
    <w:rsid w:val="000D6CF8"/>
    <w:rsid w:val="000D77A7"/>
    <w:rsid w:val="000E008A"/>
    <w:rsid w:val="000E0BEA"/>
    <w:rsid w:val="000E36AB"/>
    <w:rsid w:val="000E3BE7"/>
    <w:rsid w:val="000E5550"/>
    <w:rsid w:val="000E7AB1"/>
    <w:rsid w:val="000E7E4F"/>
    <w:rsid w:val="000F0A30"/>
    <w:rsid w:val="000F0C82"/>
    <w:rsid w:val="000F178F"/>
    <w:rsid w:val="000F24C8"/>
    <w:rsid w:val="000F2580"/>
    <w:rsid w:val="000F2EBF"/>
    <w:rsid w:val="000F35F2"/>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38DC"/>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698"/>
    <w:rsid w:val="00153143"/>
    <w:rsid w:val="0015381E"/>
    <w:rsid w:val="00155F96"/>
    <w:rsid w:val="001561CB"/>
    <w:rsid w:val="00156408"/>
    <w:rsid w:val="00156A6B"/>
    <w:rsid w:val="00156BFA"/>
    <w:rsid w:val="001605E6"/>
    <w:rsid w:val="00160677"/>
    <w:rsid w:val="00161876"/>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8BD"/>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2A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5EB4"/>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9EC"/>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BDE"/>
    <w:rsid w:val="002C02B9"/>
    <w:rsid w:val="002C0440"/>
    <w:rsid w:val="002C06E4"/>
    <w:rsid w:val="002C0DC2"/>
    <w:rsid w:val="002C255D"/>
    <w:rsid w:val="002C2EA7"/>
    <w:rsid w:val="002C33B4"/>
    <w:rsid w:val="002C4046"/>
    <w:rsid w:val="002C458A"/>
    <w:rsid w:val="002C51B6"/>
    <w:rsid w:val="002C6807"/>
    <w:rsid w:val="002C711A"/>
    <w:rsid w:val="002D15E8"/>
    <w:rsid w:val="002D1819"/>
    <w:rsid w:val="002D1BE4"/>
    <w:rsid w:val="002D1D6C"/>
    <w:rsid w:val="002D4AE8"/>
    <w:rsid w:val="002D7463"/>
    <w:rsid w:val="002E0862"/>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27045"/>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5E4C"/>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4D86"/>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9D"/>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23ED"/>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5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6754C"/>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8C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4956"/>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782"/>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0828"/>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3768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23B0"/>
    <w:rsid w:val="00583D42"/>
    <w:rsid w:val="00584F84"/>
    <w:rsid w:val="0058655A"/>
    <w:rsid w:val="00586586"/>
    <w:rsid w:val="00586C18"/>
    <w:rsid w:val="00586FA8"/>
    <w:rsid w:val="00587A4C"/>
    <w:rsid w:val="00587F23"/>
    <w:rsid w:val="0059068D"/>
    <w:rsid w:val="00591E3A"/>
    <w:rsid w:val="00592977"/>
    <w:rsid w:val="00593CB4"/>
    <w:rsid w:val="00593E68"/>
    <w:rsid w:val="005940A2"/>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4BA"/>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6E52"/>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DFF"/>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6A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4DC"/>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37D"/>
    <w:rsid w:val="006A6B88"/>
    <w:rsid w:val="006A6D7F"/>
    <w:rsid w:val="006A790B"/>
    <w:rsid w:val="006A7A69"/>
    <w:rsid w:val="006B0298"/>
    <w:rsid w:val="006B0E83"/>
    <w:rsid w:val="006B110A"/>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B9A"/>
    <w:rsid w:val="006C65FE"/>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B50"/>
    <w:rsid w:val="006D6D9B"/>
    <w:rsid w:val="006D7795"/>
    <w:rsid w:val="006D7ACB"/>
    <w:rsid w:val="006E00EF"/>
    <w:rsid w:val="006E06BB"/>
    <w:rsid w:val="006E190A"/>
    <w:rsid w:val="006E1A7A"/>
    <w:rsid w:val="006E2E8D"/>
    <w:rsid w:val="006E4723"/>
    <w:rsid w:val="006E477D"/>
    <w:rsid w:val="006E5844"/>
    <w:rsid w:val="006E695D"/>
    <w:rsid w:val="006E716F"/>
    <w:rsid w:val="006E7D89"/>
    <w:rsid w:val="006E7DA9"/>
    <w:rsid w:val="006E7DEE"/>
    <w:rsid w:val="006F01E7"/>
    <w:rsid w:val="006F07D9"/>
    <w:rsid w:val="006F13AA"/>
    <w:rsid w:val="006F1F3A"/>
    <w:rsid w:val="006F20CD"/>
    <w:rsid w:val="006F2621"/>
    <w:rsid w:val="006F3C5E"/>
    <w:rsid w:val="006F490E"/>
    <w:rsid w:val="006F70DE"/>
    <w:rsid w:val="006F785E"/>
    <w:rsid w:val="006F7EB8"/>
    <w:rsid w:val="007003A9"/>
    <w:rsid w:val="0070094A"/>
    <w:rsid w:val="00700AA4"/>
    <w:rsid w:val="00702BAC"/>
    <w:rsid w:val="00702DD7"/>
    <w:rsid w:val="007047D3"/>
    <w:rsid w:val="00705663"/>
    <w:rsid w:val="00705C40"/>
    <w:rsid w:val="007102EC"/>
    <w:rsid w:val="00710757"/>
    <w:rsid w:val="0071087E"/>
    <w:rsid w:val="00710E1B"/>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D02"/>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2A4"/>
    <w:rsid w:val="0079563B"/>
    <w:rsid w:val="00795BA7"/>
    <w:rsid w:val="00796986"/>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99"/>
    <w:rsid w:val="007F21C5"/>
    <w:rsid w:val="007F2562"/>
    <w:rsid w:val="007F26EE"/>
    <w:rsid w:val="007F324F"/>
    <w:rsid w:val="007F366D"/>
    <w:rsid w:val="007F3849"/>
    <w:rsid w:val="007F3EF1"/>
    <w:rsid w:val="007F41E1"/>
    <w:rsid w:val="007F4BAE"/>
    <w:rsid w:val="007F5179"/>
    <w:rsid w:val="007F56C5"/>
    <w:rsid w:val="007F5E47"/>
    <w:rsid w:val="007F7004"/>
    <w:rsid w:val="0080056E"/>
    <w:rsid w:val="00801457"/>
    <w:rsid w:val="00801BCE"/>
    <w:rsid w:val="00801E7D"/>
    <w:rsid w:val="00802515"/>
    <w:rsid w:val="00803BFF"/>
    <w:rsid w:val="008051F8"/>
    <w:rsid w:val="008057BD"/>
    <w:rsid w:val="00805881"/>
    <w:rsid w:val="00805BE2"/>
    <w:rsid w:val="008063C1"/>
    <w:rsid w:val="00806A8E"/>
    <w:rsid w:val="00806ABD"/>
    <w:rsid w:val="00806EE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4DD0"/>
    <w:rsid w:val="0083538B"/>
    <w:rsid w:val="00835474"/>
    <w:rsid w:val="00836DF1"/>
    <w:rsid w:val="008373C0"/>
    <w:rsid w:val="0084105A"/>
    <w:rsid w:val="0084145F"/>
    <w:rsid w:val="00841DA2"/>
    <w:rsid w:val="0084263B"/>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886"/>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2E9"/>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68E"/>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038"/>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1962"/>
    <w:rsid w:val="009021B9"/>
    <w:rsid w:val="00902912"/>
    <w:rsid w:val="00902D00"/>
    <w:rsid w:val="0090360E"/>
    <w:rsid w:val="00903D37"/>
    <w:rsid w:val="00906F91"/>
    <w:rsid w:val="009079D1"/>
    <w:rsid w:val="0091055D"/>
    <w:rsid w:val="00911958"/>
    <w:rsid w:val="00912ED6"/>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69"/>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38F0"/>
    <w:rsid w:val="009D43FE"/>
    <w:rsid w:val="009D4856"/>
    <w:rsid w:val="009D4A04"/>
    <w:rsid w:val="009D5C33"/>
    <w:rsid w:val="009D6197"/>
    <w:rsid w:val="009D6634"/>
    <w:rsid w:val="009D69C6"/>
    <w:rsid w:val="009D6F70"/>
    <w:rsid w:val="009E10E1"/>
    <w:rsid w:val="009E110C"/>
    <w:rsid w:val="009E1309"/>
    <w:rsid w:val="009E49AA"/>
    <w:rsid w:val="009E5419"/>
    <w:rsid w:val="009E5A6E"/>
    <w:rsid w:val="009E70E7"/>
    <w:rsid w:val="009F0DA5"/>
    <w:rsid w:val="009F2492"/>
    <w:rsid w:val="009F25A8"/>
    <w:rsid w:val="009F3A6A"/>
    <w:rsid w:val="009F46DC"/>
    <w:rsid w:val="009F4C58"/>
    <w:rsid w:val="009F58BE"/>
    <w:rsid w:val="009F65AF"/>
    <w:rsid w:val="009F7FAA"/>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E94"/>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D76"/>
    <w:rsid w:val="00AD1F60"/>
    <w:rsid w:val="00AD2195"/>
    <w:rsid w:val="00AD2611"/>
    <w:rsid w:val="00AD27D6"/>
    <w:rsid w:val="00AD38FD"/>
    <w:rsid w:val="00AD3AC5"/>
    <w:rsid w:val="00AD3D57"/>
    <w:rsid w:val="00AD43A4"/>
    <w:rsid w:val="00AD497C"/>
    <w:rsid w:val="00AD4A8A"/>
    <w:rsid w:val="00AD50F9"/>
    <w:rsid w:val="00AD6B64"/>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A0A"/>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30B"/>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8C1"/>
    <w:rsid w:val="00B73FD4"/>
    <w:rsid w:val="00B74FC5"/>
    <w:rsid w:val="00B750FC"/>
    <w:rsid w:val="00B75A6C"/>
    <w:rsid w:val="00B7795B"/>
    <w:rsid w:val="00B80AB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0B7"/>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17DEC"/>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3255"/>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13BD"/>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607"/>
    <w:rsid w:val="00CD3A5D"/>
    <w:rsid w:val="00CD51ED"/>
    <w:rsid w:val="00CD5FD4"/>
    <w:rsid w:val="00CD6A36"/>
    <w:rsid w:val="00CD7E1F"/>
    <w:rsid w:val="00CE0A60"/>
    <w:rsid w:val="00CE0DCE"/>
    <w:rsid w:val="00CE1B6A"/>
    <w:rsid w:val="00CE1BC9"/>
    <w:rsid w:val="00CE321D"/>
    <w:rsid w:val="00CE33C1"/>
    <w:rsid w:val="00CE4DD6"/>
    <w:rsid w:val="00CE597A"/>
    <w:rsid w:val="00CE6763"/>
    <w:rsid w:val="00CE7442"/>
    <w:rsid w:val="00CE76FF"/>
    <w:rsid w:val="00CF1CF7"/>
    <w:rsid w:val="00CF26E8"/>
    <w:rsid w:val="00CF2954"/>
    <w:rsid w:val="00CF3BFD"/>
    <w:rsid w:val="00CF3C35"/>
    <w:rsid w:val="00CF4012"/>
    <w:rsid w:val="00CF43D5"/>
    <w:rsid w:val="00CF474E"/>
    <w:rsid w:val="00CF5EC7"/>
    <w:rsid w:val="00CF6845"/>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A7E"/>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652D"/>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4D4E"/>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4261"/>
    <w:rsid w:val="00DD5221"/>
    <w:rsid w:val="00DD7DC3"/>
    <w:rsid w:val="00DE0808"/>
    <w:rsid w:val="00DE1C03"/>
    <w:rsid w:val="00DE2065"/>
    <w:rsid w:val="00DE2966"/>
    <w:rsid w:val="00DE3A0C"/>
    <w:rsid w:val="00DE3AF1"/>
    <w:rsid w:val="00DE40E0"/>
    <w:rsid w:val="00DE4107"/>
    <w:rsid w:val="00DE4A7D"/>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18B"/>
    <w:rsid w:val="00EA1A98"/>
    <w:rsid w:val="00EA200D"/>
    <w:rsid w:val="00EA220D"/>
    <w:rsid w:val="00EA3156"/>
    <w:rsid w:val="00EA34A1"/>
    <w:rsid w:val="00EA40A2"/>
    <w:rsid w:val="00EA4CD5"/>
    <w:rsid w:val="00EA4D0A"/>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0DD6"/>
    <w:rsid w:val="00EF16DB"/>
    <w:rsid w:val="00EF1F54"/>
    <w:rsid w:val="00EF2C2D"/>
    <w:rsid w:val="00EF4537"/>
    <w:rsid w:val="00EF4A64"/>
    <w:rsid w:val="00EF4D52"/>
    <w:rsid w:val="00EF54EA"/>
    <w:rsid w:val="00EF5DA5"/>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236"/>
    <w:rsid w:val="00F24372"/>
    <w:rsid w:val="00F249E5"/>
    <w:rsid w:val="00F24CE9"/>
    <w:rsid w:val="00F251E7"/>
    <w:rsid w:val="00F25CFE"/>
    <w:rsid w:val="00F26CC2"/>
    <w:rsid w:val="00F302FE"/>
    <w:rsid w:val="00F3033C"/>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34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styleId="Textosinformato">
    <w:name w:val="Plain Text"/>
    <w:basedOn w:val="Normal"/>
    <w:link w:val="TextosinformatoCar"/>
    <w:rsid w:val="00CD3607"/>
    <w:rPr>
      <w:rFonts w:ascii="Courier New" w:hAnsi="Courier New" w:cs="Courier New"/>
      <w:lang w:val="es-ES"/>
    </w:rPr>
  </w:style>
  <w:style w:type="character" w:customStyle="1" w:styleId="TextosinformatoCar">
    <w:name w:val="Texto sin formato Car"/>
    <w:basedOn w:val="Fuentedeprrafopredeter"/>
    <w:link w:val="Textosinformato"/>
    <w:rsid w:val="00CD3607"/>
    <w:rPr>
      <w:rFonts w:ascii="Courier New" w:eastAsia="Times New Roman" w:hAnsi="Courier New" w:cs="Courier New"/>
      <w:lang w:val="es-ES" w:eastAsia="es-ES"/>
    </w:rPr>
  </w:style>
  <w:style w:type="character" w:styleId="Referenciasutil">
    <w:name w:val="Subtle Reference"/>
    <w:basedOn w:val="Fuentedeprrafopredeter"/>
    <w:uiPriority w:val="31"/>
    <w:qFormat/>
    <w:rsid w:val="006A637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3992414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0722023">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6715177">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4450437">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5224056">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028815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65861066">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6030123">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4510301">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7943636">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679361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9406024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9440938">
      <w:bodyDiv w:val="1"/>
      <w:marLeft w:val="0"/>
      <w:marRight w:val="0"/>
      <w:marTop w:val="0"/>
      <w:marBottom w:val="0"/>
      <w:divBdr>
        <w:top w:val="none" w:sz="0" w:space="0" w:color="auto"/>
        <w:left w:val="none" w:sz="0" w:space="0" w:color="auto"/>
        <w:bottom w:val="none" w:sz="0" w:space="0" w:color="auto"/>
        <w:right w:val="none" w:sz="0" w:space="0" w:color="auto"/>
      </w:divBdr>
    </w:div>
    <w:div w:id="1837961249">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2836746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3D9EA-DD21-47F2-8248-A80A6129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59</Pages>
  <Words>12484</Words>
  <Characters>68668</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DTPDP578</cp:lastModifiedBy>
  <cp:revision>7</cp:revision>
  <cp:lastPrinted>2024-01-18T19:30:00Z</cp:lastPrinted>
  <dcterms:created xsi:type="dcterms:W3CDTF">2023-12-13T19:01:00Z</dcterms:created>
  <dcterms:modified xsi:type="dcterms:W3CDTF">2024-01-18T19:30:00Z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