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21844" w:rsidRDefault="00AE3DA7" w:rsidP="00A21844">
          <w:pPr>
            <w:pStyle w:val="TtulodeTDC"/>
            <w:spacing w:before="0" w:line="240" w:lineRule="auto"/>
            <w:ind w:right="-312"/>
            <w:rPr>
              <w:rFonts w:ascii="Palatino Linotype" w:hAnsi="Palatino Linotype"/>
              <w:color w:val="auto"/>
              <w:sz w:val="24"/>
              <w:szCs w:val="24"/>
              <w:lang w:val="es-ES"/>
            </w:rPr>
          </w:pPr>
          <w:r w:rsidRPr="00A21844">
            <w:rPr>
              <w:rFonts w:ascii="Palatino Linotype" w:hAnsi="Palatino Linotype"/>
              <w:color w:val="auto"/>
              <w:sz w:val="24"/>
              <w:szCs w:val="24"/>
              <w:lang w:val="es-ES"/>
            </w:rPr>
            <w:t>Contenido</w:t>
          </w:r>
        </w:p>
        <w:p w14:paraId="3EB312A7" w14:textId="77777777" w:rsidR="00AA6EA9" w:rsidRPr="00A21844" w:rsidRDefault="00AA6EA9" w:rsidP="00A21844">
          <w:pPr>
            <w:spacing w:line="240" w:lineRule="auto"/>
            <w:ind w:right="-312"/>
            <w:rPr>
              <w:sz w:val="16"/>
              <w:szCs w:val="16"/>
              <w:lang w:val="es-ES" w:eastAsia="es-MX"/>
            </w:rPr>
          </w:pPr>
        </w:p>
        <w:p w14:paraId="0AA6B180" w14:textId="0E78CCF6" w:rsidR="007E7192" w:rsidRPr="00A21844" w:rsidRDefault="00AE3DA7" w:rsidP="00A21844">
          <w:pPr>
            <w:pStyle w:val="TDC1"/>
            <w:tabs>
              <w:tab w:val="right" w:leader="dot" w:pos="9034"/>
            </w:tabs>
            <w:ind w:right="-312"/>
            <w:rPr>
              <w:rFonts w:asciiTheme="minorHAnsi" w:eastAsiaTheme="minorEastAsia" w:hAnsiTheme="minorHAnsi" w:cstheme="minorBidi"/>
              <w:noProof/>
              <w:szCs w:val="22"/>
              <w:lang w:eastAsia="es-MX"/>
            </w:rPr>
          </w:pPr>
          <w:r w:rsidRPr="00A21844">
            <w:rPr>
              <w:sz w:val="16"/>
              <w:szCs w:val="16"/>
            </w:rPr>
            <w:fldChar w:fldCharType="begin"/>
          </w:r>
          <w:r w:rsidRPr="00A21844">
            <w:rPr>
              <w:sz w:val="16"/>
              <w:szCs w:val="16"/>
            </w:rPr>
            <w:instrText xml:space="preserve"> TOC \o "1-3" \h \z \u </w:instrText>
          </w:r>
          <w:r w:rsidRPr="00A21844">
            <w:rPr>
              <w:sz w:val="16"/>
              <w:szCs w:val="16"/>
            </w:rPr>
            <w:fldChar w:fldCharType="separate"/>
          </w:r>
          <w:hyperlink w:anchor="_Toc172748400" w:history="1">
            <w:r w:rsidR="007E7192" w:rsidRPr="00A21844">
              <w:rPr>
                <w:rStyle w:val="Hipervnculo"/>
                <w:noProof/>
                <w:color w:val="auto"/>
              </w:rPr>
              <w:t>ANTECEDENTES</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_Toc172748400 \h </w:instrText>
            </w:r>
            <w:r w:rsidR="007E7192" w:rsidRPr="00A21844">
              <w:rPr>
                <w:noProof/>
                <w:webHidden/>
              </w:rPr>
            </w:r>
            <w:r w:rsidR="007E7192" w:rsidRPr="00A21844">
              <w:rPr>
                <w:noProof/>
                <w:webHidden/>
              </w:rPr>
              <w:fldChar w:fldCharType="separate"/>
            </w:r>
            <w:r w:rsidR="00AF0DA9">
              <w:rPr>
                <w:noProof/>
                <w:webHidden/>
              </w:rPr>
              <w:t>1</w:t>
            </w:r>
            <w:r w:rsidR="007E7192" w:rsidRPr="00A21844">
              <w:rPr>
                <w:noProof/>
                <w:webHidden/>
              </w:rPr>
              <w:fldChar w:fldCharType="end"/>
            </w:r>
          </w:hyperlink>
        </w:p>
        <w:p w14:paraId="37F42430" w14:textId="38E33225" w:rsidR="007E7192" w:rsidRPr="00A21844" w:rsidRDefault="00EA6819" w:rsidP="00A21844">
          <w:pPr>
            <w:pStyle w:val="TDC2"/>
            <w:ind w:right="-312"/>
            <w:rPr>
              <w:rFonts w:asciiTheme="minorHAnsi" w:eastAsiaTheme="minorEastAsia" w:hAnsiTheme="minorHAnsi" w:cstheme="minorBidi"/>
              <w:noProof/>
              <w:szCs w:val="22"/>
              <w:lang w:eastAsia="es-MX"/>
            </w:rPr>
          </w:pPr>
          <w:hyperlink w:anchor="_Toc172748401" w:history="1">
            <w:r w:rsidR="007E7192" w:rsidRPr="00A21844">
              <w:rPr>
                <w:rStyle w:val="Hipervnculo"/>
                <w:noProof/>
                <w:color w:val="auto"/>
              </w:rPr>
              <w:t>DE LA SOLICITUD DE INFORMACIÓN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_Toc172748401 \h </w:instrText>
            </w:r>
            <w:r w:rsidR="007E7192" w:rsidRPr="00A21844">
              <w:rPr>
                <w:noProof/>
                <w:webHidden/>
              </w:rPr>
            </w:r>
            <w:r w:rsidR="007E7192" w:rsidRPr="00A21844">
              <w:rPr>
                <w:noProof/>
                <w:webHidden/>
              </w:rPr>
              <w:fldChar w:fldCharType="separate"/>
            </w:r>
            <w:r w:rsidR="00AF0DA9">
              <w:rPr>
                <w:noProof/>
                <w:webHidden/>
              </w:rPr>
              <w:t>1</w:t>
            </w:r>
            <w:r w:rsidR="007E7192" w:rsidRPr="00A21844">
              <w:rPr>
                <w:noProof/>
                <w:webHidden/>
              </w:rPr>
              <w:fldChar w:fldCharType="end"/>
            </w:r>
          </w:hyperlink>
        </w:p>
        <w:p w14:paraId="2C1D111E" w14:textId="7C34847E"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02" w:history="1">
            <w:r w:rsidR="007E7192" w:rsidRPr="00A21844">
              <w:rPr>
                <w:rStyle w:val="Hipervnculo"/>
                <w:noProof/>
                <w:color w:val="auto"/>
              </w:rPr>
              <w:t>a) Solicitud de información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_Toc172748402 \h </w:instrText>
            </w:r>
            <w:r w:rsidR="007E7192" w:rsidRPr="00A21844">
              <w:rPr>
                <w:noProof/>
                <w:webHidden/>
              </w:rPr>
            </w:r>
            <w:r w:rsidR="007E7192" w:rsidRPr="00A21844">
              <w:rPr>
                <w:noProof/>
                <w:webHidden/>
              </w:rPr>
              <w:fldChar w:fldCharType="separate"/>
            </w:r>
            <w:r w:rsidR="00AF0DA9">
              <w:rPr>
                <w:noProof/>
                <w:webHidden/>
              </w:rPr>
              <w:t>1</w:t>
            </w:r>
            <w:r w:rsidR="007E7192" w:rsidRPr="00A21844">
              <w:rPr>
                <w:noProof/>
                <w:webHidden/>
              </w:rPr>
              <w:fldChar w:fldCharType="end"/>
            </w:r>
          </w:hyperlink>
        </w:p>
        <w:p w14:paraId="722670E8" w14:textId="04BF1DAB"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03" w:history="1">
            <w:r w:rsidR="007E7192" w:rsidRPr="00A21844">
              <w:rPr>
                <w:rStyle w:val="Hipervnculo"/>
                <w:noProof/>
                <w:color w:val="auto"/>
              </w:rPr>
              <w:t xml:space="preserve">b) </w:t>
            </w:r>
            <w:r w:rsidR="007E7192" w:rsidRPr="00A21844">
              <w:rPr>
                <w:rStyle w:val="Hipervnculo"/>
                <w:noProof/>
                <w:color w:val="auto"/>
                <w:lang w:val="es-ES"/>
              </w:rPr>
              <w:t xml:space="preserve">Respuesta </w:t>
            </w:r>
            <w:r w:rsidR="007E7192" w:rsidRPr="00A21844">
              <w:rPr>
                <w:rStyle w:val="Hipervnculo"/>
                <w:rFonts w:eastAsia="Calibri"/>
                <w:noProof/>
                <w:color w:val="auto"/>
                <w:lang w:eastAsia="en-US"/>
              </w:rPr>
              <w:t>del Sujeto Obligado</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_Toc172748403 \h </w:instrText>
            </w:r>
            <w:r w:rsidR="007E7192" w:rsidRPr="00A21844">
              <w:rPr>
                <w:noProof/>
                <w:webHidden/>
              </w:rPr>
            </w:r>
            <w:r w:rsidR="007E7192" w:rsidRPr="00A21844">
              <w:rPr>
                <w:noProof/>
                <w:webHidden/>
              </w:rPr>
              <w:fldChar w:fldCharType="separate"/>
            </w:r>
            <w:r w:rsidR="00AF0DA9">
              <w:rPr>
                <w:noProof/>
                <w:webHidden/>
              </w:rPr>
              <w:t>3</w:t>
            </w:r>
            <w:r w:rsidR="007E7192" w:rsidRPr="00A21844">
              <w:rPr>
                <w:noProof/>
                <w:webHidden/>
              </w:rPr>
              <w:fldChar w:fldCharType="end"/>
            </w:r>
          </w:hyperlink>
        </w:p>
        <w:p w14:paraId="47C65949" w14:textId="6000BA47" w:rsidR="007E7192" w:rsidRPr="00A21844" w:rsidRDefault="00EA6819" w:rsidP="00A21844">
          <w:pPr>
            <w:pStyle w:val="TDC2"/>
            <w:ind w:right="-312"/>
            <w:rPr>
              <w:rFonts w:asciiTheme="minorHAnsi" w:eastAsiaTheme="minorEastAsia" w:hAnsiTheme="minorHAnsi" w:cstheme="minorBidi"/>
              <w:noProof/>
              <w:szCs w:val="22"/>
              <w:lang w:eastAsia="es-MX"/>
            </w:rPr>
          </w:pPr>
          <w:hyperlink w:anchor="_Toc172748404" w:history="1">
            <w:r w:rsidR="007E7192" w:rsidRPr="00A21844">
              <w:rPr>
                <w:rStyle w:val="Hipervnculo"/>
                <w:noProof/>
                <w:color w:val="auto"/>
              </w:rPr>
              <w:t>DEL RECURSO DE REVISIÓN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_Toc172748404 \h </w:instrText>
            </w:r>
            <w:r w:rsidR="007E7192" w:rsidRPr="00A21844">
              <w:rPr>
                <w:noProof/>
                <w:webHidden/>
              </w:rPr>
            </w:r>
            <w:r w:rsidR="007E7192" w:rsidRPr="00A21844">
              <w:rPr>
                <w:noProof/>
                <w:webHidden/>
              </w:rPr>
              <w:fldChar w:fldCharType="separate"/>
            </w:r>
            <w:r w:rsidR="00AF0DA9">
              <w:rPr>
                <w:noProof/>
                <w:webHidden/>
              </w:rPr>
              <w:t>4</w:t>
            </w:r>
            <w:r w:rsidR="007E7192" w:rsidRPr="00A21844">
              <w:rPr>
                <w:noProof/>
                <w:webHidden/>
              </w:rPr>
              <w:fldChar w:fldCharType="end"/>
            </w:r>
          </w:hyperlink>
        </w:p>
        <w:p w14:paraId="1F5C19AB" w14:textId="6538E2F9"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05" w:history="1">
            <w:r w:rsidR="007E7192" w:rsidRPr="00A21844">
              <w:rPr>
                <w:rStyle w:val="Hipervnculo"/>
                <w:noProof/>
                <w:color w:val="auto"/>
              </w:rPr>
              <w:t>a) Interposición del Recurso de Revisión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_Toc172748405 \h </w:instrText>
            </w:r>
            <w:r w:rsidR="007E7192" w:rsidRPr="00A21844">
              <w:rPr>
                <w:noProof/>
                <w:webHidden/>
              </w:rPr>
            </w:r>
            <w:r w:rsidR="007E7192" w:rsidRPr="00A21844">
              <w:rPr>
                <w:noProof/>
                <w:webHidden/>
              </w:rPr>
              <w:fldChar w:fldCharType="separate"/>
            </w:r>
            <w:r w:rsidR="00AF0DA9">
              <w:rPr>
                <w:noProof/>
                <w:webHidden/>
              </w:rPr>
              <w:t>4</w:t>
            </w:r>
            <w:r w:rsidR="007E7192" w:rsidRPr="00A21844">
              <w:rPr>
                <w:noProof/>
                <w:webHidden/>
              </w:rPr>
              <w:fldChar w:fldCharType="end"/>
            </w:r>
          </w:hyperlink>
        </w:p>
        <w:p w14:paraId="2B5167ED" w14:textId="243E98C8"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06" w:history="1">
            <w:r w:rsidR="007E7192" w:rsidRPr="00A21844">
              <w:rPr>
                <w:rStyle w:val="Hipervnculo"/>
                <w:noProof/>
                <w:color w:val="auto"/>
              </w:rPr>
              <w:t>b) Turno del Recurso de Revisión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_Toc172748406 \h </w:instrText>
            </w:r>
            <w:r w:rsidR="007E7192" w:rsidRPr="00A21844">
              <w:rPr>
                <w:noProof/>
                <w:webHidden/>
              </w:rPr>
            </w:r>
            <w:r w:rsidR="007E7192" w:rsidRPr="00A21844">
              <w:rPr>
                <w:noProof/>
                <w:webHidden/>
              </w:rPr>
              <w:fldChar w:fldCharType="separate"/>
            </w:r>
            <w:r w:rsidR="00AF0DA9">
              <w:rPr>
                <w:noProof/>
                <w:webHidden/>
              </w:rPr>
              <w:t>6</w:t>
            </w:r>
            <w:r w:rsidR="007E7192" w:rsidRPr="00A21844">
              <w:rPr>
                <w:noProof/>
                <w:webHidden/>
              </w:rPr>
              <w:fldChar w:fldCharType="end"/>
            </w:r>
          </w:hyperlink>
        </w:p>
        <w:p w14:paraId="6D0CA86A" w14:textId="5D4C7288"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07" w:history="1">
            <w:r w:rsidR="007E7192" w:rsidRPr="00A21844">
              <w:rPr>
                <w:rStyle w:val="Hipervnculo"/>
                <w:noProof/>
                <w:color w:val="auto"/>
              </w:rPr>
              <w:t>c) Admisión del Recurso de Revisión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_Toc172748407 \h </w:instrText>
            </w:r>
            <w:r w:rsidR="007E7192" w:rsidRPr="00A21844">
              <w:rPr>
                <w:noProof/>
                <w:webHidden/>
              </w:rPr>
            </w:r>
            <w:r w:rsidR="007E7192" w:rsidRPr="00A21844">
              <w:rPr>
                <w:noProof/>
                <w:webHidden/>
              </w:rPr>
              <w:fldChar w:fldCharType="separate"/>
            </w:r>
            <w:r w:rsidR="00AF0DA9">
              <w:rPr>
                <w:noProof/>
                <w:webHidden/>
              </w:rPr>
              <w:t>6</w:t>
            </w:r>
            <w:r w:rsidR="007E7192" w:rsidRPr="00A21844">
              <w:rPr>
                <w:noProof/>
                <w:webHidden/>
              </w:rPr>
              <w:fldChar w:fldCharType="end"/>
            </w:r>
          </w:hyperlink>
        </w:p>
        <w:p w14:paraId="19A5E8FD" w14:textId="33D28169"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08" w:history="1">
            <w:r w:rsidR="007E7192" w:rsidRPr="00A21844">
              <w:rPr>
                <w:rStyle w:val="Hipervnculo"/>
                <w:noProof/>
                <w:color w:val="auto"/>
              </w:rPr>
              <w:t>d) Informe Justificado del Sujeto Obligado</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_Toc172748408 \h </w:instrText>
            </w:r>
            <w:r w:rsidR="007E7192" w:rsidRPr="00A21844">
              <w:rPr>
                <w:noProof/>
                <w:webHidden/>
              </w:rPr>
            </w:r>
            <w:r w:rsidR="007E7192" w:rsidRPr="00A21844">
              <w:rPr>
                <w:noProof/>
                <w:webHidden/>
              </w:rPr>
              <w:fldChar w:fldCharType="separate"/>
            </w:r>
            <w:r w:rsidR="00AF0DA9">
              <w:rPr>
                <w:noProof/>
                <w:webHidden/>
              </w:rPr>
              <w:t>6</w:t>
            </w:r>
            <w:r w:rsidR="007E7192" w:rsidRPr="00A21844">
              <w:rPr>
                <w:noProof/>
                <w:webHidden/>
              </w:rPr>
              <w:fldChar w:fldCharType="end"/>
            </w:r>
          </w:hyperlink>
        </w:p>
        <w:p w14:paraId="0CE7FCC4" w14:textId="73C0BA78"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09" w:history="1">
            <w:r w:rsidR="007E7192" w:rsidRPr="00A21844">
              <w:rPr>
                <w:rStyle w:val="Hipervnculo"/>
                <w:rFonts w:eastAsia="Calibri"/>
                <w:bCs/>
                <w:noProof/>
                <w:color w:val="auto"/>
                <w:lang w:eastAsia="en-US"/>
              </w:rPr>
              <w:t>e)</w:t>
            </w:r>
            <w:r w:rsidR="007E7192" w:rsidRPr="00A21844">
              <w:rPr>
                <w:rStyle w:val="Hipervnculo"/>
                <w:noProof/>
                <w:color w:val="auto"/>
              </w:rPr>
              <w:t xml:space="preserve"> </w:t>
            </w:r>
            <w:r w:rsidR="007E7192" w:rsidRPr="00A21844">
              <w:rPr>
                <w:rStyle w:val="Hipervnculo"/>
                <w:noProof/>
                <w:color w:val="auto"/>
                <w:lang w:val="es-ES"/>
              </w:rPr>
              <w:t>Manifestaciones de la Parte Recurrente</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_Toc172748409 \h </w:instrText>
            </w:r>
            <w:r w:rsidR="007E7192" w:rsidRPr="00A21844">
              <w:rPr>
                <w:noProof/>
                <w:webHidden/>
              </w:rPr>
            </w:r>
            <w:r w:rsidR="007E7192" w:rsidRPr="00A21844">
              <w:rPr>
                <w:noProof/>
                <w:webHidden/>
              </w:rPr>
              <w:fldChar w:fldCharType="separate"/>
            </w:r>
            <w:r w:rsidR="00AF0DA9">
              <w:rPr>
                <w:noProof/>
                <w:webHidden/>
              </w:rPr>
              <w:t>6</w:t>
            </w:r>
            <w:r w:rsidR="007E7192" w:rsidRPr="00A21844">
              <w:rPr>
                <w:noProof/>
                <w:webHidden/>
              </w:rPr>
              <w:fldChar w:fldCharType="end"/>
            </w:r>
          </w:hyperlink>
        </w:p>
        <w:p w14:paraId="3AD8B04A" w14:textId="1302891E"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10" w:history="1">
            <w:r w:rsidR="007E7192" w:rsidRPr="00A21844">
              <w:rPr>
                <w:rStyle w:val="Hipervnculo"/>
                <w:rFonts w:eastAsia="Calibri"/>
                <w:noProof/>
                <w:color w:val="auto"/>
              </w:rPr>
              <w:t>f) Ampliación de plazo para resolver el Recurso de Revisión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_Toc172748410 \h </w:instrText>
            </w:r>
            <w:r w:rsidR="007E7192" w:rsidRPr="00A21844">
              <w:rPr>
                <w:noProof/>
                <w:webHidden/>
              </w:rPr>
            </w:r>
            <w:r w:rsidR="007E7192" w:rsidRPr="00A21844">
              <w:rPr>
                <w:noProof/>
                <w:webHidden/>
              </w:rPr>
              <w:fldChar w:fldCharType="separate"/>
            </w:r>
            <w:r w:rsidR="00AF0DA9">
              <w:rPr>
                <w:b/>
                <w:bCs/>
                <w:noProof/>
                <w:webHidden/>
                <w:lang w:val="es-ES"/>
              </w:rPr>
              <w:t>¡Error! Marcador no definido.</w:t>
            </w:r>
            <w:r w:rsidR="007E7192" w:rsidRPr="00A21844">
              <w:rPr>
                <w:noProof/>
                <w:webHidden/>
              </w:rPr>
              <w:fldChar w:fldCharType="end"/>
            </w:r>
          </w:hyperlink>
        </w:p>
        <w:p w14:paraId="25EFCC7E" w14:textId="6E350DE9"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11" w:history="1">
            <w:r w:rsidR="007E7192" w:rsidRPr="00A21844">
              <w:rPr>
                <w:rStyle w:val="Hipervnculo"/>
                <w:noProof/>
                <w:color w:val="auto"/>
              </w:rPr>
              <w:t>g) Cierre de instrucción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_Toc172748411 \h </w:instrText>
            </w:r>
            <w:r w:rsidR="007E7192" w:rsidRPr="00A21844">
              <w:rPr>
                <w:noProof/>
                <w:webHidden/>
              </w:rPr>
            </w:r>
            <w:r w:rsidR="007E7192" w:rsidRPr="00A21844">
              <w:rPr>
                <w:noProof/>
                <w:webHidden/>
              </w:rPr>
              <w:fldChar w:fldCharType="separate"/>
            </w:r>
            <w:r w:rsidR="00AF0DA9">
              <w:rPr>
                <w:noProof/>
                <w:webHidden/>
              </w:rPr>
              <w:t>6</w:t>
            </w:r>
            <w:r w:rsidR="007E7192" w:rsidRPr="00A21844">
              <w:rPr>
                <w:noProof/>
                <w:webHidden/>
              </w:rPr>
              <w:fldChar w:fldCharType="end"/>
            </w:r>
          </w:hyperlink>
        </w:p>
        <w:p w14:paraId="7B84CDCB" w14:textId="3669278C" w:rsidR="007E7192" w:rsidRPr="00A21844" w:rsidRDefault="00EA6819" w:rsidP="00A21844">
          <w:pPr>
            <w:pStyle w:val="TDC1"/>
            <w:tabs>
              <w:tab w:val="right" w:leader="dot" w:pos="9034"/>
            </w:tabs>
            <w:ind w:right="-312"/>
            <w:rPr>
              <w:rFonts w:asciiTheme="minorHAnsi" w:eastAsiaTheme="minorEastAsia" w:hAnsiTheme="minorHAnsi" w:cstheme="minorBidi"/>
              <w:noProof/>
              <w:szCs w:val="22"/>
              <w:lang w:eastAsia="es-MX"/>
            </w:rPr>
          </w:pPr>
          <w:hyperlink w:anchor="_Toc172748412" w:history="1">
            <w:r w:rsidR="007E7192" w:rsidRPr="00A21844">
              <w:rPr>
                <w:rStyle w:val="Hipervnculo"/>
                <w:rFonts w:eastAsiaTheme="minorHAnsi"/>
                <w:noProof/>
                <w:color w:val="auto"/>
                <w:lang w:eastAsia="en-US"/>
              </w:rPr>
              <w:t>CONSIDERANDOS</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_Toc172748412 \h </w:instrText>
            </w:r>
            <w:r w:rsidR="007E7192" w:rsidRPr="00A21844">
              <w:rPr>
                <w:noProof/>
                <w:webHidden/>
              </w:rPr>
            </w:r>
            <w:r w:rsidR="007E7192" w:rsidRPr="00A21844">
              <w:rPr>
                <w:noProof/>
                <w:webHidden/>
              </w:rPr>
              <w:fldChar w:fldCharType="separate"/>
            </w:r>
            <w:r w:rsidR="00AF0DA9">
              <w:rPr>
                <w:noProof/>
                <w:webHidden/>
              </w:rPr>
              <w:t>7</w:t>
            </w:r>
            <w:r w:rsidR="007E7192" w:rsidRPr="00A21844">
              <w:rPr>
                <w:noProof/>
                <w:webHidden/>
              </w:rPr>
              <w:fldChar w:fldCharType="end"/>
            </w:r>
          </w:hyperlink>
        </w:p>
        <w:p w14:paraId="30D7E4A6" w14:textId="15A30511" w:rsidR="007E7192" w:rsidRPr="00A21844" w:rsidRDefault="00EA6819" w:rsidP="00A21844">
          <w:pPr>
            <w:pStyle w:val="TDC2"/>
            <w:ind w:right="-312"/>
            <w:rPr>
              <w:rFonts w:asciiTheme="minorHAnsi" w:eastAsiaTheme="minorEastAsia" w:hAnsiTheme="minorHAnsi" w:cstheme="minorBidi"/>
              <w:noProof/>
              <w:szCs w:val="22"/>
              <w:lang w:eastAsia="es-MX"/>
            </w:rPr>
          </w:pPr>
          <w:hyperlink w:anchor="_Toc172748413" w:history="1">
            <w:r w:rsidR="007E7192" w:rsidRPr="00A21844">
              <w:rPr>
                <w:rStyle w:val="Hipervnculo"/>
                <w:rFonts w:eastAsia="Batang"/>
                <w:noProof/>
                <w:color w:val="auto"/>
              </w:rPr>
              <w:t>PRIMERO. Procedibilidad</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_Toc172748413 \h </w:instrText>
            </w:r>
            <w:r w:rsidR="007E7192" w:rsidRPr="00A21844">
              <w:rPr>
                <w:noProof/>
                <w:webHidden/>
              </w:rPr>
            </w:r>
            <w:r w:rsidR="007E7192" w:rsidRPr="00A21844">
              <w:rPr>
                <w:noProof/>
                <w:webHidden/>
              </w:rPr>
              <w:fldChar w:fldCharType="separate"/>
            </w:r>
            <w:r w:rsidR="00AF0DA9">
              <w:rPr>
                <w:noProof/>
                <w:webHidden/>
              </w:rPr>
              <w:t>7</w:t>
            </w:r>
            <w:r w:rsidR="007E7192" w:rsidRPr="00A21844">
              <w:rPr>
                <w:noProof/>
                <w:webHidden/>
              </w:rPr>
              <w:fldChar w:fldCharType="end"/>
            </w:r>
          </w:hyperlink>
        </w:p>
        <w:p w14:paraId="656B908A" w14:textId="70CBE396"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14" w:history="1">
            <w:r w:rsidR="007E7192" w:rsidRPr="00A21844">
              <w:rPr>
                <w:rStyle w:val="Hipervnculo"/>
                <w:noProof/>
                <w:color w:val="auto"/>
              </w:rPr>
              <w:t>a) Competencia del Instituto</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_Toc172748414 \h </w:instrText>
            </w:r>
            <w:r w:rsidR="007E7192" w:rsidRPr="00A21844">
              <w:rPr>
                <w:noProof/>
                <w:webHidden/>
              </w:rPr>
            </w:r>
            <w:r w:rsidR="007E7192" w:rsidRPr="00A21844">
              <w:rPr>
                <w:noProof/>
                <w:webHidden/>
              </w:rPr>
              <w:fldChar w:fldCharType="separate"/>
            </w:r>
            <w:r w:rsidR="00AF0DA9">
              <w:rPr>
                <w:noProof/>
                <w:webHidden/>
              </w:rPr>
              <w:t>7</w:t>
            </w:r>
            <w:r w:rsidR="007E7192" w:rsidRPr="00A21844">
              <w:rPr>
                <w:noProof/>
                <w:webHidden/>
              </w:rPr>
              <w:fldChar w:fldCharType="end"/>
            </w:r>
          </w:hyperlink>
        </w:p>
        <w:p w14:paraId="6A94EEF9" w14:textId="67961802"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15" w:history="1">
            <w:r w:rsidR="007E7192" w:rsidRPr="00A21844">
              <w:rPr>
                <w:rStyle w:val="Hipervnculo"/>
                <w:noProof/>
                <w:color w:val="auto"/>
              </w:rPr>
              <w:t>b) Legitimidad de la parte recurrente</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_Toc172748415 \h </w:instrText>
            </w:r>
            <w:r w:rsidR="007E7192" w:rsidRPr="00A21844">
              <w:rPr>
                <w:noProof/>
                <w:webHidden/>
              </w:rPr>
            </w:r>
            <w:r w:rsidR="007E7192" w:rsidRPr="00A21844">
              <w:rPr>
                <w:noProof/>
                <w:webHidden/>
              </w:rPr>
              <w:fldChar w:fldCharType="separate"/>
            </w:r>
            <w:r w:rsidR="00AF0DA9">
              <w:rPr>
                <w:noProof/>
                <w:webHidden/>
              </w:rPr>
              <w:t>7</w:t>
            </w:r>
            <w:r w:rsidR="007E7192" w:rsidRPr="00A21844">
              <w:rPr>
                <w:noProof/>
                <w:webHidden/>
              </w:rPr>
              <w:fldChar w:fldCharType="end"/>
            </w:r>
          </w:hyperlink>
        </w:p>
        <w:p w14:paraId="6EA0B56C" w14:textId="682A3373"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16" w:history="1">
            <w:r w:rsidR="007E7192" w:rsidRPr="00A21844">
              <w:rPr>
                <w:rStyle w:val="Hipervnculo"/>
                <w:rFonts w:eastAsia="Calibri"/>
                <w:noProof/>
                <w:color w:val="auto"/>
                <w:lang w:eastAsia="es-ES_tradnl"/>
              </w:rPr>
              <w:t>c) Plazo para interponer el recurso</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_Toc172748416 \h </w:instrText>
            </w:r>
            <w:r w:rsidR="007E7192" w:rsidRPr="00A21844">
              <w:rPr>
                <w:noProof/>
                <w:webHidden/>
              </w:rPr>
            </w:r>
            <w:r w:rsidR="007E7192" w:rsidRPr="00A21844">
              <w:rPr>
                <w:noProof/>
                <w:webHidden/>
              </w:rPr>
              <w:fldChar w:fldCharType="separate"/>
            </w:r>
            <w:r w:rsidR="00AF0DA9">
              <w:rPr>
                <w:noProof/>
                <w:webHidden/>
              </w:rPr>
              <w:t>8</w:t>
            </w:r>
            <w:r w:rsidR="007E7192" w:rsidRPr="00A21844">
              <w:rPr>
                <w:noProof/>
                <w:webHidden/>
              </w:rPr>
              <w:fldChar w:fldCharType="end"/>
            </w:r>
          </w:hyperlink>
        </w:p>
        <w:p w14:paraId="265CF0D0" w14:textId="06041F68"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17" w:history="1">
            <w:r w:rsidR="007E7192" w:rsidRPr="00A21844">
              <w:rPr>
                <w:rStyle w:val="Hipervnculo"/>
                <w:rFonts w:eastAsia="Calibri"/>
                <w:noProof/>
                <w:color w:val="auto"/>
                <w:lang w:eastAsia="es-ES_tradnl"/>
              </w:rPr>
              <w:t>d) Causal de procedencia</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_Toc172748417 \h </w:instrText>
            </w:r>
            <w:r w:rsidR="007E7192" w:rsidRPr="00A21844">
              <w:rPr>
                <w:noProof/>
                <w:webHidden/>
              </w:rPr>
            </w:r>
            <w:r w:rsidR="007E7192" w:rsidRPr="00A21844">
              <w:rPr>
                <w:noProof/>
                <w:webHidden/>
              </w:rPr>
              <w:fldChar w:fldCharType="separate"/>
            </w:r>
            <w:r w:rsidR="00AF0DA9">
              <w:rPr>
                <w:noProof/>
                <w:webHidden/>
              </w:rPr>
              <w:t>8</w:t>
            </w:r>
            <w:r w:rsidR="007E7192" w:rsidRPr="00A21844">
              <w:rPr>
                <w:noProof/>
                <w:webHidden/>
              </w:rPr>
              <w:fldChar w:fldCharType="end"/>
            </w:r>
          </w:hyperlink>
        </w:p>
        <w:p w14:paraId="568F29B6" w14:textId="63DCF4A4"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18" w:history="1">
            <w:r w:rsidR="007E7192" w:rsidRPr="00A21844">
              <w:rPr>
                <w:rStyle w:val="Hipervnculo"/>
                <w:noProof/>
                <w:color w:val="auto"/>
              </w:rPr>
              <w:t>e) Requisitos formales para la interposición del recurso</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_Toc172748418 \h </w:instrText>
            </w:r>
            <w:r w:rsidR="007E7192" w:rsidRPr="00A21844">
              <w:rPr>
                <w:noProof/>
                <w:webHidden/>
              </w:rPr>
            </w:r>
            <w:r w:rsidR="007E7192" w:rsidRPr="00A21844">
              <w:rPr>
                <w:noProof/>
                <w:webHidden/>
              </w:rPr>
              <w:fldChar w:fldCharType="separate"/>
            </w:r>
            <w:r w:rsidR="00AF0DA9">
              <w:rPr>
                <w:noProof/>
                <w:webHidden/>
              </w:rPr>
              <w:t>8</w:t>
            </w:r>
            <w:r w:rsidR="007E7192" w:rsidRPr="00A21844">
              <w:rPr>
                <w:noProof/>
                <w:webHidden/>
              </w:rPr>
              <w:fldChar w:fldCharType="end"/>
            </w:r>
          </w:hyperlink>
        </w:p>
        <w:p w14:paraId="4D401644" w14:textId="1C7560F0" w:rsidR="007E7192" w:rsidRPr="00A21844" w:rsidRDefault="00EA6819" w:rsidP="00A21844">
          <w:pPr>
            <w:pStyle w:val="TDC2"/>
            <w:ind w:right="-312"/>
            <w:rPr>
              <w:rFonts w:asciiTheme="minorHAnsi" w:eastAsiaTheme="minorEastAsia" w:hAnsiTheme="minorHAnsi" w:cstheme="minorBidi"/>
              <w:noProof/>
              <w:szCs w:val="22"/>
              <w:lang w:eastAsia="es-MX"/>
            </w:rPr>
          </w:pPr>
          <w:hyperlink w:anchor="_Toc172748419" w:history="1">
            <w:r w:rsidR="007E7192" w:rsidRPr="00A21844">
              <w:rPr>
                <w:rStyle w:val="Hipervnculo"/>
                <w:noProof/>
                <w:color w:val="auto"/>
              </w:rPr>
              <w:t>SEGUNDO. Estudio de Fondo</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_Toc172748419 \h </w:instrText>
            </w:r>
            <w:r w:rsidR="007E7192" w:rsidRPr="00A21844">
              <w:rPr>
                <w:noProof/>
                <w:webHidden/>
              </w:rPr>
            </w:r>
            <w:r w:rsidR="007E7192" w:rsidRPr="00A21844">
              <w:rPr>
                <w:noProof/>
                <w:webHidden/>
              </w:rPr>
              <w:fldChar w:fldCharType="separate"/>
            </w:r>
            <w:r w:rsidR="00AF0DA9">
              <w:rPr>
                <w:noProof/>
                <w:webHidden/>
              </w:rPr>
              <w:t>9</w:t>
            </w:r>
            <w:r w:rsidR="007E7192" w:rsidRPr="00A21844">
              <w:rPr>
                <w:noProof/>
                <w:webHidden/>
              </w:rPr>
              <w:fldChar w:fldCharType="end"/>
            </w:r>
          </w:hyperlink>
        </w:p>
        <w:p w14:paraId="2EA2FECE" w14:textId="62C99D33"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20" w:history="1">
            <w:r w:rsidR="007E7192" w:rsidRPr="00A21844">
              <w:rPr>
                <w:rStyle w:val="Hipervnculo"/>
                <w:noProof/>
                <w:color w:val="auto"/>
              </w:rPr>
              <w:t>a) Mandato de transparencia y responsabilidad del Sujeto Obligado</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_Toc172748420 \h </w:instrText>
            </w:r>
            <w:r w:rsidR="007E7192" w:rsidRPr="00A21844">
              <w:rPr>
                <w:noProof/>
                <w:webHidden/>
              </w:rPr>
            </w:r>
            <w:r w:rsidR="007E7192" w:rsidRPr="00A21844">
              <w:rPr>
                <w:noProof/>
                <w:webHidden/>
              </w:rPr>
              <w:fldChar w:fldCharType="separate"/>
            </w:r>
            <w:r w:rsidR="00AF0DA9">
              <w:rPr>
                <w:noProof/>
                <w:webHidden/>
              </w:rPr>
              <w:t>9</w:t>
            </w:r>
            <w:r w:rsidR="007E7192" w:rsidRPr="00A21844">
              <w:rPr>
                <w:noProof/>
                <w:webHidden/>
              </w:rPr>
              <w:fldChar w:fldCharType="end"/>
            </w:r>
          </w:hyperlink>
        </w:p>
        <w:p w14:paraId="3E15DEFB" w14:textId="6CD8458B"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21" w:history="1">
            <w:r w:rsidR="007E7192" w:rsidRPr="00A21844">
              <w:rPr>
                <w:rStyle w:val="Hipervnculo"/>
                <w:rFonts w:eastAsia="Calibri"/>
                <w:noProof/>
                <w:color w:val="auto"/>
                <w:lang w:eastAsia="es-ES_tradnl"/>
              </w:rPr>
              <w:t>b) Controversia a resolver</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_Toc172748421 \h </w:instrText>
            </w:r>
            <w:r w:rsidR="007E7192" w:rsidRPr="00A21844">
              <w:rPr>
                <w:noProof/>
                <w:webHidden/>
              </w:rPr>
            </w:r>
            <w:r w:rsidR="007E7192" w:rsidRPr="00A21844">
              <w:rPr>
                <w:noProof/>
                <w:webHidden/>
              </w:rPr>
              <w:fldChar w:fldCharType="separate"/>
            </w:r>
            <w:r w:rsidR="00AF0DA9">
              <w:rPr>
                <w:noProof/>
                <w:webHidden/>
              </w:rPr>
              <w:t>11</w:t>
            </w:r>
            <w:r w:rsidR="007E7192" w:rsidRPr="00A21844">
              <w:rPr>
                <w:noProof/>
                <w:webHidden/>
              </w:rPr>
              <w:fldChar w:fldCharType="end"/>
            </w:r>
          </w:hyperlink>
        </w:p>
        <w:p w14:paraId="68181B39" w14:textId="4D9E6C2B"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22" w:history="1">
            <w:r w:rsidR="007E7192" w:rsidRPr="00A21844">
              <w:rPr>
                <w:rStyle w:val="Hipervnculo"/>
                <w:noProof/>
                <w:color w:val="auto"/>
              </w:rPr>
              <w:t>c) Estudio de la controversia</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_Toc172748422 \h </w:instrText>
            </w:r>
            <w:r w:rsidR="007E7192" w:rsidRPr="00A21844">
              <w:rPr>
                <w:noProof/>
                <w:webHidden/>
              </w:rPr>
            </w:r>
            <w:r w:rsidR="007E7192" w:rsidRPr="00A21844">
              <w:rPr>
                <w:noProof/>
                <w:webHidden/>
              </w:rPr>
              <w:fldChar w:fldCharType="separate"/>
            </w:r>
            <w:r w:rsidR="00AF0DA9">
              <w:rPr>
                <w:noProof/>
                <w:webHidden/>
              </w:rPr>
              <w:t>12</w:t>
            </w:r>
            <w:r w:rsidR="007E7192" w:rsidRPr="00A21844">
              <w:rPr>
                <w:noProof/>
                <w:webHidden/>
              </w:rPr>
              <w:fldChar w:fldCharType="end"/>
            </w:r>
          </w:hyperlink>
        </w:p>
        <w:p w14:paraId="7FD943F4" w14:textId="656EAD8D" w:rsidR="007E7192" w:rsidRPr="00A21844" w:rsidRDefault="00EA6819" w:rsidP="00A21844">
          <w:pPr>
            <w:pStyle w:val="TDC3"/>
            <w:ind w:right="-312"/>
            <w:rPr>
              <w:rFonts w:asciiTheme="minorHAnsi" w:eastAsiaTheme="minorEastAsia" w:hAnsiTheme="minorHAnsi" w:cstheme="minorBidi"/>
              <w:noProof/>
              <w:szCs w:val="22"/>
              <w:lang w:eastAsia="es-MX"/>
            </w:rPr>
          </w:pPr>
          <w:hyperlink w:anchor="_Toc172748423" w:history="1">
            <w:r w:rsidR="007E7192" w:rsidRPr="00A21844">
              <w:rPr>
                <w:rStyle w:val="Hipervnculo"/>
                <w:rFonts w:eastAsia="Calibri"/>
                <w:noProof/>
                <w:color w:val="auto"/>
              </w:rPr>
              <w:t xml:space="preserve">d) </w:t>
            </w:r>
            <w:r w:rsidR="007E7192" w:rsidRPr="00A21844">
              <w:rPr>
                <w:rStyle w:val="Hipervnculo"/>
                <w:noProof/>
                <w:color w:val="auto"/>
              </w:rPr>
              <w:t>Conclusión</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_Toc172748423 \h </w:instrText>
            </w:r>
            <w:r w:rsidR="007E7192" w:rsidRPr="00A21844">
              <w:rPr>
                <w:noProof/>
                <w:webHidden/>
              </w:rPr>
            </w:r>
            <w:r w:rsidR="007E7192" w:rsidRPr="00A21844">
              <w:rPr>
                <w:noProof/>
                <w:webHidden/>
              </w:rPr>
              <w:fldChar w:fldCharType="separate"/>
            </w:r>
            <w:r w:rsidR="00AF0DA9">
              <w:rPr>
                <w:b/>
                <w:bCs/>
                <w:noProof/>
                <w:webHidden/>
                <w:lang w:val="es-ES"/>
              </w:rPr>
              <w:t>¡Error! Marcador no definido.</w:t>
            </w:r>
            <w:r w:rsidR="007E7192" w:rsidRPr="00A21844">
              <w:rPr>
                <w:noProof/>
                <w:webHidden/>
              </w:rPr>
              <w:fldChar w:fldCharType="end"/>
            </w:r>
          </w:hyperlink>
        </w:p>
        <w:p w14:paraId="4D10D735" w14:textId="03186F54" w:rsidR="007E7192" w:rsidRPr="00A21844" w:rsidRDefault="00EA6819" w:rsidP="00A21844">
          <w:pPr>
            <w:pStyle w:val="TDC1"/>
            <w:tabs>
              <w:tab w:val="right" w:leader="dot" w:pos="9034"/>
            </w:tabs>
            <w:ind w:right="-312"/>
            <w:rPr>
              <w:rFonts w:asciiTheme="minorHAnsi" w:eastAsiaTheme="minorEastAsia" w:hAnsiTheme="minorHAnsi" w:cstheme="minorBidi"/>
              <w:noProof/>
              <w:szCs w:val="22"/>
              <w:lang w:eastAsia="es-MX"/>
            </w:rPr>
          </w:pPr>
          <w:hyperlink w:anchor="_Toc172748424" w:history="1">
            <w:r w:rsidR="007E7192" w:rsidRPr="00A21844">
              <w:rPr>
                <w:rStyle w:val="Hipervnculo"/>
                <w:noProof/>
                <w:color w:val="auto"/>
              </w:rPr>
              <w:t>RESUELVE</w:t>
            </w:r>
            <w:r w:rsidR="007E7192" w:rsidRPr="00A21844">
              <w:rPr>
                <w:noProof/>
                <w:webHidden/>
              </w:rPr>
              <w:tab/>
            </w:r>
            <w:r w:rsidR="007E7192" w:rsidRPr="00A21844">
              <w:rPr>
                <w:noProof/>
                <w:webHidden/>
              </w:rPr>
              <w:fldChar w:fldCharType="begin"/>
            </w:r>
            <w:r w:rsidR="007E7192" w:rsidRPr="00A21844">
              <w:rPr>
                <w:noProof/>
                <w:webHidden/>
              </w:rPr>
              <w:instrText xml:space="preserve"> PAGEREF _Toc172748424 \h </w:instrText>
            </w:r>
            <w:r w:rsidR="007E7192" w:rsidRPr="00A21844">
              <w:rPr>
                <w:noProof/>
                <w:webHidden/>
              </w:rPr>
            </w:r>
            <w:r w:rsidR="007E7192" w:rsidRPr="00A21844">
              <w:rPr>
                <w:noProof/>
                <w:webHidden/>
              </w:rPr>
              <w:fldChar w:fldCharType="separate"/>
            </w:r>
            <w:r w:rsidR="00AF0DA9">
              <w:rPr>
                <w:b/>
                <w:bCs/>
                <w:noProof/>
                <w:webHidden/>
                <w:lang w:val="es-ES"/>
              </w:rPr>
              <w:t>¡Error! Marcador no definido.</w:t>
            </w:r>
            <w:r w:rsidR="007E7192" w:rsidRPr="00A21844">
              <w:rPr>
                <w:noProof/>
                <w:webHidden/>
              </w:rPr>
              <w:fldChar w:fldCharType="end"/>
            </w:r>
          </w:hyperlink>
        </w:p>
        <w:p w14:paraId="0C82FD7A" w14:textId="1A1CF7EE" w:rsidR="009B2945" w:rsidRPr="00A21844" w:rsidRDefault="00AE3DA7" w:rsidP="00A21844">
          <w:pPr>
            <w:pStyle w:val="TDC1"/>
            <w:tabs>
              <w:tab w:val="right" w:leader="dot" w:pos="9034"/>
            </w:tabs>
            <w:ind w:right="-312"/>
            <w:rPr>
              <w:b/>
              <w:bCs/>
              <w:lang w:val="es-ES"/>
            </w:rPr>
          </w:pPr>
          <w:r w:rsidRPr="00A21844">
            <w:rPr>
              <w:b/>
              <w:bCs/>
              <w:sz w:val="16"/>
              <w:szCs w:val="16"/>
              <w:lang w:val="es-ES"/>
            </w:rPr>
            <w:lastRenderedPageBreak/>
            <w:fldChar w:fldCharType="end"/>
          </w:r>
        </w:p>
      </w:sdtContent>
    </w:sdt>
    <w:p w14:paraId="603A07E2" w14:textId="77777777" w:rsidR="00646436" w:rsidRPr="00A21844" w:rsidRDefault="00646436" w:rsidP="00A21844">
      <w:pPr>
        <w:ind w:right="-312"/>
        <w:rPr>
          <w:rFonts w:cs="Tahoma"/>
          <w:szCs w:val="22"/>
        </w:rPr>
        <w:sectPr w:rsidR="00646436" w:rsidRPr="00A2184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7B6FB0A" w:rsidR="00775BFC" w:rsidRPr="00A21844" w:rsidRDefault="00775BFC" w:rsidP="00A21844">
      <w:pPr>
        <w:ind w:right="-312"/>
        <w:rPr>
          <w:b/>
          <w:szCs w:val="22"/>
        </w:rPr>
      </w:pPr>
      <w:r w:rsidRPr="00A21844">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FC2809" w:rsidRPr="00A21844">
        <w:rPr>
          <w:b/>
          <w:szCs w:val="22"/>
        </w:rPr>
        <w:t>once</w:t>
      </w:r>
      <w:r w:rsidR="00375C6B" w:rsidRPr="00A21844">
        <w:rPr>
          <w:b/>
          <w:szCs w:val="22"/>
        </w:rPr>
        <w:t xml:space="preserve"> de septiembre</w:t>
      </w:r>
      <w:r w:rsidR="00ED7170" w:rsidRPr="00A21844">
        <w:rPr>
          <w:b/>
          <w:szCs w:val="22"/>
        </w:rPr>
        <w:t xml:space="preserve"> de dos mil veinticuatro.</w:t>
      </w:r>
    </w:p>
    <w:p w14:paraId="0AF3AAC4" w14:textId="77777777" w:rsidR="00775BFC" w:rsidRPr="00A21844" w:rsidRDefault="00775BFC" w:rsidP="00A21844">
      <w:pPr>
        <w:ind w:right="-312"/>
        <w:rPr>
          <w:szCs w:val="22"/>
        </w:rPr>
      </w:pPr>
    </w:p>
    <w:p w14:paraId="40EAE038" w14:textId="58266744" w:rsidR="00775BFC" w:rsidRPr="00A21844" w:rsidRDefault="00775BFC" w:rsidP="00A21844">
      <w:pPr>
        <w:ind w:right="-312"/>
        <w:rPr>
          <w:szCs w:val="22"/>
        </w:rPr>
      </w:pPr>
      <w:r w:rsidRPr="00A21844">
        <w:rPr>
          <w:b/>
          <w:szCs w:val="22"/>
        </w:rPr>
        <w:t xml:space="preserve">VISTO </w:t>
      </w:r>
      <w:r w:rsidRPr="00A21844">
        <w:rPr>
          <w:szCs w:val="22"/>
        </w:rPr>
        <w:t xml:space="preserve">el expediente formado con motivo del Recurso de Revisión </w:t>
      </w:r>
      <w:r w:rsidR="00996DC5" w:rsidRPr="00A21844">
        <w:rPr>
          <w:rFonts w:eastAsia="Calibri"/>
          <w:b/>
          <w:szCs w:val="22"/>
          <w:lang w:eastAsia="en-US"/>
        </w:rPr>
        <w:t>04617/INFOEM/IP/RR/2024</w:t>
      </w:r>
      <w:r w:rsidRPr="00A21844">
        <w:rPr>
          <w:rFonts w:eastAsia="Calibri"/>
          <w:szCs w:val="22"/>
          <w:lang w:eastAsia="en-US"/>
        </w:rPr>
        <w:t xml:space="preserve"> </w:t>
      </w:r>
      <w:r w:rsidRPr="00A21844">
        <w:rPr>
          <w:szCs w:val="22"/>
        </w:rPr>
        <w:t xml:space="preserve">interpuesto por </w:t>
      </w:r>
      <w:bookmarkStart w:id="2" w:name="_GoBack"/>
      <w:r w:rsidR="002F2285">
        <w:rPr>
          <w:b/>
          <w:bCs/>
          <w:szCs w:val="22"/>
        </w:rPr>
        <w:t>XXXXX XXXXXXXX XXXXXX XXXXXXX</w:t>
      </w:r>
      <w:bookmarkEnd w:id="2"/>
      <w:r w:rsidRPr="00A21844">
        <w:rPr>
          <w:szCs w:val="22"/>
        </w:rPr>
        <w:t xml:space="preserve">, a quien en lo subsecuente se le denominará </w:t>
      </w:r>
      <w:r w:rsidRPr="00A21844">
        <w:rPr>
          <w:b/>
          <w:bCs/>
          <w:szCs w:val="22"/>
        </w:rPr>
        <w:t>LA PARTE RECURRENTE</w:t>
      </w:r>
      <w:r w:rsidRPr="00A21844">
        <w:rPr>
          <w:szCs w:val="22"/>
        </w:rPr>
        <w:t>, en contra de la respuesta emitida por</w:t>
      </w:r>
      <w:r w:rsidR="00A0449B" w:rsidRPr="00A21844">
        <w:rPr>
          <w:szCs w:val="22"/>
        </w:rPr>
        <w:t xml:space="preserve"> </w:t>
      </w:r>
      <w:r w:rsidR="00FC2809" w:rsidRPr="00A21844">
        <w:rPr>
          <w:szCs w:val="22"/>
        </w:rPr>
        <w:t>el</w:t>
      </w:r>
      <w:r w:rsidR="000748DF" w:rsidRPr="00A21844">
        <w:rPr>
          <w:szCs w:val="22"/>
        </w:rPr>
        <w:t xml:space="preserve"> </w:t>
      </w:r>
      <w:r w:rsidR="00996DC5" w:rsidRPr="00A21844">
        <w:rPr>
          <w:b/>
          <w:bCs/>
          <w:szCs w:val="22"/>
        </w:rPr>
        <w:t>Ayuntamiento de Cuautitlán</w:t>
      </w:r>
      <w:r w:rsidRPr="00A21844">
        <w:rPr>
          <w:szCs w:val="22"/>
        </w:rPr>
        <w:t xml:space="preserve">, en adelante </w:t>
      </w:r>
      <w:r w:rsidRPr="00A21844">
        <w:rPr>
          <w:b/>
          <w:bCs/>
          <w:szCs w:val="22"/>
        </w:rPr>
        <w:t>EL SUJETO OBLIGADO</w:t>
      </w:r>
      <w:r w:rsidRPr="00A21844">
        <w:rPr>
          <w:rFonts w:eastAsia="Calibri"/>
          <w:szCs w:val="22"/>
          <w:lang w:eastAsia="en-US"/>
        </w:rPr>
        <w:t xml:space="preserve">, </w:t>
      </w:r>
      <w:r w:rsidRPr="00A21844">
        <w:rPr>
          <w:szCs w:val="22"/>
        </w:rPr>
        <w:t>se emite la presente Resolución con base en los Antecedentes y Considerandos que se exponen a continuación:</w:t>
      </w:r>
    </w:p>
    <w:p w14:paraId="2116968C" w14:textId="77777777" w:rsidR="00775BFC" w:rsidRPr="00A21844" w:rsidRDefault="00775BFC" w:rsidP="00A21844">
      <w:pPr>
        <w:ind w:right="-312"/>
        <w:rPr>
          <w:szCs w:val="22"/>
        </w:rPr>
      </w:pPr>
    </w:p>
    <w:p w14:paraId="5A444FB6" w14:textId="639D3567" w:rsidR="00664420" w:rsidRPr="00A21844" w:rsidRDefault="00664420" w:rsidP="00A21844">
      <w:pPr>
        <w:pStyle w:val="Ttulo1"/>
        <w:ind w:right="-312"/>
        <w:rPr>
          <w:szCs w:val="22"/>
        </w:rPr>
      </w:pPr>
      <w:bookmarkStart w:id="3" w:name="_Toc172748400"/>
      <w:r w:rsidRPr="00A21844">
        <w:rPr>
          <w:szCs w:val="22"/>
        </w:rPr>
        <w:t>ANTECEDENTES</w:t>
      </w:r>
      <w:bookmarkEnd w:id="3"/>
    </w:p>
    <w:p w14:paraId="7CE9E53D" w14:textId="77777777" w:rsidR="00E37A3F" w:rsidRPr="00A21844" w:rsidRDefault="00E37A3F" w:rsidP="00A21844">
      <w:pPr>
        <w:ind w:right="-312"/>
        <w:rPr>
          <w:szCs w:val="22"/>
        </w:rPr>
      </w:pPr>
    </w:p>
    <w:p w14:paraId="09B2D38F" w14:textId="6E49D146" w:rsidR="00664420" w:rsidRPr="00A21844" w:rsidRDefault="00E37A3F" w:rsidP="00A21844">
      <w:pPr>
        <w:pStyle w:val="Ttulo2"/>
        <w:ind w:right="-312"/>
        <w:rPr>
          <w:szCs w:val="22"/>
        </w:rPr>
      </w:pPr>
      <w:bookmarkStart w:id="4" w:name="_Toc172748401"/>
      <w:r w:rsidRPr="00A21844">
        <w:rPr>
          <w:szCs w:val="22"/>
        </w:rPr>
        <w:t>DE LA SOLICITUD DE INFORMACIÓN</w:t>
      </w:r>
      <w:bookmarkEnd w:id="4"/>
    </w:p>
    <w:p w14:paraId="7B7535DF" w14:textId="77777777" w:rsidR="00E37A3F" w:rsidRPr="00A21844" w:rsidRDefault="00E37A3F" w:rsidP="00A21844">
      <w:pPr>
        <w:ind w:right="-312"/>
        <w:rPr>
          <w:szCs w:val="22"/>
        </w:rPr>
      </w:pPr>
    </w:p>
    <w:p w14:paraId="2C6AD1A5" w14:textId="0405B3CD" w:rsidR="00664420" w:rsidRPr="00A21844" w:rsidRDefault="00E37A3F" w:rsidP="00A21844">
      <w:pPr>
        <w:pStyle w:val="Ttulo3"/>
        <w:ind w:right="-312"/>
        <w:rPr>
          <w:szCs w:val="22"/>
        </w:rPr>
      </w:pPr>
      <w:bookmarkStart w:id="5" w:name="_Toc172748402"/>
      <w:r w:rsidRPr="00A21844">
        <w:rPr>
          <w:szCs w:val="22"/>
        </w:rPr>
        <w:t xml:space="preserve">a) </w:t>
      </w:r>
      <w:r w:rsidR="006B10B0" w:rsidRPr="00A21844">
        <w:rPr>
          <w:szCs w:val="22"/>
        </w:rPr>
        <w:t>S</w:t>
      </w:r>
      <w:r w:rsidR="00664420" w:rsidRPr="00A21844">
        <w:rPr>
          <w:szCs w:val="22"/>
        </w:rPr>
        <w:t xml:space="preserve">olicitud de </w:t>
      </w:r>
      <w:r w:rsidR="006B10B0" w:rsidRPr="00A21844">
        <w:rPr>
          <w:szCs w:val="22"/>
        </w:rPr>
        <w:t>i</w:t>
      </w:r>
      <w:r w:rsidR="00664420" w:rsidRPr="00A21844">
        <w:rPr>
          <w:szCs w:val="22"/>
        </w:rPr>
        <w:t>nformación</w:t>
      </w:r>
      <w:bookmarkEnd w:id="5"/>
    </w:p>
    <w:p w14:paraId="06DCD29D" w14:textId="09AF79C4" w:rsidR="009A2D78" w:rsidRPr="00A21844" w:rsidRDefault="006B10B0" w:rsidP="00A21844">
      <w:pPr>
        <w:pStyle w:val="Prrafodelista"/>
        <w:tabs>
          <w:tab w:val="left" w:pos="851"/>
        </w:tabs>
        <w:ind w:left="0" w:right="-312"/>
        <w:contextualSpacing w:val="0"/>
        <w:rPr>
          <w:rFonts w:cs="Tahoma"/>
          <w:szCs w:val="22"/>
        </w:rPr>
      </w:pPr>
      <w:r w:rsidRPr="00A21844">
        <w:rPr>
          <w:rFonts w:cs="Tahoma"/>
          <w:szCs w:val="22"/>
        </w:rPr>
        <w:t>El</w:t>
      </w:r>
      <w:r w:rsidR="00664420" w:rsidRPr="00A21844">
        <w:rPr>
          <w:rFonts w:cs="Tahoma"/>
          <w:szCs w:val="22"/>
        </w:rPr>
        <w:t xml:space="preserve"> </w:t>
      </w:r>
      <w:r w:rsidR="00996DC5" w:rsidRPr="00A21844">
        <w:rPr>
          <w:rFonts w:cs="Tahoma"/>
          <w:b/>
          <w:bCs/>
          <w:szCs w:val="22"/>
        </w:rPr>
        <w:t>trece de junio</w:t>
      </w:r>
      <w:r w:rsidR="0004680B" w:rsidRPr="00A21844">
        <w:rPr>
          <w:rFonts w:cs="Tahoma"/>
          <w:b/>
          <w:bCs/>
          <w:szCs w:val="22"/>
        </w:rPr>
        <w:t xml:space="preserve"> de dos mil veinticuatro</w:t>
      </w:r>
      <w:r w:rsidR="00664420" w:rsidRPr="00A21844">
        <w:rPr>
          <w:rFonts w:cs="Tahoma"/>
          <w:szCs w:val="22"/>
        </w:rPr>
        <w:t xml:space="preserve">, </w:t>
      </w:r>
      <w:r w:rsidRPr="00A21844">
        <w:rPr>
          <w:b/>
          <w:bCs/>
          <w:szCs w:val="22"/>
        </w:rPr>
        <w:t>LA PARTE RECURRENTE</w:t>
      </w:r>
      <w:r w:rsidR="00664420" w:rsidRPr="00A21844">
        <w:rPr>
          <w:rFonts w:cs="Tahoma"/>
          <w:szCs w:val="22"/>
        </w:rPr>
        <w:t xml:space="preserve"> presentó una solicitud de acceso a la información pública </w:t>
      </w:r>
      <w:r w:rsidR="001F3515" w:rsidRPr="00A21844">
        <w:rPr>
          <w:rFonts w:cs="Tahoma"/>
          <w:szCs w:val="22"/>
        </w:rPr>
        <w:t xml:space="preserve">ante el </w:t>
      </w:r>
      <w:r w:rsidR="001F3515" w:rsidRPr="00A21844">
        <w:rPr>
          <w:rFonts w:cs="Tahoma"/>
          <w:b/>
          <w:bCs/>
          <w:szCs w:val="22"/>
        </w:rPr>
        <w:t>SUJETO OBLIGADO</w:t>
      </w:r>
      <w:r w:rsidR="001F3515" w:rsidRPr="00A21844">
        <w:rPr>
          <w:rFonts w:cs="Tahoma"/>
          <w:szCs w:val="22"/>
        </w:rPr>
        <w:t xml:space="preserve">, </w:t>
      </w:r>
      <w:r w:rsidR="00664420" w:rsidRPr="00A21844">
        <w:rPr>
          <w:rFonts w:cs="Tahoma"/>
          <w:szCs w:val="22"/>
        </w:rPr>
        <w:t>a través del Sistema de Acceso a la Información Mexiquense</w:t>
      </w:r>
      <w:r w:rsidRPr="00A21844">
        <w:rPr>
          <w:rFonts w:cs="Tahoma"/>
          <w:szCs w:val="22"/>
        </w:rPr>
        <w:t xml:space="preserve"> </w:t>
      </w:r>
      <w:r w:rsidR="009A2D78" w:rsidRPr="00A21844">
        <w:rPr>
          <w:rFonts w:cs="Tahoma"/>
          <w:szCs w:val="22"/>
        </w:rPr>
        <w:t>(</w:t>
      </w:r>
      <w:r w:rsidRPr="00A21844">
        <w:rPr>
          <w:rFonts w:cs="Tahoma"/>
          <w:b/>
          <w:szCs w:val="22"/>
        </w:rPr>
        <w:t>SAIMEX</w:t>
      </w:r>
      <w:r w:rsidR="009A2D78" w:rsidRPr="00A21844">
        <w:rPr>
          <w:rFonts w:cs="Tahoma"/>
          <w:szCs w:val="22"/>
        </w:rPr>
        <w:t>). Dicha solicitud quedó</w:t>
      </w:r>
      <w:r w:rsidRPr="00A21844">
        <w:rPr>
          <w:rFonts w:cs="Tahoma"/>
          <w:szCs w:val="22"/>
        </w:rPr>
        <w:t xml:space="preserve"> registrada c</w:t>
      </w:r>
      <w:r w:rsidR="00664420" w:rsidRPr="00A21844">
        <w:rPr>
          <w:rFonts w:cs="Tahoma"/>
          <w:szCs w:val="22"/>
        </w:rPr>
        <w:t>on el número de folio</w:t>
      </w:r>
      <w:r w:rsidR="00664420" w:rsidRPr="00A21844">
        <w:rPr>
          <w:rFonts w:cs="Tahoma"/>
          <w:b/>
          <w:bCs/>
          <w:szCs w:val="22"/>
        </w:rPr>
        <w:t xml:space="preserve"> </w:t>
      </w:r>
      <w:r w:rsidR="00996DC5" w:rsidRPr="00A21844">
        <w:rPr>
          <w:rFonts w:cs="Tahoma"/>
          <w:b/>
          <w:bCs/>
          <w:szCs w:val="22"/>
        </w:rPr>
        <w:t>00117/CUAUTIT/IP/2024</w:t>
      </w:r>
      <w:r w:rsidR="002A3601" w:rsidRPr="00A21844">
        <w:rPr>
          <w:rFonts w:cs="Tahoma"/>
          <w:szCs w:val="22"/>
        </w:rPr>
        <w:t xml:space="preserve"> y en ella </w:t>
      </w:r>
      <w:r w:rsidR="009A2D78" w:rsidRPr="00A21844">
        <w:rPr>
          <w:rFonts w:cs="Tahoma"/>
          <w:szCs w:val="22"/>
        </w:rPr>
        <w:t>se requirió la siguiente información:</w:t>
      </w:r>
    </w:p>
    <w:p w14:paraId="78614CE6" w14:textId="77777777" w:rsidR="009341B5" w:rsidRPr="00A21844" w:rsidRDefault="009341B5" w:rsidP="00A21844">
      <w:pPr>
        <w:ind w:left="851" w:right="-312"/>
        <w:rPr>
          <w:rFonts w:eastAsiaTheme="majorEastAsia" w:cstheme="majorBidi"/>
          <w:i/>
          <w:kern w:val="28"/>
          <w:szCs w:val="22"/>
        </w:rPr>
      </w:pPr>
    </w:p>
    <w:p w14:paraId="49DFA1EE" w14:textId="5AD244CF" w:rsidR="00BB7B48" w:rsidRPr="00A21844" w:rsidRDefault="0004680B" w:rsidP="00A21844">
      <w:pPr>
        <w:spacing w:line="240" w:lineRule="auto"/>
        <w:ind w:left="851" w:right="-312"/>
        <w:rPr>
          <w:rFonts w:eastAsiaTheme="majorEastAsia" w:cstheme="majorBidi"/>
          <w:i/>
          <w:kern w:val="28"/>
          <w:szCs w:val="22"/>
        </w:rPr>
      </w:pPr>
      <w:r w:rsidRPr="00A21844">
        <w:rPr>
          <w:rFonts w:eastAsiaTheme="majorEastAsia" w:cstheme="majorBidi"/>
          <w:i/>
          <w:kern w:val="28"/>
          <w:szCs w:val="22"/>
        </w:rPr>
        <w:t>“</w:t>
      </w:r>
      <w:r w:rsidR="00996DC5" w:rsidRPr="00A21844">
        <w:rPr>
          <w:rFonts w:eastAsiaTheme="majorEastAsia" w:cstheme="majorBidi"/>
          <w:i/>
          <w:kern w:val="28"/>
          <w:szCs w:val="22"/>
        </w:rPr>
        <w:t xml:space="preserve">de la dirección de administración solicito la </w:t>
      </w:r>
      <w:proofErr w:type="spellStart"/>
      <w:r w:rsidR="00996DC5" w:rsidRPr="00A21844">
        <w:rPr>
          <w:rFonts w:eastAsiaTheme="majorEastAsia" w:cstheme="majorBidi"/>
          <w:i/>
          <w:kern w:val="28"/>
          <w:szCs w:val="22"/>
        </w:rPr>
        <w:t>nomina</w:t>
      </w:r>
      <w:proofErr w:type="spellEnd"/>
      <w:r w:rsidR="00996DC5" w:rsidRPr="00A21844">
        <w:rPr>
          <w:rFonts w:eastAsiaTheme="majorEastAsia" w:cstheme="majorBidi"/>
          <w:i/>
          <w:kern w:val="28"/>
          <w:szCs w:val="22"/>
        </w:rPr>
        <w:t xml:space="preserve"> versión púbica de los trabajadores del ayuntamiento, que contenga </w:t>
      </w:r>
      <w:proofErr w:type="spellStart"/>
      <w:r w:rsidR="00996DC5" w:rsidRPr="00A21844">
        <w:rPr>
          <w:rFonts w:eastAsiaTheme="majorEastAsia" w:cstheme="majorBidi"/>
          <w:i/>
          <w:kern w:val="28"/>
          <w:szCs w:val="22"/>
        </w:rPr>
        <w:t>area</w:t>
      </w:r>
      <w:proofErr w:type="spellEnd"/>
      <w:r w:rsidR="00996DC5" w:rsidRPr="00A21844">
        <w:rPr>
          <w:rFonts w:eastAsiaTheme="majorEastAsia" w:cstheme="majorBidi"/>
          <w:i/>
          <w:kern w:val="28"/>
          <w:szCs w:val="22"/>
        </w:rPr>
        <w:t xml:space="preserve"> de asignación, puesto y percepción económica quincenal, para salvaguardar la identidad del trabajador, puede omitir el nombre.</w:t>
      </w:r>
      <w:r w:rsidR="0027446D" w:rsidRPr="00A21844">
        <w:rPr>
          <w:rFonts w:eastAsiaTheme="majorEastAsia" w:cstheme="majorBidi"/>
          <w:i/>
          <w:kern w:val="28"/>
          <w:szCs w:val="22"/>
        </w:rPr>
        <w:t>”</w:t>
      </w:r>
    </w:p>
    <w:p w14:paraId="7137B764" w14:textId="77777777" w:rsidR="0084400A" w:rsidRPr="00A21844" w:rsidRDefault="0084400A" w:rsidP="00A21844">
      <w:pPr>
        <w:tabs>
          <w:tab w:val="left" w:pos="4667"/>
        </w:tabs>
        <w:ind w:right="567"/>
        <w:rPr>
          <w:rFonts w:cs="Tahoma"/>
          <w:b/>
          <w:bCs/>
          <w:szCs w:val="22"/>
        </w:rPr>
      </w:pPr>
    </w:p>
    <w:p w14:paraId="591FFA9A" w14:textId="6694B02E" w:rsidR="0084400A" w:rsidRPr="00A21844" w:rsidRDefault="0084400A" w:rsidP="00A21844">
      <w:pPr>
        <w:tabs>
          <w:tab w:val="left" w:pos="4667"/>
        </w:tabs>
        <w:ind w:right="567"/>
        <w:rPr>
          <w:rFonts w:cs="Tahoma"/>
          <w:bCs/>
          <w:i/>
          <w:szCs w:val="22"/>
        </w:rPr>
      </w:pPr>
      <w:r w:rsidRPr="00A21844">
        <w:rPr>
          <w:rFonts w:cs="Tahoma"/>
          <w:b/>
          <w:bCs/>
          <w:szCs w:val="22"/>
        </w:rPr>
        <w:t>Modalidad de entrega</w:t>
      </w:r>
      <w:r w:rsidRPr="00A21844">
        <w:rPr>
          <w:rFonts w:cs="Tahoma"/>
          <w:bCs/>
          <w:szCs w:val="22"/>
        </w:rPr>
        <w:t>: a</w:t>
      </w:r>
      <w:r w:rsidRPr="00A21844">
        <w:rPr>
          <w:rFonts w:cs="Tahoma"/>
          <w:bCs/>
          <w:i/>
          <w:szCs w:val="22"/>
        </w:rPr>
        <w:t xml:space="preserve"> través del </w:t>
      </w:r>
      <w:r w:rsidRPr="00A21844">
        <w:rPr>
          <w:rFonts w:cs="Tahoma"/>
          <w:b/>
          <w:bCs/>
          <w:i/>
          <w:szCs w:val="22"/>
        </w:rPr>
        <w:t>SAIMEX</w:t>
      </w:r>
      <w:r w:rsidRPr="00A21844">
        <w:rPr>
          <w:rFonts w:cs="Tahoma"/>
          <w:bCs/>
          <w:i/>
          <w:szCs w:val="22"/>
        </w:rPr>
        <w:t>.</w:t>
      </w:r>
    </w:p>
    <w:p w14:paraId="5670DBE2" w14:textId="77777777" w:rsidR="0084400A" w:rsidRPr="00A21844" w:rsidRDefault="0084400A" w:rsidP="00A21844">
      <w:pPr>
        <w:pStyle w:val="Ttulo3"/>
        <w:rPr>
          <w:szCs w:val="22"/>
        </w:rPr>
      </w:pPr>
      <w:bookmarkStart w:id="6" w:name="_Toc175144223"/>
      <w:r w:rsidRPr="00A21844">
        <w:rPr>
          <w:szCs w:val="22"/>
        </w:rPr>
        <w:lastRenderedPageBreak/>
        <w:t xml:space="preserve">b) </w:t>
      </w:r>
      <w:r w:rsidRPr="00A21844">
        <w:rPr>
          <w:bCs/>
          <w:szCs w:val="22"/>
        </w:rPr>
        <w:t>Turno de la solicitud de información</w:t>
      </w:r>
      <w:bookmarkEnd w:id="6"/>
    </w:p>
    <w:p w14:paraId="42B05986" w14:textId="10D36B7C" w:rsidR="0084400A" w:rsidRPr="00A21844" w:rsidRDefault="0084400A" w:rsidP="00A21844">
      <w:pPr>
        <w:rPr>
          <w:rFonts w:cs="Tahoma"/>
          <w:bCs/>
          <w:szCs w:val="22"/>
        </w:rPr>
      </w:pPr>
      <w:r w:rsidRPr="00A21844">
        <w:rPr>
          <w:rFonts w:cs="Tahoma"/>
          <w:bCs/>
          <w:szCs w:val="22"/>
        </w:rPr>
        <w:t xml:space="preserve">En cumplimiento al artículo 162 de la Ley de </w:t>
      </w:r>
      <w:r w:rsidRPr="00A21844">
        <w:t>Transparencia</w:t>
      </w:r>
      <w:r w:rsidRPr="00A21844">
        <w:rPr>
          <w:rFonts w:cs="Tahoma"/>
          <w:bCs/>
          <w:szCs w:val="22"/>
        </w:rPr>
        <w:t xml:space="preserve"> y Acceso a la Información Pública del Estado de México y Municipios, el </w:t>
      </w:r>
      <w:r w:rsidR="00996DC5" w:rsidRPr="00A21844">
        <w:rPr>
          <w:rFonts w:cs="Tahoma"/>
          <w:b/>
          <w:bCs/>
          <w:szCs w:val="22"/>
        </w:rPr>
        <w:t>tres de julio</w:t>
      </w:r>
      <w:r w:rsidRPr="00A21844">
        <w:rPr>
          <w:rFonts w:cs="Tahoma"/>
          <w:b/>
          <w:bCs/>
          <w:szCs w:val="22"/>
        </w:rPr>
        <w:t xml:space="preserve"> de dos mil veinticuatro</w:t>
      </w:r>
      <w:r w:rsidR="00A21844" w:rsidRPr="00A21844">
        <w:rPr>
          <w:rFonts w:cs="Tahoma"/>
          <w:bCs/>
          <w:szCs w:val="22"/>
        </w:rPr>
        <w:t xml:space="preserve">, </w:t>
      </w:r>
      <w:r w:rsidRPr="00A21844">
        <w:rPr>
          <w:rFonts w:cs="Tahoma"/>
          <w:bCs/>
          <w:szCs w:val="22"/>
        </w:rPr>
        <w:t>l</w:t>
      </w:r>
      <w:r w:rsidR="00A21844" w:rsidRPr="00A21844">
        <w:rPr>
          <w:rFonts w:cs="Tahoma"/>
          <w:bCs/>
          <w:szCs w:val="22"/>
        </w:rPr>
        <w:t>a</w:t>
      </w:r>
      <w:r w:rsidRPr="00A21844">
        <w:rPr>
          <w:rFonts w:cs="Tahoma"/>
          <w:bCs/>
          <w:szCs w:val="22"/>
        </w:rPr>
        <w:t xml:space="preserve"> Titular de la Unidad de Transparencia del </w:t>
      </w:r>
      <w:r w:rsidRPr="00A21844">
        <w:rPr>
          <w:rFonts w:cs="Tahoma"/>
          <w:b/>
          <w:bCs/>
          <w:szCs w:val="22"/>
        </w:rPr>
        <w:t>SUJETO OBLIGADO</w:t>
      </w:r>
      <w:r w:rsidRPr="00A21844">
        <w:rPr>
          <w:rFonts w:cs="Tahoma"/>
          <w:bCs/>
          <w:szCs w:val="22"/>
        </w:rPr>
        <w:t xml:space="preserve"> turnó la solicitud de información a los servidores públicos habilitados que estimó pertinente.</w:t>
      </w:r>
    </w:p>
    <w:p w14:paraId="3F55E038" w14:textId="77777777" w:rsidR="00996DC5" w:rsidRPr="00A21844" w:rsidRDefault="00996DC5" w:rsidP="00A21844">
      <w:pPr>
        <w:tabs>
          <w:tab w:val="left" w:pos="4667"/>
        </w:tabs>
        <w:ind w:right="567"/>
        <w:rPr>
          <w:rFonts w:cs="Tahoma"/>
          <w:bCs/>
          <w:szCs w:val="22"/>
        </w:rPr>
      </w:pPr>
    </w:p>
    <w:p w14:paraId="0EF66BD7" w14:textId="77777777" w:rsidR="00D67370" w:rsidRPr="00A21844" w:rsidRDefault="00D67370" w:rsidP="00A21844">
      <w:pPr>
        <w:pStyle w:val="Ttulo3"/>
      </w:pPr>
      <w:bookmarkStart w:id="7" w:name="_Toc171517735"/>
      <w:r w:rsidRPr="00A21844">
        <w:t>c) Prórroga</w:t>
      </w:r>
      <w:bookmarkEnd w:id="7"/>
    </w:p>
    <w:p w14:paraId="1E93C736" w14:textId="12099BD6" w:rsidR="00D67370" w:rsidRPr="00A21844" w:rsidRDefault="00D67370" w:rsidP="00A21844">
      <w:r w:rsidRPr="00A21844">
        <w:t xml:space="preserve">De las constancias que obran en el SAIMEX, se advierte que el </w:t>
      </w:r>
      <w:r w:rsidRPr="00A21844">
        <w:rPr>
          <w:b/>
          <w:bCs/>
        </w:rPr>
        <w:t>cuatro de julio</w:t>
      </w:r>
      <w:r w:rsidRPr="00A21844">
        <w:rPr>
          <w:b/>
        </w:rPr>
        <w:t xml:space="preserve"> de dos mil veinticuatro</w:t>
      </w:r>
      <w:r w:rsidRPr="00A21844">
        <w:t xml:space="preserve">, </w:t>
      </w:r>
      <w:r w:rsidRPr="00A21844">
        <w:rPr>
          <w:b/>
        </w:rPr>
        <w:t>EL SUJETO OBLIGADO</w:t>
      </w:r>
      <w:r w:rsidRPr="00A21844">
        <w:t xml:space="preserve"> notificó una prórroga de siete días para dar respuesta a la solicitud de información planteada por </w:t>
      </w:r>
      <w:r w:rsidRPr="00A21844">
        <w:rPr>
          <w:b/>
        </w:rPr>
        <w:t>LA PARTE RECURRENTE</w:t>
      </w:r>
      <w:r w:rsidRPr="00A21844">
        <w:t>, en los siguientes términos:</w:t>
      </w:r>
    </w:p>
    <w:p w14:paraId="264E2D9F" w14:textId="77777777" w:rsidR="00D67370" w:rsidRPr="00A21844" w:rsidRDefault="00D67370" w:rsidP="00A21844"/>
    <w:p w14:paraId="7B55BB62" w14:textId="77777777" w:rsidR="00D67370" w:rsidRPr="00A21844" w:rsidRDefault="00D67370" w:rsidP="00A21844">
      <w:pPr>
        <w:pStyle w:val="Puesto"/>
        <w:jc w:val="right"/>
      </w:pPr>
      <w:r w:rsidRPr="00A21844">
        <w:t>“Folio de la solicitud: 00117/CUAUTIT/IP/2024</w:t>
      </w:r>
    </w:p>
    <w:p w14:paraId="54F51EBB" w14:textId="77777777" w:rsidR="00D67370" w:rsidRPr="00A21844" w:rsidRDefault="00D67370" w:rsidP="00A21844">
      <w:pPr>
        <w:pStyle w:val="Puesto"/>
      </w:pPr>
    </w:p>
    <w:p w14:paraId="23029CDC" w14:textId="6F8ED102" w:rsidR="00D67370" w:rsidRPr="00A21844" w:rsidRDefault="00D67370" w:rsidP="00A21844">
      <w:pPr>
        <w:pStyle w:val="Puesto"/>
      </w:pPr>
      <w:r w:rsidRPr="00A21844">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6DD986F" w14:textId="77777777" w:rsidR="00D67370" w:rsidRPr="00A21844" w:rsidRDefault="00D67370" w:rsidP="00A21844">
      <w:pPr>
        <w:pStyle w:val="Puesto"/>
      </w:pPr>
    </w:p>
    <w:p w14:paraId="364859F2" w14:textId="5AA8C014" w:rsidR="00D67370" w:rsidRPr="00A21844" w:rsidRDefault="00D67370" w:rsidP="00A21844">
      <w:pPr>
        <w:pStyle w:val="Puesto"/>
      </w:pPr>
      <w:r w:rsidRPr="00A21844">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Prórroga aprobada.</w:t>
      </w:r>
    </w:p>
    <w:p w14:paraId="4585F90F" w14:textId="77777777" w:rsidR="00D67370" w:rsidRPr="00A21844" w:rsidRDefault="00D67370" w:rsidP="00A21844">
      <w:pPr>
        <w:pStyle w:val="Puesto"/>
      </w:pPr>
    </w:p>
    <w:p w14:paraId="10AF7155" w14:textId="4E2D93A5" w:rsidR="00D67370" w:rsidRPr="00A21844" w:rsidRDefault="00D67370" w:rsidP="00A21844">
      <w:pPr>
        <w:pStyle w:val="Puesto"/>
      </w:pPr>
      <w:r w:rsidRPr="00A21844">
        <w:t>LIC. PILAR CRISTINA XOXOCOTZI SALINAS</w:t>
      </w:r>
    </w:p>
    <w:p w14:paraId="651A527F" w14:textId="359B8A3E" w:rsidR="00D67370" w:rsidRPr="00A21844" w:rsidRDefault="00D67370" w:rsidP="00A21844">
      <w:pPr>
        <w:pStyle w:val="Puesto"/>
      </w:pPr>
      <w:r w:rsidRPr="00A21844">
        <w:t>Responsable de la Unidad de Transparencia”</w:t>
      </w:r>
    </w:p>
    <w:p w14:paraId="3DDBD124" w14:textId="77777777" w:rsidR="00D67370" w:rsidRPr="00A21844" w:rsidRDefault="00D67370" w:rsidP="00A21844"/>
    <w:p w14:paraId="34F32759" w14:textId="3DE71CB4" w:rsidR="00D67370" w:rsidRPr="00A21844" w:rsidRDefault="00D67370" w:rsidP="00A21844">
      <w:r w:rsidRPr="00A21844">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w:t>
      </w:r>
      <w:r w:rsidRPr="00A21844">
        <w:lastRenderedPageBreak/>
        <w:t xml:space="preserve">en </w:t>
      </w:r>
      <w:r w:rsidR="002E1DEA" w:rsidRPr="00A21844">
        <w:rPr>
          <w:b/>
        </w:rPr>
        <w:t>EL</w:t>
      </w:r>
      <w:r w:rsidR="002E1DEA" w:rsidRPr="00A21844">
        <w:t xml:space="preserve"> </w:t>
      </w:r>
      <w:r w:rsidRPr="00A21844">
        <w:rPr>
          <w:b/>
        </w:rPr>
        <w:t>SAIMEX</w:t>
      </w:r>
      <w:r w:rsidRPr="00A21844">
        <w:t xml:space="preserve"> no se advierte que </w:t>
      </w:r>
      <w:r w:rsidRPr="00A21844">
        <w:rPr>
          <w:b/>
        </w:rPr>
        <w:t>EL SUJETO OBLIGADO</w:t>
      </w:r>
      <w:r w:rsidRPr="00A21844">
        <w:t xml:space="preserve"> haya acompañó a la solicitud de prórroga el acuerdo mediante el cual el Comité de Transparencia aprobó la ampliación de plazo para dar respuesta a la solicitud de información.</w:t>
      </w:r>
    </w:p>
    <w:p w14:paraId="211DB020" w14:textId="11EC69BF" w:rsidR="00BB7B48" w:rsidRPr="00A21844" w:rsidRDefault="00BB7B48" w:rsidP="00A21844">
      <w:pPr>
        <w:tabs>
          <w:tab w:val="left" w:pos="4667"/>
        </w:tabs>
        <w:ind w:right="-312"/>
        <w:rPr>
          <w:rFonts w:cs="Tahoma"/>
          <w:bCs/>
          <w:szCs w:val="22"/>
        </w:rPr>
      </w:pPr>
    </w:p>
    <w:p w14:paraId="3212BA4D" w14:textId="3FA3C2E3" w:rsidR="00664420" w:rsidRPr="00A21844" w:rsidRDefault="00220517" w:rsidP="00A21844">
      <w:pPr>
        <w:pStyle w:val="Ttulo3"/>
        <w:ind w:right="-312"/>
        <w:rPr>
          <w:szCs w:val="22"/>
        </w:rPr>
      </w:pPr>
      <w:bookmarkStart w:id="8" w:name="_Toc172748403"/>
      <w:r w:rsidRPr="00A21844">
        <w:rPr>
          <w:szCs w:val="22"/>
        </w:rPr>
        <w:t>d</w:t>
      </w:r>
      <w:r w:rsidR="000748DF" w:rsidRPr="00A21844">
        <w:rPr>
          <w:szCs w:val="22"/>
        </w:rPr>
        <w:t xml:space="preserve">) </w:t>
      </w:r>
      <w:r w:rsidR="00664420" w:rsidRPr="00A21844">
        <w:rPr>
          <w:szCs w:val="22"/>
          <w:lang w:val="es-ES"/>
        </w:rPr>
        <w:t xml:space="preserve">Respuesta </w:t>
      </w:r>
      <w:r w:rsidR="00664420" w:rsidRPr="00A21844">
        <w:rPr>
          <w:rFonts w:eastAsia="Calibri"/>
          <w:szCs w:val="22"/>
          <w:lang w:eastAsia="en-US"/>
        </w:rPr>
        <w:t>del Sujeto Obligado</w:t>
      </w:r>
      <w:bookmarkEnd w:id="8"/>
    </w:p>
    <w:p w14:paraId="79199CC1" w14:textId="071C1456" w:rsidR="00664420" w:rsidRPr="00A21844" w:rsidRDefault="00664420" w:rsidP="00A21844">
      <w:pPr>
        <w:pStyle w:val="Sinespaciado"/>
        <w:spacing w:line="360" w:lineRule="auto"/>
        <w:ind w:right="-312"/>
        <w:rPr>
          <w:szCs w:val="22"/>
          <w:lang w:val="es-ES"/>
        </w:rPr>
      </w:pPr>
      <w:r w:rsidRPr="00A21844">
        <w:rPr>
          <w:szCs w:val="22"/>
          <w:lang w:val="es-ES"/>
        </w:rPr>
        <w:t xml:space="preserve">El </w:t>
      </w:r>
      <w:r w:rsidR="005B4D73" w:rsidRPr="00A21844">
        <w:rPr>
          <w:rFonts w:eastAsia="Calibri" w:cs="Arial"/>
          <w:b/>
          <w:bCs/>
          <w:szCs w:val="22"/>
          <w:lang w:val="es-ES" w:eastAsia="en-US"/>
        </w:rPr>
        <w:t>quince de julio</w:t>
      </w:r>
      <w:r w:rsidR="000748DF" w:rsidRPr="00A21844">
        <w:rPr>
          <w:rFonts w:eastAsia="Calibri" w:cs="Arial"/>
          <w:b/>
          <w:bCs/>
          <w:szCs w:val="22"/>
          <w:lang w:val="es-ES" w:eastAsia="en-US"/>
        </w:rPr>
        <w:t xml:space="preserve"> </w:t>
      </w:r>
      <w:r w:rsidR="000748DF" w:rsidRPr="00A21844">
        <w:rPr>
          <w:rFonts w:eastAsia="Calibri" w:cs="Arial"/>
          <w:b/>
          <w:szCs w:val="22"/>
          <w:lang w:val="es-ES" w:eastAsia="en-US"/>
        </w:rPr>
        <w:t>de dos mil veinticuatro</w:t>
      </w:r>
      <w:r w:rsidR="00983EEF" w:rsidRPr="00A21844">
        <w:rPr>
          <w:b/>
          <w:szCs w:val="22"/>
          <w:lang w:val="es-ES"/>
        </w:rPr>
        <w:t xml:space="preserve">, </w:t>
      </w:r>
      <w:r w:rsidR="00F07EE6" w:rsidRPr="00A21844">
        <w:rPr>
          <w:szCs w:val="22"/>
          <w:lang w:val="es-ES"/>
        </w:rPr>
        <w:t>l</w:t>
      </w:r>
      <w:r w:rsidR="002268D4" w:rsidRPr="00A21844">
        <w:rPr>
          <w:szCs w:val="22"/>
          <w:lang w:val="es-ES"/>
        </w:rPr>
        <w:t>a</w:t>
      </w:r>
      <w:r w:rsidR="00F07EE6" w:rsidRPr="00A21844">
        <w:rPr>
          <w:szCs w:val="22"/>
          <w:lang w:val="es-ES"/>
        </w:rPr>
        <w:t xml:space="preserve"> Titular de la Unidad de Transparencia del </w:t>
      </w:r>
      <w:r w:rsidR="00F07EE6" w:rsidRPr="00A21844">
        <w:rPr>
          <w:b/>
          <w:szCs w:val="22"/>
          <w:lang w:val="es-ES"/>
        </w:rPr>
        <w:t>SUJETO OBLIGADO</w:t>
      </w:r>
      <w:r w:rsidR="00F07EE6" w:rsidRPr="00A21844">
        <w:rPr>
          <w:szCs w:val="22"/>
          <w:lang w:val="es-ES"/>
        </w:rPr>
        <w:t xml:space="preserve"> notificó la siguiente respuesta a través del </w:t>
      </w:r>
      <w:r w:rsidRPr="00A21844">
        <w:rPr>
          <w:szCs w:val="22"/>
          <w:lang w:val="es-ES"/>
        </w:rPr>
        <w:t>SAIMEX</w:t>
      </w:r>
      <w:r w:rsidR="00F07EE6" w:rsidRPr="00A21844">
        <w:rPr>
          <w:szCs w:val="22"/>
          <w:lang w:val="es-ES"/>
        </w:rPr>
        <w:t>:</w:t>
      </w:r>
    </w:p>
    <w:p w14:paraId="669F7EFD" w14:textId="77777777" w:rsidR="00664420" w:rsidRPr="00A21844" w:rsidRDefault="00664420" w:rsidP="00A21844">
      <w:pPr>
        <w:tabs>
          <w:tab w:val="left" w:pos="4667"/>
        </w:tabs>
        <w:ind w:left="567" w:right="-312"/>
        <w:rPr>
          <w:rFonts w:cs="Tahoma"/>
          <w:b/>
          <w:bCs/>
          <w:szCs w:val="22"/>
        </w:rPr>
      </w:pPr>
    </w:p>
    <w:p w14:paraId="123914EE" w14:textId="77777777" w:rsidR="005B4D73" w:rsidRPr="00A21844" w:rsidRDefault="005B4D73" w:rsidP="00A21844">
      <w:pPr>
        <w:pStyle w:val="Puesto"/>
      </w:pPr>
      <w:r w:rsidRPr="00A21844">
        <w:t>Folio de la solicitud: 00117/CUAUTIT/IP/2024</w:t>
      </w:r>
    </w:p>
    <w:p w14:paraId="6301321B" w14:textId="77777777" w:rsidR="005B4D73" w:rsidRPr="00A21844" w:rsidRDefault="005B4D73" w:rsidP="00A21844">
      <w:pPr>
        <w:pStyle w:val="Puesto"/>
      </w:pPr>
    </w:p>
    <w:p w14:paraId="32E4A0A5" w14:textId="77777777" w:rsidR="005B4D73" w:rsidRPr="00A21844" w:rsidRDefault="005B4D73" w:rsidP="00A21844">
      <w:pPr>
        <w:pStyle w:val="Puesto"/>
      </w:pPr>
      <w:r w:rsidRPr="00A21844">
        <w:t>En respuesta a la solicitud recibida, nos permitimos hacer de su conocimiento que con fundamento en el artículo 53, Fracciones: II, V y VI de la Ley de Transparencia y Acceso a la Información Pública del Estado de México y Municipios, le contestamos que:</w:t>
      </w:r>
    </w:p>
    <w:p w14:paraId="5FF5AFE5" w14:textId="77777777" w:rsidR="005B4D73" w:rsidRPr="00A21844" w:rsidRDefault="005B4D73" w:rsidP="00A21844">
      <w:pPr>
        <w:pStyle w:val="Puesto"/>
      </w:pPr>
    </w:p>
    <w:p w14:paraId="07F3B018" w14:textId="77777777" w:rsidR="005B4D73" w:rsidRPr="00A21844" w:rsidRDefault="005B4D73" w:rsidP="00A21844">
      <w:pPr>
        <w:pStyle w:val="Puesto"/>
      </w:pPr>
      <w:r w:rsidRPr="00A21844">
        <w:t>Buenas tardes, enviando un cordial saludo me permito brindar la información requerida en la solicitud con folio 00117/CUAUTIT/IP/2024. Adjunto archivo.</w:t>
      </w:r>
    </w:p>
    <w:p w14:paraId="496C4AE5" w14:textId="77777777" w:rsidR="005B4D73" w:rsidRPr="00A21844" w:rsidRDefault="005B4D73" w:rsidP="00A21844">
      <w:pPr>
        <w:pStyle w:val="Puesto"/>
      </w:pPr>
    </w:p>
    <w:p w14:paraId="2AB73FB8" w14:textId="77777777" w:rsidR="005B4D73" w:rsidRPr="00A21844" w:rsidRDefault="005B4D73" w:rsidP="00A21844">
      <w:pPr>
        <w:pStyle w:val="Puesto"/>
      </w:pPr>
      <w:r w:rsidRPr="00A21844">
        <w:t>ATENTAMENTE</w:t>
      </w:r>
    </w:p>
    <w:p w14:paraId="33C8A878" w14:textId="531435C2" w:rsidR="0027446D" w:rsidRPr="00A21844" w:rsidRDefault="005B4D73" w:rsidP="00A21844">
      <w:pPr>
        <w:pStyle w:val="Puesto"/>
      </w:pPr>
      <w:r w:rsidRPr="00A21844">
        <w:t>LIC. PILAR CRISTINA XOXOCOTZI SALINAS</w:t>
      </w:r>
    </w:p>
    <w:p w14:paraId="7FE73A10" w14:textId="77777777" w:rsidR="00580A07" w:rsidRPr="00A21844" w:rsidRDefault="00580A07" w:rsidP="00A21844">
      <w:pPr>
        <w:ind w:right="-28"/>
      </w:pPr>
    </w:p>
    <w:p w14:paraId="6A629FC4" w14:textId="0C7BAEA2" w:rsidR="00580A07" w:rsidRPr="00A21844" w:rsidRDefault="00580A07" w:rsidP="00A21844">
      <w:pPr>
        <w:ind w:right="-28"/>
      </w:pPr>
      <w:r w:rsidRPr="00A21844">
        <w:t xml:space="preserve">Asimismo, </w:t>
      </w:r>
      <w:r w:rsidRPr="00A21844">
        <w:rPr>
          <w:b/>
        </w:rPr>
        <w:t xml:space="preserve">EL SUJETO OBLIGADO </w:t>
      </w:r>
      <w:r w:rsidRPr="00A21844">
        <w:t>adjuntó a su respuesta los archivos electrónicos que se describen a continuación:</w:t>
      </w:r>
    </w:p>
    <w:p w14:paraId="2375489D" w14:textId="77777777" w:rsidR="00580A07" w:rsidRPr="00A21844" w:rsidRDefault="00580A07" w:rsidP="00A21844">
      <w:pPr>
        <w:ind w:right="-28"/>
      </w:pPr>
    </w:p>
    <w:p w14:paraId="02B1ED40" w14:textId="0B57A2FD" w:rsidR="00580A07" w:rsidRPr="00A21844" w:rsidRDefault="00580A07" w:rsidP="00A21844">
      <w:pPr>
        <w:ind w:right="-28"/>
        <w:rPr>
          <w:b/>
          <w:bCs/>
          <w:i/>
          <w:iCs/>
        </w:rPr>
      </w:pPr>
      <w:proofErr w:type="spellStart"/>
      <w:r w:rsidRPr="00A21844">
        <w:rPr>
          <w:b/>
          <w:bCs/>
          <w:i/>
          <w:iCs/>
        </w:rPr>
        <w:t>Resp</w:t>
      </w:r>
      <w:proofErr w:type="spellEnd"/>
      <w:r w:rsidRPr="00A21844">
        <w:rPr>
          <w:b/>
          <w:bCs/>
          <w:i/>
          <w:iCs/>
        </w:rPr>
        <w:t xml:space="preserve">. </w:t>
      </w:r>
      <w:proofErr w:type="gramStart"/>
      <w:r w:rsidRPr="00A21844">
        <w:rPr>
          <w:b/>
          <w:bCs/>
          <w:i/>
          <w:iCs/>
        </w:rPr>
        <w:t>sol</w:t>
      </w:r>
      <w:proofErr w:type="gramEnd"/>
      <w:r w:rsidRPr="00A21844">
        <w:rPr>
          <w:b/>
          <w:bCs/>
          <w:i/>
          <w:iCs/>
        </w:rPr>
        <w:t>. 00117</w:t>
      </w:r>
      <w:proofErr w:type="gramStart"/>
      <w:r w:rsidRPr="00A21844">
        <w:rPr>
          <w:b/>
          <w:bCs/>
          <w:i/>
          <w:iCs/>
        </w:rPr>
        <w:t>.pdf</w:t>
      </w:r>
      <w:proofErr w:type="gramEnd"/>
    </w:p>
    <w:p w14:paraId="17CE633E" w14:textId="77777777" w:rsidR="00836954" w:rsidRPr="00A21844" w:rsidRDefault="00836954" w:rsidP="00A21844">
      <w:pPr>
        <w:ind w:right="-28"/>
      </w:pPr>
      <w:r w:rsidRPr="00A21844">
        <w:t>Archivo constante de 2 páginas, en el que se aprecia.</w:t>
      </w:r>
    </w:p>
    <w:p w14:paraId="3889117F" w14:textId="5BB650DB" w:rsidR="00836954" w:rsidRPr="00A21844" w:rsidRDefault="00836954" w:rsidP="00A21844">
      <w:pPr>
        <w:ind w:right="-28"/>
      </w:pPr>
      <w:r w:rsidRPr="00A21844">
        <w:t>Página 1. Oficio UT/0450/2024, de fecha 13 de junio de 2024,</w:t>
      </w:r>
      <w:r w:rsidR="005A5075" w:rsidRPr="00A21844">
        <w:t xml:space="preserve"> </w:t>
      </w:r>
      <w:r w:rsidRPr="00A21844">
        <w:t>dirigido al Director de Administración, suscrito por la Titular de la Unidad de Transparencia, en el que le hace del conocimiento de la solicitud de información, y le solicita remita información para dar atención.</w:t>
      </w:r>
    </w:p>
    <w:p w14:paraId="2F280B7D" w14:textId="2EB9FA43" w:rsidR="005A5075" w:rsidRPr="00A21844" w:rsidRDefault="00836954" w:rsidP="00A21844">
      <w:pPr>
        <w:ind w:right="-28"/>
      </w:pPr>
      <w:r w:rsidRPr="00A21844">
        <w:lastRenderedPageBreak/>
        <w:t xml:space="preserve">Página 2.  </w:t>
      </w:r>
      <w:r w:rsidR="005A5075" w:rsidRPr="00A21844">
        <w:t>Oficio DA/1727/2024, de fecha 10 de julio de 2024, suscrito por el Director de Administración, dirigido a la Titular de la Unidad de Transparencia, en el que le refiere:</w:t>
      </w:r>
    </w:p>
    <w:p w14:paraId="6644F244" w14:textId="77777777" w:rsidR="002E1DEA" w:rsidRPr="00A21844" w:rsidRDefault="002E1DEA" w:rsidP="00A21844">
      <w:pPr>
        <w:ind w:right="-28"/>
      </w:pPr>
    </w:p>
    <w:p w14:paraId="5B5839F1" w14:textId="77A1E60D" w:rsidR="005A5075" w:rsidRPr="00A21844" w:rsidRDefault="005A5075" w:rsidP="00A21844">
      <w:pPr>
        <w:pStyle w:val="Puesto"/>
      </w:pPr>
      <w:r w:rsidRPr="00A21844">
        <w:t>“…le comento que sobrepasa las capacidades humanas de esta Dirección, ya que contamos con una carga de trabajo considerable; y a fin de que no se traduzca tal imposibilidad a una negativa, hago de su conocimiento que la información se encuentra disponible para su consulta del solicitante, el cual deberá acudir al Edificio B primer piso de Palacio Municipal, en la Dirección de Administración el día viernes 19 de julio del presente año a las 12:00 horas, quien deberá presentar una identificación oficial vigente para llevar a cabo la consulta…” Sic.</w:t>
      </w:r>
    </w:p>
    <w:p w14:paraId="14121F3B" w14:textId="67A2CA76" w:rsidR="00226A6F" w:rsidRPr="00A21844" w:rsidRDefault="00226A6F" w:rsidP="00A21844">
      <w:pPr>
        <w:autoSpaceDE w:val="0"/>
        <w:autoSpaceDN w:val="0"/>
        <w:adjustRightInd w:val="0"/>
        <w:ind w:right="-312"/>
        <w:rPr>
          <w:rFonts w:cs="Tahoma"/>
          <w:bCs/>
          <w:szCs w:val="22"/>
        </w:rPr>
      </w:pPr>
    </w:p>
    <w:p w14:paraId="6B3DF5CB" w14:textId="77777777" w:rsidR="001E1CFC" w:rsidRPr="00A21844" w:rsidRDefault="001E1CFC" w:rsidP="00A21844">
      <w:pPr>
        <w:autoSpaceDE w:val="0"/>
        <w:autoSpaceDN w:val="0"/>
        <w:adjustRightInd w:val="0"/>
        <w:ind w:right="-312"/>
        <w:rPr>
          <w:rFonts w:cs="Tahoma"/>
          <w:bCs/>
          <w:szCs w:val="22"/>
        </w:rPr>
      </w:pPr>
    </w:p>
    <w:p w14:paraId="5A5DAB9E" w14:textId="77777777" w:rsidR="00E37A3F" w:rsidRPr="00A21844" w:rsidRDefault="00E37A3F" w:rsidP="00A21844">
      <w:pPr>
        <w:pStyle w:val="Ttulo2"/>
        <w:ind w:right="-312"/>
        <w:jc w:val="left"/>
        <w:rPr>
          <w:szCs w:val="22"/>
        </w:rPr>
      </w:pPr>
      <w:bookmarkStart w:id="9" w:name="_Toc172748404"/>
      <w:r w:rsidRPr="00A21844">
        <w:rPr>
          <w:szCs w:val="22"/>
        </w:rPr>
        <w:t>DEL RECURSO DE REVISIÓN</w:t>
      </w:r>
      <w:bookmarkEnd w:id="9"/>
    </w:p>
    <w:p w14:paraId="2B216813" w14:textId="61ADBB2B" w:rsidR="00664420" w:rsidRPr="00A21844" w:rsidRDefault="006E25BC" w:rsidP="00A21844">
      <w:pPr>
        <w:pStyle w:val="Ttulo3"/>
        <w:ind w:right="-312"/>
        <w:rPr>
          <w:szCs w:val="22"/>
        </w:rPr>
      </w:pPr>
      <w:bookmarkStart w:id="10" w:name="_Toc172748405"/>
      <w:r w:rsidRPr="00A21844">
        <w:rPr>
          <w:szCs w:val="22"/>
        </w:rPr>
        <w:t xml:space="preserve">a) </w:t>
      </w:r>
      <w:r w:rsidR="00664420" w:rsidRPr="00A21844">
        <w:rPr>
          <w:szCs w:val="22"/>
        </w:rPr>
        <w:t>Interposición del Recurso de Revisión</w:t>
      </w:r>
      <w:bookmarkEnd w:id="10"/>
    </w:p>
    <w:p w14:paraId="6279C622" w14:textId="4A5BEAB7" w:rsidR="00664420" w:rsidRPr="00A21844" w:rsidRDefault="00664420" w:rsidP="00A21844">
      <w:pPr>
        <w:autoSpaceDE w:val="0"/>
        <w:autoSpaceDN w:val="0"/>
        <w:adjustRightInd w:val="0"/>
        <w:ind w:right="-312"/>
        <w:rPr>
          <w:rFonts w:cs="Tahoma"/>
          <w:szCs w:val="22"/>
        </w:rPr>
      </w:pPr>
      <w:r w:rsidRPr="00A21844">
        <w:rPr>
          <w:rFonts w:cs="Tahoma"/>
          <w:szCs w:val="22"/>
        </w:rPr>
        <w:t xml:space="preserve">El </w:t>
      </w:r>
      <w:r w:rsidR="005B4D73" w:rsidRPr="00A21844">
        <w:rPr>
          <w:rFonts w:cs="Tahoma"/>
          <w:b/>
          <w:bCs/>
          <w:szCs w:val="22"/>
        </w:rPr>
        <w:t>cinco</w:t>
      </w:r>
      <w:r w:rsidR="005B4D73" w:rsidRPr="00A21844">
        <w:rPr>
          <w:rStyle w:val="Refdenotaalpie"/>
          <w:rFonts w:cs="Tahoma"/>
          <w:b/>
          <w:bCs/>
          <w:szCs w:val="22"/>
        </w:rPr>
        <w:footnoteReference w:id="1"/>
      </w:r>
      <w:r w:rsidR="005B4D73" w:rsidRPr="00A21844">
        <w:rPr>
          <w:rFonts w:cs="Tahoma"/>
          <w:b/>
          <w:bCs/>
          <w:szCs w:val="22"/>
        </w:rPr>
        <w:t xml:space="preserve"> de agosto</w:t>
      </w:r>
      <w:r w:rsidRPr="00A21844">
        <w:rPr>
          <w:rFonts w:cs="Tahoma"/>
          <w:b/>
          <w:bCs/>
          <w:szCs w:val="22"/>
        </w:rPr>
        <w:t xml:space="preserve"> de dos mil </w:t>
      </w:r>
      <w:r w:rsidR="00E810F7" w:rsidRPr="00A21844">
        <w:rPr>
          <w:rFonts w:cs="Tahoma"/>
          <w:b/>
          <w:bCs/>
          <w:szCs w:val="22"/>
        </w:rPr>
        <w:t>veinticuatro</w:t>
      </w:r>
      <w:r w:rsidR="00103867" w:rsidRPr="00A21844">
        <w:rPr>
          <w:rFonts w:cs="Tahoma"/>
          <w:b/>
          <w:bCs/>
          <w:szCs w:val="22"/>
        </w:rPr>
        <w:t>,</w:t>
      </w:r>
      <w:r w:rsidRPr="00A21844">
        <w:rPr>
          <w:rFonts w:cs="Tahoma"/>
          <w:szCs w:val="22"/>
        </w:rPr>
        <w:t xml:space="preserve"> </w:t>
      </w:r>
      <w:r w:rsidR="00F75D23" w:rsidRPr="00A21844">
        <w:rPr>
          <w:rFonts w:cs="Tahoma"/>
          <w:b/>
          <w:bCs/>
          <w:szCs w:val="22"/>
        </w:rPr>
        <w:t>LA PARTE RECURRENTE</w:t>
      </w:r>
      <w:r w:rsidR="00F75D23" w:rsidRPr="00A21844">
        <w:rPr>
          <w:rFonts w:cs="Tahoma"/>
          <w:szCs w:val="22"/>
        </w:rPr>
        <w:t xml:space="preserve"> </w:t>
      </w:r>
      <w:r w:rsidR="00831F96" w:rsidRPr="00A21844">
        <w:rPr>
          <w:rFonts w:cs="Tahoma"/>
          <w:szCs w:val="22"/>
        </w:rPr>
        <w:t xml:space="preserve">se tuvo por presentado el </w:t>
      </w:r>
      <w:r w:rsidR="00F75D23" w:rsidRPr="00A21844">
        <w:rPr>
          <w:rFonts w:cs="Tahoma"/>
          <w:szCs w:val="22"/>
        </w:rPr>
        <w:t xml:space="preserve">recurso de revisión en contra de la respuesta emitida por </w:t>
      </w:r>
      <w:r w:rsidR="003E6101" w:rsidRPr="00A21844">
        <w:rPr>
          <w:rFonts w:cs="Tahoma"/>
          <w:b/>
          <w:bCs/>
          <w:szCs w:val="22"/>
        </w:rPr>
        <w:t>EL</w:t>
      </w:r>
      <w:r w:rsidR="003E6101" w:rsidRPr="00A21844">
        <w:rPr>
          <w:rFonts w:cs="Tahoma"/>
          <w:szCs w:val="22"/>
        </w:rPr>
        <w:t xml:space="preserve"> </w:t>
      </w:r>
      <w:r w:rsidR="00F75D23" w:rsidRPr="00A21844">
        <w:rPr>
          <w:rFonts w:cs="Tahoma"/>
          <w:b/>
          <w:bCs/>
          <w:szCs w:val="22"/>
        </w:rPr>
        <w:t>SUJETO OBLIGADO</w:t>
      </w:r>
      <w:r w:rsidR="00953430" w:rsidRPr="00A21844">
        <w:rPr>
          <w:rFonts w:cs="Tahoma"/>
          <w:szCs w:val="22"/>
        </w:rPr>
        <w:t xml:space="preserve">, mismo que fue registrado en el SAIMEX con el número de expediente </w:t>
      </w:r>
      <w:r w:rsidR="00996DC5" w:rsidRPr="00A21844">
        <w:rPr>
          <w:rFonts w:cs="Tahoma"/>
          <w:b/>
          <w:bCs/>
          <w:szCs w:val="22"/>
        </w:rPr>
        <w:t>04617/INFOEM/IP/RR/2024</w:t>
      </w:r>
      <w:r w:rsidR="00953430" w:rsidRPr="00A21844">
        <w:rPr>
          <w:rFonts w:cs="Tahoma"/>
          <w:szCs w:val="22"/>
        </w:rPr>
        <w:t>, y en el cual manifiesta lo siguiente</w:t>
      </w:r>
      <w:r w:rsidRPr="00A21844">
        <w:rPr>
          <w:rFonts w:cs="Tahoma"/>
          <w:szCs w:val="22"/>
        </w:rPr>
        <w:t>:</w:t>
      </w:r>
    </w:p>
    <w:p w14:paraId="74B30008" w14:textId="77777777" w:rsidR="00664420" w:rsidRPr="00A21844" w:rsidRDefault="00664420" w:rsidP="00A21844">
      <w:pPr>
        <w:tabs>
          <w:tab w:val="left" w:pos="4667"/>
        </w:tabs>
        <w:ind w:right="-312"/>
        <w:rPr>
          <w:rFonts w:cs="Tahoma"/>
          <w:szCs w:val="22"/>
        </w:rPr>
      </w:pPr>
    </w:p>
    <w:p w14:paraId="12153283" w14:textId="77777777" w:rsidR="00664420" w:rsidRPr="00A21844" w:rsidRDefault="00664420" w:rsidP="00A21844">
      <w:pPr>
        <w:tabs>
          <w:tab w:val="left" w:pos="4667"/>
        </w:tabs>
        <w:ind w:left="567" w:right="-312"/>
        <w:rPr>
          <w:rFonts w:cs="Tahoma"/>
          <w:b/>
          <w:iCs/>
          <w:szCs w:val="22"/>
        </w:rPr>
      </w:pPr>
      <w:r w:rsidRPr="00A21844">
        <w:rPr>
          <w:rFonts w:cs="Tahoma"/>
          <w:b/>
          <w:iCs/>
          <w:szCs w:val="22"/>
        </w:rPr>
        <w:t>ACTO IMPUGNADO</w:t>
      </w:r>
      <w:r w:rsidRPr="00A21844">
        <w:rPr>
          <w:rFonts w:cs="Tahoma"/>
          <w:b/>
          <w:iCs/>
          <w:szCs w:val="22"/>
        </w:rPr>
        <w:tab/>
      </w:r>
    </w:p>
    <w:p w14:paraId="6AE8EA9A" w14:textId="3305DFF1" w:rsidR="00664420" w:rsidRPr="00A21844" w:rsidRDefault="00226A6F" w:rsidP="00A21844">
      <w:pPr>
        <w:pStyle w:val="Puesto"/>
      </w:pPr>
      <w:r w:rsidRPr="00A21844">
        <w:t xml:space="preserve">El sujeto obligado se niega a cumplir la Constitución Política de los Estado Unidos Mexicanos, la Constitución Política del Estado Libre y Soberano de México, así como la Ley de Transparencia y Acceso a la Información Pública del Estado de México y Municipios; debido a que no entregó la información solicitada, en el medio que se había indicado, siendo esta vía la plataforma SAIMEX, con lo que incurre en lo establecido en el </w:t>
      </w:r>
      <w:proofErr w:type="spellStart"/>
      <w:r w:rsidRPr="00A21844">
        <w:t>articulo</w:t>
      </w:r>
      <w:proofErr w:type="spellEnd"/>
      <w:r w:rsidRPr="00A21844">
        <w:t xml:space="preserve"> 222, fracción X de la Ley de Transparencia.</w:t>
      </w:r>
    </w:p>
    <w:p w14:paraId="6238FEEF" w14:textId="77777777" w:rsidR="005856CA" w:rsidRPr="00A21844" w:rsidRDefault="005856CA" w:rsidP="00A21844">
      <w:pPr>
        <w:tabs>
          <w:tab w:val="left" w:pos="4667"/>
        </w:tabs>
        <w:ind w:left="567" w:right="-312"/>
        <w:rPr>
          <w:rFonts w:cs="Tahoma"/>
          <w:b/>
          <w:iCs/>
          <w:szCs w:val="22"/>
        </w:rPr>
      </w:pPr>
    </w:p>
    <w:p w14:paraId="047D036B" w14:textId="77777777" w:rsidR="00664420" w:rsidRPr="00A21844" w:rsidRDefault="00664420" w:rsidP="00A21844">
      <w:pPr>
        <w:tabs>
          <w:tab w:val="left" w:pos="4667"/>
        </w:tabs>
        <w:ind w:left="567" w:right="-312"/>
        <w:rPr>
          <w:rFonts w:cs="Tahoma"/>
          <w:b/>
          <w:iCs/>
          <w:szCs w:val="22"/>
        </w:rPr>
      </w:pPr>
      <w:r w:rsidRPr="00A21844">
        <w:rPr>
          <w:rFonts w:cs="Tahoma"/>
          <w:b/>
          <w:iCs/>
          <w:szCs w:val="22"/>
        </w:rPr>
        <w:lastRenderedPageBreak/>
        <w:t>RAZONES O MOTIVOS DE LA INCONFORMIDAD</w:t>
      </w:r>
      <w:r w:rsidRPr="00A21844">
        <w:rPr>
          <w:rFonts w:cs="Tahoma"/>
          <w:b/>
          <w:iCs/>
          <w:szCs w:val="22"/>
        </w:rPr>
        <w:tab/>
      </w:r>
    </w:p>
    <w:p w14:paraId="48FE75EA" w14:textId="0292EA88" w:rsidR="00664420" w:rsidRPr="00A21844" w:rsidRDefault="00226A6F" w:rsidP="00A21844">
      <w:pPr>
        <w:pStyle w:val="Puesto"/>
      </w:pPr>
      <w:r w:rsidRPr="00A21844">
        <w:t xml:space="preserve">La Constitución Política de los Estados Unidos Mexicanos, en su </w:t>
      </w:r>
      <w:proofErr w:type="spellStart"/>
      <w:proofErr w:type="gramStart"/>
      <w:r w:rsidRPr="00A21844">
        <w:t>articulo</w:t>
      </w:r>
      <w:proofErr w:type="spellEnd"/>
      <w:proofErr w:type="gramEnd"/>
      <w:r w:rsidRPr="00A21844">
        <w:t xml:space="preserve"> 6°, establece que el estado garantizará el derecho de acceso a la información. Así mismo, dicho artículo en su apartado “A.” señala: Para el ejercicio del derecho de acceso a la información, la Federación y las entidades federativas, en el ámbito de sus respectivas competencias, se regirán por los siguientes principios y bases: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II</w:t>
      </w:r>
      <w:proofErr w:type="gramStart"/>
      <w:r w:rsidRPr="00A21844">
        <w:t>. …</w:t>
      </w:r>
      <w:proofErr w:type="gramEnd"/>
      <w:r w:rsidRPr="00A21844">
        <w:t xml:space="preserve"> III. Toda persona, sin necesidad de acreditar interés alguno o justificar su utilización, tendrá acceso gratuito a la información pública, a sus datos personales o a la rectificación de éstos. De igual forma, la Constitución Política del Estado Libre y Soberano de México, en su </w:t>
      </w:r>
      <w:proofErr w:type="spellStart"/>
      <w:r w:rsidRPr="00A21844">
        <w:t>articulo</w:t>
      </w:r>
      <w:proofErr w:type="spellEnd"/>
      <w:r w:rsidRPr="00A21844">
        <w:t xml:space="preserve"> 5, párrafo vigésimo siete, señala lo siguiente: “Toda persona en el Estado de México, tiene derecho al libre acceso a la información plural y oportuna, así como a buscar recibir y difundir información e ideas de toda índole por cualquier medio de expresión.” En tal sentido, el sujeto obligado, vulnera y violenta mi derecho de acceso a la información </w:t>
      </w:r>
      <w:proofErr w:type="spellStart"/>
      <w:r w:rsidRPr="00A21844">
        <w:t>prural</w:t>
      </w:r>
      <w:proofErr w:type="spellEnd"/>
      <w:r w:rsidRPr="00A21844">
        <w:t xml:space="preserve"> y oportuna, consagrado en la carta magna y en la constitución estatal, debido a que el Sujeto Obligado se ha negado a entregar información vía SAIMEX, retrasando el proceso de entrega, recurriendo al Recurso de Revisión. Ahora bien, la Ley de Transparencia y Acceso a la Información Pública del Estado de México y Municipios, en su </w:t>
      </w:r>
      <w:proofErr w:type="spellStart"/>
      <w:proofErr w:type="gramStart"/>
      <w:r w:rsidRPr="00A21844">
        <w:t>articulo</w:t>
      </w:r>
      <w:proofErr w:type="spellEnd"/>
      <w:proofErr w:type="gramEnd"/>
      <w:r w:rsidRPr="00A21844">
        <w:t xml:space="preserve"> 222, fracción X, establece responsabilidades y sanciones a aquellos sujetos obligados que entre otros aspectos, CAMBIA LA MODALIDAD DE ENTREGA DE INFORMACIÓN DIFERENTE A LA SOLICITADA. Asimismo, es importante destacar, que el sujeto obligado ha recibido amonestaciones y sanciones economías por no atender lo establecido en la Ley de Transparencia y Acceso a la Información Pública del Estado de México y Municipios. Por lo que se ve, una total y clara negativa del sujeto obligado para la entrega de información.</w:t>
      </w:r>
    </w:p>
    <w:p w14:paraId="2E9269BF" w14:textId="41EF7FA8" w:rsidR="00FD4F13" w:rsidRPr="00A21844" w:rsidRDefault="00FD4F13" w:rsidP="00A21844">
      <w:pPr>
        <w:tabs>
          <w:tab w:val="left" w:pos="4667"/>
        </w:tabs>
        <w:ind w:right="-312"/>
        <w:rPr>
          <w:rFonts w:cs="Tahoma"/>
          <w:b/>
          <w:bCs/>
          <w:szCs w:val="22"/>
        </w:rPr>
      </w:pPr>
    </w:p>
    <w:p w14:paraId="6804DEF1" w14:textId="3C4F6CB5" w:rsidR="00664420" w:rsidRPr="00A21844" w:rsidRDefault="006E25BC" w:rsidP="00A21844">
      <w:pPr>
        <w:pStyle w:val="Ttulo3"/>
        <w:ind w:right="-312"/>
        <w:rPr>
          <w:szCs w:val="22"/>
        </w:rPr>
      </w:pPr>
      <w:bookmarkStart w:id="11" w:name="_Toc172748406"/>
      <w:r w:rsidRPr="00A21844">
        <w:rPr>
          <w:szCs w:val="22"/>
        </w:rPr>
        <w:lastRenderedPageBreak/>
        <w:t>b</w:t>
      </w:r>
      <w:r w:rsidR="00664420" w:rsidRPr="00A21844">
        <w:rPr>
          <w:szCs w:val="22"/>
        </w:rPr>
        <w:t>) Turno del Recurso de Revisión</w:t>
      </w:r>
      <w:bookmarkEnd w:id="11"/>
    </w:p>
    <w:p w14:paraId="1173671B" w14:textId="5FF739A3" w:rsidR="00C72DAA" w:rsidRPr="00A21844" w:rsidRDefault="00C72DAA" w:rsidP="00A21844">
      <w:pPr>
        <w:ind w:right="-312"/>
        <w:rPr>
          <w:szCs w:val="22"/>
        </w:rPr>
      </w:pPr>
      <w:r w:rsidRPr="00A21844">
        <w:rPr>
          <w:szCs w:val="22"/>
        </w:rPr>
        <w:t>Con fundamento en el artículo 185, fracción I de la Ley de Transparencia y Acceso a la Información Pública del Estado de México y Municipios, el</w:t>
      </w:r>
      <w:r w:rsidRPr="00A21844">
        <w:rPr>
          <w:b/>
          <w:bCs/>
          <w:szCs w:val="22"/>
        </w:rPr>
        <w:t xml:space="preserve"> </w:t>
      </w:r>
      <w:r w:rsidR="002E1DEA" w:rsidRPr="00A21844">
        <w:rPr>
          <w:rFonts w:cs="Tahoma"/>
          <w:b/>
          <w:bCs/>
          <w:szCs w:val="22"/>
        </w:rPr>
        <w:t xml:space="preserve">veintiuno de julio </w:t>
      </w:r>
      <w:r w:rsidR="004252F1" w:rsidRPr="00A21844">
        <w:rPr>
          <w:rFonts w:cs="Tahoma"/>
          <w:b/>
          <w:bCs/>
          <w:szCs w:val="22"/>
        </w:rPr>
        <w:t>de dos mil veinticuatro</w:t>
      </w:r>
      <w:r w:rsidR="0057766A" w:rsidRPr="00A21844">
        <w:rPr>
          <w:rFonts w:cs="Tahoma"/>
          <w:b/>
          <w:bCs/>
          <w:szCs w:val="22"/>
        </w:rPr>
        <w:t>,</w:t>
      </w:r>
      <w:r w:rsidRPr="00A21844">
        <w:rPr>
          <w:szCs w:val="22"/>
        </w:rPr>
        <w:t xml:space="preserve"> se turnó el recurso de revisión a través del</w:t>
      </w:r>
      <w:r w:rsidRPr="00A21844">
        <w:rPr>
          <w:rFonts w:eastAsia="Arial Unicode MS"/>
          <w:szCs w:val="22"/>
        </w:rPr>
        <w:t xml:space="preserve"> </w:t>
      </w:r>
      <w:r w:rsidRPr="00A21844">
        <w:rPr>
          <w:rFonts w:eastAsia="Arial Unicode MS"/>
          <w:bCs/>
          <w:szCs w:val="22"/>
        </w:rPr>
        <w:t>SAIMEX</w:t>
      </w:r>
      <w:r w:rsidRPr="00A21844">
        <w:rPr>
          <w:szCs w:val="22"/>
        </w:rPr>
        <w:t xml:space="preserve"> a la </w:t>
      </w:r>
      <w:r w:rsidRPr="00A21844">
        <w:rPr>
          <w:b/>
          <w:szCs w:val="22"/>
        </w:rPr>
        <w:t>Comisionada Sharon Cristina Morales Martínez</w:t>
      </w:r>
      <w:r w:rsidRPr="00A21844">
        <w:rPr>
          <w:bCs/>
          <w:szCs w:val="22"/>
        </w:rPr>
        <w:t xml:space="preserve">, </w:t>
      </w:r>
      <w:r w:rsidRPr="00A21844">
        <w:rPr>
          <w:szCs w:val="22"/>
        </w:rPr>
        <w:t xml:space="preserve">a efecto de decretar su admisión o </w:t>
      </w:r>
      <w:proofErr w:type="spellStart"/>
      <w:r w:rsidRPr="00A21844">
        <w:rPr>
          <w:szCs w:val="22"/>
        </w:rPr>
        <w:t>desechamiento</w:t>
      </w:r>
      <w:proofErr w:type="spellEnd"/>
      <w:r w:rsidRPr="00A21844">
        <w:rPr>
          <w:szCs w:val="22"/>
        </w:rPr>
        <w:t xml:space="preserve">. </w:t>
      </w:r>
    </w:p>
    <w:p w14:paraId="18F305CB" w14:textId="77777777" w:rsidR="00664420" w:rsidRPr="00A21844" w:rsidRDefault="00664420" w:rsidP="00A21844">
      <w:pPr>
        <w:ind w:right="-312"/>
        <w:rPr>
          <w:rFonts w:eastAsia="Batang" w:cs="Tahoma"/>
          <w:bCs/>
          <w:szCs w:val="22"/>
        </w:rPr>
      </w:pPr>
    </w:p>
    <w:p w14:paraId="3E31EC2D" w14:textId="295256A1" w:rsidR="00664420" w:rsidRPr="00A21844" w:rsidRDefault="006E25BC" w:rsidP="00A21844">
      <w:pPr>
        <w:pStyle w:val="Ttulo3"/>
        <w:ind w:right="-312"/>
        <w:rPr>
          <w:szCs w:val="22"/>
        </w:rPr>
      </w:pPr>
      <w:bookmarkStart w:id="12" w:name="_Toc172748407"/>
      <w:r w:rsidRPr="00A21844">
        <w:rPr>
          <w:szCs w:val="22"/>
        </w:rPr>
        <w:t>c</w:t>
      </w:r>
      <w:r w:rsidR="00664420" w:rsidRPr="00A21844">
        <w:rPr>
          <w:szCs w:val="22"/>
        </w:rPr>
        <w:t>) Admisión del Recurso de Revisión</w:t>
      </w:r>
      <w:bookmarkEnd w:id="12"/>
    </w:p>
    <w:p w14:paraId="240447D5" w14:textId="7D22E6A1" w:rsidR="000E09C4" w:rsidRPr="00A21844" w:rsidRDefault="000E09C4" w:rsidP="00A21844">
      <w:pPr>
        <w:ind w:right="-312"/>
        <w:rPr>
          <w:rFonts w:cs="Arial"/>
          <w:szCs w:val="22"/>
        </w:rPr>
      </w:pPr>
      <w:r w:rsidRPr="00A21844">
        <w:rPr>
          <w:rFonts w:cs="Arial"/>
          <w:szCs w:val="22"/>
        </w:rPr>
        <w:t xml:space="preserve">El </w:t>
      </w:r>
      <w:r w:rsidR="005B4D73" w:rsidRPr="00A21844">
        <w:rPr>
          <w:rFonts w:cs="Arial"/>
          <w:b/>
          <w:bCs/>
          <w:szCs w:val="22"/>
        </w:rPr>
        <w:t>siete de agosto</w:t>
      </w:r>
      <w:r w:rsidR="004252F1" w:rsidRPr="00A21844">
        <w:rPr>
          <w:rFonts w:cs="Arial"/>
          <w:b/>
          <w:bCs/>
          <w:szCs w:val="22"/>
        </w:rPr>
        <w:t xml:space="preserve"> de dos mil veinticuatro</w:t>
      </w:r>
      <w:r w:rsidR="0009597C" w:rsidRPr="00A21844">
        <w:rPr>
          <w:rFonts w:cs="Arial"/>
          <w:b/>
          <w:bCs/>
          <w:szCs w:val="22"/>
        </w:rPr>
        <w:t>,</w:t>
      </w:r>
      <w:r w:rsidR="004252F1" w:rsidRPr="00A21844">
        <w:rPr>
          <w:rFonts w:cs="Arial"/>
          <w:szCs w:val="22"/>
        </w:rPr>
        <w:t xml:space="preserve"> </w:t>
      </w:r>
      <w:r w:rsidRPr="00A21844">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21844">
        <w:rPr>
          <w:rFonts w:cs="Arial"/>
          <w:szCs w:val="22"/>
        </w:rPr>
        <w:t>, fracción II</w:t>
      </w:r>
      <w:r w:rsidRPr="00A21844">
        <w:rPr>
          <w:rFonts w:cs="Arial"/>
          <w:szCs w:val="22"/>
        </w:rPr>
        <w:t xml:space="preserve"> de la Ley de Transparencia y Acceso a la Información Pública del Estado de México y Municipios.</w:t>
      </w:r>
    </w:p>
    <w:p w14:paraId="34EC3F86" w14:textId="77777777" w:rsidR="00D2790D" w:rsidRPr="00A21844" w:rsidRDefault="00D2790D" w:rsidP="00A21844">
      <w:pPr>
        <w:ind w:right="-312"/>
        <w:rPr>
          <w:rFonts w:cs="Arial"/>
          <w:szCs w:val="22"/>
        </w:rPr>
      </w:pPr>
    </w:p>
    <w:p w14:paraId="3B820F58" w14:textId="5EBF1699" w:rsidR="00865CF4" w:rsidRPr="00A21844" w:rsidRDefault="006E25BC" w:rsidP="00A21844">
      <w:pPr>
        <w:pStyle w:val="Ttulo3"/>
        <w:ind w:right="-312"/>
        <w:rPr>
          <w:szCs w:val="22"/>
        </w:rPr>
      </w:pPr>
      <w:bookmarkStart w:id="13" w:name="_Toc172748408"/>
      <w:r w:rsidRPr="00A21844">
        <w:rPr>
          <w:szCs w:val="22"/>
        </w:rPr>
        <w:t>d</w:t>
      </w:r>
      <w:r w:rsidR="00D2790D" w:rsidRPr="00A21844">
        <w:rPr>
          <w:szCs w:val="22"/>
        </w:rPr>
        <w:t xml:space="preserve">) </w:t>
      </w:r>
      <w:r w:rsidR="00865CF4" w:rsidRPr="00A21844">
        <w:rPr>
          <w:szCs w:val="22"/>
        </w:rPr>
        <w:t>Informe Justificado del Sujeto Obligado</w:t>
      </w:r>
      <w:bookmarkEnd w:id="13"/>
    </w:p>
    <w:p w14:paraId="765F2C1F" w14:textId="77777777" w:rsidR="0084400A" w:rsidRPr="00A21844" w:rsidRDefault="0084400A" w:rsidP="00A21844">
      <w:pPr>
        <w:rPr>
          <w:szCs w:val="22"/>
        </w:rPr>
      </w:pPr>
      <w:r w:rsidRPr="00A21844">
        <w:rPr>
          <w:b/>
          <w:szCs w:val="22"/>
        </w:rPr>
        <w:t xml:space="preserve">EL SUJETO OBLIGADO </w:t>
      </w:r>
      <w:r w:rsidRPr="00A21844">
        <w:rPr>
          <w:szCs w:val="22"/>
        </w:rPr>
        <w:t>no rindió su informe justificado dentro del término legalmente concedido para tal efecto.</w:t>
      </w:r>
    </w:p>
    <w:p w14:paraId="773BAF72" w14:textId="77777777" w:rsidR="00A60E92" w:rsidRPr="00A21844" w:rsidRDefault="00A60E92" w:rsidP="00A21844">
      <w:pPr>
        <w:ind w:right="-312"/>
      </w:pPr>
    </w:p>
    <w:p w14:paraId="755B7730" w14:textId="1B7170D8" w:rsidR="00664420" w:rsidRPr="00A21844" w:rsidRDefault="00E810F7" w:rsidP="00A21844">
      <w:pPr>
        <w:pStyle w:val="Ttulo3"/>
        <w:ind w:right="-312"/>
        <w:rPr>
          <w:szCs w:val="22"/>
          <w:lang w:val="es-ES"/>
        </w:rPr>
      </w:pPr>
      <w:bookmarkStart w:id="14" w:name="_Toc172748409"/>
      <w:r w:rsidRPr="00A21844">
        <w:rPr>
          <w:rFonts w:eastAsia="Calibri"/>
          <w:bCs/>
          <w:szCs w:val="22"/>
          <w:lang w:eastAsia="en-US"/>
        </w:rPr>
        <w:t>e</w:t>
      </w:r>
      <w:r w:rsidR="00664420" w:rsidRPr="00A21844">
        <w:rPr>
          <w:rFonts w:eastAsia="Calibri"/>
          <w:bCs/>
          <w:szCs w:val="22"/>
          <w:lang w:eastAsia="en-US"/>
        </w:rPr>
        <w:t>)</w:t>
      </w:r>
      <w:r w:rsidR="00664420" w:rsidRPr="00A21844">
        <w:rPr>
          <w:szCs w:val="22"/>
        </w:rPr>
        <w:t xml:space="preserve"> </w:t>
      </w:r>
      <w:r w:rsidR="00865CF4" w:rsidRPr="00A21844">
        <w:rPr>
          <w:szCs w:val="22"/>
          <w:lang w:val="es-ES"/>
        </w:rPr>
        <w:t>Manifestaciones de la Parte Recurrente</w:t>
      </w:r>
      <w:bookmarkEnd w:id="14"/>
    </w:p>
    <w:p w14:paraId="6225187D" w14:textId="77777777" w:rsidR="00F51674" w:rsidRPr="00A21844" w:rsidRDefault="00F51674" w:rsidP="00A21844">
      <w:pPr>
        <w:ind w:right="-312"/>
      </w:pPr>
      <w:r w:rsidRPr="00A21844">
        <w:rPr>
          <w:b/>
          <w:bCs/>
        </w:rPr>
        <w:t xml:space="preserve">LA PARTE RECURRENTE </w:t>
      </w:r>
      <w:r w:rsidRPr="00A21844">
        <w:t>no realizó manifestación alguna dentro del término legalmente concedido para tal efecto, ni presentó pruebas o alegatos.</w:t>
      </w:r>
    </w:p>
    <w:p w14:paraId="1D84ADDD" w14:textId="77777777" w:rsidR="0084400A" w:rsidRPr="00A21844" w:rsidRDefault="0084400A" w:rsidP="00A21844">
      <w:pPr>
        <w:ind w:right="-312"/>
        <w:rPr>
          <w:lang w:val="es-ES"/>
        </w:rPr>
      </w:pPr>
    </w:p>
    <w:p w14:paraId="0E651988" w14:textId="64589E46" w:rsidR="00664420" w:rsidRPr="00A21844" w:rsidRDefault="0084400A" w:rsidP="00A21844">
      <w:pPr>
        <w:pStyle w:val="Ttulo3"/>
        <w:ind w:right="-312"/>
        <w:rPr>
          <w:szCs w:val="22"/>
        </w:rPr>
      </w:pPr>
      <w:bookmarkStart w:id="15" w:name="_Toc172748411"/>
      <w:r w:rsidRPr="00A21844">
        <w:rPr>
          <w:szCs w:val="22"/>
        </w:rPr>
        <w:t>g</w:t>
      </w:r>
      <w:r w:rsidR="00664420" w:rsidRPr="00A21844">
        <w:rPr>
          <w:szCs w:val="22"/>
        </w:rPr>
        <w:t>) Cierre de instrucción</w:t>
      </w:r>
      <w:bookmarkEnd w:id="15"/>
    </w:p>
    <w:p w14:paraId="79AF95DC" w14:textId="4B40D517" w:rsidR="00664420" w:rsidRPr="00A21844" w:rsidRDefault="00BF091A" w:rsidP="00A21844">
      <w:pPr>
        <w:ind w:right="-312"/>
        <w:rPr>
          <w:szCs w:val="22"/>
        </w:rPr>
      </w:pPr>
      <w:r w:rsidRPr="00A21844">
        <w:rPr>
          <w:rFonts w:cs="Tahoma"/>
          <w:szCs w:val="22"/>
        </w:rPr>
        <w:t>Al no existir diligencias pendientes por desahogar</w:t>
      </w:r>
      <w:r w:rsidRPr="00A21844">
        <w:rPr>
          <w:rFonts w:cs="Arial"/>
          <w:szCs w:val="22"/>
        </w:rPr>
        <w:t xml:space="preserve">, el </w:t>
      </w:r>
      <w:r w:rsidR="002E1DEA" w:rsidRPr="00A21844">
        <w:rPr>
          <w:rFonts w:cs="Tahoma"/>
          <w:b/>
          <w:bCs/>
          <w:szCs w:val="22"/>
        </w:rPr>
        <w:t>cinco d</w:t>
      </w:r>
      <w:r w:rsidR="00702F96" w:rsidRPr="00A21844">
        <w:rPr>
          <w:rFonts w:cs="Tahoma"/>
          <w:b/>
          <w:bCs/>
          <w:szCs w:val="22"/>
        </w:rPr>
        <w:t>e septiembre</w:t>
      </w:r>
      <w:r w:rsidR="00E810F7" w:rsidRPr="00A21844">
        <w:rPr>
          <w:rFonts w:cs="Tahoma"/>
          <w:b/>
          <w:bCs/>
          <w:szCs w:val="22"/>
        </w:rPr>
        <w:t xml:space="preserve"> de dos mil veinticuatro</w:t>
      </w:r>
      <w:r w:rsidR="00E810F7" w:rsidRPr="00A21844">
        <w:rPr>
          <w:rFonts w:cs="Tahoma"/>
          <w:szCs w:val="22"/>
        </w:rPr>
        <w:t xml:space="preserve"> </w:t>
      </w:r>
      <w:r w:rsidRPr="00A21844">
        <w:rPr>
          <w:rFonts w:cs="Arial"/>
          <w:szCs w:val="22"/>
        </w:rPr>
        <w:t xml:space="preserve">la </w:t>
      </w:r>
      <w:r w:rsidRPr="00A21844">
        <w:rPr>
          <w:rFonts w:cs="Arial"/>
          <w:b/>
          <w:bCs/>
          <w:szCs w:val="22"/>
        </w:rPr>
        <w:t xml:space="preserve">Comisionada </w:t>
      </w:r>
      <w:r w:rsidRPr="00A21844">
        <w:rPr>
          <w:b/>
          <w:szCs w:val="22"/>
        </w:rPr>
        <w:t xml:space="preserve">Sharon Cristina Morales Martínez </w:t>
      </w:r>
      <w:r w:rsidRPr="00A21844">
        <w:rPr>
          <w:rFonts w:cs="Arial"/>
          <w:szCs w:val="22"/>
        </w:rPr>
        <w:t xml:space="preserve">acordó el cierre de </w:t>
      </w:r>
      <w:r w:rsidRPr="00A21844">
        <w:rPr>
          <w:rFonts w:cs="Arial"/>
          <w:szCs w:val="22"/>
        </w:rPr>
        <w:lastRenderedPageBreak/>
        <w:t>instrucción</w:t>
      </w:r>
      <w:r w:rsidR="0011350D" w:rsidRPr="00A21844">
        <w:rPr>
          <w:rFonts w:cs="Arial"/>
          <w:szCs w:val="22"/>
        </w:rPr>
        <w:t xml:space="preserve"> y</w:t>
      </w:r>
      <w:r w:rsidRPr="00A21844">
        <w:rPr>
          <w:rFonts w:cs="Arial"/>
          <w:szCs w:val="22"/>
        </w:rPr>
        <w:t xml:space="preserve"> </w:t>
      </w:r>
      <w:r w:rsidR="0011350D" w:rsidRPr="00A21844">
        <w:rPr>
          <w:rFonts w:cs="Arial"/>
          <w:szCs w:val="22"/>
        </w:rPr>
        <w:t xml:space="preserve">la </w:t>
      </w:r>
      <w:r w:rsidRPr="00A21844">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A21844">
        <w:rPr>
          <w:szCs w:val="22"/>
        </w:rPr>
        <w:t>.</w:t>
      </w:r>
      <w:r w:rsidR="0011350D" w:rsidRPr="00A21844">
        <w:rPr>
          <w:szCs w:val="22"/>
        </w:rPr>
        <w:t xml:space="preserve"> Dicho acuerdo </w:t>
      </w:r>
      <w:r w:rsidR="00664420" w:rsidRPr="00A21844">
        <w:rPr>
          <w:rFonts w:cs="Tahoma"/>
          <w:szCs w:val="22"/>
        </w:rPr>
        <w:t xml:space="preserve">fue notificado a las partes el mismo día a través del </w:t>
      </w:r>
      <w:r w:rsidR="00664420" w:rsidRPr="00A21844">
        <w:rPr>
          <w:rFonts w:cs="Tahoma"/>
          <w:szCs w:val="22"/>
          <w:lang w:val="es-ES"/>
        </w:rPr>
        <w:t>SAIMEX</w:t>
      </w:r>
      <w:r w:rsidR="00664420" w:rsidRPr="00A21844">
        <w:rPr>
          <w:rFonts w:cs="Tahoma"/>
          <w:szCs w:val="22"/>
        </w:rPr>
        <w:t>.</w:t>
      </w:r>
    </w:p>
    <w:p w14:paraId="741683E3" w14:textId="77777777" w:rsidR="0011350D" w:rsidRPr="00A21844" w:rsidRDefault="0011350D" w:rsidP="00A21844">
      <w:pPr>
        <w:ind w:right="-312"/>
        <w:rPr>
          <w:rFonts w:cs="Tahoma"/>
          <w:szCs w:val="22"/>
        </w:rPr>
      </w:pPr>
    </w:p>
    <w:p w14:paraId="7A9629DE" w14:textId="77777777" w:rsidR="00664420" w:rsidRPr="00A21844" w:rsidRDefault="00664420" w:rsidP="00A21844">
      <w:pPr>
        <w:pStyle w:val="Ttulo1"/>
        <w:ind w:right="-312"/>
        <w:rPr>
          <w:rFonts w:eastAsiaTheme="minorHAnsi"/>
          <w:szCs w:val="22"/>
          <w:lang w:eastAsia="en-US"/>
        </w:rPr>
      </w:pPr>
      <w:bookmarkStart w:id="16" w:name="_Toc172748412"/>
      <w:r w:rsidRPr="00A21844">
        <w:rPr>
          <w:rFonts w:eastAsiaTheme="minorHAnsi"/>
          <w:szCs w:val="22"/>
          <w:lang w:eastAsia="en-US"/>
        </w:rPr>
        <w:t>CONSIDERANDOS</w:t>
      </w:r>
      <w:bookmarkEnd w:id="16"/>
    </w:p>
    <w:p w14:paraId="6DD1243B" w14:textId="77777777" w:rsidR="00664420" w:rsidRPr="00A21844" w:rsidRDefault="00664420" w:rsidP="00A21844">
      <w:pPr>
        <w:ind w:right="-312"/>
        <w:contextualSpacing/>
        <w:jc w:val="center"/>
        <w:rPr>
          <w:rFonts w:eastAsiaTheme="minorHAnsi" w:cs="Tahoma"/>
          <w:b/>
          <w:szCs w:val="22"/>
          <w:lang w:eastAsia="en-US"/>
        </w:rPr>
      </w:pPr>
    </w:p>
    <w:p w14:paraId="0B67CB92" w14:textId="2E307D3B" w:rsidR="00664420" w:rsidRPr="00A21844" w:rsidRDefault="00664420" w:rsidP="00A21844">
      <w:pPr>
        <w:pStyle w:val="Ttulo2"/>
        <w:ind w:right="-312"/>
        <w:rPr>
          <w:rFonts w:eastAsia="Batang"/>
          <w:szCs w:val="22"/>
        </w:rPr>
      </w:pPr>
      <w:bookmarkStart w:id="17" w:name="_Toc172748413"/>
      <w:r w:rsidRPr="00A21844">
        <w:rPr>
          <w:rFonts w:eastAsia="Batang"/>
          <w:szCs w:val="22"/>
        </w:rPr>
        <w:t xml:space="preserve">PRIMERO. </w:t>
      </w:r>
      <w:proofErr w:type="spellStart"/>
      <w:r w:rsidR="00BA55A8" w:rsidRPr="00A21844">
        <w:rPr>
          <w:rFonts w:eastAsia="Batang"/>
          <w:szCs w:val="22"/>
        </w:rPr>
        <w:t>Procedibilidad</w:t>
      </w:r>
      <w:bookmarkEnd w:id="17"/>
      <w:proofErr w:type="spellEnd"/>
    </w:p>
    <w:p w14:paraId="39C52BC1" w14:textId="56FCC20D" w:rsidR="00BA55A8" w:rsidRPr="00A21844" w:rsidRDefault="00BA55A8" w:rsidP="00A21844">
      <w:pPr>
        <w:pStyle w:val="Ttulo3"/>
        <w:ind w:right="-312"/>
        <w:rPr>
          <w:szCs w:val="22"/>
        </w:rPr>
      </w:pPr>
      <w:bookmarkStart w:id="18" w:name="_Toc172748414"/>
      <w:r w:rsidRPr="00A21844">
        <w:rPr>
          <w:szCs w:val="22"/>
        </w:rPr>
        <w:t>a) Competencia</w:t>
      </w:r>
      <w:r w:rsidR="00150C49" w:rsidRPr="00A21844">
        <w:rPr>
          <w:szCs w:val="22"/>
        </w:rPr>
        <w:t xml:space="preserve"> del Instituto</w:t>
      </w:r>
      <w:bookmarkEnd w:id="18"/>
    </w:p>
    <w:p w14:paraId="56E64942" w14:textId="6572EDF7" w:rsidR="0011350D" w:rsidRPr="00A21844" w:rsidRDefault="0011350D" w:rsidP="00A21844">
      <w:pPr>
        <w:ind w:right="-312"/>
        <w:rPr>
          <w:rFonts w:cs="Arial"/>
          <w:szCs w:val="22"/>
        </w:rPr>
      </w:pPr>
      <w:r w:rsidRPr="00A21844">
        <w:rPr>
          <w:szCs w:val="22"/>
        </w:rPr>
        <w:t xml:space="preserve">Este Instituto de Transparencia, Acceso a la Información Pública y Protección de Datos Personales del Estado de México y Municipios es competente para conocer y resolver </w:t>
      </w:r>
      <w:r w:rsidR="005F65B7" w:rsidRPr="00A21844">
        <w:rPr>
          <w:szCs w:val="22"/>
        </w:rPr>
        <w:t xml:space="preserve">el </w:t>
      </w:r>
      <w:r w:rsidRPr="00A21844">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21844">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A21844" w:rsidRDefault="00DB1C09" w:rsidP="00A21844">
      <w:pPr>
        <w:ind w:right="-312"/>
        <w:rPr>
          <w:rFonts w:cs="Arial"/>
          <w:szCs w:val="22"/>
        </w:rPr>
      </w:pPr>
    </w:p>
    <w:p w14:paraId="517A2DD6" w14:textId="4169BE4D" w:rsidR="00664420" w:rsidRPr="00A21844" w:rsidRDefault="00BA55A8" w:rsidP="00A21844">
      <w:pPr>
        <w:pStyle w:val="Ttulo3"/>
        <w:ind w:right="-312"/>
        <w:rPr>
          <w:szCs w:val="22"/>
        </w:rPr>
      </w:pPr>
      <w:bookmarkStart w:id="19" w:name="_Toc172748415"/>
      <w:r w:rsidRPr="00A21844">
        <w:rPr>
          <w:szCs w:val="22"/>
        </w:rPr>
        <w:t>b)</w:t>
      </w:r>
      <w:r w:rsidR="00664420" w:rsidRPr="00A21844">
        <w:rPr>
          <w:szCs w:val="22"/>
        </w:rPr>
        <w:t xml:space="preserve"> </w:t>
      </w:r>
      <w:r w:rsidR="00D91CB4" w:rsidRPr="00A21844">
        <w:rPr>
          <w:szCs w:val="22"/>
        </w:rPr>
        <w:t>Legitimidad</w:t>
      </w:r>
      <w:r w:rsidRPr="00A21844">
        <w:rPr>
          <w:szCs w:val="22"/>
        </w:rPr>
        <w:t xml:space="preserve"> de la parte recurrente</w:t>
      </w:r>
      <w:bookmarkEnd w:id="19"/>
    </w:p>
    <w:p w14:paraId="26FEA382" w14:textId="0B06695C" w:rsidR="00D91CB4" w:rsidRPr="00A21844" w:rsidRDefault="00D91CB4" w:rsidP="00A21844">
      <w:pPr>
        <w:ind w:right="-312"/>
        <w:rPr>
          <w:rFonts w:cs="Arial"/>
          <w:bCs/>
          <w:szCs w:val="22"/>
        </w:rPr>
      </w:pPr>
      <w:r w:rsidRPr="00A21844">
        <w:rPr>
          <w:rFonts w:cs="Arial"/>
          <w:bCs/>
          <w:szCs w:val="22"/>
        </w:rPr>
        <w:t>El recurso de revisión fue interpuesto por parte legítima, ya que se presentó por la misma persona que formuló la solicitud de acceso a la Información Pública,</w:t>
      </w:r>
      <w:r w:rsidRPr="00A21844">
        <w:rPr>
          <w:rFonts w:cs="Arial"/>
          <w:b/>
          <w:bCs/>
          <w:szCs w:val="22"/>
        </w:rPr>
        <w:t xml:space="preserve"> </w:t>
      </w:r>
      <w:r w:rsidRPr="00A21844">
        <w:rPr>
          <w:rFonts w:cs="Arial"/>
          <w:szCs w:val="22"/>
        </w:rPr>
        <w:t>debido a que los datos de acceso</w:t>
      </w:r>
      <w:r w:rsidRPr="00A21844">
        <w:rPr>
          <w:rFonts w:cs="Arial"/>
          <w:b/>
          <w:bCs/>
          <w:szCs w:val="22"/>
        </w:rPr>
        <w:t xml:space="preserve"> </w:t>
      </w:r>
      <w:r w:rsidRPr="00A21844">
        <w:rPr>
          <w:rFonts w:cs="Arial"/>
          <w:szCs w:val="22"/>
        </w:rPr>
        <w:t>SAIMEX</w:t>
      </w:r>
      <w:r w:rsidRPr="00A21844">
        <w:rPr>
          <w:rFonts w:eastAsia="Calibri" w:cs="Arial"/>
          <w:szCs w:val="22"/>
          <w:lang w:eastAsia="en-US"/>
        </w:rPr>
        <w:t xml:space="preserve"> son personales e irrepetibles.</w:t>
      </w:r>
    </w:p>
    <w:p w14:paraId="2C367810" w14:textId="77777777" w:rsidR="00D91CB4" w:rsidRPr="00A21844" w:rsidRDefault="00D91CB4" w:rsidP="00A21844">
      <w:pPr>
        <w:ind w:right="-312"/>
        <w:rPr>
          <w:szCs w:val="22"/>
        </w:rPr>
      </w:pPr>
    </w:p>
    <w:p w14:paraId="496490FC" w14:textId="1A5F3FDB" w:rsidR="00D91CB4" w:rsidRPr="00A21844" w:rsidRDefault="00BA55A8" w:rsidP="00A21844">
      <w:pPr>
        <w:pStyle w:val="Ttulo3"/>
        <w:ind w:right="-312"/>
        <w:rPr>
          <w:rFonts w:eastAsia="Calibri"/>
          <w:szCs w:val="22"/>
          <w:lang w:eastAsia="es-ES_tradnl"/>
        </w:rPr>
      </w:pPr>
      <w:bookmarkStart w:id="20" w:name="_Toc172748416"/>
      <w:r w:rsidRPr="00A21844">
        <w:rPr>
          <w:rFonts w:eastAsia="Calibri"/>
          <w:szCs w:val="22"/>
          <w:lang w:eastAsia="es-ES_tradnl"/>
        </w:rPr>
        <w:lastRenderedPageBreak/>
        <w:t>c)</w:t>
      </w:r>
      <w:r w:rsidR="00664420" w:rsidRPr="00A21844">
        <w:rPr>
          <w:rFonts w:eastAsia="Calibri"/>
          <w:szCs w:val="22"/>
          <w:lang w:eastAsia="es-ES_tradnl"/>
        </w:rPr>
        <w:t xml:space="preserve"> </w:t>
      </w:r>
      <w:r w:rsidR="00D91CB4" w:rsidRPr="00A21844">
        <w:rPr>
          <w:rFonts w:eastAsia="Calibri"/>
          <w:szCs w:val="22"/>
          <w:lang w:eastAsia="es-ES_tradnl"/>
        </w:rPr>
        <w:t>Plazo para interponer el recurso</w:t>
      </w:r>
      <w:bookmarkEnd w:id="20"/>
    </w:p>
    <w:p w14:paraId="106D37EE" w14:textId="5233773D" w:rsidR="00D91CB4" w:rsidRPr="00A21844" w:rsidRDefault="00D91CB4" w:rsidP="00A21844">
      <w:pPr>
        <w:ind w:right="-312"/>
        <w:rPr>
          <w:rFonts w:eastAsiaTheme="minorEastAsia" w:cs="Arial"/>
          <w:szCs w:val="22"/>
          <w:lang w:val="es-ES_tradnl"/>
        </w:rPr>
      </w:pPr>
      <w:r w:rsidRPr="00A21844">
        <w:rPr>
          <w:rFonts w:cs="Arial"/>
          <w:b/>
          <w:szCs w:val="22"/>
        </w:rPr>
        <w:t>EL SUJETO OBLIGADO</w:t>
      </w:r>
      <w:r w:rsidRPr="00A21844">
        <w:rPr>
          <w:rFonts w:cs="Arial"/>
          <w:szCs w:val="22"/>
        </w:rPr>
        <w:t xml:space="preserve"> notificó la respuesta a la solicitud de acceso a la Información Pública el </w:t>
      </w:r>
      <w:r w:rsidR="00DF41D7" w:rsidRPr="00A21844">
        <w:rPr>
          <w:rFonts w:cs="Tahoma"/>
          <w:b/>
          <w:bCs/>
          <w:szCs w:val="22"/>
        </w:rPr>
        <w:t>quince de julio</w:t>
      </w:r>
      <w:r w:rsidR="00DE285A" w:rsidRPr="00A21844">
        <w:rPr>
          <w:rFonts w:cs="Tahoma"/>
          <w:b/>
          <w:bCs/>
          <w:szCs w:val="22"/>
        </w:rPr>
        <w:t xml:space="preserve"> de dos mil veinticuatro</w:t>
      </w:r>
      <w:r w:rsidR="00DE285A" w:rsidRPr="00A21844">
        <w:rPr>
          <w:rFonts w:cs="Tahoma"/>
          <w:szCs w:val="22"/>
        </w:rPr>
        <w:t xml:space="preserve"> </w:t>
      </w:r>
      <w:r w:rsidR="00A53315" w:rsidRPr="00A21844">
        <w:rPr>
          <w:rFonts w:cs="Arial"/>
          <w:szCs w:val="22"/>
        </w:rPr>
        <w:t xml:space="preserve">y el recurso </w:t>
      </w:r>
      <w:r w:rsidR="00A53315" w:rsidRPr="00A21844">
        <w:rPr>
          <w:rFonts w:eastAsia="Palatino Linotype" w:cs="Palatino Linotype"/>
          <w:szCs w:val="22"/>
        </w:rPr>
        <w:t xml:space="preserve">que nos ocupa se </w:t>
      </w:r>
      <w:r w:rsidR="006A61F1" w:rsidRPr="00A21844">
        <w:rPr>
          <w:rFonts w:eastAsia="Palatino Linotype" w:cs="Palatino Linotype"/>
          <w:szCs w:val="22"/>
        </w:rPr>
        <w:t>tuvo por presentado</w:t>
      </w:r>
      <w:r w:rsidR="00A53315" w:rsidRPr="00A21844">
        <w:rPr>
          <w:rFonts w:eastAsia="Palatino Linotype" w:cs="Palatino Linotype"/>
          <w:szCs w:val="22"/>
        </w:rPr>
        <w:t xml:space="preserve"> el </w:t>
      </w:r>
      <w:r w:rsidR="00DF41D7" w:rsidRPr="00A21844">
        <w:rPr>
          <w:rFonts w:cs="Tahoma"/>
          <w:b/>
          <w:bCs/>
          <w:szCs w:val="22"/>
        </w:rPr>
        <w:t>cinco de agosto</w:t>
      </w:r>
      <w:r w:rsidR="00DE285A" w:rsidRPr="00A21844">
        <w:rPr>
          <w:rFonts w:cs="Tahoma"/>
          <w:b/>
          <w:bCs/>
          <w:szCs w:val="22"/>
        </w:rPr>
        <w:t xml:space="preserve"> de dos mil veinticuatro</w:t>
      </w:r>
      <w:r w:rsidR="00A53315" w:rsidRPr="00A21844">
        <w:rPr>
          <w:rFonts w:eastAsia="Palatino Linotype" w:cs="Palatino Linotype"/>
          <w:bCs/>
          <w:szCs w:val="22"/>
        </w:rPr>
        <w:t>;</w:t>
      </w:r>
      <w:r w:rsidR="00A53315" w:rsidRPr="00A21844">
        <w:rPr>
          <w:rFonts w:eastAsia="Palatino Linotype" w:cs="Palatino Linotype"/>
          <w:szCs w:val="22"/>
        </w:rPr>
        <w:t xml:space="preserve"> por lo tanto, éste se encuentra dentro del margen temporal previsto en el artículo 178 de la </w:t>
      </w:r>
      <w:r w:rsidR="00A53315" w:rsidRPr="00A21844">
        <w:rPr>
          <w:rFonts w:cs="Arial"/>
          <w:szCs w:val="22"/>
        </w:rPr>
        <w:t xml:space="preserve">Ley de Transparencia y Acceso a la Información Pública del Estado de México y Municipios, </w:t>
      </w:r>
      <w:r w:rsidR="00A53315" w:rsidRPr="00A21844">
        <w:rPr>
          <w:rFonts w:eastAsia="Calibri"/>
          <w:szCs w:val="22"/>
          <w:lang w:eastAsia="es-ES_tradnl"/>
        </w:rPr>
        <w:t xml:space="preserve">el cual </w:t>
      </w:r>
      <w:r w:rsidRPr="00A21844">
        <w:rPr>
          <w:rFonts w:cs="Arial"/>
          <w:szCs w:val="22"/>
        </w:rPr>
        <w:t xml:space="preserve">transcurrió del </w:t>
      </w:r>
      <w:r w:rsidR="00673EEC" w:rsidRPr="00A21844">
        <w:rPr>
          <w:rFonts w:cs="Tahoma"/>
          <w:b/>
          <w:bCs/>
          <w:szCs w:val="22"/>
        </w:rPr>
        <w:t>dieciséis de julio al diecinueve de agosto</w:t>
      </w:r>
      <w:r w:rsidR="002B6C85" w:rsidRPr="00A21844">
        <w:rPr>
          <w:rFonts w:cs="Tahoma"/>
          <w:b/>
          <w:bCs/>
          <w:szCs w:val="22"/>
        </w:rPr>
        <w:t xml:space="preserve"> </w:t>
      </w:r>
      <w:r w:rsidR="00DE285A" w:rsidRPr="00A21844">
        <w:rPr>
          <w:rFonts w:cs="Tahoma"/>
          <w:b/>
          <w:bCs/>
          <w:szCs w:val="22"/>
        </w:rPr>
        <w:t>de dos mil veinticuatro</w:t>
      </w:r>
      <w:r w:rsidRPr="00A21844">
        <w:rPr>
          <w:rFonts w:cs="Arial"/>
          <w:szCs w:val="22"/>
        </w:rPr>
        <w:t xml:space="preserve">, </w:t>
      </w:r>
      <w:r w:rsidRPr="00A21844">
        <w:rPr>
          <w:rFonts w:eastAsiaTheme="minorEastAsia" w:cs="Arial"/>
          <w:szCs w:val="22"/>
          <w:lang w:val="es-ES_tradnl"/>
        </w:rPr>
        <w:t xml:space="preserve">sin contemplar en el cómputo los días </w:t>
      </w:r>
      <w:bookmarkStart w:id="21" w:name="_Hlk62134391"/>
      <w:r w:rsidRPr="00A21844">
        <w:rPr>
          <w:rFonts w:eastAsiaTheme="minorEastAsia" w:cs="Arial"/>
          <w:szCs w:val="22"/>
          <w:lang w:val="es-ES_tradnl"/>
        </w:rPr>
        <w:t>sábados</w:t>
      </w:r>
      <w:r w:rsidR="00CB7E9A" w:rsidRPr="00A21844">
        <w:rPr>
          <w:rFonts w:eastAsiaTheme="minorEastAsia" w:cs="Arial"/>
          <w:szCs w:val="22"/>
          <w:lang w:val="es-ES_tradnl"/>
        </w:rPr>
        <w:t xml:space="preserve">, </w:t>
      </w:r>
      <w:r w:rsidRPr="00A21844">
        <w:rPr>
          <w:rFonts w:eastAsiaTheme="minorEastAsia" w:cs="Arial"/>
          <w:szCs w:val="22"/>
          <w:lang w:val="es-ES_tradnl"/>
        </w:rPr>
        <w:t>domingos</w:t>
      </w:r>
      <w:r w:rsidR="00CB7E9A" w:rsidRPr="00A21844">
        <w:rPr>
          <w:rFonts w:eastAsiaTheme="minorEastAsia" w:cs="Arial"/>
          <w:szCs w:val="22"/>
          <w:lang w:val="es-ES_tradnl"/>
        </w:rPr>
        <w:t xml:space="preserve"> y aquellos</w:t>
      </w:r>
      <w:r w:rsidRPr="00A21844">
        <w:rPr>
          <w:rFonts w:eastAsiaTheme="minorEastAsia" w:cs="Arial"/>
          <w:szCs w:val="22"/>
          <w:lang w:val="es-ES_tradnl"/>
        </w:rPr>
        <w:t xml:space="preserve"> considerados como días inhábiles</w:t>
      </w:r>
      <w:r w:rsidR="00CB7E9A" w:rsidRPr="00A21844">
        <w:rPr>
          <w:rFonts w:eastAsiaTheme="minorEastAsia" w:cs="Arial"/>
          <w:szCs w:val="22"/>
          <w:lang w:val="es-ES_tradnl"/>
        </w:rPr>
        <w:t xml:space="preserve"> </w:t>
      </w:r>
      <w:r w:rsidRPr="00A21844">
        <w:rPr>
          <w:rFonts w:eastAsiaTheme="minorEastAsia" w:cs="Arial"/>
          <w:szCs w:val="22"/>
          <w:lang w:val="es-ES_tradnl"/>
        </w:rPr>
        <w:t xml:space="preserve">en términos del </w:t>
      </w:r>
      <w:bookmarkEnd w:id="21"/>
      <w:r w:rsidRPr="00A21844">
        <w:rPr>
          <w:rFonts w:eastAsiaTheme="minorEastAsia" w:cs="Arial"/>
          <w:szCs w:val="22"/>
          <w:lang w:val="es-ES_tradnl"/>
        </w:rPr>
        <w:t>Calendario oficia</w:t>
      </w:r>
      <w:r w:rsidR="00CB7E9A" w:rsidRPr="00A21844">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113BB271" w14:textId="77777777" w:rsidR="002E1DEA" w:rsidRPr="00A21844" w:rsidRDefault="002E1DEA" w:rsidP="00A21844">
      <w:pPr>
        <w:ind w:right="-312"/>
        <w:rPr>
          <w:rFonts w:eastAsiaTheme="minorEastAsia" w:cs="Arial"/>
          <w:szCs w:val="22"/>
          <w:lang w:val="es-ES_tradnl"/>
        </w:rPr>
      </w:pPr>
    </w:p>
    <w:p w14:paraId="46C0EB3A" w14:textId="661B968D" w:rsidR="00A53315" w:rsidRPr="00A21844" w:rsidRDefault="00BA55A8" w:rsidP="00A21844">
      <w:pPr>
        <w:pStyle w:val="Ttulo3"/>
        <w:ind w:right="-312"/>
        <w:rPr>
          <w:rFonts w:eastAsia="Calibri"/>
          <w:szCs w:val="22"/>
          <w:lang w:eastAsia="es-ES_tradnl"/>
        </w:rPr>
      </w:pPr>
      <w:bookmarkStart w:id="22" w:name="_Toc172748417"/>
      <w:r w:rsidRPr="00A21844">
        <w:rPr>
          <w:rFonts w:eastAsia="Calibri"/>
          <w:szCs w:val="22"/>
          <w:lang w:eastAsia="es-ES_tradnl"/>
        </w:rPr>
        <w:t>d)</w:t>
      </w:r>
      <w:r w:rsidR="00D91CB4" w:rsidRPr="00A21844">
        <w:rPr>
          <w:rFonts w:eastAsia="Calibri"/>
          <w:szCs w:val="22"/>
          <w:lang w:eastAsia="es-ES_tradnl"/>
        </w:rPr>
        <w:t xml:space="preserve"> </w:t>
      </w:r>
      <w:r w:rsidR="00174FBE" w:rsidRPr="00A21844">
        <w:rPr>
          <w:rFonts w:eastAsia="Calibri"/>
          <w:szCs w:val="22"/>
          <w:lang w:eastAsia="es-ES_tradnl"/>
        </w:rPr>
        <w:t>Causal de procedencia</w:t>
      </w:r>
      <w:bookmarkEnd w:id="22"/>
    </w:p>
    <w:p w14:paraId="190404A6" w14:textId="5ABE4FBE" w:rsidR="00BA55A8" w:rsidRPr="00A21844" w:rsidRDefault="00BA55A8" w:rsidP="00A21844">
      <w:pPr>
        <w:ind w:right="-312"/>
        <w:rPr>
          <w:szCs w:val="22"/>
        </w:rPr>
      </w:pPr>
      <w:r w:rsidRPr="00A21844">
        <w:rPr>
          <w:rFonts w:cs="Arial"/>
          <w:szCs w:val="22"/>
        </w:rPr>
        <w:t xml:space="preserve">Resulta procedente la interposición del recurso de revisión, ya que </w:t>
      </w:r>
      <w:r w:rsidRPr="00A21844">
        <w:rPr>
          <w:rFonts w:eastAsia="Calibri" w:cs="Tahoma"/>
          <w:szCs w:val="22"/>
          <w:lang w:eastAsia="es-MX"/>
        </w:rPr>
        <w:t>se actualiza la causal de procedencia señalada en el artículo 179, fracci</w:t>
      </w:r>
      <w:r w:rsidR="008E3EAD" w:rsidRPr="00A21844">
        <w:rPr>
          <w:rFonts w:eastAsia="Calibri" w:cs="Tahoma"/>
          <w:szCs w:val="22"/>
          <w:lang w:eastAsia="es-MX"/>
        </w:rPr>
        <w:t>ón</w:t>
      </w:r>
      <w:r w:rsidR="00EE1B1C" w:rsidRPr="00A21844">
        <w:rPr>
          <w:rFonts w:eastAsia="Calibri" w:cs="Tahoma"/>
          <w:szCs w:val="22"/>
          <w:lang w:eastAsia="es-MX"/>
        </w:rPr>
        <w:t xml:space="preserve"> </w:t>
      </w:r>
      <w:r w:rsidR="002B6C85" w:rsidRPr="00A21844">
        <w:rPr>
          <w:rFonts w:eastAsia="Calibri" w:cs="Tahoma"/>
          <w:szCs w:val="22"/>
          <w:lang w:eastAsia="es-MX"/>
        </w:rPr>
        <w:t>VII</w:t>
      </w:r>
      <w:r w:rsidR="00EE1B1C" w:rsidRPr="00A21844">
        <w:rPr>
          <w:rFonts w:eastAsia="Calibri" w:cs="Tahoma"/>
          <w:szCs w:val="22"/>
          <w:lang w:eastAsia="es-MX"/>
        </w:rPr>
        <w:t>I</w:t>
      </w:r>
      <w:r w:rsidRPr="00A21844">
        <w:rPr>
          <w:rFonts w:cs="Arial"/>
          <w:szCs w:val="22"/>
        </w:rPr>
        <w:t xml:space="preserve"> de la </w:t>
      </w:r>
      <w:r w:rsidRPr="00A21844">
        <w:rPr>
          <w:szCs w:val="22"/>
        </w:rPr>
        <w:t>Ley de Transparencia y Acceso a la Información Pública del Estado de México y Municipios.</w:t>
      </w:r>
    </w:p>
    <w:p w14:paraId="0EFF7141" w14:textId="77777777" w:rsidR="00362A11" w:rsidRPr="00A21844" w:rsidRDefault="00362A11" w:rsidP="00A21844">
      <w:pPr>
        <w:ind w:right="-312"/>
        <w:rPr>
          <w:szCs w:val="22"/>
        </w:rPr>
      </w:pPr>
    </w:p>
    <w:p w14:paraId="2284D7EB" w14:textId="3EE1D036" w:rsidR="00BA55A8" w:rsidRPr="00A21844" w:rsidRDefault="00362A11" w:rsidP="00A21844">
      <w:pPr>
        <w:pStyle w:val="Ttulo3"/>
        <w:ind w:right="-312"/>
        <w:rPr>
          <w:szCs w:val="22"/>
        </w:rPr>
      </w:pPr>
      <w:bookmarkStart w:id="23" w:name="_Toc172748418"/>
      <w:r w:rsidRPr="00A21844">
        <w:rPr>
          <w:szCs w:val="22"/>
        </w:rPr>
        <w:t>e) Requisitos formales para la interposición del recurso</w:t>
      </w:r>
      <w:bookmarkEnd w:id="23"/>
    </w:p>
    <w:p w14:paraId="694894AB" w14:textId="77777777" w:rsidR="00580A07" w:rsidRPr="00A21844" w:rsidRDefault="00580A07" w:rsidP="00A21844">
      <w:pPr>
        <w:rPr>
          <w:rFonts w:cs="Arial"/>
        </w:rPr>
      </w:pPr>
      <w:r w:rsidRPr="00A21844">
        <w:rPr>
          <w:rFonts w:cs="Arial"/>
          <w:b/>
          <w:bCs/>
        </w:rPr>
        <w:t xml:space="preserve">LA PARTE RECURRENTE </w:t>
      </w:r>
      <w:r w:rsidRPr="00A21844">
        <w:rPr>
          <w:rFonts w:cs="Arial"/>
        </w:rPr>
        <w:t>acreditó todos y cada uno de los elementos formales exigidos por el artículo 180 de la misma normatividad.</w:t>
      </w:r>
    </w:p>
    <w:p w14:paraId="3A121826" w14:textId="77777777" w:rsidR="00C461EC" w:rsidRPr="00A21844" w:rsidRDefault="00C461EC" w:rsidP="00A21844">
      <w:pPr>
        <w:ind w:right="-312"/>
        <w:rPr>
          <w:bCs/>
          <w:szCs w:val="22"/>
        </w:rPr>
      </w:pPr>
    </w:p>
    <w:p w14:paraId="457548E9" w14:textId="3F7AF03B" w:rsidR="00C71CEF" w:rsidRPr="00A21844" w:rsidRDefault="00C71CEF" w:rsidP="00A21844">
      <w:pPr>
        <w:pStyle w:val="Ttulo2"/>
        <w:ind w:right="-312"/>
        <w:rPr>
          <w:szCs w:val="22"/>
        </w:rPr>
      </w:pPr>
      <w:bookmarkStart w:id="24" w:name="_Toc172748419"/>
      <w:r w:rsidRPr="00A21844">
        <w:rPr>
          <w:szCs w:val="22"/>
        </w:rPr>
        <w:lastRenderedPageBreak/>
        <w:t>SEGUNDO. Estudio de Fondo</w:t>
      </w:r>
      <w:bookmarkEnd w:id="24"/>
    </w:p>
    <w:p w14:paraId="2A308F59" w14:textId="0FF373F0" w:rsidR="00C049E2" w:rsidRPr="00A21844" w:rsidRDefault="00C71CEF" w:rsidP="00A21844">
      <w:pPr>
        <w:pStyle w:val="Ttulo3"/>
        <w:ind w:right="-312"/>
        <w:rPr>
          <w:szCs w:val="22"/>
        </w:rPr>
      </w:pPr>
      <w:bookmarkStart w:id="25" w:name="_Toc172748420"/>
      <w:r w:rsidRPr="00A21844">
        <w:rPr>
          <w:szCs w:val="22"/>
        </w:rPr>
        <w:t>a</w:t>
      </w:r>
      <w:r w:rsidR="00C049E2" w:rsidRPr="00A21844">
        <w:rPr>
          <w:szCs w:val="22"/>
        </w:rPr>
        <w:t>) Mandato de transparencia y responsabilidad del Sujeto Obligado</w:t>
      </w:r>
      <w:bookmarkEnd w:id="25"/>
    </w:p>
    <w:p w14:paraId="6901A889" w14:textId="59EEDAE1" w:rsidR="00C049E2" w:rsidRPr="00A21844" w:rsidRDefault="00C049E2" w:rsidP="00A21844">
      <w:pPr>
        <w:ind w:right="-312"/>
        <w:rPr>
          <w:rFonts w:eastAsia="Palatino Linotype"/>
          <w:szCs w:val="22"/>
        </w:rPr>
      </w:pPr>
      <w:r w:rsidRPr="00A21844">
        <w:rPr>
          <w:rFonts w:eastAsia="Palatino Linotype"/>
          <w:szCs w:val="22"/>
        </w:rPr>
        <w:t xml:space="preserve">El </w:t>
      </w:r>
      <w:r w:rsidR="00717E59" w:rsidRPr="00A21844">
        <w:rPr>
          <w:rFonts w:eastAsia="Palatino Linotype"/>
          <w:szCs w:val="22"/>
        </w:rPr>
        <w:t>d</w:t>
      </w:r>
      <w:r w:rsidRPr="00A21844">
        <w:rPr>
          <w:rFonts w:eastAsia="Palatino Linotype"/>
          <w:szCs w:val="22"/>
        </w:rPr>
        <w:t xml:space="preserve">erecho de </w:t>
      </w:r>
      <w:r w:rsidR="00717E59" w:rsidRPr="00A21844">
        <w:rPr>
          <w:rFonts w:eastAsia="Palatino Linotype"/>
          <w:szCs w:val="22"/>
        </w:rPr>
        <w:t>a</w:t>
      </w:r>
      <w:r w:rsidRPr="00A21844">
        <w:rPr>
          <w:rFonts w:eastAsia="Palatino Linotype"/>
          <w:szCs w:val="22"/>
        </w:rPr>
        <w:t xml:space="preserve">cceso a la </w:t>
      </w:r>
      <w:r w:rsidR="00717E59" w:rsidRPr="00A21844">
        <w:rPr>
          <w:rFonts w:eastAsia="Palatino Linotype"/>
          <w:szCs w:val="22"/>
        </w:rPr>
        <w:t>i</w:t>
      </w:r>
      <w:r w:rsidRPr="00A21844">
        <w:rPr>
          <w:rFonts w:eastAsia="Palatino Linotype"/>
          <w:szCs w:val="22"/>
        </w:rPr>
        <w:t xml:space="preserve">nformación </w:t>
      </w:r>
      <w:r w:rsidR="00717E59" w:rsidRPr="00A21844">
        <w:rPr>
          <w:rFonts w:eastAsia="Palatino Linotype"/>
          <w:szCs w:val="22"/>
        </w:rPr>
        <w:t>p</w:t>
      </w:r>
      <w:r w:rsidRPr="00A21844">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A21844">
        <w:rPr>
          <w:rFonts w:eastAsia="Palatino Linotype"/>
          <w:szCs w:val="22"/>
        </w:rPr>
        <w:t>:</w:t>
      </w:r>
    </w:p>
    <w:p w14:paraId="7FAB8D32" w14:textId="77777777" w:rsidR="00C049E2" w:rsidRPr="00A21844" w:rsidRDefault="00C049E2" w:rsidP="00A21844">
      <w:pPr>
        <w:ind w:right="-312"/>
        <w:rPr>
          <w:rFonts w:eastAsia="Palatino Linotype"/>
          <w:szCs w:val="22"/>
        </w:rPr>
      </w:pPr>
    </w:p>
    <w:p w14:paraId="05320813" w14:textId="77777777" w:rsidR="00C049E2" w:rsidRPr="00A21844" w:rsidRDefault="00C049E2" w:rsidP="00A21844">
      <w:pPr>
        <w:spacing w:line="240" w:lineRule="auto"/>
        <w:ind w:left="567" w:right="539"/>
        <w:rPr>
          <w:rFonts w:eastAsia="Palatino Linotype"/>
          <w:b/>
          <w:i/>
          <w:szCs w:val="22"/>
        </w:rPr>
      </w:pPr>
      <w:r w:rsidRPr="00A21844">
        <w:rPr>
          <w:rFonts w:eastAsia="Palatino Linotype"/>
          <w:b/>
          <w:i/>
          <w:szCs w:val="22"/>
        </w:rPr>
        <w:t>Constitución Política de los Estados Unidos Mexicanos</w:t>
      </w:r>
    </w:p>
    <w:p w14:paraId="6B6C67B6" w14:textId="77777777" w:rsidR="00C049E2" w:rsidRPr="00A21844" w:rsidRDefault="00C049E2" w:rsidP="00A21844">
      <w:pPr>
        <w:spacing w:line="240" w:lineRule="auto"/>
        <w:ind w:left="567" w:right="539"/>
        <w:rPr>
          <w:rFonts w:eastAsia="Palatino Linotype"/>
          <w:b/>
          <w:i/>
          <w:szCs w:val="22"/>
        </w:rPr>
      </w:pPr>
      <w:r w:rsidRPr="00A21844">
        <w:rPr>
          <w:rFonts w:eastAsia="Palatino Linotype"/>
          <w:b/>
          <w:i/>
          <w:szCs w:val="22"/>
        </w:rPr>
        <w:t>“Artículo 6.</w:t>
      </w:r>
    </w:p>
    <w:p w14:paraId="38D3B4C4" w14:textId="77777777" w:rsidR="00C049E2" w:rsidRPr="00A21844" w:rsidRDefault="00C049E2" w:rsidP="00A21844">
      <w:pPr>
        <w:spacing w:line="240" w:lineRule="auto"/>
        <w:ind w:left="567" w:right="539"/>
        <w:rPr>
          <w:rFonts w:eastAsia="Palatino Linotype"/>
          <w:i/>
          <w:szCs w:val="22"/>
        </w:rPr>
      </w:pPr>
      <w:r w:rsidRPr="00A21844">
        <w:rPr>
          <w:rFonts w:eastAsia="Palatino Linotype"/>
          <w:i/>
          <w:szCs w:val="22"/>
        </w:rPr>
        <w:t>(…)</w:t>
      </w:r>
    </w:p>
    <w:p w14:paraId="2CCAA297" w14:textId="6602827B" w:rsidR="00C049E2" w:rsidRPr="00A21844" w:rsidRDefault="00C049E2" w:rsidP="00A21844">
      <w:pPr>
        <w:spacing w:line="240" w:lineRule="auto"/>
        <w:ind w:left="567" w:right="539"/>
        <w:rPr>
          <w:rFonts w:eastAsia="Palatino Linotype"/>
          <w:i/>
          <w:szCs w:val="22"/>
        </w:rPr>
      </w:pPr>
      <w:r w:rsidRPr="00A21844">
        <w:rPr>
          <w:rFonts w:eastAsia="Palatino Linotype"/>
          <w:i/>
          <w:szCs w:val="22"/>
        </w:rPr>
        <w:t>Para efectos de lo dispuesto en el presente artículo se observará lo siguiente:</w:t>
      </w:r>
    </w:p>
    <w:p w14:paraId="74CC3718" w14:textId="77777777" w:rsidR="00C049E2" w:rsidRPr="00A21844" w:rsidRDefault="00C049E2" w:rsidP="00A21844">
      <w:pPr>
        <w:spacing w:line="240" w:lineRule="auto"/>
        <w:ind w:left="567" w:right="539"/>
        <w:rPr>
          <w:rFonts w:eastAsia="Palatino Linotype"/>
          <w:b/>
          <w:i/>
          <w:szCs w:val="22"/>
        </w:rPr>
      </w:pPr>
      <w:r w:rsidRPr="00A21844">
        <w:rPr>
          <w:rFonts w:eastAsia="Palatino Linotype"/>
          <w:b/>
          <w:i/>
          <w:szCs w:val="22"/>
        </w:rPr>
        <w:t>A</w:t>
      </w:r>
      <w:r w:rsidRPr="00A21844">
        <w:rPr>
          <w:rFonts w:eastAsia="Palatino Linotype"/>
          <w:i/>
          <w:szCs w:val="22"/>
        </w:rPr>
        <w:t xml:space="preserve">. </w:t>
      </w:r>
      <w:r w:rsidRPr="00A21844">
        <w:rPr>
          <w:rFonts w:eastAsia="Palatino Linotype"/>
          <w:b/>
          <w:i/>
          <w:szCs w:val="22"/>
        </w:rPr>
        <w:t>Para el ejercicio del derecho de acceso a la información</w:t>
      </w:r>
      <w:r w:rsidRPr="00A21844">
        <w:rPr>
          <w:rFonts w:eastAsia="Palatino Linotype"/>
          <w:i/>
          <w:szCs w:val="22"/>
        </w:rPr>
        <w:t xml:space="preserve">, la Federación y </w:t>
      </w:r>
      <w:r w:rsidRPr="00A21844">
        <w:rPr>
          <w:rFonts w:eastAsia="Palatino Linotype"/>
          <w:b/>
          <w:i/>
          <w:szCs w:val="22"/>
        </w:rPr>
        <w:t>las entidades federativas, en el ámbito de sus respectivas competencias, se regirán por los siguientes principios y bases:</w:t>
      </w:r>
    </w:p>
    <w:p w14:paraId="596A956B" w14:textId="77777777" w:rsidR="00C049E2" w:rsidRPr="00A21844" w:rsidRDefault="00C049E2" w:rsidP="00A21844">
      <w:pPr>
        <w:spacing w:line="240" w:lineRule="auto"/>
        <w:ind w:left="567" w:right="539"/>
        <w:rPr>
          <w:rFonts w:eastAsia="Palatino Linotype"/>
          <w:i/>
          <w:szCs w:val="22"/>
        </w:rPr>
      </w:pPr>
      <w:r w:rsidRPr="00A21844">
        <w:rPr>
          <w:rFonts w:eastAsia="Palatino Linotype"/>
          <w:b/>
          <w:i/>
          <w:szCs w:val="22"/>
        </w:rPr>
        <w:t xml:space="preserve">I. </w:t>
      </w:r>
      <w:r w:rsidRPr="00A21844">
        <w:rPr>
          <w:rFonts w:eastAsia="Palatino Linotype"/>
          <w:b/>
          <w:i/>
          <w:szCs w:val="22"/>
        </w:rPr>
        <w:tab/>
        <w:t>Toda la información en posesión de cualquier</w:t>
      </w:r>
      <w:r w:rsidRPr="00A21844">
        <w:rPr>
          <w:rFonts w:eastAsia="Palatino Linotype"/>
          <w:i/>
          <w:szCs w:val="22"/>
        </w:rPr>
        <w:t xml:space="preserve"> </w:t>
      </w:r>
      <w:r w:rsidRPr="00A21844">
        <w:rPr>
          <w:rFonts w:eastAsia="Palatino Linotype"/>
          <w:b/>
          <w:i/>
          <w:szCs w:val="22"/>
        </w:rPr>
        <w:t>autoridad</w:t>
      </w:r>
      <w:r w:rsidRPr="00A21844">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21844">
        <w:rPr>
          <w:rFonts w:eastAsia="Palatino Linotype"/>
          <w:b/>
          <w:i/>
          <w:szCs w:val="22"/>
        </w:rPr>
        <w:t>municipal</w:t>
      </w:r>
      <w:r w:rsidRPr="00A21844">
        <w:rPr>
          <w:rFonts w:eastAsia="Palatino Linotype"/>
          <w:i/>
          <w:szCs w:val="22"/>
        </w:rPr>
        <w:t xml:space="preserve">, </w:t>
      </w:r>
      <w:r w:rsidRPr="00A21844">
        <w:rPr>
          <w:rFonts w:eastAsia="Palatino Linotype"/>
          <w:b/>
          <w:i/>
          <w:szCs w:val="22"/>
        </w:rPr>
        <w:t>es pública</w:t>
      </w:r>
      <w:r w:rsidRPr="00A21844">
        <w:rPr>
          <w:rFonts w:eastAsia="Palatino Linotype"/>
          <w:i/>
          <w:szCs w:val="22"/>
        </w:rPr>
        <w:t xml:space="preserve"> y sólo podrá ser reservada temporalmente por razones de interés público y seguridad nacional, en los términos que fijen las leyes. </w:t>
      </w:r>
      <w:r w:rsidRPr="00A21844">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A21844">
        <w:rPr>
          <w:rFonts w:eastAsia="Palatino Linotype"/>
          <w:i/>
          <w:szCs w:val="22"/>
        </w:rPr>
        <w:t>, la ley determinará los supuestos específicos bajo los cuales procederá la declaración de inexistencia de la información.”</w:t>
      </w:r>
    </w:p>
    <w:p w14:paraId="68F313E4" w14:textId="77777777" w:rsidR="00C049E2" w:rsidRPr="00A21844" w:rsidRDefault="00C049E2" w:rsidP="00A21844">
      <w:pPr>
        <w:spacing w:line="240" w:lineRule="auto"/>
        <w:ind w:left="567" w:right="539"/>
        <w:rPr>
          <w:rFonts w:eastAsia="Palatino Linotype"/>
          <w:b/>
          <w:i/>
          <w:szCs w:val="22"/>
        </w:rPr>
      </w:pPr>
    </w:p>
    <w:p w14:paraId="504F12DB" w14:textId="77777777" w:rsidR="00C049E2" w:rsidRPr="00A21844" w:rsidRDefault="00C049E2" w:rsidP="00A21844">
      <w:pPr>
        <w:spacing w:line="240" w:lineRule="auto"/>
        <w:ind w:left="567" w:right="539"/>
        <w:rPr>
          <w:rFonts w:eastAsia="Palatino Linotype"/>
          <w:b/>
          <w:i/>
          <w:szCs w:val="22"/>
        </w:rPr>
      </w:pPr>
      <w:r w:rsidRPr="00A21844">
        <w:rPr>
          <w:rFonts w:eastAsia="Palatino Linotype"/>
          <w:b/>
          <w:i/>
          <w:szCs w:val="22"/>
        </w:rPr>
        <w:t>Constitución Política del Estado Libre y Soberano de México</w:t>
      </w:r>
    </w:p>
    <w:p w14:paraId="04932D29" w14:textId="77777777" w:rsidR="00C049E2" w:rsidRPr="00A21844" w:rsidRDefault="00C049E2" w:rsidP="00A21844">
      <w:pPr>
        <w:spacing w:line="240" w:lineRule="auto"/>
        <w:ind w:left="567" w:right="539"/>
        <w:rPr>
          <w:rFonts w:eastAsia="Palatino Linotype"/>
          <w:i/>
          <w:szCs w:val="22"/>
        </w:rPr>
      </w:pPr>
      <w:r w:rsidRPr="00A21844">
        <w:rPr>
          <w:rFonts w:eastAsia="Palatino Linotype"/>
          <w:b/>
          <w:i/>
          <w:szCs w:val="22"/>
        </w:rPr>
        <w:t>“Artículo 5</w:t>
      </w:r>
      <w:r w:rsidRPr="00A21844">
        <w:rPr>
          <w:rFonts w:eastAsia="Palatino Linotype"/>
          <w:i/>
          <w:szCs w:val="22"/>
        </w:rPr>
        <w:t xml:space="preserve">.- </w:t>
      </w:r>
    </w:p>
    <w:p w14:paraId="1D3829F4" w14:textId="77777777" w:rsidR="00C049E2" w:rsidRPr="00A21844" w:rsidRDefault="00C049E2" w:rsidP="00A21844">
      <w:pPr>
        <w:spacing w:line="240" w:lineRule="auto"/>
        <w:ind w:left="567" w:right="539"/>
        <w:rPr>
          <w:rFonts w:eastAsia="Palatino Linotype"/>
          <w:i/>
          <w:szCs w:val="22"/>
        </w:rPr>
      </w:pPr>
      <w:r w:rsidRPr="00A21844">
        <w:rPr>
          <w:rFonts w:eastAsia="Palatino Linotype"/>
          <w:i/>
          <w:szCs w:val="22"/>
        </w:rPr>
        <w:t>(…)</w:t>
      </w:r>
    </w:p>
    <w:p w14:paraId="0EAE47FD" w14:textId="77777777" w:rsidR="00C049E2" w:rsidRPr="00A21844" w:rsidRDefault="00C049E2" w:rsidP="00A21844">
      <w:pPr>
        <w:spacing w:line="240" w:lineRule="auto"/>
        <w:ind w:left="567" w:right="539"/>
        <w:rPr>
          <w:rFonts w:eastAsia="Palatino Linotype"/>
          <w:i/>
          <w:szCs w:val="22"/>
        </w:rPr>
      </w:pPr>
      <w:r w:rsidRPr="00A21844">
        <w:rPr>
          <w:rFonts w:eastAsia="Palatino Linotype"/>
          <w:b/>
          <w:i/>
          <w:szCs w:val="22"/>
        </w:rPr>
        <w:t>El derecho a la información será garantizado por el Estado. La ley establecerá las previsiones que permitan asegurar la protección, el respeto y la difusión de este derecho</w:t>
      </w:r>
      <w:r w:rsidRPr="00A21844">
        <w:rPr>
          <w:rFonts w:eastAsia="Palatino Linotype"/>
          <w:i/>
          <w:szCs w:val="22"/>
        </w:rPr>
        <w:t>.</w:t>
      </w:r>
    </w:p>
    <w:p w14:paraId="4F0C804A" w14:textId="77777777" w:rsidR="00C049E2" w:rsidRPr="00A21844" w:rsidRDefault="00C049E2" w:rsidP="00A21844">
      <w:pPr>
        <w:spacing w:line="240" w:lineRule="auto"/>
        <w:ind w:left="567" w:right="539"/>
        <w:rPr>
          <w:rFonts w:eastAsia="Palatino Linotype"/>
          <w:i/>
          <w:szCs w:val="22"/>
        </w:rPr>
      </w:pPr>
      <w:r w:rsidRPr="00A21844">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21844" w:rsidRDefault="00C049E2" w:rsidP="00A21844">
      <w:pPr>
        <w:spacing w:line="240" w:lineRule="auto"/>
        <w:ind w:left="567" w:right="539"/>
        <w:rPr>
          <w:rFonts w:eastAsia="Palatino Linotype"/>
          <w:i/>
          <w:szCs w:val="22"/>
        </w:rPr>
      </w:pPr>
      <w:r w:rsidRPr="00A21844">
        <w:rPr>
          <w:rFonts w:eastAsia="Palatino Linotype"/>
          <w:b/>
          <w:i/>
          <w:szCs w:val="22"/>
        </w:rPr>
        <w:lastRenderedPageBreak/>
        <w:t>Este derecho se regirá por los principios y bases siguientes</w:t>
      </w:r>
      <w:r w:rsidRPr="00A21844">
        <w:rPr>
          <w:rFonts w:eastAsia="Palatino Linotype"/>
          <w:i/>
          <w:szCs w:val="22"/>
        </w:rPr>
        <w:t>:</w:t>
      </w:r>
    </w:p>
    <w:p w14:paraId="4A3E8CBA" w14:textId="77777777" w:rsidR="00C049E2" w:rsidRPr="00A21844" w:rsidRDefault="00C049E2" w:rsidP="00A21844">
      <w:pPr>
        <w:spacing w:line="240" w:lineRule="auto"/>
        <w:ind w:left="567" w:right="539"/>
        <w:rPr>
          <w:rFonts w:eastAsia="Palatino Linotype"/>
          <w:i/>
          <w:szCs w:val="22"/>
        </w:rPr>
      </w:pPr>
      <w:r w:rsidRPr="00A21844">
        <w:rPr>
          <w:rFonts w:eastAsia="Palatino Linotype"/>
          <w:b/>
          <w:i/>
          <w:szCs w:val="22"/>
        </w:rPr>
        <w:t>I. Toda la información en posesión de cualquier autoridad, entidad, órgano y organismos de los</w:t>
      </w:r>
      <w:r w:rsidRPr="00A21844">
        <w:rPr>
          <w:rFonts w:eastAsia="Palatino Linotype"/>
          <w:i/>
          <w:szCs w:val="22"/>
        </w:rPr>
        <w:t xml:space="preserve"> Poderes Ejecutivo, Legislativo y Judicial, órganos autónomos, partidos políticos, fideicomisos y fondos públicos estatales y </w:t>
      </w:r>
      <w:r w:rsidRPr="00A21844">
        <w:rPr>
          <w:rFonts w:eastAsia="Palatino Linotype"/>
          <w:b/>
          <w:i/>
          <w:szCs w:val="22"/>
        </w:rPr>
        <w:t>municipales</w:t>
      </w:r>
      <w:r w:rsidRPr="00A21844">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21844">
        <w:rPr>
          <w:rFonts w:eastAsia="Palatino Linotype"/>
          <w:b/>
          <w:i/>
          <w:szCs w:val="22"/>
        </w:rPr>
        <w:t>es pública</w:t>
      </w:r>
      <w:r w:rsidRPr="00A21844">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A21844">
        <w:rPr>
          <w:rFonts w:eastAsia="Palatino Linotype"/>
          <w:b/>
          <w:i/>
          <w:szCs w:val="22"/>
        </w:rPr>
        <w:t>En la interpretación de este derecho deberá prevalecer el principio de máxima publicidad</w:t>
      </w:r>
      <w:r w:rsidRPr="00A21844">
        <w:rPr>
          <w:rFonts w:eastAsia="Palatino Linotype"/>
          <w:i/>
          <w:szCs w:val="22"/>
        </w:rPr>
        <w:t xml:space="preserve">. </w:t>
      </w:r>
      <w:r w:rsidRPr="00A21844">
        <w:rPr>
          <w:rFonts w:eastAsia="Palatino Linotype"/>
          <w:b/>
          <w:i/>
          <w:szCs w:val="22"/>
        </w:rPr>
        <w:t>Los sujetos obligados deberán documentar todo acto que derive del ejercicio de sus facultades, competencias o funciones</w:t>
      </w:r>
      <w:r w:rsidRPr="00A21844">
        <w:rPr>
          <w:rFonts w:eastAsia="Palatino Linotype"/>
          <w:i/>
          <w:szCs w:val="22"/>
        </w:rPr>
        <w:t>, la ley determinará los supuestos específicos bajo los cuales procederá la declaración de inexistencia de la información.”</w:t>
      </w:r>
    </w:p>
    <w:p w14:paraId="5CA98E37" w14:textId="77777777" w:rsidR="00C049E2" w:rsidRPr="00A21844" w:rsidRDefault="00C049E2" w:rsidP="00A21844">
      <w:pPr>
        <w:ind w:right="-312"/>
        <w:rPr>
          <w:rFonts w:eastAsia="Palatino Linotype"/>
          <w:b/>
          <w:i/>
          <w:szCs w:val="22"/>
        </w:rPr>
      </w:pPr>
    </w:p>
    <w:p w14:paraId="6FC1BB3B" w14:textId="3BF4A33D" w:rsidR="00C049E2" w:rsidRPr="00A21844" w:rsidRDefault="00717E59" w:rsidP="00A21844">
      <w:pPr>
        <w:ind w:right="-312"/>
        <w:rPr>
          <w:rFonts w:eastAsia="Palatino Linotype"/>
          <w:i/>
          <w:szCs w:val="22"/>
        </w:rPr>
      </w:pPr>
      <w:r w:rsidRPr="00A21844">
        <w:rPr>
          <w:rFonts w:eastAsia="Palatino Linotype"/>
          <w:szCs w:val="22"/>
        </w:rPr>
        <w:t xml:space="preserve">Asimismo, </w:t>
      </w:r>
      <w:r w:rsidR="00C049E2" w:rsidRPr="00A21844">
        <w:rPr>
          <w:rFonts w:eastAsia="Palatino Linotype"/>
          <w:szCs w:val="22"/>
        </w:rPr>
        <w:t>el artículo 150 de la Ley de Transparencia y Acceso a la Información Pública del Estado de México y Municipios</w:t>
      </w:r>
      <w:r w:rsidR="00057B2D" w:rsidRPr="00A21844">
        <w:rPr>
          <w:rFonts w:eastAsia="Palatino Linotype"/>
          <w:szCs w:val="22"/>
        </w:rPr>
        <w:t xml:space="preserve"> </w:t>
      </w:r>
      <w:r w:rsidR="00E9335C" w:rsidRPr="00A21844">
        <w:rPr>
          <w:rFonts w:eastAsia="Palatino Linotype"/>
          <w:szCs w:val="22"/>
        </w:rPr>
        <w:t xml:space="preserve">indica </w:t>
      </w:r>
      <w:r w:rsidR="00057B2D" w:rsidRPr="00A21844">
        <w:rPr>
          <w:rFonts w:eastAsia="Palatino Linotype"/>
          <w:szCs w:val="22"/>
        </w:rPr>
        <w:t>que</w:t>
      </w:r>
      <w:r w:rsidR="00C049E2" w:rsidRPr="00A21844">
        <w:rPr>
          <w:rFonts w:eastAsia="Palatino Linotype"/>
          <w:szCs w:val="22"/>
        </w:rPr>
        <w:t xml:space="preserve"> la solicitud es la garantía primaria del Derecho de Acceso a la Información, además, establece que se regirá </w:t>
      </w:r>
      <w:r w:rsidR="00C049E2" w:rsidRPr="00A21844">
        <w:rPr>
          <w:rFonts w:eastAsia="Palatino Linotype"/>
          <w:i/>
          <w:szCs w:val="22"/>
        </w:rPr>
        <w:t>por los principios de simplicidad, rapidez</w:t>
      </w:r>
      <w:r w:rsidR="005F65B7" w:rsidRPr="00A21844">
        <w:rPr>
          <w:rFonts w:eastAsia="Palatino Linotype"/>
          <w:i/>
          <w:szCs w:val="22"/>
        </w:rPr>
        <w:t>,</w:t>
      </w:r>
      <w:r w:rsidR="00C049E2" w:rsidRPr="00A21844">
        <w:rPr>
          <w:rFonts w:eastAsia="Palatino Linotype"/>
          <w:i/>
          <w:szCs w:val="22"/>
        </w:rPr>
        <w:t xml:space="preserve"> gratuidad del procedimiento, auxilio y orientación a los particulare</w:t>
      </w:r>
      <w:r w:rsidR="001A58B3" w:rsidRPr="00A21844">
        <w:rPr>
          <w:rFonts w:eastAsia="Palatino Linotype"/>
          <w:i/>
          <w:szCs w:val="22"/>
        </w:rPr>
        <w:t>s.</w:t>
      </w:r>
    </w:p>
    <w:p w14:paraId="033466A6" w14:textId="77777777" w:rsidR="001A58B3" w:rsidRPr="00A21844" w:rsidRDefault="001A58B3" w:rsidP="00A21844">
      <w:pPr>
        <w:ind w:right="-312"/>
        <w:rPr>
          <w:rFonts w:eastAsia="Palatino Linotype"/>
          <w:i/>
          <w:szCs w:val="22"/>
        </w:rPr>
      </w:pPr>
    </w:p>
    <w:p w14:paraId="04ADA10B" w14:textId="574A944A" w:rsidR="001A58B3" w:rsidRPr="00A21844" w:rsidRDefault="00233F17" w:rsidP="00A21844">
      <w:pPr>
        <w:ind w:right="-312"/>
        <w:rPr>
          <w:rFonts w:eastAsia="Palatino Linotype" w:cs="Palatino Linotype"/>
          <w:i/>
          <w:szCs w:val="22"/>
        </w:rPr>
      </w:pPr>
      <w:r w:rsidRPr="00A21844">
        <w:rPr>
          <w:rFonts w:eastAsia="Palatino Linotype" w:cs="Palatino Linotype"/>
          <w:szCs w:val="22"/>
        </w:rPr>
        <w:t xml:space="preserve">Por su parte, el artículo 4 de </w:t>
      </w:r>
      <w:r w:rsidR="001A58B3" w:rsidRPr="00A21844">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21844">
        <w:rPr>
          <w:rFonts w:eastAsia="Palatino Linotype" w:cs="Palatino Linotype"/>
          <w:szCs w:val="22"/>
        </w:rPr>
        <w:t>.</w:t>
      </w:r>
    </w:p>
    <w:p w14:paraId="1407DBB8" w14:textId="77777777" w:rsidR="001A58B3" w:rsidRPr="00A21844" w:rsidRDefault="001A58B3" w:rsidP="00A21844">
      <w:pPr>
        <w:ind w:right="-312"/>
        <w:rPr>
          <w:rFonts w:eastAsia="Palatino Linotype" w:cs="Palatino Linotype"/>
          <w:szCs w:val="22"/>
        </w:rPr>
      </w:pPr>
    </w:p>
    <w:p w14:paraId="7552AA79" w14:textId="5C52E4A4" w:rsidR="001A58B3" w:rsidRPr="00A21844" w:rsidRDefault="001A58B3" w:rsidP="00A21844">
      <w:pPr>
        <w:ind w:right="-312"/>
        <w:rPr>
          <w:rFonts w:eastAsia="Palatino Linotype" w:cs="Palatino Linotype"/>
          <w:szCs w:val="22"/>
        </w:rPr>
      </w:pPr>
      <w:r w:rsidRPr="00A21844">
        <w:rPr>
          <w:rFonts w:eastAsia="Palatino Linotype" w:cs="Palatino Linotype"/>
          <w:szCs w:val="22"/>
        </w:rPr>
        <w:t xml:space="preserve">Esto es, que los Sujetos Obligados </w:t>
      </w:r>
      <w:r w:rsidR="00FA5957" w:rsidRPr="00A21844">
        <w:rPr>
          <w:rFonts w:eastAsia="Palatino Linotype" w:cs="Palatino Linotype"/>
          <w:szCs w:val="22"/>
        </w:rPr>
        <w:t>deben</w:t>
      </w:r>
      <w:r w:rsidRPr="00A21844">
        <w:rPr>
          <w:rFonts w:eastAsia="Palatino Linotype" w:cs="Palatino Linotype"/>
          <w:szCs w:val="22"/>
        </w:rPr>
        <w:t xml:space="preserve"> atender las solicitudes de acceso a la información pública que se les </w:t>
      </w:r>
      <w:r w:rsidR="00FA5957" w:rsidRPr="00A21844">
        <w:rPr>
          <w:rFonts w:eastAsia="Palatino Linotype" w:cs="Palatino Linotype"/>
          <w:szCs w:val="22"/>
        </w:rPr>
        <w:t>sean realizadas,</w:t>
      </w:r>
      <w:r w:rsidRPr="00A21844">
        <w:rPr>
          <w:rFonts w:eastAsia="Palatino Linotype" w:cs="Palatino Linotype"/>
          <w:szCs w:val="22"/>
        </w:rPr>
        <w:t xml:space="preserve"> y proporcionar la información pública que obre en su poder</w:t>
      </w:r>
      <w:r w:rsidR="00FA5957" w:rsidRPr="00A21844">
        <w:rPr>
          <w:rFonts w:eastAsia="Palatino Linotype" w:cs="Palatino Linotype"/>
          <w:szCs w:val="22"/>
        </w:rPr>
        <w:t>,</w:t>
      </w:r>
      <w:r w:rsidRPr="00A21844">
        <w:rPr>
          <w:rFonts w:eastAsia="Palatino Linotype" w:cs="Palatino Linotype"/>
          <w:szCs w:val="22"/>
        </w:rPr>
        <w:t xml:space="preserve"> conforme </w:t>
      </w:r>
      <w:r w:rsidR="00FA5957" w:rsidRPr="00A21844">
        <w:rPr>
          <w:rFonts w:eastAsia="Palatino Linotype" w:cs="Palatino Linotype"/>
          <w:szCs w:val="22"/>
        </w:rPr>
        <w:t>a</w:t>
      </w:r>
      <w:r w:rsidRPr="00A21844">
        <w:rPr>
          <w:rFonts w:eastAsia="Palatino Linotype" w:cs="Palatino Linotype"/>
          <w:szCs w:val="22"/>
        </w:rPr>
        <w:t xml:space="preserve">l estado </w:t>
      </w:r>
      <w:r w:rsidR="00FA5957" w:rsidRPr="00A21844">
        <w:rPr>
          <w:rFonts w:eastAsia="Palatino Linotype" w:cs="Palatino Linotype"/>
          <w:szCs w:val="22"/>
        </w:rPr>
        <w:t xml:space="preserve">en </w:t>
      </w:r>
      <w:r w:rsidRPr="00A21844">
        <w:rPr>
          <w:rFonts w:eastAsia="Palatino Linotype" w:cs="Palatino Linotype"/>
          <w:szCs w:val="22"/>
        </w:rPr>
        <w:t>que se encuentr</w:t>
      </w:r>
      <w:r w:rsidR="00FA5957" w:rsidRPr="00A21844">
        <w:rPr>
          <w:rFonts w:eastAsia="Palatino Linotype" w:cs="Palatino Linotype"/>
          <w:szCs w:val="22"/>
        </w:rPr>
        <w:t>e, sin que sea necesario</w:t>
      </w:r>
      <w:r w:rsidRPr="00A21844">
        <w:rPr>
          <w:rFonts w:eastAsia="Palatino Linotype" w:cs="Palatino Linotype"/>
          <w:szCs w:val="22"/>
        </w:rPr>
        <w:t xml:space="preserve"> </w:t>
      </w:r>
      <w:r w:rsidR="00FA5957" w:rsidRPr="00A21844">
        <w:rPr>
          <w:rFonts w:eastAsia="Palatino Linotype" w:cs="Palatino Linotype"/>
          <w:szCs w:val="22"/>
        </w:rPr>
        <w:t>procesar</w:t>
      </w:r>
      <w:r w:rsidRPr="00A21844">
        <w:rPr>
          <w:rFonts w:eastAsia="Palatino Linotype" w:cs="Palatino Linotype"/>
          <w:szCs w:val="22"/>
        </w:rPr>
        <w:t xml:space="preserve"> la misma, ni presentarla conforme al interés del solicitante; </w:t>
      </w:r>
      <w:r w:rsidR="00FA5957" w:rsidRPr="00A21844">
        <w:rPr>
          <w:rFonts w:eastAsia="Palatino Linotype" w:cs="Palatino Linotype"/>
          <w:szCs w:val="22"/>
        </w:rPr>
        <w:t>tal y como</w:t>
      </w:r>
      <w:r w:rsidRPr="00A21844">
        <w:rPr>
          <w:rFonts w:eastAsia="Palatino Linotype" w:cs="Palatino Linotype"/>
          <w:szCs w:val="22"/>
        </w:rPr>
        <w:t xml:space="preserve"> lo establece el artículo 12 de la Ley de Transparencia y Acceso a la Información Pública del Estado de México y Municipios</w:t>
      </w:r>
      <w:r w:rsidR="00970EB3" w:rsidRPr="00A21844">
        <w:rPr>
          <w:rFonts w:eastAsia="Palatino Linotype" w:cs="Palatino Linotype"/>
          <w:szCs w:val="22"/>
        </w:rPr>
        <w:t>.</w:t>
      </w:r>
    </w:p>
    <w:p w14:paraId="73245195" w14:textId="77777777" w:rsidR="00970EB3" w:rsidRPr="00A21844" w:rsidRDefault="00970EB3" w:rsidP="00A21844">
      <w:pPr>
        <w:ind w:right="-312"/>
        <w:rPr>
          <w:rFonts w:eastAsia="Palatino Linotype" w:cs="Palatino Linotype"/>
          <w:szCs w:val="22"/>
        </w:rPr>
      </w:pPr>
    </w:p>
    <w:p w14:paraId="7F62D4DF" w14:textId="775730E1" w:rsidR="001A58B3" w:rsidRPr="00A21844" w:rsidRDefault="001A58B3" w:rsidP="00A21844">
      <w:pPr>
        <w:ind w:right="-312"/>
        <w:rPr>
          <w:rFonts w:eastAsia="Palatino Linotype" w:cs="Palatino Linotype"/>
          <w:szCs w:val="22"/>
        </w:rPr>
      </w:pPr>
      <w:r w:rsidRPr="00A21844">
        <w:rPr>
          <w:rFonts w:eastAsia="Palatino Linotype" w:cs="Palatino Linotype"/>
          <w:szCs w:val="22"/>
        </w:rPr>
        <w:t>Es decir, que todo sujeto obligado que genere, recopile, administre, procese, archive, posea o conserven, son responsables de la misma</w:t>
      </w:r>
      <w:r w:rsidR="00970EB3" w:rsidRPr="00A21844">
        <w:rPr>
          <w:rFonts w:eastAsia="Palatino Linotype" w:cs="Palatino Linotype"/>
          <w:szCs w:val="22"/>
        </w:rPr>
        <w:t>,</w:t>
      </w:r>
      <w:r w:rsidRPr="00A21844">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A21844">
        <w:rPr>
          <w:rFonts w:eastAsia="Palatino Linotype" w:cs="Palatino Linotype"/>
          <w:szCs w:val="22"/>
        </w:rPr>
        <w:t>o</w:t>
      </w:r>
      <w:r w:rsidRPr="00A21844">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21844" w:rsidRDefault="001A58B3" w:rsidP="00A21844">
      <w:pPr>
        <w:ind w:right="-312"/>
        <w:rPr>
          <w:rFonts w:eastAsia="Palatino Linotype" w:cs="Palatino Linotype"/>
          <w:szCs w:val="22"/>
        </w:rPr>
      </w:pPr>
    </w:p>
    <w:p w14:paraId="04E42DFE" w14:textId="573F1198" w:rsidR="001A58B3" w:rsidRPr="00A21844" w:rsidRDefault="001A58B3" w:rsidP="00A21844">
      <w:pPr>
        <w:ind w:right="-312"/>
        <w:rPr>
          <w:rFonts w:eastAsia="Palatino Linotype" w:cs="Palatino Linotype"/>
          <w:szCs w:val="22"/>
        </w:rPr>
      </w:pPr>
      <w:r w:rsidRPr="00A21844">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21844">
        <w:rPr>
          <w:rFonts w:eastAsia="Palatino Linotype" w:cs="Palatino Linotype"/>
          <w:szCs w:val="22"/>
        </w:rPr>
        <w:t>, s</w:t>
      </w:r>
      <w:r w:rsidRPr="00A21844">
        <w:rPr>
          <w:rFonts w:eastAsia="Palatino Linotype" w:cs="Palatino Linotype"/>
          <w:szCs w:val="22"/>
        </w:rPr>
        <w:t xml:space="preserve">iempre y cuando no se trate de información reservada o </w:t>
      </w:r>
      <w:r w:rsidR="00331F35" w:rsidRPr="00A21844">
        <w:rPr>
          <w:rFonts w:eastAsia="Palatino Linotype" w:cs="Palatino Linotype"/>
          <w:szCs w:val="22"/>
        </w:rPr>
        <w:t>confidencial.</w:t>
      </w:r>
    </w:p>
    <w:p w14:paraId="40C5219F" w14:textId="77777777" w:rsidR="001A58B3" w:rsidRPr="00A21844" w:rsidRDefault="001A58B3" w:rsidP="00A21844">
      <w:pPr>
        <w:ind w:right="-312"/>
        <w:rPr>
          <w:rFonts w:eastAsia="Palatino Linotype" w:cs="Palatino Linotype"/>
          <w:szCs w:val="22"/>
        </w:rPr>
      </w:pPr>
    </w:p>
    <w:p w14:paraId="51A0E8B4" w14:textId="676DCA47" w:rsidR="00664420" w:rsidRPr="00A21844" w:rsidRDefault="00C71CEF" w:rsidP="00A21844">
      <w:pPr>
        <w:pStyle w:val="Ttulo3"/>
        <w:ind w:right="-312"/>
        <w:rPr>
          <w:rFonts w:eastAsia="Calibri"/>
          <w:szCs w:val="22"/>
          <w:lang w:eastAsia="es-ES_tradnl"/>
        </w:rPr>
      </w:pPr>
      <w:bookmarkStart w:id="26" w:name="_heading=h.2s8eyo1" w:colFirst="0" w:colLast="0"/>
      <w:bookmarkStart w:id="27" w:name="_Toc172748421"/>
      <w:bookmarkEnd w:id="26"/>
      <w:r w:rsidRPr="00A21844">
        <w:rPr>
          <w:rFonts w:eastAsia="Calibri"/>
          <w:szCs w:val="22"/>
          <w:lang w:eastAsia="es-ES_tradnl"/>
        </w:rPr>
        <w:t>b)</w:t>
      </w:r>
      <w:r w:rsidR="00A53315" w:rsidRPr="00A21844">
        <w:rPr>
          <w:rFonts w:eastAsia="Calibri"/>
          <w:szCs w:val="22"/>
          <w:lang w:eastAsia="es-ES_tradnl"/>
        </w:rPr>
        <w:t xml:space="preserve"> </w:t>
      </w:r>
      <w:r w:rsidR="00A21A20" w:rsidRPr="00A21844">
        <w:rPr>
          <w:rFonts w:eastAsia="Calibri"/>
          <w:szCs w:val="22"/>
          <w:lang w:eastAsia="es-ES_tradnl"/>
        </w:rPr>
        <w:t>Controversia a resolver</w:t>
      </w:r>
      <w:bookmarkEnd w:id="27"/>
    </w:p>
    <w:p w14:paraId="5DAE2A65" w14:textId="382C31A9" w:rsidR="00664420" w:rsidRPr="00A21844" w:rsidRDefault="00664420" w:rsidP="00A21844">
      <w:pPr>
        <w:ind w:right="-312"/>
        <w:rPr>
          <w:rFonts w:eastAsia="Calibri"/>
          <w:szCs w:val="22"/>
          <w:lang w:eastAsia="es-ES_tradnl"/>
        </w:rPr>
      </w:pPr>
      <w:r w:rsidRPr="00A21844">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21844">
        <w:rPr>
          <w:rFonts w:eastAsia="Calibri"/>
          <w:b/>
          <w:bCs/>
          <w:szCs w:val="22"/>
          <w:lang w:eastAsia="es-ES_tradnl"/>
        </w:rPr>
        <w:t>LA PARTE RECURRENTE</w:t>
      </w:r>
      <w:r w:rsidRPr="00A21844">
        <w:rPr>
          <w:rFonts w:eastAsia="Calibri"/>
          <w:szCs w:val="22"/>
          <w:lang w:eastAsia="es-ES_tradnl"/>
        </w:rPr>
        <w:t xml:space="preserve"> solicitó lo siguiente:</w:t>
      </w:r>
    </w:p>
    <w:p w14:paraId="6A814CEA" w14:textId="68477DCD" w:rsidR="008C1421" w:rsidRPr="00A21844" w:rsidRDefault="008C1421" w:rsidP="00A21844">
      <w:pPr>
        <w:tabs>
          <w:tab w:val="left" w:pos="4962"/>
        </w:tabs>
        <w:ind w:right="-312"/>
        <w:contextualSpacing/>
        <w:rPr>
          <w:rFonts w:eastAsia="Calibri"/>
          <w:szCs w:val="22"/>
          <w:lang w:eastAsia="es-ES_tradnl"/>
        </w:rPr>
      </w:pPr>
    </w:p>
    <w:p w14:paraId="46D91539" w14:textId="000D56FA" w:rsidR="00FE0B2F" w:rsidRPr="00A21844" w:rsidRDefault="00FE0B2F" w:rsidP="00A21844">
      <w:pPr>
        <w:tabs>
          <w:tab w:val="left" w:pos="4962"/>
        </w:tabs>
        <w:ind w:right="-312"/>
        <w:contextualSpacing/>
        <w:rPr>
          <w:rFonts w:cs="Tahoma"/>
          <w:bCs/>
          <w:iCs/>
          <w:szCs w:val="22"/>
        </w:rPr>
      </w:pPr>
      <w:r w:rsidRPr="00A21844">
        <w:rPr>
          <w:rFonts w:cs="Tahoma"/>
          <w:bCs/>
          <w:iCs/>
          <w:szCs w:val="22"/>
        </w:rPr>
        <w:t>Nómina de los trabajadores del ayuntamiento, que contenga área de asignación, puesto y percepción económica quincenal, en versión púbica.</w:t>
      </w:r>
    </w:p>
    <w:p w14:paraId="1ACE59FD" w14:textId="77777777" w:rsidR="00FE0B2F" w:rsidRPr="00A21844" w:rsidRDefault="00FE0B2F" w:rsidP="00A21844">
      <w:pPr>
        <w:tabs>
          <w:tab w:val="left" w:pos="4962"/>
        </w:tabs>
        <w:ind w:right="-312"/>
        <w:contextualSpacing/>
        <w:rPr>
          <w:rFonts w:cs="Tahoma"/>
          <w:bCs/>
          <w:iCs/>
          <w:szCs w:val="22"/>
        </w:rPr>
      </w:pPr>
    </w:p>
    <w:p w14:paraId="264167C5" w14:textId="4DD77F5E" w:rsidR="00D64B5C" w:rsidRPr="00A21844" w:rsidRDefault="00664420" w:rsidP="00A21844">
      <w:pPr>
        <w:tabs>
          <w:tab w:val="left" w:pos="4962"/>
        </w:tabs>
        <w:ind w:right="-312"/>
        <w:contextualSpacing/>
        <w:rPr>
          <w:rFonts w:eastAsiaTheme="minorHAnsi" w:cs="Tahoma"/>
          <w:bCs/>
          <w:iCs/>
          <w:szCs w:val="22"/>
          <w:lang w:eastAsia="en-US"/>
        </w:rPr>
      </w:pPr>
      <w:r w:rsidRPr="00A21844">
        <w:rPr>
          <w:rFonts w:eastAsiaTheme="minorHAnsi" w:cs="Tahoma"/>
          <w:bCs/>
          <w:iCs/>
          <w:szCs w:val="22"/>
          <w:lang w:eastAsia="en-US"/>
        </w:rPr>
        <w:t>En respuesta,</w:t>
      </w:r>
      <w:r w:rsidR="000820ED" w:rsidRPr="00A21844">
        <w:rPr>
          <w:rFonts w:eastAsiaTheme="minorHAnsi" w:cs="Tahoma"/>
          <w:bCs/>
          <w:iCs/>
          <w:szCs w:val="22"/>
          <w:lang w:eastAsia="en-US"/>
        </w:rPr>
        <w:t xml:space="preserve"> conforme a las constancias que obran en</w:t>
      </w:r>
      <w:r w:rsidR="00837517" w:rsidRPr="00A21844">
        <w:rPr>
          <w:rFonts w:eastAsiaTheme="minorHAnsi" w:cs="Tahoma"/>
          <w:bCs/>
          <w:iCs/>
          <w:szCs w:val="22"/>
          <w:lang w:eastAsia="en-US"/>
        </w:rPr>
        <w:t xml:space="preserve"> </w:t>
      </w:r>
      <w:r w:rsidR="002E1DEA" w:rsidRPr="00A21844">
        <w:rPr>
          <w:rFonts w:eastAsiaTheme="minorHAnsi" w:cs="Tahoma"/>
          <w:b/>
          <w:bCs/>
          <w:iCs/>
          <w:szCs w:val="22"/>
          <w:lang w:eastAsia="en-US"/>
        </w:rPr>
        <w:t>EL SAIMEX</w:t>
      </w:r>
      <w:r w:rsidR="000820ED" w:rsidRPr="00A21844">
        <w:rPr>
          <w:rFonts w:eastAsiaTheme="minorHAnsi" w:cs="Tahoma"/>
          <w:bCs/>
          <w:iCs/>
          <w:szCs w:val="22"/>
          <w:lang w:eastAsia="en-US"/>
        </w:rPr>
        <w:t>,</w:t>
      </w:r>
      <w:r w:rsidRPr="00A21844">
        <w:rPr>
          <w:rFonts w:eastAsiaTheme="minorHAnsi" w:cs="Tahoma"/>
          <w:bCs/>
          <w:iCs/>
          <w:szCs w:val="22"/>
          <w:lang w:eastAsia="en-US"/>
        </w:rPr>
        <w:t xml:space="preserve"> </w:t>
      </w:r>
      <w:r w:rsidR="005D5A50" w:rsidRPr="00A21844">
        <w:rPr>
          <w:rFonts w:eastAsiaTheme="minorHAnsi" w:cs="Tahoma"/>
          <w:b/>
          <w:iCs/>
          <w:szCs w:val="22"/>
          <w:lang w:eastAsia="en-US"/>
        </w:rPr>
        <w:t>EL SUJETO OBLIGADO</w:t>
      </w:r>
      <w:r w:rsidRPr="00A21844">
        <w:rPr>
          <w:rFonts w:eastAsiaTheme="minorHAnsi" w:cs="Tahoma"/>
          <w:bCs/>
          <w:iCs/>
          <w:szCs w:val="22"/>
          <w:lang w:eastAsia="en-US"/>
        </w:rPr>
        <w:t xml:space="preserve"> se pronunció </w:t>
      </w:r>
      <w:r w:rsidR="000820ED" w:rsidRPr="00A21844">
        <w:rPr>
          <w:rFonts w:eastAsiaTheme="minorHAnsi" w:cs="Tahoma"/>
          <w:bCs/>
          <w:iCs/>
          <w:szCs w:val="22"/>
          <w:lang w:eastAsia="en-US"/>
        </w:rPr>
        <w:t>a través de</w:t>
      </w:r>
      <w:r w:rsidR="00FE0B2F" w:rsidRPr="00A21844">
        <w:rPr>
          <w:rFonts w:eastAsiaTheme="minorHAnsi" w:cs="Tahoma"/>
          <w:bCs/>
          <w:iCs/>
          <w:szCs w:val="22"/>
          <w:lang w:eastAsia="en-US"/>
        </w:rPr>
        <w:t xml:space="preserve">l </w:t>
      </w:r>
      <w:r w:rsidR="002B6C85" w:rsidRPr="00A21844">
        <w:rPr>
          <w:rFonts w:eastAsiaTheme="minorHAnsi" w:cs="Tahoma"/>
          <w:bCs/>
          <w:iCs/>
          <w:szCs w:val="22"/>
          <w:lang w:eastAsia="en-US"/>
        </w:rPr>
        <w:t>Director de Administración</w:t>
      </w:r>
      <w:r w:rsidR="002460B8" w:rsidRPr="00A21844">
        <w:rPr>
          <w:rFonts w:eastAsiaTheme="minorHAnsi" w:cs="Tahoma"/>
          <w:bCs/>
          <w:iCs/>
          <w:szCs w:val="22"/>
          <w:lang w:eastAsia="en-US"/>
        </w:rPr>
        <w:t xml:space="preserve">, </w:t>
      </w:r>
      <w:r w:rsidR="000820ED" w:rsidRPr="00A21844">
        <w:rPr>
          <w:rFonts w:eastAsiaTheme="minorHAnsi" w:cs="Tahoma"/>
          <w:bCs/>
          <w:iCs/>
          <w:szCs w:val="22"/>
          <w:lang w:eastAsia="en-US"/>
        </w:rPr>
        <w:t>quién</w:t>
      </w:r>
      <w:r w:rsidR="00D64B5C" w:rsidRPr="00A21844">
        <w:rPr>
          <w:rFonts w:eastAsiaTheme="minorHAnsi" w:cs="Tahoma"/>
          <w:bCs/>
          <w:iCs/>
          <w:szCs w:val="22"/>
          <w:lang w:eastAsia="en-US"/>
        </w:rPr>
        <w:t xml:space="preserve"> refiri</w:t>
      </w:r>
      <w:r w:rsidR="000820ED" w:rsidRPr="00A21844">
        <w:rPr>
          <w:rFonts w:eastAsiaTheme="minorHAnsi" w:cs="Tahoma"/>
          <w:bCs/>
          <w:iCs/>
          <w:szCs w:val="22"/>
          <w:lang w:eastAsia="en-US"/>
        </w:rPr>
        <w:t>ó</w:t>
      </w:r>
      <w:r w:rsidR="00D64B5C" w:rsidRPr="00A21844">
        <w:rPr>
          <w:rFonts w:eastAsiaTheme="minorHAnsi" w:cs="Tahoma"/>
          <w:bCs/>
          <w:iCs/>
          <w:szCs w:val="22"/>
          <w:lang w:eastAsia="en-US"/>
        </w:rPr>
        <w:t xml:space="preserve"> </w:t>
      </w:r>
      <w:r w:rsidR="00802F6F" w:rsidRPr="00A21844">
        <w:rPr>
          <w:rFonts w:eastAsiaTheme="minorHAnsi" w:cs="Tahoma"/>
          <w:bCs/>
          <w:iCs/>
          <w:szCs w:val="22"/>
          <w:lang w:eastAsia="en-US"/>
        </w:rPr>
        <w:t xml:space="preserve">que </w:t>
      </w:r>
      <w:r w:rsidR="00FE0B2F" w:rsidRPr="00A21844">
        <w:rPr>
          <w:rFonts w:eastAsiaTheme="minorHAnsi" w:cs="Tahoma"/>
          <w:bCs/>
          <w:iCs/>
          <w:szCs w:val="22"/>
          <w:lang w:eastAsia="en-US"/>
        </w:rPr>
        <w:lastRenderedPageBreak/>
        <w:t>sobrepasa las capacidades humanas de esta Dirección, ya que contamos con una carga de trabajo considerable, y a fin de que no se traduzca tal imposibilidad a una negativa, hago de su conocimiento que la información se encuentra disponible para su consulta del solicitante, el cual deberá acudir al Edificio B primer piso de Palacio Municipal, en la Dirección de Administración.</w:t>
      </w:r>
    </w:p>
    <w:p w14:paraId="34D1D374" w14:textId="77777777" w:rsidR="00C61BE3" w:rsidRPr="00A21844" w:rsidRDefault="00C61BE3" w:rsidP="00A21844">
      <w:pPr>
        <w:tabs>
          <w:tab w:val="left" w:pos="4962"/>
        </w:tabs>
        <w:ind w:right="-312"/>
        <w:contextualSpacing/>
        <w:rPr>
          <w:rFonts w:eastAsiaTheme="minorHAnsi" w:cs="Tahoma"/>
          <w:bCs/>
          <w:iCs/>
          <w:szCs w:val="22"/>
          <w:lang w:eastAsia="en-US"/>
        </w:rPr>
      </w:pPr>
    </w:p>
    <w:p w14:paraId="31DD81D7" w14:textId="0AA6B9EB" w:rsidR="00664420" w:rsidRPr="00A21844" w:rsidRDefault="00CF7586" w:rsidP="00A21844">
      <w:pPr>
        <w:tabs>
          <w:tab w:val="left" w:pos="4962"/>
        </w:tabs>
        <w:ind w:right="-312"/>
        <w:contextualSpacing/>
        <w:rPr>
          <w:rFonts w:eastAsiaTheme="minorHAnsi" w:cs="Tahoma"/>
          <w:bCs/>
          <w:iCs/>
          <w:szCs w:val="22"/>
          <w:lang w:eastAsia="en-US"/>
        </w:rPr>
      </w:pPr>
      <w:r w:rsidRPr="00A21844">
        <w:rPr>
          <w:rFonts w:eastAsiaTheme="minorHAnsi" w:cs="Tahoma"/>
          <w:bCs/>
          <w:iCs/>
          <w:szCs w:val="22"/>
          <w:lang w:eastAsia="en-US"/>
        </w:rPr>
        <w:t xml:space="preserve">Ahora bien, en la interposición del presente recurso </w:t>
      </w:r>
      <w:r w:rsidRPr="00A21844">
        <w:rPr>
          <w:rFonts w:eastAsiaTheme="minorHAnsi" w:cs="Tahoma"/>
          <w:b/>
          <w:iCs/>
          <w:szCs w:val="22"/>
          <w:lang w:eastAsia="en-US"/>
        </w:rPr>
        <w:t>LA PARTE RECURRENTE</w:t>
      </w:r>
      <w:r w:rsidR="00664420" w:rsidRPr="00A21844">
        <w:rPr>
          <w:rFonts w:eastAsiaTheme="minorHAnsi" w:cs="Tahoma"/>
          <w:bCs/>
          <w:iCs/>
          <w:szCs w:val="22"/>
          <w:lang w:eastAsia="en-US"/>
        </w:rPr>
        <w:t xml:space="preserve"> se inconformó </w:t>
      </w:r>
      <w:r w:rsidR="00874AC8" w:rsidRPr="00A21844">
        <w:rPr>
          <w:rFonts w:eastAsiaTheme="minorHAnsi" w:cs="Tahoma"/>
          <w:bCs/>
          <w:iCs/>
          <w:szCs w:val="22"/>
          <w:lang w:eastAsia="en-US"/>
        </w:rPr>
        <w:t>del cambio de modalidad para la entrega de la información peticionada</w:t>
      </w:r>
      <w:r w:rsidR="00174BAE" w:rsidRPr="00A21844">
        <w:rPr>
          <w:rFonts w:eastAsiaTheme="minorHAnsi" w:cs="Tahoma"/>
          <w:bCs/>
          <w:iCs/>
          <w:szCs w:val="22"/>
          <w:lang w:eastAsia="en-US"/>
        </w:rPr>
        <w:t>.</w:t>
      </w:r>
    </w:p>
    <w:p w14:paraId="570E4E2F" w14:textId="77777777" w:rsidR="00BC67B0" w:rsidRPr="00A21844" w:rsidRDefault="00BC67B0" w:rsidP="00A21844">
      <w:pPr>
        <w:tabs>
          <w:tab w:val="left" w:pos="4962"/>
        </w:tabs>
        <w:ind w:right="-312"/>
        <w:contextualSpacing/>
        <w:rPr>
          <w:rFonts w:eastAsiaTheme="minorHAnsi" w:cs="Tahoma"/>
          <w:bCs/>
          <w:iCs/>
          <w:szCs w:val="22"/>
          <w:lang w:eastAsia="en-US"/>
        </w:rPr>
      </w:pPr>
    </w:p>
    <w:p w14:paraId="2C7A9299" w14:textId="792ACAE8" w:rsidR="00BC67B0" w:rsidRPr="00A21844" w:rsidRDefault="00BC67B0" w:rsidP="00A21844">
      <w:pPr>
        <w:tabs>
          <w:tab w:val="left" w:pos="4962"/>
        </w:tabs>
        <w:ind w:right="-312"/>
        <w:rPr>
          <w:lang w:val="es-ES"/>
        </w:rPr>
      </w:pPr>
      <w:r w:rsidRPr="00A21844">
        <w:rPr>
          <w:lang w:val="es-ES"/>
        </w:rPr>
        <w:t xml:space="preserve">Abierta la etapa de instrucción, </w:t>
      </w:r>
      <w:r w:rsidRPr="00A21844">
        <w:rPr>
          <w:b/>
          <w:lang w:val="es-ES"/>
        </w:rPr>
        <w:t>EL SUJETO OBLIGADO</w:t>
      </w:r>
      <w:r w:rsidRPr="00A21844">
        <w:rPr>
          <w:lang w:val="es-ES"/>
        </w:rPr>
        <w:t xml:space="preserve"> </w:t>
      </w:r>
      <w:r w:rsidR="00473CCD" w:rsidRPr="00A21844">
        <w:rPr>
          <w:lang w:val="es-ES"/>
        </w:rPr>
        <w:t xml:space="preserve">no </w:t>
      </w:r>
      <w:r w:rsidRPr="00A21844">
        <w:rPr>
          <w:lang w:val="es-ES"/>
        </w:rPr>
        <w:t>rindió su Informe Justificado</w:t>
      </w:r>
      <w:r w:rsidR="00227FB3" w:rsidRPr="00A21844">
        <w:rPr>
          <w:lang w:val="es-ES"/>
        </w:rPr>
        <w:t xml:space="preserve">; </w:t>
      </w:r>
      <w:r w:rsidRPr="00A21844">
        <w:rPr>
          <w:lang w:val="es-ES"/>
        </w:rPr>
        <w:t>así como la parte recurrente</w:t>
      </w:r>
      <w:r w:rsidR="0094710D" w:rsidRPr="00A21844">
        <w:rPr>
          <w:lang w:val="es-ES"/>
        </w:rPr>
        <w:t xml:space="preserve"> </w:t>
      </w:r>
      <w:r w:rsidR="00174BAE" w:rsidRPr="00A21844">
        <w:rPr>
          <w:lang w:val="es-ES"/>
        </w:rPr>
        <w:t xml:space="preserve">no </w:t>
      </w:r>
      <w:r w:rsidRPr="00A21844">
        <w:rPr>
          <w:lang w:val="es-ES"/>
        </w:rPr>
        <w:t xml:space="preserve">realizó las manifestaciones que a su derecho </w:t>
      </w:r>
      <w:r w:rsidR="00FF1BB7" w:rsidRPr="00A21844">
        <w:rPr>
          <w:lang w:val="es-ES"/>
        </w:rPr>
        <w:t>conviniera</w:t>
      </w:r>
      <w:r w:rsidR="0094710D" w:rsidRPr="00A21844">
        <w:rPr>
          <w:lang w:val="es-ES"/>
        </w:rPr>
        <w:t>.</w:t>
      </w:r>
    </w:p>
    <w:p w14:paraId="3E7B17AC" w14:textId="77777777" w:rsidR="0094710D" w:rsidRPr="00A21844" w:rsidRDefault="0094710D" w:rsidP="00A21844">
      <w:pPr>
        <w:tabs>
          <w:tab w:val="left" w:pos="4962"/>
        </w:tabs>
        <w:ind w:right="-312"/>
        <w:rPr>
          <w:lang w:val="es-ES"/>
        </w:rPr>
      </w:pPr>
    </w:p>
    <w:p w14:paraId="1435A67C" w14:textId="0CFC52DE" w:rsidR="001C1AE4" w:rsidRPr="00A21844" w:rsidRDefault="001C1AE4" w:rsidP="00A21844">
      <w:pPr>
        <w:ind w:right="-312"/>
        <w:rPr>
          <w:rFonts w:eastAsia="Palatino Linotype" w:cs="Palatino Linotype"/>
          <w:szCs w:val="22"/>
        </w:rPr>
      </w:pPr>
      <w:r w:rsidRPr="00A21844">
        <w:rPr>
          <w:rFonts w:eastAsia="Palatino Linotype" w:cs="Palatino Linotype"/>
          <w:szCs w:val="22"/>
        </w:rPr>
        <w:t xml:space="preserve">Bajo las premisas anteriores, se concluye que la controversia a dilucidar en el presente medio de impugnación será </w:t>
      </w:r>
      <w:r w:rsidR="00EE1B1C" w:rsidRPr="00A21844">
        <w:rPr>
          <w:rFonts w:eastAsia="Palatino Linotype" w:cs="Palatino Linotype"/>
          <w:b/>
        </w:rPr>
        <w:t xml:space="preserve">verificar </w:t>
      </w:r>
      <w:r w:rsidR="00473CCD" w:rsidRPr="00A21844">
        <w:rPr>
          <w:rFonts w:eastAsia="Palatino Linotype" w:cs="Palatino Linotype"/>
          <w:b/>
        </w:rPr>
        <w:t xml:space="preserve">la procedencia del cambio de modalidad aducida por </w:t>
      </w:r>
      <w:r w:rsidR="002B3577" w:rsidRPr="00A21844">
        <w:rPr>
          <w:rFonts w:eastAsia="Palatino Linotype" w:cs="Palatino Linotype"/>
          <w:b/>
        </w:rPr>
        <w:t xml:space="preserve">EL SUJETO OBLIGADO </w:t>
      </w:r>
      <w:r w:rsidR="00473CCD" w:rsidRPr="00A21844">
        <w:rPr>
          <w:rFonts w:eastAsia="Palatino Linotype" w:cs="Palatino Linotype"/>
          <w:b/>
        </w:rPr>
        <w:t xml:space="preserve">en respuesta </w:t>
      </w:r>
      <w:r w:rsidR="00EE1B1C" w:rsidRPr="00A21844">
        <w:rPr>
          <w:rFonts w:eastAsia="Palatino Linotype" w:cs="Palatino Linotype"/>
          <w:b/>
        </w:rPr>
        <w:t xml:space="preserve">para satisfacer el derecho de acceso a la información pública </w:t>
      </w:r>
      <w:r w:rsidR="00EE1B1C" w:rsidRPr="00A21844">
        <w:rPr>
          <w:rFonts w:eastAsia="Palatino Linotype" w:cs="Palatino Linotype"/>
        </w:rPr>
        <w:t xml:space="preserve">de </w:t>
      </w:r>
      <w:r w:rsidR="002B3577" w:rsidRPr="00A21844">
        <w:rPr>
          <w:rFonts w:eastAsia="Palatino Linotype" w:cs="Palatino Linotype"/>
          <w:b/>
        </w:rPr>
        <w:t>LA PARTE RECURRENTE</w:t>
      </w:r>
      <w:r w:rsidRPr="00A21844">
        <w:rPr>
          <w:rFonts w:eastAsia="Palatino Linotype" w:cs="Palatino Linotype"/>
          <w:szCs w:val="22"/>
        </w:rPr>
        <w:t>.</w:t>
      </w:r>
    </w:p>
    <w:p w14:paraId="2B9C19AB" w14:textId="77777777" w:rsidR="00EE1B1C" w:rsidRPr="00A21844" w:rsidRDefault="00EE1B1C" w:rsidP="00A21844">
      <w:pPr>
        <w:ind w:right="-312"/>
        <w:rPr>
          <w:rFonts w:eastAsia="Palatino Linotype" w:cs="Palatino Linotype"/>
          <w:szCs w:val="22"/>
        </w:rPr>
      </w:pPr>
    </w:p>
    <w:p w14:paraId="414FD2D5" w14:textId="4408E416" w:rsidR="00664420" w:rsidRPr="00A21844" w:rsidRDefault="00A21A20" w:rsidP="00A21844">
      <w:pPr>
        <w:pStyle w:val="Ttulo3"/>
        <w:ind w:right="-312"/>
        <w:rPr>
          <w:szCs w:val="22"/>
        </w:rPr>
      </w:pPr>
      <w:bookmarkStart w:id="28" w:name="_Toc172748422"/>
      <w:r w:rsidRPr="00A21844">
        <w:rPr>
          <w:szCs w:val="22"/>
        </w:rPr>
        <w:t>c)</w:t>
      </w:r>
      <w:r w:rsidR="00664420" w:rsidRPr="00A21844">
        <w:rPr>
          <w:szCs w:val="22"/>
        </w:rPr>
        <w:t xml:space="preserve"> </w:t>
      </w:r>
      <w:r w:rsidRPr="00A21844">
        <w:rPr>
          <w:szCs w:val="22"/>
        </w:rPr>
        <w:t>Estudio de la controversia</w:t>
      </w:r>
      <w:bookmarkEnd w:id="28"/>
    </w:p>
    <w:p w14:paraId="6E99538B" w14:textId="77777777" w:rsidR="007903CA" w:rsidRPr="00A21844" w:rsidRDefault="007903CA" w:rsidP="00A21844">
      <w:pPr>
        <w:rPr>
          <w:rFonts w:cs="Arial"/>
        </w:rPr>
      </w:pPr>
      <w:r w:rsidRPr="00A21844">
        <w:rPr>
          <w:rFonts w:cs="Arial"/>
        </w:rPr>
        <w:t xml:space="preserve">En ese contexto, esta Ponencia considera conveniente entrar al estudio del rubro que fue impugnado por </w:t>
      </w:r>
      <w:r w:rsidRPr="00A21844">
        <w:rPr>
          <w:rFonts w:eastAsiaTheme="minorHAnsi" w:cs="Tahoma"/>
          <w:b/>
          <w:iCs/>
          <w:szCs w:val="22"/>
          <w:lang w:eastAsia="en-US"/>
        </w:rPr>
        <w:t>LA PARTE RECURRENTE</w:t>
      </w:r>
      <w:r w:rsidRPr="00A21844">
        <w:rPr>
          <w:rFonts w:cs="Arial"/>
        </w:rPr>
        <w:t xml:space="preserve">, a fin de verificar si la información entregada por </w:t>
      </w:r>
      <w:r w:rsidRPr="00A21844">
        <w:rPr>
          <w:rFonts w:cs="Arial"/>
          <w:b/>
        </w:rPr>
        <w:t>EL SUJETO OBLIGADO</w:t>
      </w:r>
      <w:r w:rsidRPr="00A21844">
        <w:rPr>
          <w:rFonts w:cs="Arial"/>
        </w:rPr>
        <w:t xml:space="preserve"> cumplió con el derecho de acceso a la información pública del particular.</w:t>
      </w:r>
    </w:p>
    <w:p w14:paraId="0B26F329" w14:textId="77777777" w:rsidR="007903CA" w:rsidRPr="00A21844" w:rsidRDefault="007903CA" w:rsidP="00A21844">
      <w:pPr>
        <w:rPr>
          <w:rFonts w:cs="Arial"/>
        </w:rPr>
      </w:pPr>
    </w:p>
    <w:p w14:paraId="704B2284" w14:textId="33F15D71" w:rsidR="007903CA" w:rsidRPr="00A21844" w:rsidRDefault="007903CA" w:rsidP="00A21844">
      <w:pPr>
        <w:rPr>
          <w:rFonts w:cs="Arial"/>
        </w:rPr>
      </w:pPr>
      <w:r w:rsidRPr="00A21844">
        <w:rPr>
          <w:rFonts w:eastAsia="Palatino Linotype" w:cs="Palatino Linotype"/>
        </w:rPr>
        <w:t xml:space="preserve">Es así que, derivado que la solicitud se encuentra relacionada con la nómina </w:t>
      </w:r>
      <w:r w:rsidRPr="00A21844">
        <w:rPr>
          <w:rFonts w:cs="Tahoma"/>
          <w:bCs/>
          <w:iCs/>
          <w:szCs w:val="22"/>
        </w:rPr>
        <w:t>de la administración</w:t>
      </w:r>
      <w:r w:rsidR="00036897" w:rsidRPr="00A21844">
        <w:rPr>
          <w:rFonts w:cs="Tahoma"/>
          <w:bCs/>
          <w:iCs/>
          <w:szCs w:val="22"/>
        </w:rPr>
        <w:t xml:space="preserve">; </w:t>
      </w:r>
      <w:r w:rsidRPr="00A21844">
        <w:rPr>
          <w:rFonts w:cs="Tahoma"/>
          <w:bCs/>
          <w:iCs/>
          <w:szCs w:val="22"/>
        </w:rPr>
        <w:t xml:space="preserve"> </w:t>
      </w:r>
      <w:r w:rsidRPr="00A21844">
        <w:rPr>
          <w:rFonts w:eastAsia="Palatino Linotype" w:cs="Palatino Linotype"/>
        </w:rPr>
        <w:t xml:space="preserve">es importante precisar </w:t>
      </w:r>
      <w:r w:rsidRPr="00A21844">
        <w:rPr>
          <w:rFonts w:cs="Arial"/>
          <w:lang w:val="es-ES"/>
        </w:rPr>
        <w:t xml:space="preserve">que de acuerdo al artículo 32 de la Ley Superior de Fiscalización del Estado de México, es obligación de los Municipios rendir de </w:t>
      </w:r>
      <w:r w:rsidRPr="00A21844">
        <w:rPr>
          <w:rFonts w:cs="Arial"/>
          <w:b/>
          <w:lang w:val="es-ES"/>
        </w:rPr>
        <w:t xml:space="preserve">manera </w:t>
      </w:r>
      <w:r w:rsidRPr="00A21844">
        <w:rPr>
          <w:rFonts w:cs="Arial"/>
          <w:b/>
          <w:lang w:val="es-ES"/>
        </w:rPr>
        <w:lastRenderedPageBreak/>
        <w:t>trimestral al Órgano Superior de Fiscalización del Estado de México,</w:t>
      </w:r>
      <w:r w:rsidRPr="00A21844">
        <w:rPr>
          <w:rFonts w:cs="Arial"/>
          <w:lang w:val="es-ES"/>
        </w:rPr>
        <w:t xml:space="preserve"> los informes correspondientes. </w:t>
      </w:r>
    </w:p>
    <w:p w14:paraId="0D780BC1" w14:textId="77777777" w:rsidR="007903CA" w:rsidRPr="00A21844" w:rsidRDefault="007903CA" w:rsidP="00A21844">
      <w:pPr>
        <w:rPr>
          <w:rFonts w:cs="Arial"/>
          <w:lang w:val="es-ES"/>
        </w:rPr>
      </w:pPr>
    </w:p>
    <w:p w14:paraId="5167B0DF" w14:textId="77777777" w:rsidR="007903CA" w:rsidRPr="00A21844" w:rsidRDefault="007903CA" w:rsidP="00A21844">
      <w:pPr>
        <w:contextualSpacing/>
        <w:rPr>
          <w:rFonts w:cs="Arial"/>
          <w:lang w:val="es-ES"/>
        </w:rPr>
      </w:pPr>
      <w:r w:rsidRPr="00A21844">
        <w:rPr>
          <w:rFonts w:cs="Arial"/>
          <w:lang w:val="es-ES"/>
        </w:rPr>
        <w:t xml:space="preserve">En ese contexto, el </w:t>
      </w:r>
      <w:r w:rsidRPr="00A21844">
        <w:rPr>
          <w:rFonts w:cs="Arial"/>
          <w:i/>
          <w:lang w:val="es-ES"/>
        </w:rPr>
        <w:t>Acuerdo 04/2024 por el que se emiten los Lineamientos, fechas de capacitación y calendarización para la integración, presentación y envío de los Informes Trimestrales del ejercicio fiscal 2024, de las entidades fiscalizables</w:t>
      </w:r>
      <w:r w:rsidRPr="00A21844">
        <w:rPr>
          <w:rFonts w:cs="Arial"/>
          <w:lang w:val="es-ES"/>
        </w:rPr>
        <w:t>, emitidos por el Órgano Superior de Fiscalización del Estado de México, precisa que los Ayuntamientos deben de proporcionar, para su fiscalización, diversos documentos, entre los cuales se encuentran aquellos del Módulo 4, que contienen la Conciliación de Nómina el cual se conforma de del listado de servidores públicos, con todas sus percepciones y deducciones</w:t>
      </w:r>
      <w:r w:rsidRPr="00A21844">
        <w:t xml:space="preserve">, los cuales son generados de </w:t>
      </w:r>
      <w:r w:rsidRPr="00A21844">
        <w:rPr>
          <w:rFonts w:cs="Arial"/>
          <w:lang w:val="es-ES"/>
        </w:rPr>
        <w:t>manera quincenal.</w:t>
      </w:r>
    </w:p>
    <w:p w14:paraId="11F938FA" w14:textId="77777777" w:rsidR="007903CA" w:rsidRPr="00A21844" w:rsidRDefault="007903CA" w:rsidP="00A21844">
      <w:pPr>
        <w:contextualSpacing/>
        <w:rPr>
          <w:rFonts w:cs="Arial"/>
          <w:lang w:val="es-ES"/>
        </w:rPr>
      </w:pPr>
    </w:p>
    <w:p w14:paraId="210B79C2" w14:textId="77777777" w:rsidR="007903CA" w:rsidRPr="00A21844" w:rsidRDefault="007903CA" w:rsidP="00A21844">
      <w:pPr>
        <w:contextualSpacing/>
        <w:rPr>
          <w:rFonts w:cs="Arial"/>
          <w:lang w:val="es-ES"/>
        </w:rPr>
      </w:pPr>
      <w:r w:rsidRPr="00A21844">
        <w:rPr>
          <w:noProof/>
          <w:lang w:eastAsia="es-MX"/>
        </w:rPr>
        <mc:AlternateContent>
          <mc:Choice Requires="wps">
            <w:drawing>
              <wp:anchor distT="0" distB="0" distL="114300" distR="114300" simplePos="0" relativeHeight="251659264" behindDoc="0" locked="0" layoutInCell="1" allowOverlap="1" wp14:anchorId="4257DF66" wp14:editId="0C0BB1B9">
                <wp:simplePos x="0" y="0"/>
                <wp:positionH relativeFrom="column">
                  <wp:posOffset>880055</wp:posOffset>
                </wp:positionH>
                <wp:positionV relativeFrom="paragraph">
                  <wp:posOffset>2683122</wp:posOffset>
                </wp:positionV>
                <wp:extent cx="4605867" cy="381553"/>
                <wp:effectExtent l="19050" t="19050" r="23495" b="19050"/>
                <wp:wrapNone/>
                <wp:docPr id="5" name="Rectángulo redondeado 5"/>
                <wp:cNvGraphicFramePr/>
                <a:graphic xmlns:a="http://schemas.openxmlformats.org/drawingml/2006/main">
                  <a:graphicData uri="http://schemas.microsoft.com/office/word/2010/wordprocessingShape">
                    <wps:wsp>
                      <wps:cNvSpPr/>
                      <wps:spPr>
                        <a:xfrm>
                          <a:off x="0" y="0"/>
                          <a:ext cx="4605867" cy="381553"/>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2C41224" id="Rectángulo redondeado 5" o:spid="_x0000_s1026" style="position:absolute;margin-left:69.3pt;margin-top:211.25pt;width:362.65pt;height:3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" filled="f" strokecolor="red" strokeweight="2.25pt">
                <v:stroke joinstyle="miter"/>
              </v:roundrect>
            </w:pict>
          </mc:Fallback>
        </mc:AlternateContent>
      </w:r>
      <w:r w:rsidRPr="00A21844">
        <w:rPr>
          <w:noProof/>
          <w:lang w:eastAsia="es-MX"/>
        </w:rPr>
        <w:drawing>
          <wp:inline distT="0" distB="0" distL="0" distR="0" wp14:anchorId="7B399B29" wp14:editId="21AA5E5D">
            <wp:extent cx="5543222" cy="3708400"/>
            <wp:effectExtent l="0" t="0" r="63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3222" cy="3708400"/>
                    </a:xfrm>
                    <a:prstGeom prst="rect">
                      <a:avLst/>
                    </a:prstGeom>
                  </pic:spPr>
                </pic:pic>
              </a:graphicData>
            </a:graphic>
          </wp:inline>
        </w:drawing>
      </w:r>
    </w:p>
    <w:p w14:paraId="504ABE06" w14:textId="77777777" w:rsidR="007903CA" w:rsidRPr="00A21844" w:rsidRDefault="007903CA" w:rsidP="00A21844"/>
    <w:p w14:paraId="5E68CF02" w14:textId="77777777" w:rsidR="007903CA" w:rsidRPr="00A21844" w:rsidRDefault="007903CA" w:rsidP="00A21844">
      <w:r w:rsidRPr="00A21844">
        <w:t xml:space="preserve">Asimismo, conforme a al Instructivo de llenado del Módulo 4, se advierte lo siguiente: </w:t>
      </w:r>
    </w:p>
    <w:p w14:paraId="75DA6FF7" w14:textId="77777777" w:rsidR="007903CA" w:rsidRPr="00A21844" w:rsidRDefault="007903CA" w:rsidP="00A21844">
      <w:pPr>
        <w:contextualSpacing/>
        <w:rPr>
          <w:rFonts w:cs="Arial"/>
          <w:lang w:val="es-ES"/>
        </w:rPr>
      </w:pPr>
      <w:r w:rsidRPr="00A21844">
        <w:rPr>
          <w:noProof/>
          <w:lang w:eastAsia="es-MX"/>
        </w:rPr>
        <w:drawing>
          <wp:inline distT="0" distB="0" distL="0" distR="0" wp14:anchorId="3221B7CD" wp14:editId="39D835D3">
            <wp:extent cx="5648960" cy="64433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64785" cy="6461381"/>
                    </a:xfrm>
                    <a:prstGeom prst="rect">
                      <a:avLst/>
                    </a:prstGeom>
                  </pic:spPr>
                </pic:pic>
              </a:graphicData>
            </a:graphic>
          </wp:inline>
        </w:drawing>
      </w:r>
    </w:p>
    <w:p w14:paraId="06D19A1C" w14:textId="1FF2E9A2" w:rsidR="007903CA" w:rsidRPr="00A21844" w:rsidRDefault="007903CA" w:rsidP="00A21844">
      <w:pPr>
        <w:contextualSpacing/>
      </w:pPr>
      <w:r w:rsidRPr="00A21844">
        <w:rPr>
          <w:rFonts w:cs="Arial"/>
          <w:lang w:val="es-ES"/>
        </w:rPr>
        <w:lastRenderedPageBreak/>
        <w:t xml:space="preserve">De lo anterior, podemos advertir que la conciliación de nómina debe ser generada de manera quincenal; asimismo, es corresponde al documento idóneo para atender el derecho de acceso a la información ejercido por el particular, pues este contiene al personal de la administración, incluyendo al personal administrativo y cabildo; asimismo, contiene </w:t>
      </w:r>
      <w:r w:rsidRPr="00A21844">
        <w:t>nombres, puestos y sueldos.</w:t>
      </w:r>
    </w:p>
    <w:p w14:paraId="3211CFEE" w14:textId="77777777" w:rsidR="007903CA" w:rsidRPr="00A21844" w:rsidRDefault="007903CA" w:rsidP="00A21844">
      <w:pPr>
        <w:contextualSpacing/>
        <w:rPr>
          <w:rFonts w:cs="Arial"/>
          <w:lang w:val="es-ES"/>
        </w:rPr>
      </w:pPr>
    </w:p>
    <w:p w14:paraId="7062BA4B" w14:textId="2012DD8D" w:rsidR="007903CA" w:rsidRPr="00A21844" w:rsidRDefault="007903CA" w:rsidP="00A21844">
      <w:pPr>
        <w:contextualSpacing/>
        <w:rPr>
          <w:rFonts w:cs="Arial"/>
        </w:rPr>
      </w:pPr>
      <w:r w:rsidRPr="00A21844">
        <w:rPr>
          <w:rFonts w:cs="Arial"/>
          <w:lang w:val="es-ES"/>
        </w:rPr>
        <w:t xml:space="preserve">Una vez precisado lo anterior, se considera conveniente recordar </w:t>
      </w:r>
      <w:r w:rsidRPr="00A21844">
        <w:rPr>
          <w:rFonts w:eastAsia="Palatino Linotype" w:cs="Palatino Linotype"/>
        </w:rPr>
        <w:t xml:space="preserve">que </w:t>
      </w:r>
      <w:r w:rsidRPr="00A21844">
        <w:rPr>
          <w:rFonts w:cs="Arial"/>
        </w:rPr>
        <w:t xml:space="preserve">en el presente caso </w:t>
      </w:r>
      <w:r w:rsidRPr="00A21844">
        <w:rPr>
          <w:rFonts w:cs="Arial"/>
          <w:b/>
        </w:rPr>
        <w:t>EL</w:t>
      </w:r>
      <w:r w:rsidRPr="00A21844">
        <w:rPr>
          <w:rFonts w:cs="Arial"/>
        </w:rPr>
        <w:t xml:space="preserve"> </w:t>
      </w:r>
      <w:r w:rsidRPr="00A21844">
        <w:rPr>
          <w:rFonts w:cs="Arial"/>
          <w:b/>
        </w:rPr>
        <w:t>SUJETO OBLIGADO</w:t>
      </w:r>
      <w:r w:rsidRPr="00A21844">
        <w:rPr>
          <w:rFonts w:cs="Arial"/>
        </w:rPr>
        <w:t xml:space="preserve"> </w:t>
      </w:r>
      <w:r w:rsidRPr="00A21844">
        <w:rPr>
          <w:rFonts w:cs="Tahoma"/>
          <w:szCs w:val="22"/>
          <w:lang w:val="es-ES"/>
        </w:rPr>
        <w:t>puso a disposición para consulta directa la información, dado que requería procesamiento de documentos; por lo que, cuya entrega sobrepasaba las capacidades humanas.</w:t>
      </w:r>
      <w:r w:rsidRPr="00A21844">
        <w:rPr>
          <w:rFonts w:cs="Arial"/>
        </w:rPr>
        <w:t xml:space="preserve">  </w:t>
      </w:r>
    </w:p>
    <w:p w14:paraId="1691D179" w14:textId="77777777" w:rsidR="007903CA" w:rsidRPr="00A21844" w:rsidRDefault="007903CA" w:rsidP="00A21844">
      <w:pPr>
        <w:rPr>
          <w:rFonts w:cs="Arial"/>
        </w:rPr>
      </w:pPr>
    </w:p>
    <w:p w14:paraId="731DDD1B" w14:textId="397D99B8" w:rsidR="007903CA" w:rsidRPr="00A21844" w:rsidRDefault="007903CA" w:rsidP="00A21844">
      <w:pPr>
        <w:rPr>
          <w:rFonts w:eastAsia="MS Mincho" w:cs="Arial"/>
        </w:rPr>
      </w:pPr>
      <w:r w:rsidRPr="00A21844">
        <w:t xml:space="preserve">En consecuencia, </w:t>
      </w:r>
      <w:r w:rsidR="00036897" w:rsidRPr="00A21844">
        <w:t xml:space="preserve">es de puntualizar que </w:t>
      </w:r>
      <w:r w:rsidRPr="00A21844">
        <w:t xml:space="preserve">se considera viable </w:t>
      </w:r>
      <w:r w:rsidRPr="00A21844">
        <w:rPr>
          <w:rFonts w:cs="Arial"/>
        </w:rPr>
        <w:t xml:space="preserve">el cambio de modalidad, cuando se actualice lo previsto en el </w:t>
      </w:r>
      <w:r w:rsidRPr="00A21844">
        <w:rPr>
          <w:rFonts w:eastAsia="MS Mincho" w:cs="Arial"/>
        </w:rPr>
        <w:t xml:space="preserve">artículo 158 de la Ley de Transparencia y Acceso a la Información Pública del Estado de México y Municipios, los cuales señalan: </w:t>
      </w:r>
    </w:p>
    <w:p w14:paraId="5BB83FF4" w14:textId="77777777" w:rsidR="007903CA" w:rsidRPr="00A21844" w:rsidRDefault="007903CA" w:rsidP="00A21844">
      <w:pPr>
        <w:rPr>
          <w:lang w:eastAsia="es-MX"/>
        </w:rPr>
      </w:pPr>
    </w:p>
    <w:p w14:paraId="467A6A41" w14:textId="77777777" w:rsidR="007903CA" w:rsidRPr="00A21844" w:rsidRDefault="007903CA" w:rsidP="00A21844">
      <w:pPr>
        <w:pStyle w:val="Puesto"/>
      </w:pPr>
      <w:r w:rsidRPr="00A21844">
        <w:t>“</w:t>
      </w:r>
      <w:r w:rsidRPr="00A21844">
        <w:rPr>
          <w:b/>
          <w:bCs/>
        </w:rPr>
        <w:t>Artículo 158.</w:t>
      </w:r>
      <w:r w:rsidRPr="00A21844">
        <w:t xml:space="preserve"> </w:t>
      </w:r>
      <w:r w:rsidRPr="00A21844">
        <w:rPr>
          <w:bCs/>
        </w:rPr>
        <w:t>De manera excepcional, cuando de forma fundada y motivada así lo determine el sujeto obligado</w:t>
      </w:r>
      <w:r w:rsidRPr="00A21844">
        <w:t xml:space="preserve">, en aquellos casos en que la información solicitada que ya se encuentre en su posesión implique análisis, estudio o procesamiento de documentos </w:t>
      </w:r>
      <w:r w:rsidRPr="00A21844">
        <w:rPr>
          <w:bCs/>
        </w:rPr>
        <w:t>cuya entrega o reproducción sobrepase las capacidades técnicas administrativas y humanas del sujeto obligado</w:t>
      </w:r>
      <w:r w:rsidRPr="00A21844">
        <w:t xml:space="preserve"> para cumplir con la solicitud, en los plazos establecidos para dichos efectos,</w:t>
      </w:r>
      <w:r w:rsidRPr="00A21844">
        <w:rPr>
          <w:bCs/>
        </w:rPr>
        <w:t xml:space="preserve"> se podrá poner a disposición del solicitante los documentos en consulta directa</w:t>
      </w:r>
      <w:r w:rsidRPr="00A21844">
        <w:t>, salvo la información clasificada”.</w:t>
      </w:r>
    </w:p>
    <w:p w14:paraId="614B07B1" w14:textId="77777777" w:rsidR="007903CA" w:rsidRPr="00A21844" w:rsidRDefault="007903CA" w:rsidP="00A21844">
      <w:pPr>
        <w:pStyle w:val="Puesto"/>
      </w:pPr>
      <w:r w:rsidRPr="00A21844">
        <w:t xml:space="preserve"> (Énfasis añadido) </w:t>
      </w:r>
    </w:p>
    <w:p w14:paraId="16730777" w14:textId="77777777" w:rsidR="007903CA" w:rsidRPr="00A21844" w:rsidRDefault="007903CA" w:rsidP="00A21844">
      <w:pPr>
        <w:pStyle w:val="Puesto"/>
      </w:pPr>
    </w:p>
    <w:p w14:paraId="55F224DD" w14:textId="77777777" w:rsidR="007903CA" w:rsidRPr="00A21844" w:rsidRDefault="007903CA" w:rsidP="00A21844">
      <w:pPr>
        <w:rPr>
          <w:rFonts w:eastAsia="MS Mincho" w:cs="Arial"/>
        </w:rPr>
      </w:pPr>
      <w:r w:rsidRPr="00A21844">
        <w:rPr>
          <w:rFonts w:eastAsia="MS Mincho"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6B7A5FF2" w14:textId="77777777" w:rsidR="007903CA" w:rsidRPr="00A21844" w:rsidRDefault="007903CA" w:rsidP="00A21844">
      <w:pPr>
        <w:rPr>
          <w:rFonts w:eastAsia="MS Mincho" w:cs="Arial"/>
          <w:b/>
        </w:rPr>
      </w:pPr>
      <w:r w:rsidRPr="00A21844">
        <w:rPr>
          <w:rFonts w:eastAsia="MS Mincho" w:cs="Arial"/>
        </w:rPr>
        <w:lastRenderedPageBreak/>
        <w:t xml:space="preserve">Es decir, del artículo anterior, se derivan tres hipótesis que en conjunto y de manera fundada y motivada, validan el cambio de modalidad de entrega de la información y las cuales son, que las documentales a proporcionar </w:t>
      </w:r>
      <w:r w:rsidRPr="00A21844">
        <w:rPr>
          <w:rFonts w:eastAsia="MS Mincho" w:cs="Arial"/>
          <w:b/>
        </w:rPr>
        <w:t xml:space="preserve">sobrepasen las capacidades técnicas administrativas y humanas del Sujeto Obligado. </w:t>
      </w:r>
    </w:p>
    <w:p w14:paraId="50BFC491" w14:textId="77777777" w:rsidR="007903CA" w:rsidRPr="00A21844" w:rsidRDefault="007903CA" w:rsidP="00A21844">
      <w:pPr>
        <w:rPr>
          <w:rFonts w:eastAsia="MS Mincho" w:cs="Arial"/>
        </w:rPr>
      </w:pPr>
    </w:p>
    <w:p w14:paraId="67E4E00A" w14:textId="77777777" w:rsidR="007903CA" w:rsidRPr="00A21844" w:rsidRDefault="007903CA" w:rsidP="00A21844">
      <w:pPr>
        <w:rPr>
          <w:rFonts w:eastAsia="MS Mincho" w:cs="Arial"/>
        </w:rPr>
      </w:pPr>
      <w:r w:rsidRPr="00A21844">
        <w:rPr>
          <w:rFonts w:eastAsia="MS Mincho" w:cs="Arial"/>
        </w:rPr>
        <w:t xml:space="preserve">Derivado de lo anterior, cabe mencionar lo que se entiende por </w:t>
      </w:r>
      <w:r w:rsidRPr="00A21844">
        <w:rPr>
          <w:rFonts w:eastAsia="MS Mincho" w:cs="Arial"/>
          <w:b/>
        </w:rPr>
        <w:t>“capacidad”</w:t>
      </w:r>
      <w:r w:rsidRPr="00A21844">
        <w:rPr>
          <w:rFonts w:eastAsia="MS Mincho" w:cs="Arial"/>
        </w:rPr>
        <w:t>, que de manera general puede ser interpretado como la circunstancia o conjunto de condiciones, cualidades o aptitudes que permiten el desarrollo o el cumplimiento de una función o desempeño de un cargo.</w:t>
      </w:r>
    </w:p>
    <w:p w14:paraId="5273D904" w14:textId="77777777" w:rsidR="007903CA" w:rsidRPr="00A21844" w:rsidRDefault="007903CA" w:rsidP="00A21844">
      <w:pPr>
        <w:rPr>
          <w:rFonts w:eastAsia="MS Mincho" w:cs="Arial"/>
        </w:rPr>
      </w:pPr>
    </w:p>
    <w:p w14:paraId="4159522F" w14:textId="77777777" w:rsidR="007903CA" w:rsidRPr="00A21844" w:rsidRDefault="007903CA" w:rsidP="00A21844">
      <w:pPr>
        <w:rPr>
          <w:rFonts w:eastAsia="MS Mincho" w:cs="Arial"/>
        </w:rPr>
      </w:pPr>
      <w:r w:rsidRPr="00A21844">
        <w:rPr>
          <w:rFonts w:eastAsia="MS Gothic" w:cstheme="majorBidi"/>
        </w:rPr>
        <w:t>Ahora bien, re</w:t>
      </w:r>
      <w:r w:rsidRPr="00A21844">
        <w:rPr>
          <w:rFonts w:eastAsia="MS Mincho" w:cs="Arial"/>
        </w:rPr>
        <w:t xml:space="preserve">specto a las </w:t>
      </w:r>
      <w:r w:rsidRPr="00A21844">
        <w:rPr>
          <w:rFonts w:eastAsia="MS Mincho" w:cs="Arial"/>
          <w:b/>
        </w:rPr>
        <w:t>capacidades técnicas</w:t>
      </w:r>
      <w:r w:rsidRPr="00A21844">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1AB2A5D9" w14:textId="77777777" w:rsidR="007903CA" w:rsidRPr="00A21844" w:rsidRDefault="007903CA" w:rsidP="00A21844">
      <w:pPr>
        <w:rPr>
          <w:rFonts w:eastAsia="MS Mincho" w:cs="Arial"/>
        </w:rPr>
      </w:pPr>
    </w:p>
    <w:p w14:paraId="52914854" w14:textId="77777777" w:rsidR="007903CA" w:rsidRPr="00A21844" w:rsidRDefault="007903CA" w:rsidP="00A21844">
      <w:pPr>
        <w:rPr>
          <w:rFonts w:eastAsiaTheme="minorEastAsia" w:cs="Arial"/>
          <w:lang w:val="es-ES_tradnl"/>
        </w:rPr>
      </w:pPr>
      <w:r w:rsidRPr="00A21844">
        <w:rPr>
          <w:rFonts w:eastAsia="MS Mincho" w:cs="Arial"/>
        </w:rPr>
        <w:t xml:space="preserve">Derivado de lo anterior, es importante señalar que el </w:t>
      </w:r>
      <w:r w:rsidRPr="00A21844">
        <w:rPr>
          <w:rFonts w:eastAsiaTheme="minorEastAsia" w:cs="Arial"/>
          <w:b/>
          <w:lang w:val="es-ES_tradnl"/>
        </w:rPr>
        <w:t>SAIMEX</w:t>
      </w:r>
      <w:r w:rsidRPr="00A21844">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2A9097D5" w14:textId="77777777" w:rsidR="007903CA" w:rsidRPr="00A21844" w:rsidRDefault="007903CA" w:rsidP="00A21844">
      <w:pPr>
        <w:rPr>
          <w:rFonts w:eastAsiaTheme="minorEastAsia" w:cs="Arial"/>
          <w:lang w:val="es-ES_tradnl"/>
        </w:rPr>
      </w:pPr>
    </w:p>
    <w:p w14:paraId="081D8DA4" w14:textId="3B455A7B" w:rsidR="007903CA" w:rsidRPr="00A21844" w:rsidRDefault="007903CA" w:rsidP="00A21844">
      <w:pPr>
        <w:rPr>
          <w:rFonts w:cs="Arial"/>
          <w:lang w:val="es-ES"/>
        </w:rPr>
      </w:pPr>
      <w:r w:rsidRPr="00A21844">
        <w:rPr>
          <w:rFonts w:eastAsia="MS Mincho" w:cs="Arial"/>
        </w:rPr>
        <w:t xml:space="preserve">Es así que, en el presente asunto </w:t>
      </w:r>
      <w:r w:rsidRPr="00A21844">
        <w:rPr>
          <w:rFonts w:eastAsia="MS Mincho" w:cs="Arial"/>
          <w:b/>
        </w:rPr>
        <w:t xml:space="preserve">EL SUJETO OBLIGADO </w:t>
      </w:r>
      <w:r w:rsidRPr="00A21844">
        <w:rPr>
          <w:rFonts w:eastAsia="MS Mincho" w:cs="Arial"/>
        </w:rPr>
        <w:t xml:space="preserve">omitió </w:t>
      </w:r>
      <w:r w:rsidRPr="00A21844">
        <w:rPr>
          <w:rFonts w:cs="Arial"/>
          <w:lang w:val="es-ES"/>
        </w:rPr>
        <w:t xml:space="preserve">demostrar que los documentos con los que pretendía dar respuesta excedían de la capacidad para ser </w:t>
      </w:r>
      <w:r w:rsidRPr="00A21844">
        <w:rPr>
          <w:rFonts w:cs="Arial"/>
          <w:lang w:val="es-ES"/>
        </w:rPr>
        <w:lastRenderedPageBreak/>
        <w:t xml:space="preserve">cargada en la plataforma </w:t>
      </w:r>
      <w:r w:rsidRPr="00A21844">
        <w:rPr>
          <w:rFonts w:cs="Arial"/>
          <w:b/>
          <w:lang w:val="es-ES"/>
        </w:rPr>
        <w:t>SAIMEX</w:t>
      </w:r>
      <w:r w:rsidRPr="00A21844">
        <w:rPr>
          <w:rFonts w:cs="Arial"/>
          <w:lang w:val="es-ES"/>
        </w:rPr>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w:t>
      </w:r>
      <w:r w:rsidR="00036897" w:rsidRPr="00A21844">
        <w:rPr>
          <w:rFonts w:cs="Arial"/>
          <w:lang w:val="es-ES"/>
        </w:rPr>
        <w:t>, que en el caso en particular la peticionó vía SAIMEX, como se ilustra:</w:t>
      </w:r>
    </w:p>
    <w:p w14:paraId="6EACFF17" w14:textId="7DC31076" w:rsidR="00036897" w:rsidRPr="00A21844" w:rsidRDefault="00036897" w:rsidP="00A21844">
      <w:pPr>
        <w:rPr>
          <w:rFonts w:cs="Arial"/>
          <w:lang w:val="es-ES"/>
        </w:rPr>
      </w:pPr>
    </w:p>
    <w:p w14:paraId="3F5B697E" w14:textId="27283D66" w:rsidR="00036897" w:rsidRPr="00A21844" w:rsidRDefault="002E1DEA" w:rsidP="00A21844">
      <w:pPr>
        <w:rPr>
          <w:rFonts w:cs="Arial"/>
          <w:lang w:val="es-ES"/>
        </w:rPr>
      </w:pPr>
      <w:r w:rsidRPr="00A21844">
        <w:rPr>
          <w:noProof/>
          <w:lang w:eastAsia="es-MX"/>
          <w14:ligatures w14:val="standardContextual"/>
        </w:rPr>
        <mc:AlternateContent>
          <mc:Choice Requires="wps">
            <w:drawing>
              <wp:anchor distT="0" distB="0" distL="114300" distR="114300" simplePos="0" relativeHeight="251660288" behindDoc="0" locked="0" layoutInCell="1" allowOverlap="1" wp14:anchorId="4DC83484" wp14:editId="201E87DE">
                <wp:simplePos x="0" y="0"/>
                <wp:positionH relativeFrom="column">
                  <wp:posOffset>-19552</wp:posOffset>
                </wp:positionH>
                <wp:positionV relativeFrom="paragraph">
                  <wp:posOffset>192139</wp:posOffset>
                </wp:positionV>
                <wp:extent cx="1446028" cy="212651"/>
                <wp:effectExtent l="19050" t="19050" r="20955" b="16510"/>
                <wp:wrapNone/>
                <wp:docPr id="7" name="Elipse 7"/>
                <wp:cNvGraphicFramePr/>
                <a:graphic xmlns:a="http://schemas.openxmlformats.org/drawingml/2006/main">
                  <a:graphicData uri="http://schemas.microsoft.com/office/word/2010/wordprocessingShape">
                    <wps:wsp>
                      <wps:cNvSpPr/>
                      <wps:spPr>
                        <a:xfrm>
                          <a:off x="0" y="0"/>
                          <a:ext cx="1446028" cy="212651"/>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29AC7B69" id="Elipse 7" o:spid="_x0000_s1026" style="position:absolute;margin-left:-1.55pt;margin-top:15.15pt;width:113.85pt;height:1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" filled="f" strokecolor="#156082 [3204]" strokeweight="2.25pt">
                <v:stroke joinstyle="miter"/>
              </v:oval>
            </w:pict>
          </mc:Fallback>
        </mc:AlternateContent>
      </w:r>
      <w:r w:rsidR="00036897" w:rsidRPr="00A21844">
        <w:rPr>
          <w:noProof/>
          <w:lang w:eastAsia="es-MX"/>
          <w14:ligatures w14:val="standardContextual"/>
        </w:rPr>
        <w:drawing>
          <wp:inline distT="0" distB="0" distL="0" distR="0" wp14:anchorId="779AED57" wp14:editId="44CF8946">
            <wp:extent cx="5382895" cy="720725"/>
            <wp:effectExtent l="0" t="0" r="825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2895" cy="720725"/>
                    </a:xfrm>
                    <a:prstGeom prst="rect">
                      <a:avLst/>
                    </a:prstGeom>
                  </pic:spPr>
                </pic:pic>
              </a:graphicData>
            </a:graphic>
          </wp:inline>
        </w:drawing>
      </w:r>
    </w:p>
    <w:p w14:paraId="70CF7616" w14:textId="77777777" w:rsidR="007903CA" w:rsidRPr="00A21844" w:rsidRDefault="007903CA" w:rsidP="00A21844">
      <w:pPr>
        <w:rPr>
          <w:rFonts w:cs="Arial"/>
          <w:lang w:val="es-ES"/>
        </w:rPr>
      </w:pPr>
    </w:p>
    <w:p w14:paraId="61F21BF5" w14:textId="233B8B57" w:rsidR="007903CA" w:rsidRPr="00A21844" w:rsidRDefault="007903CA" w:rsidP="00A21844">
      <w:pPr>
        <w:rPr>
          <w:rFonts w:cs="Arial"/>
          <w:lang w:val="es-ES"/>
        </w:rPr>
      </w:pPr>
      <w:r w:rsidRPr="00A21844">
        <w:rPr>
          <w:rFonts w:cs="Arial"/>
          <w:lang w:val="es-ES"/>
        </w:rPr>
        <w:t xml:space="preserve">Es así que, los Sujetos Obligados deben respetar la forma seleccionada por </w:t>
      </w:r>
      <w:r w:rsidRPr="00A21844">
        <w:rPr>
          <w:rFonts w:cs="Arial"/>
          <w:b/>
          <w:lang w:val="es-ES"/>
        </w:rPr>
        <w:t>LA RECURRENTE</w:t>
      </w:r>
      <w:r w:rsidRPr="00A21844">
        <w:rPr>
          <w:rFonts w:cs="Arial"/>
          <w:lang w:val="es-ES"/>
        </w:rPr>
        <w:t xml:space="preserve"> para la entrega de la información, por lo que, si éste eligió que la vía de entrega de la información sea el</w:t>
      </w:r>
      <w:r w:rsidRPr="00A21844">
        <w:rPr>
          <w:rFonts w:cs="Arial"/>
          <w:b/>
          <w:lang w:val="es-ES"/>
        </w:rPr>
        <w:t xml:space="preserve"> SAIMEX</w:t>
      </w:r>
      <w:r w:rsidRPr="00A21844">
        <w:rPr>
          <w:rFonts w:cs="Arial"/>
          <w:lang w:val="es-ES"/>
        </w:rPr>
        <w:t xml:space="preserve">, el responsable de la Unidad de Transparencia debió agregar los archivos electrónicos que contengan la información requerida en dicho sistema </w:t>
      </w:r>
      <w:r w:rsidRPr="00A21844">
        <w:rPr>
          <w:rFonts w:cs="Arial"/>
          <w:b/>
          <w:lang w:val="es-ES"/>
        </w:rPr>
        <w:t>y sólo en caso de imposibilidad técnica, y previo aviso a este Instituto, puede optarse por cambiar la modalidad de entrega.</w:t>
      </w:r>
      <w:r w:rsidRPr="00A21844">
        <w:rPr>
          <w:rFonts w:cs="Arial"/>
          <w:lang w:val="es-ES"/>
        </w:rPr>
        <w:t xml:space="preserve"> </w:t>
      </w:r>
    </w:p>
    <w:p w14:paraId="20276A7C" w14:textId="77777777" w:rsidR="007903CA" w:rsidRPr="00A21844" w:rsidRDefault="007903CA" w:rsidP="00A21844">
      <w:pPr>
        <w:rPr>
          <w:rFonts w:cs="Arial"/>
          <w:lang w:val="es-ES"/>
        </w:rPr>
      </w:pPr>
    </w:p>
    <w:p w14:paraId="232CE0C7" w14:textId="2709BDAA" w:rsidR="007903CA" w:rsidRPr="00A21844" w:rsidRDefault="007903CA" w:rsidP="00A21844">
      <w:pPr>
        <w:rPr>
          <w:rFonts w:eastAsia="Palatino Linotype" w:cs="Palatino Linotype"/>
        </w:rPr>
      </w:pPr>
      <w:r w:rsidRPr="00A21844">
        <w:rPr>
          <w:rFonts w:eastAsia="Palatino Linotype" w:cs="Palatino Linotype"/>
        </w:rPr>
        <w:t xml:space="preserve">Luego, es conveniente mencionar que, en fecha </w:t>
      </w:r>
      <w:r w:rsidR="00921BA8" w:rsidRPr="00A21844">
        <w:rPr>
          <w:rFonts w:eastAsia="Palatino Linotype" w:cs="Palatino Linotype"/>
          <w:b/>
          <w:bCs/>
        </w:rPr>
        <w:t>dos de septiembre de dos mil veinticuatro</w:t>
      </w:r>
      <w:r w:rsidRPr="00A21844">
        <w:rPr>
          <w:rFonts w:eastAsia="Palatino Linotype" w:cs="Palatino Linotype"/>
        </w:rPr>
        <w:t xml:space="preserve">, este Órgano Garante, requirió al </w:t>
      </w:r>
      <w:r w:rsidRPr="00A21844">
        <w:rPr>
          <w:rFonts w:eastAsia="Palatino Linotype" w:cs="Palatino Linotype"/>
          <w:b/>
        </w:rPr>
        <w:t>SUJETO OBLIGADO</w:t>
      </w:r>
      <w:r w:rsidRPr="00A21844">
        <w:rPr>
          <w:rFonts w:eastAsia="Palatino Linotype" w:cs="Palatino Linotype"/>
        </w:rPr>
        <w:t xml:space="preserve"> vía correo electrónico para que en un plazo no mayor a tres días</w:t>
      </w:r>
      <w:r w:rsidRPr="00A21844">
        <w:rPr>
          <w:rFonts w:eastAsia="Palatino Linotype" w:cs="Palatino Linotype"/>
          <w:vertAlign w:val="superscript"/>
        </w:rPr>
        <w:footnoteReference w:id="2"/>
      </w:r>
      <w:r w:rsidRPr="00A21844">
        <w:rPr>
          <w:rFonts w:eastAsia="Palatino Linotype" w:cs="Palatino Linotype"/>
        </w:rPr>
        <w:t xml:space="preserve">, informara, de ser el caso, la imposibilidad de poder cargar la información en el Sistema de Acceso a la Información </w:t>
      </w:r>
      <w:r w:rsidRPr="00A21844">
        <w:rPr>
          <w:rFonts w:eastAsia="Palatino Linotype" w:cs="Palatino Linotype"/>
        </w:rPr>
        <w:lastRenderedPageBreak/>
        <w:t>Mexiquense (SAIMEX) con la debida motivación y atender a las opciones que a continuación se mencionan, y tal como se advierte de lo siguiente:</w:t>
      </w:r>
    </w:p>
    <w:p w14:paraId="0BB801F2" w14:textId="77777777" w:rsidR="007903CA" w:rsidRPr="00A21844" w:rsidRDefault="007903CA" w:rsidP="00A21844">
      <w:pPr>
        <w:rPr>
          <w:rFonts w:eastAsia="Palatino Linotype" w:cs="Palatino Linotype"/>
        </w:rPr>
      </w:pPr>
    </w:p>
    <w:p w14:paraId="2D2F579D" w14:textId="77777777" w:rsidR="007903CA" w:rsidRPr="00A21844" w:rsidRDefault="007903CA" w:rsidP="00A21844">
      <w:pPr>
        <w:numPr>
          <w:ilvl w:val="0"/>
          <w:numId w:val="5"/>
        </w:numPr>
        <w:rPr>
          <w:rFonts w:eastAsia="Palatino Linotype" w:cs="Palatino Linotype"/>
        </w:rPr>
      </w:pPr>
      <w:r w:rsidRPr="00A21844">
        <w:rPr>
          <w:rFonts w:eastAsia="Palatino Linotype" w:cs="Palatino Linotype"/>
        </w:rPr>
        <w:t>Solicitar ante la Dirección General de Informática de este Instituto consulta de incidencia de la capacidad (MB) de la información que debe subirse al Sistema de Acceso a la Información Mexiquense (SAIMEX) o;</w:t>
      </w:r>
    </w:p>
    <w:p w14:paraId="0C40EC71" w14:textId="77777777" w:rsidR="007903CA" w:rsidRPr="00A21844" w:rsidRDefault="007903CA" w:rsidP="00A21844">
      <w:pPr>
        <w:numPr>
          <w:ilvl w:val="0"/>
          <w:numId w:val="5"/>
        </w:numPr>
        <w:rPr>
          <w:rFonts w:eastAsia="Palatino Linotype" w:cs="Palatino Linotype"/>
        </w:rPr>
      </w:pPr>
      <w:r w:rsidRPr="00A21844">
        <w:rPr>
          <w:rFonts w:eastAsia="Palatino Linotype" w:cs="Palatino Linotype"/>
        </w:rPr>
        <w:t>Remitir el acuerdo emitido por el Comité de Transparencia en el cual se apruebe el cambio de modalidad atendiendo de manera particular las solicitudes materia del presente asunto.</w:t>
      </w:r>
    </w:p>
    <w:p w14:paraId="31BB6CB0" w14:textId="77777777" w:rsidR="007903CA" w:rsidRPr="00A21844" w:rsidRDefault="007903CA" w:rsidP="00A21844">
      <w:pPr>
        <w:ind w:left="720"/>
        <w:rPr>
          <w:rFonts w:eastAsia="Palatino Linotype" w:cs="Palatino Linotype"/>
        </w:rPr>
      </w:pPr>
    </w:p>
    <w:p w14:paraId="7E457A45" w14:textId="74879FC2" w:rsidR="007903CA" w:rsidRPr="00A21844" w:rsidRDefault="007903CA" w:rsidP="00A21844">
      <w:pPr>
        <w:rPr>
          <w:rFonts w:eastAsia="Palatino Linotype" w:cs="Palatino Linotype"/>
        </w:rPr>
      </w:pPr>
      <w:r w:rsidRPr="00A21844">
        <w:rPr>
          <w:rFonts w:eastAsia="Palatino Linotype" w:cs="Palatino Linotype"/>
        </w:rPr>
        <w:t xml:space="preserve">Hecha la salvedad que antecede, se advierte que </w:t>
      </w:r>
      <w:r w:rsidR="00FE0B2F" w:rsidRPr="00A21844">
        <w:rPr>
          <w:rFonts w:eastAsia="Palatino Linotype" w:cs="Palatino Linotype"/>
        </w:rPr>
        <w:t xml:space="preserve">en fecha </w:t>
      </w:r>
      <w:r w:rsidR="00FE0B2F" w:rsidRPr="00A21844">
        <w:rPr>
          <w:rFonts w:eastAsia="Palatino Linotype" w:cs="Palatino Linotype"/>
          <w:b/>
          <w:bCs/>
        </w:rPr>
        <w:t>cuatro de septiembre de dos mil veinticuatro,</w:t>
      </w:r>
      <w:r w:rsidRPr="00A21844">
        <w:rPr>
          <w:rFonts w:eastAsia="Palatino Linotype" w:cs="Palatino Linotype"/>
        </w:rPr>
        <w:t xml:space="preserve"> se recibió correo electrónico, del </w:t>
      </w:r>
      <w:r w:rsidRPr="00A21844">
        <w:rPr>
          <w:rFonts w:eastAsia="Palatino Linotype" w:cs="Palatino Linotype"/>
          <w:b/>
        </w:rPr>
        <w:t>SUJETO OBLIGADO</w:t>
      </w:r>
      <w:r w:rsidRPr="00A21844">
        <w:rPr>
          <w:rFonts w:eastAsia="Palatino Linotype" w:cs="Palatino Linotype"/>
        </w:rPr>
        <w:t xml:space="preserve"> para desahogar el requerimiento de mérito</w:t>
      </w:r>
      <w:r w:rsidR="00FE0B2F" w:rsidRPr="00A21844">
        <w:rPr>
          <w:rFonts w:eastAsia="Palatino Linotype" w:cs="Palatino Linotype"/>
        </w:rPr>
        <w:t>, en los términos siguientes:</w:t>
      </w:r>
    </w:p>
    <w:p w14:paraId="1208C280" w14:textId="751A6710" w:rsidR="00FE0B2F" w:rsidRPr="00A21844" w:rsidRDefault="00FE0B2F" w:rsidP="00A21844">
      <w:pPr>
        <w:rPr>
          <w:rFonts w:eastAsia="Palatino Linotype" w:cs="Palatino Linotype"/>
        </w:rPr>
      </w:pPr>
    </w:p>
    <w:p w14:paraId="10F0C45B" w14:textId="5876BE5C" w:rsidR="00FE0B2F" w:rsidRPr="00A21844" w:rsidRDefault="00FE0B2F" w:rsidP="00A21844">
      <w:pPr>
        <w:rPr>
          <w:rFonts w:eastAsia="Palatino Linotype" w:cs="Palatino Linotype"/>
        </w:rPr>
      </w:pPr>
      <w:r w:rsidRPr="00A21844">
        <w:rPr>
          <w:noProof/>
          <w:lang w:eastAsia="es-MX"/>
          <w14:ligatures w14:val="standardContextual"/>
        </w:rPr>
        <w:drawing>
          <wp:inline distT="0" distB="0" distL="0" distR="0" wp14:anchorId="5E71B64C" wp14:editId="16E96E73">
            <wp:extent cx="5382895" cy="134239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2895" cy="1342390"/>
                    </a:xfrm>
                    <a:prstGeom prst="rect">
                      <a:avLst/>
                    </a:prstGeom>
                  </pic:spPr>
                </pic:pic>
              </a:graphicData>
            </a:graphic>
          </wp:inline>
        </w:drawing>
      </w:r>
    </w:p>
    <w:p w14:paraId="4A709D34" w14:textId="6E790DC5" w:rsidR="007903CA" w:rsidRPr="00A21844" w:rsidRDefault="007903CA" w:rsidP="00A21844">
      <w:pPr>
        <w:rPr>
          <w:rFonts w:eastAsia="Palatino Linotype" w:cs="Palatino Linotype"/>
        </w:rPr>
      </w:pPr>
    </w:p>
    <w:p w14:paraId="3F2EF971" w14:textId="26DA8561" w:rsidR="00C67B06" w:rsidRPr="00A21844" w:rsidRDefault="00C67B06" w:rsidP="00A21844">
      <w:pPr>
        <w:rPr>
          <w:rFonts w:eastAsia="Palatino Linotype" w:cs="Palatino Linotype"/>
        </w:rPr>
      </w:pPr>
      <w:r w:rsidRPr="00A21844">
        <w:rPr>
          <w:rFonts w:eastAsia="Palatino Linotype" w:cs="Palatino Linotype"/>
        </w:rPr>
        <w:t>No obstante, del correo electrónico en mención no señaló de manera puntual las imposibilidades para dar atención a la solicitud relacionada con el recurso de revisión que ahora se resuelve.</w:t>
      </w:r>
    </w:p>
    <w:p w14:paraId="08242B29" w14:textId="77777777" w:rsidR="00C67B06" w:rsidRPr="00A21844" w:rsidRDefault="00C67B06" w:rsidP="00A21844">
      <w:pPr>
        <w:rPr>
          <w:rFonts w:eastAsia="Palatino Linotype" w:cs="Palatino Linotype"/>
        </w:rPr>
      </w:pPr>
    </w:p>
    <w:p w14:paraId="6E9885D4" w14:textId="65A9DB48" w:rsidR="00C67B06" w:rsidRPr="00A21844" w:rsidRDefault="00C67B06" w:rsidP="00A21844">
      <w:pPr>
        <w:rPr>
          <w:rFonts w:eastAsia="Palatino Linotype" w:cs="Palatino Linotype"/>
        </w:rPr>
      </w:pPr>
      <w:r w:rsidRPr="00A21844">
        <w:rPr>
          <w:rFonts w:eastAsia="Palatino Linotype" w:cs="Palatino Linotype"/>
        </w:rPr>
        <w:t xml:space="preserve">Además, </w:t>
      </w:r>
      <w:r w:rsidRPr="00A21844">
        <w:rPr>
          <w:rFonts w:eastAsia="Palatino Linotype" w:cs="Palatino Linotype"/>
          <w:b/>
        </w:rPr>
        <w:t>EL SUJETO OBLIGADO</w:t>
      </w:r>
      <w:r w:rsidRPr="00A21844">
        <w:rPr>
          <w:rFonts w:eastAsia="Palatino Linotype" w:cs="Palatino Linotype"/>
        </w:rPr>
        <w:t xml:space="preserve"> tampoco acreditó que lo peticionado sobrepasará las capacidades técnicas, administrativas y humanas; además que la entrega de la </w:t>
      </w:r>
      <w:r w:rsidRPr="00A21844">
        <w:rPr>
          <w:rFonts w:eastAsia="Palatino Linotype" w:cs="Palatino Linotype"/>
        </w:rPr>
        <w:lastRenderedPageBreak/>
        <w:t xml:space="preserve">información y de acuerdo a la naturaleza del SAIMEX, aunado a ello, no se precisó el número de personas que se encontraban en las áreas, ni el formato y sí la información se debería entregar en versión pública; esto es, no proporcionó los elementos necesarios para acreditar el cambio de modalidad, </w:t>
      </w:r>
      <w:r w:rsidR="009319A0" w:rsidRPr="00A21844">
        <w:rPr>
          <w:rFonts w:eastAsia="Palatino Linotype" w:cs="Palatino Linotype"/>
        </w:rPr>
        <w:t xml:space="preserve">consecuentemente </w:t>
      </w:r>
      <w:r w:rsidRPr="00A21844">
        <w:rPr>
          <w:rFonts w:eastAsia="Palatino Linotype" w:cs="Palatino Linotype"/>
        </w:rPr>
        <w:t>no justificó dicho cambio.</w:t>
      </w:r>
    </w:p>
    <w:p w14:paraId="351222E5" w14:textId="404E4C19" w:rsidR="00C67B06" w:rsidRPr="00A21844" w:rsidRDefault="00C67B06" w:rsidP="00A21844">
      <w:pPr>
        <w:rPr>
          <w:rFonts w:eastAsia="Palatino Linotype" w:cs="Palatino Linotype"/>
        </w:rPr>
      </w:pPr>
    </w:p>
    <w:p w14:paraId="391794C2" w14:textId="77777777" w:rsidR="009319A0" w:rsidRPr="00A21844" w:rsidRDefault="009319A0" w:rsidP="00A21844">
      <w:pPr>
        <w:rPr>
          <w:rFonts w:eastAsia="Palatino Linotype" w:cs="Palatino Linotype"/>
        </w:rPr>
      </w:pPr>
      <w:r w:rsidRPr="00A21844">
        <w:rPr>
          <w:rFonts w:eastAsia="Palatino Linotype" w:cs="Palatino Linotype"/>
        </w:rPr>
        <w:t>En el mismo tenor, cabe invocar el contenido del Capítulo X de Lineamientos Generales en Materia de Clasificación y Desclasificación de la Información, así como para la Elaboración de Versiones Públicas, respecto a la consulta directa, que señala:</w:t>
      </w:r>
    </w:p>
    <w:p w14:paraId="58B2B20A" w14:textId="77777777" w:rsidR="009319A0" w:rsidRPr="00A21844" w:rsidRDefault="009319A0" w:rsidP="00A21844">
      <w:pPr>
        <w:rPr>
          <w:rFonts w:eastAsia="Palatino Linotype" w:cs="Palatino Linotype"/>
        </w:rPr>
      </w:pPr>
    </w:p>
    <w:p w14:paraId="5A65021F" w14:textId="77777777" w:rsidR="009319A0" w:rsidRPr="00A21844" w:rsidRDefault="009319A0" w:rsidP="00A21844">
      <w:pPr>
        <w:pStyle w:val="Puesto"/>
        <w:jc w:val="center"/>
        <w:rPr>
          <w:rFonts w:eastAsia="Palatino Linotype"/>
          <w:b/>
        </w:rPr>
      </w:pPr>
      <w:r w:rsidRPr="00A21844">
        <w:rPr>
          <w:rFonts w:eastAsia="Palatino Linotype"/>
        </w:rPr>
        <w:t>“</w:t>
      </w:r>
      <w:r w:rsidRPr="00A21844">
        <w:rPr>
          <w:rFonts w:eastAsia="Palatino Linotype"/>
          <w:b/>
        </w:rPr>
        <w:t>CAPÍTULO X</w:t>
      </w:r>
    </w:p>
    <w:p w14:paraId="700F4CF4" w14:textId="77777777" w:rsidR="009319A0" w:rsidRPr="00A21844" w:rsidRDefault="009319A0" w:rsidP="00A21844">
      <w:pPr>
        <w:pStyle w:val="Puesto"/>
        <w:jc w:val="center"/>
        <w:rPr>
          <w:rFonts w:eastAsia="Palatino Linotype"/>
          <w:b/>
        </w:rPr>
      </w:pPr>
      <w:r w:rsidRPr="00A21844">
        <w:rPr>
          <w:rFonts w:eastAsia="Palatino Linotype"/>
          <w:b/>
        </w:rPr>
        <w:t>DE LA CONSULTA DIRECTA</w:t>
      </w:r>
    </w:p>
    <w:p w14:paraId="160829D9" w14:textId="77777777" w:rsidR="009319A0" w:rsidRPr="00A21844" w:rsidRDefault="009319A0" w:rsidP="00A21844">
      <w:pPr>
        <w:pStyle w:val="Puesto"/>
        <w:rPr>
          <w:rFonts w:eastAsia="Palatino Linotype"/>
        </w:rPr>
      </w:pPr>
      <w:r w:rsidRPr="00A21844">
        <w:rPr>
          <w:rFonts w:eastAsia="Palatino Linotype"/>
          <w:b/>
        </w:rPr>
        <w:t>Sexagésimo séptimo</w:t>
      </w:r>
      <w:r w:rsidRPr="00A21844">
        <w:rPr>
          <w:rFonts w:eastAsia="Palatino Linotype"/>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A21844">
        <w:rPr>
          <w:rFonts w:eastAsia="Palatino Linotype"/>
          <w:b/>
        </w:rPr>
        <w:t>deberá emitir la resolución en la que funde y motive la clasificación</w:t>
      </w:r>
      <w:r w:rsidRPr="00A21844">
        <w:rPr>
          <w:rFonts w:eastAsia="Palatino Linotype"/>
        </w:rPr>
        <w:t xml:space="preserve"> de las partes o secciones que no podrán dejarse a la vista del solicitante. </w:t>
      </w:r>
    </w:p>
    <w:p w14:paraId="523A3163" w14:textId="77777777" w:rsidR="009319A0" w:rsidRPr="00A21844" w:rsidRDefault="009319A0" w:rsidP="00A21844">
      <w:pPr>
        <w:pStyle w:val="Puesto"/>
        <w:rPr>
          <w:rFonts w:eastAsia="Palatino Linotype"/>
        </w:rPr>
      </w:pPr>
      <w:r w:rsidRPr="00A21844">
        <w:rPr>
          <w:rFonts w:eastAsia="Palatino Linotype"/>
          <w:b/>
        </w:rPr>
        <w:t>Sexagésimo octavo</w:t>
      </w:r>
      <w:r w:rsidRPr="00A21844">
        <w:rPr>
          <w:rFonts w:eastAsia="Palatino Linotype"/>
        </w:rPr>
        <w:t xml:space="preserve">. En la </w:t>
      </w:r>
      <w:r w:rsidRPr="00A21844">
        <w:rPr>
          <w:rFonts w:eastAsia="Palatino Linotype"/>
          <w:b/>
        </w:rPr>
        <w:t>resolución del Comité de Transparencia</w:t>
      </w:r>
      <w:r w:rsidRPr="00A21844">
        <w:rPr>
          <w:rFonts w:eastAsia="Palatino Linotype"/>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1D858EB7" w14:textId="77777777" w:rsidR="009319A0" w:rsidRPr="00A21844" w:rsidRDefault="009319A0" w:rsidP="00A21844">
      <w:pPr>
        <w:pStyle w:val="Puesto"/>
        <w:rPr>
          <w:rFonts w:eastAsia="Palatino Linotype"/>
        </w:rPr>
      </w:pPr>
      <w:r w:rsidRPr="00A21844">
        <w:rPr>
          <w:rFonts w:eastAsia="Palatino Linotype"/>
          <w:b/>
        </w:rPr>
        <w:t>Sexagésimo noveno</w:t>
      </w:r>
      <w:r w:rsidRPr="00A21844">
        <w:rPr>
          <w:rFonts w:eastAsia="Palatino Linotype"/>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27C0BD9A" w14:textId="77777777" w:rsidR="009319A0" w:rsidRPr="00A21844" w:rsidRDefault="009319A0" w:rsidP="00A21844">
      <w:pPr>
        <w:pStyle w:val="Puesto"/>
        <w:rPr>
          <w:rFonts w:eastAsia="Palatino Linotype"/>
        </w:rPr>
      </w:pPr>
      <w:r w:rsidRPr="00A21844">
        <w:rPr>
          <w:rFonts w:eastAsia="Palatino Linotype"/>
          <w:b/>
        </w:rPr>
        <w:t>Septuagésimo</w:t>
      </w:r>
      <w:r w:rsidRPr="00A21844">
        <w:rPr>
          <w:rFonts w:eastAsia="Palatino Linotype"/>
        </w:rPr>
        <w:t xml:space="preserve">. Para el desahogo de las actuaciones tendientes a permitir la consulta directa, en los casos en que ésta resulte procedente, los sujetos obligados deberán observar lo siguiente: </w:t>
      </w:r>
    </w:p>
    <w:p w14:paraId="28367C7C" w14:textId="77777777" w:rsidR="009319A0" w:rsidRPr="00A21844" w:rsidRDefault="009319A0" w:rsidP="00A21844">
      <w:pPr>
        <w:pStyle w:val="Puesto"/>
        <w:rPr>
          <w:rFonts w:eastAsia="Palatino Linotype"/>
        </w:rPr>
      </w:pPr>
      <w:r w:rsidRPr="00A21844">
        <w:rPr>
          <w:rFonts w:eastAsia="Palatino Linotype"/>
          <w:b/>
        </w:rPr>
        <w:t>I.</w:t>
      </w:r>
      <w:r w:rsidRPr="00A21844">
        <w:rPr>
          <w:rFonts w:eastAsia="Palatino Linotype"/>
        </w:rPr>
        <w:t xml:space="preserve"> Señalar claramente al particular, en la respuesta a su solicitud, el lugar, día y hora en que se podrá llevar a cabo la consulta de la documentación solicitada. En caso de que, derivado del volumen o de las particularidades de los documentos, el sujeto </w:t>
      </w:r>
      <w:r w:rsidRPr="00A21844">
        <w:rPr>
          <w:rFonts w:eastAsia="Palatino Linotype"/>
        </w:rPr>
        <w:lastRenderedPageBreak/>
        <w:t xml:space="preserve">obligado determine que se requiere más de un día para realizar la consulta, en la respuesta a la solicitud también se deberá indicar esta situación al solicitante y los días, y horarios en que podrá llevarse a cabo. </w:t>
      </w:r>
    </w:p>
    <w:p w14:paraId="4D527C16" w14:textId="77777777" w:rsidR="009319A0" w:rsidRPr="00A21844" w:rsidRDefault="009319A0" w:rsidP="00A21844">
      <w:pPr>
        <w:pStyle w:val="Puesto"/>
        <w:rPr>
          <w:rFonts w:eastAsia="Palatino Linotype"/>
        </w:rPr>
      </w:pPr>
      <w:r w:rsidRPr="00A21844">
        <w:rPr>
          <w:rFonts w:eastAsia="Palatino Linotype"/>
          <w:b/>
        </w:rPr>
        <w:t>II.</w:t>
      </w:r>
      <w:r w:rsidRPr="00A21844">
        <w:rPr>
          <w:rFonts w:eastAsia="Palatino Linotype"/>
        </w:rPr>
        <w:t xml:space="preserve"> En su caso, la procedencia de los ajustes razonables solicitados y/o la procedencia de acceso en la lengua indígena requerida; </w:t>
      </w:r>
    </w:p>
    <w:p w14:paraId="706F2611" w14:textId="77777777" w:rsidR="009319A0" w:rsidRPr="00A21844" w:rsidRDefault="009319A0" w:rsidP="00A21844">
      <w:pPr>
        <w:pStyle w:val="Puesto"/>
        <w:rPr>
          <w:rFonts w:eastAsia="Palatino Linotype"/>
        </w:rPr>
      </w:pPr>
      <w:r w:rsidRPr="00A21844">
        <w:rPr>
          <w:rFonts w:eastAsia="Palatino Linotype"/>
          <w:b/>
        </w:rPr>
        <w:t>III.</w:t>
      </w:r>
      <w:r w:rsidRPr="00A21844">
        <w:rPr>
          <w:rFonts w:eastAsia="Palatino Linotype"/>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73143E5A" w14:textId="77777777" w:rsidR="009319A0" w:rsidRPr="00A21844" w:rsidRDefault="009319A0" w:rsidP="00A21844">
      <w:pPr>
        <w:pStyle w:val="Puesto"/>
        <w:rPr>
          <w:rFonts w:eastAsia="Palatino Linotype"/>
        </w:rPr>
      </w:pPr>
      <w:r w:rsidRPr="00A21844">
        <w:rPr>
          <w:rFonts w:eastAsia="Palatino Linotype"/>
          <w:b/>
        </w:rPr>
        <w:t>IV.</w:t>
      </w:r>
      <w:r w:rsidRPr="00A21844">
        <w:rPr>
          <w:rFonts w:eastAsia="Palatino Linotype"/>
        </w:rPr>
        <w:t xml:space="preserve"> Proporcionar al solicitante las facilidades y asistencia requerida para la consulta de los documentos;</w:t>
      </w:r>
    </w:p>
    <w:p w14:paraId="6AA8FD5A" w14:textId="77777777" w:rsidR="009319A0" w:rsidRPr="00A21844" w:rsidRDefault="009319A0" w:rsidP="00A21844">
      <w:pPr>
        <w:pStyle w:val="Puesto"/>
        <w:rPr>
          <w:rFonts w:eastAsia="Palatino Linotype"/>
        </w:rPr>
      </w:pPr>
      <w:r w:rsidRPr="00A21844">
        <w:rPr>
          <w:rFonts w:eastAsia="Palatino Linotype"/>
          <w:b/>
        </w:rPr>
        <w:t>V.</w:t>
      </w:r>
      <w:r w:rsidRPr="00A21844">
        <w:rPr>
          <w:rFonts w:eastAsia="Palatino Linotype"/>
        </w:rPr>
        <w:t xml:space="preserve"> Abstenerse de requerir al solicitante que acredite interés alguno; </w:t>
      </w:r>
    </w:p>
    <w:p w14:paraId="700C4CDE" w14:textId="77777777" w:rsidR="009319A0" w:rsidRPr="00A21844" w:rsidRDefault="009319A0" w:rsidP="00A21844">
      <w:pPr>
        <w:pStyle w:val="Puesto"/>
        <w:rPr>
          <w:rFonts w:eastAsia="Palatino Linotype"/>
        </w:rPr>
      </w:pPr>
      <w:r w:rsidRPr="00A21844">
        <w:rPr>
          <w:rFonts w:eastAsia="Palatino Linotype"/>
          <w:b/>
        </w:rPr>
        <w:t>VI.</w:t>
      </w:r>
      <w:r w:rsidRPr="00A21844">
        <w:rPr>
          <w:rFonts w:eastAsia="Palatino Linotype"/>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22EDE56C" w14:textId="77777777" w:rsidR="009319A0" w:rsidRPr="00A21844" w:rsidRDefault="009319A0" w:rsidP="00A21844">
      <w:pPr>
        <w:pStyle w:val="Puesto"/>
        <w:rPr>
          <w:rFonts w:eastAsia="Palatino Linotype"/>
        </w:rPr>
      </w:pPr>
      <w:r w:rsidRPr="00A21844">
        <w:rPr>
          <w:rFonts w:eastAsia="Palatino Linotype"/>
          <w:b/>
        </w:rPr>
        <w:t>a)</w:t>
      </w:r>
      <w:r w:rsidRPr="00A21844">
        <w:rPr>
          <w:rFonts w:eastAsia="Palatino Linotype"/>
        </w:rPr>
        <w:t xml:space="preserve"> Contar con instalaciones y mobiliario adecuado para asegurar tanto la integridad del documento consultado, como para proporcionar al solicitante las mejores condiciones para poder llevar a cabo la consulta directa; </w:t>
      </w:r>
    </w:p>
    <w:p w14:paraId="1B8734FB" w14:textId="77777777" w:rsidR="009319A0" w:rsidRPr="00A21844" w:rsidRDefault="009319A0" w:rsidP="00A21844">
      <w:pPr>
        <w:pStyle w:val="Puesto"/>
        <w:rPr>
          <w:rFonts w:eastAsia="Palatino Linotype"/>
        </w:rPr>
      </w:pPr>
      <w:r w:rsidRPr="00A21844">
        <w:rPr>
          <w:rFonts w:eastAsia="Palatino Linotype"/>
          <w:b/>
        </w:rPr>
        <w:t>b)</w:t>
      </w:r>
      <w:r w:rsidRPr="00A21844">
        <w:rPr>
          <w:rFonts w:eastAsia="Palatino Linotype"/>
        </w:rPr>
        <w:t xml:space="preserve"> Equipo y personal de vigilancia;</w:t>
      </w:r>
    </w:p>
    <w:p w14:paraId="2D08455F" w14:textId="77777777" w:rsidR="009319A0" w:rsidRPr="00A21844" w:rsidRDefault="009319A0" w:rsidP="00A21844">
      <w:pPr>
        <w:pStyle w:val="Puesto"/>
        <w:rPr>
          <w:rFonts w:eastAsia="Palatino Linotype"/>
        </w:rPr>
      </w:pPr>
      <w:r w:rsidRPr="00A21844">
        <w:rPr>
          <w:rFonts w:eastAsia="Palatino Linotype"/>
          <w:b/>
        </w:rPr>
        <w:t>c)</w:t>
      </w:r>
      <w:r w:rsidRPr="00A21844">
        <w:rPr>
          <w:rFonts w:eastAsia="Palatino Linotype"/>
        </w:rPr>
        <w:t xml:space="preserve"> Plan de acción contra robo o vandalismo; </w:t>
      </w:r>
    </w:p>
    <w:p w14:paraId="315A0C3A" w14:textId="77777777" w:rsidR="009319A0" w:rsidRPr="00A21844" w:rsidRDefault="009319A0" w:rsidP="00A21844">
      <w:pPr>
        <w:pStyle w:val="Puesto"/>
        <w:rPr>
          <w:rFonts w:eastAsia="Palatino Linotype"/>
        </w:rPr>
      </w:pPr>
      <w:r w:rsidRPr="00A21844">
        <w:rPr>
          <w:rFonts w:eastAsia="Palatino Linotype"/>
          <w:b/>
        </w:rPr>
        <w:t>d)</w:t>
      </w:r>
      <w:r w:rsidRPr="00A21844">
        <w:rPr>
          <w:rFonts w:eastAsia="Palatino Linotype"/>
        </w:rPr>
        <w:t xml:space="preserve"> Extintores de fuego de gas inocuo; </w:t>
      </w:r>
    </w:p>
    <w:p w14:paraId="6693E82E" w14:textId="77777777" w:rsidR="009319A0" w:rsidRPr="00A21844" w:rsidRDefault="009319A0" w:rsidP="00A21844">
      <w:pPr>
        <w:pStyle w:val="Puesto"/>
        <w:rPr>
          <w:rFonts w:eastAsia="Palatino Linotype"/>
        </w:rPr>
      </w:pPr>
      <w:r w:rsidRPr="00A21844">
        <w:rPr>
          <w:rFonts w:eastAsia="Palatino Linotype"/>
          <w:b/>
        </w:rPr>
        <w:t>e)</w:t>
      </w:r>
      <w:r w:rsidRPr="00A21844">
        <w:rPr>
          <w:rFonts w:eastAsia="Palatino Linotype"/>
        </w:rPr>
        <w:t xml:space="preserve"> Registro e identificación del personal autorizado para el tratamiento de los documentos o expedientes a revisar;</w:t>
      </w:r>
    </w:p>
    <w:p w14:paraId="533F281E" w14:textId="77777777" w:rsidR="009319A0" w:rsidRPr="00A21844" w:rsidRDefault="009319A0" w:rsidP="00A21844">
      <w:pPr>
        <w:pStyle w:val="Puesto"/>
        <w:rPr>
          <w:rFonts w:eastAsia="Palatino Linotype"/>
        </w:rPr>
      </w:pPr>
      <w:r w:rsidRPr="00A21844">
        <w:rPr>
          <w:rFonts w:eastAsia="Palatino Linotype"/>
          <w:b/>
        </w:rPr>
        <w:t>f)</w:t>
      </w:r>
      <w:r w:rsidRPr="00A21844">
        <w:rPr>
          <w:rFonts w:eastAsia="Palatino Linotype"/>
        </w:rPr>
        <w:t xml:space="preserve"> Registro e identificación de los particulares autorizados para llevar a cabo la consulta directa, y </w:t>
      </w:r>
    </w:p>
    <w:p w14:paraId="38F2E6F5" w14:textId="77777777" w:rsidR="009319A0" w:rsidRPr="00A21844" w:rsidRDefault="009319A0" w:rsidP="00A21844">
      <w:pPr>
        <w:pStyle w:val="Puesto"/>
        <w:rPr>
          <w:rFonts w:eastAsia="Palatino Linotype"/>
        </w:rPr>
      </w:pPr>
      <w:r w:rsidRPr="00A21844">
        <w:rPr>
          <w:rFonts w:eastAsia="Palatino Linotype"/>
          <w:b/>
        </w:rPr>
        <w:t>g)</w:t>
      </w:r>
      <w:r w:rsidRPr="00A21844">
        <w:rPr>
          <w:rFonts w:eastAsia="Palatino Linotype"/>
        </w:rPr>
        <w:t xml:space="preserve"> Las demás que, a criterio de los sujetos obligados, resulten necesarias. </w:t>
      </w:r>
    </w:p>
    <w:p w14:paraId="59931999" w14:textId="77777777" w:rsidR="009319A0" w:rsidRPr="00A21844" w:rsidRDefault="009319A0" w:rsidP="00A21844">
      <w:pPr>
        <w:pStyle w:val="Puesto"/>
        <w:rPr>
          <w:rFonts w:eastAsia="Palatino Linotype"/>
        </w:rPr>
      </w:pPr>
      <w:r w:rsidRPr="00A21844">
        <w:rPr>
          <w:rFonts w:eastAsia="Palatino Linotype"/>
          <w:b/>
        </w:rPr>
        <w:t>VII.</w:t>
      </w:r>
      <w:r w:rsidRPr="00A21844">
        <w:rPr>
          <w:rFonts w:eastAsia="Palatino Linotype"/>
        </w:rPr>
        <w:t xml:space="preserve"> Hacer del conocimiento del solicitante, previo al acceso a la información, las reglas a que se sujetará la consulta para garantizar la integridad de los documentos, y</w:t>
      </w:r>
    </w:p>
    <w:p w14:paraId="7B49DF31" w14:textId="77777777" w:rsidR="009319A0" w:rsidRPr="00A21844" w:rsidRDefault="009319A0" w:rsidP="00A21844">
      <w:pPr>
        <w:pStyle w:val="Puesto"/>
        <w:rPr>
          <w:rFonts w:eastAsia="Palatino Linotype"/>
          <w:b/>
        </w:rPr>
      </w:pPr>
      <w:r w:rsidRPr="00A21844">
        <w:rPr>
          <w:rFonts w:eastAsia="Palatino Linotype"/>
          <w:b/>
        </w:rPr>
        <w:t>VIII.</w:t>
      </w:r>
      <w:r w:rsidRPr="00A21844">
        <w:rPr>
          <w:rFonts w:eastAsia="Palatino Linotype"/>
        </w:rPr>
        <w:t xml:space="preserve"> Para el caso de documentos que contengan partes o secciones clasificadas como reservadas o confidenciales, el sujeto obligado deberá hacer del conocimiento del solicitante, </w:t>
      </w:r>
      <w:r w:rsidRPr="00A21844">
        <w:rPr>
          <w:rFonts w:eastAsia="Palatino Linotype"/>
          <w:b/>
        </w:rPr>
        <w:t xml:space="preserve">previo al acceso a la información, la resolución debidamente fundada y motivada del Comité de Transparencia, en la que se clasificaron las partes o secciones que no podrán dejarse a la vista del solicitante. </w:t>
      </w:r>
    </w:p>
    <w:p w14:paraId="5C04481F" w14:textId="77777777" w:rsidR="009319A0" w:rsidRPr="00A21844" w:rsidRDefault="009319A0" w:rsidP="00A21844">
      <w:pPr>
        <w:pStyle w:val="Puesto"/>
        <w:rPr>
          <w:rFonts w:eastAsia="Palatino Linotype"/>
        </w:rPr>
      </w:pPr>
      <w:r w:rsidRPr="00A21844">
        <w:rPr>
          <w:rFonts w:eastAsia="Palatino Linotype"/>
          <w:b/>
        </w:rPr>
        <w:t xml:space="preserve">Septuagésimo primero. </w:t>
      </w:r>
      <w:r w:rsidRPr="00A21844">
        <w:rPr>
          <w:rFonts w:eastAsia="Palatino Linotype"/>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2B4FA7B4" w14:textId="77777777" w:rsidR="009319A0" w:rsidRPr="00A21844" w:rsidRDefault="009319A0" w:rsidP="00A21844">
      <w:pPr>
        <w:pStyle w:val="Puesto"/>
        <w:rPr>
          <w:rFonts w:eastAsia="Palatino Linotype"/>
        </w:rPr>
      </w:pPr>
      <w:r w:rsidRPr="00A21844">
        <w:rPr>
          <w:rFonts w:eastAsia="Palatino Linotype"/>
        </w:rPr>
        <w:lastRenderedPageBreak/>
        <w:t xml:space="preserve">El solicitante deberá observar en todo momento las reglas que el sujeto obligado haya hecho de su conocimiento para efectos de la conservación de los documentos. </w:t>
      </w:r>
    </w:p>
    <w:p w14:paraId="29E16116" w14:textId="77777777" w:rsidR="009319A0" w:rsidRPr="00A21844" w:rsidRDefault="009319A0" w:rsidP="00A21844">
      <w:pPr>
        <w:pStyle w:val="Puesto"/>
        <w:rPr>
          <w:rFonts w:eastAsia="Palatino Linotype"/>
        </w:rPr>
      </w:pPr>
      <w:r w:rsidRPr="00A21844">
        <w:rPr>
          <w:rFonts w:eastAsia="Palatino Linotype"/>
          <w:b/>
        </w:rPr>
        <w:t>Septuagésimo segundo.</w:t>
      </w:r>
      <w:r w:rsidRPr="00A21844">
        <w:rPr>
          <w:rFonts w:eastAsia="Palatino Linotype"/>
        </w:rPr>
        <w:t xml:space="preserve"> El solicitante deberá realizar la consulta de los documentos requeridos en el lugar, horarios y con la persona destinada para tal efecto. </w:t>
      </w:r>
    </w:p>
    <w:p w14:paraId="4656416A" w14:textId="77777777" w:rsidR="009319A0" w:rsidRPr="00A21844" w:rsidRDefault="009319A0" w:rsidP="00A21844">
      <w:pPr>
        <w:pStyle w:val="Puesto"/>
        <w:rPr>
          <w:rFonts w:eastAsia="Palatino Linotype"/>
        </w:rPr>
      </w:pPr>
      <w:r w:rsidRPr="00A21844">
        <w:rPr>
          <w:rFonts w:eastAsia="Palatino Linotype"/>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761850BA" w14:textId="77777777" w:rsidR="009319A0" w:rsidRPr="00A21844" w:rsidRDefault="009319A0" w:rsidP="00A21844">
      <w:pPr>
        <w:pStyle w:val="Puesto"/>
        <w:rPr>
          <w:rFonts w:eastAsia="Palatino Linotype" w:cs="Palatino Linotype"/>
          <w:szCs w:val="22"/>
        </w:rPr>
      </w:pPr>
      <w:r w:rsidRPr="00A21844">
        <w:rPr>
          <w:rFonts w:eastAsia="Palatino Linotype" w:cs="Palatino Linotype"/>
          <w:b/>
          <w:szCs w:val="22"/>
        </w:rPr>
        <w:t>Septuagésimo tercero</w:t>
      </w:r>
      <w:r w:rsidRPr="00A21844">
        <w:rPr>
          <w:rFonts w:eastAsia="Palatino Linotype" w:cs="Palatino Linotype"/>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1DDDEBE1" w14:textId="77777777" w:rsidR="009319A0" w:rsidRPr="00A21844" w:rsidRDefault="009319A0" w:rsidP="00A21844">
      <w:pPr>
        <w:pStyle w:val="Puesto"/>
        <w:rPr>
          <w:rFonts w:eastAsia="Palatino Linotype" w:cs="Palatino Linotype"/>
          <w:szCs w:val="22"/>
        </w:rPr>
      </w:pPr>
      <w:r w:rsidRPr="00A21844">
        <w:rPr>
          <w:rFonts w:eastAsia="Palatino Linotype" w:cs="Palatino Linotype"/>
          <w:szCs w:val="22"/>
        </w:rPr>
        <w:t>La información deberá ser entregada sin costo, cuando implique la entrega de no más de veinte hojas simples.”(Sic)</w:t>
      </w:r>
    </w:p>
    <w:p w14:paraId="65AED766" w14:textId="77777777" w:rsidR="009319A0" w:rsidRPr="00A21844" w:rsidRDefault="009319A0" w:rsidP="00A21844">
      <w:pPr>
        <w:rPr>
          <w:rFonts w:eastAsia="Palatino Linotype" w:cs="Palatino Linotype"/>
        </w:rPr>
      </w:pPr>
    </w:p>
    <w:p w14:paraId="7F8A5AE3" w14:textId="77777777" w:rsidR="009319A0" w:rsidRPr="00A21844" w:rsidRDefault="009319A0" w:rsidP="00A21844">
      <w:pPr>
        <w:rPr>
          <w:rFonts w:eastAsia="Palatino Linotype" w:cs="Palatino Linotype"/>
        </w:rPr>
      </w:pPr>
      <w:r w:rsidRPr="00A21844">
        <w:rPr>
          <w:rFonts w:eastAsia="Palatino Linotype" w:cs="Palatino Linotype"/>
        </w:rPr>
        <w:t xml:space="preserve">Preceptos legales que de igual forma fueron inobservados por </w:t>
      </w:r>
      <w:r w:rsidRPr="00A21844">
        <w:rPr>
          <w:rFonts w:eastAsia="Palatino Linotype" w:cs="Palatino Linotype"/>
          <w:b/>
        </w:rPr>
        <w:t>EL SUJETO OBLIGADO</w:t>
      </w:r>
      <w:r w:rsidRPr="00A21844">
        <w:rPr>
          <w:rFonts w:eastAsia="Palatino Linotype" w:cs="Palatino Linotype"/>
        </w:rPr>
        <w:t xml:space="preserve">, para hacer el cambio de modalidad a consulta directa. </w:t>
      </w:r>
    </w:p>
    <w:p w14:paraId="79CDB9D0" w14:textId="77777777" w:rsidR="009319A0" w:rsidRPr="00A21844" w:rsidRDefault="009319A0" w:rsidP="00A21844">
      <w:pPr>
        <w:spacing w:after="240"/>
        <w:contextualSpacing/>
        <w:rPr>
          <w:rFonts w:eastAsia="Palatino Linotype" w:cs="Palatino Linotype"/>
        </w:rPr>
      </w:pPr>
    </w:p>
    <w:p w14:paraId="645E4A6F" w14:textId="77777777" w:rsidR="009319A0" w:rsidRPr="00A21844" w:rsidRDefault="009319A0" w:rsidP="00A21844">
      <w:pPr>
        <w:ind w:right="51"/>
        <w:rPr>
          <w:rFonts w:eastAsia="Palatino Linotype" w:cs="Palatino Linotype"/>
        </w:rPr>
      </w:pPr>
      <w:r w:rsidRPr="00A21844">
        <w:rPr>
          <w:rFonts w:eastAsia="Palatino Linotype" w:cs="Palatino Linotype"/>
        </w:rPr>
        <w:t xml:space="preserve">En consecuencia, </w:t>
      </w:r>
      <w:r w:rsidRPr="00A21844">
        <w:rPr>
          <w:rFonts w:eastAsia="Palatino Linotype" w:cs="Palatino Linotype"/>
          <w:b/>
        </w:rPr>
        <w:t>EL SUJETO OBLIGADO</w:t>
      </w:r>
      <w:r w:rsidRPr="00A21844">
        <w:rPr>
          <w:rFonts w:eastAsia="Palatino Linotype" w:cs="Palatino Linotype"/>
        </w:rPr>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105A777E" w14:textId="77777777" w:rsidR="009319A0" w:rsidRPr="00A21844" w:rsidRDefault="009319A0" w:rsidP="00A21844">
      <w:pPr>
        <w:ind w:right="51"/>
        <w:rPr>
          <w:rFonts w:eastAsia="Palatino Linotype" w:cs="Palatino Linotype"/>
        </w:rPr>
      </w:pPr>
    </w:p>
    <w:p w14:paraId="79A6D737" w14:textId="77777777" w:rsidR="009319A0" w:rsidRPr="00A21844" w:rsidRDefault="009319A0" w:rsidP="00A21844">
      <w:pPr>
        <w:pStyle w:val="Puesto"/>
        <w:rPr>
          <w:rFonts w:eastAsia="Palatino Linotype"/>
        </w:rPr>
      </w:pPr>
      <w:r w:rsidRPr="00A21844">
        <w:rPr>
          <w:rFonts w:eastAsia="Palatino Linotype"/>
        </w:rPr>
        <w:t>“</w:t>
      </w:r>
      <w:r w:rsidRPr="00A21844">
        <w:rPr>
          <w:rFonts w:eastAsia="Palatino Linotype"/>
          <w:b/>
        </w:rPr>
        <w:t>Modalidad de entrega. Procedencia de proporcionar la información solicitada en una diversa a la elegida por el solicitante</w:t>
      </w:r>
      <w:r w:rsidRPr="00A21844">
        <w:rPr>
          <w:rFonts w:eastAsia="Palatino Linotype"/>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A21844">
        <w:rPr>
          <w:rFonts w:eastAsia="Palatino Linotype"/>
          <w:b/>
        </w:rPr>
        <w:t xml:space="preserve">a) justifique el impedimento para atender la misma </w:t>
      </w:r>
      <w:r w:rsidRPr="00A21844">
        <w:rPr>
          <w:rFonts w:eastAsia="Palatino Linotype"/>
        </w:rPr>
        <w:t xml:space="preserve">y </w:t>
      </w:r>
      <w:r w:rsidRPr="00A21844">
        <w:rPr>
          <w:rFonts w:eastAsia="Palatino Linotype"/>
          <w:b/>
        </w:rPr>
        <w:t xml:space="preserve">b) se notifique al particular la disposición de la información en todas las modalidades que permita el </w:t>
      </w:r>
      <w:r w:rsidRPr="00A21844">
        <w:rPr>
          <w:rFonts w:eastAsia="Palatino Linotype"/>
          <w:b/>
        </w:rPr>
        <w:lastRenderedPageBreak/>
        <w:t>documento de que se trate</w:t>
      </w:r>
      <w:r w:rsidRPr="00A21844">
        <w:rPr>
          <w:rFonts w:eastAsia="Palatino Linotype"/>
        </w:rPr>
        <w:t>, procurando reducir, en todo momento, los costos de entrega.”(Sic)</w:t>
      </w:r>
    </w:p>
    <w:p w14:paraId="04BC043C" w14:textId="77777777" w:rsidR="009319A0" w:rsidRPr="00A21844" w:rsidRDefault="009319A0" w:rsidP="00A21844">
      <w:pPr>
        <w:rPr>
          <w:rFonts w:eastAsia="Palatino Linotype" w:cs="Palatino Linotype"/>
        </w:rPr>
      </w:pPr>
    </w:p>
    <w:p w14:paraId="5D4BC2B5" w14:textId="19AC5EC2" w:rsidR="007903CA" w:rsidRPr="00A21844" w:rsidRDefault="007903CA" w:rsidP="00A21844">
      <w:pPr>
        <w:rPr>
          <w:rFonts w:cs="Arial"/>
          <w:lang w:val="es-ES"/>
        </w:rPr>
      </w:pPr>
      <w:r w:rsidRPr="00A21844">
        <w:rPr>
          <w:rFonts w:eastAsia="Palatino Linotype" w:cs="Palatino Linotype"/>
        </w:rPr>
        <w:t xml:space="preserve">Asimismo, es necesario destacar que en el </w:t>
      </w:r>
      <w:r w:rsidRPr="00A21844">
        <w:rPr>
          <w:rFonts w:cs="Arial"/>
          <w:lang w:val="es-ES"/>
        </w:rPr>
        <w:t xml:space="preserve">presente caso </w:t>
      </w:r>
      <w:r w:rsidRPr="00A21844">
        <w:rPr>
          <w:rFonts w:cs="Arial"/>
          <w:b/>
          <w:lang w:val="es-ES"/>
        </w:rPr>
        <w:t xml:space="preserve">EL SUJETO OBLIGADO </w:t>
      </w:r>
      <w:r w:rsidRPr="00A21844">
        <w:rPr>
          <w:rFonts w:cs="Arial"/>
          <w:lang w:val="es-ES"/>
        </w:rPr>
        <w:t xml:space="preserve">no dio avisó alguno o se comunicó con este Instituto para manifestar la imposibilidad técnica para proporcionar la información en la modalidad requerida, tal y como fue corroborado mediante correo dirigido a la Dirección General de Informática de este Órgano Garante, al solicitarle si dentro del expediente que nos ocupa se reportó alguna incidencia por parte del </w:t>
      </w:r>
      <w:r w:rsidRPr="00A21844">
        <w:rPr>
          <w:rFonts w:cs="Arial"/>
          <w:b/>
          <w:lang w:val="es-ES"/>
        </w:rPr>
        <w:t xml:space="preserve">SUJETO OBIGADO </w:t>
      </w:r>
      <w:r w:rsidRPr="00A21844">
        <w:rPr>
          <w:rFonts w:cs="Arial"/>
          <w:lang w:val="es-ES"/>
        </w:rPr>
        <w:t xml:space="preserve">para anexar los archivos de la respuesta mediante </w:t>
      </w:r>
      <w:r w:rsidRPr="00A21844">
        <w:rPr>
          <w:rFonts w:cs="Arial"/>
          <w:b/>
          <w:lang w:val="es-ES"/>
        </w:rPr>
        <w:t>SAIMEX</w:t>
      </w:r>
      <w:r w:rsidRPr="00A21844">
        <w:rPr>
          <w:rFonts w:cs="Arial"/>
          <w:lang w:val="es-ES"/>
        </w:rPr>
        <w:t>.</w:t>
      </w:r>
    </w:p>
    <w:p w14:paraId="3E798C65" w14:textId="77777777" w:rsidR="007903CA" w:rsidRPr="00A21844" w:rsidRDefault="007903CA" w:rsidP="00A21844">
      <w:pPr>
        <w:rPr>
          <w:rFonts w:cs="Arial"/>
          <w:lang w:val="es-ES"/>
        </w:rPr>
      </w:pPr>
    </w:p>
    <w:p w14:paraId="580BD515" w14:textId="71411F6D" w:rsidR="007903CA" w:rsidRPr="00A21844" w:rsidRDefault="007903CA" w:rsidP="00A21844">
      <w:pPr>
        <w:tabs>
          <w:tab w:val="left" w:pos="4245"/>
        </w:tabs>
        <w:rPr>
          <w:rFonts w:cs="Arial"/>
          <w:lang w:eastAsia="es-MX"/>
        </w:rPr>
      </w:pPr>
      <w:r w:rsidRPr="00A21844">
        <w:rPr>
          <w:rFonts w:cs="Arial"/>
          <w:lang w:val="es-ES"/>
        </w:rPr>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incidencias por parte de </w:t>
      </w:r>
      <w:r w:rsidRPr="00A21844">
        <w:rPr>
          <w:rFonts w:cs="Arial"/>
          <w:b/>
          <w:lang w:eastAsia="es-MX"/>
        </w:rPr>
        <w:t xml:space="preserve">EL SUJETO OBLIGADO, </w:t>
      </w:r>
      <w:r w:rsidRPr="00A21844">
        <w:rPr>
          <w:rFonts w:cs="Arial"/>
          <w:lang w:eastAsia="es-MX"/>
        </w:rPr>
        <w:t xml:space="preserve">tal como se muestra en la siguiente imagen: </w:t>
      </w:r>
    </w:p>
    <w:p w14:paraId="6A5F8AA3" w14:textId="77777777" w:rsidR="00FE0B2F" w:rsidRPr="00A21844" w:rsidRDefault="00FE0B2F" w:rsidP="00A21844">
      <w:pPr>
        <w:tabs>
          <w:tab w:val="left" w:pos="4245"/>
        </w:tabs>
        <w:rPr>
          <w:rFonts w:cs="Arial"/>
          <w:lang w:eastAsia="es-MX"/>
        </w:rPr>
      </w:pPr>
    </w:p>
    <w:p w14:paraId="58FA7107" w14:textId="6F3AED90" w:rsidR="007903CA" w:rsidRPr="00A21844" w:rsidRDefault="00FE0B2F" w:rsidP="00A21844">
      <w:pPr>
        <w:tabs>
          <w:tab w:val="left" w:pos="4245"/>
        </w:tabs>
        <w:rPr>
          <w:rFonts w:cs="Arial"/>
          <w:lang w:eastAsia="es-MX"/>
        </w:rPr>
      </w:pPr>
      <w:r w:rsidRPr="00A21844">
        <w:rPr>
          <w:noProof/>
          <w:lang w:eastAsia="es-MX"/>
          <w14:ligatures w14:val="standardContextual"/>
        </w:rPr>
        <w:drawing>
          <wp:inline distT="0" distB="0" distL="0" distR="0" wp14:anchorId="42B89071" wp14:editId="3DA4AB01">
            <wp:extent cx="5382895" cy="2335530"/>
            <wp:effectExtent l="0" t="0" r="825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82895" cy="2335530"/>
                    </a:xfrm>
                    <a:prstGeom prst="rect">
                      <a:avLst/>
                    </a:prstGeom>
                  </pic:spPr>
                </pic:pic>
              </a:graphicData>
            </a:graphic>
          </wp:inline>
        </w:drawing>
      </w:r>
    </w:p>
    <w:p w14:paraId="1ACEF0B0" w14:textId="77777777" w:rsidR="007903CA" w:rsidRPr="00A21844" w:rsidRDefault="007903CA" w:rsidP="00A21844">
      <w:pPr>
        <w:tabs>
          <w:tab w:val="left" w:pos="4245"/>
        </w:tabs>
        <w:jc w:val="center"/>
        <w:rPr>
          <w:rFonts w:cs="Arial"/>
          <w:lang w:eastAsia="es-MX"/>
        </w:rPr>
      </w:pPr>
    </w:p>
    <w:p w14:paraId="0FF44CEF" w14:textId="77777777" w:rsidR="007903CA" w:rsidRPr="00A21844" w:rsidRDefault="007903CA" w:rsidP="00A21844">
      <w:pPr>
        <w:rPr>
          <w:rFonts w:eastAsia="MS Mincho" w:cs="Arial"/>
          <w:b/>
        </w:rPr>
      </w:pPr>
      <w:r w:rsidRPr="00A21844">
        <w:rPr>
          <w:rFonts w:eastAsia="MS Mincho" w:cs="Arial"/>
        </w:rPr>
        <w:lastRenderedPageBreak/>
        <w:t xml:space="preserve">Ahora bien, referente la </w:t>
      </w:r>
      <w:r w:rsidRPr="00A21844">
        <w:rPr>
          <w:rFonts w:eastAsia="MS Mincho" w:cs="Arial"/>
          <w:b/>
        </w:rPr>
        <w:t>capacidad administrativa</w:t>
      </w:r>
      <w:r w:rsidRPr="00A21844">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A21844">
        <w:rPr>
          <w:rFonts w:eastAsia="MS Mincho" w:cs="Arial"/>
          <w:b/>
        </w:rPr>
        <w:t>eficiencia organizacional para efectuar funciones esenciales.</w:t>
      </w:r>
    </w:p>
    <w:p w14:paraId="6DB41C15" w14:textId="77777777" w:rsidR="002E1DEA" w:rsidRPr="00A21844" w:rsidRDefault="002E1DEA" w:rsidP="00A21844">
      <w:pPr>
        <w:rPr>
          <w:rFonts w:eastAsia="MS Mincho" w:cs="Arial"/>
          <w:b/>
        </w:rPr>
      </w:pPr>
    </w:p>
    <w:p w14:paraId="45674537" w14:textId="77777777" w:rsidR="007903CA" w:rsidRPr="00A21844" w:rsidRDefault="007903CA" w:rsidP="00A21844">
      <w:pPr>
        <w:rPr>
          <w:rFonts w:eastAsia="MS Mincho" w:cs="Arial"/>
        </w:rPr>
      </w:pPr>
      <w:r w:rsidRPr="00A21844">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25D7266C" w14:textId="77777777" w:rsidR="007903CA" w:rsidRPr="00A21844" w:rsidRDefault="007903CA" w:rsidP="00A21844">
      <w:pPr>
        <w:rPr>
          <w:rFonts w:eastAsia="MS Mincho" w:cs="Arial"/>
        </w:rPr>
      </w:pPr>
    </w:p>
    <w:p w14:paraId="49E9D619" w14:textId="77777777" w:rsidR="007903CA" w:rsidRPr="00A21844" w:rsidRDefault="007903CA" w:rsidP="00A21844">
      <w:pPr>
        <w:rPr>
          <w:rFonts w:eastAsia="MS Mincho" w:cs="Arial"/>
          <w:i/>
        </w:rPr>
      </w:pPr>
      <w:r w:rsidRPr="00A21844">
        <w:rPr>
          <w:rFonts w:eastAsia="MS Mincho" w:cs="Arial"/>
        </w:rPr>
        <w:t xml:space="preserve">Desde una perspectiva institucional, la </w:t>
      </w:r>
      <w:r w:rsidRPr="00A21844">
        <w:rPr>
          <w:rFonts w:eastAsia="MS Mincho" w:cs="Arial"/>
          <w:b/>
        </w:rPr>
        <w:t xml:space="preserve">capacidad administrativa </w:t>
      </w:r>
      <w:r w:rsidRPr="00A21844">
        <w:rPr>
          <w:rFonts w:eastAsia="MS Mincho" w:cs="Arial"/>
        </w:rPr>
        <w:t xml:space="preserve">es entendida como </w:t>
      </w:r>
      <w:r w:rsidRPr="00A21844">
        <w:rPr>
          <w:rFonts w:eastAsia="MS Mincho" w:cs="Arial"/>
          <w:i/>
        </w:rPr>
        <w:t xml:space="preserve">“las habilidades técnico-burocráticas del aparato estatal requeridas para alcanzar sus objetos. En este componente se ubican el nivel micro y meso de la Capacidad Institucional. El </w:t>
      </w:r>
      <w:r w:rsidRPr="00A21844">
        <w:rPr>
          <w:rFonts w:eastAsia="MS Mincho" w:cs="Arial"/>
          <w:b/>
          <w:i/>
        </w:rPr>
        <w:t xml:space="preserve">primero </w:t>
      </w:r>
      <w:r w:rsidRPr="00A21844">
        <w:rPr>
          <w:rFonts w:eastAsia="MS Mincho" w:cs="Arial"/>
          <w:i/>
        </w:rPr>
        <w:t xml:space="preserve">hace alusión al individuo, al </w:t>
      </w:r>
      <w:r w:rsidRPr="00A21844">
        <w:rPr>
          <w:rFonts w:eastAsia="MS Mincho" w:cs="Arial"/>
          <w:b/>
          <w:i/>
        </w:rPr>
        <w:t>recursos humano</w:t>
      </w:r>
      <w:r w:rsidRPr="00A21844">
        <w:rPr>
          <w:rFonts w:eastAsia="MS Mincho" w:cs="Arial"/>
          <w:i/>
        </w:rPr>
        <w:t xml:space="preserve">. En el segundo nivel, se ubica la </w:t>
      </w:r>
      <w:r w:rsidRPr="00A21844">
        <w:rPr>
          <w:rFonts w:eastAsia="MS Mincho" w:cs="Arial"/>
          <w:b/>
          <w:i/>
        </w:rPr>
        <w:t>capacidad de gestión</w:t>
      </w:r>
      <w:r w:rsidRPr="00A21844">
        <w:rPr>
          <w:rFonts w:eastAsia="MS Mincho" w:cs="Arial"/>
          <w:i/>
        </w:rPr>
        <w:t xml:space="preserve">, el cual se centra en el fortalecimiento organizacional como área de intervención para construir capacidad; cultura organizacional, sistemas de comunicación u organización”. </w:t>
      </w:r>
      <w:r w:rsidRPr="00A21844">
        <w:rPr>
          <w:rStyle w:val="Refdenotaalpie"/>
          <w:rFonts w:eastAsia="MS Mincho" w:cs="Arial"/>
          <w:i/>
        </w:rPr>
        <w:footnoteReference w:id="3"/>
      </w:r>
    </w:p>
    <w:p w14:paraId="2AC76742" w14:textId="77777777" w:rsidR="007903CA" w:rsidRPr="00A21844" w:rsidRDefault="007903CA" w:rsidP="00A21844">
      <w:pPr>
        <w:rPr>
          <w:rFonts w:eastAsia="MS Mincho" w:cs="Arial"/>
        </w:rPr>
      </w:pPr>
    </w:p>
    <w:p w14:paraId="3ED11137" w14:textId="77777777" w:rsidR="007903CA" w:rsidRPr="00A21844" w:rsidRDefault="007903CA" w:rsidP="00A21844">
      <w:pPr>
        <w:rPr>
          <w:rFonts w:eastAsia="MS Mincho" w:cs="Arial"/>
        </w:rPr>
      </w:pPr>
      <w:r w:rsidRPr="00A21844">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758E3455" w14:textId="77777777" w:rsidR="007903CA" w:rsidRPr="00A21844" w:rsidRDefault="007903CA" w:rsidP="00A21844">
      <w:pPr>
        <w:rPr>
          <w:rFonts w:eastAsia="MS Mincho" w:cs="Arial"/>
        </w:rPr>
      </w:pPr>
    </w:p>
    <w:p w14:paraId="6B7A9A69" w14:textId="77777777" w:rsidR="007903CA" w:rsidRPr="00A21844" w:rsidRDefault="007903CA" w:rsidP="00A21844">
      <w:pPr>
        <w:rPr>
          <w:rFonts w:eastAsia="MS Mincho" w:cs="Arial"/>
        </w:rPr>
      </w:pPr>
      <w:r w:rsidRPr="00A21844">
        <w:rPr>
          <w:rFonts w:eastAsia="MS Mincho" w:cs="Arial"/>
        </w:rPr>
        <w:t xml:space="preserve">Ahora bien, respecto de las </w:t>
      </w:r>
      <w:r w:rsidRPr="00A21844">
        <w:rPr>
          <w:rFonts w:eastAsia="MS Mincho" w:cs="Arial"/>
          <w:b/>
        </w:rPr>
        <w:t>capacidades humanas</w:t>
      </w:r>
      <w:r w:rsidRPr="00A21844">
        <w:rPr>
          <w:rFonts w:eastAsia="MS Mincho" w:cs="Arial"/>
        </w:rPr>
        <w:t xml:space="preserve"> vale la pena precisar lo que se denomina por </w:t>
      </w:r>
      <w:r w:rsidRPr="00A21844">
        <w:rPr>
          <w:rFonts w:eastAsia="MS Mincho" w:cs="Arial"/>
          <w:b/>
        </w:rPr>
        <w:t>recursos humanos</w:t>
      </w:r>
      <w:r w:rsidRPr="00A21844">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59829FF6" w14:textId="77777777" w:rsidR="007903CA" w:rsidRPr="00A21844" w:rsidRDefault="007903CA" w:rsidP="00A21844">
      <w:pPr>
        <w:rPr>
          <w:rFonts w:eastAsia="MS Mincho" w:cs="Arial"/>
        </w:rPr>
      </w:pPr>
    </w:p>
    <w:p w14:paraId="033F76EA" w14:textId="77777777" w:rsidR="007903CA" w:rsidRPr="00A21844" w:rsidRDefault="007903CA" w:rsidP="00A21844">
      <w:pPr>
        <w:rPr>
          <w:rFonts w:eastAsia="MS Mincho" w:cs="Arial"/>
        </w:rPr>
      </w:pPr>
      <w:r w:rsidRPr="00A21844">
        <w:rPr>
          <w:rFonts w:eastAsia="MS Mincho" w:cs="Arial"/>
        </w:rPr>
        <w:t xml:space="preserve">Las personas, son la </w:t>
      </w:r>
      <w:r w:rsidRPr="00A21844">
        <w:rPr>
          <w:rFonts w:eastAsia="MS Mincho" w:cs="Arial"/>
          <w:b/>
        </w:rPr>
        <w:t xml:space="preserve">parte fundamental de una organización </w:t>
      </w:r>
      <w:r w:rsidRPr="00A21844">
        <w:rPr>
          <w:rFonts w:eastAsia="MS Mincho" w:cs="Arial"/>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34C19A9E" w14:textId="77777777" w:rsidR="007903CA" w:rsidRPr="00A21844" w:rsidRDefault="007903CA" w:rsidP="00A21844">
      <w:pPr>
        <w:rPr>
          <w:rFonts w:eastAsia="MS Mincho" w:cs="Arial"/>
        </w:rPr>
      </w:pPr>
    </w:p>
    <w:p w14:paraId="02556E4E" w14:textId="1DEA851F" w:rsidR="007903CA" w:rsidRPr="00A21844" w:rsidRDefault="007903CA" w:rsidP="00A21844">
      <w:pPr>
        <w:spacing w:after="240"/>
        <w:contextualSpacing/>
        <w:rPr>
          <w:rFonts w:cs="Tahoma"/>
          <w:szCs w:val="22"/>
          <w:lang w:val="es-ES"/>
        </w:rPr>
      </w:pPr>
      <w:r w:rsidRPr="00A21844">
        <w:t xml:space="preserve">Es así que, del análisis realizado a las documentales que integra la respuesta a la solicitud de información, se puede advertir que </w:t>
      </w:r>
      <w:r w:rsidRPr="00A21844">
        <w:rPr>
          <w:b/>
        </w:rPr>
        <w:t xml:space="preserve">EL SUJETO OBLIGADO </w:t>
      </w:r>
      <w:r w:rsidRPr="00A21844">
        <w:t xml:space="preserve">no fundó adecuadamente ni motivó válidamente la imposibilidad de entregar la información solicitada en formato electrónico a través del </w:t>
      </w:r>
      <w:r w:rsidRPr="00A21844">
        <w:rPr>
          <w:b/>
        </w:rPr>
        <w:t>SAIMEX</w:t>
      </w:r>
      <w:r w:rsidRPr="00A21844">
        <w:t xml:space="preserve">, pues se limitó a señalar que lo requerido </w:t>
      </w:r>
      <w:r w:rsidRPr="00A21844">
        <w:rPr>
          <w:rFonts w:cs="Tahoma"/>
          <w:szCs w:val="22"/>
          <w:lang w:val="es-ES"/>
        </w:rPr>
        <w:t>requería procesamiento de documentos, cuya entrega sobrepasaba las capacidades humanas.</w:t>
      </w:r>
      <w:r w:rsidR="009319A0" w:rsidRPr="00A21844">
        <w:rPr>
          <w:rFonts w:cs="Tahoma"/>
          <w:szCs w:val="22"/>
          <w:lang w:val="es-ES"/>
        </w:rPr>
        <w:t xml:space="preserve"> </w:t>
      </w:r>
    </w:p>
    <w:p w14:paraId="227554B8" w14:textId="77777777" w:rsidR="007903CA" w:rsidRPr="00A21844" w:rsidRDefault="007903CA" w:rsidP="00A21844">
      <w:pPr>
        <w:rPr>
          <w:rFonts w:cs="Tahoma"/>
          <w:szCs w:val="22"/>
          <w:lang w:val="es-ES"/>
        </w:rPr>
      </w:pPr>
    </w:p>
    <w:p w14:paraId="0A3FDB09" w14:textId="4ACA96F1" w:rsidR="007903CA" w:rsidRPr="00A21844" w:rsidRDefault="007903CA" w:rsidP="00A21844">
      <w:pPr>
        <w:widowControl w:val="0"/>
        <w:tabs>
          <w:tab w:val="left" w:pos="1418"/>
        </w:tabs>
        <w:rPr>
          <w:rFonts w:eastAsia="Palatino Linotype" w:cs="Palatino Linotype"/>
        </w:rPr>
      </w:pPr>
      <w:r w:rsidRPr="00A21844">
        <w:rPr>
          <w:rFonts w:eastAsia="Palatino Linotype" w:cs="Palatino Linotype"/>
        </w:rPr>
        <w:t xml:space="preserve">En consecuencia, este Órgano Garante determina ordenar al </w:t>
      </w:r>
      <w:r w:rsidRPr="00A21844">
        <w:rPr>
          <w:rFonts w:eastAsia="Palatino Linotype" w:cs="Palatino Linotype"/>
          <w:b/>
        </w:rPr>
        <w:t>SUJETO OBLIGADO</w:t>
      </w:r>
      <w:r w:rsidRPr="00A21844">
        <w:rPr>
          <w:rFonts w:eastAsia="Palatino Linotype" w:cs="Palatino Linotype"/>
        </w:rPr>
        <w:t xml:space="preserve"> haga entrega vía </w:t>
      </w:r>
      <w:r w:rsidRPr="00A21844">
        <w:rPr>
          <w:rFonts w:eastAsia="Palatino Linotype" w:cs="Palatino Linotype"/>
          <w:b/>
        </w:rPr>
        <w:t>SAIMEX</w:t>
      </w:r>
      <w:r w:rsidRPr="00A21844">
        <w:rPr>
          <w:rFonts w:eastAsia="Palatino Linotype" w:cs="Palatino Linotype"/>
        </w:rPr>
        <w:t xml:space="preserve">, en </w:t>
      </w:r>
      <w:r w:rsidRPr="00A21844">
        <w:rPr>
          <w:rFonts w:eastAsia="Palatino Linotype" w:cs="Palatino Linotype"/>
          <w:b/>
        </w:rPr>
        <w:t xml:space="preserve">versión pública </w:t>
      </w:r>
      <w:r w:rsidRPr="00A21844">
        <w:rPr>
          <w:rFonts w:eastAsia="Palatino Linotype" w:cs="Palatino Linotype"/>
        </w:rPr>
        <w:t>la</w:t>
      </w:r>
      <w:r w:rsidRPr="00A21844">
        <w:rPr>
          <w:rFonts w:cs="Arial"/>
          <w:i/>
          <w:szCs w:val="22"/>
        </w:rPr>
        <w:t xml:space="preserve"> </w:t>
      </w:r>
      <w:r w:rsidRPr="00A21844">
        <w:rPr>
          <w:rFonts w:eastAsia="Palatino Linotype" w:cs="Palatino Linotype"/>
        </w:rPr>
        <w:t xml:space="preserve">conciliación de nómina correspondiente a la primera y segunda quincena de </w:t>
      </w:r>
      <w:r w:rsidR="00FE0B2F" w:rsidRPr="00A21844">
        <w:rPr>
          <w:rFonts w:eastAsia="Palatino Linotype" w:cs="Palatino Linotype"/>
        </w:rPr>
        <w:t>mayo</w:t>
      </w:r>
      <w:r w:rsidRPr="00A21844">
        <w:rPr>
          <w:rFonts w:eastAsia="Palatino Linotype" w:cs="Palatino Linotype"/>
        </w:rPr>
        <w:t xml:space="preserve"> de 2024. </w:t>
      </w:r>
      <w:r w:rsidR="00FE0B2F" w:rsidRPr="00A21844">
        <w:rPr>
          <w:rFonts w:eastAsia="Palatino Linotype" w:cs="Palatino Linotype"/>
        </w:rPr>
        <w:t xml:space="preserve">   </w:t>
      </w:r>
    </w:p>
    <w:p w14:paraId="590D7A2F" w14:textId="751546B8" w:rsidR="00766206" w:rsidRPr="00A21844" w:rsidRDefault="00766206" w:rsidP="00A21844">
      <w:pPr>
        <w:widowControl w:val="0"/>
        <w:tabs>
          <w:tab w:val="left" w:pos="1418"/>
        </w:tabs>
        <w:rPr>
          <w:rFonts w:eastAsia="Palatino Linotype" w:cs="Palatino Linotype"/>
        </w:rPr>
      </w:pPr>
    </w:p>
    <w:p w14:paraId="4C470564" w14:textId="48DBB505" w:rsidR="00766206" w:rsidRPr="00A21844" w:rsidRDefault="00766206" w:rsidP="00A21844">
      <w:pPr>
        <w:widowControl w:val="0"/>
        <w:tabs>
          <w:tab w:val="left" w:pos="1418"/>
        </w:tabs>
        <w:rPr>
          <w:rFonts w:eastAsia="Palatino Linotype" w:cs="Palatino Linotype"/>
        </w:rPr>
      </w:pPr>
      <w:r w:rsidRPr="00A21844">
        <w:rPr>
          <w:rFonts w:eastAsia="Palatino Linotype" w:cs="Palatino Linotype"/>
        </w:rPr>
        <w:t xml:space="preserve">Lo anterior, en razón de que </w:t>
      </w:r>
      <w:r w:rsidRPr="00A21844">
        <w:rPr>
          <w:rFonts w:eastAsia="Palatino Linotype" w:cs="Palatino Linotype"/>
          <w:b/>
          <w:bCs/>
        </w:rPr>
        <w:t xml:space="preserve">LA PERSONA RECURRENTE </w:t>
      </w:r>
      <w:r w:rsidRPr="00A21844">
        <w:rPr>
          <w:rFonts w:eastAsia="Palatino Linotype" w:cs="Palatino Linotype"/>
        </w:rPr>
        <w:t>no precisó periodo del que requería la información, resultando aplicable al caso concreto el criterio reiterado 04/2024 emitido por este Órgano Garante, que es del tenor literal siguiente:</w:t>
      </w:r>
    </w:p>
    <w:p w14:paraId="435C5954" w14:textId="77777777" w:rsidR="00766206" w:rsidRPr="00A21844" w:rsidRDefault="00766206" w:rsidP="00A21844">
      <w:pPr>
        <w:widowControl w:val="0"/>
        <w:tabs>
          <w:tab w:val="left" w:pos="1418"/>
        </w:tabs>
        <w:rPr>
          <w:rFonts w:eastAsia="Palatino Linotype" w:cs="Palatino Linotype"/>
        </w:rPr>
      </w:pPr>
    </w:p>
    <w:p w14:paraId="5E6C1021" w14:textId="2FBC61ED" w:rsidR="00766206" w:rsidRPr="00A21844" w:rsidRDefault="00766206" w:rsidP="00A21844">
      <w:pPr>
        <w:pStyle w:val="Puesto"/>
      </w:pPr>
      <w:r w:rsidRPr="00A21844">
        <w:rPr>
          <w:b/>
          <w:bCs/>
        </w:rPr>
        <w:t>NÓMINA DE SERVIDORES PÚBLICOS. PERIODO DE BÚSQUEDA Y ENTREGA DE LA INFORMACIÓN, CUANDO NO SE PRECISA EN LA SOLICITUD DE INFORMACIÓN.</w:t>
      </w:r>
      <w:r w:rsidRPr="00A21844">
        <w:t xml:space="preserve"> Cuando el particular no refiriera el periodo respecto del cual requiere la información, o bien, de la solicitud presentada no se adviertan elementos que permitan identificarlo, tratándose exclusivamente de información relativa a la nómina, se deberá hacer entrega de la información relativa a las últimas dos quincenas pagadas previo a la fecha en que se presentó la solicitud.</w:t>
      </w:r>
    </w:p>
    <w:p w14:paraId="42C3E62B" w14:textId="77777777" w:rsidR="00766206" w:rsidRPr="00A21844" w:rsidRDefault="00766206" w:rsidP="00A21844">
      <w:pPr>
        <w:pStyle w:val="Puesto"/>
        <w:rPr>
          <w:rFonts w:eastAsia="Palatino Linotype"/>
        </w:rPr>
      </w:pPr>
      <w:r w:rsidRPr="00A21844">
        <w:rPr>
          <w:rFonts w:eastAsia="Palatino Linotype"/>
        </w:rPr>
        <w:t xml:space="preserve">Precedentes:  </w:t>
      </w:r>
    </w:p>
    <w:p w14:paraId="422EF2D5" w14:textId="0137270D" w:rsidR="00766206" w:rsidRPr="00A21844" w:rsidRDefault="00766206" w:rsidP="00A21844">
      <w:pPr>
        <w:pStyle w:val="Puesto"/>
        <w:rPr>
          <w:rFonts w:eastAsia="Palatino Linotype"/>
        </w:rPr>
      </w:pPr>
      <w:r w:rsidRPr="00A21844">
        <w:rPr>
          <w:rFonts w:eastAsia="Palatino Linotype"/>
        </w:rPr>
        <w:t xml:space="preserve">• En materia de acceso a la información pública. 16752/INFOEM/IP/RR/2022 y acumulados. Aprobada por mayoría de votos, emitiendo voto particular los Comisionados Sharon Cristina Morales Martínez, Guadalupe Ramírez Peña y Luis Gustavo Parra Noriega. Ayuntamiento de Toluca. Comisionada Ponente Sharon Cristina Morales Martínez. Sesión 43 – 2023.  </w:t>
      </w:r>
    </w:p>
    <w:p w14:paraId="4CB26DCD" w14:textId="3BE1D77E" w:rsidR="00766206" w:rsidRPr="00A21844" w:rsidRDefault="00766206" w:rsidP="00A21844">
      <w:pPr>
        <w:pStyle w:val="Puesto"/>
        <w:rPr>
          <w:rFonts w:eastAsia="Palatino Linotype"/>
        </w:rPr>
      </w:pPr>
      <w:r w:rsidRPr="00A21844">
        <w:rPr>
          <w:rFonts w:eastAsia="Palatino Linotype"/>
        </w:rPr>
        <w:t xml:space="preserve">• En materia de acceso a la información pública. 07558/INFOEM/IP/RR/2023. Aprobada por unanimidad de votos. Ayuntamiento de Ecatepec de Morelos. Comisionada Ponente María del Rosario Mejía Ayala. Sesión 03 – 2024. </w:t>
      </w:r>
    </w:p>
    <w:p w14:paraId="69058428" w14:textId="54BC3F32" w:rsidR="00766206" w:rsidRPr="00A21844" w:rsidRDefault="00766206" w:rsidP="00A21844">
      <w:pPr>
        <w:pStyle w:val="Puesto"/>
      </w:pPr>
      <w:r w:rsidRPr="00A21844">
        <w:rPr>
          <w:rFonts w:eastAsia="Palatino Linotype"/>
        </w:rPr>
        <w:t>• En materia de acceso a la información pública. 07557/INFOEM/IP/RR/2023. Aprobada por unanimidad de votos, emitiendo voto disidente la Comisionada Guadalupe Ramírez Peña. Secretaría de Educación. Comisionada Ponente Sharon Cristina Morales Martínez. Sesión 05 – 2024.</w:t>
      </w:r>
    </w:p>
    <w:p w14:paraId="4EC297A0" w14:textId="77777777" w:rsidR="007903CA" w:rsidRPr="00A21844" w:rsidRDefault="007903CA" w:rsidP="00A21844">
      <w:pPr>
        <w:widowControl w:val="0"/>
        <w:tabs>
          <w:tab w:val="left" w:pos="1418"/>
        </w:tabs>
        <w:rPr>
          <w:rFonts w:eastAsia="Palatino Linotype" w:cs="Palatino Linotype"/>
        </w:rPr>
      </w:pPr>
    </w:p>
    <w:p w14:paraId="1A3FA72D" w14:textId="77777777" w:rsidR="007903CA" w:rsidRPr="00A21844" w:rsidRDefault="007903CA" w:rsidP="00A21844">
      <w:pPr>
        <w:pStyle w:val="Ttulo3"/>
      </w:pPr>
      <w:bookmarkStart w:id="29" w:name="_Toc172205020"/>
      <w:r w:rsidRPr="00A21844">
        <w:t>d) Versión pública</w:t>
      </w:r>
      <w:bookmarkEnd w:id="29"/>
    </w:p>
    <w:p w14:paraId="16FD18DB" w14:textId="77777777" w:rsidR="007903CA" w:rsidRPr="00A21844" w:rsidRDefault="007903CA" w:rsidP="00A21844">
      <w:pPr>
        <w:rPr>
          <w:rFonts w:cs="Arial"/>
          <w:b/>
        </w:rPr>
      </w:pPr>
      <w:r w:rsidRPr="00A21844">
        <w:rPr>
          <w:rFonts w:cs="Arial"/>
        </w:rPr>
        <w:t xml:space="preserve">Es así que, cuando los documentos contengan información considerada como confidencial, la Unidad de Transparencia para efectos de atender una solicitud de información, el artículo 137 de la Ley de Transparencia y Acceso a la Información Pública del Estado de México y Municipios, permite la elaboración de </w:t>
      </w:r>
      <w:r w:rsidRPr="00A21844">
        <w:rPr>
          <w:rFonts w:cs="Arial"/>
          <w:b/>
        </w:rPr>
        <w:t>versiones públicas.</w:t>
      </w:r>
    </w:p>
    <w:p w14:paraId="06AF432F" w14:textId="77777777" w:rsidR="007903CA" w:rsidRPr="00A21844" w:rsidRDefault="007903CA" w:rsidP="00A21844">
      <w:pPr>
        <w:rPr>
          <w:rFonts w:cs="Arial"/>
          <w:b/>
        </w:rPr>
      </w:pPr>
    </w:p>
    <w:p w14:paraId="0CB10957" w14:textId="77777777" w:rsidR="007903CA" w:rsidRPr="00A21844" w:rsidRDefault="007903CA" w:rsidP="00A21844">
      <w:pPr>
        <w:autoSpaceDE w:val="0"/>
        <w:autoSpaceDN w:val="0"/>
        <w:adjustRightInd w:val="0"/>
        <w:rPr>
          <w:rFonts w:eastAsia="Arial Unicode MS" w:cs="Arial"/>
        </w:rPr>
      </w:pPr>
      <w:r w:rsidRPr="00A21844">
        <w:rPr>
          <w:rFonts w:cs="Arial"/>
        </w:rPr>
        <w:t xml:space="preserve">En virtud de lo preceptuado, y en razón de que </w:t>
      </w:r>
      <w:r w:rsidRPr="00A21844">
        <w:rPr>
          <w:rFonts w:cs="Arial"/>
          <w:b/>
        </w:rPr>
        <w:t xml:space="preserve">EL SUJETO OBLIGADO </w:t>
      </w:r>
      <w:r w:rsidRPr="00A21844">
        <w:rPr>
          <w:rFonts w:cs="Arial"/>
        </w:rPr>
        <w:t xml:space="preserve">genera, posee y administra la información solicitada por </w:t>
      </w:r>
      <w:r w:rsidRPr="00A21844">
        <w:rPr>
          <w:rFonts w:cs="Arial"/>
          <w:b/>
        </w:rPr>
        <w:t xml:space="preserve">LA PARTE RECURRENTE, </w:t>
      </w:r>
      <w:r w:rsidRPr="00A21844">
        <w:rPr>
          <w:rFonts w:cs="Arial"/>
        </w:rPr>
        <w:t xml:space="preserve">es </w:t>
      </w:r>
      <w:r w:rsidRPr="00A21844">
        <w:rPr>
          <w:rFonts w:cs="Arial"/>
          <w:bCs/>
        </w:rPr>
        <w:t>dable</w:t>
      </w:r>
      <w:r w:rsidRPr="00A21844">
        <w:rPr>
          <w:rFonts w:cs="Arial"/>
        </w:rPr>
        <w:t xml:space="preserve"> ordenar al </w:t>
      </w:r>
      <w:r w:rsidRPr="00A21844">
        <w:rPr>
          <w:rFonts w:cs="Arial"/>
          <w:b/>
        </w:rPr>
        <w:t xml:space="preserve">SUJETO OBLIGADO </w:t>
      </w:r>
      <w:r w:rsidRPr="00A21844">
        <w:rPr>
          <w:rFonts w:cs="Arial"/>
        </w:rPr>
        <w:t xml:space="preserve">la entrega en </w:t>
      </w:r>
      <w:r w:rsidRPr="00A21844">
        <w:rPr>
          <w:rFonts w:cs="Arial"/>
          <w:b/>
        </w:rPr>
        <w:t>versión pública</w:t>
      </w:r>
      <w:r w:rsidRPr="00A21844">
        <w:rPr>
          <w:rFonts w:cs="Arial"/>
        </w:rPr>
        <w:t xml:space="preserve">, </w:t>
      </w:r>
      <w:r w:rsidRPr="00A21844">
        <w:rPr>
          <w:rFonts w:eastAsia="Arial Unicode MS" w:cs="Arial"/>
        </w:rPr>
        <w:t xml:space="preserve">esto es, que omitirá, eliminará o </w:t>
      </w:r>
      <w:r w:rsidRPr="00A21844">
        <w:rPr>
          <w:rFonts w:eastAsia="Arial Unicode MS" w:cs="Arial"/>
        </w:rPr>
        <w:lastRenderedPageBreak/>
        <w:t>suprimirá la información considerada como</w:t>
      </w:r>
      <w:r w:rsidRPr="00A21844">
        <w:t xml:space="preserve"> confidencial, cuyo acceso debe ser restringido, los cuales </w:t>
      </w:r>
      <w:r w:rsidRPr="00A21844">
        <w:rPr>
          <w:rFonts w:cs="Arial"/>
        </w:rPr>
        <w:t xml:space="preserve">deben testarse al momento de la elaboración de versiones públicas, como es el caso de manera enunciativa más no limitativa el </w:t>
      </w:r>
      <w:r w:rsidRPr="00A21844">
        <w:rPr>
          <w:rFonts w:eastAsia="Arial Unicode MS" w:cs="Arial"/>
        </w:rPr>
        <w:t xml:space="preserve">Registro Federal de Contribuyentes, Clave Única de Registro de Población, Clave del Instituto de Seguridad Social </w:t>
      </w:r>
      <w:r w:rsidRPr="00A21844">
        <w:rPr>
          <w:rFonts w:cs="Arial"/>
        </w:rPr>
        <w:t>del</w:t>
      </w:r>
      <w:r w:rsidRPr="00A21844">
        <w:rPr>
          <w:rFonts w:eastAsia="Arial Unicode MS" w:cs="Arial"/>
        </w:rPr>
        <w:t xml:space="preserve"> Estado de México y Municipios, </w:t>
      </w:r>
      <w:r w:rsidRPr="00A21844">
        <w:rPr>
          <w:rFonts w:eastAsia="Arial Unicode MS" w:cs="Arial"/>
          <w:b/>
        </w:rPr>
        <w:t xml:space="preserve">los descuentos que se realicen por pensión alimenticia o deducciones estrictamente personales o de cualquier índole siempre que, </w:t>
      </w:r>
      <w:r w:rsidRPr="00A21844">
        <w:rPr>
          <w:rFonts w:cs="Arial"/>
          <w:b/>
        </w:rPr>
        <w:t>no se encuentren relacionados con los impuestos o las cuotas por seguridad social</w:t>
      </w:r>
      <w:r w:rsidRPr="00A21844">
        <w:rPr>
          <w:rFonts w:eastAsia="Arial Unicode MS" w:cs="Arial"/>
        </w:rPr>
        <w:t xml:space="preserve">, número de cuenta o cualquier otro dato que ponga en riesgo la vida, seguridad y salud de dichas </w:t>
      </w:r>
      <w:r w:rsidRPr="00A21844">
        <w:rPr>
          <w:rFonts w:cs="Arial"/>
        </w:rPr>
        <w:t>personas</w:t>
      </w:r>
      <w:r w:rsidRPr="00A21844">
        <w:rPr>
          <w:rFonts w:eastAsia="Arial Unicode MS" w:cs="Arial"/>
        </w:rPr>
        <w:t>.</w:t>
      </w:r>
    </w:p>
    <w:p w14:paraId="7EC008F9" w14:textId="77777777" w:rsidR="007903CA" w:rsidRPr="00A21844" w:rsidRDefault="007903CA" w:rsidP="00A21844">
      <w:pPr>
        <w:rPr>
          <w:rFonts w:eastAsia="Arial Unicode MS" w:cs="Arial"/>
        </w:rPr>
      </w:pPr>
    </w:p>
    <w:p w14:paraId="28252568" w14:textId="77777777" w:rsidR="007903CA" w:rsidRPr="00A21844" w:rsidRDefault="007903CA" w:rsidP="00A21844">
      <w:r w:rsidRPr="00A21844">
        <w:rPr>
          <w:rFonts w:cs="Arial"/>
        </w:rPr>
        <w:t xml:space="preserve">Por cuanto hace al </w:t>
      </w:r>
      <w:r w:rsidRPr="00A21844">
        <w:rPr>
          <w:rFonts w:cs="Arial"/>
          <w:b/>
        </w:rPr>
        <w:t>Registro Federal de Contribuyentes</w:t>
      </w:r>
      <w:r w:rsidRPr="00A21844">
        <w:rPr>
          <w:rFonts w:cs="Arial"/>
        </w:rPr>
        <w:t xml:space="preserve"> </w:t>
      </w:r>
      <w:r w:rsidRPr="00A21844">
        <w:rPr>
          <w:rFonts w:cs="Arial"/>
          <w:b/>
        </w:rPr>
        <w:t>de las personas físicas</w:t>
      </w:r>
      <w:r w:rsidRPr="00A21844">
        <w:rPr>
          <w:rFonts w:cs="Arial"/>
        </w:rPr>
        <w:t>,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A21844">
        <w:t xml:space="preserve"> y finalmente la </w:t>
      </w:r>
      <w:proofErr w:type="spellStart"/>
      <w:r w:rsidRPr="00A21844">
        <w:t>homoclave</w:t>
      </w:r>
      <w:proofErr w:type="spellEnd"/>
      <w:r w:rsidRPr="00A21844">
        <w:t>; la cual, para su obtención es necesario acreditar personalidad, fecha de nacimiento entre otros con documentos oficiales.</w:t>
      </w:r>
    </w:p>
    <w:p w14:paraId="3418BE74" w14:textId="77777777" w:rsidR="007903CA" w:rsidRPr="00A21844" w:rsidRDefault="007903CA" w:rsidP="00A21844"/>
    <w:p w14:paraId="344F4068" w14:textId="77777777" w:rsidR="007903CA" w:rsidRPr="00A21844" w:rsidRDefault="007903CA" w:rsidP="00A21844">
      <w:pPr>
        <w:rPr>
          <w:b/>
          <w:bCs/>
        </w:rPr>
      </w:pPr>
      <w:r w:rsidRPr="00A21844">
        <w:rPr>
          <w:rFonts w:cs="Arial"/>
        </w:rPr>
        <w:t xml:space="preserve">Al respecto, es aplicable el Criterio 19/17 de la Segunda Época, emitido por </w:t>
      </w:r>
      <w:r w:rsidRPr="00A21844">
        <w:rPr>
          <w:rFonts w:eastAsia="Arial Unicode MS" w:cs="Arial"/>
        </w:rPr>
        <w:t xml:space="preserve">el Instituto Nacional de </w:t>
      </w:r>
      <w:r w:rsidRPr="00A21844">
        <w:rPr>
          <w:bCs/>
        </w:rPr>
        <w:t>Transparencia</w:t>
      </w:r>
      <w:r w:rsidRPr="00A21844">
        <w:rPr>
          <w:rFonts w:eastAsia="Arial Unicode MS" w:cs="Arial"/>
        </w:rPr>
        <w:t xml:space="preserve">, Acceso a la </w:t>
      </w:r>
      <w:r w:rsidRPr="00A21844">
        <w:rPr>
          <w:rFonts w:cs="Arial"/>
        </w:rPr>
        <w:t>Información</w:t>
      </w:r>
      <w:r w:rsidRPr="00A21844">
        <w:rPr>
          <w:rFonts w:eastAsia="Arial Unicode MS" w:cs="Arial"/>
        </w:rPr>
        <w:t xml:space="preserve"> y Protección de Datos Personales,</w:t>
      </w:r>
      <w:r w:rsidRPr="00A21844">
        <w:rPr>
          <w:bCs/>
        </w:rPr>
        <w:t xml:space="preserve"> que dice:</w:t>
      </w:r>
      <w:r w:rsidRPr="00A21844">
        <w:rPr>
          <w:b/>
          <w:bCs/>
        </w:rPr>
        <w:t xml:space="preserve"> </w:t>
      </w:r>
    </w:p>
    <w:p w14:paraId="5F66AE92" w14:textId="77777777" w:rsidR="007903CA" w:rsidRPr="00A21844" w:rsidRDefault="007903CA" w:rsidP="00A21844">
      <w:pPr>
        <w:rPr>
          <w:b/>
          <w:bCs/>
        </w:rPr>
      </w:pPr>
    </w:p>
    <w:p w14:paraId="0143FA40" w14:textId="77777777" w:rsidR="007903CA" w:rsidRPr="00A21844" w:rsidRDefault="007903CA" w:rsidP="00A21844">
      <w:pPr>
        <w:pStyle w:val="Puesto"/>
      </w:pPr>
      <w:r w:rsidRPr="00A21844">
        <w:t>“</w:t>
      </w:r>
      <w:r w:rsidRPr="00A21844">
        <w:rPr>
          <w:b/>
        </w:rPr>
        <w:t>Registro Federal de Contribuyentes (RFC) de personas físicas.</w:t>
      </w:r>
      <w:r w:rsidRPr="00A21844">
        <w:t xml:space="preserve"> El RFC es una clave de carácter fiscal, única e irrepetible, que permite identificar al titular, su edad y fecha de nacimiento, por lo que es un dato personal de carácter confidencial.” (Sic)</w:t>
      </w:r>
    </w:p>
    <w:p w14:paraId="27E4093F" w14:textId="77777777" w:rsidR="007903CA" w:rsidRPr="00A21844" w:rsidRDefault="007903CA" w:rsidP="00A21844">
      <w:pPr>
        <w:pStyle w:val="Puesto"/>
      </w:pPr>
      <w:r w:rsidRPr="00A21844">
        <w:t>(Énfasis añadido)</w:t>
      </w:r>
    </w:p>
    <w:p w14:paraId="72437EDE" w14:textId="77777777" w:rsidR="007903CA" w:rsidRPr="00A21844" w:rsidRDefault="007903CA" w:rsidP="00A21844">
      <w:pPr>
        <w:autoSpaceDE w:val="0"/>
        <w:autoSpaceDN w:val="0"/>
        <w:adjustRightInd w:val="0"/>
        <w:ind w:left="851" w:right="902"/>
        <w:rPr>
          <w:rFonts w:cs="Arial"/>
          <w:szCs w:val="22"/>
        </w:rPr>
      </w:pPr>
    </w:p>
    <w:p w14:paraId="2266ECD8" w14:textId="77777777" w:rsidR="007903CA" w:rsidRPr="00A21844" w:rsidRDefault="007903CA" w:rsidP="00A21844">
      <w:pPr>
        <w:rPr>
          <w:rFonts w:cs="Arial"/>
        </w:rPr>
      </w:pPr>
      <w:r w:rsidRPr="00A21844">
        <w:rPr>
          <w:rFonts w:cs="Arial"/>
        </w:rPr>
        <w:t xml:space="preserve">De lo anterior, se desprende que el Registro Federal de Contribuyentes se vincula al nombre de su </w:t>
      </w:r>
      <w:r w:rsidRPr="00A21844">
        <w:rPr>
          <w:bCs/>
        </w:rPr>
        <w:t>titular</w:t>
      </w:r>
      <w:r w:rsidRPr="00A21844">
        <w:rPr>
          <w:rFonts w:cs="Arial"/>
        </w:rPr>
        <w:t xml:space="preserve">,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w:t>
      </w:r>
      <w:r w:rsidRPr="00A21844">
        <w:t>Municipios</w:t>
      </w:r>
      <w:r w:rsidRPr="00A21844">
        <w:rPr>
          <w:rFonts w:cs="Arial"/>
        </w:rPr>
        <w:t xml:space="preserve"> y 4, fracción XI de la Ley de Protección de Datos Personales en Posesión de Sujetos Obligados del Estado de México y Municipios.</w:t>
      </w:r>
    </w:p>
    <w:p w14:paraId="6198E2C6" w14:textId="77777777" w:rsidR="007903CA" w:rsidRPr="00A21844" w:rsidRDefault="007903CA" w:rsidP="00A21844">
      <w:pPr>
        <w:rPr>
          <w:rFonts w:cs="Arial"/>
        </w:rPr>
      </w:pPr>
    </w:p>
    <w:p w14:paraId="4140AAA2" w14:textId="77777777" w:rsidR="007903CA" w:rsidRPr="00A21844" w:rsidRDefault="007903CA" w:rsidP="00A21844">
      <w:pPr>
        <w:rPr>
          <w:rFonts w:cs="Arial"/>
        </w:rPr>
      </w:pPr>
      <w:r w:rsidRPr="00A21844">
        <w:rPr>
          <w:rFonts w:cs="Arial"/>
        </w:rPr>
        <w:t xml:space="preserve">Por cuanto hace a la </w:t>
      </w:r>
      <w:r w:rsidRPr="00A21844">
        <w:rPr>
          <w:rFonts w:cs="Arial"/>
          <w:b/>
        </w:rPr>
        <w:t xml:space="preserve">Clave Única de Registro de Población, </w:t>
      </w:r>
      <w:r w:rsidRPr="00A21844">
        <w:rPr>
          <w:rFonts w:cs="Arial"/>
        </w:rPr>
        <w:t xml:space="preserve">constituye un dato personal, ya que </w:t>
      </w:r>
      <w:r w:rsidRPr="00A21844">
        <w:t>tiene</w:t>
      </w:r>
      <w:r w:rsidRPr="00A21844">
        <w:rPr>
          <w:rFonts w:cs="Arial"/>
        </w:rPr>
        <w:t xml:space="preserve"> como finalidad registrar a cada una de las personas que integran la población del país, con los datos que permitan certificar y acreditar fehacientemente su identidad, la cual servirá para identificarla de manera individual.</w:t>
      </w:r>
    </w:p>
    <w:p w14:paraId="68DEE77C" w14:textId="77777777" w:rsidR="007903CA" w:rsidRPr="00A21844" w:rsidRDefault="007903CA" w:rsidP="00A21844">
      <w:pPr>
        <w:rPr>
          <w:rFonts w:cs="Arial"/>
        </w:rPr>
      </w:pPr>
    </w:p>
    <w:p w14:paraId="4A6369B2" w14:textId="77777777" w:rsidR="007903CA" w:rsidRPr="00A21844" w:rsidRDefault="007903CA" w:rsidP="00A21844">
      <w:pPr>
        <w:rPr>
          <w:rFonts w:cs="Arial"/>
        </w:rPr>
      </w:pPr>
      <w:r w:rsidRPr="00A21844">
        <w:rPr>
          <w:rFonts w:cs="Arial"/>
        </w:rPr>
        <w:t xml:space="preserve">Lo </w:t>
      </w:r>
      <w:r w:rsidRPr="00A21844">
        <w:t>anterior</w:t>
      </w:r>
      <w:r w:rsidRPr="00A21844">
        <w:rPr>
          <w:rFonts w:cs="Arial"/>
        </w:rPr>
        <w:t>, tiene sustento en los artículos 86 y 91 de la Ley General de Población, la cual señala lo siguiente:</w:t>
      </w:r>
    </w:p>
    <w:p w14:paraId="62DAAFD9" w14:textId="77777777" w:rsidR="007903CA" w:rsidRPr="00A21844" w:rsidRDefault="007903CA" w:rsidP="00A21844">
      <w:pPr>
        <w:rPr>
          <w:rFonts w:cs="Arial"/>
        </w:rPr>
      </w:pPr>
    </w:p>
    <w:p w14:paraId="7A98FE08" w14:textId="77777777" w:rsidR="007903CA" w:rsidRPr="00A21844" w:rsidRDefault="007903CA" w:rsidP="00A21844">
      <w:pPr>
        <w:pStyle w:val="Puesto"/>
      </w:pPr>
      <w:r w:rsidRPr="00A21844">
        <w:rPr>
          <w:rFonts w:cs="Arial,Bold"/>
          <w:bCs/>
        </w:rPr>
        <w:t>“</w:t>
      </w:r>
      <w:r w:rsidRPr="00A21844">
        <w:rPr>
          <w:rFonts w:cs="Arial,Bold"/>
          <w:b/>
          <w:bCs/>
        </w:rPr>
        <w:t xml:space="preserve">Artículo 86. </w:t>
      </w:r>
      <w:r w:rsidRPr="00A21844">
        <w:t>El Registro Nacional de Población tiene como finalidad registrar a cada una de las personas que integran la población del país, con los datos que permitan certificar y acreditar fehacientemente su identidad.</w:t>
      </w:r>
    </w:p>
    <w:p w14:paraId="5A566FD1" w14:textId="77777777" w:rsidR="007903CA" w:rsidRPr="00A21844" w:rsidRDefault="007903CA" w:rsidP="00A21844">
      <w:pPr>
        <w:pStyle w:val="Puesto"/>
      </w:pPr>
      <w:r w:rsidRPr="00A21844">
        <w:rPr>
          <w:rFonts w:cs="Arial,Bold"/>
          <w:b/>
          <w:bCs/>
        </w:rPr>
        <w:t xml:space="preserve">Artículo 91. </w:t>
      </w:r>
      <w:r w:rsidRPr="00A21844">
        <w:rPr>
          <w:b/>
        </w:rPr>
        <w:t>Al incorporar a una persona en el Registro Nacional de Población</w:t>
      </w:r>
      <w:r w:rsidRPr="00A21844">
        <w:t xml:space="preserve">, se le asignará una clave </w:t>
      </w:r>
      <w:r w:rsidRPr="00A21844">
        <w:rPr>
          <w:b/>
        </w:rPr>
        <w:t>que se denominará Clave Única de Registro de Población</w:t>
      </w:r>
      <w:r w:rsidRPr="00A21844">
        <w:t xml:space="preserve">. </w:t>
      </w:r>
      <w:r w:rsidRPr="00A21844">
        <w:rPr>
          <w:b/>
        </w:rPr>
        <w:t>Esta servirá para</w:t>
      </w:r>
      <w:r w:rsidRPr="00A21844">
        <w:t xml:space="preserve"> registrarla e </w:t>
      </w:r>
      <w:r w:rsidRPr="00A21844">
        <w:rPr>
          <w:b/>
        </w:rPr>
        <w:t>identificarla en forma individual</w:t>
      </w:r>
      <w:r w:rsidRPr="00A21844">
        <w:t xml:space="preserve">.” </w:t>
      </w:r>
    </w:p>
    <w:p w14:paraId="410C88F5" w14:textId="77777777" w:rsidR="007903CA" w:rsidRPr="00A21844" w:rsidRDefault="007903CA" w:rsidP="00A21844">
      <w:pPr>
        <w:pStyle w:val="Puesto"/>
      </w:pPr>
      <w:r w:rsidRPr="00A21844">
        <w:t>(Énfasis añadido)</w:t>
      </w:r>
    </w:p>
    <w:p w14:paraId="18EEE54A" w14:textId="77777777" w:rsidR="007903CA" w:rsidRPr="00A21844" w:rsidRDefault="007903CA" w:rsidP="00A21844">
      <w:pPr>
        <w:autoSpaceDE w:val="0"/>
        <w:autoSpaceDN w:val="0"/>
        <w:adjustRightInd w:val="0"/>
        <w:ind w:left="851" w:right="902"/>
        <w:rPr>
          <w:rFonts w:cs="Arial"/>
          <w:szCs w:val="22"/>
        </w:rPr>
      </w:pPr>
    </w:p>
    <w:p w14:paraId="1FDF09E6" w14:textId="77777777" w:rsidR="007903CA" w:rsidRPr="00A21844" w:rsidRDefault="007903CA" w:rsidP="00A21844">
      <w:r w:rsidRPr="00A21844">
        <w:t xml:space="preserve">Ahora bien, la Clave Única de Registro de Población, está integrada de 18 elementos representados por letras y números, que se generan a partir de los datos contenidos en </w:t>
      </w:r>
      <w:r w:rsidRPr="00A21844">
        <w:lastRenderedPageBreak/>
        <w:t xml:space="preserve">un documento probatorio de </w:t>
      </w:r>
      <w:r w:rsidRPr="00A21844">
        <w:rPr>
          <w:bCs/>
        </w:rPr>
        <w:t>identidad</w:t>
      </w:r>
      <w:r w:rsidRPr="00A21844">
        <w:t xml:space="preserve"> (acta de nacimiento, carta de naturalización o documento migratorio), la </w:t>
      </w:r>
      <w:r w:rsidRPr="00A21844">
        <w:rPr>
          <w:rFonts w:cs="Arial"/>
        </w:rPr>
        <w:t>cual</w:t>
      </w:r>
      <w:r w:rsidRPr="00A21844">
        <w:t xml:space="preserve"> se integra de</w:t>
      </w:r>
      <w:r w:rsidRPr="00A21844">
        <w:rPr>
          <w:rFonts w:cs="Arial"/>
        </w:rPr>
        <w:t xml:space="preserve"> la primera letra del apellido paterno; seguida de la primera letra Vocal del primer apellido; seguida de la primera letra del segundo apellido y por último la primera letra del nombre; fecha de nacimiento año/mes/día</w:t>
      </w:r>
      <w:r w:rsidRPr="00A21844">
        <w:t xml:space="preserve">; sexo; Entidad Federativa de nacimiento; consonantes internas del nombre y apellidos; un diferenciador de homonimia y siglo; y un digito verificador, que garantizan la correcta integración. </w:t>
      </w:r>
    </w:p>
    <w:p w14:paraId="4A8B7101" w14:textId="77777777" w:rsidR="007903CA" w:rsidRPr="00A21844" w:rsidRDefault="007903CA" w:rsidP="00A21844"/>
    <w:p w14:paraId="627B12E5" w14:textId="77777777" w:rsidR="007903CA" w:rsidRPr="00A21844" w:rsidRDefault="007903CA" w:rsidP="00A21844">
      <w:pPr>
        <w:rPr>
          <w:rFonts w:cs="Arial"/>
        </w:rPr>
      </w:pPr>
      <w:r w:rsidRPr="00A21844">
        <w:rPr>
          <w:rFonts w:cs="Arial"/>
        </w:rPr>
        <w:t xml:space="preserve">Al respecto, el </w:t>
      </w:r>
      <w:r w:rsidRPr="00A21844">
        <w:rPr>
          <w:rFonts w:eastAsia="Arial Unicode MS" w:cs="Arial"/>
        </w:rPr>
        <w:t>Instituto Nacional de Transparencia, Acceso a la Información y Protección de Datos Personales (INAI),</w:t>
      </w:r>
      <w:r w:rsidRPr="00A21844">
        <w:rPr>
          <w:rFonts w:cs="Arial"/>
        </w:rPr>
        <w:t xml:space="preserve"> a través del Criterio 18/17 de la Segunda Época, señala literalmente lo siguiente:</w:t>
      </w:r>
    </w:p>
    <w:p w14:paraId="2690CBBC" w14:textId="77777777" w:rsidR="007903CA" w:rsidRPr="00A21844" w:rsidRDefault="007903CA" w:rsidP="00A21844">
      <w:pPr>
        <w:rPr>
          <w:rFonts w:cs="Arial"/>
        </w:rPr>
      </w:pPr>
    </w:p>
    <w:p w14:paraId="1BE4BE65" w14:textId="77777777" w:rsidR="007903CA" w:rsidRPr="00A21844" w:rsidRDefault="007903CA" w:rsidP="00A21844">
      <w:pPr>
        <w:pStyle w:val="Puesto"/>
      </w:pPr>
      <w:r w:rsidRPr="00A21844">
        <w:t>“</w:t>
      </w:r>
      <w:r w:rsidRPr="00A21844">
        <w:rPr>
          <w:b/>
        </w:rPr>
        <w:t>Clave Única de Registro de Población (CURP).</w:t>
      </w:r>
      <w:r w:rsidRPr="00A21844">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3168ED07" w14:textId="77777777" w:rsidR="007903CA" w:rsidRPr="00A21844" w:rsidRDefault="007903CA" w:rsidP="00A21844">
      <w:pPr>
        <w:pStyle w:val="Puesto"/>
      </w:pPr>
      <w:r w:rsidRPr="00A21844">
        <w:t>(Énfasis añadido)</w:t>
      </w:r>
    </w:p>
    <w:p w14:paraId="2159F232" w14:textId="77777777" w:rsidR="007903CA" w:rsidRPr="00A21844" w:rsidRDefault="007903CA" w:rsidP="00A21844">
      <w:pPr>
        <w:autoSpaceDE w:val="0"/>
        <w:autoSpaceDN w:val="0"/>
        <w:adjustRightInd w:val="0"/>
        <w:ind w:left="851" w:right="902"/>
        <w:rPr>
          <w:rFonts w:cs="Arial"/>
          <w:szCs w:val="22"/>
        </w:rPr>
      </w:pPr>
    </w:p>
    <w:p w14:paraId="12AD3B0A" w14:textId="77777777" w:rsidR="007903CA" w:rsidRPr="00A21844" w:rsidRDefault="007903CA" w:rsidP="00A21844">
      <w:pPr>
        <w:rPr>
          <w:rFonts w:cs="Arial"/>
        </w:rPr>
      </w:pPr>
      <w:r w:rsidRPr="00A21844">
        <w:rPr>
          <w:rFonts w:cs="Arial"/>
        </w:rPr>
        <w:t xml:space="preserve">De lo anterior, se desprende que la </w:t>
      </w:r>
      <w:r w:rsidRPr="00A21844">
        <w:t xml:space="preserve">Clave Única de Registro de Población, </w:t>
      </w:r>
      <w:r w:rsidRPr="00A21844">
        <w:rPr>
          <w:rFonts w:cs="Arial"/>
        </w:rPr>
        <w:t xml:space="preserve">se encuentra vinculada al nombre y apellidos de la persona, permitiendo identificar fecha y lugar de nacimiento, así como el sexo; datos que únicamente le atañen a su titular, por lo que, ésta constituye un dato </w:t>
      </w:r>
      <w:r w:rsidRPr="00A21844">
        <w:rPr>
          <w:bCs/>
        </w:rPr>
        <w:t>personal</w:t>
      </w:r>
      <w:r w:rsidRPr="00A21844">
        <w:rPr>
          <w:rFonts w:cs="Arial"/>
        </w:rPr>
        <w:t xml:space="preserve">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ABE9E11" w14:textId="77777777" w:rsidR="007903CA" w:rsidRPr="00A21844" w:rsidRDefault="007903CA" w:rsidP="00A21844">
      <w:pPr>
        <w:rPr>
          <w:rFonts w:cs="Arial"/>
        </w:rPr>
      </w:pPr>
    </w:p>
    <w:p w14:paraId="1DC2A4D4" w14:textId="77777777" w:rsidR="007903CA" w:rsidRPr="00A21844" w:rsidRDefault="007903CA" w:rsidP="00A21844">
      <w:pPr>
        <w:rPr>
          <w:rFonts w:cs="Arial"/>
        </w:rPr>
      </w:pPr>
      <w:r w:rsidRPr="00A21844">
        <w:rPr>
          <w:rFonts w:cs="Arial"/>
        </w:rPr>
        <w:t xml:space="preserve">Por cuanto hace a la </w:t>
      </w:r>
      <w:r w:rsidRPr="00A21844">
        <w:rPr>
          <w:rFonts w:cs="Arial"/>
          <w:b/>
        </w:rPr>
        <w:t>Clave de cualquier tipo de seguridad social</w:t>
      </w:r>
      <w:r w:rsidRPr="00A21844">
        <w:rPr>
          <w:rFonts w:cs="Arial"/>
        </w:rPr>
        <w:t xml:space="preserve"> (ISSEMYM, u otros), está integrado por una </w:t>
      </w:r>
      <w:r w:rsidRPr="00A21844">
        <w:rPr>
          <w:rFonts w:cs="Arial"/>
          <w:bCs/>
        </w:rPr>
        <w:t xml:space="preserve">secuencia de números con los que se identifica a los trabajadores que </w:t>
      </w:r>
      <w:r w:rsidRPr="00A21844">
        <w:t>cubren</w:t>
      </w:r>
      <w:r w:rsidRPr="00A21844">
        <w:rPr>
          <w:rFonts w:cs="Arial"/>
          <w:bCs/>
        </w:rPr>
        <w:t xml:space="preserve"> las cuotas respectivas, asimismo, lo identifica con la fuente de trabajo; por lo que al ser una clave de </w:t>
      </w:r>
      <w:r w:rsidRPr="00A21844">
        <w:rPr>
          <w:rFonts w:cs="Arial"/>
        </w:rPr>
        <w:t>identificación</w:t>
      </w:r>
      <w:r w:rsidRPr="00A21844">
        <w:rPr>
          <w:rFonts w:cs="Arial"/>
          <w:bCs/>
        </w:rPr>
        <w:t xml:space="preserve"> de los trabajadores, constituye información confidencial, </w:t>
      </w:r>
      <w:r w:rsidRPr="00A21844">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F3A2AC3" w14:textId="77777777" w:rsidR="007903CA" w:rsidRPr="00A21844" w:rsidRDefault="007903CA" w:rsidP="00A21844">
      <w:pPr>
        <w:rPr>
          <w:rFonts w:cs="Arial"/>
        </w:rPr>
      </w:pPr>
    </w:p>
    <w:p w14:paraId="05875B34" w14:textId="77777777" w:rsidR="007903CA" w:rsidRPr="00A21844" w:rsidRDefault="007903CA" w:rsidP="00A21844">
      <w:pPr>
        <w:rPr>
          <w:rFonts w:cs="Arial"/>
        </w:rPr>
      </w:pPr>
      <w:r w:rsidRPr="00A21844">
        <w:rPr>
          <w:rFonts w:cs="Arial"/>
        </w:rPr>
        <w:t xml:space="preserve">Respecto de los </w:t>
      </w:r>
      <w:r w:rsidRPr="00A21844">
        <w:rPr>
          <w:rFonts w:cs="Arial"/>
          <w:b/>
        </w:rPr>
        <w:t>préstamos o descuentos</w:t>
      </w:r>
      <w:r w:rsidRPr="00A21844">
        <w:rPr>
          <w:rFonts w:cs="Arial"/>
        </w:rPr>
        <w:t xml:space="preserve"> </w:t>
      </w:r>
      <w:r w:rsidRPr="00A21844">
        <w:rPr>
          <w:rFonts w:cs="Arial"/>
          <w:b/>
        </w:rPr>
        <w:t>de carácter personal</w:t>
      </w:r>
      <w:r w:rsidRPr="00A21844">
        <w:rPr>
          <w:rFonts w:cs="Arial"/>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w:t>
      </w:r>
      <w:r w:rsidRPr="00A21844">
        <w:t xml:space="preserve"> </w:t>
      </w:r>
      <w:r w:rsidRPr="00A21844">
        <w:rPr>
          <w:rFonts w:cs="Arial"/>
        </w:rPr>
        <w:t>protección de información confidencial, porque incide en la intimidad de un individuo</w:t>
      </w:r>
      <w:r w:rsidRPr="00A21844">
        <w:t xml:space="preserve"> </w:t>
      </w:r>
      <w:r w:rsidRPr="00A21844">
        <w:rPr>
          <w:rFonts w:cs="Arial"/>
        </w:rPr>
        <w:t>identificado.</w:t>
      </w:r>
    </w:p>
    <w:p w14:paraId="34C27DA2" w14:textId="77777777" w:rsidR="007903CA" w:rsidRPr="00A21844" w:rsidRDefault="007903CA" w:rsidP="00A21844">
      <w:pPr>
        <w:rPr>
          <w:rFonts w:cs="Arial"/>
        </w:rPr>
      </w:pPr>
    </w:p>
    <w:p w14:paraId="245A7BFB" w14:textId="77777777" w:rsidR="007903CA" w:rsidRPr="00A21844" w:rsidRDefault="007903CA" w:rsidP="00A21844">
      <w:pPr>
        <w:rPr>
          <w:rFonts w:cs="Arial"/>
        </w:rPr>
      </w:pPr>
      <w:r w:rsidRPr="00A21844">
        <w:rPr>
          <w:rFonts w:cs="Arial"/>
        </w:rPr>
        <w:t xml:space="preserve">Por su </w:t>
      </w:r>
      <w:r w:rsidRPr="00A21844">
        <w:t>parte</w:t>
      </w:r>
      <w:r w:rsidRPr="00A21844">
        <w:rPr>
          <w:rFonts w:cs="Arial"/>
        </w:rPr>
        <w:t>, el artículo 84 de la Ley del Trabajo de los Servidores Públicos del Estado y Municipios, señala:</w:t>
      </w:r>
    </w:p>
    <w:p w14:paraId="3E5314A4" w14:textId="77777777" w:rsidR="007903CA" w:rsidRPr="00A21844" w:rsidRDefault="007903CA" w:rsidP="00A21844">
      <w:pPr>
        <w:rPr>
          <w:rFonts w:cs="Arial"/>
        </w:rPr>
      </w:pPr>
    </w:p>
    <w:p w14:paraId="144BA3DC" w14:textId="77777777" w:rsidR="007903CA" w:rsidRPr="00A21844" w:rsidRDefault="007903CA" w:rsidP="00A21844">
      <w:pPr>
        <w:pStyle w:val="Puesto"/>
        <w:rPr>
          <w:noProof/>
        </w:rPr>
      </w:pPr>
      <w:r w:rsidRPr="00A21844">
        <w:rPr>
          <w:noProof/>
        </w:rPr>
        <w:t>“</w:t>
      </w:r>
      <w:r w:rsidRPr="00A21844">
        <w:rPr>
          <w:b/>
          <w:noProof/>
        </w:rPr>
        <w:t>ARTICULO 84. Sólo podrán hacerse retenciones, descuentos o deducciones al sueldo de los servidores públicos por concepto de:</w:t>
      </w:r>
    </w:p>
    <w:p w14:paraId="34D9DEF4" w14:textId="77777777" w:rsidR="007903CA" w:rsidRPr="00A21844" w:rsidRDefault="007903CA" w:rsidP="00A21844">
      <w:pPr>
        <w:pStyle w:val="Puesto"/>
      </w:pPr>
      <w:r w:rsidRPr="00A21844">
        <w:rPr>
          <w:noProof/>
        </w:rPr>
        <w:t xml:space="preserve">I. </w:t>
      </w:r>
      <w:r w:rsidRPr="00A21844">
        <w:t>Gravámenes fiscales relacionados con el sueldo;</w:t>
      </w:r>
    </w:p>
    <w:p w14:paraId="254AFAAD" w14:textId="77777777" w:rsidR="007903CA" w:rsidRPr="00A21844" w:rsidRDefault="007903CA" w:rsidP="00A21844">
      <w:pPr>
        <w:pStyle w:val="Puesto"/>
      </w:pPr>
      <w:r w:rsidRPr="00A21844">
        <w:rPr>
          <w:b/>
        </w:rPr>
        <w:t>II. Deudas contraídas con las instituciones públicas o dependencias</w:t>
      </w:r>
      <w:r w:rsidRPr="00A21844">
        <w:t xml:space="preserve"> por concepto de anticipos de sueldo, pagos hechos con exceso, errores o pérdidas debidamente comprobados;</w:t>
      </w:r>
    </w:p>
    <w:p w14:paraId="487F95FD" w14:textId="77777777" w:rsidR="007903CA" w:rsidRPr="00A21844" w:rsidRDefault="007903CA" w:rsidP="00A21844">
      <w:pPr>
        <w:pStyle w:val="Puesto"/>
        <w:rPr>
          <w:noProof/>
        </w:rPr>
      </w:pPr>
      <w:r w:rsidRPr="00A21844">
        <w:rPr>
          <w:b/>
        </w:rPr>
        <w:t>III.</w:t>
      </w:r>
      <w:r w:rsidRPr="00A21844">
        <w:t xml:space="preserve"> </w:t>
      </w:r>
      <w:r w:rsidRPr="00A21844">
        <w:rPr>
          <w:b/>
        </w:rPr>
        <w:t>Cuotas sindicales</w:t>
      </w:r>
      <w:r w:rsidRPr="00A21844">
        <w:rPr>
          <w:noProof/>
        </w:rPr>
        <w:t>;</w:t>
      </w:r>
    </w:p>
    <w:p w14:paraId="61A9EE43" w14:textId="77777777" w:rsidR="007903CA" w:rsidRPr="00A21844" w:rsidRDefault="007903CA" w:rsidP="00A21844">
      <w:pPr>
        <w:pStyle w:val="Puesto"/>
        <w:rPr>
          <w:noProof/>
        </w:rPr>
      </w:pPr>
      <w:r w:rsidRPr="00A21844">
        <w:rPr>
          <w:noProof/>
        </w:rPr>
        <w:lastRenderedPageBreak/>
        <w:t xml:space="preserve">IV. Cuotas de </w:t>
      </w:r>
      <w:r w:rsidRPr="00A21844">
        <w:t>aportación</w:t>
      </w:r>
      <w:r w:rsidRPr="00A21844">
        <w:rPr>
          <w:noProof/>
        </w:rPr>
        <w:t xml:space="preserve"> a fondos para la constitución de cooperativas y de cajas de ahorro, </w:t>
      </w:r>
      <w:r w:rsidRPr="00A21844">
        <w:t>siempre</w:t>
      </w:r>
      <w:r w:rsidRPr="00A21844">
        <w:rPr>
          <w:noProof/>
        </w:rPr>
        <w:t xml:space="preserve"> que el servidor público hubiese manifestado previamente, de manera expresa, su conformidad;</w:t>
      </w:r>
    </w:p>
    <w:p w14:paraId="4F267AFF" w14:textId="77777777" w:rsidR="007903CA" w:rsidRPr="00A21844" w:rsidRDefault="007903CA" w:rsidP="00A21844">
      <w:pPr>
        <w:pStyle w:val="Puesto"/>
        <w:rPr>
          <w:b/>
          <w:noProof/>
        </w:rPr>
      </w:pPr>
      <w:r w:rsidRPr="00A21844">
        <w:rPr>
          <w:noProof/>
        </w:rPr>
        <w:t xml:space="preserve">V. Descuentos ordenados por el Instituto de Seguridad Social del Estado de México y </w:t>
      </w:r>
      <w:r w:rsidRPr="00A21844">
        <w:t>Municipios</w:t>
      </w:r>
      <w:r w:rsidRPr="00A21844">
        <w:rPr>
          <w:noProof/>
        </w:rPr>
        <w:t>, con motivo de cuotas y obligaciones contraídas con éste por los servidores públicos;</w:t>
      </w:r>
    </w:p>
    <w:p w14:paraId="12496FBE" w14:textId="77777777" w:rsidR="007903CA" w:rsidRPr="00A21844" w:rsidRDefault="007903CA" w:rsidP="00A21844">
      <w:pPr>
        <w:pStyle w:val="Puesto"/>
        <w:rPr>
          <w:noProof/>
        </w:rPr>
      </w:pPr>
      <w:r w:rsidRPr="00A21844">
        <w:rPr>
          <w:b/>
          <w:noProof/>
        </w:rPr>
        <w:t>VI.</w:t>
      </w:r>
      <w:r w:rsidRPr="00A21844">
        <w:rPr>
          <w:noProof/>
        </w:rPr>
        <w:t xml:space="preserve"> </w:t>
      </w:r>
      <w:r w:rsidRPr="00A21844">
        <w:rPr>
          <w:b/>
          <w:noProof/>
        </w:rPr>
        <w:t>Obligaciones a cargo del servidor público</w:t>
      </w:r>
      <w:r w:rsidRPr="00A21844">
        <w:rPr>
          <w:noProof/>
        </w:rPr>
        <w:t xml:space="preserve"> con las que haya consentido, derivadas de la adquisición o del uso de habitaciones consideradas como de interés social;</w:t>
      </w:r>
    </w:p>
    <w:p w14:paraId="26507D1A" w14:textId="77777777" w:rsidR="007903CA" w:rsidRPr="00A21844" w:rsidRDefault="007903CA" w:rsidP="00A21844">
      <w:pPr>
        <w:pStyle w:val="Puesto"/>
        <w:rPr>
          <w:noProof/>
        </w:rPr>
      </w:pPr>
      <w:r w:rsidRPr="00A21844">
        <w:rPr>
          <w:noProof/>
        </w:rPr>
        <w:t xml:space="preserve">VII. Faltas de </w:t>
      </w:r>
      <w:r w:rsidRPr="00A21844">
        <w:t>puntualidad</w:t>
      </w:r>
      <w:r w:rsidRPr="00A21844">
        <w:rPr>
          <w:noProof/>
        </w:rPr>
        <w:t xml:space="preserve"> o </w:t>
      </w:r>
      <w:r w:rsidRPr="00A21844">
        <w:t>de</w:t>
      </w:r>
      <w:r w:rsidRPr="00A21844">
        <w:rPr>
          <w:noProof/>
        </w:rPr>
        <w:t xml:space="preserve"> asistencia injustificadas;</w:t>
      </w:r>
    </w:p>
    <w:p w14:paraId="78DC274F" w14:textId="77777777" w:rsidR="007903CA" w:rsidRPr="00A21844" w:rsidRDefault="007903CA" w:rsidP="00A21844">
      <w:pPr>
        <w:pStyle w:val="Puesto"/>
        <w:rPr>
          <w:b/>
          <w:noProof/>
        </w:rPr>
      </w:pPr>
      <w:r w:rsidRPr="00A21844">
        <w:rPr>
          <w:b/>
          <w:noProof/>
        </w:rPr>
        <w:t>VIII.</w:t>
      </w:r>
      <w:r w:rsidRPr="00A21844">
        <w:rPr>
          <w:noProof/>
        </w:rPr>
        <w:t xml:space="preserve"> </w:t>
      </w:r>
      <w:r w:rsidRPr="00A21844">
        <w:rPr>
          <w:b/>
          <w:noProof/>
        </w:rPr>
        <w:t>Pensiones alimenticias ordenadas por la autoridad judicial; o</w:t>
      </w:r>
    </w:p>
    <w:p w14:paraId="30DCEBE0" w14:textId="77777777" w:rsidR="007903CA" w:rsidRPr="00A21844" w:rsidRDefault="007903CA" w:rsidP="00A21844">
      <w:pPr>
        <w:pStyle w:val="Puesto"/>
        <w:rPr>
          <w:b/>
          <w:noProof/>
        </w:rPr>
      </w:pPr>
      <w:r w:rsidRPr="00A21844">
        <w:rPr>
          <w:b/>
          <w:noProof/>
        </w:rPr>
        <w:t>IX. Cualquier otro convenido con instituciones de servicios y aceptado por el servidor público.</w:t>
      </w:r>
    </w:p>
    <w:p w14:paraId="2651B2B0" w14:textId="77777777" w:rsidR="007903CA" w:rsidRPr="00A21844" w:rsidRDefault="007903CA" w:rsidP="00A21844">
      <w:pPr>
        <w:pStyle w:val="Puesto"/>
      </w:pPr>
      <w:r w:rsidRPr="00A21844">
        <w:rPr>
          <w:noProof/>
        </w:rPr>
        <w:t xml:space="preserve">El monto total de las retenciones, descuentos o deducciones no podrá exceder del 30% de la remuneración total, </w:t>
      </w:r>
      <w:r w:rsidRPr="00A21844">
        <w:t>excepto</w:t>
      </w:r>
      <w:r w:rsidRPr="00A21844">
        <w:rPr>
          <w:noProof/>
        </w:rPr>
        <w:t xml:space="preserve">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w:t>
      </w:r>
      <w:r w:rsidRPr="00A21844">
        <w:t>ajustará</w:t>
      </w:r>
      <w:r w:rsidRPr="00A21844">
        <w:rPr>
          <w:noProof/>
        </w:rPr>
        <w:t xml:space="preserve"> a lo determinado por la autoridad judicial.” </w:t>
      </w:r>
    </w:p>
    <w:p w14:paraId="2740DA43" w14:textId="77777777" w:rsidR="007903CA" w:rsidRPr="00A21844" w:rsidRDefault="007903CA" w:rsidP="00A21844">
      <w:pPr>
        <w:pStyle w:val="Puesto"/>
      </w:pPr>
      <w:r w:rsidRPr="00A21844">
        <w:t>(Énfasis añadido)</w:t>
      </w:r>
    </w:p>
    <w:p w14:paraId="7E020B63" w14:textId="77777777" w:rsidR="007903CA" w:rsidRPr="00A21844" w:rsidRDefault="007903CA" w:rsidP="00A21844">
      <w:pPr>
        <w:autoSpaceDE w:val="0"/>
        <w:autoSpaceDN w:val="0"/>
        <w:adjustRightInd w:val="0"/>
        <w:ind w:left="851" w:right="902"/>
        <w:rPr>
          <w:rFonts w:cs="Arial"/>
          <w:szCs w:val="22"/>
        </w:rPr>
      </w:pPr>
    </w:p>
    <w:p w14:paraId="2F7BC702" w14:textId="77777777" w:rsidR="007903CA" w:rsidRPr="00A21844" w:rsidRDefault="007903CA" w:rsidP="00A21844">
      <w:pPr>
        <w:rPr>
          <w:rFonts w:cs="Arial"/>
        </w:rPr>
      </w:pPr>
      <w:r w:rsidRPr="00A21844">
        <w:rPr>
          <w:rFonts w:cs="Arial"/>
        </w:rPr>
        <w:t xml:space="preserve">Derivado de lo anterior, la ley establece claramente cuáles son esos descuentos o gravámenes que directamente se relacionan con las obligaciones adquiridas como servidores públicos y aquéllos que </w:t>
      </w:r>
      <w:r w:rsidRPr="00A21844">
        <w:rPr>
          <w:rFonts w:cs="Arial"/>
          <w:b/>
        </w:rPr>
        <w:t>únicamente inciden en su vida privada</w:t>
      </w:r>
      <w:r w:rsidRPr="00A21844">
        <w:rPr>
          <w:rFonts w:cs="Arial"/>
        </w:rPr>
        <w:t>. De este modo, descuentos por pensiones alimenticias o créditos adquiridos con instituciones privadas o públicas pero que fueron contraídas en forma individual, son información que debe clasificarse como confidencial.</w:t>
      </w:r>
    </w:p>
    <w:p w14:paraId="3A8E5CE3" w14:textId="77777777" w:rsidR="007903CA" w:rsidRPr="00A21844" w:rsidRDefault="007903CA" w:rsidP="00A21844">
      <w:pPr>
        <w:rPr>
          <w:rFonts w:cs="Arial"/>
        </w:rPr>
      </w:pPr>
    </w:p>
    <w:p w14:paraId="05171595" w14:textId="77777777" w:rsidR="00630B26" w:rsidRPr="00A21844" w:rsidRDefault="00630B26" w:rsidP="00A21844">
      <w:pPr>
        <w:rPr>
          <w:rFonts w:eastAsia="Palatino Linotype" w:cs="Palatino Linotype"/>
        </w:rPr>
      </w:pPr>
      <w:r w:rsidRPr="00A21844">
        <w:rPr>
          <w:rFonts w:eastAsia="Palatino Linotype" w:cs="Palatino Linotype"/>
        </w:rPr>
        <w:t xml:space="preserve">La </w:t>
      </w:r>
      <w:r w:rsidRPr="00A21844">
        <w:rPr>
          <w:rFonts w:eastAsia="Palatino Linotype" w:cs="Palatino Linotype"/>
          <w:b/>
          <w:bCs/>
          <w:i/>
          <w:iCs/>
        </w:rPr>
        <w:t>cuenta bancaria de servidores públicos</w:t>
      </w:r>
      <w:r w:rsidRPr="00A21844">
        <w:rPr>
          <w:rFonts w:eastAsia="Palatino Linotype" w:cs="Palatino Linotype"/>
        </w:rPr>
        <w:t xml:space="preserve">, 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w:t>
      </w:r>
      <w:r w:rsidRPr="00A21844">
        <w:rPr>
          <w:rFonts w:eastAsia="Palatino Linotype" w:cs="Palatino Linotype"/>
        </w:rPr>
        <w:lastRenderedPageBreak/>
        <w:t>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61A3AF6C" w14:textId="77777777" w:rsidR="00630B26" w:rsidRPr="00A21844" w:rsidRDefault="00630B26" w:rsidP="00A21844">
      <w:pPr>
        <w:rPr>
          <w:rFonts w:eastAsia="Palatino Linotype" w:cs="Palatino Linotype"/>
        </w:rPr>
      </w:pPr>
      <w:r w:rsidRPr="00A21844">
        <w:rPr>
          <w:rFonts w:eastAsia="Palatino Linotype" w:cs="Palatino Linotype"/>
        </w:rPr>
        <w:t> </w:t>
      </w:r>
    </w:p>
    <w:p w14:paraId="5F8DA836" w14:textId="77777777" w:rsidR="00630B26" w:rsidRPr="00A21844" w:rsidRDefault="00630B26" w:rsidP="00A21844">
      <w:pPr>
        <w:rPr>
          <w:rFonts w:eastAsia="Palatino Linotype" w:cs="Palatino Linotype"/>
        </w:rPr>
      </w:pPr>
      <w:r w:rsidRPr="00A21844">
        <w:rPr>
          <w:rFonts w:eastAsia="Palatino Linotype" w:cs="Palatino Linotype"/>
        </w:rPr>
        <w:t>A mayor abundamiento, resulta necesario traer a colación el Criterio SO/010/2017, emitido por el Instituto Nacional de Transparencia, Acceso a la Información y Protección de Datos Personales, mismo que establece lo siguiente:</w:t>
      </w:r>
    </w:p>
    <w:p w14:paraId="587B019F" w14:textId="77777777" w:rsidR="00630B26" w:rsidRPr="00A21844" w:rsidRDefault="00630B26" w:rsidP="00A21844">
      <w:pPr>
        <w:rPr>
          <w:rFonts w:eastAsia="Palatino Linotype" w:cs="Palatino Linotype"/>
        </w:rPr>
      </w:pPr>
    </w:p>
    <w:p w14:paraId="01FA2115" w14:textId="77777777" w:rsidR="00630B26" w:rsidRPr="00A21844" w:rsidRDefault="00630B26" w:rsidP="00A21844">
      <w:pPr>
        <w:pStyle w:val="Puesto"/>
        <w:rPr>
          <w:rFonts w:eastAsia="Palatino Linotype"/>
        </w:rPr>
      </w:pPr>
      <w:r w:rsidRPr="00A21844">
        <w:rPr>
          <w:rFonts w:eastAsia="Palatino Linotype"/>
        </w:rPr>
        <w:t>“</w:t>
      </w:r>
      <w:r w:rsidRPr="00A21844">
        <w:rPr>
          <w:rFonts w:eastAsia="Palatino Linotype"/>
          <w:b/>
          <w:bCs/>
        </w:rPr>
        <w:t>Cuentas bancarias y/o CLABE interbancaria de personas físicas y morales privadas.</w:t>
      </w:r>
      <w:r w:rsidRPr="00A21844">
        <w:rPr>
          <w:rFonts w:eastAsia="Palatino Linotype"/>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3D3E0D1" w14:textId="77777777" w:rsidR="00630B26" w:rsidRPr="00A21844" w:rsidRDefault="00630B26" w:rsidP="00A21844">
      <w:pPr>
        <w:rPr>
          <w:rFonts w:eastAsia="Palatino Linotype" w:cs="Palatino Linotype"/>
        </w:rPr>
      </w:pPr>
    </w:p>
    <w:p w14:paraId="2264A8FE" w14:textId="77777777" w:rsidR="00630B26" w:rsidRPr="00A21844" w:rsidRDefault="00630B26" w:rsidP="00A21844">
      <w:pPr>
        <w:rPr>
          <w:rFonts w:eastAsia="Palatino Linotype" w:cs="Palatino Linotype"/>
        </w:rPr>
      </w:pPr>
      <w:r w:rsidRPr="00A21844">
        <w:rPr>
          <w:rFonts w:eastAsia="Palatino Linotype" w:cs="Palatino Linotype"/>
        </w:rP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0AB3D472" w14:textId="77777777" w:rsidR="00630B26" w:rsidRPr="00A21844" w:rsidRDefault="00630B26" w:rsidP="00A21844">
      <w:pPr>
        <w:rPr>
          <w:rFonts w:eastAsia="Palatino Linotype" w:cs="Palatino Linotype"/>
        </w:rPr>
      </w:pPr>
      <w:r w:rsidRPr="00A21844">
        <w:rPr>
          <w:rFonts w:eastAsia="Palatino Linotype" w:cs="Palatino Linotype"/>
        </w:rPr>
        <w:t xml:space="preserve"> </w:t>
      </w:r>
    </w:p>
    <w:p w14:paraId="2FE9C76C" w14:textId="77777777" w:rsidR="00630B26" w:rsidRPr="00A21844" w:rsidRDefault="00630B26" w:rsidP="00A21844">
      <w:pPr>
        <w:rPr>
          <w:rFonts w:eastAsia="Palatino Linotype" w:cs="Palatino Linotype"/>
        </w:rPr>
      </w:pPr>
      <w:r w:rsidRPr="00A21844">
        <w:rPr>
          <w:rFonts w:eastAsia="Palatino Linotype" w:cs="Palatino Linotype"/>
        </w:rPr>
        <w:t xml:space="preserve">El </w:t>
      </w:r>
      <w:r w:rsidRPr="00A21844">
        <w:rPr>
          <w:rFonts w:eastAsia="Palatino Linotype" w:cs="Palatino Linotype"/>
          <w:b/>
          <w:bCs/>
          <w:i/>
          <w:iCs/>
        </w:rPr>
        <w:t>Nombre de institución bancaria utilizada por el servidor público</w:t>
      </w:r>
      <w:r w:rsidRPr="00A21844">
        <w:rPr>
          <w:rFonts w:eastAsia="Palatino Linotype" w:cs="Palatino Linotype"/>
        </w:rPr>
        <w:t xml:space="preserve">, en principio, es necesario señalar que conforme al artículo 2°, fracción IV de la Ley de Protección y </w:t>
      </w:r>
      <w:r w:rsidRPr="00A21844">
        <w:rPr>
          <w:rFonts w:eastAsia="Palatino Linotype" w:cs="Palatino Linotype"/>
        </w:rPr>
        <w:lastRenderedPageBreak/>
        <w:t>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369441F1" w14:textId="77777777" w:rsidR="00630B26" w:rsidRPr="00A21844" w:rsidRDefault="00630B26" w:rsidP="00A21844">
      <w:pPr>
        <w:rPr>
          <w:rFonts w:eastAsia="Palatino Linotype" w:cs="Palatino Linotype"/>
        </w:rPr>
      </w:pPr>
    </w:p>
    <w:p w14:paraId="70B28DDE" w14:textId="77777777" w:rsidR="00630B26" w:rsidRPr="00A21844" w:rsidRDefault="00630B26" w:rsidP="00A21844">
      <w:pPr>
        <w:rPr>
          <w:rFonts w:eastAsia="Palatino Linotype" w:cs="Palatino Linotype"/>
        </w:rPr>
      </w:pPr>
      <w:r w:rsidRPr="00A21844">
        <w:rPr>
          <w:rFonts w:eastAsia="Palatino Linotype" w:cs="Palatino Linotype"/>
        </w:rPr>
        <w:t xml:space="preserve">En ese orden de ideas, en el portal de la Comisión Nacional para la Protección y Defensa de los Usuarios de Servicios Financieros (consultado el cinco de julio de dos mil veintitrés) en </w:t>
      </w:r>
      <w:hyperlink r:id="rId19" w:history="1">
        <w:r w:rsidRPr="00A21844">
          <w:rPr>
            <w:rFonts w:eastAsia="Palatino Linotype" w:cs="Palatino Linotype"/>
          </w:rPr>
          <w:t>https://www.condusef.gob.mx/Revista/index.php/usuario-inteligente/condusef-responde/777-la-condusef-te-puede-ayudar</w:t>
        </w:r>
      </w:hyperlink>
      <w:r w:rsidRPr="00A21844">
        <w:rPr>
          <w:rFonts w:eastAsia="Palatino Linotype" w:cs="Palatino Linotype"/>
        </w:rPr>
        <w:t>), se establece que los bancos son instituciones financieras; conforme a lo anterior, se puede advertir que las instituciones bancarias, son personas morales.</w:t>
      </w:r>
    </w:p>
    <w:p w14:paraId="65217DA5" w14:textId="77777777" w:rsidR="00630B26" w:rsidRPr="00A21844" w:rsidRDefault="00630B26" w:rsidP="00A21844">
      <w:pPr>
        <w:rPr>
          <w:rFonts w:eastAsia="Palatino Linotype" w:cs="Palatino Linotype"/>
        </w:rPr>
      </w:pPr>
    </w:p>
    <w:p w14:paraId="0CF97D41" w14:textId="77777777" w:rsidR="00630B26" w:rsidRPr="00A21844" w:rsidRDefault="00630B26" w:rsidP="00A21844">
      <w:pPr>
        <w:rPr>
          <w:rFonts w:eastAsia="Palatino Linotype" w:cs="Palatino Linotype"/>
        </w:rPr>
      </w:pPr>
      <w:r w:rsidRPr="00A21844">
        <w:rPr>
          <w:rFonts w:eastAsia="Palatino Linotype" w:cs="Palatino Linotype"/>
        </w:rPr>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20" w:history="1">
        <w:r w:rsidRPr="00A21844">
          <w:rPr>
            <w:rStyle w:val="Hipervnculo"/>
            <w:rFonts w:eastAsia="Palatino Linotype" w:cs="Palatino Linotype"/>
            <w:color w:val="auto"/>
          </w:rPr>
          <w:t>https://webapps.condusef.gob.mx/SIPRES/jsp/pub/index.jsp</w:t>
        </w:r>
      </w:hyperlink>
      <w:r w:rsidRPr="00A21844">
        <w:rPr>
          <w:rFonts w:eastAsia="Palatino Linotype" w:cs="Palatino Linotype"/>
        </w:rPr>
        <w:t xml:space="preserve">  que es un </w:t>
      </w:r>
      <w:r w:rsidRPr="00A21844">
        <w:rPr>
          <w:rFonts w:eastAsia="Palatino Linotype" w:cs="Palatino Linotype"/>
        </w:rPr>
        <w:lastRenderedPageBreak/>
        <w:t xml:space="preserve">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5A46E6FA" w14:textId="77777777" w:rsidR="00630B26" w:rsidRPr="00A21844" w:rsidRDefault="00630B26" w:rsidP="00A21844">
      <w:pPr>
        <w:rPr>
          <w:rFonts w:eastAsia="Palatino Linotype" w:cs="Palatino Linotype"/>
        </w:rPr>
      </w:pPr>
    </w:p>
    <w:p w14:paraId="6D17DFC8" w14:textId="77777777" w:rsidR="00630B26" w:rsidRPr="00A21844" w:rsidRDefault="00630B26" w:rsidP="00A21844">
      <w:pPr>
        <w:jc w:val="center"/>
        <w:rPr>
          <w:rFonts w:eastAsia="Palatino Linotype" w:cs="Palatino Linotype"/>
        </w:rPr>
      </w:pPr>
      <w:r w:rsidRPr="00A21844">
        <w:rPr>
          <w:rFonts w:eastAsia="Palatino Linotype" w:cs="Palatino Linotype"/>
          <w:noProof/>
          <w:lang w:eastAsia="es-MX"/>
        </w:rPr>
        <w:drawing>
          <wp:inline distT="0" distB="0" distL="0" distR="0" wp14:anchorId="405F2FD0" wp14:editId="1EBA1E1A">
            <wp:extent cx="5295900" cy="1295400"/>
            <wp:effectExtent l="0" t="0" r="0" b="0"/>
            <wp:docPr id="326021685"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t="2" b="52956"/>
                    <a:stretch>
                      <a:fillRect/>
                    </a:stretch>
                  </pic:blipFill>
                  <pic:spPr bwMode="auto">
                    <a:xfrm>
                      <a:off x="0" y="0"/>
                      <a:ext cx="5295900" cy="1295400"/>
                    </a:xfrm>
                    <a:prstGeom prst="rect">
                      <a:avLst/>
                    </a:prstGeom>
                    <a:noFill/>
                    <a:ln>
                      <a:noFill/>
                    </a:ln>
                  </pic:spPr>
                </pic:pic>
              </a:graphicData>
            </a:graphic>
          </wp:inline>
        </w:drawing>
      </w:r>
    </w:p>
    <w:p w14:paraId="47F0E920" w14:textId="77777777" w:rsidR="00630B26" w:rsidRPr="00A21844" w:rsidRDefault="00630B26" w:rsidP="00A21844">
      <w:pPr>
        <w:rPr>
          <w:rFonts w:eastAsia="Palatino Linotype" w:cs="Palatino Linotype"/>
        </w:rPr>
      </w:pPr>
    </w:p>
    <w:p w14:paraId="002C5901" w14:textId="77777777" w:rsidR="00630B26" w:rsidRPr="00A21844" w:rsidRDefault="00630B26" w:rsidP="00A21844">
      <w:pPr>
        <w:rPr>
          <w:rFonts w:eastAsia="Palatino Linotype" w:cs="Palatino Linotype"/>
        </w:rPr>
      </w:pPr>
      <w:r w:rsidRPr="00A21844">
        <w:rPr>
          <w:rFonts w:eastAsia="Palatino Linotype" w:cs="Palatino Linotype"/>
        </w:rPr>
        <w:t>Conforme a lo anterior, se logra vislumbrar que el nombre de las instituciones bancarias es de naturaleza pública.</w:t>
      </w:r>
    </w:p>
    <w:p w14:paraId="25C89AE6" w14:textId="77777777" w:rsidR="007903CA" w:rsidRPr="00A21844" w:rsidRDefault="007903CA" w:rsidP="00A21844">
      <w:pPr>
        <w:rPr>
          <w:rFonts w:cs="Arial"/>
        </w:rPr>
      </w:pPr>
    </w:p>
    <w:p w14:paraId="1BEB4379" w14:textId="77777777" w:rsidR="007903CA" w:rsidRPr="00A21844" w:rsidRDefault="007903CA" w:rsidP="00A21844">
      <w:pPr>
        <w:rPr>
          <w:rFonts w:cs="Arial"/>
        </w:rPr>
      </w:pPr>
      <w:r w:rsidRPr="00A21844">
        <w:rPr>
          <w:rFonts w:cs="Arial"/>
        </w:rPr>
        <w:t xml:space="preserve">Por ende, </w:t>
      </w:r>
      <w:r w:rsidRPr="00A21844">
        <w:rPr>
          <w:rFonts w:cs="Arial"/>
          <w:b/>
        </w:rPr>
        <w:t>EL SUJETO OBLIGADO</w:t>
      </w:r>
      <w:r w:rsidRPr="00A21844">
        <w:rPr>
          <w:rFonts w:cs="Arial"/>
        </w:rPr>
        <w:t xml:space="preserve"> debe testar los datos confidenciales, sin pasar por alto que la clasificación respectiva tiene que cumplirse a través de la forma y formalidades que la Ley impone; es decir, mediante Acuerdo debidamente fundado y motivado, en </w:t>
      </w:r>
      <w:r w:rsidRPr="00A21844">
        <w:rPr>
          <w:rFonts w:cs="Arial"/>
          <w:noProof/>
        </w:rPr>
        <w:t>términos</w:t>
      </w:r>
      <w:r w:rsidRPr="00A21844">
        <w:rPr>
          <w:rFonts w:cs="Arial"/>
        </w:rPr>
        <w:t xml:space="preserve"> de los numerales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B88423D" w14:textId="77777777" w:rsidR="007903CA" w:rsidRPr="00A21844" w:rsidRDefault="007903CA" w:rsidP="00A21844">
      <w:pPr>
        <w:rPr>
          <w:rFonts w:cs="Arial"/>
        </w:rPr>
      </w:pPr>
    </w:p>
    <w:p w14:paraId="2561EA5D" w14:textId="77777777" w:rsidR="007903CA" w:rsidRPr="00A21844" w:rsidRDefault="007903CA" w:rsidP="00A21844">
      <w:pPr>
        <w:pStyle w:val="Puesto"/>
        <w:jc w:val="center"/>
        <w:rPr>
          <w:b/>
        </w:rPr>
      </w:pPr>
      <w:r w:rsidRPr="00A21844">
        <w:rPr>
          <w:b/>
        </w:rPr>
        <w:t>Ley de Transparencia y Acceso a la Información Pública del Estado de México y Municipios</w:t>
      </w:r>
    </w:p>
    <w:p w14:paraId="3868C136" w14:textId="77777777" w:rsidR="007903CA" w:rsidRPr="00A21844" w:rsidRDefault="007903CA" w:rsidP="00A21844">
      <w:pPr>
        <w:pStyle w:val="Puesto"/>
      </w:pPr>
    </w:p>
    <w:p w14:paraId="25C8FCC6" w14:textId="77777777" w:rsidR="007903CA" w:rsidRPr="00A21844" w:rsidRDefault="007903CA" w:rsidP="00A21844">
      <w:pPr>
        <w:pStyle w:val="Puesto"/>
      </w:pPr>
      <w:r w:rsidRPr="00A21844">
        <w:lastRenderedPageBreak/>
        <w:t>“</w:t>
      </w:r>
      <w:r w:rsidRPr="00A21844">
        <w:rPr>
          <w:b/>
        </w:rPr>
        <w:t>Artículo 49.</w:t>
      </w:r>
      <w:r w:rsidRPr="00A21844">
        <w:t xml:space="preserve"> Los Comités de Transparencia tendrán las siguientes atribuciones:</w:t>
      </w:r>
    </w:p>
    <w:p w14:paraId="2A960EB3" w14:textId="77777777" w:rsidR="007903CA" w:rsidRPr="00A21844" w:rsidRDefault="007903CA" w:rsidP="00A21844">
      <w:pPr>
        <w:pStyle w:val="Puesto"/>
      </w:pPr>
      <w:r w:rsidRPr="00A21844">
        <w:t>VIII. Aprobar, modificar o revocar la clasificación de la información;</w:t>
      </w:r>
    </w:p>
    <w:p w14:paraId="59BEA98A" w14:textId="77777777" w:rsidR="007903CA" w:rsidRPr="00A21844" w:rsidRDefault="007903CA" w:rsidP="00A21844">
      <w:pPr>
        <w:pStyle w:val="Puesto"/>
      </w:pPr>
      <w:r w:rsidRPr="00A21844">
        <w:rPr>
          <w:b/>
        </w:rPr>
        <w:t>Artículo 132.</w:t>
      </w:r>
      <w:r w:rsidRPr="00A21844">
        <w:t xml:space="preserve"> La clasificación de la información se llevará a cabo en el momento en que:</w:t>
      </w:r>
    </w:p>
    <w:p w14:paraId="027AFC09" w14:textId="77777777" w:rsidR="007903CA" w:rsidRPr="00A21844" w:rsidRDefault="007903CA" w:rsidP="00A21844">
      <w:pPr>
        <w:pStyle w:val="Puesto"/>
      </w:pPr>
      <w:r w:rsidRPr="00A21844">
        <w:t>…</w:t>
      </w:r>
    </w:p>
    <w:p w14:paraId="4323A422" w14:textId="77777777" w:rsidR="007903CA" w:rsidRPr="00A21844" w:rsidRDefault="007903CA" w:rsidP="00A21844">
      <w:pPr>
        <w:pStyle w:val="Puesto"/>
      </w:pPr>
      <w:r w:rsidRPr="00A21844">
        <w:rPr>
          <w:b/>
        </w:rPr>
        <w:t>II.</w:t>
      </w:r>
      <w:r w:rsidRPr="00A21844">
        <w:t xml:space="preserve"> Se determine mediante resolución de autoridad competente; o</w:t>
      </w:r>
    </w:p>
    <w:p w14:paraId="495C9567" w14:textId="77777777" w:rsidR="007903CA" w:rsidRPr="00A21844" w:rsidRDefault="007903CA" w:rsidP="00A21844">
      <w:pPr>
        <w:pStyle w:val="Puesto"/>
        <w:rPr>
          <w:b/>
        </w:rPr>
      </w:pPr>
      <w:r w:rsidRPr="00A21844">
        <w:rPr>
          <w:b/>
        </w:rPr>
        <w:t>III. Se generen versiones públicas para dar cumplimiento a las obligaciones de transparencia previstas en esta Ley.”</w:t>
      </w:r>
    </w:p>
    <w:p w14:paraId="7FDC7438" w14:textId="77777777" w:rsidR="007903CA" w:rsidRPr="00A21844" w:rsidRDefault="007903CA" w:rsidP="00A21844">
      <w:pPr>
        <w:pStyle w:val="Puesto"/>
        <w:rPr>
          <w:b/>
        </w:rPr>
      </w:pPr>
    </w:p>
    <w:p w14:paraId="47638673" w14:textId="77777777" w:rsidR="007903CA" w:rsidRPr="00A21844" w:rsidRDefault="007903CA" w:rsidP="00A21844">
      <w:pPr>
        <w:pStyle w:val="Puesto"/>
        <w:jc w:val="center"/>
        <w:rPr>
          <w:b/>
        </w:rPr>
      </w:pPr>
      <w:r w:rsidRPr="00A21844">
        <w:rPr>
          <w:b/>
        </w:rPr>
        <w:t>Lineamientos Generales en materia de Clasificación y Desclasificación de la Información</w:t>
      </w:r>
    </w:p>
    <w:p w14:paraId="5029B83A" w14:textId="77777777" w:rsidR="007903CA" w:rsidRPr="00A21844" w:rsidRDefault="007903CA" w:rsidP="00A21844">
      <w:pPr>
        <w:pStyle w:val="Puesto"/>
      </w:pPr>
    </w:p>
    <w:p w14:paraId="6B8D69BA" w14:textId="77777777" w:rsidR="007903CA" w:rsidRPr="00A21844" w:rsidRDefault="007903CA" w:rsidP="00A21844">
      <w:pPr>
        <w:pStyle w:val="Puesto"/>
      </w:pPr>
      <w:r w:rsidRPr="00A21844">
        <w:t>“</w:t>
      </w:r>
      <w:r w:rsidRPr="00A21844">
        <w:rPr>
          <w:b/>
        </w:rPr>
        <w:t>Segundo.-</w:t>
      </w:r>
      <w:r w:rsidRPr="00A21844">
        <w:t xml:space="preserve"> Para efectos de los presentes Lineamientos Generales, se entenderá por:</w:t>
      </w:r>
    </w:p>
    <w:p w14:paraId="2B1DEA8D" w14:textId="77777777" w:rsidR="007903CA" w:rsidRPr="00A21844" w:rsidRDefault="007903CA" w:rsidP="00A21844">
      <w:pPr>
        <w:pStyle w:val="Puesto"/>
      </w:pPr>
      <w:r w:rsidRPr="00A21844">
        <w:rPr>
          <w:b/>
        </w:rPr>
        <w:t>XVIII.</w:t>
      </w:r>
      <w:r w:rsidRPr="00A21844">
        <w:t xml:space="preserve">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5BBDEF1" w14:textId="77777777" w:rsidR="007903CA" w:rsidRPr="00A21844" w:rsidRDefault="007903CA" w:rsidP="00A21844">
      <w:pPr>
        <w:pStyle w:val="Puesto"/>
      </w:pPr>
      <w:r w:rsidRPr="00A21844">
        <w:rPr>
          <w:b/>
        </w:rPr>
        <w:t>Cuarto</w:t>
      </w:r>
      <w:r w:rsidRPr="00A21844">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364947A" w14:textId="77777777" w:rsidR="007903CA" w:rsidRPr="00A21844" w:rsidRDefault="007903CA" w:rsidP="00A21844">
      <w:pPr>
        <w:pStyle w:val="Puesto"/>
      </w:pPr>
      <w:r w:rsidRPr="00A21844">
        <w:t>Los sujetos obligados deberán aplicar, de manera estricta, las excepciones al derecho de acceso a la información y sólo podrán invocarlas cuando acrediten su procedencia.</w:t>
      </w:r>
    </w:p>
    <w:p w14:paraId="44A0C664" w14:textId="77777777" w:rsidR="007903CA" w:rsidRPr="00A21844" w:rsidRDefault="007903CA" w:rsidP="00A21844">
      <w:pPr>
        <w:pStyle w:val="Puesto"/>
      </w:pPr>
      <w:r w:rsidRPr="00A21844">
        <w:rPr>
          <w:b/>
        </w:rPr>
        <w:t>Quinto</w:t>
      </w:r>
      <w:r w:rsidRPr="00A21844">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E7BB66" w14:textId="77777777" w:rsidR="007903CA" w:rsidRPr="00A21844" w:rsidRDefault="007903CA" w:rsidP="00A21844">
      <w:pPr>
        <w:pStyle w:val="Puesto"/>
      </w:pPr>
      <w:r w:rsidRPr="00A21844">
        <w:rPr>
          <w:b/>
        </w:rPr>
        <w:t>Sexto.</w:t>
      </w:r>
      <w:r w:rsidRPr="00A21844">
        <w:t xml:space="preserve"> Se deroga.</w:t>
      </w:r>
    </w:p>
    <w:p w14:paraId="630D266C" w14:textId="77777777" w:rsidR="007903CA" w:rsidRPr="00A21844" w:rsidRDefault="007903CA" w:rsidP="00A21844">
      <w:pPr>
        <w:pStyle w:val="Puesto"/>
      </w:pPr>
      <w:r w:rsidRPr="00A21844">
        <w:rPr>
          <w:b/>
        </w:rPr>
        <w:t>Séptimo</w:t>
      </w:r>
      <w:r w:rsidRPr="00A21844">
        <w:t>. La clasificación de la información se llevará a cabo en el momento en que:</w:t>
      </w:r>
    </w:p>
    <w:p w14:paraId="0A87EC6E" w14:textId="77777777" w:rsidR="007903CA" w:rsidRPr="00A21844" w:rsidRDefault="007903CA" w:rsidP="00A21844">
      <w:pPr>
        <w:pStyle w:val="Puesto"/>
      </w:pPr>
      <w:r w:rsidRPr="00A21844">
        <w:t>I.        Se reciba una solicitud de acceso a la información;</w:t>
      </w:r>
    </w:p>
    <w:p w14:paraId="1B8600B8" w14:textId="77777777" w:rsidR="007903CA" w:rsidRPr="00A21844" w:rsidRDefault="007903CA" w:rsidP="00A21844">
      <w:pPr>
        <w:pStyle w:val="Puesto"/>
      </w:pPr>
      <w:r w:rsidRPr="00A21844">
        <w:t>II.       Se determine mediante resolución del Comité de Transparencia, el órgano garante competente, o en cumplimiento a una sentencia del Poder Judicial; o</w:t>
      </w:r>
    </w:p>
    <w:p w14:paraId="7ED654A1" w14:textId="77777777" w:rsidR="007903CA" w:rsidRPr="00A21844" w:rsidRDefault="007903CA" w:rsidP="00A21844">
      <w:pPr>
        <w:pStyle w:val="Puesto"/>
      </w:pPr>
      <w:r w:rsidRPr="00A21844">
        <w:lastRenderedPageBreak/>
        <w:t>III.      Se generen versiones públicas para dar cumplimiento a las obligaciones de transparencia previstas en la Ley General, la Ley Federal y las correspondientes de las entidades federativas.</w:t>
      </w:r>
    </w:p>
    <w:p w14:paraId="7F7990C2" w14:textId="77777777" w:rsidR="007903CA" w:rsidRPr="00A21844" w:rsidRDefault="007903CA" w:rsidP="00A21844">
      <w:pPr>
        <w:pStyle w:val="Puesto"/>
      </w:pPr>
      <w:r w:rsidRPr="00A21844">
        <w:t xml:space="preserve">Los titulares de las áreas deberán revisar la información requerida al momento de la recepción de una solicitud de acceso, para verificar, conforme a su naturaleza, si encuadra en una causal de reserva o de confidencialidad. </w:t>
      </w:r>
    </w:p>
    <w:p w14:paraId="75B34E72" w14:textId="77777777" w:rsidR="007903CA" w:rsidRPr="00A21844" w:rsidRDefault="007903CA" w:rsidP="00A21844">
      <w:pPr>
        <w:pStyle w:val="Puesto"/>
      </w:pPr>
      <w:r w:rsidRPr="00A21844">
        <w:rPr>
          <w:b/>
        </w:rPr>
        <w:t>Octavo</w:t>
      </w:r>
      <w:r w:rsidRPr="00A21844">
        <w:t>. Para fundar la clasificación de la información se debe señalar el artículo, fracción, inciso, párrafo o numeral de la ley o tratado internacional suscrito por el Estado mexicano que expresamente le otorga el carácter de reservada o confidencial.</w:t>
      </w:r>
    </w:p>
    <w:p w14:paraId="7AD561DF" w14:textId="77777777" w:rsidR="007903CA" w:rsidRPr="00A21844" w:rsidRDefault="007903CA" w:rsidP="00A21844">
      <w:pPr>
        <w:pStyle w:val="Puesto"/>
      </w:pPr>
      <w:r w:rsidRPr="00A21844">
        <w:t>Para motivar la clasificación se deberán señalar las razones o circunstancias especiales que lo llevaron a concluir que el caso particular se ajusta al supuesto previsto por la norma legal invocada como fundamento.</w:t>
      </w:r>
    </w:p>
    <w:p w14:paraId="6718AEF5" w14:textId="77777777" w:rsidR="007903CA" w:rsidRPr="00A21844" w:rsidRDefault="007903CA" w:rsidP="00A21844">
      <w:pPr>
        <w:pStyle w:val="Puesto"/>
      </w:pPr>
      <w:r w:rsidRPr="00A2184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8FCCC17" w14:textId="77777777" w:rsidR="007903CA" w:rsidRPr="00A21844" w:rsidRDefault="007903CA" w:rsidP="00A21844">
      <w:pPr>
        <w:pStyle w:val="Puesto"/>
      </w:pPr>
      <w:r w:rsidRPr="00A21844">
        <w:rPr>
          <w:b/>
        </w:rPr>
        <w:t>Noveno.</w:t>
      </w:r>
      <w:r w:rsidRPr="00A2184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52E5516" w14:textId="77777777" w:rsidR="007903CA" w:rsidRPr="00A21844" w:rsidRDefault="007903CA" w:rsidP="00A21844">
      <w:pPr>
        <w:pStyle w:val="Puesto"/>
      </w:pPr>
      <w:r w:rsidRPr="00A21844">
        <w:rPr>
          <w:b/>
        </w:rPr>
        <w:t>Décimo.</w:t>
      </w:r>
      <w:r w:rsidRPr="00A2184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D8318D0" w14:textId="77777777" w:rsidR="007903CA" w:rsidRPr="00A21844" w:rsidRDefault="007903CA" w:rsidP="00A21844">
      <w:pPr>
        <w:pStyle w:val="Puesto"/>
      </w:pPr>
      <w:r w:rsidRPr="00A21844">
        <w:t>En ausencia de los titulares de las áreas, la información será clasificada o desclasificada por la persona que lo supla, en términos de la normativa que rija la actuación del sujeto obligado.</w:t>
      </w:r>
    </w:p>
    <w:p w14:paraId="595BCC03" w14:textId="77777777" w:rsidR="007903CA" w:rsidRPr="00A21844" w:rsidRDefault="007903CA" w:rsidP="00A21844">
      <w:pPr>
        <w:pStyle w:val="Puesto"/>
      </w:pPr>
      <w:r w:rsidRPr="00A21844">
        <w:rPr>
          <w:b/>
        </w:rPr>
        <w:t xml:space="preserve">Décimo primero. </w:t>
      </w:r>
      <w:r w:rsidRPr="00A21844">
        <w:t>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1AE7106" w14:textId="77777777" w:rsidR="007903CA" w:rsidRPr="00A21844" w:rsidRDefault="007903CA" w:rsidP="00A21844">
      <w:pPr>
        <w:pStyle w:val="Puesto"/>
      </w:pPr>
      <w:r w:rsidRPr="00A21844">
        <w:t>(Énfasis Añadido)</w:t>
      </w:r>
    </w:p>
    <w:p w14:paraId="0C32B62B" w14:textId="77777777" w:rsidR="007903CA" w:rsidRPr="00A21844" w:rsidRDefault="007903CA" w:rsidP="00A21844">
      <w:pPr>
        <w:ind w:left="851" w:right="902"/>
        <w:rPr>
          <w:rFonts w:cs="Arial"/>
          <w:szCs w:val="22"/>
        </w:rPr>
      </w:pPr>
    </w:p>
    <w:p w14:paraId="108351F0" w14:textId="77777777" w:rsidR="007903CA" w:rsidRPr="00A21844" w:rsidRDefault="007903CA" w:rsidP="00A21844">
      <w:pPr>
        <w:rPr>
          <w:rFonts w:cs="Arial"/>
        </w:rPr>
      </w:pPr>
      <w:r w:rsidRPr="00A21844">
        <w:rPr>
          <w:rFonts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EB0E26" w14:textId="77777777" w:rsidR="007903CA" w:rsidRPr="00A21844" w:rsidRDefault="007903CA" w:rsidP="00A21844">
      <w:pPr>
        <w:ind w:right="-93"/>
        <w:rPr>
          <w:rFonts w:cs="Arial"/>
        </w:rPr>
      </w:pPr>
    </w:p>
    <w:p w14:paraId="0C8A96DC" w14:textId="77777777" w:rsidR="007903CA" w:rsidRPr="00A21844" w:rsidRDefault="007903CA" w:rsidP="00A21844">
      <w:pPr>
        <w:rPr>
          <w:rFonts w:eastAsia="Palatino Linotype" w:cs="Palatino Linotype"/>
        </w:rPr>
      </w:pPr>
      <w:r w:rsidRPr="00A21844">
        <w:rPr>
          <w:rFonts w:eastAsia="Palatino Linotype" w:cs="Palatino Linotype"/>
        </w:rPr>
        <w:t xml:space="preserve">No escapa de la óptica de este Instituto que dentro de la información que se ordena se puede encontrar información relativa a los elementos operativos del cuerpo de seguridad pública, los cuales es criterio del pleno de este Organismo que el nombre de estos servidores públicos encuadra en una excepción y por tanto debe ser objeto de un proceso de </w:t>
      </w:r>
      <w:r w:rsidRPr="00A21844">
        <w:rPr>
          <w:rFonts w:eastAsia="Palatino Linotype" w:cs="Palatino Linotype"/>
          <w:b/>
          <w:u w:val="single"/>
        </w:rPr>
        <w:t>reserva de la información</w:t>
      </w:r>
      <w:r w:rsidRPr="00A21844">
        <w:rPr>
          <w:rFonts w:eastAsia="Palatino Linotype" w:cs="Palatino Linotype"/>
        </w:rPr>
        <w:t>, para no hacer identificable al titular de tal dato personal.</w:t>
      </w:r>
    </w:p>
    <w:p w14:paraId="3BCA1B3D" w14:textId="77777777" w:rsidR="007903CA" w:rsidRPr="00A21844" w:rsidRDefault="007903CA" w:rsidP="00A21844">
      <w:pPr>
        <w:ind w:right="-93"/>
        <w:rPr>
          <w:rFonts w:cs="Arial"/>
        </w:rPr>
      </w:pPr>
    </w:p>
    <w:p w14:paraId="5383B82B" w14:textId="77777777" w:rsidR="007903CA" w:rsidRPr="00A21844" w:rsidRDefault="007903CA" w:rsidP="00A21844">
      <w:pPr>
        <w:rPr>
          <w:rFonts w:cs="Arial"/>
        </w:rPr>
      </w:pPr>
      <w:r w:rsidRPr="00A21844">
        <w:rPr>
          <w:rFonts w:cs="Arial"/>
        </w:rPr>
        <w:t>Ello, conforme al propio concepto de versión pública contenido en el artículo 3, fracción XXIV, de la multicitada Ley se define como:</w:t>
      </w:r>
    </w:p>
    <w:p w14:paraId="7F3D2E9F" w14:textId="77777777" w:rsidR="007903CA" w:rsidRPr="00A21844" w:rsidRDefault="007903CA" w:rsidP="00A21844">
      <w:pPr>
        <w:rPr>
          <w:rFonts w:cs="Arial"/>
        </w:rPr>
      </w:pPr>
    </w:p>
    <w:p w14:paraId="69328444" w14:textId="77777777" w:rsidR="007903CA" w:rsidRPr="00A21844" w:rsidRDefault="007903CA" w:rsidP="00A21844">
      <w:pPr>
        <w:spacing w:line="240" w:lineRule="auto"/>
        <w:ind w:left="851" w:right="899"/>
        <w:rPr>
          <w:rFonts w:cs="Arial"/>
          <w:i/>
        </w:rPr>
      </w:pPr>
      <w:r w:rsidRPr="00A21844">
        <w:rPr>
          <w:rFonts w:cs="Arial"/>
          <w:i/>
        </w:rPr>
        <w:t>“</w:t>
      </w:r>
      <w:r w:rsidRPr="00A21844">
        <w:rPr>
          <w:rFonts w:cs="Arial"/>
          <w:b/>
          <w:i/>
        </w:rPr>
        <w:t>XXIV</w:t>
      </w:r>
      <w:r w:rsidRPr="00A21844">
        <w:rPr>
          <w:rFonts w:cs="Arial"/>
          <w:i/>
        </w:rPr>
        <w:t xml:space="preserve">. </w:t>
      </w:r>
      <w:r w:rsidRPr="00A21844">
        <w:rPr>
          <w:rFonts w:cs="Arial"/>
          <w:b/>
          <w:i/>
        </w:rPr>
        <w:t>Información reservada:</w:t>
      </w:r>
      <w:r w:rsidRPr="00A21844">
        <w:rPr>
          <w:rFonts w:cs="Arial"/>
          <w:i/>
        </w:rPr>
        <w:t xml:space="preserve"> La clasificada con este carácter de manera temporal por las disposiciones de esta Ley, cuya divulgación puede causar daño en términos de lo establecido por esta Ley;”</w:t>
      </w:r>
    </w:p>
    <w:p w14:paraId="5209244E" w14:textId="77777777" w:rsidR="007903CA" w:rsidRPr="00A21844" w:rsidRDefault="007903CA" w:rsidP="00A21844">
      <w:pPr>
        <w:rPr>
          <w:rFonts w:cs="Arial"/>
        </w:rPr>
      </w:pPr>
    </w:p>
    <w:p w14:paraId="43C2AAFD" w14:textId="77777777" w:rsidR="007903CA" w:rsidRPr="00A21844" w:rsidRDefault="007903CA" w:rsidP="00A21844">
      <w:pPr>
        <w:rPr>
          <w:rFonts w:cs="Arial"/>
        </w:rPr>
      </w:pPr>
      <w:r w:rsidRPr="00A21844">
        <w:rPr>
          <w:rFonts w:cs="Arial"/>
        </w:rPr>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A21844">
        <w:rPr>
          <w:rFonts w:cs="Arial"/>
          <w:b/>
        </w:rPr>
        <w:t xml:space="preserve">elementos de seguridad pública, la elaboración de versiones públicas pudiera variar, eliminando información adicional, siempre y cuando se </w:t>
      </w:r>
      <w:r w:rsidRPr="00A21844">
        <w:rPr>
          <w:rFonts w:cs="Arial"/>
          <w:b/>
        </w:rPr>
        <w:lastRenderedPageBreak/>
        <w:t>demuestre que pueda poner en riesgo la vida e integridad física con motivo de las funciones de servidores públicos</w:t>
      </w:r>
      <w:r w:rsidRPr="00A21844">
        <w:rPr>
          <w:rFonts w:cs="Arial"/>
        </w:rPr>
        <w:t>.</w:t>
      </w:r>
    </w:p>
    <w:p w14:paraId="1E267FE8" w14:textId="77777777" w:rsidR="007903CA" w:rsidRPr="00A21844" w:rsidRDefault="007903CA" w:rsidP="00A21844">
      <w:pPr>
        <w:rPr>
          <w:rFonts w:cs="Arial"/>
        </w:rPr>
      </w:pPr>
    </w:p>
    <w:p w14:paraId="4605B282" w14:textId="77777777" w:rsidR="007903CA" w:rsidRPr="00A21844" w:rsidRDefault="007903CA" w:rsidP="00A21844">
      <w:pPr>
        <w:rPr>
          <w:rFonts w:cs="Arial"/>
        </w:rPr>
      </w:pPr>
      <w:r w:rsidRPr="00A21844">
        <w:rPr>
          <w:rFonts w:cs="Arial"/>
        </w:rPr>
        <w:t xml:space="preserve">Esto es así, ya que el artículo 81, fracción III, de la Ley de Seguridad del Estado de México, establece lo siguiente: </w:t>
      </w:r>
    </w:p>
    <w:p w14:paraId="639E0D26" w14:textId="77777777" w:rsidR="007903CA" w:rsidRPr="00A21844" w:rsidRDefault="007903CA" w:rsidP="00A21844">
      <w:pPr>
        <w:rPr>
          <w:rFonts w:cs="Arial"/>
        </w:rPr>
      </w:pPr>
    </w:p>
    <w:p w14:paraId="416B6889" w14:textId="77777777" w:rsidR="007903CA" w:rsidRPr="00A21844" w:rsidRDefault="007903CA" w:rsidP="00A21844">
      <w:pPr>
        <w:pStyle w:val="Puesto"/>
      </w:pPr>
      <w:r w:rsidRPr="00A21844">
        <w:t>“</w:t>
      </w:r>
      <w:r w:rsidRPr="00A21844">
        <w:rPr>
          <w:b/>
        </w:rPr>
        <w:t>Artículo 81.-</w:t>
      </w:r>
      <w:r w:rsidRPr="00A21844">
        <w:t xml:space="preserve"> </w:t>
      </w:r>
      <w:r w:rsidRPr="00A21844">
        <w:rPr>
          <w:b/>
        </w:rPr>
        <w:t>Toda información para la seguridad pública</w:t>
      </w:r>
      <w:r w:rsidRPr="00A21844">
        <w:t xml:space="preserve"> generada o en poder de Instituciones de Seguridad Pública o de cualquier instancia del Sistema Estatal </w:t>
      </w:r>
      <w:r w:rsidRPr="00A21844">
        <w:rPr>
          <w:u w:val="single"/>
        </w:rPr>
        <w:t>debe</w:t>
      </w:r>
      <w:r w:rsidRPr="00A21844">
        <w:t xml:space="preserve"> registrarse, </w:t>
      </w:r>
      <w:r w:rsidRPr="00A21844">
        <w:rPr>
          <w:u w:val="single"/>
        </w:rPr>
        <w:t>clasificarse</w:t>
      </w:r>
      <w:r w:rsidRPr="00A21844">
        <w:t xml:space="preserve"> y tratarse de conformidad con las disposiciones aplicables. No obstante lo anterior, esta información se considerará reservada en los casos siguientes:</w:t>
      </w:r>
    </w:p>
    <w:p w14:paraId="509621AA" w14:textId="77777777" w:rsidR="007903CA" w:rsidRPr="00A21844" w:rsidRDefault="007903CA" w:rsidP="00A21844">
      <w:pPr>
        <w:pStyle w:val="Puesto"/>
      </w:pPr>
      <w:r w:rsidRPr="00A21844">
        <w:t>(…)</w:t>
      </w:r>
    </w:p>
    <w:p w14:paraId="2A96650E" w14:textId="77777777" w:rsidR="007903CA" w:rsidRPr="00A21844" w:rsidRDefault="007903CA" w:rsidP="00A21844">
      <w:pPr>
        <w:pStyle w:val="Puesto"/>
        <w:rPr>
          <w:b/>
        </w:rPr>
      </w:pPr>
      <w:r w:rsidRPr="00A21844">
        <w:rPr>
          <w:b/>
        </w:rPr>
        <w:t>III</w:t>
      </w:r>
      <w:r w:rsidRPr="00A21844">
        <w:t xml:space="preserve">. </w:t>
      </w:r>
      <w:r w:rsidRPr="00A21844">
        <w:rPr>
          <w:b/>
        </w:rPr>
        <w:t>La relativa a servidores públicos miembros de las instituciones de seguridad pública, cuya revelación pueda poner en riesgo su vida e integridad física con motivo de sus funciones;”</w:t>
      </w:r>
    </w:p>
    <w:p w14:paraId="66AF8BF2" w14:textId="77777777" w:rsidR="007903CA" w:rsidRPr="00A21844" w:rsidRDefault="007903CA" w:rsidP="00A21844">
      <w:pPr>
        <w:rPr>
          <w:rFonts w:cs="Arial"/>
        </w:rPr>
      </w:pPr>
    </w:p>
    <w:p w14:paraId="7798B627" w14:textId="77777777" w:rsidR="007903CA" w:rsidRPr="00A21844" w:rsidRDefault="007903CA" w:rsidP="00A21844">
      <w:pPr>
        <w:rPr>
          <w:rFonts w:cs="Arial"/>
        </w:rPr>
      </w:pPr>
      <w:r w:rsidRPr="00A21844">
        <w:rPr>
          <w:rFonts w:cs="Arial"/>
        </w:rPr>
        <w:t xml:space="preserve">Por tanto, </w:t>
      </w:r>
      <w:r w:rsidRPr="00A21844">
        <w:rPr>
          <w:rFonts w:cs="Arial"/>
          <w:b/>
        </w:rPr>
        <w:t>EL SUJETO OBLIGADO</w:t>
      </w:r>
      <w:r w:rsidRPr="00A21844">
        <w:rPr>
          <w:rFonts w:cs="Arial"/>
        </w:rPr>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3890DDF2" w14:textId="77777777" w:rsidR="007903CA" w:rsidRPr="00A21844" w:rsidRDefault="007903CA" w:rsidP="00A21844">
      <w:pPr>
        <w:rPr>
          <w:rFonts w:cs="Arial"/>
        </w:rPr>
      </w:pPr>
    </w:p>
    <w:p w14:paraId="289F566C" w14:textId="77777777" w:rsidR="007903CA" w:rsidRPr="00A21844" w:rsidRDefault="007903CA" w:rsidP="00A21844">
      <w:pPr>
        <w:rPr>
          <w:rFonts w:cs="Arial"/>
        </w:rPr>
      </w:pPr>
      <w:r w:rsidRPr="00A21844">
        <w:rPr>
          <w:rFonts w:cs="Arial"/>
        </w:rPr>
        <w:t xml:space="preserve">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w:t>
      </w:r>
      <w:r w:rsidRPr="00A21844">
        <w:rPr>
          <w:rFonts w:cs="Arial"/>
        </w:rPr>
        <w:lastRenderedPageBreak/>
        <w:t>de reserva, bastaría con que fuera testado el nombre del servidor o servidores públicos, con el objeto de que no se haga identificable al titular, y por tanto, se evite poner en riesgo la vida e integridad física con motivo de sus funciones.</w:t>
      </w:r>
    </w:p>
    <w:p w14:paraId="03C327FB" w14:textId="77777777" w:rsidR="007903CA" w:rsidRPr="00A21844" w:rsidRDefault="007903CA" w:rsidP="00A21844">
      <w:pPr>
        <w:rPr>
          <w:rFonts w:cs="Arial"/>
        </w:rPr>
      </w:pPr>
    </w:p>
    <w:p w14:paraId="70E18B3E" w14:textId="77777777" w:rsidR="007903CA" w:rsidRPr="00A21844" w:rsidRDefault="007903CA" w:rsidP="00A21844">
      <w:pPr>
        <w:rPr>
          <w:rFonts w:cs="Arial"/>
        </w:rPr>
      </w:pPr>
      <w:r w:rsidRPr="00A21844">
        <w:rPr>
          <w:rFonts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17A7B92B" w14:textId="77777777" w:rsidR="007903CA" w:rsidRPr="00A21844" w:rsidRDefault="007903CA" w:rsidP="00A21844">
      <w:pPr>
        <w:rPr>
          <w:rFonts w:cs="Arial"/>
        </w:rPr>
      </w:pPr>
    </w:p>
    <w:p w14:paraId="187772FA" w14:textId="77777777" w:rsidR="007903CA" w:rsidRPr="00A21844" w:rsidRDefault="007903CA" w:rsidP="00A21844">
      <w:pPr>
        <w:rPr>
          <w:rFonts w:cs="Arial"/>
        </w:rPr>
      </w:pPr>
      <w:r w:rsidRPr="00A21844">
        <w:rPr>
          <w:rFonts w:cs="Arial"/>
        </w:rPr>
        <w:t>Resulta alusivo por analogía el criterio 06-09 emitido por el entonces Instituto Federal de Acceso a la Información (IFAI), ahora Instituto Nacional de Transparencia, Acceso a la Información y Protección de Datos Personales (INAI) que a la letra dice:</w:t>
      </w:r>
    </w:p>
    <w:p w14:paraId="398297D2" w14:textId="77777777" w:rsidR="007903CA" w:rsidRPr="00A21844" w:rsidRDefault="007903CA" w:rsidP="00A21844">
      <w:pPr>
        <w:rPr>
          <w:rFonts w:cs="Arial"/>
        </w:rPr>
      </w:pPr>
    </w:p>
    <w:p w14:paraId="62071333" w14:textId="77777777" w:rsidR="007903CA" w:rsidRPr="00A21844" w:rsidRDefault="007903CA" w:rsidP="00A21844">
      <w:pPr>
        <w:pStyle w:val="Puesto"/>
      </w:pPr>
      <w:r w:rsidRPr="00A21844">
        <w:t>“</w:t>
      </w:r>
      <w:r w:rsidRPr="00A21844">
        <w:rPr>
          <w:b/>
        </w:rPr>
        <w:t>Nombres de servidores públicos dedicados a actividades en materia de seguridad, por excepción pueden considerarse información reservada</w:t>
      </w:r>
      <w:r w:rsidRPr="00A21844">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w:t>
      </w:r>
      <w:r w:rsidRPr="00A21844">
        <w:lastRenderedPageBreak/>
        <w:t>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4788968" w14:textId="77777777" w:rsidR="007903CA" w:rsidRPr="00A21844" w:rsidRDefault="007903CA" w:rsidP="00A21844">
      <w:pPr>
        <w:ind w:right="-93"/>
        <w:rPr>
          <w:rFonts w:cs="Arial"/>
        </w:rPr>
      </w:pPr>
    </w:p>
    <w:p w14:paraId="5F3C3A9D" w14:textId="77777777" w:rsidR="007903CA" w:rsidRPr="00A21844" w:rsidRDefault="007903CA" w:rsidP="00A21844">
      <w:pPr>
        <w:ind w:right="-93"/>
        <w:rPr>
          <w:rFonts w:cs="Arial"/>
          <w:bCs/>
        </w:rPr>
      </w:pPr>
      <w:r w:rsidRPr="00A21844">
        <w:rPr>
          <w:rFonts w:cs="Arial"/>
          <w:bC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24A17F17" w14:textId="77777777" w:rsidR="007903CA" w:rsidRPr="00A21844" w:rsidRDefault="007903CA" w:rsidP="00A21844">
      <w:pPr>
        <w:ind w:right="-93"/>
        <w:rPr>
          <w:rFonts w:cs="Arial"/>
          <w:bCs/>
        </w:rPr>
      </w:pPr>
    </w:p>
    <w:p w14:paraId="629557F7" w14:textId="77777777" w:rsidR="007903CA" w:rsidRPr="00A21844" w:rsidRDefault="007903CA" w:rsidP="00A21844">
      <w:pPr>
        <w:ind w:right="-93"/>
        <w:rPr>
          <w:rFonts w:cs="Arial"/>
          <w:bCs/>
        </w:rPr>
      </w:pPr>
      <w:r w:rsidRPr="00A21844">
        <w:rPr>
          <w:rFonts w:cs="Arial"/>
          <w:bCs/>
        </w:rPr>
        <w:t xml:space="preserve">En ese orden de ideas, si bien por regla general los nombres de los trabajadores gubernamentales son información pública de oficio, existe una excepción relativa a </w:t>
      </w:r>
      <w:r w:rsidRPr="00A21844">
        <w:rPr>
          <w:rFonts w:cs="Arial"/>
          <w:b/>
          <w:bCs/>
        </w:rPr>
        <w:t>aquellos que realicen actividades operativas en materia de seguridad,</w:t>
      </w:r>
      <w:r w:rsidRPr="00A21844">
        <w:rPr>
          <w:rFonts w:cs="Arial"/>
          <w:bCs/>
        </w:rPr>
        <w:t xml:space="preserve"> como es el caso de los elementos operativos y la policía municipal.</w:t>
      </w:r>
    </w:p>
    <w:p w14:paraId="165C8AEE" w14:textId="77777777" w:rsidR="007903CA" w:rsidRPr="00A21844" w:rsidRDefault="007903CA" w:rsidP="00A21844">
      <w:pPr>
        <w:ind w:right="-93"/>
        <w:rPr>
          <w:rFonts w:cs="Arial"/>
          <w:bCs/>
        </w:rPr>
      </w:pPr>
    </w:p>
    <w:p w14:paraId="774A8B06" w14:textId="77777777" w:rsidR="007903CA" w:rsidRPr="00A21844" w:rsidRDefault="007903CA" w:rsidP="00A21844">
      <w:pPr>
        <w:ind w:right="-93"/>
        <w:rPr>
          <w:rFonts w:cs="Arial"/>
          <w:bCs/>
        </w:rPr>
      </w:pPr>
      <w:r w:rsidRPr="00A21844">
        <w:rPr>
          <w:rFonts w:cs="Arial"/>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01C458B9" w14:textId="77777777" w:rsidR="007903CA" w:rsidRPr="00A21844" w:rsidRDefault="007903CA" w:rsidP="00A21844">
      <w:pPr>
        <w:ind w:right="-93"/>
        <w:rPr>
          <w:rFonts w:cs="Arial"/>
          <w:bCs/>
        </w:rPr>
      </w:pPr>
    </w:p>
    <w:p w14:paraId="648C6847" w14:textId="77777777" w:rsidR="007903CA" w:rsidRPr="00A21844" w:rsidRDefault="007903CA" w:rsidP="00A21844">
      <w:pPr>
        <w:ind w:right="-93"/>
        <w:rPr>
          <w:rFonts w:cs="Arial"/>
          <w:bCs/>
        </w:rPr>
      </w:pPr>
      <w:r w:rsidRPr="00A21844">
        <w:rPr>
          <w:rFonts w:cs="Arial"/>
          <w:bCs/>
        </w:rPr>
        <w:lastRenderedPageBreak/>
        <w:t>En ese contexto, el artículo 6, fracciones XI y XII de dicho ordenamiento jurídico, establece los siguientes conceptos:</w:t>
      </w:r>
    </w:p>
    <w:p w14:paraId="7989590A" w14:textId="77777777" w:rsidR="007903CA" w:rsidRPr="00A21844" w:rsidRDefault="007903CA" w:rsidP="00A21844">
      <w:pPr>
        <w:ind w:right="-93"/>
        <w:rPr>
          <w:rFonts w:cs="Arial"/>
          <w:bCs/>
        </w:rPr>
      </w:pPr>
    </w:p>
    <w:p w14:paraId="2529BF08" w14:textId="77777777" w:rsidR="007903CA" w:rsidRPr="00A21844" w:rsidRDefault="007903CA" w:rsidP="00A21844">
      <w:pPr>
        <w:numPr>
          <w:ilvl w:val="0"/>
          <w:numId w:val="6"/>
        </w:numPr>
        <w:ind w:right="-93"/>
        <w:rPr>
          <w:rFonts w:cs="Arial"/>
          <w:b/>
          <w:bCs/>
        </w:rPr>
      </w:pPr>
      <w:r w:rsidRPr="00A21844">
        <w:rPr>
          <w:rFonts w:cs="Arial"/>
          <w:b/>
          <w:bCs/>
        </w:rPr>
        <w:t xml:space="preserve">Instituciones Policiales: </w:t>
      </w:r>
      <w:r w:rsidRPr="00A21844">
        <w:rPr>
          <w:rFonts w:cs="Arial"/>
          <w:bCs/>
        </w:rPr>
        <w:t xml:space="preserve">Son los cuerpos de policía, de vigilancia y custodia de los establecimientos penitenciarios, detención preventiva, centros de arraigo y en general, </w:t>
      </w:r>
      <w:r w:rsidRPr="00A21844">
        <w:rPr>
          <w:rFonts w:cs="Arial"/>
          <w:b/>
          <w:bCs/>
        </w:rPr>
        <w:t>todas las dependencias encargadas de la seguridad pública a nivel</w:t>
      </w:r>
      <w:r w:rsidRPr="00A21844">
        <w:rPr>
          <w:rFonts w:cs="Arial"/>
          <w:bCs/>
        </w:rPr>
        <w:t xml:space="preserve"> estatal y </w:t>
      </w:r>
      <w:r w:rsidRPr="00A21844">
        <w:rPr>
          <w:rFonts w:cs="Arial"/>
          <w:b/>
          <w:bCs/>
        </w:rPr>
        <w:t>municipal.</w:t>
      </w:r>
    </w:p>
    <w:p w14:paraId="4D926D0C" w14:textId="77777777" w:rsidR="007903CA" w:rsidRPr="00A21844" w:rsidRDefault="007903CA" w:rsidP="00A21844">
      <w:pPr>
        <w:numPr>
          <w:ilvl w:val="0"/>
          <w:numId w:val="6"/>
        </w:numPr>
        <w:ind w:right="-93"/>
        <w:rPr>
          <w:rFonts w:cs="Arial"/>
          <w:b/>
          <w:bCs/>
        </w:rPr>
      </w:pPr>
      <w:r w:rsidRPr="00A21844">
        <w:rPr>
          <w:rFonts w:cs="Arial"/>
          <w:b/>
          <w:bCs/>
        </w:rPr>
        <w:t xml:space="preserve">Instituciones de Seguridad Pública: </w:t>
      </w:r>
      <w:r w:rsidRPr="00A21844">
        <w:rPr>
          <w:rFonts w:cs="Arial"/>
          <w:bCs/>
        </w:rPr>
        <w:t xml:space="preserve">Instituciones Policiales, Procuración de Justicia, Sistema Penitenciario y </w:t>
      </w:r>
      <w:r w:rsidRPr="00A21844">
        <w:rPr>
          <w:rFonts w:cs="Arial"/>
          <w:b/>
          <w:bCs/>
        </w:rPr>
        <w:t xml:space="preserve">dependencias encargadas de la seguridad pública a nivel </w:t>
      </w:r>
      <w:r w:rsidRPr="00A21844">
        <w:rPr>
          <w:rFonts w:cs="Arial"/>
          <w:bCs/>
        </w:rPr>
        <w:t xml:space="preserve">estatal y </w:t>
      </w:r>
      <w:r w:rsidRPr="00A21844">
        <w:rPr>
          <w:rFonts w:cs="Arial"/>
          <w:b/>
          <w:bCs/>
        </w:rPr>
        <w:t>municipal.</w:t>
      </w:r>
    </w:p>
    <w:p w14:paraId="056E48B8" w14:textId="77777777" w:rsidR="007903CA" w:rsidRPr="00A21844" w:rsidRDefault="007903CA" w:rsidP="00A21844">
      <w:pPr>
        <w:ind w:right="-93"/>
        <w:rPr>
          <w:rFonts w:cs="Arial"/>
          <w:b/>
          <w:bCs/>
        </w:rPr>
      </w:pPr>
    </w:p>
    <w:p w14:paraId="72E868C6" w14:textId="77777777" w:rsidR="007903CA" w:rsidRPr="00A21844" w:rsidRDefault="007903CA" w:rsidP="00A21844">
      <w:pPr>
        <w:ind w:right="-93"/>
        <w:rPr>
          <w:rFonts w:cs="Arial"/>
          <w:bCs/>
        </w:rPr>
      </w:pPr>
      <w:r w:rsidRPr="00A21844">
        <w:rPr>
          <w:rFonts w:cs="Arial"/>
          <w:iCs/>
          <w:lang w:val="es-ES"/>
        </w:rPr>
        <w:t>Conforme a lo anterior</w:t>
      </w:r>
      <w:r w:rsidRPr="00A21844">
        <w:rPr>
          <w:rFonts w:cs="Arial"/>
          <w:bCs/>
        </w:rPr>
        <w:t xml:space="preserve">, se puede deducir que el área </w:t>
      </w:r>
      <w:r w:rsidRPr="00A21844">
        <w:rPr>
          <w:rFonts w:cs="Arial"/>
          <w:bCs/>
          <w:lang w:val="es-ES_tradnl"/>
        </w:rPr>
        <w:t>Seguridad Pública</w:t>
      </w:r>
      <w:r w:rsidRPr="00A21844">
        <w:rPr>
          <w:rFonts w:cs="Arial"/>
          <w:bCs/>
        </w:rPr>
        <w:t xml:space="preserve"> tiene como atribución principal, la prevención de delitos </w:t>
      </w:r>
      <w:r w:rsidRPr="00A21844">
        <w:rPr>
          <w:rFonts w:cs="Arial"/>
        </w:rPr>
        <w:t>y proteger a las personas, sus propiedades, posesiones y derechos</w:t>
      </w:r>
    </w:p>
    <w:p w14:paraId="59085B08" w14:textId="77777777" w:rsidR="007903CA" w:rsidRPr="00A21844" w:rsidRDefault="007903CA" w:rsidP="00A21844">
      <w:pPr>
        <w:ind w:right="-93"/>
        <w:rPr>
          <w:rFonts w:cs="Arial"/>
          <w:bCs/>
          <w:lang w:val="es-ES"/>
        </w:rPr>
      </w:pPr>
    </w:p>
    <w:p w14:paraId="30991959" w14:textId="77777777" w:rsidR="007903CA" w:rsidRPr="00A21844" w:rsidRDefault="007903CA" w:rsidP="00A21844">
      <w:pPr>
        <w:ind w:right="-93"/>
        <w:rPr>
          <w:rFonts w:cs="Arial"/>
          <w:bCs/>
        </w:rPr>
      </w:pPr>
      <w:r w:rsidRPr="00A21844">
        <w:rPr>
          <w:rFonts w:cs="Arial"/>
          <w:bCs/>
          <w:lang w:val="es-ES"/>
        </w:rPr>
        <w:t xml:space="preserve">Además, </w:t>
      </w:r>
      <w:r w:rsidRPr="00A21844">
        <w:rPr>
          <w:rFonts w:cs="Arial"/>
          <w:bCs/>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22" w:history="1">
        <w:r w:rsidRPr="00A21844">
          <w:rPr>
            <w:rStyle w:val="Hipervnculo"/>
            <w:rFonts w:eastAsiaTheme="majorEastAsia" w:cs="Arial"/>
            <w:bCs/>
            <w:color w:val="auto"/>
          </w:rPr>
          <w:t>http://secretariadoejecutivo.gob.mx/work/models/SecretariadoEjecutivo/Resource/328/1/images/instructivo_final_edo_fuerza(1).pdf</w:t>
        </w:r>
      </w:hyperlink>
      <w:r w:rsidRPr="00A21844">
        <w:rPr>
          <w:rFonts w:cs="Arial"/>
          <w:bCs/>
        </w:rPr>
        <w:t xml:space="preserve">), establece que los elementos operativos de seguridad pública, son aquellos que desempeñan funciones de campo (policiacas, especializadas o equivalentes y que no </w:t>
      </w:r>
      <w:r w:rsidRPr="00A21844">
        <w:rPr>
          <w:rFonts w:cs="Arial"/>
          <w:b/>
          <w:bCs/>
        </w:rPr>
        <w:t>desempeña funciones de mando</w:t>
      </w:r>
      <w:r w:rsidRPr="00A21844">
        <w:rPr>
          <w:rFonts w:cs="Arial"/>
          <w:bCs/>
        </w:rPr>
        <w:t xml:space="preserve">), entre los cuales, se encuentra </w:t>
      </w:r>
      <w:r w:rsidRPr="00A21844">
        <w:rPr>
          <w:rFonts w:cs="Arial"/>
          <w:b/>
          <w:bCs/>
        </w:rPr>
        <w:t>la Policía Municipal</w:t>
      </w:r>
      <w:r w:rsidRPr="00A21844">
        <w:rPr>
          <w:rFonts w:cs="Arial"/>
          <w:bCs/>
        </w:rPr>
        <w:t>.</w:t>
      </w:r>
    </w:p>
    <w:p w14:paraId="7C6E4432" w14:textId="77777777" w:rsidR="007903CA" w:rsidRPr="00A21844" w:rsidRDefault="007903CA" w:rsidP="00A21844">
      <w:pPr>
        <w:ind w:right="-93"/>
        <w:rPr>
          <w:rFonts w:cs="Arial"/>
          <w:bCs/>
        </w:rPr>
      </w:pPr>
    </w:p>
    <w:p w14:paraId="2D3B1C57" w14:textId="77777777" w:rsidR="007903CA" w:rsidRPr="00A21844" w:rsidRDefault="007903CA" w:rsidP="00A21844">
      <w:pPr>
        <w:ind w:right="-93"/>
        <w:rPr>
          <w:rFonts w:cs="Arial"/>
          <w:bCs/>
        </w:rPr>
      </w:pPr>
      <w:r w:rsidRPr="00A21844">
        <w:rPr>
          <w:rFonts w:cs="Arial"/>
          <w:bCs/>
        </w:rPr>
        <w:t xml:space="preserve">Además, que las Instituciones Policiales, se conforman del personal administrativo, que son los trabajadores de apoyo (chofer, personal de mantenimiento, servicios generales y </w:t>
      </w:r>
      <w:r w:rsidRPr="00A21844">
        <w:rPr>
          <w:rFonts w:cs="Arial"/>
          <w:bCs/>
        </w:rPr>
        <w:lastRenderedPageBreak/>
        <w:t>área secretaria); así como, el personal de mando (alto, medio y superior), que es aquel que realiza funciones de dirección, coordinación y supervisión, por lo cual, corresponde a aquel que tenga trabajadores a su cargo.</w:t>
      </w:r>
    </w:p>
    <w:p w14:paraId="4FBAF7EB" w14:textId="77777777" w:rsidR="007903CA" w:rsidRPr="00A21844" w:rsidRDefault="007903CA" w:rsidP="00A21844">
      <w:pPr>
        <w:ind w:right="-93"/>
        <w:rPr>
          <w:rFonts w:cs="Arial"/>
        </w:rPr>
      </w:pPr>
    </w:p>
    <w:p w14:paraId="52C5C2B2" w14:textId="77777777" w:rsidR="007903CA" w:rsidRPr="00A21844" w:rsidRDefault="007903CA" w:rsidP="00A21844">
      <w:pPr>
        <w:ind w:right="-93"/>
        <w:rPr>
          <w:rFonts w:cs="Arial"/>
          <w:bCs/>
        </w:rPr>
      </w:pPr>
      <w:r w:rsidRPr="00A21844">
        <w:rPr>
          <w:rFonts w:cs="Arial"/>
          <w:bC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3FAB146A" w14:textId="77777777" w:rsidR="008038A2" w:rsidRPr="00A21844" w:rsidRDefault="008038A2" w:rsidP="00A21844">
      <w:pPr>
        <w:ind w:right="-93"/>
        <w:rPr>
          <w:rFonts w:cs="Arial"/>
          <w:bCs/>
        </w:rPr>
      </w:pPr>
    </w:p>
    <w:p w14:paraId="10413929" w14:textId="77777777" w:rsidR="007903CA" w:rsidRPr="00A21844" w:rsidRDefault="007903CA" w:rsidP="00A21844">
      <w:pPr>
        <w:autoSpaceDE w:val="0"/>
        <w:autoSpaceDN w:val="0"/>
        <w:adjustRightInd w:val="0"/>
        <w:ind w:right="-91"/>
        <w:rPr>
          <w:rFonts w:cs="Arial"/>
          <w:lang w:eastAsia="es-CO"/>
        </w:rPr>
      </w:pPr>
      <w:r w:rsidRPr="00A21844">
        <w:rPr>
          <w:rFonts w:cs="Arial"/>
        </w:rPr>
        <w:t xml:space="preserve">Consecuentemente, se destaca que la versión pública que elabore </w:t>
      </w:r>
      <w:r w:rsidRPr="00A21844">
        <w:rPr>
          <w:rFonts w:cs="Arial"/>
          <w:b/>
        </w:rPr>
        <w:t>EL SUJETO OBLIGADO</w:t>
      </w:r>
      <w:r w:rsidRPr="00A21844">
        <w:rPr>
          <w:rFonts w:cs="Arial"/>
        </w:rPr>
        <w:t xml:space="preserve"> debe cumplir con las formalidades exigidas en la Ley, por lo que para tal efecto emitirá el </w:t>
      </w:r>
      <w:r w:rsidRPr="00A21844">
        <w:rPr>
          <w:rFonts w:cs="Arial"/>
          <w:b/>
        </w:rPr>
        <w:t>Acuerdo del Comité de Transparencia</w:t>
      </w:r>
      <w:r w:rsidRPr="00A21844">
        <w:rPr>
          <w:rFonts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21844">
        <w:rPr>
          <w:rFonts w:cs="Arial"/>
          <w:lang w:eastAsia="es-CO"/>
        </w:rPr>
        <w:t xml:space="preserve">,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w:t>
      </w:r>
      <w:r w:rsidRPr="00A21844">
        <w:rPr>
          <w:rFonts w:cs="Arial"/>
          <w:lang w:eastAsia="es-CO"/>
        </w:rPr>
        <w:lastRenderedPageBreak/>
        <w:t>respectiva, es decir, si no se exponen de manera puntual las razones de ello se estaría violentando desde un inicio el derecho de acceso a la información del solicitante.</w:t>
      </w:r>
    </w:p>
    <w:p w14:paraId="313A9EE8" w14:textId="77777777" w:rsidR="007903CA" w:rsidRPr="00A21844" w:rsidRDefault="007903CA" w:rsidP="00A21844"/>
    <w:p w14:paraId="30EEE8EC" w14:textId="77777777" w:rsidR="007903CA" w:rsidRPr="00A21844" w:rsidRDefault="007903CA" w:rsidP="00A21844">
      <w:pPr>
        <w:pStyle w:val="Ttulo3"/>
      </w:pPr>
      <w:bookmarkStart w:id="30" w:name="_Toc172205021"/>
      <w:r w:rsidRPr="00A21844">
        <w:t>e) Conclusión</w:t>
      </w:r>
      <w:bookmarkEnd w:id="30"/>
    </w:p>
    <w:p w14:paraId="586A79E1" w14:textId="77777777" w:rsidR="007903CA" w:rsidRPr="00A21844" w:rsidRDefault="007903CA" w:rsidP="00A21844">
      <w:pPr>
        <w:widowControl w:val="0"/>
        <w:tabs>
          <w:tab w:val="left" w:pos="1701"/>
          <w:tab w:val="left" w:pos="1843"/>
        </w:tabs>
        <w:rPr>
          <w:rFonts w:eastAsia="Palatino Linotype" w:cs="Palatino Linotype"/>
        </w:rPr>
      </w:pPr>
      <w:r w:rsidRPr="00A21844">
        <w:rPr>
          <w:rFonts w:eastAsia="Palatino Linotype" w:cs="Palatino Linotype"/>
        </w:rPr>
        <w:t xml:space="preserve">En razón de lo anteriormente expuesto, este Instituto estima que las razones o motivos de inconformidad hechos valer por </w:t>
      </w:r>
      <w:r w:rsidRPr="00A21844">
        <w:rPr>
          <w:rFonts w:eastAsiaTheme="minorHAnsi" w:cs="Tahoma"/>
          <w:b/>
          <w:iCs/>
          <w:szCs w:val="22"/>
          <w:lang w:eastAsia="en-US"/>
        </w:rPr>
        <w:t>LA PARTE RECURRENTE</w:t>
      </w:r>
      <w:r w:rsidRPr="00A21844">
        <w:rPr>
          <w:rFonts w:eastAsiaTheme="minorHAnsi" w:cs="Tahoma"/>
          <w:bCs/>
          <w:iCs/>
          <w:szCs w:val="22"/>
          <w:lang w:eastAsia="en-US"/>
        </w:rPr>
        <w:t xml:space="preserve"> </w:t>
      </w:r>
      <w:r w:rsidRPr="00A21844">
        <w:rPr>
          <w:rFonts w:eastAsia="Palatino Linotype" w:cs="Palatino Linotype"/>
        </w:rPr>
        <w:t xml:space="preserve">devienen </w:t>
      </w:r>
      <w:r w:rsidRPr="00A21844">
        <w:rPr>
          <w:rFonts w:eastAsia="Palatino Linotype" w:cs="Palatino Linotype"/>
          <w:b/>
        </w:rPr>
        <w:t>fundadas</w:t>
      </w:r>
      <w:r w:rsidRPr="00A21844">
        <w:rPr>
          <w:rFonts w:eastAsia="Palatino Linotype" w:cs="Palatino Linotype"/>
        </w:rPr>
        <w:t xml:space="preserve"> y suficientes para </w:t>
      </w:r>
      <w:r w:rsidRPr="00A21844">
        <w:rPr>
          <w:rFonts w:eastAsia="Palatino Linotype" w:cs="Palatino Linotype"/>
          <w:b/>
        </w:rPr>
        <w:t>REVOCAR</w:t>
      </w:r>
      <w:r w:rsidRPr="00A21844">
        <w:rPr>
          <w:rFonts w:eastAsia="Palatino Linotype" w:cs="Palatino Linotype"/>
        </w:rPr>
        <w:t xml:space="preserve"> la respuesta del </w:t>
      </w:r>
      <w:r w:rsidRPr="00A21844">
        <w:rPr>
          <w:rFonts w:eastAsia="Palatino Linotype" w:cs="Palatino Linotype"/>
          <w:b/>
        </w:rPr>
        <w:t>SUJETO OBLIGADO</w:t>
      </w:r>
      <w:r w:rsidRPr="00A21844">
        <w:rPr>
          <w:rFonts w:eastAsia="Palatino Linotype" w:cs="Palatino Linotype"/>
        </w:rPr>
        <w:t xml:space="preserve"> y ordenarle haga entrega de la información descrita en el presente Considerando.</w:t>
      </w:r>
    </w:p>
    <w:p w14:paraId="07D285E8" w14:textId="77777777" w:rsidR="007903CA" w:rsidRPr="00A21844" w:rsidRDefault="007903CA" w:rsidP="00A21844"/>
    <w:p w14:paraId="3267CE9A" w14:textId="77777777" w:rsidR="007903CA" w:rsidRPr="00A21844" w:rsidRDefault="007903CA" w:rsidP="00A21844">
      <w:pPr>
        <w:ind w:right="-93"/>
        <w:rPr>
          <w:rFonts w:cs="Tahoma"/>
          <w:bCs/>
          <w:szCs w:val="22"/>
        </w:rPr>
      </w:pPr>
      <w:bookmarkStart w:id="31" w:name="_Hlk165381027"/>
      <w:r w:rsidRPr="00A2184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000E2B91" w14:textId="77777777" w:rsidR="00824151" w:rsidRPr="00A21844" w:rsidRDefault="00824151" w:rsidP="00A21844"/>
    <w:p w14:paraId="78322734" w14:textId="39F7740C" w:rsidR="007903CA" w:rsidRPr="00AF0DA9" w:rsidRDefault="007903CA" w:rsidP="00AF0DA9">
      <w:pPr>
        <w:pStyle w:val="Ttulo1"/>
      </w:pPr>
      <w:bookmarkStart w:id="32" w:name="_Toc172205022"/>
      <w:r w:rsidRPr="00A21844">
        <w:t>RESUELVE</w:t>
      </w:r>
      <w:bookmarkEnd w:id="32"/>
    </w:p>
    <w:p w14:paraId="1A2BAE28" w14:textId="77777777" w:rsidR="00824151" w:rsidRPr="00A21844" w:rsidRDefault="00824151" w:rsidP="00A21844">
      <w:pPr>
        <w:ind w:right="113"/>
        <w:rPr>
          <w:rFonts w:cs="Arial"/>
          <w:b/>
          <w:szCs w:val="22"/>
        </w:rPr>
      </w:pPr>
    </w:p>
    <w:p w14:paraId="3716E1DD" w14:textId="51D24EE6" w:rsidR="007903CA" w:rsidRPr="00A21844" w:rsidRDefault="007903CA" w:rsidP="00A21844">
      <w:pPr>
        <w:widowControl w:val="0"/>
        <w:rPr>
          <w:rFonts w:eastAsia="Calibri" w:cs="Tahoma"/>
          <w:bCs/>
          <w:szCs w:val="22"/>
          <w:lang w:eastAsia="en-US"/>
        </w:rPr>
      </w:pPr>
      <w:r w:rsidRPr="00A21844">
        <w:rPr>
          <w:b/>
          <w:bCs/>
        </w:rPr>
        <w:t>PRIMERO.</w:t>
      </w:r>
      <w:r w:rsidRPr="00A21844">
        <w:t xml:space="preserve"> </w:t>
      </w:r>
      <w:r w:rsidRPr="00A21844">
        <w:rPr>
          <w:rFonts w:cs="Tahoma"/>
          <w:szCs w:val="22"/>
        </w:rPr>
        <w:t xml:space="preserve">Se </w:t>
      </w:r>
      <w:r w:rsidRPr="00A21844">
        <w:rPr>
          <w:rFonts w:cs="Tahoma"/>
          <w:b/>
          <w:bCs/>
          <w:szCs w:val="22"/>
        </w:rPr>
        <w:t>REVOCA</w:t>
      </w:r>
      <w:r w:rsidRPr="00A21844">
        <w:rPr>
          <w:rFonts w:cs="Tahoma"/>
          <w:szCs w:val="22"/>
        </w:rPr>
        <w:t xml:space="preserve"> la respuesta entregada por el </w:t>
      </w:r>
      <w:r w:rsidRPr="00A21844">
        <w:rPr>
          <w:rFonts w:cs="Tahoma"/>
          <w:b/>
          <w:bCs/>
          <w:szCs w:val="22"/>
        </w:rPr>
        <w:t>SUJETO OBLIGADO</w:t>
      </w:r>
      <w:r w:rsidRPr="00A21844">
        <w:rPr>
          <w:rFonts w:cs="Tahoma"/>
          <w:szCs w:val="22"/>
        </w:rPr>
        <w:t xml:space="preserve"> en la solicitud de información </w:t>
      </w:r>
      <w:r w:rsidR="00C94D58" w:rsidRPr="00A21844">
        <w:rPr>
          <w:rFonts w:eastAsia="Palatino Linotype"/>
          <w:b/>
          <w:szCs w:val="22"/>
        </w:rPr>
        <w:t>00117/CUAUTIT/IP/2024</w:t>
      </w:r>
      <w:r w:rsidRPr="00A21844">
        <w:rPr>
          <w:rFonts w:cs="Tahoma"/>
          <w:bCs/>
          <w:szCs w:val="22"/>
        </w:rPr>
        <w:t xml:space="preserve">, </w:t>
      </w:r>
      <w:r w:rsidRPr="00A21844">
        <w:rPr>
          <w:rFonts w:eastAsia="Calibri" w:cs="Tahoma"/>
          <w:bCs/>
          <w:szCs w:val="22"/>
          <w:lang w:eastAsia="en-US"/>
        </w:rPr>
        <w:t xml:space="preserve">por resultar </w:t>
      </w:r>
      <w:r w:rsidRPr="00A21844">
        <w:rPr>
          <w:rFonts w:eastAsia="Calibri" w:cs="Tahoma"/>
          <w:b/>
          <w:bCs/>
          <w:szCs w:val="22"/>
          <w:lang w:eastAsia="en-US"/>
        </w:rPr>
        <w:t>FUNDADAS</w:t>
      </w:r>
      <w:r w:rsidRPr="00A21844">
        <w:rPr>
          <w:rFonts w:eastAsia="Calibri" w:cs="Tahoma"/>
          <w:bCs/>
          <w:szCs w:val="22"/>
          <w:lang w:eastAsia="en-US"/>
        </w:rPr>
        <w:t xml:space="preserve"> las razones o motivos de inconformidad hechos valer por </w:t>
      </w:r>
      <w:r w:rsidRPr="00A21844">
        <w:rPr>
          <w:rFonts w:eastAsia="Calibri" w:cs="Tahoma"/>
          <w:b/>
          <w:szCs w:val="22"/>
          <w:lang w:eastAsia="en-US"/>
        </w:rPr>
        <w:t>LA PARTE RECURRENTE</w:t>
      </w:r>
      <w:r w:rsidRPr="00A21844">
        <w:rPr>
          <w:rFonts w:eastAsia="Calibri" w:cs="Tahoma"/>
          <w:bCs/>
          <w:szCs w:val="22"/>
          <w:lang w:eastAsia="en-US"/>
        </w:rPr>
        <w:t xml:space="preserve"> en el Recurso de Revisión </w:t>
      </w:r>
      <w:r w:rsidR="00C94D58" w:rsidRPr="00A21844">
        <w:rPr>
          <w:rFonts w:eastAsia="Palatino Linotype"/>
          <w:b/>
          <w:szCs w:val="22"/>
        </w:rPr>
        <w:t>04617/INFOEM/IP/RR/2024</w:t>
      </w:r>
      <w:r w:rsidRPr="00A21844">
        <w:rPr>
          <w:rFonts w:eastAsiaTheme="minorHAnsi" w:cstheme="minorBidi"/>
          <w:szCs w:val="22"/>
          <w:lang w:eastAsia="en-US"/>
        </w:rPr>
        <w:t>,</w:t>
      </w:r>
      <w:r w:rsidRPr="00A21844">
        <w:rPr>
          <w:rFonts w:cs="Tahoma"/>
          <w:b/>
          <w:szCs w:val="22"/>
        </w:rPr>
        <w:t xml:space="preserve"> </w:t>
      </w:r>
      <w:r w:rsidRPr="00A21844">
        <w:rPr>
          <w:rFonts w:eastAsia="Calibri" w:cs="Tahoma"/>
          <w:bCs/>
          <w:szCs w:val="22"/>
          <w:lang w:eastAsia="en-US"/>
        </w:rPr>
        <w:t xml:space="preserve">en términos del considerando </w:t>
      </w:r>
      <w:r w:rsidRPr="00A21844">
        <w:rPr>
          <w:rFonts w:eastAsia="Calibri" w:cs="Tahoma"/>
          <w:b/>
          <w:szCs w:val="22"/>
          <w:lang w:eastAsia="en-US"/>
        </w:rPr>
        <w:t>SEGUNDO</w:t>
      </w:r>
      <w:r w:rsidRPr="00A21844">
        <w:rPr>
          <w:rFonts w:eastAsia="Calibri" w:cs="Tahoma"/>
          <w:bCs/>
          <w:szCs w:val="22"/>
          <w:lang w:eastAsia="en-US"/>
        </w:rPr>
        <w:t xml:space="preserve"> de la presente Resolución.</w:t>
      </w:r>
    </w:p>
    <w:p w14:paraId="03E3AB63" w14:textId="77777777" w:rsidR="007903CA" w:rsidRPr="00A21844" w:rsidRDefault="007903CA" w:rsidP="00A21844">
      <w:pPr>
        <w:rPr>
          <w:rFonts w:eastAsia="Palatino Linotype"/>
          <w:b/>
          <w:szCs w:val="22"/>
        </w:rPr>
      </w:pPr>
    </w:p>
    <w:p w14:paraId="5032AF1C" w14:textId="77777777" w:rsidR="007903CA" w:rsidRPr="00A21844" w:rsidRDefault="007903CA" w:rsidP="00A21844">
      <w:pPr>
        <w:ind w:right="-93"/>
        <w:rPr>
          <w:rFonts w:eastAsia="Calibri" w:cs="Tahoma"/>
          <w:bCs/>
          <w:szCs w:val="22"/>
          <w:lang w:eastAsia="en-US"/>
        </w:rPr>
      </w:pPr>
      <w:r w:rsidRPr="00A21844">
        <w:rPr>
          <w:rFonts w:eastAsia="Calibri" w:cs="Tahoma"/>
          <w:b/>
          <w:bCs/>
          <w:szCs w:val="22"/>
          <w:lang w:eastAsia="en-US"/>
        </w:rPr>
        <w:t>SEGUNDO.</w:t>
      </w:r>
      <w:r w:rsidRPr="00A21844">
        <w:rPr>
          <w:rFonts w:eastAsia="Calibri" w:cs="Tahoma"/>
          <w:szCs w:val="22"/>
          <w:lang w:eastAsia="es-MX"/>
        </w:rPr>
        <w:t xml:space="preserve"> Se </w:t>
      </w:r>
      <w:r w:rsidRPr="00A21844">
        <w:rPr>
          <w:rFonts w:eastAsia="Calibri" w:cs="Tahoma"/>
          <w:b/>
          <w:szCs w:val="22"/>
          <w:lang w:eastAsia="es-MX"/>
        </w:rPr>
        <w:t xml:space="preserve">ORDENA </w:t>
      </w:r>
      <w:r w:rsidRPr="00A21844">
        <w:rPr>
          <w:rFonts w:eastAsia="Calibri" w:cs="Tahoma"/>
          <w:szCs w:val="22"/>
          <w:lang w:eastAsia="es-MX"/>
        </w:rPr>
        <w:t xml:space="preserve">al </w:t>
      </w:r>
      <w:r w:rsidRPr="00A21844">
        <w:rPr>
          <w:rFonts w:eastAsia="Calibri" w:cs="Tahoma"/>
          <w:b/>
          <w:bCs/>
          <w:szCs w:val="22"/>
          <w:lang w:eastAsia="es-MX"/>
        </w:rPr>
        <w:t>SUJETO OBLIGADO</w:t>
      </w:r>
      <w:r w:rsidRPr="00A21844">
        <w:rPr>
          <w:rFonts w:eastAsia="Calibri" w:cs="Tahoma"/>
          <w:szCs w:val="22"/>
          <w:lang w:eastAsia="es-MX"/>
        </w:rPr>
        <w:t xml:space="preserve">, </w:t>
      </w:r>
      <w:r w:rsidRPr="00A21844">
        <w:rPr>
          <w:rFonts w:eastAsia="Calibri" w:cs="Tahoma"/>
          <w:bCs/>
          <w:szCs w:val="22"/>
          <w:lang w:eastAsia="en-US"/>
        </w:rPr>
        <w:t xml:space="preserve">entregue a través del </w:t>
      </w:r>
      <w:r w:rsidRPr="00A21844">
        <w:rPr>
          <w:rFonts w:eastAsia="Calibri" w:cs="Tahoma"/>
          <w:b/>
          <w:bCs/>
          <w:szCs w:val="22"/>
          <w:lang w:eastAsia="en-US"/>
        </w:rPr>
        <w:t>SAIMEX</w:t>
      </w:r>
      <w:r w:rsidRPr="00A21844">
        <w:rPr>
          <w:rFonts w:eastAsia="Calibri" w:cs="Tahoma"/>
          <w:bCs/>
          <w:szCs w:val="22"/>
          <w:lang w:eastAsia="en-US"/>
        </w:rPr>
        <w:t xml:space="preserve">, en </w:t>
      </w:r>
      <w:r w:rsidRPr="00A21844">
        <w:rPr>
          <w:rFonts w:eastAsia="Calibri" w:cs="Tahoma"/>
          <w:b/>
          <w:szCs w:val="22"/>
          <w:lang w:eastAsia="en-US"/>
        </w:rPr>
        <w:t>versión pública</w:t>
      </w:r>
      <w:r w:rsidRPr="00A21844">
        <w:rPr>
          <w:rFonts w:eastAsia="Calibri" w:cs="Tahoma"/>
          <w:bCs/>
          <w:szCs w:val="22"/>
          <w:lang w:eastAsia="en-US"/>
        </w:rPr>
        <w:t>, lo siguiente:</w:t>
      </w:r>
    </w:p>
    <w:p w14:paraId="43749D36" w14:textId="77777777" w:rsidR="007903CA" w:rsidRPr="00A21844" w:rsidRDefault="007903CA" w:rsidP="00A21844">
      <w:pPr>
        <w:rPr>
          <w:rFonts w:eastAsia="Palatino Linotype"/>
          <w:b/>
          <w:szCs w:val="22"/>
        </w:rPr>
      </w:pPr>
    </w:p>
    <w:p w14:paraId="6BC00ADD" w14:textId="0C55E9FA" w:rsidR="007903CA" w:rsidRPr="00A21844" w:rsidRDefault="007903CA" w:rsidP="00A21844">
      <w:pPr>
        <w:pStyle w:val="Puesto"/>
      </w:pPr>
      <w:r w:rsidRPr="00A21844">
        <w:lastRenderedPageBreak/>
        <w:t xml:space="preserve">La conciliación de nómina correspondiente a la primera y segunda quincena de </w:t>
      </w:r>
      <w:r w:rsidR="00C94D58" w:rsidRPr="00A21844">
        <w:t>mayo</w:t>
      </w:r>
      <w:r w:rsidRPr="00A21844">
        <w:t xml:space="preserve"> de 2024. </w:t>
      </w:r>
    </w:p>
    <w:p w14:paraId="416DAFDB" w14:textId="77777777" w:rsidR="007903CA" w:rsidRPr="00A21844" w:rsidRDefault="007903CA" w:rsidP="00A21844">
      <w:pPr>
        <w:pStyle w:val="Puesto"/>
      </w:pPr>
    </w:p>
    <w:p w14:paraId="280029DE" w14:textId="77777777" w:rsidR="007903CA" w:rsidRPr="00A21844" w:rsidRDefault="007903CA" w:rsidP="00A21844">
      <w:pPr>
        <w:ind w:right="-93"/>
        <w:rPr>
          <w:rFonts w:eastAsia="Calibri" w:cs="Tahoma"/>
          <w:bCs/>
          <w:szCs w:val="22"/>
          <w:lang w:eastAsia="en-US"/>
        </w:rPr>
      </w:pPr>
      <w:r w:rsidRPr="00A21844">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953042A" w14:textId="77777777" w:rsidR="007903CA" w:rsidRPr="00A21844" w:rsidRDefault="007903CA" w:rsidP="00A21844">
      <w:pPr>
        <w:pStyle w:val="Prrafodelista"/>
        <w:tabs>
          <w:tab w:val="left" w:pos="4962"/>
        </w:tabs>
        <w:ind w:left="851"/>
        <w:rPr>
          <w:rFonts w:eastAsia="Calibri" w:cs="Tahoma"/>
          <w:iCs/>
          <w:szCs w:val="22"/>
          <w:lang w:eastAsia="es-ES_tradnl"/>
        </w:rPr>
      </w:pPr>
    </w:p>
    <w:p w14:paraId="70D382EA" w14:textId="77777777" w:rsidR="007903CA" w:rsidRPr="00A21844" w:rsidRDefault="007903CA" w:rsidP="00A21844">
      <w:r w:rsidRPr="00A21844">
        <w:rPr>
          <w:b/>
          <w:bCs/>
        </w:rPr>
        <w:t>TERCERO.</w:t>
      </w:r>
      <w:r w:rsidRPr="00A21844">
        <w:t xml:space="preserve"> </w:t>
      </w:r>
      <w:r w:rsidRPr="00A21844">
        <w:rPr>
          <w:rFonts w:eastAsia="Palatino Linotype" w:cs="Palatino Linotype"/>
          <w:b/>
          <w:lang w:eastAsia="es-MX"/>
        </w:rPr>
        <w:t xml:space="preserve">Notifíquese </w:t>
      </w:r>
      <w:r w:rsidRPr="00A21844">
        <w:rPr>
          <w:szCs w:val="17"/>
          <w:lang w:eastAsia="es-ES_tradnl"/>
        </w:rPr>
        <w:t xml:space="preserve">vía </w:t>
      </w:r>
      <w:r w:rsidRPr="00A21844">
        <w:rPr>
          <w:rFonts w:cs="Arial"/>
        </w:rPr>
        <w:t>Sistema de Acceso a la Información Mexiquense (</w:t>
      </w:r>
      <w:r w:rsidRPr="00A21844">
        <w:rPr>
          <w:rFonts w:cs="Arial"/>
          <w:b/>
          <w:bCs/>
        </w:rPr>
        <w:t>SAIMEX)</w:t>
      </w:r>
      <w:r w:rsidRPr="00A21844">
        <w:rPr>
          <w:shd w:val="clear" w:color="auto" w:fill="FFFFFF"/>
        </w:rPr>
        <w:t xml:space="preserve"> la presente resolución al Titular de la Unidad de Transparencia del Sujeto Obligado</w:t>
      </w:r>
      <w:r w:rsidRPr="00A21844">
        <w:t xml:space="preserve">, para que conforme al artículo 186 último párrafo, 189 segundo párrafo y 194 de la Ley de Transparencia y Acceso a la Información Pública del Estado de México y Municipios, dé cumplimiento a lo ordenado dentro del plazo de </w:t>
      </w:r>
      <w:r w:rsidRPr="00A21844">
        <w:rPr>
          <w:b/>
          <w:bCs/>
        </w:rPr>
        <w:t>diez días hábiles</w:t>
      </w:r>
      <w:r w:rsidRPr="00A21844">
        <w:t xml:space="preserve">, e informe a este Instituto en un plazo de </w:t>
      </w:r>
      <w:r w:rsidRPr="00A21844">
        <w:rPr>
          <w:b/>
          <w:bCs/>
        </w:rPr>
        <w:t>tres días hábiles</w:t>
      </w:r>
      <w:r w:rsidRPr="00A21844">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524C08" w14:textId="77777777" w:rsidR="007903CA" w:rsidRPr="00A21844" w:rsidRDefault="007903CA" w:rsidP="00A21844"/>
    <w:p w14:paraId="593BC704" w14:textId="77777777" w:rsidR="007903CA" w:rsidRPr="00A21844" w:rsidRDefault="007903CA" w:rsidP="00A21844">
      <w:r w:rsidRPr="00A21844">
        <w:rPr>
          <w:b/>
          <w:bCs/>
        </w:rPr>
        <w:t>CUARTO.</w:t>
      </w:r>
      <w:r w:rsidRPr="00A21844">
        <w:t xml:space="preserve"> Notifíquese a </w:t>
      </w:r>
      <w:r w:rsidRPr="00A21844">
        <w:rPr>
          <w:b/>
          <w:bCs/>
        </w:rPr>
        <w:t>LA PARTE RECURRENTE</w:t>
      </w:r>
      <w:r w:rsidRPr="00A21844">
        <w:t xml:space="preserve"> la presente resolución vía Sistema de Acceso a la Información Mexiquense (</w:t>
      </w:r>
      <w:r w:rsidRPr="00A21844">
        <w:rPr>
          <w:b/>
        </w:rPr>
        <w:t>SAIMEX</w:t>
      </w:r>
      <w:r w:rsidRPr="00A21844">
        <w:t>).</w:t>
      </w:r>
    </w:p>
    <w:p w14:paraId="654EC4E2" w14:textId="77777777" w:rsidR="007903CA" w:rsidRPr="00A21844" w:rsidRDefault="007903CA" w:rsidP="00A21844"/>
    <w:p w14:paraId="19E4098A" w14:textId="77777777" w:rsidR="007903CA" w:rsidRDefault="007903CA" w:rsidP="00A21844">
      <w:r w:rsidRPr="00A21844">
        <w:rPr>
          <w:b/>
          <w:bCs/>
        </w:rPr>
        <w:t>QUINTO</w:t>
      </w:r>
      <w:r w:rsidRPr="00A21844">
        <w:t xml:space="preserve">. Hágase del conocimiento a </w:t>
      </w:r>
      <w:r w:rsidRPr="00A21844">
        <w:rPr>
          <w:b/>
          <w:bCs/>
        </w:rPr>
        <w:t>LA PARTE RECURRENTE</w:t>
      </w:r>
      <w:r w:rsidRPr="00A2184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3982B69" w14:textId="77777777" w:rsidR="00A21844" w:rsidRPr="00A21844" w:rsidRDefault="00A21844" w:rsidP="00A21844"/>
    <w:p w14:paraId="536E1CE8" w14:textId="77777777" w:rsidR="007903CA" w:rsidRPr="00A21844" w:rsidRDefault="007903CA" w:rsidP="00A21844">
      <w:r w:rsidRPr="00A21844">
        <w:rPr>
          <w:b/>
          <w:bCs/>
        </w:rPr>
        <w:t>SEXTO.</w:t>
      </w:r>
      <w:r w:rsidRPr="00A21844">
        <w:t xml:space="preserve"> De conformidad con el artículo 198 de la Ley de Transparencia y Acceso a la Información Pública del Estado de México y Municipios, el </w:t>
      </w:r>
      <w:r w:rsidRPr="00A21844">
        <w:rPr>
          <w:b/>
          <w:bCs/>
        </w:rPr>
        <w:t>SUJETO OBLIGADO</w:t>
      </w:r>
      <w:r w:rsidRPr="00A21844">
        <w:t xml:space="preserve"> podrá solicitar una ampliación de plazo de manera fundada y motivada, para el cumplimiento de la presente resolución.</w:t>
      </w:r>
    </w:p>
    <w:p w14:paraId="19699524" w14:textId="77777777" w:rsidR="0039267F" w:rsidRPr="00A21844" w:rsidRDefault="0039267F" w:rsidP="00A21844">
      <w:pPr>
        <w:ind w:right="-312"/>
        <w:rPr>
          <w:rFonts w:cs="Arial"/>
          <w:b/>
          <w:szCs w:val="22"/>
        </w:rPr>
      </w:pPr>
    </w:p>
    <w:p w14:paraId="34672737" w14:textId="561614DE" w:rsidR="002E1DEA" w:rsidRPr="00A21844" w:rsidRDefault="002E1DEA" w:rsidP="00A21844">
      <w:pPr>
        <w:rPr>
          <w:rFonts w:eastAsia="Palatino Linotype" w:cs="Palatino Linotype"/>
          <w:szCs w:val="22"/>
        </w:rPr>
      </w:pPr>
      <w:r w:rsidRPr="00A2184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E5E13">
        <w:rPr>
          <w:rFonts w:eastAsia="Palatino Linotype"/>
        </w:rPr>
        <w:t xml:space="preserve">EMITIENDO VOTO PARTICULAR </w:t>
      </w:r>
      <w:r w:rsidRPr="00A21844">
        <w:rPr>
          <w:rFonts w:eastAsia="Palatino Linotype" w:cs="Palatino Linotype"/>
          <w:szCs w:val="22"/>
        </w:rPr>
        <w:t>Y GUADALUPE RAMÍREZ PEÑA</w:t>
      </w:r>
      <w:r w:rsidR="002E5E13">
        <w:rPr>
          <w:rFonts w:eastAsia="Palatino Linotype" w:cs="Palatino Linotype"/>
          <w:szCs w:val="22"/>
        </w:rPr>
        <w:t xml:space="preserve"> </w:t>
      </w:r>
      <w:r w:rsidR="002E5E13">
        <w:rPr>
          <w:rFonts w:eastAsia="Palatino Linotype"/>
        </w:rPr>
        <w:t>EMITIENDO VOTO PARTICULAR</w:t>
      </w:r>
      <w:r w:rsidRPr="00A21844">
        <w:rPr>
          <w:rFonts w:eastAsia="Palatino Linotype" w:cs="Palatino Linotype"/>
          <w:szCs w:val="22"/>
        </w:rPr>
        <w:t>, EN LA TRIGÉSIMA SEGUNDA SESIÓN ORDINARIA, CELEBRADA EL ONCE SEPTIEMBRE DE DOS MIL VEINTICUATRO, ANTE EL SECRETARIO TÉCNICO DEL PLENO, ALEXIS TAPIA RAMÍREZ.</w:t>
      </w:r>
    </w:p>
    <w:p w14:paraId="348A52F9" w14:textId="77777777" w:rsidR="0039267F" w:rsidRPr="00A21844" w:rsidRDefault="0039267F" w:rsidP="00A21844">
      <w:pPr>
        <w:ind w:right="-312"/>
        <w:rPr>
          <w:szCs w:val="22"/>
        </w:rPr>
      </w:pPr>
      <w:r w:rsidRPr="00A21844">
        <w:rPr>
          <w:rFonts w:eastAsia="Palatino Linotype" w:cs="Palatino Linotype"/>
          <w:szCs w:val="22"/>
        </w:rPr>
        <w:t>SCMM/AGZ/DEMF/PAG</w:t>
      </w:r>
    </w:p>
    <w:p w14:paraId="49D72DA3" w14:textId="77777777" w:rsidR="00664420" w:rsidRPr="00A21844" w:rsidRDefault="00664420" w:rsidP="00A21844">
      <w:pPr>
        <w:ind w:right="-312"/>
        <w:rPr>
          <w:rFonts w:eastAsia="Calibri" w:cs="Tahoma"/>
          <w:bCs/>
          <w:szCs w:val="22"/>
          <w:lang w:eastAsia="en-US"/>
        </w:rPr>
      </w:pPr>
    </w:p>
    <w:p w14:paraId="5EFEA0CD" w14:textId="77777777" w:rsidR="00664420" w:rsidRPr="00A21844" w:rsidRDefault="00664420" w:rsidP="00A21844">
      <w:pPr>
        <w:ind w:right="-312"/>
        <w:rPr>
          <w:rFonts w:eastAsia="Calibri" w:cs="Tahoma"/>
          <w:szCs w:val="22"/>
          <w:lang w:val="es-ES"/>
        </w:rPr>
      </w:pPr>
    </w:p>
    <w:p w14:paraId="696BC976" w14:textId="77777777" w:rsidR="00664420" w:rsidRPr="00A21844" w:rsidRDefault="00664420" w:rsidP="00A21844">
      <w:pPr>
        <w:ind w:right="-312"/>
        <w:rPr>
          <w:rFonts w:eastAsia="Calibri" w:cs="Tahoma"/>
          <w:bCs/>
          <w:szCs w:val="22"/>
          <w:lang w:val="es-ES" w:eastAsia="en-US"/>
        </w:rPr>
      </w:pPr>
    </w:p>
    <w:p w14:paraId="671CB0C5" w14:textId="77777777" w:rsidR="00664420" w:rsidRPr="00A21844" w:rsidRDefault="00664420" w:rsidP="00A21844">
      <w:pPr>
        <w:ind w:right="-312"/>
        <w:rPr>
          <w:rFonts w:eastAsia="Calibri" w:cs="Tahoma"/>
          <w:bCs/>
          <w:szCs w:val="22"/>
          <w:lang w:val="es-ES_tradnl" w:eastAsia="en-US"/>
        </w:rPr>
      </w:pPr>
    </w:p>
    <w:p w14:paraId="52B66DE7" w14:textId="77777777" w:rsidR="00664420" w:rsidRPr="00A21844" w:rsidRDefault="00664420" w:rsidP="00A21844">
      <w:pPr>
        <w:ind w:right="-312"/>
        <w:rPr>
          <w:rFonts w:eastAsia="Calibri" w:cs="Tahoma"/>
          <w:bCs/>
          <w:szCs w:val="22"/>
          <w:lang w:val="es-ES_tradnl" w:eastAsia="en-US"/>
        </w:rPr>
      </w:pPr>
    </w:p>
    <w:p w14:paraId="3BA305D1" w14:textId="77777777" w:rsidR="00664420" w:rsidRPr="00A21844" w:rsidRDefault="00664420" w:rsidP="00A21844">
      <w:pPr>
        <w:ind w:right="-312"/>
        <w:rPr>
          <w:rFonts w:eastAsia="Calibri" w:cs="Tahoma"/>
          <w:bCs/>
          <w:szCs w:val="22"/>
          <w:lang w:val="es-ES_tradnl" w:eastAsia="en-US"/>
        </w:rPr>
      </w:pPr>
    </w:p>
    <w:p w14:paraId="78230707" w14:textId="77777777" w:rsidR="00664420" w:rsidRPr="00A21844" w:rsidRDefault="00664420" w:rsidP="00A21844">
      <w:pPr>
        <w:ind w:right="-312"/>
        <w:rPr>
          <w:rFonts w:eastAsia="Calibri" w:cs="Tahoma"/>
          <w:bCs/>
          <w:szCs w:val="22"/>
          <w:lang w:val="es-ES_tradnl" w:eastAsia="en-US"/>
        </w:rPr>
      </w:pPr>
    </w:p>
    <w:p w14:paraId="72D18B28" w14:textId="77777777" w:rsidR="00664420" w:rsidRPr="00A21844" w:rsidRDefault="00664420" w:rsidP="00A21844">
      <w:pPr>
        <w:ind w:right="-312"/>
        <w:rPr>
          <w:rFonts w:eastAsia="Calibri" w:cs="Tahoma"/>
          <w:bCs/>
          <w:szCs w:val="22"/>
          <w:lang w:val="es-ES_tradnl" w:eastAsia="en-US"/>
        </w:rPr>
      </w:pPr>
    </w:p>
    <w:p w14:paraId="6BD461DC" w14:textId="77777777" w:rsidR="00664420" w:rsidRPr="00A21844" w:rsidRDefault="00664420" w:rsidP="00A21844">
      <w:pPr>
        <w:tabs>
          <w:tab w:val="center" w:pos="4568"/>
        </w:tabs>
        <w:ind w:right="-312"/>
        <w:rPr>
          <w:rFonts w:eastAsia="Calibri" w:cs="Tahoma"/>
          <w:bCs/>
          <w:szCs w:val="22"/>
          <w:lang w:eastAsia="en-US"/>
        </w:rPr>
      </w:pPr>
    </w:p>
    <w:p w14:paraId="4DBB1727" w14:textId="77777777" w:rsidR="00664420" w:rsidRPr="00A21844" w:rsidRDefault="00664420" w:rsidP="00A21844">
      <w:pPr>
        <w:tabs>
          <w:tab w:val="center" w:pos="4568"/>
        </w:tabs>
        <w:ind w:right="-312"/>
        <w:rPr>
          <w:rFonts w:eastAsia="Calibri" w:cs="Tahoma"/>
          <w:bCs/>
          <w:szCs w:val="22"/>
          <w:lang w:eastAsia="en-US"/>
        </w:rPr>
      </w:pPr>
    </w:p>
    <w:p w14:paraId="1D74121B" w14:textId="77777777" w:rsidR="00664420" w:rsidRPr="00A21844" w:rsidRDefault="00664420" w:rsidP="00A21844">
      <w:pPr>
        <w:tabs>
          <w:tab w:val="center" w:pos="4568"/>
        </w:tabs>
        <w:ind w:right="-312"/>
        <w:rPr>
          <w:rFonts w:eastAsia="Calibri" w:cs="Tahoma"/>
          <w:bCs/>
          <w:szCs w:val="22"/>
          <w:lang w:eastAsia="en-US"/>
        </w:rPr>
      </w:pPr>
    </w:p>
    <w:p w14:paraId="08E74E9C" w14:textId="77777777" w:rsidR="00664420" w:rsidRPr="00A21844" w:rsidRDefault="00664420" w:rsidP="00A21844">
      <w:pPr>
        <w:tabs>
          <w:tab w:val="center" w:pos="4568"/>
        </w:tabs>
        <w:ind w:right="-312"/>
        <w:rPr>
          <w:rFonts w:eastAsia="Calibri" w:cs="Tahoma"/>
          <w:bCs/>
          <w:szCs w:val="22"/>
          <w:lang w:eastAsia="en-US"/>
        </w:rPr>
      </w:pPr>
    </w:p>
    <w:p w14:paraId="2CBF5E03" w14:textId="77777777" w:rsidR="00664420" w:rsidRPr="00A21844" w:rsidRDefault="00664420" w:rsidP="00A21844">
      <w:pPr>
        <w:tabs>
          <w:tab w:val="center" w:pos="4568"/>
        </w:tabs>
        <w:ind w:right="-312"/>
        <w:rPr>
          <w:rFonts w:eastAsia="Calibri" w:cs="Tahoma"/>
          <w:bCs/>
          <w:szCs w:val="22"/>
          <w:lang w:eastAsia="en-US"/>
        </w:rPr>
      </w:pPr>
    </w:p>
    <w:p w14:paraId="44865A6D" w14:textId="77777777" w:rsidR="00664420" w:rsidRPr="00A21844" w:rsidRDefault="00664420" w:rsidP="00A21844">
      <w:pPr>
        <w:tabs>
          <w:tab w:val="center" w:pos="4568"/>
        </w:tabs>
        <w:ind w:right="-312"/>
        <w:rPr>
          <w:rFonts w:eastAsia="Calibri" w:cs="Tahoma"/>
          <w:bCs/>
          <w:szCs w:val="22"/>
          <w:lang w:eastAsia="en-US"/>
        </w:rPr>
      </w:pPr>
    </w:p>
    <w:p w14:paraId="7147F06B" w14:textId="77777777" w:rsidR="00664420" w:rsidRPr="00A21844" w:rsidRDefault="00664420" w:rsidP="00A21844">
      <w:pPr>
        <w:tabs>
          <w:tab w:val="center" w:pos="4568"/>
        </w:tabs>
        <w:ind w:right="-312"/>
        <w:rPr>
          <w:rFonts w:eastAsia="Calibri" w:cs="Tahoma"/>
          <w:bCs/>
          <w:szCs w:val="22"/>
          <w:lang w:eastAsia="en-US"/>
        </w:rPr>
      </w:pPr>
    </w:p>
    <w:p w14:paraId="6FDF3D7E" w14:textId="77777777" w:rsidR="00664420" w:rsidRPr="00A21844" w:rsidRDefault="00664420" w:rsidP="00A21844">
      <w:pPr>
        <w:tabs>
          <w:tab w:val="center" w:pos="4568"/>
        </w:tabs>
        <w:ind w:right="-312"/>
        <w:rPr>
          <w:rFonts w:eastAsia="Calibri" w:cs="Tahoma"/>
          <w:bCs/>
          <w:szCs w:val="22"/>
          <w:lang w:eastAsia="en-US"/>
        </w:rPr>
      </w:pPr>
    </w:p>
    <w:p w14:paraId="6246F818" w14:textId="77777777" w:rsidR="00664420" w:rsidRPr="00A21844" w:rsidRDefault="00664420" w:rsidP="00A21844">
      <w:pPr>
        <w:tabs>
          <w:tab w:val="center" w:pos="4568"/>
        </w:tabs>
        <w:ind w:right="-312"/>
        <w:rPr>
          <w:rFonts w:eastAsia="Calibri" w:cs="Tahoma"/>
          <w:bCs/>
          <w:szCs w:val="22"/>
          <w:lang w:eastAsia="en-US"/>
        </w:rPr>
      </w:pPr>
    </w:p>
    <w:p w14:paraId="57A88B28" w14:textId="77777777" w:rsidR="00664420" w:rsidRPr="00A21844" w:rsidRDefault="00664420" w:rsidP="00A21844">
      <w:pPr>
        <w:tabs>
          <w:tab w:val="center" w:pos="4568"/>
        </w:tabs>
        <w:ind w:right="-312"/>
        <w:rPr>
          <w:rFonts w:eastAsia="Calibri" w:cs="Tahoma"/>
          <w:bCs/>
          <w:szCs w:val="22"/>
          <w:lang w:eastAsia="en-US"/>
        </w:rPr>
      </w:pPr>
    </w:p>
    <w:p w14:paraId="77EF6095" w14:textId="77777777" w:rsidR="00664420" w:rsidRPr="00A21844" w:rsidRDefault="00664420" w:rsidP="00A21844">
      <w:pPr>
        <w:tabs>
          <w:tab w:val="center" w:pos="4568"/>
        </w:tabs>
        <w:ind w:right="-312"/>
        <w:rPr>
          <w:rFonts w:eastAsia="Calibri" w:cs="Tahoma"/>
          <w:bCs/>
          <w:szCs w:val="22"/>
          <w:lang w:eastAsia="en-US"/>
        </w:rPr>
      </w:pPr>
    </w:p>
    <w:p w14:paraId="35593947" w14:textId="77777777" w:rsidR="00664420" w:rsidRPr="00A21844" w:rsidRDefault="00664420" w:rsidP="00A21844">
      <w:pPr>
        <w:tabs>
          <w:tab w:val="center" w:pos="4568"/>
        </w:tabs>
        <w:ind w:right="-312"/>
        <w:rPr>
          <w:rFonts w:eastAsia="Calibri" w:cs="Tahoma"/>
          <w:bCs/>
          <w:szCs w:val="22"/>
          <w:lang w:eastAsia="en-US"/>
        </w:rPr>
      </w:pPr>
    </w:p>
    <w:p w14:paraId="3AF72A17" w14:textId="77777777" w:rsidR="00664420" w:rsidRPr="00A21844" w:rsidRDefault="00664420" w:rsidP="00A21844">
      <w:pPr>
        <w:tabs>
          <w:tab w:val="center" w:pos="4568"/>
        </w:tabs>
        <w:ind w:right="-312"/>
        <w:rPr>
          <w:rFonts w:eastAsia="Calibri" w:cs="Tahoma"/>
          <w:bCs/>
          <w:szCs w:val="22"/>
          <w:lang w:eastAsia="en-US"/>
        </w:rPr>
      </w:pPr>
    </w:p>
    <w:p w14:paraId="37169144" w14:textId="77777777" w:rsidR="00664420" w:rsidRPr="00A21844" w:rsidRDefault="00664420" w:rsidP="00A21844">
      <w:pPr>
        <w:tabs>
          <w:tab w:val="center" w:pos="4568"/>
        </w:tabs>
        <w:ind w:right="-312"/>
        <w:rPr>
          <w:rFonts w:eastAsia="Calibri" w:cs="Tahoma"/>
          <w:bCs/>
          <w:szCs w:val="22"/>
          <w:lang w:eastAsia="en-US"/>
        </w:rPr>
      </w:pPr>
    </w:p>
    <w:p w14:paraId="77CFC088" w14:textId="77777777" w:rsidR="00664420" w:rsidRPr="00A21844" w:rsidRDefault="00664420" w:rsidP="00A21844">
      <w:pPr>
        <w:tabs>
          <w:tab w:val="center" w:pos="4568"/>
        </w:tabs>
        <w:ind w:right="-312"/>
        <w:rPr>
          <w:rFonts w:eastAsia="Calibri" w:cs="Tahoma"/>
          <w:bCs/>
          <w:szCs w:val="22"/>
          <w:lang w:eastAsia="en-US"/>
        </w:rPr>
      </w:pPr>
    </w:p>
    <w:p w14:paraId="781A11A5" w14:textId="77777777" w:rsidR="00664420" w:rsidRPr="00A21844" w:rsidRDefault="00664420" w:rsidP="00A21844">
      <w:pPr>
        <w:tabs>
          <w:tab w:val="center" w:pos="4568"/>
        </w:tabs>
        <w:ind w:right="-312"/>
        <w:rPr>
          <w:rFonts w:eastAsia="Calibri" w:cs="Tahoma"/>
          <w:bCs/>
          <w:szCs w:val="22"/>
          <w:lang w:eastAsia="en-US"/>
        </w:rPr>
      </w:pPr>
    </w:p>
    <w:p w14:paraId="5B4ADFF3" w14:textId="77777777" w:rsidR="00A131AC" w:rsidRPr="00A21844" w:rsidRDefault="00A131AC" w:rsidP="00A21844">
      <w:pPr>
        <w:ind w:right="-312"/>
      </w:pPr>
    </w:p>
    <w:sectPr w:rsidR="00A131AC" w:rsidRPr="00A21844" w:rsidSect="008C6865">
      <w:footerReference w:type="default" r:id="rId23"/>
      <w:pgSz w:w="12240" w:h="15840"/>
      <w:pgMar w:top="2552" w:right="2175"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7F88C" w14:textId="77777777" w:rsidR="00EA6819" w:rsidRDefault="00EA6819" w:rsidP="00664420">
      <w:pPr>
        <w:spacing w:line="240" w:lineRule="auto"/>
      </w:pPr>
      <w:r>
        <w:separator/>
      </w:r>
    </w:p>
  </w:endnote>
  <w:endnote w:type="continuationSeparator" w:id="0">
    <w:p w14:paraId="034C0C9E" w14:textId="77777777" w:rsidR="00EA6819" w:rsidRDefault="00EA681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82F11" w:rsidRDefault="00282F11">
    <w:pPr>
      <w:tabs>
        <w:tab w:val="center" w:pos="4550"/>
        <w:tab w:val="left" w:pos="5818"/>
      </w:tabs>
      <w:ind w:right="260"/>
      <w:jc w:val="right"/>
      <w:rPr>
        <w:color w:val="071320" w:themeColor="text2" w:themeShade="80"/>
        <w:sz w:val="24"/>
        <w:szCs w:val="24"/>
      </w:rPr>
    </w:pPr>
  </w:p>
  <w:p w14:paraId="1BCA7F23" w14:textId="77777777" w:rsidR="00282F11" w:rsidRDefault="00282F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82F11" w:rsidRDefault="00282F1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F2285" w:rsidRPr="002F2285">
      <w:rPr>
        <w:noProof/>
        <w:color w:val="0A1D30" w:themeColor="text2" w:themeShade="BF"/>
        <w:sz w:val="24"/>
        <w:szCs w:val="24"/>
        <w:lang w:val="es-ES"/>
      </w:rPr>
      <w:t>45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F2285" w:rsidRPr="002F2285">
      <w:rPr>
        <w:noProof/>
        <w:color w:val="0A1D30" w:themeColor="text2" w:themeShade="BF"/>
        <w:sz w:val="24"/>
        <w:szCs w:val="24"/>
        <w:lang w:val="es-ES"/>
      </w:rPr>
      <w:t>47</w:t>
    </w:r>
    <w:r>
      <w:rPr>
        <w:color w:val="0A1D30" w:themeColor="text2" w:themeShade="BF"/>
        <w:sz w:val="24"/>
        <w:szCs w:val="24"/>
      </w:rPr>
      <w:fldChar w:fldCharType="end"/>
    </w:r>
  </w:p>
  <w:p w14:paraId="310E15C0" w14:textId="77777777" w:rsidR="00282F11" w:rsidRDefault="00282F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26FE7" w14:textId="77777777" w:rsidR="00EA6819" w:rsidRDefault="00EA6819" w:rsidP="00664420">
      <w:pPr>
        <w:spacing w:line="240" w:lineRule="auto"/>
      </w:pPr>
      <w:r>
        <w:separator/>
      </w:r>
    </w:p>
  </w:footnote>
  <w:footnote w:type="continuationSeparator" w:id="0">
    <w:p w14:paraId="7D7FCBD6" w14:textId="77777777" w:rsidR="00EA6819" w:rsidRDefault="00EA6819" w:rsidP="00664420">
      <w:pPr>
        <w:spacing w:line="240" w:lineRule="auto"/>
      </w:pPr>
      <w:r>
        <w:continuationSeparator/>
      </w:r>
    </w:p>
  </w:footnote>
  <w:footnote w:id="1">
    <w:p w14:paraId="5D1D8C35" w14:textId="464C9BE5" w:rsidR="005B4D73" w:rsidRDefault="005B4D73">
      <w:pPr>
        <w:pStyle w:val="Textonotapie"/>
      </w:pPr>
      <w:r>
        <w:rPr>
          <w:rStyle w:val="Refdenotaalpie"/>
        </w:rPr>
        <w:footnoteRef/>
      </w:r>
      <w:r>
        <w:t xml:space="preserve"> </w:t>
      </w:r>
      <w:r w:rsidR="00D02937" w:rsidRPr="00AB2FE5">
        <w:rPr>
          <w:rFonts w:eastAsia="Batang" w:cs="Tahoma"/>
          <w:i/>
          <w:sz w:val="16"/>
          <w:szCs w:val="22"/>
          <w:lang w:val="es-ES"/>
        </w:rPr>
        <w:t xml:space="preserve">Si bien, se registró </w:t>
      </w:r>
      <w:r w:rsidR="00D02937">
        <w:rPr>
          <w:rFonts w:eastAsia="Batang" w:cs="Tahoma"/>
          <w:i/>
          <w:sz w:val="16"/>
          <w:szCs w:val="22"/>
          <w:lang w:val="es-ES"/>
        </w:rPr>
        <w:t xml:space="preserve">el </w:t>
      </w:r>
      <w:r w:rsidR="00493B85">
        <w:rPr>
          <w:rFonts w:eastAsia="Batang" w:cs="Tahoma"/>
          <w:i/>
          <w:sz w:val="16"/>
          <w:szCs w:val="22"/>
          <w:lang w:val="es-ES"/>
        </w:rPr>
        <w:t>veintiuno de julio</w:t>
      </w:r>
      <w:r w:rsidR="00D02937">
        <w:rPr>
          <w:rFonts w:eastAsia="Batang" w:cs="Tahoma"/>
          <w:i/>
          <w:sz w:val="16"/>
          <w:szCs w:val="22"/>
          <w:lang w:val="es-ES"/>
        </w:rPr>
        <w:t xml:space="preserve"> de dos mil veinticuatro, </w:t>
      </w:r>
      <w:r w:rsidR="00D02937"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49ED48B5" w14:textId="77777777" w:rsidR="007903CA" w:rsidRDefault="007903CA" w:rsidP="007903CA">
      <w:pPr>
        <w:pStyle w:val="Textonotapie"/>
        <w:rPr>
          <w:b/>
          <w:i/>
        </w:rPr>
      </w:pPr>
      <w:r>
        <w:rPr>
          <w:rStyle w:val="Refdenotaalpie"/>
        </w:rPr>
        <w:footnoteRef/>
      </w:r>
      <w:r>
        <w:t xml:space="preserve"> “</w:t>
      </w:r>
      <w:r>
        <w:rPr>
          <w:b/>
          <w:i/>
        </w:rPr>
        <w:t>Código de Procedimientos Administrativos del Estado De México</w:t>
      </w:r>
    </w:p>
    <w:p w14:paraId="2F0B1C33" w14:textId="77777777" w:rsidR="007903CA" w:rsidRDefault="007903CA" w:rsidP="007903CA">
      <w:pPr>
        <w:pStyle w:val="Textonotapie"/>
        <w:rPr>
          <w:i/>
          <w:sz w:val="10"/>
          <w:szCs w:val="10"/>
        </w:rPr>
      </w:pPr>
    </w:p>
    <w:p w14:paraId="58459F33" w14:textId="77777777" w:rsidR="007903CA" w:rsidRDefault="007903CA" w:rsidP="007903CA">
      <w:pPr>
        <w:pStyle w:val="Textonotapie"/>
      </w:pPr>
      <w:r>
        <w:rPr>
          <w:b/>
          <w:i/>
        </w:rPr>
        <w:t>Artículo 124.-</w:t>
      </w:r>
      <w:r>
        <w:rPr>
          <w:i/>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3">
    <w:p w14:paraId="01F95D18" w14:textId="77777777" w:rsidR="007903CA" w:rsidRDefault="007903CA" w:rsidP="007903CA">
      <w:pPr>
        <w:pStyle w:val="Textonotapie"/>
        <w:rPr>
          <w:sz w:val="18"/>
        </w:rPr>
      </w:pPr>
      <w:r>
        <w:rPr>
          <w:rStyle w:val="Refdenotaalpie"/>
        </w:rPr>
        <w:footnoteRef/>
      </w:r>
      <w:r>
        <w:t xml:space="preserve"> </w:t>
      </w:r>
      <w:r>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82F11" w:rsidRPr="00330DA7" w14:paraId="070A4B18" w14:textId="77777777" w:rsidTr="003F35FD">
      <w:trPr>
        <w:trHeight w:val="144"/>
        <w:jc w:val="right"/>
      </w:trPr>
      <w:tc>
        <w:tcPr>
          <w:tcW w:w="2727" w:type="dxa"/>
        </w:tcPr>
        <w:p w14:paraId="62B7493A" w14:textId="6F0D51D8" w:rsidR="00282F11" w:rsidRPr="00330DA7" w:rsidRDefault="00282F1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38C8E37" w:rsidR="00282F11" w:rsidRPr="00A90C72" w:rsidRDefault="00996DC5" w:rsidP="000748DF">
          <w:pPr>
            <w:tabs>
              <w:tab w:val="right" w:pos="8838"/>
            </w:tabs>
            <w:ind w:left="-74" w:right="-105"/>
            <w:rPr>
              <w:rFonts w:eastAsia="Calibri" w:cs="Tahoma"/>
              <w:szCs w:val="22"/>
              <w:lang w:eastAsia="en-US"/>
            </w:rPr>
          </w:pPr>
          <w:r w:rsidRPr="00996DC5">
            <w:rPr>
              <w:rFonts w:eastAsia="Calibri" w:cs="Tahoma"/>
              <w:szCs w:val="22"/>
              <w:lang w:eastAsia="en-US"/>
            </w:rPr>
            <w:t>04617/INFOEM/IP/RR/2024</w:t>
          </w:r>
        </w:p>
      </w:tc>
    </w:tr>
    <w:tr w:rsidR="00282F11" w:rsidRPr="00330DA7" w14:paraId="4521E058" w14:textId="77777777" w:rsidTr="003F35FD">
      <w:trPr>
        <w:trHeight w:val="283"/>
        <w:jc w:val="right"/>
      </w:trPr>
      <w:tc>
        <w:tcPr>
          <w:tcW w:w="2727" w:type="dxa"/>
        </w:tcPr>
        <w:p w14:paraId="0B68C086" w14:textId="77777777" w:rsidR="00282F11" w:rsidRPr="00330DA7" w:rsidRDefault="00282F1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FEADB98" w:rsidR="00282F11" w:rsidRPr="00952DD0" w:rsidRDefault="00996DC5" w:rsidP="003F35FD">
          <w:pPr>
            <w:tabs>
              <w:tab w:val="left" w:pos="2834"/>
              <w:tab w:val="right" w:pos="8838"/>
            </w:tabs>
            <w:ind w:left="-108" w:right="-105"/>
            <w:rPr>
              <w:rFonts w:eastAsia="Calibri" w:cs="Tahoma"/>
              <w:szCs w:val="22"/>
              <w:lang w:eastAsia="en-US"/>
            </w:rPr>
          </w:pPr>
          <w:r w:rsidRPr="00996DC5">
            <w:rPr>
              <w:rFonts w:eastAsia="Calibri" w:cs="Tahoma"/>
              <w:szCs w:val="22"/>
              <w:lang w:eastAsia="en-US"/>
            </w:rPr>
            <w:t>Ayuntamiento de Cuautitlán</w:t>
          </w:r>
        </w:p>
      </w:tc>
    </w:tr>
    <w:tr w:rsidR="00282F11" w:rsidRPr="00330DA7" w14:paraId="6331D9B6" w14:textId="77777777" w:rsidTr="003F35FD">
      <w:trPr>
        <w:trHeight w:val="283"/>
        <w:jc w:val="right"/>
      </w:trPr>
      <w:tc>
        <w:tcPr>
          <w:tcW w:w="2727" w:type="dxa"/>
        </w:tcPr>
        <w:p w14:paraId="3FA86BAE" w14:textId="53D732B3" w:rsidR="00282F11" w:rsidRPr="00330DA7" w:rsidRDefault="00282F1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82F11" w:rsidRPr="00EA66FC" w:rsidRDefault="00282F1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82F11" w:rsidRPr="00443C6B" w:rsidRDefault="00282F1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82F11" w:rsidRPr="00330DA7" w14:paraId="29CFF901" w14:textId="77777777" w:rsidTr="004B56B4">
      <w:trPr>
        <w:trHeight w:val="1435"/>
      </w:trPr>
      <w:tc>
        <w:tcPr>
          <w:tcW w:w="283" w:type="dxa"/>
          <w:shd w:val="clear" w:color="auto" w:fill="auto"/>
        </w:tcPr>
        <w:p w14:paraId="046B9F8F" w14:textId="164C13A0" w:rsidR="00282F11" w:rsidRPr="00330DA7" w:rsidRDefault="00282F11"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82F11" w:rsidRPr="00330DA7" w14:paraId="04F272D2" w14:textId="77777777" w:rsidTr="004B56B4">
            <w:trPr>
              <w:trHeight w:val="144"/>
            </w:trPr>
            <w:tc>
              <w:tcPr>
                <w:tcW w:w="2727" w:type="dxa"/>
              </w:tcPr>
              <w:p w14:paraId="2FD4DBF6" w14:textId="77777777" w:rsidR="00282F11" w:rsidRPr="00330DA7" w:rsidRDefault="00282F11"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14F77D7" w:rsidR="00282F11" w:rsidRPr="00A90C72" w:rsidRDefault="00996DC5" w:rsidP="000748DF">
                <w:pPr>
                  <w:tabs>
                    <w:tab w:val="right" w:pos="8838"/>
                  </w:tabs>
                  <w:ind w:left="-74" w:right="-105"/>
                  <w:rPr>
                    <w:rFonts w:eastAsia="Calibri" w:cs="Tahoma"/>
                    <w:szCs w:val="22"/>
                    <w:lang w:eastAsia="en-US"/>
                  </w:rPr>
                </w:pPr>
                <w:r w:rsidRPr="00996DC5">
                  <w:rPr>
                    <w:rFonts w:eastAsia="Calibri" w:cs="Tahoma"/>
                    <w:szCs w:val="22"/>
                    <w:lang w:eastAsia="en-US"/>
                  </w:rPr>
                  <w:t>04617/INFOEM/IP/RR/2024</w:t>
                </w:r>
              </w:p>
            </w:tc>
            <w:tc>
              <w:tcPr>
                <w:tcW w:w="3402" w:type="dxa"/>
              </w:tcPr>
              <w:p w14:paraId="71DEA1CF" w14:textId="77777777" w:rsidR="00282F11" w:rsidRDefault="00282F11" w:rsidP="004B56B4">
                <w:pPr>
                  <w:tabs>
                    <w:tab w:val="right" w:pos="8838"/>
                  </w:tabs>
                  <w:ind w:left="-74" w:right="-105"/>
                  <w:rPr>
                    <w:rFonts w:eastAsia="Calibri" w:cs="Tahoma"/>
                    <w:szCs w:val="22"/>
                    <w:lang w:eastAsia="en-US"/>
                  </w:rPr>
                </w:pPr>
              </w:p>
            </w:tc>
          </w:tr>
          <w:tr w:rsidR="00282F11" w:rsidRPr="00330DA7" w14:paraId="05C58951" w14:textId="77777777" w:rsidTr="004B56B4">
            <w:trPr>
              <w:trHeight w:val="144"/>
            </w:trPr>
            <w:tc>
              <w:tcPr>
                <w:tcW w:w="2727" w:type="dxa"/>
              </w:tcPr>
              <w:p w14:paraId="642B9610" w14:textId="77777777" w:rsidR="00282F11" w:rsidRPr="00330DA7" w:rsidRDefault="00282F11"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2CB38DC" w:rsidR="00282F11" w:rsidRPr="005F19B1" w:rsidRDefault="002F2285" w:rsidP="004B56B4">
                <w:pPr>
                  <w:tabs>
                    <w:tab w:val="left" w:pos="3122"/>
                    <w:tab w:val="right" w:pos="8838"/>
                  </w:tabs>
                  <w:ind w:left="-105" w:right="-105"/>
                  <w:rPr>
                    <w:rFonts w:eastAsia="Calibri" w:cs="Tahoma"/>
                    <w:szCs w:val="22"/>
                    <w:lang w:eastAsia="en-US"/>
                  </w:rPr>
                </w:pPr>
                <w:r>
                  <w:rPr>
                    <w:rFonts w:eastAsia="Calibri" w:cs="Tahoma"/>
                    <w:szCs w:val="22"/>
                    <w:lang w:eastAsia="en-US"/>
                  </w:rPr>
                  <w:t>XXXXX XXXXXXXX XXXXXX XXXXXXX</w:t>
                </w:r>
              </w:p>
            </w:tc>
            <w:tc>
              <w:tcPr>
                <w:tcW w:w="3402" w:type="dxa"/>
              </w:tcPr>
              <w:p w14:paraId="73F47F53" w14:textId="77777777" w:rsidR="00282F11" w:rsidRPr="005F19B1" w:rsidRDefault="00282F11" w:rsidP="004B56B4">
                <w:pPr>
                  <w:tabs>
                    <w:tab w:val="left" w:pos="3122"/>
                    <w:tab w:val="right" w:pos="8838"/>
                  </w:tabs>
                  <w:ind w:left="-105" w:right="-105"/>
                  <w:rPr>
                    <w:rFonts w:eastAsia="Calibri" w:cs="Tahoma"/>
                    <w:szCs w:val="22"/>
                    <w:lang w:eastAsia="en-US"/>
                  </w:rPr>
                </w:pPr>
              </w:p>
            </w:tc>
          </w:tr>
          <w:bookmarkEnd w:id="1"/>
          <w:tr w:rsidR="00282F11" w:rsidRPr="00330DA7" w14:paraId="00E6CDC1" w14:textId="77777777" w:rsidTr="004B56B4">
            <w:trPr>
              <w:trHeight w:val="283"/>
            </w:trPr>
            <w:tc>
              <w:tcPr>
                <w:tcW w:w="2727" w:type="dxa"/>
              </w:tcPr>
              <w:p w14:paraId="0631AD24" w14:textId="77777777" w:rsidR="00282F11" w:rsidRPr="00330DA7" w:rsidRDefault="00282F11"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4D8CD6B" w:rsidR="00282F11" w:rsidRPr="00952DD0" w:rsidRDefault="00996DC5" w:rsidP="004B56B4">
                <w:pPr>
                  <w:tabs>
                    <w:tab w:val="left" w:pos="2834"/>
                    <w:tab w:val="right" w:pos="8838"/>
                  </w:tabs>
                  <w:ind w:left="-108" w:right="-105"/>
                  <w:rPr>
                    <w:rFonts w:eastAsia="Calibri" w:cs="Tahoma"/>
                    <w:szCs w:val="22"/>
                    <w:lang w:eastAsia="en-US"/>
                  </w:rPr>
                </w:pPr>
                <w:r w:rsidRPr="00996DC5">
                  <w:rPr>
                    <w:rFonts w:eastAsia="Calibri" w:cs="Tahoma"/>
                    <w:szCs w:val="22"/>
                    <w:lang w:eastAsia="en-US"/>
                  </w:rPr>
                  <w:t>Ayuntamiento de Cuautitlán</w:t>
                </w:r>
              </w:p>
            </w:tc>
            <w:tc>
              <w:tcPr>
                <w:tcW w:w="3402" w:type="dxa"/>
              </w:tcPr>
              <w:p w14:paraId="3A7DA319" w14:textId="77777777" w:rsidR="00282F11" w:rsidRPr="00A90C72" w:rsidRDefault="00282F11" w:rsidP="004B56B4">
                <w:pPr>
                  <w:tabs>
                    <w:tab w:val="left" w:pos="2834"/>
                    <w:tab w:val="right" w:pos="8838"/>
                  </w:tabs>
                  <w:ind w:left="-108" w:right="-105"/>
                  <w:rPr>
                    <w:rFonts w:eastAsia="Calibri" w:cs="Tahoma"/>
                    <w:szCs w:val="22"/>
                    <w:lang w:eastAsia="en-US"/>
                  </w:rPr>
                </w:pPr>
              </w:p>
            </w:tc>
          </w:tr>
          <w:tr w:rsidR="00282F11" w:rsidRPr="00330DA7" w14:paraId="0F6CD8D2" w14:textId="77777777" w:rsidTr="004B56B4">
            <w:trPr>
              <w:trHeight w:val="283"/>
            </w:trPr>
            <w:tc>
              <w:tcPr>
                <w:tcW w:w="2727" w:type="dxa"/>
              </w:tcPr>
              <w:p w14:paraId="31700628" w14:textId="5D374F86" w:rsidR="00282F11" w:rsidRPr="00330DA7" w:rsidRDefault="00282F11"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82F11" w:rsidRPr="00EA66FC" w:rsidRDefault="00282F11"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82F11" w:rsidRPr="00330DA7" w:rsidRDefault="00282F11" w:rsidP="004B56B4">
                <w:pPr>
                  <w:tabs>
                    <w:tab w:val="right" w:pos="8838"/>
                  </w:tabs>
                  <w:ind w:left="-108" w:right="-105"/>
                  <w:rPr>
                    <w:rFonts w:eastAsia="Calibri" w:cs="Tahoma"/>
                    <w:szCs w:val="22"/>
                    <w:lang w:eastAsia="en-US"/>
                  </w:rPr>
                </w:pPr>
              </w:p>
            </w:tc>
          </w:tr>
        </w:tbl>
        <w:p w14:paraId="5DC6AC61" w14:textId="77777777" w:rsidR="00282F11" w:rsidRPr="00330DA7" w:rsidRDefault="00282F11" w:rsidP="004B56B4">
          <w:pPr>
            <w:tabs>
              <w:tab w:val="right" w:pos="8838"/>
            </w:tabs>
            <w:ind w:left="-28"/>
            <w:rPr>
              <w:rFonts w:ascii="Arial" w:eastAsia="Calibri" w:hAnsi="Arial" w:cs="Arial"/>
              <w:b/>
              <w:szCs w:val="22"/>
              <w:lang w:eastAsia="en-US"/>
            </w:rPr>
          </w:pPr>
        </w:p>
      </w:tc>
    </w:tr>
  </w:tbl>
  <w:p w14:paraId="2A906731" w14:textId="77777777" w:rsidR="00282F11" w:rsidRPr="00765661" w:rsidRDefault="00EA6819"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12D12"/>
    <w:multiLevelType w:val="hybridMultilevel"/>
    <w:tmpl w:val="7D1C41B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2D3A0D"/>
    <w:multiLevelType w:val="hybridMultilevel"/>
    <w:tmpl w:val="9612C7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62080A7D"/>
    <w:multiLevelType w:val="hybridMultilevel"/>
    <w:tmpl w:val="9E98AA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DA2FAD"/>
    <w:multiLevelType w:val="hybridMultilevel"/>
    <w:tmpl w:val="9DA665A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6F48"/>
    <w:rsid w:val="0002344E"/>
    <w:rsid w:val="000318BC"/>
    <w:rsid w:val="00036589"/>
    <w:rsid w:val="00036897"/>
    <w:rsid w:val="00040608"/>
    <w:rsid w:val="000410A8"/>
    <w:rsid w:val="000424A9"/>
    <w:rsid w:val="0004680B"/>
    <w:rsid w:val="00057B2D"/>
    <w:rsid w:val="000748DF"/>
    <w:rsid w:val="00080071"/>
    <w:rsid w:val="000820ED"/>
    <w:rsid w:val="00082A7D"/>
    <w:rsid w:val="00086B1B"/>
    <w:rsid w:val="00087E47"/>
    <w:rsid w:val="000925BE"/>
    <w:rsid w:val="000931F8"/>
    <w:rsid w:val="0009597C"/>
    <w:rsid w:val="0009706B"/>
    <w:rsid w:val="000A57F7"/>
    <w:rsid w:val="000C2358"/>
    <w:rsid w:val="000C3C03"/>
    <w:rsid w:val="000C5109"/>
    <w:rsid w:val="000D0D67"/>
    <w:rsid w:val="000E09C4"/>
    <w:rsid w:val="000E5D1F"/>
    <w:rsid w:val="00103867"/>
    <w:rsid w:val="001133EC"/>
    <w:rsid w:val="0011350D"/>
    <w:rsid w:val="00113CFA"/>
    <w:rsid w:val="00116778"/>
    <w:rsid w:val="00122332"/>
    <w:rsid w:val="00124714"/>
    <w:rsid w:val="001259D3"/>
    <w:rsid w:val="00126BAB"/>
    <w:rsid w:val="0013398A"/>
    <w:rsid w:val="00134ED3"/>
    <w:rsid w:val="00141876"/>
    <w:rsid w:val="0014207B"/>
    <w:rsid w:val="00150C49"/>
    <w:rsid w:val="00174BAE"/>
    <w:rsid w:val="00174FBE"/>
    <w:rsid w:val="00177AE7"/>
    <w:rsid w:val="00182452"/>
    <w:rsid w:val="001A58B3"/>
    <w:rsid w:val="001B56C0"/>
    <w:rsid w:val="001C1234"/>
    <w:rsid w:val="001C1AE4"/>
    <w:rsid w:val="001C7688"/>
    <w:rsid w:val="001C7E98"/>
    <w:rsid w:val="001D0C50"/>
    <w:rsid w:val="001E1CFC"/>
    <w:rsid w:val="001F3515"/>
    <w:rsid w:val="00201BB7"/>
    <w:rsid w:val="00207DEA"/>
    <w:rsid w:val="00220517"/>
    <w:rsid w:val="00224352"/>
    <w:rsid w:val="002268D4"/>
    <w:rsid w:val="00226A6F"/>
    <w:rsid w:val="00227FB3"/>
    <w:rsid w:val="002301CA"/>
    <w:rsid w:val="00233005"/>
    <w:rsid w:val="00233F17"/>
    <w:rsid w:val="00241ACF"/>
    <w:rsid w:val="00242B28"/>
    <w:rsid w:val="0024404B"/>
    <w:rsid w:val="002460B8"/>
    <w:rsid w:val="0024744C"/>
    <w:rsid w:val="0027446D"/>
    <w:rsid w:val="002807DD"/>
    <w:rsid w:val="00282F11"/>
    <w:rsid w:val="00287329"/>
    <w:rsid w:val="002A3601"/>
    <w:rsid w:val="002B1314"/>
    <w:rsid w:val="002B3577"/>
    <w:rsid w:val="002B6C85"/>
    <w:rsid w:val="002B7C6F"/>
    <w:rsid w:val="002D111C"/>
    <w:rsid w:val="002D2900"/>
    <w:rsid w:val="002D3509"/>
    <w:rsid w:val="002E1DEA"/>
    <w:rsid w:val="002E30AC"/>
    <w:rsid w:val="002E5E13"/>
    <w:rsid w:val="002E6DBB"/>
    <w:rsid w:val="002F2285"/>
    <w:rsid w:val="002F3F8F"/>
    <w:rsid w:val="00302476"/>
    <w:rsid w:val="00306316"/>
    <w:rsid w:val="00315EC4"/>
    <w:rsid w:val="003305BC"/>
    <w:rsid w:val="00331F35"/>
    <w:rsid w:val="0033442A"/>
    <w:rsid w:val="00335CDF"/>
    <w:rsid w:val="00336B4B"/>
    <w:rsid w:val="00337570"/>
    <w:rsid w:val="00362A11"/>
    <w:rsid w:val="00367D79"/>
    <w:rsid w:val="00375C6B"/>
    <w:rsid w:val="00391EDF"/>
    <w:rsid w:val="0039267F"/>
    <w:rsid w:val="003A36BE"/>
    <w:rsid w:val="003A38DC"/>
    <w:rsid w:val="003A40C1"/>
    <w:rsid w:val="003A7ED3"/>
    <w:rsid w:val="003B3A6C"/>
    <w:rsid w:val="003B5D3E"/>
    <w:rsid w:val="003B62E6"/>
    <w:rsid w:val="003B6EB5"/>
    <w:rsid w:val="003C1E36"/>
    <w:rsid w:val="003D37E4"/>
    <w:rsid w:val="003E6101"/>
    <w:rsid w:val="003E7B15"/>
    <w:rsid w:val="003F0772"/>
    <w:rsid w:val="003F35FD"/>
    <w:rsid w:val="003F5E69"/>
    <w:rsid w:val="00403199"/>
    <w:rsid w:val="00406F5A"/>
    <w:rsid w:val="00407FE2"/>
    <w:rsid w:val="0041385B"/>
    <w:rsid w:val="00413B6C"/>
    <w:rsid w:val="0041709A"/>
    <w:rsid w:val="004252F1"/>
    <w:rsid w:val="004326C1"/>
    <w:rsid w:val="00435F18"/>
    <w:rsid w:val="00441BFA"/>
    <w:rsid w:val="004427CC"/>
    <w:rsid w:val="00453B6D"/>
    <w:rsid w:val="00454874"/>
    <w:rsid w:val="00454FBD"/>
    <w:rsid w:val="00456D52"/>
    <w:rsid w:val="00464F6A"/>
    <w:rsid w:val="00473CCD"/>
    <w:rsid w:val="00475583"/>
    <w:rsid w:val="00493B85"/>
    <w:rsid w:val="00497BFA"/>
    <w:rsid w:val="004A5E28"/>
    <w:rsid w:val="004A7CF3"/>
    <w:rsid w:val="004B2FC4"/>
    <w:rsid w:val="004B56B4"/>
    <w:rsid w:val="004B70E5"/>
    <w:rsid w:val="004C1BD1"/>
    <w:rsid w:val="004C2719"/>
    <w:rsid w:val="004C629E"/>
    <w:rsid w:val="004D2AFF"/>
    <w:rsid w:val="004D669F"/>
    <w:rsid w:val="004D7988"/>
    <w:rsid w:val="004D7CD8"/>
    <w:rsid w:val="004E10F6"/>
    <w:rsid w:val="004E3D6D"/>
    <w:rsid w:val="004E5068"/>
    <w:rsid w:val="004F05CE"/>
    <w:rsid w:val="004F6E7A"/>
    <w:rsid w:val="004F7A00"/>
    <w:rsid w:val="0050792D"/>
    <w:rsid w:val="00511F28"/>
    <w:rsid w:val="00513801"/>
    <w:rsid w:val="00516B72"/>
    <w:rsid w:val="00523557"/>
    <w:rsid w:val="00523F48"/>
    <w:rsid w:val="005365FA"/>
    <w:rsid w:val="0054383B"/>
    <w:rsid w:val="00546D39"/>
    <w:rsid w:val="00562CFB"/>
    <w:rsid w:val="00565088"/>
    <w:rsid w:val="005666D8"/>
    <w:rsid w:val="005723CB"/>
    <w:rsid w:val="00575400"/>
    <w:rsid w:val="0057766A"/>
    <w:rsid w:val="005776E3"/>
    <w:rsid w:val="00580A07"/>
    <w:rsid w:val="005856CA"/>
    <w:rsid w:val="00590892"/>
    <w:rsid w:val="00590BE7"/>
    <w:rsid w:val="00597D3F"/>
    <w:rsid w:val="005A5075"/>
    <w:rsid w:val="005B18AF"/>
    <w:rsid w:val="005B4D73"/>
    <w:rsid w:val="005D0A98"/>
    <w:rsid w:val="005D3570"/>
    <w:rsid w:val="005D5A50"/>
    <w:rsid w:val="005E29C1"/>
    <w:rsid w:val="005F5301"/>
    <w:rsid w:val="005F5C51"/>
    <w:rsid w:val="005F6453"/>
    <w:rsid w:val="005F65B7"/>
    <w:rsid w:val="006067C7"/>
    <w:rsid w:val="006153F0"/>
    <w:rsid w:val="006159AD"/>
    <w:rsid w:val="00630B26"/>
    <w:rsid w:val="006318E4"/>
    <w:rsid w:val="00646436"/>
    <w:rsid w:val="0065172E"/>
    <w:rsid w:val="00661A29"/>
    <w:rsid w:val="00664420"/>
    <w:rsid w:val="006700AE"/>
    <w:rsid w:val="00673EEC"/>
    <w:rsid w:val="006844C7"/>
    <w:rsid w:val="006A61F1"/>
    <w:rsid w:val="006A646A"/>
    <w:rsid w:val="006B10B0"/>
    <w:rsid w:val="006B1537"/>
    <w:rsid w:val="006D42B5"/>
    <w:rsid w:val="006D50B9"/>
    <w:rsid w:val="006E23FF"/>
    <w:rsid w:val="006E25BC"/>
    <w:rsid w:val="006E6BBC"/>
    <w:rsid w:val="006F64E7"/>
    <w:rsid w:val="006F7768"/>
    <w:rsid w:val="00702F96"/>
    <w:rsid w:val="00713B7F"/>
    <w:rsid w:val="00717E59"/>
    <w:rsid w:val="0074654D"/>
    <w:rsid w:val="0075086A"/>
    <w:rsid w:val="00760756"/>
    <w:rsid w:val="00766206"/>
    <w:rsid w:val="00771C80"/>
    <w:rsid w:val="0077382A"/>
    <w:rsid w:val="00773E03"/>
    <w:rsid w:val="00775BFC"/>
    <w:rsid w:val="00780D69"/>
    <w:rsid w:val="007857F0"/>
    <w:rsid w:val="007900FC"/>
    <w:rsid w:val="007903CA"/>
    <w:rsid w:val="0079432A"/>
    <w:rsid w:val="007A2AD8"/>
    <w:rsid w:val="007A3459"/>
    <w:rsid w:val="007A3C1A"/>
    <w:rsid w:val="007A6E94"/>
    <w:rsid w:val="007A7485"/>
    <w:rsid w:val="007B034E"/>
    <w:rsid w:val="007B6074"/>
    <w:rsid w:val="007C17CC"/>
    <w:rsid w:val="007C6519"/>
    <w:rsid w:val="007D103E"/>
    <w:rsid w:val="007D1C55"/>
    <w:rsid w:val="007D317F"/>
    <w:rsid w:val="007E7192"/>
    <w:rsid w:val="007F107E"/>
    <w:rsid w:val="007F2531"/>
    <w:rsid w:val="007F47DE"/>
    <w:rsid w:val="007F5D06"/>
    <w:rsid w:val="00802F6F"/>
    <w:rsid w:val="008038A2"/>
    <w:rsid w:val="00803A08"/>
    <w:rsid w:val="00805A6E"/>
    <w:rsid w:val="00807778"/>
    <w:rsid w:val="0082247D"/>
    <w:rsid w:val="00824151"/>
    <w:rsid w:val="008242B6"/>
    <w:rsid w:val="00826371"/>
    <w:rsid w:val="00826A93"/>
    <w:rsid w:val="00831F96"/>
    <w:rsid w:val="008363CB"/>
    <w:rsid w:val="00836954"/>
    <w:rsid w:val="00837517"/>
    <w:rsid w:val="008436D6"/>
    <w:rsid w:val="0084400A"/>
    <w:rsid w:val="0085190E"/>
    <w:rsid w:val="008629A5"/>
    <w:rsid w:val="00865CF4"/>
    <w:rsid w:val="008669DA"/>
    <w:rsid w:val="00874AC8"/>
    <w:rsid w:val="008752B6"/>
    <w:rsid w:val="0087567C"/>
    <w:rsid w:val="00876DBC"/>
    <w:rsid w:val="00877435"/>
    <w:rsid w:val="00887AE5"/>
    <w:rsid w:val="00890548"/>
    <w:rsid w:val="00893BA2"/>
    <w:rsid w:val="00896AF7"/>
    <w:rsid w:val="008A09B9"/>
    <w:rsid w:val="008A6003"/>
    <w:rsid w:val="008A6AB7"/>
    <w:rsid w:val="008A6F88"/>
    <w:rsid w:val="008B1E16"/>
    <w:rsid w:val="008B3B6D"/>
    <w:rsid w:val="008B509A"/>
    <w:rsid w:val="008B62FA"/>
    <w:rsid w:val="008C014C"/>
    <w:rsid w:val="008C1421"/>
    <w:rsid w:val="008C6865"/>
    <w:rsid w:val="008D6C18"/>
    <w:rsid w:val="008E1316"/>
    <w:rsid w:val="008E19A7"/>
    <w:rsid w:val="008E3EAD"/>
    <w:rsid w:val="008F6A6B"/>
    <w:rsid w:val="00910FD2"/>
    <w:rsid w:val="0091733B"/>
    <w:rsid w:val="00921BA8"/>
    <w:rsid w:val="00923307"/>
    <w:rsid w:val="00931437"/>
    <w:rsid w:val="009319A0"/>
    <w:rsid w:val="009341B5"/>
    <w:rsid w:val="009358D9"/>
    <w:rsid w:val="0094710D"/>
    <w:rsid w:val="00953430"/>
    <w:rsid w:val="00955DCC"/>
    <w:rsid w:val="00960996"/>
    <w:rsid w:val="00964368"/>
    <w:rsid w:val="0096663A"/>
    <w:rsid w:val="00966663"/>
    <w:rsid w:val="00970EB3"/>
    <w:rsid w:val="0097209B"/>
    <w:rsid w:val="00975CA6"/>
    <w:rsid w:val="00977BCC"/>
    <w:rsid w:val="00983EEF"/>
    <w:rsid w:val="00996DC5"/>
    <w:rsid w:val="009A2D78"/>
    <w:rsid w:val="009A7C10"/>
    <w:rsid w:val="009B095F"/>
    <w:rsid w:val="009B2945"/>
    <w:rsid w:val="009B38F6"/>
    <w:rsid w:val="009D163C"/>
    <w:rsid w:val="009D5B1F"/>
    <w:rsid w:val="009D69F6"/>
    <w:rsid w:val="009E2DEE"/>
    <w:rsid w:val="009E4897"/>
    <w:rsid w:val="009E7B1B"/>
    <w:rsid w:val="009F797C"/>
    <w:rsid w:val="00A0449B"/>
    <w:rsid w:val="00A131AC"/>
    <w:rsid w:val="00A16D85"/>
    <w:rsid w:val="00A21844"/>
    <w:rsid w:val="00A21A20"/>
    <w:rsid w:val="00A23938"/>
    <w:rsid w:val="00A24D6A"/>
    <w:rsid w:val="00A306CC"/>
    <w:rsid w:val="00A32CA5"/>
    <w:rsid w:val="00A33BDB"/>
    <w:rsid w:val="00A36A99"/>
    <w:rsid w:val="00A45D1C"/>
    <w:rsid w:val="00A51AE2"/>
    <w:rsid w:val="00A52974"/>
    <w:rsid w:val="00A53315"/>
    <w:rsid w:val="00A56723"/>
    <w:rsid w:val="00A570D7"/>
    <w:rsid w:val="00A60E92"/>
    <w:rsid w:val="00A64191"/>
    <w:rsid w:val="00A70EF0"/>
    <w:rsid w:val="00A71845"/>
    <w:rsid w:val="00A81179"/>
    <w:rsid w:val="00A81896"/>
    <w:rsid w:val="00A81DC8"/>
    <w:rsid w:val="00A9208D"/>
    <w:rsid w:val="00A933E5"/>
    <w:rsid w:val="00AA364B"/>
    <w:rsid w:val="00AA4FA7"/>
    <w:rsid w:val="00AA6EA9"/>
    <w:rsid w:val="00AB1BE1"/>
    <w:rsid w:val="00AB497D"/>
    <w:rsid w:val="00AC2DB8"/>
    <w:rsid w:val="00AC3CA0"/>
    <w:rsid w:val="00AE0232"/>
    <w:rsid w:val="00AE3DA7"/>
    <w:rsid w:val="00AE6FFC"/>
    <w:rsid w:val="00AF03C4"/>
    <w:rsid w:val="00AF0DA9"/>
    <w:rsid w:val="00B00D01"/>
    <w:rsid w:val="00B03AB8"/>
    <w:rsid w:val="00B0531D"/>
    <w:rsid w:val="00B05F2B"/>
    <w:rsid w:val="00B20AFF"/>
    <w:rsid w:val="00B22A80"/>
    <w:rsid w:val="00B23C0A"/>
    <w:rsid w:val="00B24228"/>
    <w:rsid w:val="00B416E8"/>
    <w:rsid w:val="00B420C5"/>
    <w:rsid w:val="00B50E12"/>
    <w:rsid w:val="00B540DC"/>
    <w:rsid w:val="00B55F8F"/>
    <w:rsid w:val="00B562C2"/>
    <w:rsid w:val="00B60BFC"/>
    <w:rsid w:val="00B72C69"/>
    <w:rsid w:val="00B751A1"/>
    <w:rsid w:val="00B82086"/>
    <w:rsid w:val="00B83675"/>
    <w:rsid w:val="00BA55A8"/>
    <w:rsid w:val="00BB2ABF"/>
    <w:rsid w:val="00BB64F4"/>
    <w:rsid w:val="00BB7B48"/>
    <w:rsid w:val="00BC01BA"/>
    <w:rsid w:val="00BC1D12"/>
    <w:rsid w:val="00BC2617"/>
    <w:rsid w:val="00BC67B0"/>
    <w:rsid w:val="00BC7CDB"/>
    <w:rsid w:val="00BD0200"/>
    <w:rsid w:val="00BD07ED"/>
    <w:rsid w:val="00BD2E76"/>
    <w:rsid w:val="00BD3F4F"/>
    <w:rsid w:val="00BD5A7C"/>
    <w:rsid w:val="00BE413E"/>
    <w:rsid w:val="00BE5FAE"/>
    <w:rsid w:val="00BE7A1B"/>
    <w:rsid w:val="00BF0221"/>
    <w:rsid w:val="00BF091A"/>
    <w:rsid w:val="00BF4236"/>
    <w:rsid w:val="00BF4EAD"/>
    <w:rsid w:val="00C049E2"/>
    <w:rsid w:val="00C05AB7"/>
    <w:rsid w:val="00C219BE"/>
    <w:rsid w:val="00C36795"/>
    <w:rsid w:val="00C461EC"/>
    <w:rsid w:val="00C507D4"/>
    <w:rsid w:val="00C524C4"/>
    <w:rsid w:val="00C61BE3"/>
    <w:rsid w:val="00C67A70"/>
    <w:rsid w:val="00C67B06"/>
    <w:rsid w:val="00C70B3F"/>
    <w:rsid w:val="00C71CEF"/>
    <w:rsid w:val="00C72DAA"/>
    <w:rsid w:val="00C75036"/>
    <w:rsid w:val="00C80B14"/>
    <w:rsid w:val="00C94D58"/>
    <w:rsid w:val="00CA0426"/>
    <w:rsid w:val="00CB7E9A"/>
    <w:rsid w:val="00CC29E8"/>
    <w:rsid w:val="00CD0B92"/>
    <w:rsid w:val="00CD0C68"/>
    <w:rsid w:val="00CD22FC"/>
    <w:rsid w:val="00CD3D41"/>
    <w:rsid w:val="00CD633E"/>
    <w:rsid w:val="00CE29D3"/>
    <w:rsid w:val="00CE3C62"/>
    <w:rsid w:val="00CE72DC"/>
    <w:rsid w:val="00CF2D8B"/>
    <w:rsid w:val="00CF3C01"/>
    <w:rsid w:val="00CF4DA6"/>
    <w:rsid w:val="00CF63D9"/>
    <w:rsid w:val="00CF7586"/>
    <w:rsid w:val="00D02937"/>
    <w:rsid w:val="00D036D3"/>
    <w:rsid w:val="00D0696F"/>
    <w:rsid w:val="00D13782"/>
    <w:rsid w:val="00D1509A"/>
    <w:rsid w:val="00D201B7"/>
    <w:rsid w:val="00D27906"/>
    <w:rsid w:val="00D2790D"/>
    <w:rsid w:val="00D359BF"/>
    <w:rsid w:val="00D35BCA"/>
    <w:rsid w:val="00D51ECD"/>
    <w:rsid w:val="00D568DC"/>
    <w:rsid w:val="00D571D4"/>
    <w:rsid w:val="00D6170E"/>
    <w:rsid w:val="00D64B5C"/>
    <w:rsid w:val="00D67370"/>
    <w:rsid w:val="00D713EE"/>
    <w:rsid w:val="00D75EE6"/>
    <w:rsid w:val="00D867B3"/>
    <w:rsid w:val="00D91CB4"/>
    <w:rsid w:val="00D937AE"/>
    <w:rsid w:val="00D9769C"/>
    <w:rsid w:val="00DA4324"/>
    <w:rsid w:val="00DB024D"/>
    <w:rsid w:val="00DB1C09"/>
    <w:rsid w:val="00DB28CE"/>
    <w:rsid w:val="00DB3892"/>
    <w:rsid w:val="00DB63C0"/>
    <w:rsid w:val="00DC47E6"/>
    <w:rsid w:val="00DD1A53"/>
    <w:rsid w:val="00DD43D8"/>
    <w:rsid w:val="00DE1133"/>
    <w:rsid w:val="00DE285A"/>
    <w:rsid w:val="00DE656C"/>
    <w:rsid w:val="00DF039B"/>
    <w:rsid w:val="00DF0C5C"/>
    <w:rsid w:val="00DF41D7"/>
    <w:rsid w:val="00E00DF5"/>
    <w:rsid w:val="00E0279E"/>
    <w:rsid w:val="00E16BF5"/>
    <w:rsid w:val="00E222B9"/>
    <w:rsid w:val="00E33714"/>
    <w:rsid w:val="00E37A3F"/>
    <w:rsid w:val="00E37D3C"/>
    <w:rsid w:val="00E415FE"/>
    <w:rsid w:val="00E62E6A"/>
    <w:rsid w:val="00E63E47"/>
    <w:rsid w:val="00E727BA"/>
    <w:rsid w:val="00E810F7"/>
    <w:rsid w:val="00E83EF5"/>
    <w:rsid w:val="00E9137B"/>
    <w:rsid w:val="00E9335C"/>
    <w:rsid w:val="00EA27F7"/>
    <w:rsid w:val="00EA6819"/>
    <w:rsid w:val="00EC7E8F"/>
    <w:rsid w:val="00EC7F09"/>
    <w:rsid w:val="00ED1788"/>
    <w:rsid w:val="00ED1C1E"/>
    <w:rsid w:val="00ED7170"/>
    <w:rsid w:val="00EE1B1C"/>
    <w:rsid w:val="00EE2207"/>
    <w:rsid w:val="00EE2AF2"/>
    <w:rsid w:val="00EE44F7"/>
    <w:rsid w:val="00EE69EA"/>
    <w:rsid w:val="00EE78BF"/>
    <w:rsid w:val="00EF1CA6"/>
    <w:rsid w:val="00F0679F"/>
    <w:rsid w:val="00F07EE6"/>
    <w:rsid w:val="00F33CC8"/>
    <w:rsid w:val="00F37432"/>
    <w:rsid w:val="00F4124A"/>
    <w:rsid w:val="00F41933"/>
    <w:rsid w:val="00F4481C"/>
    <w:rsid w:val="00F51674"/>
    <w:rsid w:val="00F529B2"/>
    <w:rsid w:val="00F53E56"/>
    <w:rsid w:val="00F57C01"/>
    <w:rsid w:val="00F616E2"/>
    <w:rsid w:val="00F75A01"/>
    <w:rsid w:val="00F75D23"/>
    <w:rsid w:val="00FA3C3D"/>
    <w:rsid w:val="00FA5957"/>
    <w:rsid w:val="00FB1AF5"/>
    <w:rsid w:val="00FB5587"/>
    <w:rsid w:val="00FC1EAB"/>
    <w:rsid w:val="00FC2809"/>
    <w:rsid w:val="00FC3CE0"/>
    <w:rsid w:val="00FC406D"/>
    <w:rsid w:val="00FD06A8"/>
    <w:rsid w:val="00FD4F13"/>
    <w:rsid w:val="00FE0B2F"/>
    <w:rsid w:val="00FE23C1"/>
    <w:rsid w:val="00FF1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EA27F7"/>
    <w:rPr>
      <w:color w:val="605E5C"/>
      <w:shd w:val="clear" w:color="auto" w:fill="E1DFDD"/>
    </w:rPr>
  </w:style>
  <w:style w:type="character" w:styleId="Hipervnculovisitado">
    <w:name w:val="FollowedHyperlink"/>
    <w:basedOn w:val="Fuentedeprrafopredeter"/>
    <w:uiPriority w:val="99"/>
    <w:semiHidden/>
    <w:unhideWhenUsed/>
    <w:rsid w:val="00EA27F7"/>
    <w:rPr>
      <w:color w:val="96607D" w:themeColor="followedHyperlink"/>
      <w:u w:val="single"/>
    </w:rPr>
  </w:style>
  <w:style w:type="character" w:customStyle="1" w:styleId="Mencinsinresolver2">
    <w:name w:val="Mención sin resolver2"/>
    <w:basedOn w:val="Fuentedeprrafopredeter"/>
    <w:uiPriority w:val="99"/>
    <w:semiHidden/>
    <w:unhideWhenUsed/>
    <w:rsid w:val="00FC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7619">
      <w:bodyDiv w:val="1"/>
      <w:marLeft w:val="0"/>
      <w:marRight w:val="0"/>
      <w:marTop w:val="0"/>
      <w:marBottom w:val="0"/>
      <w:divBdr>
        <w:top w:val="none" w:sz="0" w:space="0" w:color="auto"/>
        <w:left w:val="none" w:sz="0" w:space="0" w:color="auto"/>
        <w:bottom w:val="none" w:sz="0" w:space="0" w:color="auto"/>
        <w:right w:val="none" w:sz="0" w:space="0" w:color="auto"/>
      </w:divBdr>
    </w:div>
    <w:div w:id="121121674">
      <w:bodyDiv w:val="1"/>
      <w:marLeft w:val="0"/>
      <w:marRight w:val="0"/>
      <w:marTop w:val="0"/>
      <w:marBottom w:val="0"/>
      <w:divBdr>
        <w:top w:val="none" w:sz="0" w:space="0" w:color="auto"/>
        <w:left w:val="none" w:sz="0" w:space="0" w:color="auto"/>
        <w:bottom w:val="none" w:sz="0" w:space="0" w:color="auto"/>
        <w:right w:val="none" w:sz="0" w:space="0" w:color="auto"/>
      </w:divBdr>
    </w:div>
    <w:div w:id="207032531">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8006481">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65503850">
      <w:bodyDiv w:val="1"/>
      <w:marLeft w:val="0"/>
      <w:marRight w:val="0"/>
      <w:marTop w:val="0"/>
      <w:marBottom w:val="0"/>
      <w:divBdr>
        <w:top w:val="none" w:sz="0" w:space="0" w:color="auto"/>
        <w:left w:val="none" w:sz="0" w:space="0" w:color="auto"/>
        <w:bottom w:val="none" w:sz="0" w:space="0" w:color="auto"/>
        <w:right w:val="none" w:sz="0" w:space="0" w:color="auto"/>
      </w:divBdr>
    </w:div>
    <w:div w:id="279606019">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97769494">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283514">
      <w:bodyDiv w:val="1"/>
      <w:marLeft w:val="0"/>
      <w:marRight w:val="0"/>
      <w:marTop w:val="0"/>
      <w:marBottom w:val="0"/>
      <w:divBdr>
        <w:top w:val="none" w:sz="0" w:space="0" w:color="auto"/>
        <w:left w:val="none" w:sz="0" w:space="0" w:color="auto"/>
        <w:bottom w:val="none" w:sz="0" w:space="0" w:color="auto"/>
        <w:right w:val="none" w:sz="0" w:space="0" w:color="auto"/>
      </w:divBdr>
      <w:divsChild>
        <w:div w:id="105197410">
          <w:marLeft w:val="0"/>
          <w:marRight w:val="0"/>
          <w:marTop w:val="0"/>
          <w:marBottom w:val="0"/>
          <w:divBdr>
            <w:top w:val="none" w:sz="0" w:space="0" w:color="auto"/>
            <w:left w:val="none" w:sz="0" w:space="0" w:color="auto"/>
            <w:bottom w:val="none" w:sz="0" w:space="0" w:color="auto"/>
            <w:right w:val="none" w:sz="0" w:space="0" w:color="auto"/>
          </w:divBdr>
        </w:div>
      </w:divsChild>
    </w:div>
    <w:div w:id="866523211">
      <w:bodyDiv w:val="1"/>
      <w:marLeft w:val="0"/>
      <w:marRight w:val="0"/>
      <w:marTop w:val="0"/>
      <w:marBottom w:val="0"/>
      <w:divBdr>
        <w:top w:val="none" w:sz="0" w:space="0" w:color="auto"/>
        <w:left w:val="none" w:sz="0" w:space="0" w:color="auto"/>
        <w:bottom w:val="none" w:sz="0" w:space="0" w:color="auto"/>
        <w:right w:val="none" w:sz="0" w:space="0" w:color="auto"/>
      </w:divBdr>
      <w:divsChild>
        <w:div w:id="368652824">
          <w:marLeft w:val="0"/>
          <w:marRight w:val="0"/>
          <w:marTop w:val="0"/>
          <w:marBottom w:val="0"/>
          <w:divBdr>
            <w:top w:val="none" w:sz="0" w:space="0" w:color="auto"/>
            <w:left w:val="none" w:sz="0" w:space="0" w:color="auto"/>
            <w:bottom w:val="none" w:sz="0" w:space="0" w:color="auto"/>
            <w:right w:val="none" w:sz="0" w:space="0" w:color="auto"/>
          </w:divBdr>
        </w:div>
      </w:divsChild>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197933186">
      <w:bodyDiv w:val="1"/>
      <w:marLeft w:val="0"/>
      <w:marRight w:val="0"/>
      <w:marTop w:val="0"/>
      <w:marBottom w:val="0"/>
      <w:divBdr>
        <w:top w:val="none" w:sz="0" w:space="0" w:color="auto"/>
        <w:left w:val="none" w:sz="0" w:space="0" w:color="auto"/>
        <w:bottom w:val="none" w:sz="0" w:space="0" w:color="auto"/>
        <w:right w:val="none" w:sz="0" w:space="0" w:color="auto"/>
      </w:divBdr>
    </w:div>
    <w:div w:id="1222525417">
      <w:bodyDiv w:val="1"/>
      <w:marLeft w:val="0"/>
      <w:marRight w:val="0"/>
      <w:marTop w:val="0"/>
      <w:marBottom w:val="0"/>
      <w:divBdr>
        <w:top w:val="none" w:sz="0" w:space="0" w:color="auto"/>
        <w:left w:val="none" w:sz="0" w:space="0" w:color="auto"/>
        <w:bottom w:val="none" w:sz="0" w:space="0" w:color="auto"/>
        <w:right w:val="none" w:sz="0" w:space="0" w:color="auto"/>
      </w:divBdr>
    </w:div>
    <w:div w:id="1260917755">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78431692">
      <w:bodyDiv w:val="1"/>
      <w:marLeft w:val="0"/>
      <w:marRight w:val="0"/>
      <w:marTop w:val="0"/>
      <w:marBottom w:val="0"/>
      <w:divBdr>
        <w:top w:val="none" w:sz="0" w:space="0" w:color="auto"/>
        <w:left w:val="none" w:sz="0" w:space="0" w:color="auto"/>
        <w:bottom w:val="none" w:sz="0" w:space="0" w:color="auto"/>
        <w:right w:val="none" w:sz="0" w:space="0" w:color="auto"/>
      </w:divBdr>
    </w:div>
    <w:div w:id="1423528842">
      <w:bodyDiv w:val="1"/>
      <w:marLeft w:val="0"/>
      <w:marRight w:val="0"/>
      <w:marTop w:val="0"/>
      <w:marBottom w:val="0"/>
      <w:divBdr>
        <w:top w:val="none" w:sz="0" w:space="0" w:color="auto"/>
        <w:left w:val="none" w:sz="0" w:space="0" w:color="auto"/>
        <w:bottom w:val="none" w:sz="0" w:space="0" w:color="auto"/>
        <w:right w:val="none" w:sz="0" w:space="0" w:color="auto"/>
      </w:divBdr>
    </w:div>
    <w:div w:id="1467158772">
      <w:bodyDiv w:val="1"/>
      <w:marLeft w:val="0"/>
      <w:marRight w:val="0"/>
      <w:marTop w:val="0"/>
      <w:marBottom w:val="0"/>
      <w:divBdr>
        <w:top w:val="none" w:sz="0" w:space="0" w:color="auto"/>
        <w:left w:val="none" w:sz="0" w:space="0" w:color="auto"/>
        <w:bottom w:val="none" w:sz="0" w:space="0" w:color="auto"/>
        <w:right w:val="none" w:sz="0" w:space="0" w:color="auto"/>
      </w:divBdr>
    </w:div>
    <w:div w:id="1472400811">
      <w:bodyDiv w:val="1"/>
      <w:marLeft w:val="0"/>
      <w:marRight w:val="0"/>
      <w:marTop w:val="0"/>
      <w:marBottom w:val="0"/>
      <w:divBdr>
        <w:top w:val="none" w:sz="0" w:space="0" w:color="auto"/>
        <w:left w:val="none" w:sz="0" w:space="0" w:color="auto"/>
        <w:bottom w:val="none" w:sz="0" w:space="0" w:color="auto"/>
        <w:right w:val="none" w:sz="0" w:space="0" w:color="auto"/>
      </w:divBdr>
    </w:div>
    <w:div w:id="157955437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0812886">
      <w:bodyDiv w:val="1"/>
      <w:marLeft w:val="0"/>
      <w:marRight w:val="0"/>
      <w:marTop w:val="0"/>
      <w:marBottom w:val="0"/>
      <w:divBdr>
        <w:top w:val="none" w:sz="0" w:space="0" w:color="auto"/>
        <w:left w:val="none" w:sz="0" w:space="0" w:color="auto"/>
        <w:bottom w:val="none" w:sz="0" w:space="0" w:color="auto"/>
        <w:right w:val="none" w:sz="0" w:space="0" w:color="auto"/>
      </w:divBdr>
    </w:div>
    <w:div w:id="1775636070">
      <w:bodyDiv w:val="1"/>
      <w:marLeft w:val="0"/>
      <w:marRight w:val="0"/>
      <w:marTop w:val="0"/>
      <w:marBottom w:val="0"/>
      <w:divBdr>
        <w:top w:val="none" w:sz="0" w:space="0" w:color="auto"/>
        <w:left w:val="none" w:sz="0" w:space="0" w:color="auto"/>
        <w:bottom w:val="none" w:sz="0" w:space="0" w:color="auto"/>
        <w:right w:val="none" w:sz="0" w:space="0" w:color="auto"/>
      </w:divBdr>
    </w:div>
    <w:div w:id="1797675643">
      <w:bodyDiv w:val="1"/>
      <w:marLeft w:val="0"/>
      <w:marRight w:val="0"/>
      <w:marTop w:val="0"/>
      <w:marBottom w:val="0"/>
      <w:divBdr>
        <w:top w:val="none" w:sz="0" w:space="0" w:color="auto"/>
        <w:left w:val="none" w:sz="0" w:space="0" w:color="auto"/>
        <w:bottom w:val="none" w:sz="0" w:space="0" w:color="auto"/>
        <w:right w:val="none" w:sz="0" w:space="0" w:color="auto"/>
      </w:divBdr>
    </w:div>
    <w:div w:id="1834486962">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7920475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3745800">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ebapps.condusef.gob.mx/SIPRES/jsp/pub/index.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ndusef.gob.mx/Revista/index.php/usuario-inteligente/condusef-responde/777-la-condusef-te-puede-ayud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ecretariadoejecutivo.gob.mx/work/models/SecretariadoEjecutivo/Resource/328/1/images/instructivo_final_edo_fuerz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C647F7-3B7D-4EE2-964F-8F70CE0D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11962</Words>
  <Characters>65795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2024-09-12T19:32:00Z</cp:lastPrinted>
  <dcterms:created xsi:type="dcterms:W3CDTF">2024-09-09T21:04:00Z</dcterms:created>
  <dcterms:modified xsi:type="dcterms:W3CDTF">2024-10-24T00:17:00Z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