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DEB" w:rsidRPr="002E160E" w:rsidRDefault="008C051D">
      <w:pPr>
        <w:spacing w:line="360" w:lineRule="auto"/>
        <w:jc w:val="both"/>
        <w:rPr>
          <w:rFonts w:ascii="Palatino Linotype" w:eastAsia="Palatino Linotype" w:hAnsi="Palatino Linotype" w:cs="Palatino Linotype"/>
        </w:rPr>
      </w:pPr>
      <w:bookmarkStart w:id="0" w:name="_heading=h.gjdgxs" w:colFirst="0" w:colLast="0"/>
      <w:bookmarkEnd w:id="0"/>
      <w:r w:rsidRPr="002E160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dieciocho </w:t>
      </w:r>
      <w:r w:rsidR="00EB293E" w:rsidRPr="002E160E">
        <w:rPr>
          <w:rFonts w:ascii="Palatino Linotype" w:eastAsia="Palatino Linotype" w:hAnsi="Palatino Linotype" w:cs="Palatino Linotype"/>
        </w:rPr>
        <w:t xml:space="preserve">(18) </w:t>
      </w:r>
      <w:r w:rsidRPr="002E160E">
        <w:rPr>
          <w:rFonts w:ascii="Palatino Linotype" w:eastAsia="Palatino Linotype" w:hAnsi="Palatino Linotype" w:cs="Palatino Linotype"/>
        </w:rPr>
        <w:t>de diciembre de dos mil veinticuatro.</w:t>
      </w:r>
    </w:p>
    <w:p w:rsidR="00E32DEB" w:rsidRPr="002E160E" w:rsidRDefault="00E32DEB">
      <w:pPr>
        <w:spacing w:line="360" w:lineRule="auto"/>
        <w:jc w:val="both"/>
        <w:rPr>
          <w:rFonts w:ascii="Palatino Linotype" w:eastAsia="Palatino Linotype" w:hAnsi="Palatino Linotype" w:cs="Palatino Linotype"/>
        </w:rPr>
      </w:pPr>
    </w:p>
    <w:p w:rsidR="00E32DEB" w:rsidRPr="002E160E" w:rsidRDefault="008C051D">
      <w:pPr>
        <w:spacing w:line="360" w:lineRule="auto"/>
        <w:jc w:val="both"/>
        <w:rPr>
          <w:rFonts w:ascii="Palatino Linotype" w:eastAsia="Palatino Linotype" w:hAnsi="Palatino Linotype" w:cs="Palatino Linotype"/>
        </w:rPr>
      </w:pPr>
      <w:r w:rsidRPr="002E160E">
        <w:rPr>
          <w:rFonts w:ascii="Palatino Linotype" w:eastAsia="Palatino Linotype" w:hAnsi="Palatino Linotype" w:cs="Palatino Linotype"/>
          <w:b/>
        </w:rPr>
        <w:t>VISTOS</w:t>
      </w:r>
      <w:r w:rsidRPr="002E160E">
        <w:rPr>
          <w:rFonts w:ascii="Palatino Linotype" w:eastAsia="Palatino Linotype" w:hAnsi="Palatino Linotype" w:cs="Palatino Linotype"/>
        </w:rPr>
        <w:t xml:space="preserve"> los expedientes electrónicos formados con motivo de los recursos de revisión </w:t>
      </w:r>
      <w:r w:rsidRPr="002E160E">
        <w:rPr>
          <w:rFonts w:ascii="Palatino Linotype" w:eastAsia="Palatino Linotype" w:hAnsi="Palatino Linotype" w:cs="Palatino Linotype"/>
          <w:b/>
        </w:rPr>
        <w:t>07008/INFOEM/IP/RR/2024, 07009/INFOEM/IP/RR/2024 y 07010/INFOEM/IP/RR/2024</w:t>
      </w:r>
      <w:r w:rsidRPr="002E160E">
        <w:rPr>
          <w:rFonts w:ascii="Palatino Linotype" w:eastAsia="Palatino Linotype" w:hAnsi="Palatino Linotype" w:cs="Palatino Linotype"/>
        </w:rPr>
        <w:t xml:space="preserve">, promovidos por </w:t>
      </w:r>
      <w:r w:rsidR="002E160E" w:rsidRPr="002E160E">
        <w:rPr>
          <w:rFonts w:ascii="Palatino Linotype" w:eastAsia="Palatino Linotype" w:hAnsi="Palatino Linotype" w:cs="Palatino Linotype"/>
          <w:sz w:val="22"/>
          <w:szCs w:val="22"/>
        </w:rPr>
        <w:t>XXXXXXXX</w:t>
      </w:r>
      <w:r w:rsidRPr="002E160E">
        <w:rPr>
          <w:rFonts w:ascii="Palatino Linotype" w:eastAsia="Palatino Linotype" w:hAnsi="Palatino Linotype" w:cs="Palatino Linotype"/>
        </w:rPr>
        <w:t>, a través del</w:t>
      </w:r>
      <w:r w:rsidRPr="002E160E">
        <w:rPr>
          <w:rFonts w:ascii="Palatino Linotype" w:eastAsia="Palatino Linotype" w:hAnsi="Palatino Linotype" w:cs="Palatino Linotype"/>
          <w:b/>
        </w:rPr>
        <w:t xml:space="preserve"> Sistema de Acceso a la Información Mexiquense (SAIMEX),</w:t>
      </w:r>
      <w:r w:rsidRPr="002E160E">
        <w:rPr>
          <w:rFonts w:ascii="Palatino Linotype" w:eastAsia="Palatino Linotype" w:hAnsi="Palatino Linotype" w:cs="Palatino Linotype"/>
        </w:rPr>
        <w:t xml:space="preserve"> a quien en lo sucesivo se identificará como </w:t>
      </w:r>
      <w:r w:rsidRPr="002E160E">
        <w:rPr>
          <w:rFonts w:ascii="Palatino Linotype" w:eastAsia="Palatino Linotype" w:hAnsi="Palatino Linotype" w:cs="Palatino Linotype"/>
          <w:b/>
        </w:rPr>
        <w:t>EL RECURRENTE</w:t>
      </w:r>
      <w:r w:rsidRPr="002E160E">
        <w:rPr>
          <w:rFonts w:ascii="Palatino Linotype" w:eastAsia="Palatino Linotype" w:hAnsi="Palatino Linotype" w:cs="Palatino Linotype"/>
        </w:rPr>
        <w:t xml:space="preserve">, en contra de la respuesta del </w:t>
      </w:r>
      <w:r w:rsidRPr="002E160E">
        <w:rPr>
          <w:rFonts w:ascii="Palatino Linotype" w:eastAsia="Palatino Linotype" w:hAnsi="Palatino Linotype" w:cs="Palatino Linotype"/>
          <w:b/>
        </w:rPr>
        <w:t xml:space="preserve">Ayuntamiento de Toluca, </w:t>
      </w:r>
      <w:r w:rsidRPr="002E160E">
        <w:rPr>
          <w:rFonts w:ascii="Palatino Linotype" w:eastAsia="Palatino Linotype" w:hAnsi="Palatino Linotype" w:cs="Palatino Linotype"/>
        </w:rPr>
        <w:t>en adelante el</w:t>
      </w:r>
      <w:r w:rsidRPr="002E160E">
        <w:rPr>
          <w:rFonts w:ascii="Palatino Linotype" w:eastAsia="Palatino Linotype" w:hAnsi="Palatino Linotype" w:cs="Palatino Linotype"/>
          <w:b/>
        </w:rPr>
        <w:t xml:space="preserve"> SUJETO OBLIGADO</w:t>
      </w:r>
      <w:r w:rsidRPr="002E160E">
        <w:rPr>
          <w:rFonts w:ascii="Palatino Linotype" w:eastAsia="Palatino Linotype" w:hAnsi="Palatino Linotype" w:cs="Palatino Linotype"/>
        </w:rPr>
        <w:t>, por lo que se procede a dictar la presente resolución, con base en los siguientes:</w:t>
      </w:r>
    </w:p>
    <w:p w:rsidR="00E32DEB" w:rsidRPr="002E160E" w:rsidRDefault="00E32DEB">
      <w:pPr>
        <w:keepNext/>
        <w:keepLines/>
        <w:spacing w:line="360" w:lineRule="auto"/>
        <w:jc w:val="center"/>
        <w:rPr>
          <w:rFonts w:ascii="Palatino Linotype" w:eastAsia="Palatino Linotype" w:hAnsi="Palatino Linotype" w:cs="Palatino Linotype"/>
          <w:b/>
        </w:rPr>
      </w:pPr>
      <w:bookmarkStart w:id="1" w:name="_heading=h.30j0zll" w:colFirst="0" w:colLast="0"/>
      <w:bookmarkEnd w:id="1"/>
    </w:p>
    <w:p w:rsidR="00E32DEB" w:rsidRPr="002E160E" w:rsidRDefault="008C051D">
      <w:pPr>
        <w:keepNext/>
        <w:keepLines/>
        <w:spacing w:line="360" w:lineRule="auto"/>
        <w:jc w:val="center"/>
        <w:rPr>
          <w:rFonts w:ascii="Palatino Linotype" w:eastAsia="Palatino Linotype" w:hAnsi="Palatino Linotype" w:cs="Palatino Linotype"/>
          <w:b/>
        </w:rPr>
      </w:pPr>
      <w:r w:rsidRPr="002E160E">
        <w:rPr>
          <w:rFonts w:ascii="Palatino Linotype" w:eastAsia="Palatino Linotype" w:hAnsi="Palatino Linotype" w:cs="Palatino Linotype"/>
          <w:b/>
        </w:rPr>
        <w:t>A N T E C E D E N T E S</w:t>
      </w:r>
    </w:p>
    <w:p w:rsidR="00E32DEB" w:rsidRPr="002E160E" w:rsidRDefault="00E32DEB">
      <w:pPr>
        <w:keepNext/>
        <w:keepLines/>
        <w:spacing w:line="360" w:lineRule="auto"/>
        <w:jc w:val="center"/>
        <w:rPr>
          <w:rFonts w:ascii="Palatino Linotype" w:eastAsia="Palatino Linotype" w:hAnsi="Palatino Linotype" w:cs="Palatino Linotype"/>
          <w:b/>
        </w:rPr>
      </w:pPr>
    </w:p>
    <w:p w:rsidR="00E32DEB" w:rsidRPr="002E160E" w:rsidRDefault="008C051D">
      <w:pPr>
        <w:numPr>
          <w:ilvl w:val="0"/>
          <w:numId w:val="2"/>
        </w:numPr>
        <w:spacing w:line="360" w:lineRule="auto"/>
        <w:ind w:left="0" w:firstLine="0"/>
        <w:jc w:val="both"/>
      </w:pPr>
      <w:r w:rsidRPr="002E160E">
        <w:rPr>
          <w:rFonts w:ascii="Palatino Linotype" w:eastAsia="Palatino Linotype" w:hAnsi="Palatino Linotype" w:cs="Palatino Linotype"/>
        </w:rPr>
        <w:t xml:space="preserve">En fecha </w:t>
      </w:r>
      <w:r w:rsidRPr="002E160E">
        <w:rPr>
          <w:rFonts w:ascii="Palatino Linotype" w:eastAsia="Palatino Linotype" w:hAnsi="Palatino Linotype" w:cs="Palatino Linotype"/>
          <w:b/>
        </w:rPr>
        <w:t>veintiocho de septiembre de dos mil veinticuatro</w:t>
      </w:r>
      <w:r w:rsidRPr="002E160E">
        <w:rPr>
          <w:rFonts w:ascii="Palatino Linotype" w:eastAsia="Palatino Linotype" w:hAnsi="Palatino Linotype" w:cs="Palatino Linotype"/>
        </w:rPr>
        <w:t xml:space="preserve">, </w:t>
      </w:r>
      <w:r w:rsidRPr="002E160E">
        <w:rPr>
          <w:rFonts w:ascii="Palatino Linotype" w:eastAsia="Palatino Linotype" w:hAnsi="Palatino Linotype" w:cs="Palatino Linotype"/>
          <w:b/>
        </w:rPr>
        <w:t>EL RECURRENTE,</w:t>
      </w:r>
      <w:r w:rsidRPr="002E160E">
        <w:rPr>
          <w:rFonts w:ascii="Palatino Linotype" w:eastAsia="Palatino Linotype" w:hAnsi="Palatino Linotype" w:cs="Palatino Linotype"/>
        </w:rPr>
        <w:t xml:space="preserve"> ante el </w:t>
      </w:r>
      <w:r w:rsidRPr="002E160E">
        <w:rPr>
          <w:rFonts w:ascii="Palatino Linotype" w:eastAsia="Palatino Linotype" w:hAnsi="Palatino Linotype" w:cs="Palatino Linotype"/>
          <w:b/>
        </w:rPr>
        <w:t>SUJETO OBLIGADO</w:t>
      </w:r>
      <w:r w:rsidRPr="002E160E">
        <w:rPr>
          <w:rFonts w:ascii="Palatino Linotype" w:eastAsia="Palatino Linotype" w:hAnsi="Palatino Linotype" w:cs="Palatino Linotype"/>
        </w:rPr>
        <w:t xml:space="preserve"> vía Sistema de Acceso a la Información Mexiquense (</w:t>
      </w:r>
      <w:r w:rsidRPr="002E160E">
        <w:rPr>
          <w:rFonts w:ascii="Palatino Linotype" w:eastAsia="Palatino Linotype" w:hAnsi="Palatino Linotype" w:cs="Palatino Linotype"/>
          <w:b/>
        </w:rPr>
        <w:t>SAIMEX)</w:t>
      </w:r>
      <w:r w:rsidRPr="002E160E">
        <w:rPr>
          <w:rFonts w:ascii="Palatino Linotype" w:eastAsia="Palatino Linotype" w:hAnsi="Palatino Linotype" w:cs="Palatino Linotype"/>
        </w:rPr>
        <w:t xml:space="preserve">, presentó las solicitudes de información registradas con los números </w:t>
      </w:r>
      <w:r w:rsidRPr="002E160E">
        <w:rPr>
          <w:rFonts w:ascii="Palatino Linotype" w:eastAsia="Palatino Linotype" w:hAnsi="Palatino Linotype" w:cs="Palatino Linotype"/>
          <w:b/>
        </w:rPr>
        <w:t xml:space="preserve">02409/TOLUCA/IP/2024, 02410/TOLUCA/IP/2024 </w:t>
      </w:r>
      <w:r w:rsidRPr="002E160E">
        <w:rPr>
          <w:rFonts w:ascii="Palatino Linotype" w:eastAsia="Palatino Linotype" w:hAnsi="Palatino Linotype" w:cs="Palatino Linotype"/>
        </w:rPr>
        <w:t>y</w:t>
      </w:r>
      <w:r w:rsidRPr="002E160E">
        <w:rPr>
          <w:rFonts w:ascii="Palatino Linotype" w:eastAsia="Palatino Linotype" w:hAnsi="Palatino Linotype" w:cs="Palatino Linotype"/>
          <w:b/>
        </w:rPr>
        <w:t xml:space="preserve"> 02411/TOLUCA/IP/2024 </w:t>
      </w:r>
      <w:r w:rsidRPr="002E160E">
        <w:rPr>
          <w:rFonts w:ascii="Palatino Linotype" w:eastAsia="Palatino Linotype" w:hAnsi="Palatino Linotype" w:cs="Palatino Linotype"/>
        </w:rPr>
        <w:t>en las que se solicitó lo siguiente:</w:t>
      </w:r>
    </w:p>
    <w:p w:rsidR="00E32DEB" w:rsidRPr="002E160E" w:rsidRDefault="00E32DEB">
      <w:pPr>
        <w:spacing w:line="360" w:lineRule="auto"/>
        <w:jc w:val="both"/>
        <w:rPr>
          <w:rFonts w:ascii="Palatino Linotype" w:eastAsia="Palatino Linotype" w:hAnsi="Palatino Linotype" w:cs="Palatino Linotype"/>
        </w:rPr>
      </w:pPr>
    </w:p>
    <w:tbl>
      <w:tblPr>
        <w:tblStyle w:val="a"/>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75"/>
      </w:tblGrid>
      <w:tr w:rsidR="00E32DEB" w:rsidRPr="002E160E">
        <w:tc>
          <w:tcPr>
            <w:tcW w:w="9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2DEB" w:rsidRPr="002E160E" w:rsidRDefault="008C051D">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2E160E">
              <w:rPr>
                <w:rFonts w:ascii="Palatino Linotype" w:eastAsia="Palatino Linotype" w:hAnsi="Palatino Linotype" w:cs="Palatino Linotype"/>
                <w:b/>
                <w:color w:val="000000"/>
              </w:rPr>
              <w:t>07008/INFOEM/IP/RR/2024</w:t>
            </w:r>
          </w:p>
          <w:p w:rsidR="00E32DEB" w:rsidRPr="002E160E" w:rsidRDefault="008C051D">
            <w:pPr>
              <w:jc w:val="both"/>
              <w:rPr>
                <w:rFonts w:ascii="Palatino Linotype" w:eastAsia="Palatino Linotype" w:hAnsi="Palatino Linotype" w:cs="Palatino Linotype"/>
              </w:rPr>
            </w:pPr>
            <w:r w:rsidRPr="002E160E">
              <w:rPr>
                <w:rFonts w:ascii="Palatino Linotype" w:eastAsia="Palatino Linotype" w:hAnsi="Palatino Linotype" w:cs="Palatino Linotype"/>
                <w:i/>
                <w:color w:val="000000"/>
              </w:rPr>
              <w:lastRenderedPageBreak/>
              <w:t>“Solicito los vales de salida de planta del vivero municipal ubicado en el parque alameda 2000 del año 2022.</w:t>
            </w:r>
            <w:r w:rsidRPr="002E160E">
              <w:rPr>
                <w:rFonts w:ascii="Palatino Linotype" w:eastAsia="Palatino Linotype" w:hAnsi="Palatino Linotype" w:cs="Palatino Linotype"/>
                <w:color w:val="000000"/>
              </w:rPr>
              <w:t>” (Sic)</w:t>
            </w:r>
          </w:p>
        </w:tc>
      </w:tr>
      <w:tr w:rsidR="00E32DEB" w:rsidRPr="002E160E">
        <w:tc>
          <w:tcPr>
            <w:tcW w:w="9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2DEB" w:rsidRPr="002E160E" w:rsidRDefault="008C051D">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2E160E">
              <w:rPr>
                <w:rFonts w:ascii="Palatino Linotype" w:eastAsia="Palatino Linotype" w:hAnsi="Palatino Linotype" w:cs="Palatino Linotype"/>
                <w:b/>
                <w:color w:val="000000"/>
              </w:rPr>
              <w:lastRenderedPageBreak/>
              <w:t>07009/INFOEM/IP/RR/2024</w:t>
            </w:r>
          </w:p>
          <w:p w:rsidR="00E32DEB" w:rsidRPr="002E160E" w:rsidRDefault="008C051D">
            <w:pPr>
              <w:jc w:val="both"/>
              <w:rPr>
                <w:rFonts w:ascii="Palatino Linotype" w:eastAsia="Palatino Linotype" w:hAnsi="Palatino Linotype" w:cs="Palatino Linotype"/>
                <w:i/>
              </w:rPr>
            </w:pPr>
            <w:r w:rsidRPr="002E160E">
              <w:rPr>
                <w:rFonts w:ascii="Palatino Linotype" w:eastAsia="Palatino Linotype" w:hAnsi="Palatino Linotype" w:cs="Palatino Linotype"/>
                <w:i/>
                <w:color w:val="000000"/>
              </w:rPr>
              <w:t>“</w:t>
            </w:r>
            <w:r w:rsidRPr="002E160E">
              <w:rPr>
                <w:rFonts w:ascii="Palatino Linotype" w:eastAsia="Palatino Linotype" w:hAnsi="Palatino Linotype" w:cs="Palatino Linotype"/>
                <w:i/>
              </w:rPr>
              <w:t xml:space="preserve">Solicito los vales de salida de planta del vivero municipal ubicado en el parque alameda 2000 del año 2023.” </w:t>
            </w:r>
            <w:r w:rsidRPr="002E160E">
              <w:rPr>
                <w:rFonts w:ascii="Palatino Linotype" w:eastAsia="Palatino Linotype" w:hAnsi="Palatino Linotype" w:cs="Palatino Linotype"/>
              </w:rPr>
              <w:t>(Sic)</w:t>
            </w:r>
          </w:p>
        </w:tc>
      </w:tr>
      <w:tr w:rsidR="00E32DEB" w:rsidRPr="002E160E">
        <w:tc>
          <w:tcPr>
            <w:tcW w:w="9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2DEB" w:rsidRPr="002E160E" w:rsidRDefault="008C051D">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2E160E">
              <w:rPr>
                <w:rFonts w:ascii="Palatino Linotype" w:eastAsia="Palatino Linotype" w:hAnsi="Palatino Linotype" w:cs="Palatino Linotype"/>
                <w:b/>
                <w:color w:val="000000"/>
              </w:rPr>
              <w:t>07010/INFOEM/IP/RR/2024</w:t>
            </w:r>
          </w:p>
          <w:p w:rsidR="00E32DEB" w:rsidRPr="002E160E" w:rsidRDefault="008C051D">
            <w:pPr>
              <w:jc w:val="both"/>
              <w:rPr>
                <w:rFonts w:ascii="Palatino Linotype" w:eastAsia="Palatino Linotype" w:hAnsi="Palatino Linotype" w:cs="Palatino Linotype"/>
              </w:rPr>
            </w:pPr>
            <w:r w:rsidRPr="002E160E">
              <w:rPr>
                <w:rFonts w:ascii="Palatino Linotype" w:eastAsia="Palatino Linotype" w:hAnsi="Palatino Linotype" w:cs="Palatino Linotype"/>
                <w:i/>
                <w:color w:val="000000"/>
              </w:rPr>
              <w:t>“Solicito los vales de salida de planta del vivero municipal ubicado en el parque alameda 2000 del año 2024</w:t>
            </w:r>
            <w:r w:rsidRPr="002E160E">
              <w:rPr>
                <w:rFonts w:ascii="Palatino Linotype" w:eastAsia="Palatino Linotype" w:hAnsi="Palatino Linotype" w:cs="Palatino Linotype"/>
                <w:i/>
              </w:rPr>
              <w:t>.</w:t>
            </w:r>
            <w:r w:rsidRPr="002E160E">
              <w:rPr>
                <w:rFonts w:ascii="Palatino Linotype" w:eastAsia="Palatino Linotype" w:hAnsi="Palatino Linotype" w:cs="Palatino Linotype"/>
                <w:color w:val="000000"/>
              </w:rPr>
              <w:t>” (Sic)</w:t>
            </w:r>
          </w:p>
        </w:tc>
      </w:tr>
    </w:tbl>
    <w:p w:rsidR="00E32DEB" w:rsidRPr="002E160E" w:rsidRDefault="00E32DEB">
      <w:pPr>
        <w:spacing w:line="360" w:lineRule="auto"/>
        <w:jc w:val="both"/>
        <w:rPr>
          <w:rFonts w:ascii="Palatino Linotype" w:eastAsia="Palatino Linotype" w:hAnsi="Palatino Linotype" w:cs="Palatino Linotype"/>
        </w:rPr>
      </w:pPr>
    </w:p>
    <w:p w:rsidR="00E32DEB" w:rsidRPr="002E160E" w:rsidRDefault="008C051D">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Se eligió como modalidad de entrega a través de la plataforma digital Sistema de Acceso a la Información Mexiquense (SAIMEX).</w:t>
      </w:r>
    </w:p>
    <w:p w:rsidR="00E32DEB" w:rsidRPr="002E160E" w:rsidRDefault="00E32DEB">
      <w:pPr>
        <w:pBdr>
          <w:top w:val="none" w:sz="0" w:space="0" w:color="000000"/>
          <w:left w:val="none" w:sz="0" w:space="0" w:color="000000"/>
          <w:bottom w:val="none" w:sz="0" w:space="0" w:color="000000"/>
          <w:right w:val="none" w:sz="0" w:space="0" w:color="000000"/>
          <w:between w:val="none" w:sz="0" w:space="0" w:color="000000"/>
        </w:pBdr>
        <w:spacing w:line="360" w:lineRule="auto"/>
        <w:ind w:left="720"/>
        <w:jc w:val="both"/>
        <w:rPr>
          <w:rFonts w:ascii="Palatino Linotype" w:eastAsia="Palatino Linotype" w:hAnsi="Palatino Linotype" w:cs="Palatino Linotype"/>
          <w:color w:val="000000"/>
        </w:rPr>
      </w:pPr>
    </w:p>
    <w:p w:rsidR="00E32DEB" w:rsidRPr="002E160E" w:rsidRDefault="008C051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2E160E">
        <w:rPr>
          <w:rFonts w:ascii="Palatino Linotype" w:eastAsia="Palatino Linotype" w:hAnsi="Palatino Linotype" w:cs="Palatino Linotype"/>
          <w:color w:val="000000"/>
        </w:rPr>
        <w:t xml:space="preserve">De las constancias que obran en el expediente electrónico del </w:t>
      </w:r>
      <w:r w:rsidRPr="002E160E">
        <w:rPr>
          <w:rFonts w:ascii="Palatino Linotype" w:eastAsia="Palatino Linotype" w:hAnsi="Palatino Linotype" w:cs="Palatino Linotype"/>
          <w:b/>
          <w:color w:val="000000"/>
        </w:rPr>
        <w:t xml:space="preserve">SAIMEX, </w:t>
      </w:r>
      <w:r w:rsidRPr="002E160E">
        <w:rPr>
          <w:rFonts w:ascii="Palatino Linotype" w:eastAsia="Palatino Linotype" w:hAnsi="Palatino Linotype" w:cs="Palatino Linotype"/>
          <w:color w:val="000000"/>
        </w:rPr>
        <w:t xml:space="preserve">se advierte que en fecha </w:t>
      </w:r>
      <w:r w:rsidRPr="002E160E">
        <w:rPr>
          <w:rFonts w:ascii="Palatino Linotype" w:eastAsia="Palatino Linotype" w:hAnsi="Palatino Linotype" w:cs="Palatino Linotype"/>
          <w:b/>
          <w:color w:val="000000"/>
        </w:rPr>
        <w:t xml:space="preserve">veintidós de octubre de dos mil veinticuatro, El Sujeto Obligado </w:t>
      </w:r>
      <w:r w:rsidRPr="002E160E">
        <w:rPr>
          <w:rFonts w:ascii="Palatino Linotype" w:eastAsia="Palatino Linotype" w:hAnsi="Palatino Linotype" w:cs="Palatino Linotype"/>
          <w:color w:val="000000"/>
        </w:rPr>
        <w:t xml:space="preserve">solicitó prórroga mediante oficio de fecha </w:t>
      </w:r>
      <w:r w:rsidRPr="002E160E">
        <w:rPr>
          <w:rFonts w:ascii="Palatino Linotype" w:eastAsia="Palatino Linotype" w:hAnsi="Palatino Linotype" w:cs="Palatino Linotype"/>
          <w:b/>
          <w:color w:val="000000"/>
        </w:rPr>
        <w:t>diecisiete de octubre</w:t>
      </w:r>
      <w:r w:rsidRPr="002E160E">
        <w:rPr>
          <w:rFonts w:ascii="Palatino Linotype" w:eastAsia="Palatino Linotype" w:hAnsi="Palatino Linotype" w:cs="Palatino Linotype"/>
          <w:color w:val="000000"/>
        </w:rPr>
        <w:t xml:space="preserve"> </w:t>
      </w:r>
      <w:r w:rsidRPr="002E160E">
        <w:rPr>
          <w:rFonts w:ascii="Palatino Linotype" w:eastAsia="Palatino Linotype" w:hAnsi="Palatino Linotype" w:cs="Palatino Linotype"/>
          <w:b/>
          <w:color w:val="000000"/>
        </w:rPr>
        <w:t>de dos mil veinticuatro</w:t>
      </w:r>
      <w:r w:rsidRPr="002E160E">
        <w:rPr>
          <w:rFonts w:ascii="Palatino Linotype" w:eastAsia="Palatino Linotype" w:hAnsi="Palatino Linotype" w:cs="Palatino Linotype"/>
          <w:color w:val="000000"/>
        </w:rPr>
        <w:t>, por el cual solicitó convocar a sesión de Comité de Transparencia, con la finalidad de poner a consideración de los integrantes la prórroga por siete días para continuar con la búsqueda de la información requerida y dar cumplimiento</w:t>
      </w:r>
      <w:r w:rsidRPr="002E160E">
        <w:rPr>
          <w:rFonts w:ascii="Palatino Linotype" w:eastAsia="Palatino Linotype" w:hAnsi="Palatino Linotype" w:cs="Palatino Linotype"/>
          <w:b/>
          <w:color w:val="000000"/>
        </w:rPr>
        <w:t xml:space="preserve">, </w:t>
      </w:r>
      <w:r w:rsidRPr="002E160E">
        <w:rPr>
          <w:rFonts w:ascii="Palatino Linotype" w:eastAsia="Palatino Linotype" w:hAnsi="Palatino Linotype" w:cs="Palatino Linotype"/>
          <w:color w:val="000000"/>
        </w:rPr>
        <w:t xml:space="preserve">advirtiendo que dicha prórroga </w:t>
      </w:r>
      <w:r w:rsidRPr="002E160E">
        <w:rPr>
          <w:rFonts w:ascii="Palatino Linotype" w:eastAsia="Palatino Linotype" w:hAnsi="Palatino Linotype" w:cs="Palatino Linotype"/>
          <w:b/>
          <w:color w:val="000000"/>
        </w:rPr>
        <w:t xml:space="preserve">NO </w:t>
      </w:r>
      <w:r w:rsidRPr="002E160E">
        <w:rPr>
          <w:rFonts w:ascii="Palatino Linotype" w:eastAsia="Palatino Linotype" w:hAnsi="Palatino Linotype" w:cs="Palatino Linotype"/>
          <w:color w:val="000000"/>
        </w:rPr>
        <w:t>cumple con lo establecido en el artículo 49, fracción II, así como en el artículo 163 segundo párrafo, de la Ley de Transparencia y Acceso a la Información Pública del Estado de México y Municipios.</w:t>
      </w:r>
    </w:p>
    <w:p w:rsidR="00E32DEB" w:rsidRPr="002E160E" w:rsidRDefault="00E32DEB">
      <w:pPr>
        <w:spacing w:before="240" w:line="360" w:lineRule="auto"/>
        <w:jc w:val="both"/>
        <w:rPr>
          <w:rFonts w:ascii="Palatino Linotype" w:eastAsia="Palatino Linotype" w:hAnsi="Palatino Linotype" w:cs="Palatino Linotype"/>
          <w:b/>
          <w:sz w:val="28"/>
          <w:szCs w:val="28"/>
        </w:rPr>
      </w:pPr>
    </w:p>
    <w:p w:rsidR="00E32DEB" w:rsidRPr="002E160E" w:rsidRDefault="00E32DEB">
      <w:pPr>
        <w:pBdr>
          <w:top w:val="none" w:sz="0" w:space="0" w:color="000000"/>
          <w:left w:val="none" w:sz="0" w:space="0" w:color="000000"/>
          <w:bottom w:val="none" w:sz="0" w:space="0" w:color="000000"/>
          <w:right w:val="none" w:sz="0" w:space="0" w:color="000000"/>
          <w:between w:val="none" w:sz="0" w:space="0" w:color="000000"/>
        </w:pBdr>
        <w:spacing w:line="360" w:lineRule="auto"/>
        <w:ind w:left="720"/>
        <w:jc w:val="both"/>
        <w:rPr>
          <w:rFonts w:ascii="Palatino Linotype" w:eastAsia="Palatino Linotype" w:hAnsi="Palatino Linotype" w:cs="Palatino Linotype"/>
          <w:color w:val="000000"/>
        </w:rPr>
      </w:pPr>
    </w:p>
    <w:p w:rsidR="00E32DEB" w:rsidRPr="002E160E" w:rsidRDefault="00E32DEB">
      <w:pPr>
        <w:pBdr>
          <w:top w:val="none" w:sz="0" w:space="0" w:color="000000"/>
          <w:left w:val="none" w:sz="0" w:space="0" w:color="000000"/>
          <w:bottom w:val="none" w:sz="0" w:space="0" w:color="000000"/>
          <w:right w:val="none" w:sz="0" w:space="0" w:color="000000"/>
          <w:between w:val="none" w:sz="0" w:space="0" w:color="000000"/>
        </w:pBdr>
        <w:spacing w:line="360" w:lineRule="auto"/>
        <w:ind w:left="720"/>
        <w:jc w:val="both"/>
        <w:rPr>
          <w:rFonts w:ascii="Palatino Linotype" w:eastAsia="Palatino Linotype" w:hAnsi="Palatino Linotype" w:cs="Palatino Linotype"/>
          <w:color w:val="000000"/>
        </w:rPr>
      </w:pPr>
    </w:p>
    <w:p w:rsidR="00E32DEB" w:rsidRPr="002E160E" w:rsidRDefault="008C051D">
      <w:pPr>
        <w:numPr>
          <w:ilvl w:val="0"/>
          <w:numId w:val="2"/>
        </w:numPr>
        <w:spacing w:line="360" w:lineRule="auto"/>
        <w:ind w:left="0" w:firstLine="0"/>
        <w:jc w:val="both"/>
      </w:pPr>
      <w:r w:rsidRPr="002E160E">
        <w:rPr>
          <w:rFonts w:ascii="Palatino Linotype" w:eastAsia="Palatino Linotype" w:hAnsi="Palatino Linotype" w:cs="Palatino Linotype"/>
        </w:rPr>
        <w:t xml:space="preserve">En fecha </w:t>
      </w:r>
      <w:r w:rsidRPr="002E160E">
        <w:rPr>
          <w:rFonts w:ascii="Palatino Linotype" w:eastAsia="Palatino Linotype" w:hAnsi="Palatino Linotype" w:cs="Palatino Linotype"/>
          <w:b/>
        </w:rPr>
        <w:t>treinta y uno de octubre de dos mil veinticuatro</w:t>
      </w:r>
      <w:r w:rsidRPr="002E160E">
        <w:rPr>
          <w:rFonts w:ascii="Palatino Linotype" w:eastAsia="Palatino Linotype" w:hAnsi="Palatino Linotype" w:cs="Palatino Linotype"/>
        </w:rPr>
        <w:t xml:space="preserve">, el </w:t>
      </w:r>
      <w:r w:rsidRPr="002E160E">
        <w:rPr>
          <w:rFonts w:ascii="Palatino Linotype" w:eastAsia="Palatino Linotype" w:hAnsi="Palatino Linotype" w:cs="Palatino Linotype"/>
          <w:b/>
        </w:rPr>
        <w:t>SUJETO OBLIGADO</w:t>
      </w:r>
      <w:r w:rsidRPr="002E160E">
        <w:rPr>
          <w:rFonts w:ascii="Palatino Linotype" w:eastAsia="Palatino Linotype" w:hAnsi="Palatino Linotype" w:cs="Palatino Linotype"/>
          <w:b/>
          <w:i/>
        </w:rPr>
        <w:t xml:space="preserve"> </w:t>
      </w:r>
      <w:r w:rsidRPr="002E160E">
        <w:rPr>
          <w:rFonts w:ascii="Palatino Linotype" w:eastAsia="Palatino Linotype" w:hAnsi="Palatino Linotype" w:cs="Palatino Linotype"/>
        </w:rPr>
        <w:t>dio respuesta a las solicitudes de información adjuntando archivos digitales, siendo los siguientes:</w:t>
      </w:r>
    </w:p>
    <w:p w:rsidR="00E32DEB" w:rsidRPr="002E160E" w:rsidRDefault="00E32DEB">
      <w:pPr>
        <w:pBdr>
          <w:top w:val="nil"/>
          <w:left w:val="nil"/>
          <w:bottom w:val="nil"/>
          <w:right w:val="nil"/>
          <w:between w:val="nil"/>
        </w:pBdr>
        <w:ind w:left="720"/>
        <w:rPr>
          <w:rFonts w:ascii="Palatino Linotype" w:eastAsia="Palatino Linotype" w:hAnsi="Palatino Linotype" w:cs="Palatino Linotype"/>
          <w:color w:val="000000"/>
        </w:rPr>
      </w:pPr>
    </w:p>
    <w:tbl>
      <w:tblPr>
        <w:tblStyle w:val="a0"/>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1"/>
      </w:tblGrid>
      <w:tr w:rsidR="00E32DEB" w:rsidRPr="002E160E">
        <w:tc>
          <w:tcPr>
            <w:tcW w:w="93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32DEB" w:rsidRPr="002E160E" w:rsidRDefault="008C051D">
            <w:pPr>
              <w:jc w:val="center"/>
              <w:rPr>
                <w:rFonts w:ascii="Palatino Linotype" w:eastAsia="Palatino Linotype" w:hAnsi="Palatino Linotype" w:cs="Palatino Linotype"/>
                <w:b/>
                <w:color w:val="000000"/>
              </w:rPr>
            </w:pPr>
            <w:r w:rsidRPr="002E160E">
              <w:rPr>
                <w:rFonts w:ascii="Palatino Linotype" w:eastAsia="Palatino Linotype" w:hAnsi="Palatino Linotype" w:cs="Palatino Linotype"/>
                <w:b/>
                <w:color w:val="000000"/>
              </w:rPr>
              <w:t>RECURSO DE REVISIÓN</w:t>
            </w:r>
          </w:p>
        </w:tc>
      </w:tr>
      <w:tr w:rsidR="00E32DEB" w:rsidRPr="002E160E">
        <w:tc>
          <w:tcPr>
            <w:tcW w:w="93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32DEB" w:rsidRPr="002E160E" w:rsidRDefault="008C051D">
            <w:pPr>
              <w:jc w:val="center"/>
              <w:rPr>
                <w:rFonts w:ascii="Palatino Linotype" w:eastAsia="Palatino Linotype" w:hAnsi="Palatino Linotype" w:cs="Palatino Linotype"/>
                <w:b/>
                <w:color w:val="000000"/>
              </w:rPr>
            </w:pPr>
            <w:r w:rsidRPr="002E160E">
              <w:rPr>
                <w:rFonts w:ascii="Palatino Linotype" w:eastAsia="Palatino Linotype" w:hAnsi="Palatino Linotype" w:cs="Palatino Linotype"/>
                <w:b/>
                <w:color w:val="000000"/>
              </w:rPr>
              <w:t>07008/INFOEM/IP/RR/2024</w:t>
            </w:r>
          </w:p>
        </w:tc>
      </w:tr>
      <w:tr w:rsidR="00E32DEB" w:rsidRPr="002E160E">
        <w:tc>
          <w:tcPr>
            <w:tcW w:w="9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32DEB" w:rsidRPr="002E160E" w:rsidRDefault="008C051D">
            <w:pPr>
              <w:jc w:val="both"/>
              <w:rPr>
                <w:rFonts w:ascii="Palatino Linotype" w:eastAsia="Palatino Linotype" w:hAnsi="Palatino Linotype" w:cs="Palatino Linotype"/>
                <w:b/>
              </w:rPr>
            </w:pPr>
            <w:r w:rsidRPr="002E160E">
              <w:rPr>
                <w:rFonts w:ascii="Palatino Linotype" w:eastAsia="Palatino Linotype" w:hAnsi="Palatino Linotype" w:cs="Palatino Linotype"/>
                <w:b/>
              </w:rPr>
              <w:t>Archivos Digitales:</w:t>
            </w:r>
          </w:p>
          <w:p w:rsidR="00E32DEB" w:rsidRPr="002E160E" w:rsidRDefault="008C051D">
            <w:pPr>
              <w:jc w:val="both"/>
              <w:rPr>
                <w:rFonts w:ascii="Palatino Linotype" w:eastAsia="Palatino Linotype" w:hAnsi="Palatino Linotype" w:cs="Palatino Linotype"/>
              </w:rPr>
            </w:pPr>
            <w:r w:rsidRPr="002E160E">
              <w:rPr>
                <w:rFonts w:ascii="Palatino Linotype" w:eastAsia="Palatino Linotype" w:hAnsi="Palatino Linotype" w:cs="Palatino Linotype"/>
                <w:b/>
              </w:rPr>
              <w:t xml:space="preserve">Respuesta 2409_24.pdf: </w:t>
            </w:r>
            <w:r w:rsidRPr="002E160E">
              <w:rPr>
                <w:rFonts w:ascii="Palatino Linotype" w:eastAsia="Palatino Linotype" w:hAnsi="Palatino Linotype" w:cs="Palatino Linotype"/>
              </w:rPr>
              <w:t>Archivo que contiene el oficio de fecha treinta y uno de octubre de dos mil veinticuatro, suscrito por la Titular de la Unidad de Transparencia, por el cual da respuesta al Recurrente, estableciendo un cambio de modalidad, refiriendo que la información sí se localizó, sin embargo, cuenta con un peso de 1.66 Gigabytes, sobrepasando las capacidades del sistema.</w:t>
            </w:r>
          </w:p>
          <w:p w:rsidR="00E32DEB" w:rsidRPr="002E160E" w:rsidRDefault="008C051D">
            <w:pPr>
              <w:jc w:val="both"/>
              <w:rPr>
                <w:rFonts w:ascii="Palatino Linotype" w:eastAsia="Palatino Linotype" w:hAnsi="Palatino Linotype" w:cs="Palatino Linotype"/>
              </w:rPr>
            </w:pPr>
            <w:r w:rsidRPr="002E160E">
              <w:rPr>
                <w:rFonts w:ascii="Palatino Linotype" w:eastAsia="Palatino Linotype" w:hAnsi="Palatino Linotype" w:cs="Palatino Linotype"/>
                <w:b/>
              </w:rPr>
              <w:t xml:space="preserve">Acta 865.pdf: </w:t>
            </w:r>
            <w:r w:rsidRPr="002E160E">
              <w:rPr>
                <w:rFonts w:ascii="Palatino Linotype" w:eastAsia="Palatino Linotype" w:hAnsi="Palatino Linotype" w:cs="Palatino Linotype"/>
              </w:rPr>
              <w:t xml:space="preserve">Acta de la Octingentésima Sexagésima Quinta Sesión Extraordinaria 2024 del Comité de Transparencia del Municipio de Toluca Administración 2022-2024, por la cual se aprobó el cambio de modalidad para la atención a la solicitud de información.  </w:t>
            </w:r>
          </w:p>
        </w:tc>
      </w:tr>
      <w:tr w:rsidR="00E32DEB" w:rsidRPr="002E160E">
        <w:tc>
          <w:tcPr>
            <w:tcW w:w="93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32DEB" w:rsidRPr="002E160E" w:rsidRDefault="008C051D">
            <w:pPr>
              <w:jc w:val="center"/>
              <w:rPr>
                <w:rFonts w:ascii="Palatino Linotype" w:eastAsia="Palatino Linotype" w:hAnsi="Palatino Linotype" w:cs="Palatino Linotype"/>
                <w:b/>
                <w:color w:val="000000"/>
              </w:rPr>
            </w:pPr>
            <w:r w:rsidRPr="002E160E">
              <w:rPr>
                <w:rFonts w:ascii="Palatino Linotype" w:eastAsia="Palatino Linotype" w:hAnsi="Palatino Linotype" w:cs="Palatino Linotype"/>
                <w:b/>
                <w:color w:val="000000"/>
              </w:rPr>
              <w:t>RECURSO DE REVISIÓN</w:t>
            </w:r>
          </w:p>
        </w:tc>
      </w:tr>
      <w:tr w:rsidR="00E32DEB" w:rsidRPr="002E160E">
        <w:tc>
          <w:tcPr>
            <w:tcW w:w="93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32DEB" w:rsidRPr="002E160E" w:rsidRDefault="008C051D">
            <w:pPr>
              <w:jc w:val="center"/>
              <w:rPr>
                <w:rFonts w:ascii="Palatino Linotype" w:eastAsia="Palatino Linotype" w:hAnsi="Palatino Linotype" w:cs="Palatino Linotype"/>
                <w:b/>
                <w:color w:val="000000"/>
              </w:rPr>
            </w:pPr>
            <w:r w:rsidRPr="002E160E">
              <w:rPr>
                <w:rFonts w:ascii="Palatino Linotype" w:eastAsia="Palatino Linotype" w:hAnsi="Palatino Linotype" w:cs="Palatino Linotype"/>
                <w:b/>
                <w:color w:val="000000"/>
              </w:rPr>
              <w:t>07009/INFOEM/IP/RR/2024</w:t>
            </w:r>
          </w:p>
        </w:tc>
      </w:tr>
      <w:tr w:rsidR="00E32DEB" w:rsidRPr="002E160E">
        <w:tc>
          <w:tcPr>
            <w:tcW w:w="9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32DEB" w:rsidRPr="002E160E" w:rsidRDefault="008C051D">
            <w:pPr>
              <w:jc w:val="both"/>
              <w:rPr>
                <w:rFonts w:ascii="Palatino Linotype" w:eastAsia="Palatino Linotype" w:hAnsi="Palatino Linotype" w:cs="Palatino Linotype"/>
                <w:b/>
              </w:rPr>
            </w:pPr>
            <w:r w:rsidRPr="002E160E">
              <w:rPr>
                <w:rFonts w:ascii="Palatino Linotype" w:eastAsia="Palatino Linotype" w:hAnsi="Palatino Linotype" w:cs="Palatino Linotype"/>
                <w:b/>
              </w:rPr>
              <w:t>Archivos Digitales:</w:t>
            </w:r>
          </w:p>
          <w:p w:rsidR="00E32DEB" w:rsidRPr="002E160E" w:rsidRDefault="008C051D">
            <w:pPr>
              <w:jc w:val="both"/>
              <w:rPr>
                <w:rFonts w:ascii="Palatino Linotype" w:eastAsia="Palatino Linotype" w:hAnsi="Palatino Linotype" w:cs="Palatino Linotype"/>
              </w:rPr>
            </w:pPr>
            <w:r w:rsidRPr="002E160E">
              <w:rPr>
                <w:rFonts w:ascii="Palatino Linotype" w:eastAsia="Palatino Linotype" w:hAnsi="Palatino Linotype" w:cs="Palatino Linotype"/>
                <w:b/>
              </w:rPr>
              <w:t xml:space="preserve">Acta 863.pdf: </w:t>
            </w:r>
            <w:r w:rsidRPr="002E160E">
              <w:rPr>
                <w:rFonts w:ascii="Palatino Linotype" w:eastAsia="Palatino Linotype" w:hAnsi="Palatino Linotype" w:cs="Palatino Linotype"/>
              </w:rPr>
              <w:t>Contiene Acta de la Octingentésima Sexagésima Tercera Sesión Extraordinaria 2024 del Comité de Transparencia, por la cual aprueban el cambio de modalidad argumentando la falta de capacidad humana, manifestando que solo cuentan con una persona para realizar la labor de proporcionar la información.</w:t>
            </w:r>
          </w:p>
          <w:p w:rsidR="00E32DEB" w:rsidRPr="002E160E" w:rsidRDefault="008C051D">
            <w:pPr>
              <w:jc w:val="both"/>
              <w:rPr>
                <w:rFonts w:ascii="Palatino Linotype" w:eastAsia="Palatino Linotype" w:hAnsi="Palatino Linotype" w:cs="Palatino Linotype"/>
              </w:rPr>
            </w:pPr>
            <w:r w:rsidRPr="002E160E">
              <w:rPr>
                <w:rFonts w:ascii="Palatino Linotype" w:eastAsia="Palatino Linotype" w:hAnsi="Palatino Linotype" w:cs="Palatino Linotype"/>
                <w:b/>
              </w:rPr>
              <w:t xml:space="preserve">Respuesta 2410_24.pdf: </w:t>
            </w:r>
            <w:r w:rsidRPr="002E160E">
              <w:rPr>
                <w:rFonts w:ascii="Palatino Linotype" w:eastAsia="Palatino Linotype" w:hAnsi="Palatino Linotype" w:cs="Palatino Linotype"/>
              </w:rPr>
              <w:t>Archivo que contiene el oficio de fecha treinta y uno de octubre de dos mil veinticuatro, suscrito por la Titular de la Unidad de Transparencia, por el cual da respuesta al Recurrente, estableciendo un cambio de modalidad, refiriendo que la información si se localizó, sin embargo, cuenta con un peso de 1.66 Gigabytes, sobrepasando las capacidades del sistema.</w:t>
            </w:r>
          </w:p>
        </w:tc>
      </w:tr>
    </w:tbl>
    <w:p w:rsidR="00E32DEB" w:rsidRPr="002E160E" w:rsidRDefault="00E32DEB">
      <w:pPr>
        <w:pBdr>
          <w:top w:val="nil"/>
          <w:left w:val="nil"/>
          <w:bottom w:val="nil"/>
          <w:right w:val="nil"/>
          <w:between w:val="nil"/>
        </w:pBdr>
        <w:ind w:left="720"/>
        <w:rPr>
          <w:rFonts w:ascii="Palatino Linotype" w:eastAsia="Palatino Linotype" w:hAnsi="Palatino Linotype" w:cs="Palatino Linotype"/>
          <w:color w:val="000000"/>
        </w:rPr>
      </w:pPr>
    </w:p>
    <w:tbl>
      <w:tblPr>
        <w:tblStyle w:val="a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1"/>
      </w:tblGrid>
      <w:tr w:rsidR="00E32DEB" w:rsidRPr="002E160E">
        <w:tc>
          <w:tcPr>
            <w:tcW w:w="93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32DEB" w:rsidRPr="002E160E" w:rsidRDefault="008C051D">
            <w:pPr>
              <w:jc w:val="center"/>
              <w:rPr>
                <w:rFonts w:ascii="Palatino Linotype" w:eastAsia="Palatino Linotype" w:hAnsi="Palatino Linotype" w:cs="Palatino Linotype"/>
                <w:b/>
                <w:color w:val="000000"/>
              </w:rPr>
            </w:pPr>
            <w:r w:rsidRPr="002E160E">
              <w:rPr>
                <w:rFonts w:ascii="Palatino Linotype" w:eastAsia="Palatino Linotype" w:hAnsi="Palatino Linotype" w:cs="Palatino Linotype"/>
                <w:b/>
                <w:color w:val="000000"/>
              </w:rPr>
              <w:t>RECURSO DE REVISIÓN</w:t>
            </w:r>
          </w:p>
        </w:tc>
      </w:tr>
      <w:tr w:rsidR="00E32DEB" w:rsidRPr="002E160E">
        <w:tc>
          <w:tcPr>
            <w:tcW w:w="93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32DEB" w:rsidRPr="002E160E" w:rsidRDefault="008C051D">
            <w:pPr>
              <w:jc w:val="center"/>
              <w:rPr>
                <w:rFonts w:ascii="Palatino Linotype" w:eastAsia="Palatino Linotype" w:hAnsi="Palatino Linotype" w:cs="Palatino Linotype"/>
                <w:b/>
                <w:color w:val="000000"/>
              </w:rPr>
            </w:pPr>
            <w:r w:rsidRPr="002E160E">
              <w:rPr>
                <w:rFonts w:ascii="Palatino Linotype" w:eastAsia="Palatino Linotype" w:hAnsi="Palatino Linotype" w:cs="Palatino Linotype"/>
                <w:b/>
                <w:color w:val="000000"/>
              </w:rPr>
              <w:t>07010/INFOEM/IP/RR/2024</w:t>
            </w:r>
          </w:p>
        </w:tc>
      </w:tr>
      <w:tr w:rsidR="00E32DEB" w:rsidRPr="002E160E">
        <w:tc>
          <w:tcPr>
            <w:tcW w:w="9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32DEB" w:rsidRPr="002E160E" w:rsidRDefault="008C051D">
            <w:pPr>
              <w:jc w:val="both"/>
              <w:rPr>
                <w:rFonts w:ascii="Palatino Linotype" w:eastAsia="Palatino Linotype" w:hAnsi="Palatino Linotype" w:cs="Palatino Linotype"/>
                <w:b/>
              </w:rPr>
            </w:pPr>
            <w:r w:rsidRPr="002E160E">
              <w:rPr>
                <w:rFonts w:ascii="Palatino Linotype" w:eastAsia="Palatino Linotype" w:hAnsi="Palatino Linotype" w:cs="Palatino Linotype"/>
                <w:b/>
              </w:rPr>
              <w:t>Archivos Digitales:</w:t>
            </w:r>
          </w:p>
          <w:p w:rsidR="00E32DEB" w:rsidRPr="002E160E" w:rsidRDefault="008C051D">
            <w:pPr>
              <w:jc w:val="both"/>
              <w:rPr>
                <w:rFonts w:ascii="Palatino Linotype" w:eastAsia="Palatino Linotype" w:hAnsi="Palatino Linotype" w:cs="Palatino Linotype"/>
              </w:rPr>
            </w:pPr>
            <w:r w:rsidRPr="002E160E">
              <w:rPr>
                <w:rFonts w:ascii="Palatino Linotype" w:eastAsia="Palatino Linotype" w:hAnsi="Palatino Linotype" w:cs="Palatino Linotype"/>
                <w:b/>
              </w:rPr>
              <w:t xml:space="preserve">Respuesta 2411_24.pdf: </w:t>
            </w:r>
            <w:r w:rsidRPr="002E160E">
              <w:rPr>
                <w:rFonts w:ascii="Palatino Linotype" w:eastAsia="Palatino Linotype" w:hAnsi="Palatino Linotype" w:cs="Palatino Linotype"/>
              </w:rPr>
              <w:t>Archivo que contiene el oficio de fecha treinta y uno de octubre de dos mil veinticuatro, suscrito por la Titular de la Unidad de Transparencia, por el cual da respuesta al Recurrente, estableciendo un cambio de modalidad, refiriendo que la información si se localizó, sin embargo, cuenta con un peso de 1.66 Gigabytes, sobrepasando las capacidades del sistema.</w:t>
            </w:r>
          </w:p>
          <w:p w:rsidR="00E32DEB" w:rsidRPr="002E160E" w:rsidRDefault="008C051D">
            <w:pPr>
              <w:jc w:val="both"/>
              <w:rPr>
                <w:rFonts w:ascii="Palatino Linotype" w:eastAsia="Palatino Linotype" w:hAnsi="Palatino Linotype" w:cs="Palatino Linotype"/>
              </w:rPr>
            </w:pPr>
            <w:r w:rsidRPr="002E160E">
              <w:rPr>
                <w:rFonts w:ascii="Palatino Linotype" w:eastAsia="Palatino Linotype" w:hAnsi="Palatino Linotype" w:cs="Palatino Linotype"/>
                <w:b/>
              </w:rPr>
              <w:t xml:space="preserve">Acta 864.pdf: </w:t>
            </w:r>
            <w:r w:rsidRPr="002E160E">
              <w:rPr>
                <w:rFonts w:ascii="Palatino Linotype" w:eastAsia="Palatino Linotype" w:hAnsi="Palatino Linotype" w:cs="Palatino Linotype"/>
              </w:rPr>
              <w:t>Contiene Acta de la Octingentésima Sexagésima Tercera Sesión Extraordinaria 2024 del Comité de Transparencia, por la cual aprueban el cambio de modalidad argumentando la falta de capacidad humana, manifestando que solo cuentan con una persona para realizar la labor de proporcionar la información.</w:t>
            </w:r>
          </w:p>
        </w:tc>
      </w:tr>
    </w:tbl>
    <w:p w:rsidR="00E32DEB" w:rsidRPr="002E160E" w:rsidRDefault="00E32DE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E32DEB" w:rsidRPr="002E160E" w:rsidRDefault="008C051D">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0"/>
        <w:jc w:val="both"/>
        <w:rPr>
          <w:color w:val="000000"/>
        </w:rPr>
      </w:pPr>
      <w:r w:rsidRPr="002E160E">
        <w:rPr>
          <w:rFonts w:ascii="Palatino Linotype" w:eastAsia="Palatino Linotype" w:hAnsi="Palatino Linotype" w:cs="Palatino Linotype"/>
          <w:color w:val="000000"/>
        </w:rPr>
        <w:t xml:space="preserve">En fecha </w:t>
      </w:r>
      <w:r w:rsidRPr="002E160E">
        <w:rPr>
          <w:rFonts w:ascii="Palatino Linotype" w:eastAsia="Palatino Linotype" w:hAnsi="Palatino Linotype" w:cs="Palatino Linotype"/>
          <w:b/>
          <w:color w:val="000000"/>
        </w:rPr>
        <w:t>dos de noviembre de dos mil veinticuatro,</w:t>
      </w:r>
      <w:r w:rsidRPr="002E160E">
        <w:rPr>
          <w:rFonts w:ascii="Palatino Linotype" w:eastAsia="Palatino Linotype" w:hAnsi="Palatino Linotype" w:cs="Palatino Linotype"/>
          <w:color w:val="000000"/>
        </w:rPr>
        <w:t xml:space="preserve"> el particular interpuso los recursos de revisión en contra de las respuestas, manifestando:</w:t>
      </w:r>
    </w:p>
    <w:p w:rsidR="00E32DEB" w:rsidRPr="002E160E" w:rsidRDefault="00E32DEB">
      <w:p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p>
    <w:tbl>
      <w:tblPr>
        <w:tblStyle w:val="a2"/>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75"/>
      </w:tblGrid>
      <w:tr w:rsidR="00E32DEB" w:rsidRPr="002E160E">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E32DEB" w:rsidRPr="002E160E" w:rsidRDefault="008C051D">
            <w:pPr>
              <w:spacing w:line="360" w:lineRule="auto"/>
              <w:rPr>
                <w:color w:val="000000"/>
              </w:rPr>
            </w:pPr>
            <w:r w:rsidRPr="002E160E">
              <w:rPr>
                <w:rFonts w:ascii="Palatino Linotype" w:eastAsia="Palatino Linotype" w:hAnsi="Palatino Linotype" w:cs="Palatino Linotype"/>
                <w:b/>
              </w:rPr>
              <w:t>07008/INFOEM/IP/RR/2024</w:t>
            </w:r>
          </w:p>
        </w:tc>
      </w:tr>
      <w:tr w:rsidR="00E32DEB" w:rsidRPr="002E160E">
        <w:tc>
          <w:tcPr>
            <w:tcW w:w="9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2DEB" w:rsidRPr="002E160E" w:rsidRDefault="008C051D">
            <w:pPr>
              <w:numPr>
                <w:ilvl w:val="0"/>
                <w:numId w:val="5"/>
              </w:numPr>
              <w:spacing w:line="276" w:lineRule="auto"/>
              <w:jc w:val="both"/>
              <w:rPr>
                <w:rFonts w:ascii="Palatino Linotype" w:eastAsia="Palatino Linotype" w:hAnsi="Palatino Linotype" w:cs="Palatino Linotype"/>
                <w:i/>
                <w:color w:val="000000"/>
              </w:rPr>
            </w:pPr>
            <w:r w:rsidRPr="002E160E">
              <w:rPr>
                <w:rFonts w:ascii="Palatino Linotype" w:eastAsia="Palatino Linotype" w:hAnsi="Palatino Linotype" w:cs="Palatino Linotype"/>
                <w:b/>
                <w:color w:val="000000"/>
              </w:rPr>
              <w:t>Acto impugnado:</w:t>
            </w:r>
            <w:r w:rsidRPr="002E160E">
              <w:rPr>
                <w:rFonts w:ascii="Palatino Linotype" w:eastAsia="Palatino Linotype" w:hAnsi="Palatino Linotype" w:cs="Palatino Linotype"/>
                <w:b/>
                <w:i/>
                <w:color w:val="000000"/>
              </w:rPr>
              <w:t xml:space="preserve"> </w:t>
            </w:r>
            <w:r w:rsidRPr="002E160E">
              <w:rPr>
                <w:rFonts w:ascii="Palatino Linotype" w:eastAsia="Palatino Linotype" w:hAnsi="Palatino Linotype" w:cs="Palatino Linotype"/>
                <w:i/>
                <w:color w:val="000000"/>
              </w:rPr>
              <w:t xml:space="preserve">“repuesta 2409.” </w:t>
            </w:r>
            <w:r w:rsidRPr="002E160E">
              <w:rPr>
                <w:rFonts w:ascii="Palatino Linotype" w:eastAsia="Palatino Linotype" w:hAnsi="Palatino Linotype" w:cs="Palatino Linotype"/>
                <w:color w:val="000000"/>
              </w:rPr>
              <w:t>(Sic)</w:t>
            </w:r>
          </w:p>
          <w:p w:rsidR="00E32DEB" w:rsidRPr="002E160E" w:rsidRDefault="008C051D">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sidRPr="002E160E">
              <w:rPr>
                <w:rFonts w:ascii="Palatino Linotype" w:eastAsia="Palatino Linotype" w:hAnsi="Palatino Linotype" w:cs="Palatino Linotype"/>
                <w:b/>
                <w:color w:val="000000"/>
              </w:rPr>
              <w:t>Razones o Motivos de inconformidad:</w:t>
            </w:r>
            <w:r w:rsidRPr="002E160E">
              <w:rPr>
                <w:rFonts w:ascii="Palatino Linotype" w:eastAsia="Palatino Linotype" w:hAnsi="Palatino Linotype" w:cs="Palatino Linotype"/>
                <w:b/>
                <w:i/>
                <w:color w:val="000000"/>
              </w:rPr>
              <w:t xml:space="preserve"> </w:t>
            </w:r>
            <w:r w:rsidRPr="002E160E">
              <w:rPr>
                <w:rFonts w:ascii="Palatino Linotype" w:eastAsia="Palatino Linotype" w:hAnsi="Palatino Linotype" w:cs="Palatino Linotype"/>
                <w:i/>
                <w:color w:val="000000"/>
              </w:rPr>
              <w:t>“</w:t>
            </w:r>
            <w:proofErr w:type="spellStart"/>
            <w:r w:rsidRPr="002E160E">
              <w:rPr>
                <w:rFonts w:ascii="Palatino Linotype" w:eastAsia="Palatino Linotype" w:hAnsi="Palatino Linotype" w:cs="Palatino Linotype"/>
                <w:i/>
                <w:color w:val="000000"/>
              </w:rPr>
              <w:t>exienden</w:t>
            </w:r>
            <w:proofErr w:type="spellEnd"/>
            <w:r w:rsidRPr="002E160E">
              <w:rPr>
                <w:rFonts w:ascii="Palatino Linotype" w:eastAsia="Palatino Linotype" w:hAnsi="Palatino Linotype" w:cs="Palatino Linotype"/>
                <w:i/>
                <w:color w:val="000000"/>
              </w:rPr>
              <w:t xml:space="preserve"> el tiempo para darme </w:t>
            </w:r>
            <w:proofErr w:type="spellStart"/>
            <w:r w:rsidRPr="002E160E">
              <w:rPr>
                <w:rFonts w:ascii="Palatino Linotype" w:eastAsia="Palatino Linotype" w:hAnsi="Palatino Linotype" w:cs="Palatino Linotype"/>
                <w:i/>
                <w:color w:val="000000"/>
              </w:rPr>
              <w:t>respsuesta</w:t>
            </w:r>
            <w:proofErr w:type="spellEnd"/>
            <w:r w:rsidRPr="002E160E">
              <w:rPr>
                <w:rFonts w:ascii="Palatino Linotype" w:eastAsia="Palatino Linotype" w:hAnsi="Palatino Linotype" w:cs="Palatino Linotype"/>
                <w:i/>
                <w:color w:val="000000"/>
              </w:rPr>
              <w:t xml:space="preserve"> y al final NO la entregan y encima pretenden cambian la modalidad quiero encontrar congruencia con </w:t>
            </w:r>
            <w:proofErr w:type="spellStart"/>
            <w:r w:rsidRPr="002E160E">
              <w:rPr>
                <w:rFonts w:ascii="Palatino Linotype" w:eastAsia="Palatino Linotype" w:hAnsi="Palatino Linotype" w:cs="Palatino Linotype"/>
                <w:i/>
                <w:color w:val="000000"/>
              </w:rPr>
              <w:t>loque</w:t>
            </w:r>
            <w:proofErr w:type="spellEnd"/>
            <w:r w:rsidRPr="002E160E">
              <w:rPr>
                <w:rFonts w:ascii="Palatino Linotype" w:eastAsia="Palatino Linotype" w:hAnsi="Palatino Linotype" w:cs="Palatino Linotype"/>
                <w:i/>
                <w:color w:val="000000"/>
              </w:rPr>
              <w:t xml:space="preserve"> indican en su </w:t>
            </w:r>
            <w:proofErr w:type="spellStart"/>
            <w:r w:rsidRPr="002E160E">
              <w:rPr>
                <w:rFonts w:ascii="Palatino Linotype" w:eastAsia="Palatino Linotype" w:hAnsi="Palatino Linotype" w:cs="Palatino Linotype"/>
                <w:i/>
                <w:color w:val="000000"/>
              </w:rPr>
              <w:t>repsuesta</w:t>
            </w:r>
            <w:proofErr w:type="spellEnd"/>
            <w:r w:rsidRPr="002E160E">
              <w:rPr>
                <w:rFonts w:ascii="Palatino Linotype" w:eastAsia="Palatino Linotype" w:hAnsi="Palatino Linotype" w:cs="Palatino Linotype"/>
                <w:i/>
                <w:color w:val="000000"/>
              </w:rPr>
              <w:t xml:space="preserve">.... pone a disposición del Recurrente el cambio de modalidad, por consulta directa (in situ); toda vez que, el principal objetivo de la Ley de Transparencia Acceso a la Información Pública del Estado de México y Municipios y de su Reglamento, es la provisión de los medios necesarios para garantizar el derecho de toda persona, de acceder a la información gubernamental considerada como pública y qué, en el carácter público de la información en posesión de los sujetos obligados, impera el principio de máxima publicidad para transparentar </w:t>
            </w:r>
            <w:r w:rsidRPr="002E160E">
              <w:rPr>
                <w:rFonts w:ascii="Palatino Linotype" w:eastAsia="Palatino Linotype" w:hAnsi="Palatino Linotype" w:cs="Palatino Linotype"/>
                <w:i/>
                <w:color w:val="000000"/>
              </w:rPr>
              <w:lastRenderedPageBreak/>
              <w:t xml:space="preserve">la gestión pública, mediante la difusión de la información, ..." POR LOQUE PIDO ME SEA ENTREGADA POR ESTE MEDIO LA INFORMACION SOLICITADA.” </w:t>
            </w:r>
            <w:r w:rsidRPr="002E160E">
              <w:rPr>
                <w:rFonts w:ascii="Palatino Linotype" w:eastAsia="Palatino Linotype" w:hAnsi="Palatino Linotype" w:cs="Palatino Linotype"/>
                <w:color w:val="000000"/>
              </w:rPr>
              <w:t>(Sic)</w:t>
            </w:r>
          </w:p>
        </w:tc>
      </w:tr>
    </w:tbl>
    <w:p w:rsidR="00E32DEB" w:rsidRPr="002E160E" w:rsidRDefault="00E32DEB">
      <w:pPr>
        <w:pBdr>
          <w:top w:val="none" w:sz="0" w:space="0" w:color="000000"/>
          <w:left w:val="none" w:sz="0" w:space="0" w:color="000000"/>
          <w:bottom w:val="none" w:sz="0" w:space="0" w:color="000000"/>
          <w:right w:val="none" w:sz="0" w:space="0" w:color="000000"/>
          <w:between w:val="none" w:sz="0" w:space="0" w:color="000000"/>
        </w:pBdr>
        <w:spacing w:line="360" w:lineRule="auto"/>
        <w:jc w:val="both"/>
        <w:rPr>
          <w:color w:val="000000"/>
        </w:rPr>
      </w:pPr>
    </w:p>
    <w:tbl>
      <w:tblPr>
        <w:tblStyle w:val="a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75"/>
      </w:tblGrid>
      <w:tr w:rsidR="00E32DEB" w:rsidRPr="002E160E">
        <w:tc>
          <w:tcPr>
            <w:tcW w:w="9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2DEB" w:rsidRPr="002E160E" w:rsidRDefault="008C051D">
            <w:pPr>
              <w:spacing w:line="276" w:lineRule="auto"/>
              <w:rPr>
                <w:color w:val="000000"/>
              </w:rPr>
            </w:pPr>
            <w:r w:rsidRPr="002E160E">
              <w:rPr>
                <w:rFonts w:ascii="Palatino Linotype" w:eastAsia="Palatino Linotype" w:hAnsi="Palatino Linotype" w:cs="Palatino Linotype"/>
                <w:b/>
              </w:rPr>
              <w:t>07009/INFOEM/IP/RR/2024</w:t>
            </w:r>
          </w:p>
        </w:tc>
      </w:tr>
      <w:tr w:rsidR="00E32DEB" w:rsidRPr="002E160E">
        <w:tc>
          <w:tcPr>
            <w:tcW w:w="9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2DEB" w:rsidRPr="002E160E" w:rsidRDefault="008C051D">
            <w:pPr>
              <w:numPr>
                <w:ilvl w:val="0"/>
                <w:numId w:val="5"/>
              </w:numPr>
              <w:spacing w:line="276" w:lineRule="auto"/>
              <w:jc w:val="both"/>
              <w:rPr>
                <w:rFonts w:ascii="Palatino Linotype" w:eastAsia="Palatino Linotype" w:hAnsi="Palatino Linotype" w:cs="Palatino Linotype"/>
                <w:i/>
                <w:color w:val="000000"/>
              </w:rPr>
            </w:pPr>
            <w:r w:rsidRPr="002E160E">
              <w:rPr>
                <w:rFonts w:ascii="Palatino Linotype" w:eastAsia="Palatino Linotype" w:hAnsi="Palatino Linotype" w:cs="Palatino Linotype"/>
                <w:b/>
                <w:i/>
                <w:color w:val="000000"/>
              </w:rPr>
              <w:t xml:space="preserve">Acto impugnado: </w:t>
            </w:r>
            <w:r w:rsidRPr="002E160E">
              <w:rPr>
                <w:rFonts w:ascii="Palatino Linotype" w:eastAsia="Palatino Linotype" w:hAnsi="Palatino Linotype" w:cs="Palatino Linotype"/>
                <w:i/>
                <w:color w:val="000000"/>
              </w:rPr>
              <w:t>“RESPUESTA 2410.” (Sic)</w:t>
            </w:r>
          </w:p>
          <w:p w:rsidR="00E32DEB" w:rsidRPr="002E160E" w:rsidRDefault="008C051D">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sidRPr="002E160E">
              <w:rPr>
                <w:rFonts w:ascii="Palatino Linotype" w:eastAsia="Palatino Linotype" w:hAnsi="Palatino Linotype" w:cs="Palatino Linotype"/>
                <w:b/>
                <w:i/>
                <w:color w:val="000000"/>
              </w:rPr>
              <w:t xml:space="preserve">Razones o Motivos de inconformidad: </w:t>
            </w:r>
            <w:r w:rsidRPr="002E160E">
              <w:rPr>
                <w:rFonts w:ascii="Palatino Linotype" w:eastAsia="Palatino Linotype" w:hAnsi="Palatino Linotype" w:cs="Palatino Linotype"/>
                <w:i/>
                <w:color w:val="000000"/>
              </w:rPr>
              <w:t xml:space="preserve">“extienden el tiempo para darme respuesta y al final NO la entregan y encima de todo </w:t>
            </w:r>
            <w:proofErr w:type="spellStart"/>
            <w:r w:rsidRPr="002E160E">
              <w:rPr>
                <w:rFonts w:ascii="Palatino Linotype" w:eastAsia="Palatino Linotype" w:hAnsi="Palatino Linotype" w:cs="Palatino Linotype"/>
                <w:i/>
                <w:color w:val="000000"/>
              </w:rPr>
              <w:t>pretenen</w:t>
            </w:r>
            <w:proofErr w:type="spellEnd"/>
            <w:r w:rsidRPr="002E160E">
              <w:rPr>
                <w:rFonts w:ascii="Palatino Linotype" w:eastAsia="Palatino Linotype" w:hAnsi="Palatino Linotype" w:cs="Palatino Linotype"/>
                <w:i/>
                <w:color w:val="000000"/>
              </w:rPr>
              <w:t xml:space="preserve"> cambiar la modalidad quiero encontrar congruencia con </w:t>
            </w:r>
            <w:proofErr w:type="spellStart"/>
            <w:r w:rsidRPr="002E160E">
              <w:rPr>
                <w:rFonts w:ascii="Palatino Linotype" w:eastAsia="Palatino Linotype" w:hAnsi="Palatino Linotype" w:cs="Palatino Linotype"/>
                <w:i/>
                <w:color w:val="000000"/>
              </w:rPr>
              <w:t>loque</w:t>
            </w:r>
            <w:proofErr w:type="spellEnd"/>
            <w:r w:rsidRPr="002E160E">
              <w:rPr>
                <w:rFonts w:ascii="Palatino Linotype" w:eastAsia="Palatino Linotype" w:hAnsi="Palatino Linotype" w:cs="Palatino Linotype"/>
                <w:i/>
                <w:color w:val="000000"/>
              </w:rPr>
              <w:t xml:space="preserve"> indican en su respuesta.... pone a disposición del Recurrente el cambio de modalidad, por consulta directa (in situ)</w:t>
            </w:r>
            <w:proofErr w:type="gramStart"/>
            <w:r w:rsidRPr="002E160E">
              <w:rPr>
                <w:rFonts w:ascii="Palatino Linotype" w:eastAsia="Palatino Linotype" w:hAnsi="Palatino Linotype" w:cs="Palatino Linotype"/>
                <w:i/>
                <w:color w:val="000000"/>
              </w:rPr>
              <w:t>; .......</w:t>
            </w:r>
            <w:proofErr w:type="gramEnd"/>
            <w:r w:rsidRPr="002E160E">
              <w:rPr>
                <w:rFonts w:ascii="Palatino Linotype" w:eastAsia="Palatino Linotype" w:hAnsi="Palatino Linotype" w:cs="Palatino Linotype"/>
                <w:i/>
                <w:color w:val="000000"/>
              </w:rPr>
              <w:t xml:space="preserve"> transgreden el derecho de acceso a la </w:t>
            </w:r>
            <w:proofErr w:type="spellStart"/>
            <w:r w:rsidRPr="002E160E">
              <w:rPr>
                <w:rFonts w:ascii="Palatino Linotype" w:eastAsia="Palatino Linotype" w:hAnsi="Palatino Linotype" w:cs="Palatino Linotype"/>
                <w:i/>
                <w:color w:val="000000"/>
              </w:rPr>
              <w:t>informacion</w:t>
            </w:r>
            <w:proofErr w:type="spellEnd"/>
            <w:r w:rsidRPr="002E160E">
              <w:rPr>
                <w:rFonts w:ascii="Palatino Linotype" w:eastAsia="Palatino Linotype" w:hAnsi="Palatino Linotype" w:cs="Palatino Linotype"/>
                <w:i/>
                <w:color w:val="000000"/>
              </w:rPr>
              <w:t xml:space="preserve"> pretendiendo cambiar la modalidad. </w:t>
            </w:r>
            <w:proofErr w:type="spellStart"/>
            <w:r w:rsidRPr="002E160E">
              <w:rPr>
                <w:rFonts w:ascii="Palatino Linotype" w:eastAsia="Palatino Linotype" w:hAnsi="Palatino Linotype" w:cs="Palatino Linotype"/>
                <w:i/>
                <w:color w:val="000000"/>
              </w:rPr>
              <w:t>presisamente</w:t>
            </w:r>
            <w:proofErr w:type="spellEnd"/>
            <w:r w:rsidRPr="002E160E">
              <w:rPr>
                <w:rFonts w:ascii="Palatino Linotype" w:eastAsia="Palatino Linotype" w:hAnsi="Palatino Linotype" w:cs="Palatino Linotype"/>
                <w:i/>
                <w:color w:val="000000"/>
              </w:rPr>
              <w:t xml:space="preserve"> por esto.... la información en posesión de los sujetos obligados, impera el principio de máxima publicidad para transparentar la gestión pública, mediante la difusión de la información</w:t>
            </w:r>
            <w:proofErr w:type="gramStart"/>
            <w:r w:rsidRPr="002E160E">
              <w:rPr>
                <w:rFonts w:ascii="Palatino Linotype" w:eastAsia="Palatino Linotype" w:hAnsi="Palatino Linotype" w:cs="Palatino Linotype"/>
                <w:i/>
                <w:color w:val="000000"/>
              </w:rPr>
              <w:t>, ...</w:t>
            </w:r>
            <w:proofErr w:type="gramEnd"/>
            <w:r w:rsidRPr="002E160E">
              <w:rPr>
                <w:rFonts w:ascii="Palatino Linotype" w:eastAsia="Palatino Linotype" w:hAnsi="Palatino Linotype" w:cs="Palatino Linotype"/>
                <w:i/>
                <w:color w:val="000000"/>
              </w:rPr>
              <w:t xml:space="preserve">" deben entregarla. POR LO QUE PIDO ME SEA ENTREGADA POR ESTE MEDIO LA INFORMACION SOLICITADA.” </w:t>
            </w:r>
            <w:r w:rsidRPr="002E160E">
              <w:rPr>
                <w:rFonts w:ascii="Palatino Linotype" w:eastAsia="Palatino Linotype" w:hAnsi="Palatino Linotype" w:cs="Palatino Linotype"/>
                <w:color w:val="000000"/>
              </w:rPr>
              <w:t>(Sic)</w:t>
            </w:r>
          </w:p>
        </w:tc>
      </w:tr>
    </w:tbl>
    <w:p w:rsidR="00E32DEB" w:rsidRPr="002E160E" w:rsidRDefault="00E32DEB">
      <w:pPr>
        <w:pBdr>
          <w:top w:val="none" w:sz="0" w:space="0" w:color="000000"/>
          <w:left w:val="none" w:sz="0" w:space="0" w:color="000000"/>
          <w:bottom w:val="none" w:sz="0" w:space="0" w:color="000000"/>
          <w:right w:val="none" w:sz="0" w:space="0" w:color="000000"/>
          <w:between w:val="none" w:sz="0" w:space="0" w:color="000000"/>
        </w:pBdr>
        <w:spacing w:line="360" w:lineRule="auto"/>
        <w:jc w:val="both"/>
        <w:rPr>
          <w:color w:val="000000"/>
        </w:rPr>
      </w:pPr>
    </w:p>
    <w:tbl>
      <w:tblPr>
        <w:tblStyle w:val="a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75"/>
      </w:tblGrid>
      <w:tr w:rsidR="00E32DEB" w:rsidRPr="002E160E">
        <w:tc>
          <w:tcPr>
            <w:tcW w:w="9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2DEB" w:rsidRPr="002E160E" w:rsidRDefault="008C051D">
            <w:pPr>
              <w:spacing w:line="276" w:lineRule="auto"/>
              <w:rPr>
                <w:color w:val="000000"/>
              </w:rPr>
            </w:pPr>
            <w:r w:rsidRPr="002E160E">
              <w:rPr>
                <w:rFonts w:ascii="Palatino Linotype" w:eastAsia="Palatino Linotype" w:hAnsi="Palatino Linotype" w:cs="Palatino Linotype"/>
                <w:b/>
              </w:rPr>
              <w:t>07010/INFOEM/IP/RR/2024</w:t>
            </w:r>
          </w:p>
        </w:tc>
      </w:tr>
      <w:tr w:rsidR="00E32DEB" w:rsidRPr="002E160E">
        <w:tc>
          <w:tcPr>
            <w:tcW w:w="9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2DEB" w:rsidRPr="002E160E" w:rsidRDefault="008C051D">
            <w:pPr>
              <w:numPr>
                <w:ilvl w:val="0"/>
                <w:numId w:val="5"/>
              </w:numPr>
              <w:spacing w:line="276" w:lineRule="auto"/>
              <w:jc w:val="both"/>
              <w:rPr>
                <w:rFonts w:ascii="Palatino Linotype" w:eastAsia="Palatino Linotype" w:hAnsi="Palatino Linotype" w:cs="Palatino Linotype"/>
                <w:i/>
                <w:color w:val="000000"/>
              </w:rPr>
            </w:pPr>
            <w:r w:rsidRPr="002E160E">
              <w:rPr>
                <w:rFonts w:ascii="Palatino Linotype" w:eastAsia="Palatino Linotype" w:hAnsi="Palatino Linotype" w:cs="Palatino Linotype"/>
                <w:b/>
                <w:color w:val="000000"/>
              </w:rPr>
              <w:t>Acto impugnado:</w:t>
            </w:r>
            <w:r w:rsidRPr="002E160E">
              <w:rPr>
                <w:rFonts w:ascii="Palatino Linotype" w:eastAsia="Palatino Linotype" w:hAnsi="Palatino Linotype" w:cs="Palatino Linotype"/>
                <w:b/>
                <w:i/>
                <w:color w:val="000000"/>
              </w:rPr>
              <w:t xml:space="preserve"> </w:t>
            </w:r>
            <w:r w:rsidRPr="002E160E">
              <w:rPr>
                <w:rFonts w:ascii="Palatino Linotype" w:eastAsia="Palatino Linotype" w:hAnsi="Palatino Linotype" w:cs="Palatino Linotype"/>
                <w:i/>
                <w:color w:val="000000"/>
              </w:rPr>
              <w:t xml:space="preserve">“respuesta 2411.” </w:t>
            </w:r>
            <w:r w:rsidRPr="002E160E">
              <w:rPr>
                <w:rFonts w:ascii="Palatino Linotype" w:eastAsia="Palatino Linotype" w:hAnsi="Palatino Linotype" w:cs="Palatino Linotype"/>
                <w:color w:val="000000"/>
              </w:rPr>
              <w:t>(Sic)</w:t>
            </w:r>
            <w:r w:rsidRPr="002E160E">
              <w:rPr>
                <w:rFonts w:ascii="Palatino Linotype" w:eastAsia="Palatino Linotype" w:hAnsi="Palatino Linotype" w:cs="Palatino Linotype"/>
                <w:i/>
                <w:color w:val="000000"/>
              </w:rPr>
              <w:t xml:space="preserve"> </w:t>
            </w:r>
          </w:p>
          <w:p w:rsidR="00E32DEB" w:rsidRPr="002E160E" w:rsidRDefault="008C051D">
            <w:pPr>
              <w:numPr>
                <w:ilvl w:val="0"/>
                <w:numId w:val="3"/>
              </w:numPr>
              <w:pBdr>
                <w:top w:val="nil"/>
                <w:left w:val="nil"/>
                <w:bottom w:val="nil"/>
                <w:right w:val="nil"/>
                <w:between w:val="nil"/>
              </w:pBdr>
              <w:jc w:val="both"/>
              <w:rPr>
                <w:rFonts w:ascii="Century Gothic" w:eastAsia="Century Gothic" w:hAnsi="Century Gothic" w:cs="Century Gothic"/>
                <w:color w:val="000000"/>
              </w:rPr>
            </w:pPr>
            <w:r w:rsidRPr="002E160E">
              <w:rPr>
                <w:rFonts w:ascii="Palatino Linotype" w:eastAsia="Palatino Linotype" w:hAnsi="Palatino Linotype" w:cs="Palatino Linotype"/>
                <w:b/>
                <w:color w:val="000000"/>
              </w:rPr>
              <w:t xml:space="preserve">Razones o Motivos de inconformidad: </w:t>
            </w:r>
            <w:r w:rsidRPr="002E160E">
              <w:rPr>
                <w:rFonts w:ascii="Palatino Linotype" w:eastAsia="Palatino Linotype" w:hAnsi="Palatino Linotype" w:cs="Palatino Linotype"/>
                <w:i/>
                <w:color w:val="000000"/>
              </w:rPr>
              <w:t xml:space="preserve">“extienden el tiempo para darme respuesta y al final NO la entregan y encima de todo </w:t>
            </w:r>
            <w:proofErr w:type="spellStart"/>
            <w:r w:rsidRPr="002E160E">
              <w:rPr>
                <w:rFonts w:ascii="Palatino Linotype" w:eastAsia="Palatino Linotype" w:hAnsi="Palatino Linotype" w:cs="Palatino Linotype"/>
                <w:i/>
                <w:color w:val="000000"/>
              </w:rPr>
              <w:t>pretenen</w:t>
            </w:r>
            <w:proofErr w:type="spellEnd"/>
            <w:r w:rsidRPr="002E160E">
              <w:rPr>
                <w:rFonts w:ascii="Palatino Linotype" w:eastAsia="Palatino Linotype" w:hAnsi="Palatino Linotype" w:cs="Palatino Linotype"/>
                <w:i/>
                <w:color w:val="000000"/>
              </w:rPr>
              <w:t xml:space="preserve"> cambiar la modalidad quiero encontrar congruencia con </w:t>
            </w:r>
            <w:proofErr w:type="spellStart"/>
            <w:r w:rsidRPr="002E160E">
              <w:rPr>
                <w:rFonts w:ascii="Palatino Linotype" w:eastAsia="Palatino Linotype" w:hAnsi="Palatino Linotype" w:cs="Palatino Linotype"/>
                <w:i/>
                <w:color w:val="000000"/>
              </w:rPr>
              <w:t>loque</w:t>
            </w:r>
            <w:proofErr w:type="spellEnd"/>
            <w:r w:rsidRPr="002E160E">
              <w:rPr>
                <w:rFonts w:ascii="Palatino Linotype" w:eastAsia="Palatino Linotype" w:hAnsi="Palatino Linotype" w:cs="Palatino Linotype"/>
                <w:i/>
                <w:color w:val="000000"/>
              </w:rPr>
              <w:t xml:space="preserve"> indican en su respuesta.... pone a disposición del Recurrente el cambio de modalidad, por consulta directa (in situ)</w:t>
            </w:r>
            <w:proofErr w:type="gramStart"/>
            <w:r w:rsidRPr="002E160E">
              <w:rPr>
                <w:rFonts w:ascii="Palatino Linotype" w:eastAsia="Palatino Linotype" w:hAnsi="Palatino Linotype" w:cs="Palatino Linotype"/>
                <w:i/>
                <w:color w:val="000000"/>
              </w:rPr>
              <w:t>; .......</w:t>
            </w:r>
            <w:proofErr w:type="gramEnd"/>
            <w:r w:rsidRPr="002E160E">
              <w:rPr>
                <w:rFonts w:ascii="Palatino Linotype" w:eastAsia="Palatino Linotype" w:hAnsi="Palatino Linotype" w:cs="Palatino Linotype"/>
                <w:i/>
                <w:color w:val="000000"/>
              </w:rPr>
              <w:t xml:space="preserve"> transgreden el derecho de acceso a la </w:t>
            </w:r>
            <w:proofErr w:type="spellStart"/>
            <w:r w:rsidRPr="002E160E">
              <w:rPr>
                <w:rFonts w:ascii="Palatino Linotype" w:eastAsia="Palatino Linotype" w:hAnsi="Palatino Linotype" w:cs="Palatino Linotype"/>
                <w:i/>
                <w:color w:val="000000"/>
              </w:rPr>
              <w:t>informacion</w:t>
            </w:r>
            <w:proofErr w:type="spellEnd"/>
            <w:r w:rsidRPr="002E160E">
              <w:rPr>
                <w:rFonts w:ascii="Palatino Linotype" w:eastAsia="Palatino Linotype" w:hAnsi="Palatino Linotype" w:cs="Palatino Linotype"/>
                <w:i/>
                <w:color w:val="000000"/>
              </w:rPr>
              <w:t xml:space="preserve"> pretendiendo cambiar la modalidad. </w:t>
            </w:r>
            <w:proofErr w:type="spellStart"/>
            <w:r w:rsidRPr="002E160E">
              <w:rPr>
                <w:rFonts w:ascii="Palatino Linotype" w:eastAsia="Palatino Linotype" w:hAnsi="Palatino Linotype" w:cs="Palatino Linotype"/>
                <w:i/>
                <w:color w:val="000000"/>
              </w:rPr>
              <w:t>presisamente</w:t>
            </w:r>
            <w:proofErr w:type="spellEnd"/>
            <w:r w:rsidRPr="002E160E">
              <w:rPr>
                <w:rFonts w:ascii="Palatino Linotype" w:eastAsia="Palatino Linotype" w:hAnsi="Palatino Linotype" w:cs="Palatino Linotype"/>
                <w:i/>
                <w:color w:val="000000"/>
              </w:rPr>
              <w:t xml:space="preserve"> por esto.... la información en posesión de los sujetos obligados, impera el principio de máxima publicidad para transparentar la gestión pública, mediante la difusión de la información</w:t>
            </w:r>
            <w:proofErr w:type="gramStart"/>
            <w:r w:rsidRPr="002E160E">
              <w:rPr>
                <w:rFonts w:ascii="Palatino Linotype" w:eastAsia="Palatino Linotype" w:hAnsi="Palatino Linotype" w:cs="Palatino Linotype"/>
                <w:i/>
                <w:color w:val="000000"/>
              </w:rPr>
              <w:t>, ...</w:t>
            </w:r>
            <w:proofErr w:type="gramEnd"/>
            <w:r w:rsidRPr="002E160E">
              <w:rPr>
                <w:rFonts w:ascii="Palatino Linotype" w:eastAsia="Palatino Linotype" w:hAnsi="Palatino Linotype" w:cs="Palatino Linotype"/>
                <w:i/>
                <w:color w:val="000000"/>
              </w:rPr>
              <w:t>" deben entregarla. POR LO QUE PIDO ME SEA ENTREGADA POR ESTE MEDIO LA INFORMACION SOLICITADA</w:t>
            </w:r>
            <w:r w:rsidRPr="002E160E">
              <w:rPr>
                <w:rFonts w:ascii="Palatino Linotype" w:eastAsia="Palatino Linotype" w:hAnsi="Palatino Linotype" w:cs="Palatino Linotype"/>
                <w:color w:val="000000"/>
              </w:rPr>
              <w:t>”.</w:t>
            </w:r>
            <w:r w:rsidRPr="002E160E">
              <w:rPr>
                <w:rFonts w:ascii="Palatino Linotype" w:eastAsia="Palatino Linotype" w:hAnsi="Palatino Linotype" w:cs="Palatino Linotype"/>
                <w:i/>
                <w:color w:val="000000"/>
              </w:rPr>
              <w:t xml:space="preserve"> </w:t>
            </w:r>
            <w:r w:rsidRPr="002E160E">
              <w:rPr>
                <w:rFonts w:ascii="Palatino Linotype" w:eastAsia="Palatino Linotype" w:hAnsi="Palatino Linotype" w:cs="Palatino Linotype"/>
                <w:color w:val="000000"/>
              </w:rPr>
              <w:t>(Sic)</w:t>
            </w:r>
          </w:p>
        </w:tc>
      </w:tr>
    </w:tbl>
    <w:p w:rsidR="00E32DEB" w:rsidRPr="002E160E" w:rsidRDefault="00E32DEB">
      <w:pPr>
        <w:pBdr>
          <w:top w:val="none" w:sz="0" w:space="0" w:color="000000"/>
          <w:left w:val="none" w:sz="0" w:space="0" w:color="000000"/>
          <w:bottom w:val="none" w:sz="0" w:space="0" w:color="000000"/>
          <w:right w:val="none" w:sz="0" w:space="0" w:color="000000"/>
          <w:between w:val="none" w:sz="0" w:space="0" w:color="000000"/>
        </w:pBdr>
        <w:spacing w:line="360" w:lineRule="auto"/>
        <w:jc w:val="both"/>
        <w:rPr>
          <w:color w:val="000000"/>
        </w:rPr>
      </w:pPr>
    </w:p>
    <w:p w:rsidR="00E32DEB" w:rsidRPr="002E160E" w:rsidRDefault="008C051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lastRenderedPageBreak/>
        <w:t>Consecutivamente</w:t>
      </w:r>
      <w:r w:rsidRPr="002E160E">
        <w:rPr>
          <w:rFonts w:ascii="Palatino Linotype" w:eastAsia="Palatino Linotype" w:hAnsi="Palatino Linotype" w:cs="Palatino Linotype"/>
          <w:i/>
          <w:color w:val="000000"/>
        </w:rPr>
        <w:t xml:space="preserve">, </w:t>
      </w:r>
      <w:r w:rsidRPr="002E160E">
        <w:rPr>
          <w:rFonts w:ascii="Palatino Linotype" w:eastAsia="Palatino Linotype" w:hAnsi="Palatino Linotype" w:cs="Palatino Linotype"/>
          <w:color w:val="000000"/>
        </w:rPr>
        <w:t>con fundamento en lo dispuesto por el artículo 185 fracción I de la Ley de Transparencia y Acceso a la Información Pública del Estado de México y Municipios, los recursos de referencia, fueron turnados</w:t>
      </w:r>
      <w:r w:rsidRPr="002E160E">
        <w:rPr>
          <w:rFonts w:ascii="Palatino Linotype" w:eastAsia="Palatino Linotype" w:hAnsi="Palatino Linotype" w:cs="Palatino Linotype"/>
          <w:b/>
          <w:color w:val="000000"/>
        </w:rPr>
        <w:t xml:space="preserve"> </w:t>
      </w:r>
      <w:r w:rsidRPr="002E160E">
        <w:rPr>
          <w:rFonts w:ascii="Palatino Linotype" w:eastAsia="Palatino Linotype" w:hAnsi="Palatino Linotype" w:cs="Palatino Linotype"/>
          <w:color w:val="000000"/>
        </w:rPr>
        <w:t xml:space="preserve">a los comisionados </w:t>
      </w:r>
      <w:r w:rsidRPr="002E160E">
        <w:rPr>
          <w:rFonts w:ascii="Palatino Linotype" w:eastAsia="Palatino Linotype" w:hAnsi="Palatino Linotype" w:cs="Palatino Linotype"/>
          <w:b/>
          <w:color w:val="000000"/>
        </w:rPr>
        <w:t>María del Rosario Mejía Ayala, Guadalupe Ramírez Peña y José Martínez Vilchis,</w:t>
      </w:r>
      <w:r w:rsidRPr="002E160E">
        <w:rPr>
          <w:rFonts w:ascii="Palatino Linotype" w:eastAsia="Palatino Linotype" w:hAnsi="Palatino Linotype" w:cs="Palatino Linotype"/>
          <w:color w:val="000000"/>
        </w:rPr>
        <w:t xml:space="preserve"> respectivamente,</w:t>
      </w:r>
      <w:r w:rsidRPr="002E160E">
        <w:rPr>
          <w:rFonts w:ascii="Palatino Linotype" w:eastAsia="Palatino Linotype" w:hAnsi="Palatino Linotype" w:cs="Palatino Linotype"/>
          <w:b/>
          <w:color w:val="000000"/>
        </w:rPr>
        <w:t xml:space="preserve"> </w:t>
      </w:r>
      <w:r w:rsidRPr="002E160E">
        <w:rPr>
          <w:rFonts w:ascii="Palatino Linotype" w:eastAsia="Palatino Linotype" w:hAnsi="Palatino Linotype" w:cs="Palatino Linotype"/>
          <w:color w:val="000000"/>
        </w:rPr>
        <w:t>con el objeto de su análisis.</w:t>
      </w:r>
    </w:p>
    <w:p w:rsidR="00E32DEB" w:rsidRPr="002E160E" w:rsidRDefault="00E32DE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32DEB" w:rsidRPr="002E160E" w:rsidRDefault="008C051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 xml:space="preserve">Los Comisionados Ponentes de origen con fundamento en lo dispuesto por el artículo 185 fracción II de la ley de la materia, a través de los </w:t>
      </w:r>
      <w:r w:rsidRPr="002E160E">
        <w:rPr>
          <w:rFonts w:ascii="Palatino Linotype" w:eastAsia="Palatino Linotype" w:hAnsi="Palatino Linotype" w:cs="Palatino Linotype"/>
          <w:b/>
          <w:color w:val="000000"/>
        </w:rPr>
        <w:t xml:space="preserve">acuerdos de admisión </w:t>
      </w:r>
      <w:r w:rsidRPr="002E160E">
        <w:rPr>
          <w:rFonts w:ascii="Palatino Linotype" w:eastAsia="Palatino Linotype" w:hAnsi="Palatino Linotype" w:cs="Palatino Linotype"/>
          <w:color w:val="000000"/>
        </w:rPr>
        <w:t xml:space="preserve">de fechas </w:t>
      </w:r>
      <w:r w:rsidRPr="002E160E">
        <w:rPr>
          <w:rFonts w:ascii="Palatino Linotype" w:eastAsia="Palatino Linotype" w:hAnsi="Palatino Linotype" w:cs="Palatino Linotype"/>
          <w:b/>
          <w:color w:val="000000"/>
        </w:rPr>
        <w:t>siete, cinco y ocho de noviembre de dos mil veinticuatro</w:t>
      </w:r>
      <w:r w:rsidRPr="002E160E">
        <w:rPr>
          <w:rFonts w:ascii="Palatino Linotype" w:eastAsia="Palatino Linotype" w:hAnsi="Palatino Linotype" w:cs="Palatino Linotype"/>
          <w:color w:val="000000"/>
        </w:rPr>
        <w:t xml:space="preserve">, pusieron a disposición de las partes el expediente electrónico vía SAIMEX a efecto de que en un plazo máximo de siete días manifestaran lo que a su derecho conviniera, ofrecieran pruebas y alegatos según corresponda al caso concreto, de esta forma para que el </w:t>
      </w:r>
      <w:r w:rsidRPr="002E160E">
        <w:rPr>
          <w:rFonts w:ascii="Palatino Linotype" w:eastAsia="Palatino Linotype" w:hAnsi="Palatino Linotype" w:cs="Palatino Linotype"/>
          <w:b/>
          <w:color w:val="000000"/>
        </w:rPr>
        <w:t xml:space="preserve">SUJETO OBLIGADO </w:t>
      </w:r>
      <w:r w:rsidRPr="002E160E">
        <w:rPr>
          <w:rFonts w:ascii="Palatino Linotype" w:eastAsia="Palatino Linotype" w:hAnsi="Palatino Linotype" w:cs="Palatino Linotype"/>
          <w:color w:val="000000"/>
        </w:rPr>
        <w:t>presentara el Informe Justificado procedente.</w:t>
      </w:r>
    </w:p>
    <w:p w:rsidR="00E32DEB" w:rsidRPr="002E160E" w:rsidRDefault="00E32DEB">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E32DEB" w:rsidRPr="002E160E" w:rsidRDefault="008C051D">
      <w:pPr>
        <w:numPr>
          <w:ilvl w:val="0"/>
          <w:numId w:val="2"/>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sidRPr="002E160E">
        <w:rPr>
          <w:rFonts w:ascii="Palatino Linotype" w:eastAsia="Palatino Linotype" w:hAnsi="Palatino Linotype" w:cs="Palatino Linotype"/>
          <w:color w:val="000000"/>
        </w:rPr>
        <w:t xml:space="preserve">Por su parte, el </w:t>
      </w:r>
      <w:r w:rsidRPr="002E160E">
        <w:rPr>
          <w:rFonts w:ascii="Palatino Linotype" w:eastAsia="Palatino Linotype" w:hAnsi="Palatino Linotype" w:cs="Palatino Linotype"/>
          <w:b/>
          <w:color w:val="000000"/>
        </w:rPr>
        <w:t xml:space="preserve">RECURRENTE </w:t>
      </w:r>
      <w:r w:rsidRPr="002E160E">
        <w:rPr>
          <w:rFonts w:ascii="Palatino Linotype" w:eastAsia="Palatino Linotype" w:hAnsi="Palatino Linotype" w:cs="Palatino Linotype"/>
          <w:color w:val="000000"/>
        </w:rPr>
        <w:t xml:space="preserve">no presentó alegatos ni ofreció medios de prueba, según constancias del Sistema de Acceso a la Información Mexiquense </w:t>
      </w:r>
      <w:r w:rsidRPr="002E160E">
        <w:rPr>
          <w:rFonts w:ascii="Palatino Linotype" w:eastAsia="Palatino Linotype" w:hAnsi="Palatino Linotype" w:cs="Palatino Linotype"/>
          <w:b/>
          <w:color w:val="000000"/>
        </w:rPr>
        <w:t xml:space="preserve">SAIMEX; </w:t>
      </w:r>
      <w:r w:rsidRPr="002E160E">
        <w:rPr>
          <w:rFonts w:ascii="Palatino Linotype" w:eastAsia="Palatino Linotype" w:hAnsi="Palatino Linotype" w:cs="Palatino Linotype"/>
          <w:color w:val="000000"/>
        </w:rPr>
        <w:t xml:space="preserve">así también, el </w:t>
      </w:r>
      <w:r w:rsidRPr="002E160E">
        <w:rPr>
          <w:rFonts w:ascii="Palatino Linotype" w:eastAsia="Palatino Linotype" w:hAnsi="Palatino Linotype" w:cs="Palatino Linotype"/>
          <w:b/>
          <w:color w:val="000000"/>
        </w:rPr>
        <w:t xml:space="preserve">SUJETO OBLIGADO </w:t>
      </w:r>
      <w:r w:rsidRPr="002E160E">
        <w:rPr>
          <w:rFonts w:ascii="Palatino Linotype" w:eastAsia="Palatino Linotype" w:hAnsi="Palatino Linotype" w:cs="Palatino Linotype"/>
          <w:color w:val="000000"/>
        </w:rPr>
        <w:t>no presentó Informe Justificado.</w:t>
      </w:r>
    </w:p>
    <w:p w:rsidR="00E32DEB" w:rsidRPr="002E160E" w:rsidRDefault="00E32DE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E32DEB" w:rsidRPr="002E160E" w:rsidRDefault="008C051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Posteriormente el Pleno de este Órgano Autónomo, en la</w:t>
      </w:r>
      <w:r w:rsidRPr="002E160E">
        <w:rPr>
          <w:rFonts w:ascii="Palatino Linotype" w:eastAsia="Palatino Linotype" w:hAnsi="Palatino Linotype" w:cs="Palatino Linotype"/>
          <w:b/>
          <w:color w:val="000000"/>
        </w:rPr>
        <w:t xml:space="preserve"> Trigésima Novena Sesión Ordinaria </w:t>
      </w:r>
      <w:r w:rsidRPr="002E160E">
        <w:rPr>
          <w:rFonts w:ascii="Palatino Linotype" w:eastAsia="Palatino Linotype" w:hAnsi="Palatino Linotype" w:cs="Palatino Linotype"/>
          <w:color w:val="000000"/>
        </w:rPr>
        <w:t>de fecha</w:t>
      </w:r>
      <w:r w:rsidRPr="002E160E">
        <w:rPr>
          <w:rFonts w:ascii="Palatino Linotype" w:eastAsia="Palatino Linotype" w:hAnsi="Palatino Linotype" w:cs="Palatino Linotype"/>
          <w:b/>
          <w:color w:val="000000"/>
        </w:rPr>
        <w:t xml:space="preserve"> trece de noviembre de dos mil veinticuatro</w:t>
      </w:r>
      <w:r w:rsidRPr="002E160E">
        <w:rPr>
          <w:rFonts w:ascii="Palatino Linotype" w:eastAsia="Palatino Linotype" w:hAnsi="Palatino Linotype" w:cs="Palatino Linotype"/>
          <w:color w:val="000000"/>
        </w:rPr>
        <w:t xml:space="preserve">; ordenó la acumulación de los recursos de revisión de mérito, a efecto de que la Ponencia de la </w:t>
      </w:r>
      <w:r w:rsidRPr="002E160E">
        <w:rPr>
          <w:rFonts w:ascii="Palatino Linotype" w:eastAsia="Palatino Linotype" w:hAnsi="Palatino Linotype" w:cs="Palatino Linotype"/>
          <w:b/>
          <w:color w:val="000000"/>
        </w:rPr>
        <w:lastRenderedPageBreak/>
        <w:t xml:space="preserve">Comisionada María del Rosario Mejía Ayala </w:t>
      </w:r>
      <w:r w:rsidRPr="002E160E">
        <w:rPr>
          <w:rFonts w:ascii="Palatino Linotype" w:eastAsia="Palatino Linotype" w:hAnsi="Palatino Linotype" w:cs="Palatino Linotype"/>
          <w:color w:val="000000"/>
        </w:rPr>
        <w:t>formulara y presentara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2E160E">
        <w:rPr>
          <w:rFonts w:ascii="Palatino Linotype" w:eastAsia="Palatino Linotype" w:hAnsi="Palatino Linotype" w:cs="Palatino Linotype"/>
          <w:i/>
          <w:color w:val="000000"/>
          <w:vertAlign w:val="superscript"/>
        </w:rPr>
        <w:footnoteReference w:id="1"/>
      </w:r>
      <w:r w:rsidRPr="002E160E">
        <w:rPr>
          <w:rFonts w:ascii="Palatino Linotype" w:eastAsia="Palatino Linotype" w:hAnsi="Palatino Linotype" w:cs="Palatino Linotype"/>
          <w:color w:val="000000"/>
        </w:rPr>
        <w:t>, que señala:</w:t>
      </w:r>
    </w:p>
    <w:p w:rsidR="00E32DEB" w:rsidRPr="002E160E" w:rsidRDefault="00E32DEB">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sz w:val="22"/>
          <w:szCs w:val="22"/>
        </w:rPr>
      </w:pPr>
    </w:p>
    <w:p w:rsidR="00E32DEB" w:rsidRPr="002E160E" w:rsidRDefault="008C051D">
      <w:pPr>
        <w:pBdr>
          <w:top w:val="nil"/>
          <w:left w:val="nil"/>
          <w:bottom w:val="nil"/>
          <w:right w:val="nil"/>
          <w:between w:val="nil"/>
        </w:pBdr>
        <w:tabs>
          <w:tab w:val="left" w:pos="1134"/>
        </w:tabs>
        <w:spacing w:line="276" w:lineRule="auto"/>
        <w:ind w:left="1134" w:right="900"/>
        <w:jc w:val="both"/>
        <w:rPr>
          <w:rFonts w:ascii="Palatino Linotype" w:eastAsia="Palatino Linotype" w:hAnsi="Palatino Linotype" w:cs="Palatino Linotype"/>
          <w:i/>
          <w:color w:val="000000"/>
          <w:sz w:val="22"/>
          <w:szCs w:val="22"/>
        </w:rPr>
      </w:pPr>
      <w:r w:rsidRPr="002E160E">
        <w:rPr>
          <w:rFonts w:ascii="Palatino Linotype" w:eastAsia="Palatino Linotype" w:hAnsi="Palatino Linotype" w:cs="Palatino Linotype"/>
          <w:b/>
          <w:i/>
          <w:color w:val="000000"/>
          <w:sz w:val="22"/>
          <w:szCs w:val="22"/>
        </w:rPr>
        <w:t>“ONCE.</w:t>
      </w:r>
      <w:r w:rsidRPr="002E160E">
        <w:rPr>
          <w:rFonts w:ascii="Palatino Linotype" w:eastAsia="Palatino Linotype" w:hAnsi="Palatino Linotype" w:cs="Palatino Linotype"/>
          <w:i/>
          <w:color w:val="000000"/>
          <w:sz w:val="22"/>
          <w:szCs w:val="22"/>
        </w:rPr>
        <w:t xml:space="preserve"> El Instituto, para mejor resolver y evitar la emisión de resoluciones contradictorias, podrá acordar la acumulación de los expedientes de recursos de revisión, de oficio o a petición de parte cuando:</w:t>
      </w:r>
    </w:p>
    <w:p w:rsidR="00E32DEB" w:rsidRPr="002E160E" w:rsidRDefault="008C051D">
      <w:pPr>
        <w:pBdr>
          <w:top w:val="nil"/>
          <w:left w:val="nil"/>
          <w:bottom w:val="nil"/>
          <w:right w:val="nil"/>
          <w:between w:val="nil"/>
        </w:pBdr>
        <w:tabs>
          <w:tab w:val="left" w:pos="1134"/>
        </w:tabs>
        <w:spacing w:line="276" w:lineRule="auto"/>
        <w:ind w:left="1134" w:right="900"/>
        <w:jc w:val="both"/>
        <w:rPr>
          <w:rFonts w:ascii="Palatino Linotype" w:eastAsia="Palatino Linotype" w:hAnsi="Palatino Linotype" w:cs="Palatino Linotype"/>
          <w:i/>
          <w:color w:val="000000"/>
          <w:sz w:val="22"/>
          <w:szCs w:val="22"/>
        </w:rPr>
      </w:pPr>
      <w:r w:rsidRPr="002E160E">
        <w:rPr>
          <w:rFonts w:ascii="Palatino Linotype" w:eastAsia="Palatino Linotype" w:hAnsi="Palatino Linotype" w:cs="Palatino Linotype"/>
          <w:i/>
          <w:color w:val="000000"/>
          <w:sz w:val="22"/>
          <w:szCs w:val="22"/>
        </w:rPr>
        <w:t>…</w:t>
      </w:r>
      <w:r w:rsidRPr="002E160E">
        <w:rPr>
          <w:rFonts w:ascii="Palatino Linotype" w:eastAsia="Palatino Linotype" w:hAnsi="Palatino Linotype" w:cs="Palatino Linotype"/>
          <w:i/>
          <w:color w:val="000000"/>
          <w:sz w:val="22"/>
          <w:szCs w:val="22"/>
        </w:rPr>
        <w:tab/>
      </w:r>
    </w:p>
    <w:p w:rsidR="00E32DEB" w:rsidRPr="002E160E" w:rsidRDefault="008C051D">
      <w:pPr>
        <w:pBdr>
          <w:top w:val="nil"/>
          <w:left w:val="nil"/>
          <w:bottom w:val="nil"/>
          <w:right w:val="nil"/>
          <w:between w:val="nil"/>
        </w:pBdr>
        <w:tabs>
          <w:tab w:val="left" w:pos="1134"/>
        </w:tabs>
        <w:spacing w:line="276" w:lineRule="auto"/>
        <w:ind w:left="1134" w:right="900"/>
        <w:jc w:val="both"/>
        <w:rPr>
          <w:rFonts w:ascii="Palatino Linotype" w:eastAsia="Palatino Linotype" w:hAnsi="Palatino Linotype" w:cs="Palatino Linotype"/>
          <w:i/>
          <w:color w:val="000000"/>
          <w:sz w:val="22"/>
          <w:szCs w:val="22"/>
        </w:rPr>
      </w:pPr>
      <w:r w:rsidRPr="002E160E">
        <w:rPr>
          <w:rFonts w:ascii="Palatino Linotype" w:eastAsia="Palatino Linotype" w:hAnsi="Palatino Linotype" w:cs="Palatino Linotype"/>
          <w:i/>
          <w:color w:val="000000"/>
          <w:sz w:val="22"/>
          <w:szCs w:val="22"/>
        </w:rPr>
        <w:t>b) Las partes o los actos impugnados sean iguales</w:t>
      </w:r>
    </w:p>
    <w:p w:rsidR="00E32DEB" w:rsidRPr="002E160E" w:rsidRDefault="008C051D">
      <w:pPr>
        <w:pBdr>
          <w:top w:val="nil"/>
          <w:left w:val="nil"/>
          <w:bottom w:val="nil"/>
          <w:right w:val="nil"/>
          <w:between w:val="nil"/>
        </w:pBdr>
        <w:tabs>
          <w:tab w:val="left" w:pos="1134"/>
        </w:tabs>
        <w:spacing w:line="276" w:lineRule="auto"/>
        <w:ind w:left="1134" w:right="900"/>
        <w:jc w:val="both"/>
        <w:rPr>
          <w:rFonts w:ascii="Palatino Linotype" w:eastAsia="Palatino Linotype" w:hAnsi="Palatino Linotype" w:cs="Palatino Linotype"/>
          <w:i/>
          <w:color w:val="000000"/>
          <w:sz w:val="22"/>
          <w:szCs w:val="22"/>
        </w:rPr>
      </w:pPr>
      <w:r w:rsidRPr="002E160E">
        <w:rPr>
          <w:rFonts w:ascii="Palatino Linotype" w:eastAsia="Palatino Linotype" w:hAnsi="Palatino Linotype" w:cs="Palatino Linotype"/>
          <w:i/>
          <w:color w:val="000000"/>
          <w:sz w:val="22"/>
          <w:szCs w:val="22"/>
        </w:rPr>
        <w:t>c) Cuando se trate del mismo solicitante, el mismo SUJETO OBLIGADO, aunque se trate de solicitudes diversas;</w:t>
      </w:r>
    </w:p>
    <w:p w:rsidR="00E32DEB" w:rsidRPr="002E160E" w:rsidRDefault="008C051D">
      <w:pPr>
        <w:pBdr>
          <w:top w:val="nil"/>
          <w:left w:val="nil"/>
          <w:bottom w:val="nil"/>
          <w:right w:val="nil"/>
          <w:between w:val="nil"/>
        </w:pBdr>
        <w:tabs>
          <w:tab w:val="left" w:pos="1134"/>
        </w:tabs>
        <w:spacing w:line="276" w:lineRule="auto"/>
        <w:ind w:left="1134" w:right="900"/>
        <w:jc w:val="both"/>
        <w:rPr>
          <w:rFonts w:ascii="Palatino Linotype" w:eastAsia="Palatino Linotype" w:hAnsi="Palatino Linotype" w:cs="Palatino Linotype"/>
          <w:i/>
          <w:color w:val="000000"/>
          <w:sz w:val="22"/>
          <w:szCs w:val="22"/>
        </w:rPr>
      </w:pPr>
      <w:r w:rsidRPr="002E160E">
        <w:rPr>
          <w:rFonts w:ascii="Palatino Linotype" w:eastAsia="Palatino Linotype" w:hAnsi="Palatino Linotype" w:cs="Palatino Linotype"/>
          <w:i/>
          <w:color w:val="000000"/>
          <w:sz w:val="22"/>
          <w:szCs w:val="22"/>
        </w:rPr>
        <w:t>(…)”</w:t>
      </w:r>
    </w:p>
    <w:p w:rsidR="00E32DEB" w:rsidRPr="002E160E" w:rsidRDefault="008C051D">
      <w:pPr>
        <w:pBdr>
          <w:top w:val="nil"/>
          <w:left w:val="nil"/>
          <w:bottom w:val="nil"/>
          <w:right w:val="nil"/>
          <w:between w:val="nil"/>
        </w:pBdr>
        <w:tabs>
          <w:tab w:val="left" w:pos="1134"/>
        </w:tabs>
        <w:spacing w:line="276" w:lineRule="auto"/>
        <w:ind w:left="1134" w:right="90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(Énfasis añadido)</w:t>
      </w:r>
    </w:p>
    <w:p w:rsidR="00E32DEB" w:rsidRPr="002E160E" w:rsidRDefault="00E32DEB">
      <w:pPr>
        <w:pBdr>
          <w:top w:val="nil"/>
          <w:left w:val="nil"/>
          <w:bottom w:val="nil"/>
          <w:right w:val="nil"/>
          <w:between w:val="nil"/>
        </w:pBdr>
        <w:tabs>
          <w:tab w:val="left" w:pos="1134"/>
        </w:tabs>
        <w:spacing w:line="360" w:lineRule="auto"/>
        <w:ind w:left="1134" w:right="900"/>
        <w:jc w:val="both"/>
        <w:rPr>
          <w:rFonts w:ascii="Palatino Linotype" w:eastAsia="Palatino Linotype" w:hAnsi="Palatino Linotype" w:cs="Palatino Linotype"/>
          <w:color w:val="000000"/>
        </w:rPr>
      </w:pPr>
    </w:p>
    <w:p w:rsidR="00E32DEB" w:rsidRPr="002E160E" w:rsidRDefault="008C051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Es así que,</w:t>
      </w:r>
      <w:r w:rsidRPr="002E160E">
        <w:rPr>
          <w:rFonts w:ascii="Palatino Linotype" w:eastAsia="Palatino Linotype" w:hAnsi="Palatino Linotype" w:cs="Palatino Linotype"/>
          <w:i/>
          <w:color w:val="000000"/>
        </w:rPr>
        <w:t xml:space="preserve"> </w:t>
      </w:r>
      <w:r w:rsidRPr="002E160E">
        <w:rPr>
          <w:rFonts w:ascii="Palatino Linotype" w:eastAsia="Palatino Linotype" w:hAnsi="Palatino Linotype" w:cs="Palatino Linotype"/>
          <w:color w:val="000000"/>
        </w:rPr>
        <w:t xml:space="preserve">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w:t>
      </w:r>
    </w:p>
    <w:p w:rsidR="00E32DEB" w:rsidRPr="002E160E" w:rsidRDefault="008C051D">
      <w:pPr>
        <w:numPr>
          <w:ilvl w:val="0"/>
          <w:numId w:val="2"/>
        </w:numPr>
        <w:spacing w:line="360" w:lineRule="auto"/>
        <w:ind w:left="0" w:firstLine="0"/>
        <w:jc w:val="both"/>
        <w:rPr>
          <w:rFonts w:ascii="Palatino Linotype" w:eastAsia="Palatino Linotype" w:hAnsi="Palatino Linotype" w:cs="Palatino Linotype"/>
        </w:rPr>
      </w:pPr>
      <w:r w:rsidRPr="002E160E">
        <w:rPr>
          <w:rFonts w:ascii="Palatino Linotype" w:eastAsia="Palatino Linotype" w:hAnsi="Palatino Linotype" w:cs="Palatino Linotype"/>
        </w:rPr>
        <w:lastRenderedPageBreak/>
        <w:t xml:space="preserve">Seguidamente el </w:t>
      </w:r>
      <w:r w:rsidRPr="002E160E">
        <w:rPr>
          <w:rFonts w:ascii="Palatino Linotype" w:eastAsia="Palatino Linotype" w:hAnsi="Palatino Linotype" w:cs="Palatino Linotype"/>
          <w:b/>
        </w:rPr>
        <w:t>cinco de diciembre de dos mil veinticuatro</w:t>
      </w:r>
      <w:r w:rsidRPr="002E160E">
        <w:rPr>
          <w:rFonts w:ascii="Palatino Linotype" w:eastAsia="Palatino Linotype" w:hAnsi="Palatino Linotype" w:cs="Palatino Linotype"/>
        </w:rPr>
        <w:t xml:space="preserve">, se notificó el acuerdo mediante el cual se notificó la acumulación de los recursos de revisión. </w:t>
      </w:r>
    </w:p>
    <w:p w:rsidR="00E32DEB" w:rsidRPr="002E160E" w:rsidRDefault="00E32DEB">
      <w:pPr>
        <w:spacing w:line="360" w:lineRule="auto"/>
        <w:jc w:val="both"/>
        <w:rPr>
          <w:rFonts w:ascii="Palatino Linotype" w:eastAsia="Palatino Linotype" w:hAnsi="Palatino Linotype" w:cs="Palatino Linotype"/>
        </w:rPr>
      </w:pPr>
    </w:p>
    <w:p w:rsidR="00E32DEB" w:rsidRPr="002E160E" w:rsidRDefault="008C051D">
      <w:pPr>
        <w:numPr>
          <w:ilvl w:val="0"/>
          <w:numId w:val="2"/>
        </w:numPr>
        <w:spacing w:line="360" w:lineRule="auto"/>
        <w:ind w:left="0" w:firstLine="0"/>
        <w:jc w:val="both"/>
        <w:rPr>
          <w:rFonts w:ascii="Palatino Linotype" w:eastAsia="Palatino Linotype" w:hAnsi="Palatino Linotype" w:cs="Palatino Linotype"/>
        </w:rPr>
      </w:pPr>
      <w:r w:rsidRPr="002E160E">
        <w:rPr>
          <w:rFonts w:ascii="Palatino Linotype" w:eastAsia="Palatino Linotype" w:hAnsi="Palatino Linotype" w:cs="Palatino Linotype"/>
        </w:rPr>
        <w:t xml:space="preserve">El </w:t>
      </w:r>
      <w:r w:rsidRPr="002E160E">
        <w:rPr>
          <w:rFonts w:ascii="Palatino Linotype" w:eastAsia="Palatino Linotype" w:hAnsi="Palatino Linotype" w:cs="Palatino Linotype"/>
          <w:b/>
        </w:rPr>
        <w:t>once de diciembre de dos mil veinticuatro</w:t>
      </w:r>
      <w:r w:rsidRPr="002E160E">
        <w:rPr>
          <w:rFonts w:ascii="Palatino Linotype" w:eastAsia="Palatino Linotype" w:hAnsi="Palatino Linotype" w:cs="Palatino Linotype"/>
        </w:rPr>
        <w:t xml:space="preserve">, se notificaron los acuerdos a través de los cuales se decretó el cierre de instrucción. </w:t>
      </w:r>
    </w:p>
    <w:p w:rsidR="00E32DEB" w:rsidRPr="002E160E" w:rsidRDefault="00E32DEB">
      <w:pPr>
        <w:spacing w:line="360" w:lineRule="auto"/>
        <w:jc w:val="both"/>
        <w:rPr>
          <w:rFonts w:ascii="Palatino Linotype" w:eastAsia="Palatino Linotype" w:hAnsi="Palatino Linotype" w:cs="Palatino Linotype"/>
        </w:rPr>
      </w:pPr>
    </w:p>
    <w:p w:rsidR="00E32DEB" w:rsidRPr="002E160E" w:rsidRDefault="008C051D">
      <w:pPr>
        <w:keepNext/>
        <w:keepLines/>
        <w:spacing w:line="360" w:lineRule="auto"/>
        <w:jc w:val="center"/>
        <w:rPr>
          <w:rFonts w:ascii="Palatino Linotype" w:eastAsia="Palatino Linotype" w:hAnsi="Palatino Linotype" w:cs="Palatino Linotype"/>
        </w:rPr>
      </w:pPr>
      <w:r w:rsidRPr="002E160E">
        <w:rPr>
          <w:rFonts w:ascii="Palatino Linotype" w:eastAsia="Palatino Linotype" w:hAnsi="Palatino Linotype" w:cs="Palatino Linotype"/>
          <w:b/>
        </w:rPr>
        <w:t xml:space="preserve">C O N S I D E R A N D O </w:t>
      </w:r>
    </w:p>
    <w:p w:rsidR="00E32DEB" w:rsidRPr="002E160E" w:rsidRDefault="00E32DEB">
      <w:pPr>
        <w:spacing w:line="360" w:lineRule="auto"/>
        <w:rPr>
          <w:rFonts w:ascii="Palatino Linotype" w:eastAsia="Palatino Linotype" w:hAnsi="Palatino Linotype" w:cs="Palatino Linotype"/>
        </w:rPr>
      </w:pPr>
    </w:p>
    <w:p w:rsidR="00E32DEB" w:rsidRPr="002E160E" w:rsidRDefault="008C051D">
      <w:pPr>
        <w:keepNext/>
        <w:keepLines/>
        <w:spacing w:line="360" w:lineRule="auto"/>
        <w:rPr>
          <w:rFonts w:ascii="Palatino Linotype" w:eastAsia="Palatino Linotype" w:hAnsi="Palatino Linotype" w:cs="Palatino Linotype"/>
          <w:b/>
        </w:rPr>
      </w:pPr>
      <w:r w:rsidRPr="002E160E">
        <w:rPr>
          <w:rFonts w:ascii="Palatino Linotype" w:eastAsia="Palatino Linotype" w:hAnsi="Palatino Linotype" w:cs="Palatino Linotype"/>
          <w:b/>
        </w:rPr>
        <w:t>PRIMERO. Competencia</w:t>
      </w:r>
    </w:p>
    <w:p w:rsidR="00E32DEB" w:rsidRPr="002E160E" w:rsidRDefault="008C051D">
      <w:pPr>
        <w:numPr>
          <w:ilvl w:val="0"/>
          <w:numId w:val="2"/>
        </w:numPr>
        <w:spacing w:line="360" w:lineRule="auto"/>
        <w:ind w:left="0" w:firstLine="0"/>
        <w:jc w:val="both"/>
      </w:pPr>
      <w:r w:rsidRPr="002E160E">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E32DEB" w:rsidRPr="002E160E" w:rsidRDefault="00E32DEB">
      <w:pPr>
        <w:spacing w:line="360" w:lineRule="auto"/>
        <w:ind w:left="644"/>
        <w:jc w:val="both"/>
        <w:rPr>
          <w:rFonts w:ascii="Palatino Linotype" w:eastAsia="Palatino Linotype" w:hAnsi="Palatino Linotype" w:cs="Palatino Linotype"/>
        </w:rPr>
      </w:pPr>
    </w:p>
    <w:p w:rsidR="00E32DEB" w:rsidRPr="002E160E" w:rsidRDefault="008C051D">
      <w:pPr>
        <w:keepNext/>
        <w:keepLines/>
        <w:spacing w:line="360" w:lineRule="auto"/>
        <w:rPr>
          <w:rFonts w:ascii="Palatino Linotype" w:eastAsia="Palatino Linotype" w:hAnsi="Palatino Linotype" w:cs="Palatino Linotype"/>
          <w:b/>
        </w:rPr>
      </w:pPr>
      <w:bookmarkStart w:id="2" w:name="_heading=h.2et92p0" w:colFirst="0" w:colLast="0"/>
      <w:bookmarkEnd w:id="2"/>
      <w:r w:rsidRPr="002E160E">
        <w:rPr>
          <w:rFonts w:ascii="Palatino Linotype" w:eastAsia="Palatino Linotype" w:hAnsi="Palatino Linotype" w:cs="Palatino Linotype"/>
          <w:b/>
        </w:rPr>
        <w:lastRenderedPageBreak/>
        <w:t>SEGUNDO. Procedencia.</w:t>
      </w:r>
    </w:p>
    <w:p w:rsidR="00E32DEB" w:rsidRPr="002E160E" w:rsidRDefault="008C051D">
      <w:pPr>
        <w:numPr>
          <w:ilvl w:val="0"/>
          <w:numId w:val="2"/>
        </w:numPr>
        <w:spacing w:line="360" w:lineRule="auto"/>
        <w:ind w:left="0" w:firstLine="0"/>
        <w:jc w:val="both"/>
      </w:pPr>
      <w:r w:rsidRPr="002E160E">
        <w:rPr>
          <w:rFonts w:ascii="Palatino Linotype" w:eastAsia="Palatino Linotype" w:hAnsi="Palatino Linotype" w:cs="Palatino Linotype"/>
        </w:rPr>
        <w:t>Este Órgano Garante considera que el medio de impugnación reúne los requisitos de procedencia toda vez que; los recursos fueron presentados dentro del plazo establecido en el artículo 178 de la Ley de Transparencia y Acceso a la Información Pública del Estado de México y Municipios; asimismo no se tiene conocimiento que se encuentre en trámite algún medio de defensa presentado por el Recurrente ante otra instancia.</w:t>
      </w:r>
    </w:p>
    <w:p w:rsidR="00E32DEB" w:rsidRPr="002E160E" w:rsidRDefault="00E32DEB">
      <w:pPr>
        <w:spacing w:line="360" w:lineRule="auto"/>
        <w:jc w:val="both"/>
        <w:rPr>
          <w:rFonts w:ascii="Palatino Linotype" w:eastAsia="Palatino Linotype" w:hAnsi="Palatino Linotype" w:cs="Palatino Linotype"/>
        </w:rPr>
      </w:pPr>
    </w:p>
    <w:p w:rsidR="00E32DEB" w:rsidRPr="002E160E" w:rsidRDefault="008C051D">
      <w:pPr>
        <w:numPr>
          <w:ilvl w:val="0"/>
          <w:numId w:val="2"/>
        </w:numPr>
        <w:spacing w:line="360" w:lineRule="auto"/>
        <w:ind w:left="0" w:firstLine="0"/>
        <w:jc w:val="both"/>
      </w:pPr>
      <w:r w:rsidRPr="002E160E">
        <w:rPr>
          <w:rFonts w:ascii="Palatino Linotype" w:eastAsia="Palatino Linotype" w:hAnsi="Palatino Linotype" w:cs="Palatino Linotype"/>
        </w:rPr>
        <w:t>Por otro lado, los escritos contienen las formalidades previstas en el artículo 180 último párrafo de la citada Ley de la materia, por lo que es procedente que este Instituto conozca y resuelva el presente recurso.</w:t>
      </w:r>
    </w:p>
    <w:p w:rsidR="00E32DEB" w:rsidRPr="002E160E" w:rsidRDefault="00E32DEB">
      <w:pPr>
        <w:spacing w:line="360" w:lineRule="auto"/>
        <w:jc w:val="both"/>
        <w:rPr>
          <w:rFonts w:ascii="Palatino Linotype" w:eastAsia="Palatino Linotype" w:hAnsi="Palatino Linotype" w:cs="Palatino Linotype"/>
        </w:rPr>
      </w:pPr>
    </w:p>
    <w:p w:rsidR="00E32DEB" w:rsidRPr="002E160E" w:rsidRDefault="008C051D">
      <w:pPr>
        <w:pStyle w:val="Ttulo2"/>
        <w:tabs>
          <w:tab w:val="left" w:pos="0"/>
        </w:tabs>
        <w:spacing w:before="0" w:line="360" w:lineRule="auto"/>
        <w:rPr>
          <w:rFonts w:ascii="Palatino Linotype" w:eastAsia="Palatino Linotype" w:hAnsi="Palatino Linotype" w:cs="Palatino Linotype"/>
          <w:b/>
          <w:color w:val="000000"/>
          <w:sz w:val="24"/>
          <w:szCs w:val="24"/>
        </w:rPr>
      </w:pPr>
      <w:r w:rsidRPr="002E160E">
        <w:rPr>
          <w:rFonts w:ascii="Palatino Linotype" w:eastAsia="Palatino Linotype" w:hAnsi="Palatino Linotype" w:cs="Palatino Linotype"/>
          <w:b/>
          <w:color w:val="000000"/>
          <w:sz w:val="24"/>
          <w:szCs w:val="24"/>
        </w:rPr>
        <w:t>TERCERO. Descripción de hechos y planteamiento de la controversia.</w:t>
      </w:r>
    </w:p>
    <w:p w:rsidR="00E32DEB" w:rsidRPr="002E160E" w:rsidRDefault="008C051D">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ind w:left="0" w:firstLine="0"/>
        <w:jc w:val="both"/>
      </w:pPr>
      <w:r w:rsidRPr="002E160E">
        <w:rPr>
          <w:rFonts w:ascii="Palatino Linotype" w:eastAsia="Palatino Linotype" w:hAnsi="Palatino Linotype" w:cs="Palatino Linotype"/>
          <w:color w:val="000000"/>
        </w:rPr>
        <w:t>El Recurrente solicitó los vales de salida de planta del vivero municipal en el Parque Alameda 2000 del año 2022, 2023 y 2024, los cuales deberán ser entregados a través de la plataforma de SAIMEX.</w:t>
      </w:r>
    </w:p>
    <w:p w:rsidR="00E32DEB" w:rsidRPr="002E160E" w:rsidRDefault="00E32DEB">
      <w:pPr>
        <w:pBdr>
          <w:top w:val="none" w:sz="0" w:space="0" w:color="000000"/>
          <w:left w:val="none" w:sz="0" w:space="0" w:color="000000"/>
          <w:bottom w:val="none" w:sz="0" w:space="0" w:color="000000"/>
          <w:right w:val="none" w:sz="0" w:space="0" w:color="000000"/>
          <w:between w:val="none" w:sz="0" w:space="0" w:color="000000"/>
        </w:pBdr>
        <w:ind w:left="720"/>
        <w:rPr>
          <w:rFonts w:ascii="Palatino Linotype" w:eastAsia="Palatino Linotype" w:hAnsi="Palatino Linotype" w:cs="Palatino Linotype"/>
          <w:color w:val="000000"/>
        </w:rPr>
      </w:pPr>
    </w:p>
    <w:p w:rsidR="00E32DEB" w:rsidRPr="002E160E" w:rsidRDefault="008C051D">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jc w:val="both"/>
        <w:rPr>
          <w:color w:val="000000"/>
        </w:rPr>
      </w:pPr>
      <w:r w:rsidRPr="002E160E">
        <w:rPr>
          <w:rFonts w:ascii="Palatino Linotype" w:eastAsia="Palatino Linotype" w:hAnsi="Palatino Linotype" w:cs="Palatino Linotype"/>
          <w:color w:val="000000"/>
        </w:rPr>
        <w:t xml:space="preserve">En respuesta el Sujeto Obligado, remitió los archivos ya descritos en el numeral 2. Inconforme con la respuesta, se interpusieron los </w:t>
      </w:r>
      <w:r w:rsidRPr="002E160E">
        <w:rPr>
          <w:rFonts w:ascii="Palatino Linotype" w:eastAsia="Palatino Linotype" w:hAnsi="Palatino Linotype" w:cs="Palatino Linotype"/>
        </w:rPr>
        <w:t>recursos</w:t>
      </w:r>
      <w:r w:rsidRPr="002E160E">
        <w:rPr>
          <w:rFonts w:ascii="Palatino Linotype" w:eastAsia="Palatino Linotype" w:hAnsi="Palatino Linotype" w:cs="Palatino Linotype"/>
          <w:color w:val="000000"/>
        </w:rPr>
        <w:t xml:space="preserve"> de revisión, argumentando sustancialmente la negativa a la información solicitada, la entrega de información en una modalidad distinta que no se entregó la información requerida.</w:t>
      </w:r>
    </w:p>
    <w:p w:rsidR="00E32DEB" w:rsidRPr="002E160E" w:rsidRDefault="00E32DEB">
      <w:p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644"/>
        <w:jc w:val="both"/>
        <w:rPr>
          <w:rFonts w:ascii="Palatino Linotype" w:eastAsia="Palatino Linotype" w:hAnsi="Palatino Linotype" w:cs="Palatino Linotype"/>
        </w:rPr>
      </w:pPr>
    </w:p>
    <w:p w:rsidR="00E32DEB" w:rsidRPr="002E160E" w:rsidRDefault="008C051D">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jc w:val="both"/>
        <w:rPr>
          <w:color w:val="000000"/>
        </w:rPr>
      </w:pPr>
      <w:r w:rsidRPr="002E160E">
        <w:rPr>
          <w:rFonts w:ascii="Palatino Linotype" w:eastAsia="Palatino Linotype" w:hAnsi="Palatino Linotype" w:cs="Palatino Linotype"/>
        </w:rPr>
        <w:lastRenderedPageBreak/>
        <w:t xml:space="preserve">En dichas condiciones, la controversia a resolver en el presente proveído, corresponde a determinar si se actualiza la causal de procedencia prevista en el artículo 179, fracciones I y VIII de la Ley de Transparencia y Acceso a la Información Pública del Estado de México y Municipios; fracciones que determinan la negativa a la información solicitada, la entrega de la información en una modalidad diferente a la solicitada; contexto del cual se dolió el Recurrente al momento de interponer su inconformidad. </w:t>
      </w:r>
    </w:p>
    <w:p w:rsidR="00E32DEB" w:rsidRPr="002E160E" w:rsidRDefault="00E32DEB">
      <w:pPr>
        <w:pBdr>
          <w:top w:val="nil"/>
          <w:left w:val="nil"/>
          <w:bottom w:val="nil"/>
          <w:right w:val="nil"/>
          <w:between w:val="nil"/>
        </w:pBdr>
        <w:ind w:left="720"/>
        <w:rPr>
          <w:rFonts w:ascii="Palatino Linotype" w:eastAsia="Palatino Linotype" w:hAnsi="Palatino Linotype" w:cs="Palatino Linotype"/>
          <w:color w:val="000000"/>
        </w:rPr>
      </w:pPr>
    </w:p>
    <w:p w:rsidR="00E32DEB" w:rsidRPr="002E160E" w:rsidRDefault="008C051D">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left="0" w:firstLine="0"/>
        <w:jc w:val="both"/>
        <w:rPr>
          <w:color w:val="000000"/>
        </w:rPr>
      </w:pPr>
      <w:r w:rsidRPr="002E160E">
        <w:rPr>
          <w:rFonts w:ascii="Palatino Linotype" w:eastAsia="Palatino Linotype" w:hAnsi="Palatino Linotype" w:cs="Palatino Linotype"/>
        </w:rPr>
        <w:t>De modo tal que el presente recurso de revisión se abocará a determinar si el Sujeto Obligado con sus respuestas ciertamente actualiza la causal de procedencia señalada</w:t>
      </w:r>
    </w:p>
    <w:p w:rsidR="00E32DEB" w:rsidRPr="002E160E" w:rsidRDefault="00E32DEB">
      <w:pPr>
        <w:pBdr>
          <w:top w:val="none" w:sz="0" w:space="0" w:color="000000"/>
          <w:left w:val="none" w:sz="0" w:space="0" w:color="000000"/>
          <w:bottom w:val="none" w:sz="0" w:space="0" w:color="000000"/>
          <w:right w:val="none" w:sz="0" w:space="0" w:color="000000"/>
          <w:between w:val="none" w:sz="0" w:space="0" w:color="000000"/>
        </w:pBdr>
        <w:ind w:left="720"/>
        <w:rPr>
          <w:rFonts w:ascii="Palatino Linotype" w:eastAsia="Palatino Linotype" w:hAnsi="Palatino Linotype" w:cs="Palatino Linotype"/>
          <w:color w:val="000000"/>
        </w:rPr>
      </w:pPr>
    </w:p>
    <w:p w:rsidR="00E32DEB" w:rsidRPr="002E160E" w:rsidRDefault="008C051D">
      <w:pPr>
        <w:pStyle w:val="Ttulo1"/>
        <w:spacing w:before="0" w:line="360" w:lineRule="auto"/>
        <w:rPr>
          <w:rFonts w:ascii="Palatino Linotype" w:eastAsia="Palatino Linotype" w:hAnsi="Palatino Linotype" w:cs="Palatino Linotype"/>
          <w:color w:val="000000"/>
          <w:sz w:val="24"/>
          <w:szCs w:val="24"/>
        </w:rPr>
      </w:pPr>
      <w:r w:rsidRPr="002E160E">
        <w:rPr>
          <w:rFonts w:ascii="Palatino Linotype" w:eastAsia="Palatino Linotype" w:hAnsi="Palatino Linotype" w:cs="Palatino Linotype"/>
          <w:color w:val="000000"/>
          <w:sz w:val="24"/>
          <w:szCs w:val="24"/>
        </w:rPr>
        <w:t>CUARTO. Estudio de la controversia.</w:t>
      </w:r>
    </w:p>
    <w:p w:rsidR="00E32DEB" w:rsidRPr="002E160E" w:rsidRDefault="008C051D">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 xml:space="preserve">Primeramente, resulta importante referir que, debido a que el mismo </w:t>
      </w:r>
      <w:r w:rsidRPr="002E160E">
        <w:rPr>
          <w:rFonts w:ascii="Palatino Linotype" w:eastAsia="Palatino Linotype" w:hAnsi="Palatino Linotype" w:cs="Palatino Linotype"/>
          <w:b/>
          <w:color w:val="000000"/>
        </w:rPr>
        <w:t>SUJETO OBLIGADO</w:t>
      </w:r>
      <w:r w:rsidRPr="002E160E">
        <w:rPr>
          <w:rFonts w:ascii="Palatino Linotype" w:eastAsia="Palatino Linotype" w:hAnsi="Palatino Linotype" w:cs="Palatino Linotype"/>
          <w:color w:val="000000"/>
        </w:rPr>
        <w:t xml:space="preserve"> admite ser poseedor de la información, no es necesario estudiar si este es competente para conocer y en su caso dar respuesta a las solicitudes de información 02409/TOLUCA/IP/2024, 02410/TOLUCA/2024 y 02411/TOLUCA/IP/2024, pues derivado de las respuestas emitidas, el Sujeto Obligado acepta que la genera, posee y administra dicha información, en ejercicio de sus funciones de derecho público.  </w:t>
      </w:r>
    </w:p>
    <w:p w:rsidR="00E32DEB" w:rsidRPr="002E160E" w:rsidRDefault="00E32DEB">
      <w:p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jc w:val="both"/>
        <w:rPr>
          <w:rFonts w:ascii="Palatino Linotype" w:eastAsia="Palatino Linotype" w:hAnsi="Palatino Linotype" w:cs="Palatino Linotype"/>
          <w:color w:val="000000"/>
        </w:rPr>
      </w:pPr>
    </w:p>
    <w:p w:rsidR="00E32DEB" w:rsidRPr="002E160E" w:rsidRDefault="008C051D">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 xml:space="preserve">En atención a ello es importante invocar el contenido del artículo 12 así como el 4 de la Ley de Transparencia y Acceso a la Información Pública del Estado de México y Municipios; preceptos legales que establecen que </w:t>
      </w:r>
      <w:r w:rsidRPr="002E160E">
        <w:rPr>
          <w:rFonts w:ascii="Palatino Linotype" w:eastAsia="Palatino Linotype" w:hAnsi="Palatino Linotype" w:cs="Palatino Linotype"/>
          <w:b/>
          <w:color w:val="000000"/>
        </w:rPr>
        <w:t xml:space="preserve">los sujetos obligados se encuentran </w:t>
      </w:r>
      <w:r w:rsidRPr="002E160E">
        <w:rPr>
          <w:rFonts w:ascii="Palatino Linotype" w:eastAsia="Palatino Linotype" w:hAnsi="Palatino Linotype" w:cs="Palatino Linotype"/>
          <w:b/>
          <w:color w:val="000000"/>
        </w:rPr>
        <w:lastRenderedPageBreak/>
        <w:t xml:space="preserve">constreñidos a entregar la información pública solicitada por los </w:t>
      </w:r>
      <w:r w:rsidRPr="002E160E">
        <w:rPr>
          <w:rFonts w:ascii="Palatino Linotype" w:eastAsia="Palatino Linotype" w:hAnsi="Palatino Linotype" w:cs="Palatino Linotype"/>
          <w:color w:val="000000"/>
        </w:rPr>
        <w:t xml:space="preserve">particulares que se encuentre en sus archivos o que obre en su posesión, </w:t>
      </w:r>
      <w:r w:rsidRPr="002E160E">
        <w:rPr>
          <w:rFonts w:ascii="Palatino Linotype" w:eastAsia="Palatino Linotype" w:hAnsi="Palatino Linotype" w:cs="Palatino Linotype"/>
          <w:b/>
          <w:color w:val="000000"/>
        </w:rPr>
        <w:t>privilegiando en todo momento el principio de máxima publicidad,</w:t>
      </w:r>
      <w:r w:rsidRPr="002E160E">
        <w:rPr>
          <w:rFonts w:ascii="Palatino Linotype" w:eastAsia="Palatino Linotype" w:hAnsi="Palatino Linotype" w:cs="Palatino Linotype"/>
          <w:color w:val="000000"/>
        </w:rPr>
        <w:t xml:space="preserve"> sin generarla, procesarla, resumirla, ni presentarla conforme al interés del solicitante. </w:t>
      </w:r>
    </w:p>
    <w:p w:rsidR="00E32DEB" w:rsidRPr="002E160E" w:rsidRDefault="00E32DEB">
      <w:pPr>
        <w:pBdr>
          <w:top w:val="none" w:sz="0" w:space="0" w:color="000000"/>
          <w:left w:val="none" w:sz="0" w:space="0" w:color="000000"/>
          <w:bottom w:val="none" w:sz="0" w:space="0" w:color="000000"/>
          <w:right w:val="none" w:sz="0" w:space="0" w:color="000000"/>
          <w:between w:val="none" w:sz="0" w:space="0" w:color="000000"/>
        </w:pBdr>
        <w:tabs>
          <w:tab w:val="left" w:pos="426"/>
          <w:tab w:val="left" w:pos="567"/>
        </w:tabs>
        <w:spacing w:line="360" w:lineRule="auto"/>
        <w:jc w:val="both"/>
        <w:rPr>
          <w:rFonts w:ascii="Palatino Linotype" w:eastAsia="Palatino Linotype" w:hAnsi="Palatino Linotype" w:cs="Palatino Linotype"/>
          <w:color w:val="000000"/>
        </w:rPr>
      </w:pPr>
    </w:p>
    <w:p w:rsidR="00E32DEB" w:rsidRPr="002E160E" w:rsidRDefault="008C051D">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En atención a ello es importante invocar el contenido del artículo 12 antes mencionado, así como el 4 de la Ley de Transparencia y Acceso a la Información Pública del Estado de México y Municipios, mismos que son del tenor siguiente:</w:t>
      </w:r>
    </w:p>
    <w:p w:rsidR="00E32DEB" w:rsidRPr="002E160E" w:rsidRDefault="00E32DEB">
      <w:p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jc w:val="both"/>
        <w:rPr>
          <w:rFonts w:ascii="Palatino Linotype" w:eastAsia="Palatino Linotype" w:hAnsi="Palatino Linotype" w:cs="Palatino Linotype"/>
          <w:color w:val="000000"/>
        </w:rPr>
      </w:pPr>
    </w:p>
    <w:p w:rsidR="00E32DEB" w:rsidRPr="002E160E" w:rsidRDefault="008C051D">
      <w:pPr>
        <w:spacing w:line="360" w:lineRule="auto"/>
        <w:ind w:left="567" w:right="709"/>
        <w:jc w:val="both"/>
        <w:rPr>
          <w:rFonts w:ascii="Palatino Linotype" w:eastAsia="Palatino Linotype" w:hAnsi="Palatino Linotype" w:cs="Palatino Linotype"/>
          <w:sz w:val="22"/>
          <w:szCs w:val="22"/>
        </w:rPr>
      </w:pPr>
      <w:r w:rsidRPr="002E160E">
        <w:rPr>
          <w:rFonts w:ascii="Palatino Linotype" w:eastAsia="Palatino Linotype" w:hAnsi="Palatino Linotype" w:cs="Palatino Linotype"/>
          <w:i/>
          <w:sz w:val="22"/>
          <w:szCs w:val="22"/>
        </w:rPr>
        <w:t>“</w:t>
      </w:r>
      <w:r w:rsidRPr="002E160E">
        <w:rPr>
          <w:rFonts w:ascii="Palatino Linotype" w:eastAsia="Palatino Linotype" w:hAnsi="Palatino Linotype" w:cs="Palatino Linotype"/>
          <w:b/>
          <w:i/>
          <w:sz w:val="22"/>
          <w:szCs w:val="22"/>
        </w:rPr>
        <w:t>Artículo 4.</w:t>
      </w:r>
      <w:r w:rsidRPr="002E160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rsidR="00E32DEB" w:rsidRPr="002E160E" w:rsidRDefault="008C051D">
      <w:pPr>
        <w:spacing w:line="360" w:lineRule="auto"/>
        <w:ind w:left="567" w:right="709"/>
        <w:jc w:val="both"/>
        <w:rPr>
          <w:rFonts w:ascii="Palatino Linotype" w:eastAsia="Palatino Linotype" w:hAnsi="Palatino Linotype" w:cs="Palatino Linotype"/>
          <w:sz w:val="22"/>
          <w:szCs w:val="22"/>
        </w:rPr>
      </w:pPr>
      <w:r w:rsidRPr="002E160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2E160E">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E32DEB" w:rsidRPr="002E160E" w:rsidRDefault="008C051D">
      <w:pPr>
        <w:spacing w:line="360" w:lineRule="auto"/>
        <w:ind w:left="567" w:right="709"/>
        <w:jc w:val="both"/>
        <w:rPr>
          <w:rFonts w:ascii="Palatino Linotype" w:eastAsia="Palatino Linotype" w:hAnsi="Palatino Linotype" w:cs="Palatino Linotype"/>
          <w:sz w:val="22"/>
          <w:szCs w:val="22"/>
        </w:rPr>
      </w:pPr>
      <w:r w:rsidRPr="002E160E">
        <w:rPr>
          <w:rFonts w:ascii="Palatino Linotype" w:eastAsia="Palatino Linotype" w:hAnsi="Palatino Linotype" w:cs="Palatino Linotype"/>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p>
    <w:p w:rsidR="00E32DEB" w:rsidRPr="002E160E" w:rsidRDefault="00E32DEB">
      <w:pPr>
        <w:spacing w:line="360" w:lineRule="auto"/>
        <w:ind w:left="567" w:right="709"/>
        <w:jc w:val="both"/>
        <w:rPr>
          <w:rFonts w:ascii="Palatino Linotype" w:eastAsia="Palatino Linotype" w:hAnsi="Palatino Linotype" w:cs="Palatino Linotype"/>
          <w:sz w:val="22"/>
          <w:szCs w:val="22"/>
        </w:rPr>
      </w:pPr>
    </w:p>
    <w:p w:rsidR="00E32DEB" w:rsidRPr="002E160E" w:rsidRDefault="008C051D">
      <w:pPr>
        <w:spacing w:line="360" w:lineRule="auto"/>
        <w:ind w:left="567" w:right="709"/>
        <w:jc w:val="both"/>
        <w:rPr>
          <w:rFonts w:ascii="Palatino Linotype" w:eastAsia="Palatino Linotype" w:hAnsi="Palatino Linotype" w:cs="Palatino Linotype"/>
          <w:sz w:val="22"/>
          <w:szCs w:val="22"/>
        </w:rPr>
      </w:pPr>
      <w:r w:rsidRPr="002E160E">
        <w:rPr>
          <w:rFonts w:ascii="Palatino Linotype" w:eastAsia="Palatino Linotype" w:hAnsi="Palatino Linotype" w:cs="Palatino Linotype"/>
          <w:b/>
          <w:i/>
          <w:sz w:val="22"/>
          <w:szCs w:val="22"/>
        </w:rPr>
        <w:t>Artículo 12.</w:t>
      </w:r>
      <w:r w:rsidRPr="002E160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w:t>
      </w:r>
    </w:p>
    <w:p w:rsidR="00E32DEB" w:rsidRPr="002E160E" w:rsidRDefault="008C051D">
      <w:pPr>
        <w:spacing w:line="360" w:lineRule="auto"/>
        <w:ind w:left="567" w:right="709"/>
        <w:jc w:val="both"/>
        <w:rPr>
          <w:rFonts w:ascii="Palatino Linotype" w:eastAsia="Palatino Linotype" w:hAnsi="Palatino Linotype" w:cs="Palatino Linotype"/>
          <w:sz w:val="22"/>
          <w:szCs w:val="22"/>
        </w:rPr>
      </w:pPr>
      <w:r w:rsidRPr="002E160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2E160E">
        <w:rPr>
          <w:rFonts w:ascii="Palatino Linotype" w:eastAsia="Palatino Linotype" w:hAnsi="Palatino Linotype" w:cs="Palatino Linotype"/>
          <w:i/>
          <w:sz w:val="22"/>
          <w:szCs w:val="22"/>
        </w:rPr>
        <w:t xml:space="preserve"> La obligación de proporcionar información no comprende el procesamiento de la misma, ni el presentarla conforme al interés del solicitante; no estarán obligados a generarla, resumirla, efectuar cálculos o practicar investigaciones.” </w:t>
      </w:r>
    </w:p>
    <w:p w:rsidR="00E32DEB" w:rsidRPr="002E160E" w:rsidRDefault="008C051D">
      <w:pPr>
        <w:spacing w:line="360" w:lineRule="auto"/>
        <w:ind w:left="567" w:right="709"/>
        <w:jc w:val="both"/>
        <w:rPr>
          <w:rFonts w:ascii="Palatino Linotype" w:eastAsia="Palatino Linotype" w:hAnsi="Palatino Linotype" w:cs="Palatino Linotype"/>
          <w:sz w:val="22"/>
          <w:szCs w:val="22"/>
        </w:rPr>
      </w:pPr>
      <w:r w:rsidRPr="002E160E">
        <w:rPr>
          <w:rFonts w:ascii="Palatino Linotype" w:eastAsia="Palatino Linotype" w:hAnsi="Palatino Linotype" w:cs="Palatino Linotype"/>
          <w:sz w:val="22"/>
          <w:szCs w:val="22"/>
        </w:rPr>
        <w:t>(Énfasis añadido)</w:t>
      </w:r>
    </w:p>
    <w:p w:rsidR="00E32DEB" w:rsidRPr="002E160E" w:rsidRDefault="00E32DEB">
      <w:p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jc w:val="both"/>
        <w:rPr>
          <w:rFonts w:ascii="Palatino Linotype" w:eastAsia="Palatino Linotype" w:hAnsi="Palatino Linotype" w:cs="Palatino Linotype"/>
          <w:color w:val="000000"/>
        </w:rPr>
      </w:pPr>
    </w:p>
    <w:p w:rsidR="00E32DEB" w:rsidRPr="002E160E" w:rsidRDefault="008C051D">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 xml:space="preserve">Ahora bien, respecto de las solicitudes de información ya señaladas anteriormente, el </w:t>
      </w:r>
      <w:r w:rsidRPr="002E160E">
        <w:rPr>
          <w:rFonts w:ascii="Palatino Linotype" w:eastAsia="Palatino Linotype" w:hAnsi="Palatino Linotype" w:cs="Palatino Linotype"/>
          <w:b/>
          <w:color w:val="000000"/>
        </w:rPr>
        <w:t>SUJETO OBLIGADO</w:t>
      </w:r>
      <w:r w:rsidRPr="002E160E">
        <w:rPr>
          <w:rFonts w:ascii="Palatino Linotype" w:eastAsia="Palatino Linotype" w:hAnsi="Palatino Linotype" w:cs="Palatino Linotype"/>
          <w:color w:val="000000"/>
        </w:rPr>
        <w:t>, dio respuesta aludiendo sí cuenta con la información, sin embargo, la misma cuenta con un peso de 1.66 Gigabytes, además de las capacidades humanas y administrativas, razón por la cual determinó un cambio de modalidad a consulta directa.</w:t>
      </w:r>
    </w:p>
    <w:p w:rsidR="00E32DEB" w:rsidRPr="002E160E" w:rsidRDefault="00E32DEB">
      <w:p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jc w:val="both"/>
        <w:rPr>
          <w:rFonts w:ascii="Palatino Linotype" w:eastAsia="Palatino Linotype" w:hAnsi="Palatino Linotype" w:cs="Palatino Linotype"/>
          <w:color w:val="000000"/>
        </w:rPr>
      </w:pPr>
    </w:p>
    <w:p w:rsidR="00E32DEB" w:rsidRPr="002E160E" w:rsidRDefault="008C051D">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0"/>
        </w:tabs>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 xml:space="preserve">Al respecto del cambio de modalidad el artículo 155, fracción V, de la Ley de Transparencia y Acceso a la Información Pública del Estado de México y Municipios, </w:t>
      </w:r>
      <w:r w:rsidRPr="002E160E">
        <w:rPr>
          <w:rFonts w:ascii="Palatino Linotype" w:eastAsia="Palatino Linotype" w:hAnsi="Palatino Linotype" w:cs="Palatino Linotype"/>
          <w:color w:val="000000"/>
        </w:rPr>
        <w:lastRenderedPageBreak/>
        <w:t>se precisa que para presentar una solicitud el particular podrá señalar la modalidad en la que prefiere que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rsidR="00E32DEB" w:rsidRPr="002E160E" w:rsidRDefault="00E32DEB">
      <w:pPr>
        <w:pBdr>
          <w:top w:val="nil"/>
          <w:left w:val="nil"/>
          <w:bottom w:val="nil"/>
          <w:right w:val="nil"/>
          <w:between w:val="nil"/>
        </w:pBdr>
        <w:ind w:left="720"/>
        <w:rPr>
          <w:rFonts w:ascii="Palatino Linotype" w:eastAsia="Palatino Linotype" w:hAnsi="Palatino Linotype" w:cs="Palatino Linotype"/>
          <w:color w:val="000000"/>
        </w:rPr>
      </w:pPr>
    </w:p>
    <w:p w:rsidR="00E32DEB" w:rsidRPr="002E160E" w:rsidRDefault="008C051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E160E">
        <w:rPr>
          <w:rFonts w:ascii="Palatino Linotype" w:eastAsia="Palatino Linotype" w:hAnsi="Palatino Linotype" w:cs="Palatino Linotype"/>
          <w:color w:val="000000"/>
        </w:rPr>
        <w:t xml:space="preserve">Por su parte, el artículo 158, dispone que, de manera excepcional, cuando de manera fundada y motivada lo determine el Sujeto Obligado, en los casos en que la entrega de la información que se encuentre a su disposición, </w:t>
      </w:r>
      <w:r w:rsidRPr="002E160E">
        <w:rPr>
          <w:rFonts w:ascii="Palatino Linotype" w:eastAsia="Palatino Linotype" w:hAnsi="Palatino Linotype" w:cs="Palatino Linotype"/>
          <w:b/>
          <w:color w:val="000000"/>
        </w:rPr>
        <w:t xml:space="preserve">sobrepase las capacidades técnicas del Sujeto Obligado </w:t>
      </w:r>
      <w:r w:rsidRPr="002E160E">
        <w:rPr>
          <w:rFonts w:ascii="Palatino Linotype" w:eastAsia="Palatino Linotype" w:hAnsi="Palatino Linotype" w:cs="Palatino Linotype"/>
          <w:color w:val="000000"/>
        </w:rPr>
        <w:t>para cumplir con la solicitud, se podrá poner a disposición del solicitante la información en consulta directa</w:t>
      </w:r>
      <w:r w:rsidRPr="002E160E">
        <w:rPr>
          <w:rFonts w:ascii="Palatino Linotype" w:eastAsia="Palatino Linotype" w:hAnsi="Palatino Linotype" w:cs="Palatino Linotype"/>
          <w:color w:val="000000"/>
          <w:sz w:val="22"/>
          <w:szCs w:val="22"/>
        </w:rPr>
        <w:t>.</w:t>
      </w:r>
    </w:p>
    <w:p w:rsidR="00E32DEB" w:rsidRPr="002E160E" w:rsidRDefault="00E32DEB">
      <w:pPr>
        <w:spacing w:line="360" w:lineRule="auto"/>
        <w:jc w:val="both"/>
        <w:rPr>
          <w:rFonts w:ascii="Palatino Linotype" w:eastAsia="Palatino Linotype" w:hAnsi="Palatino Linotype" w:cs="Palatino Linotype"/>
          <w:color w:val="000000"/>
        </w:rPr>
      </w:pPr>
    </w:p>
    <w:p w:rsidR="00E32DEB" w:rsidRPr="002E160E" w:rsidRDefault="008C051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De modo que el acceso a la información debe darse en la modalidad de entrega elegida por la persona solicitante, y sólo para los casos en que se encuentren impedidos los sujetos obligados podrán ofrecer otra u otras modalidades, sin embargo, se debe fundar y motivar adecuadamente el cambio de modalidad en la entrega de la información,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rsidR="00E32DEB" w:rsidRPr="002E160E" w:rsidRDefault="008C051D">
      <w:pPr>
        <w:spacing w:before="120" w:after="120" w:line="276" w:lineRule="auto"/>
        <w:ind w:left="851" w:right="900"/>
        <w:jc w:val="both"/>
        <w:rPr>
          <w:rFonts w:ascii="Palatino Linotype" w:eastAsia="Palatino Linotype" w:hAnsi="Palatino Linotype" w:cs="Palatino Linotype"/>
          <w:i/>
          <w:sz w:val="22"/>
          <w:szCs w:val="22"/>
        </w:rPr>
      </w:pPr>
      <w:r w:rsidRPr="002E160E">
        <w:rPr>
          <w:rFonts w:ascii="Palatino Linotype" w:eastAsia="Palatino Linotype" w:hAnsi="Palatino Linotype" w:cs="Palatino Linotype"/>
          <w:b/>
          <w:i/>
          <w:sz w:val="22"/>
          <w:szCs w:val="22"/>
        </w:rPr>
        <w:lastRenderedPageBreak/>
        <w:t>“FUNDAMENTACIÓN Y MOTIVACIÓN DE LOS ACTOS ADMINISTRATIVOS</w:t>
      </w:r>
      <w:r w:rsidRPr="002E160E">
        <w:rPr>
          <w:rFonts w:ascii="Palatino Linotype" w:eastAsia="Palatino Linotype" w:hAnsi="Palatino Linotype" w:cs="Palatino Linotype"/>
          <w:i/>
          <w:sz w:val="22"/>
          <w:szCs w:val="22"/>
        </w:rPr>
        <w:t>.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sub incisos, fracciones y preceptos aplicable, y b).- Los cuerpos legales y preceptos que otorgan competencia o facultades a las autoridades para emitir el acto en agravio del gobernado.”</w:t>
      </w:r>
    </w:p>
    <w:p w:rsidR="00E32DEB" w:rsidRPr="002E160E" w:rsidRDefault="00E32DEB">
      <w:pPr>
        <w:spacing w:line="276" w:lineRule="auto"/>
        <w:ind w:left="851" w:right="900"/>
        <w:jc w:val="both"/>
        <w:rPr>
          <w:rFonts w:ascii="Palatino Linotype" w:eastAsia="Palatino Linotype" w:hAnsi="Palatino Linotype" w:cs="Palatino Linotype"/>
          <w:i/>
          <w:sz w:val="22"/>
          <w:szCs w:val="22"/>
        </w:rPr>
      </w:pPr>
    </w:p>
    <w:p w:rsidR="00E32DEB" w:rsidRPr="002E160E" w:rsidRDefault="008C051D">
      <w:pPr>
        <w:numPr>
          <w:ilvl w:val="0"/>
          <w:numId w:val="2"/>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 xml:space="preserve">En ese entendido, según lo dispuesto en los artículos 160 y 164 de la Ley en cita, los Sujetos Obligados deben otorgar acceso a los documentos que se encuentren en sus archivos o que estén obligados a documentar de acuerdo con sus facultades, competencias o funciones en el formato que el solicitante manifieste, debiendo dar el </w:t>
      </w:r>
      <w:r w:rsidRPr="002E160E">
        <w:rPr>
          <w:rFonts w:ascii="Palatino Linotype" w:eastAsia="Palatino Linotype" w:hAnsi="Palatino Linotype" w:cs="Palatino Linotype"/>
          <w:color w:val="000000"/>
        </w:rPr>
        <w:lastRenderedPageBreak/>
        <w:t>acceso a la información en la modalidad de entrega solicitada, empero en caso de ofrecer otra u otras modalidades de entrega deberá fundar y motivar su respuesta, a saber:</w:t>
      </w:r>
    </w:p>
    <w:p w:rsidR="00E32DEB" w:rsidRPr="002E160E" w:rsidRDefault="008C051D">
      <w:pPr>
        <w:spacing w:before="120" w:after="120" w:line="276" w:lineRule="auto"/>
        <w:ind w:left="851" w:right="851"/>
        <w:jc w:val="both"/>
        <w:rPr>
          <w:rFonts w:ascii="Palatino Linotype" w:eastAsia="Palatino Linotype" w:hAnsi="Palatino Linotype" w:cs="Palatino Linotype"/>
          <w:i/>
          <w:sz w:val="22"/>
          <w:szCs w:val="22"/>
        </w:rPr>
      </w:pPr>
      <w:r w:rsidRPr="002E160E">
        <w:rPr>
          <w:rFonts w:ascii="Palatino Linotype" w:eastAsia="Palatino Linotype" w:hAnsi="Palatino Linotype" w:cs="Palatino Linotype"/>
          <w:sz w:val="22"/>
          <w:szCs w:val="22"/>
        </w:rPr>
        <w:t>“</w:t>
      </w:r>
      <w:r w:rsidRPr="002E160E">
        <w:rPr>
          <w:rFonts w:ascii="Palatino Linotype" w:eastAsia="Palatino Linotype" w:hAnsi="Palatino Linotype" w:cs="Palatino Linotype"/>
          <w:b/>
          <w:i/>
          <w:sz w:val="22"/>
          <w:szCs w:val="22"/>
        </w:rPr>
        <w:t>Artículo 160.</w:t>
      </w:r>
      <w:r w:rsidRPr="002E160E">
        <w:rPr>
          <w:rFonts w:ascii="Palatino Linotype" w:eastAsia="Palatino Linotype" w:hAnsi="Palatino Linotype" w:cs="Palatino Linotype"/>
          <w:i/>
          <w:sz w:val="22"/>
          <w:szCs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rsidR="00E32DEB" w:rsidRPr="002E160E" w:rsidRDefault="008C051D">
      <w:pPr>
        <w:spacing w:line="276" w:lineRule="auto"/>
        <w:ind w:left="851" w:right="851"/>
        <w:jc w:val="both"/>
        <w:rPr>
          <w:rFonts w:ascii="Palatino Linotype" w:eastAsia="Palatino Linotype" w:hAnsi="Palatino Linotype" w:cs="Palatino Linotype"/>
          <w:i/>
          <w:sz w:val="22"/>
          <w:szCs w:val="22"/>
        </w:rPr>
      </w:pPr>
      <w:r w:rsidRPr="002E160E">
        <w:rPr>
          <w:rFonts w:ascii="Palatino Linotype" w:eastAsia="Palatino Linotype" w:hAnsi="Palatino Linotype" w:cs="Palatino Linotype"/>
          <w:b/>
          <w:i/>
          <w:sz w:val="22"/>
          <w:szCs w:val="22"/>
        </w:rPr>
        <w:t>Artículo 164.</w:t>
      </w:r>
      <w:r w:rsidRPr="002E160E">
        <w:rPr>
          <w:rFonts w:ascii="Palatino Linotype" w:eastAsia="Palatino Linotype" w:hAnsi="Palatino Linotype" w:cs="Palatino Linotype"/>
          <w:i/>
          <w:sz w:val="22"/>
          <w:szCs w:val="22"/>
        </w:rPr>
        <w:t xml:space="preserve"> El acceso se dará en la modalidad de entrega y, en su caso, de envío elegidos por el solicitante. Cuando la información no pueda entregarse o enviarse en la modalidad solicitada, </w:t>
      </w:r>
      <w:r w:rsidRPr="002E160E">
        <w:rPr>
          <w:rFonts w:ascii="Palatino Linotype" w:eastAsia="Palatino Linotype" w:hAnsi="Palatino Linotype" w:cs="Palatino Linotype"/>
          <w:b/>
          <w:i/>
          <w:sz w:val="22"/>
          <w:szCs w:val="22"/>
          <w:u w:val="single"/>
        </w:rPr>
        <w:t>el sujeto obligado deberá ofrecer otra u otras modalidades de entrega.</w:t>
      </w:r>
      <w:r w:rsidRPr="002E160E">
        <w:rPr>
          <w:rFonts w:ascii="Palatino Linotype" w:eastAsia="Palatino Linotype" w:hAnsi="Palatino Linotype" w:cs="Palatino Linotype"/>
          <w:i/>
          <w:sz w:val="22"/>
          <w:szCs w:val="22"/>
        </w:rPr>
        <w:t xml:space="preserve"> En cualquier caso, se deberá fundar y motivar la necesidad de ofrecer otras modalidades.”</w:t>
      </w:r>
    </w:p>
    <w:p w:rsidR="00E32DEB" w:rsidRPr="002E160E" w:rsidRDefault="00E32DEB">
      <w:pPr>
        <w:spacing w:line="276" w:lineRule="auto"/>
        <w:ind w:left="851" w:right="851"/>
        <w:jc w:val="both"/>
        <w:rPr>
          <w:rFonts w:ascii="Palatino Linotype" w:eastAsia="Palatino Linotype" w:hAnsi="Palatino Linotype" w:cs="Palatino Linotype"/>
          <w:i/>
          <w:sz w:val="22"/>
          <w:szCs w:val="22"/>
        </w:rPr>
      </w:pPr>
    </w:p>
    <w:p w:rsidR="00E32DEB" w:rsidRPr="002E160E" w:rsidRDefault="008C051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Por lo cual, los Sujetos Obligados podrán poner a disposición,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rsidR="00E32DEB" w:rsidRPr="002E160E" w:rsidRDefault="00E32DE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32DEB" w:rsidRPr="002E160E" w:rsidRDefault="008C051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 xml:space="preserve">Por otro lado, el artículo 174 de la ley de la materia, indica que los costos de reproducción y, en su caso, de envío para la obtención de la información deberán ser cubiertos por la persona solicitante de manera previa a la entrega por parte del Sujeto Obligado. </w:t>
      </w:r>
    </w:p>
    <w:p w:rsidR="00E32DEB" w:rsidRPr="002E160E" w:rsidRDefault="00E32DEB">
      <w:pPr>
        <w:pBdr>
          <w:top w:val="nil"/>
          <w:left w:val="nil"/>
          <w:bottom w:val="nil"/>
          <w:right w:val="nil"/>
          <w:between w:val="nil"/>
        </w:pBdr>
        <w:ind w:left="720"/>
        <w:rPr>
          <w:rFonts w:ascii="Palatino Linotype" w:eastAsia="Palatino Linotype" w:hAnsi="Palatino Linotype" w:cs="Palatino Linotype"/>
          <w:color w:val="000000"/>
        </w:rPr>
      </w:pPr>
    </w:p>
    <w:p w:rsidR="00E32DEB" w:rsidRPr="002E160E" w:rsidRDefault="008C051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lastRenderedPageBreak/>
        <w:t xml:space="preserve">En tales circunstancias, la entrega deberá hacerse, </w:t>
      </w:r>
      <w:r w:rsidRPr="002E160E">
        <w:rPr>
          <w:rFonts w:ascii="Palatino Linotype" w:eastAsia="Palatino Linotype" w:hAnsi="Palatino Linotype" w:cs="Palatino Linotype"/>
          <w:b/>
          <w:color w:val="000000"/>
        </w:rPr>
        <w:t>en la medida de lo posible, en la forma solicitada por el interesado, salvo que exista un impedimento justificado para atenderla</w:t>
      </w:r>
      <w:r w:rsidRPr="002E160E">
        <w:rPr>
          <w:rFonts w:ascii="Palatino Linotype" w:eastAsia="Palatino Linotype" w:hAnsi="Palatino Linotype" w:cs="Palatino Linotype"/>
          <w:color w:val="000000"/>
        </w:rPr>
        <w:t xml:space="preserve">, en cuyo caso, deberán exponerse las razones por las cuales no es posible utilizar el medio de reproducción solicitado; en este sentido, la entrega de la información en una modalidad distinta a la elegida por la particular </w:t>
      </w:r>
      <w:r w:rsidRPr="002E160E">
        <w:rPr>
          <w:rFonts w:ascii="Palatino Linotype" w:eastAsia="Palatino Linotype" w:hAnsi="Palatino Linotype" w:cs="Palatino Linotype"/>
          <w:b/>
          <w:color w:val="000000"/>
        </w:rPr>
        <w:t>sólo procede, en caso de que se acredite la imposibilidad de atenderla.</w:t>
      </w:r>
      <w:r w:rsidRPr="002E160E">
        <w:rPr>
          <w:rFonts w:ascii="Palatino Linotype" w:eastAsia="Palatino Linotype" w:hAnsi="Palatino Linotype" w:cs="Palatino Linotype"/>
          <w:color w:val="000000"/>
        </w:rPr>
        <w:t xml:space="preserve"> </w:t>
      </w:r>
    </w:p>
    <w:p w:rsidR="00E32DEB" w:rsidRPr="002E160E" w:rsidRDefault="00E32DE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32DEB" w:rsidRPr="002E160E" w:rsidRDefault="008C051D">
      <w:pPr>
        <w:numPr>
          <w:ilvl w:val="0"/>
          <w:numId w:val="2"/>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 xml:space="preserve">Así, cuando se justifique el impedimento, </w:t>
      </w:r>
      <w:r w:rsidRPr="002E160E">
        <w:rPr>
          <w:rFonts w:ascii="Palatino Linotype" w:eastAsia="Palatino Linotype" w:hAnsi="Palatino Linotype" w:cs="Palatino Linotype"/>
          <w:b/>
          <w:color w:val="000000"/>
        </w:rPr>
        <w:t>los Sujetos Obligados deberán ofrecer al particular otras modalidades de entrega que permita la información</w:t>
      </w:r>
      <w:r w:rsidRPr="002E160E">
        <w:rPr>
          <w:rFonts w:ascii="Palatino Linotype" w:eastAsia="Palatino Linotype" w:hAnsi="Palatino Linotype" w:cs="Palatino Linotype"/>
          <w:color w:val="000000"/>
        </w:rPr>
        <w:t>, como consulta directa en las oficinas de la Unidad de Transparencia, la expedición de copias simples o certificadas, o la reproducción en cualquier otro medio, incluidos los electrónicos, lo que se robustece con el criterio 08/17, emitido por el Pleno del Instituto Nacional de Transparencia, Acceso a la Información y Protección de Datos Personales, el cual establece lo siguiente:</w:t>
      </w:r>
    </w:p>
    <w:p w:rsidR="00E32DEB" w:rsidRPr="002E160E" w:rsidRDefault="008C051D">
      <w:pPr>
        <w:spacing w:line="276" w:lineRule="auto"/>
        <w:ind w:left="851" w:right="851"/>
        <w:jc w:val="both"/>
        <w:rPr>
          <w:rFonts w:ascii="Palatino Linotype" w:eastAsia="Palatino Linotype" w:hAnsi="Palatino Linotype" w:cs="Palatino Linotype"/>
          <w:b/>
          <w:i/>
          <w:sz w:val="22"/>
          <w:szCs w:val="22"/>
        </w:rPr>
      </w:pPr>
      <w:r w:rsidRPr="002E160E">
        <w:rPr>
          <w:rFonts w:ascii="Palatino Linotype" w:eastAsia="Palatino Linotype" w:hAnsi="Palatino Linotype" w:cs="Palatino Linotype"/>
          <w:b/>
          <w:i/>
          <w:sz w:val="22"/>
          <w:szCs w:val="22"/>
        </w:rPr>
        <w:t>“Modalidad de entrega. Procedencia de proporcionar la información solicitada en una diversa a la elegida por el solicitante.</w:t>
      </w:r>
      <w:r w:rsidRPr="002E160E">
        <w:rPr>
          <w:rFonts w:ascii="Palatino Linotype" w:eastAsia="Palatino Linotype" w:hAnsi="Palatino Linotype" w:cs="Palatino Linotype"/>
          <w:i/>
          <w:sz w:val="22"/>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w:t>
      </w:r>
      <w:r w:rsidRPr="002E160E">
        <w:rPr>
          <w:rFonts w:ascii="Palatino Linotype" w:eastAsia="Palatino Linotype" w:hAnsi="Palatino Linotype" w:cs="Palatino Linotype"/>
          <w:b/>
          <w:i/>
          <w:sz w:val="22"/>
          <w:szCs w:val="22"/>
          <w:u w:val="single"/>
        </w:rPr>
        <w:t>en todas las modalidades que permita el documento de que se trate, procurando reducir, en todo momento, los costos de entrega</w:t>
      </w:r>
      <w:r w:rsidRPr="002E160E">
        <w:rPr>
          <w:rFonts w:ascii="Palatino Linotype" w:eastAsia="Palatino Linotype" w:hAnsi="Palatino Linotype" w:cs="Palatino Linotype"/>
          <w:b/>
          <w:i/>
          <w:sz w:val="22"/>
          <w:szCs w:val="22"/>
        </w:rPr>
        <w:t>.”</w:t>
      </w:r>
    </w:p>
    <w:p w:rsidR="00E32DEB" w:rsidRPr="002E160E" w:rsidRDefault="008C051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2E160E">
        <w:rPr>
          <w:rFonts w:ascii="Palatino Linotype" w:eastAsia="Palatino Linotype" w:hAnsi="Palatino Linotype" w:cs="Palatino Linotype"/>
          <w:color w:val="000000"/>
        </w:rPr>
        <w:lastRenderedPageBreak/>
        <w:t>Del citado criterio, se desprende que cuando</w:t>
      </w:r>
      <w:r w:rsidRPr="002E160E">
        <w:rPr>
          <w:rFonts w:ascii="Palatino Linotype" w:eastAsia="Palatino Linotype" w:hAnsi="Palatino Linotype" w:cs="Palatino Linotype"/>
          <w:b/>
          <w:color w:val="000000"/>
        </w:rPr>
        <w:t xml:space="preserve"> la información no pueda entregarse o enviarse en la modalidad elegida, </w:t>
      </w:r>
      <w:r w:rsidRPr="002E160E">
        <w:rPr>
          <w:rFonts w:ascii="Palatino Linotype" w:eastAsia="Palatino Linotype" w:hAnsi="Palatino Linotype" w:cs="Palatino Linotype"/>
          <w:color w:val="000000"/>
        </w:rPr>
        <w:t xml:space="preserve">para que la obligación de acceso a la información se tenga por cumplida, </w:t>
      </w:r>
      <w:r w:rsidRPr="002E160E">
        <w:rPr>
          <w:rFonts w:ascii="Palatino Linotype" w:eastAsia="Palatino Linotype" w:hAnsi="Palatino Linotype" w:cs="Palatino Linotype"/>
          <w:b/>
          <w:color w:val="000000"/>
        </w:rPr>
        <w:t>el Sujeto Obligado deberá ofrecer otra u otras modalidades de entrega.</w:t>
      </w:r>
      <w:r w:rsidRPr="002E160E">
        <w:rPr>
          <w:rFonts w:ascii="Palatino Linotype" w:eastAsia="Palatino Linotype" w:hAnsi="Palatino Linotype" w:cs="Palatino Linotype"/>
          <w:color w:val="000000"/>
        </w:rPr>
        <w:t xml:space="preserve"> En cualquier caso, </w:t>
      </w:r>
      <w:r w:rsidRPr="002E160E">
        <w:rPr>
          <w:rFonts w:ascii="Palatino Linotype" w:eastAsia="Palatino Linotype" w:hAnsi="Palatino Linotype" w:cs="Palatino Linotype"/>
          <w:b/>
          <w:color w:val="000000"/>
        </w:rPr>
        <w:t>se deberá fundar y motivar la necesidad de ofrecer otras modalidades</w:t>
      </w:r>
      <w:r w:rsidRPr="002E160E">
        <w:rPr>
          <w:rFonts w:ascii="Palatino Linotype" w:eastAsia="Palatino Linotype" w:hAnsi="Palatino Linotype" w:cs="Palatino Linotype"/>
          <w:color w:val="000000"/>
        </w:rPr>
        <w:t xml:space="preserve"> que lo permitan, </w:t>
      </w:r>
      <w:r w:rsidRPr="002E160E">
        <w:rPr>
          <w:rFonts w:ascii="Palatino Linotype" w:eastAsia="Palatino Linotype" w:hAnsi="Palatino Linotype" w:cs="Palatino Linotype"/>
          <w:b/>
          <w:color w:val="000000"/>
        </w:rPr>
        <w:t>procurando reducir los costos de entrega.</w:t>
      </w:r>
    </w:p>
    <w:p w:rsidR="00E32DEB" w:rsidRPr="002E160E" w:rsidRDefault="00E32DEB">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E32DEB" w:rsidRPr="002E160E" w:rsidRDefault="008C051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Además, según Calero, Natalia (2016), en la “Ley General de Transparencia y Acceso a la Información Pública Comentada”,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rsidR="00E32DEB" w:rsidRPr="002E160E" w:rsidRDefault="008C051D">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567"/>
        </w:tabs>
        <w:spacing w:before="240" w:after="240" w:line="360" w:lineRule="auto"/>
        <w:ind w:left="284" w:firstLine="0"/>
        <w:jc w:val="both"/>
        <w:rPr>
          <w:rFonts w:ascii="Palatino Linotype" w:eastAsia="Palatino Linotype" w:hAnsi="Palatino Linotype" w:cs="Palatino Linotype"/>
        </w:rPr>
      </w:pPr>
      <w:r w:rsidRPr="002E160E">
        <w:rPr>
          <w:rFonts w:ascii="Palatino Linotype" w:eastAsia="Palatino Linotype" w:hAnsi="Palatino Linotype" w:cs="Palatino Linotype"/>
        </w:rPr>
        <w:t>Las razones por las cuales la información implicaba un análisis, estudio o procesamiento de datos;</w:t>
      </w:r>
    </w:p>
    <w:p w:rsidR="00E32DEB" w:rsidRPr="002E160E" w:rsidRDefault="008C051D">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567"/>
        </w:tabs>
        <w:spacing w:before="240" w:after="240" w:line="360" w:lineRule="auto"/>
        <w:ind w:left="284" w:firstLine="0"/>
        <w:jc w:val="both"/>
        <w:rPr>
          <w:rFonts w:ascii="Palatino Linotype" w:eastAsia="Palatino Linotype" w:hAnsi="Palatino Linotype" w:cs="Palatino Linotype"/>
        </w:rPr>
      </w:pPr>
      <w:r w:rsidRPr="002E160E">
        <w:rPr>
          <w:rFonts w:ascii="Palatino Linotype" w:eastAsia="Palatino Linotype" w:hAnsi="Palatino Linotype" w:cs="Palatino Linotype"/>
        </w:rPr>
        <w:t>El tiempo no es suficiente para atender la solicitud en la modalidad elegida, y</w:t>
      </w:r>
    </w:p>
    <w:p w:rsidR="00E32DEB" w:rsidRPr="002E160E" w:rsidRDefault="008C051D">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ind w:left="284" w:firstLine="0"/>
        <w:jc w:val="both"/>
        <w:rPr>
          <w:rFonts w:ascii="Palatino Linotype" w:eastAsia="Palatino Linotype" w:hAnsi="Palatino Linotype" w:cs="Palatino Linotype"/>
        </w:rPr>
      </w:pPr>
      <w:r w:rsidRPr="002E160E">
        <w:rPr>
          <w:rFonts w:ascii="Palatino Linotype" w:eastAsia="Palatino Linotype" w:hAnsi="Palatino Linotype" w:cs="Palatino Linotype"/>
        </w:rPr>
        <w:t>La cantidad de recursos humanos y materiales con los que cuenta el Sujeto Obligado son insuficientes.</w:t>
      </w:r>
    </w:p>
    <w:p w:rsidR="00E32DEB" w:rsidRPr="002E160E" w:rsidRDefault="00E32DEB">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ind w:left="284"/>
        <w:jc w:val="both"/>
        <w:rPr>
          <w:rFonts w:ascii="Palatino Linotype" w:eastAsia="Palatino Linotype" w:hAnsi="Palatino Linotype" w:cs="Palatino Linotype"/>
        </w:rPr>
      </w:pPr>
    </w:p>
    <w:p w:rsidR="00E32DEB" w:rsidRPr="002E160E" w:rsidRDefault="008C051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 xml:space="preserve">En este tenor, toda vez que en la  respuesta a las solicitudes, el Sujeto Obligado  hace referencia a las capacidades técnicas, refiriendo un peso de 1.66 Gigabytes, este </w:t>
      </w:r>
      <w:r w:rsidRPr="002E160E">
        <w:rPr>
          <w:rFonts w:ascii="Palatino Linotype" w:eastAsia="Palatino Linotype" w:hAnsi="Palatino Linotype" w:cs="Palatino Linotype"/>
          <w:color w:val="000000"/>
        </w:rPr>
        <w:lastRenderedPageBreak/>
        <w:t>Organismo Garante en fecha veintinueve de noviembre de dos mil veinticuatro, realizó una solicitud de incidencia, a través de correo electrónico, a la Dirección General de Informática de este Instituto sobre las incidencia presentadas por el Sujeto Obligado, para atender las solicitudes que dieron origen a los recursos de revisión que se resuelven, tal como se advierte a continuación:</w:t>
      </w:r>
    </w:p>
    <w:p w:rsidR="00E32DEB" w:rsidRPr="002E160E" w:rsidRDefault="00E32DE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32DEB" w:rsidRPr="002E160E" w:rsidRDefault="008C051D">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sidRPr="002E160E">
        <w:rPr>
          <w:rFonts w:ascii="Palatino Linotype" w:eastAsia="Palatino Linotype" w:hAnsi="Palatino Linotype" w:cs="Palatino Linotype"/>
          <w:noProof/>
          <w:color w:val="000000"/>
        </w:rPr>
        <w:drawing>
          <wp:inline distT="0" distB="0" distL="0" distR="0">
            <wp:extent cx="4625684" cy="247525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625684" cy="2475257"/>
                    </a:xfrm>
                    <a:prstGeom prst="rect">
                      <a:avLst/>
                    </a:prstGeom>
                    <a:ln/>
                  </pic:spPr>
                </pic:pic>
              </a:graphicData>
            </a:graphic>
          </wp:inline>
        </w:drawing>
      </w:r>
    </w:p>
    <w:p w:rsidR="00E32DEB" w:rsidRPr="002E160E" w:rsidRDefault="00E32DEB">
      <w:pPr>
        <w:pBdr>
          <w:top w:val="nil"/>
          <w:left w:val="nil"/>
          <w:bottom w:val="nil"/>
          <w:right w:val="nil"/>
          <w:between w:val="nil"/>
        </w:pBdr>
        <w:spacing w:line="360" w:lineRule="auto"/>
        <w:jc w:val="center"/>
        <w:rPr>
          <w:rFonts w:ascii="Palatino Linotype" w:eastAsia="Palatino Linotype" w:hAnsi="Palatino Linotype" w:cs="Palatino Linotype"/>
          <w:color w:val="000000"/>
        </w:rPr>
      </w:pPr>
    </w:p>
    <w:p w:rsidR="00E32DEB" w:rsidRPr="002E160E" w:rsidRDefault="008C051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 xml:space="preserve">En respuesta al correo electrónico referido en el punto anterior, el </w:t>
      </w:r>
      <w:r w:rsidRPr="002E160E">
        <w:rPr>
          <w:rFonts w:ascii="Palatino Linotype" w:eastAsia="Palatino Linotype" w:hAnsi="Palatino Linotype" w:cs="Palatino Linotype"/>
          <w:b/>
          <w:color w:val="000000"/>
        </w:rPr>
        <w:t>veintinueve de noviembre de dos mil veinticuatro</w:t>
      </w:r>
      <w:r w:rsidRPr="002E160E">
        <w:rPr>
          <w:rFonts w:ascii="Palatino Linotype" w:eastAsia="Palatino Linotype" w:hAnsi="Palatino Linotype" w:cs="Palatino Linotype"/>
          <w:color w:val="000000"/>
        </w:rPr>
        <w:t>, la Dirección de Informática, informó que no se tenía registro de incidencia por parte del Sujeto Obligado, como se advierte a continuación:</w:t>
      </w:r>
    </w:p>
    <w:p w:rsidR="00E32DEB" w:rsidRPr="002E160E" w:rsidRDefault="00E32DEB">
      <w:pPr>
        <w:pBdr>
          <w:top w:val="nil"/>
          <w:left w:val="nil"/>
          <w:bottom w:val="nil"/>
          <w:right w:val="nil"/>
          <w:between w:val="nil"/>
        </w:pBdr>
        <w:spacing w:line="360" w:lineRule="auto"/>
        <w:jc w:val="center"/>
        <w:rPr>
          <w:rFonts w:ascii="Palatino Linotype" w:eastAsia="Palatino Linotype" w:hAnsi="Palatino Linotype" w:cs="Palatino Linotype"/>
          <w:color w:val="000000"/>
        </w:rPr>
      </w:pPr>
    </w:p>
    <w:p w:rsidR="00E32DEB" w:rsidRPr="002E160E" w:rsidRDefault="008C051D">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sidRPr="002E160E">
        <w:rPr>
          <w:rFonts w:ascii="Palatino Linotype" w:eastAsia="Palatino Linotype" w:hAnsi="Palatino Linotype" w:cs="Palatino Linotype"/>
          <w:noProof/>
          <w:color w:val="000000"/>
        </w:rPr>
        <w:lastRenderedPageBreak/>
        <w:drawing>
          <wp:inline distT="0" distB="0" distL="0" distR="0">
            <wp:extent cx="5021934" cy="145736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021934" cy="1457367"/>
                    </a:xfrm>
                    <a:prstGeom prst="rect">
                      <a:avLst/>
                    </a:prstGeom>
                    <a:ln/>
                  </pic:spPr>
                </pic:pic>
              </a:graphicData>
            </a:graphic>
          </wp:inline>
        </w:drawing>
      </w:r>
    </w:p>
    <w:p w:rsidR="00E32DEB" w:rsidRPr="002E160E" w:rsidRDefault="00E32DEB">
      <w:pPr>
        <w:pBdr>
          <w:top w:val="nil"/>
          <w:left w:val="nil"/>
          <w:bottom w:val="nil"/>
          <w:right w:val="nil"/>
          <w:between w:val="nil"/>
        </w:pBdr>
        <w:spacing w:line="360" w:lineRule="auto"/>
        <w:jc w:val="center"/>
        <w:rPr>
          <w:rFonts w:ascii="Palatino Linotype" w:eastAsia="Palatino Linotype" w:hAnsi="Palatino Linotype" w:cs="Palatino Linotype"/>
          <w:color w:val="000000"/>
        </w:rPr>
      </w:pPr>
    </w:p>
    <w:p w:rsidR="00E32DEB" w:rsidRPr="002E160E" w:rsidRDefault="008C051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 xml:space="preserve">Con lo anterior se reitera que como respuesta se obtuvo que </w:t>
      </w:r>
      <w:r w:rsidRPr="002E160E">
        <w:rPr>
          <w:rFonts w:ascii="Palatino Linotype" w:eastAsia="Palatino Linotype" w:hAnsi="Palatino Linotype" w:cs="Palatino Linotype"/>
          <w:b/>
          <w:color w:val="000000"/>
        </w:rPr>
        <w:t xml:space="preserve">no se tenía reporte de llamada alguna, o registro de incidencia por parte de éste, </w:t>
      </w:r>
      <w:r w:rsidRPr="002E160E">
        <w:rPr>
          <w:rFonts w:ascii="Palatino Linotype" w:eastAsia="Palatino Linotype" w:hAnsi="Palatino Linotype" w:cs="Palatino Linotype"/>
          <w:color w:val="000000"/>
        </w:rPr>
        <w:t>asimismo refirió que el Sistema de Acceso a la Información Mexiquense, SAIMEX, cuenta con el soporte tecnológico para adjuntar archivos con un peso aproximado de hasta 500Mb, o un equivalente de hasta 8,000 hojas; garantizando que el solicitante no tenga problemas en la descarga de la información usando conexiones a internet convencionales, bajo parámetros de escaneo en resolución máxima de 150Dpi's, escala de grises y formato "PDF" extraído directamente del escáner.</w:t>
      </w:r>
    </w:p>
    <w:p w:rsidR="00E32DEB" w:rsidRPr="002E160E" w:rsidRDefault="00E32DE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32DEB" w:rsidRPr="002E160E" w:rsidRDefault="008C051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 xml:space="preserve">En atención a que el Sujeto Obligado adjuntó en repuesta el Acta de Sesión en la que el Comité de Transparencia aprobó el cambió de modalidad este órgano Garante, realizó un requerimiento al Sujeto Obligado, solicitándole informara el cúmulo de información que representan los documentos, manifestando el </w:t>
      </w:r>
      <w:r w:rsidRPr="002E160E">
        <w:rPr>
          <w:rFonts w:ascii="Palatino Linotype" w:eastAsia="Palatino Linotype" w:hAnsi="Palatino Linotype" w:cs="Palatino Linotype"/>
          <w:b/>
          <w:color w:val="000000"/>
        </w:rPr>
        <w:t>número de fojas</w:t>
      </w:r>
      <w:r w:rsidRPr="002E160E">
        <w:rPr>
          <w:rFonts w:ascii="Palatino Linotype" w:eastAsia="Palatino Linotype" w:hAnsi="Palatino Linotype" w:cs="Palatino Linotype"/>
          <w:color w:val="000000"/>
        </w:rPr>
        <w:t xml:space="preserve">, el peso en megabytes o gigabytes, </w:t>
      </w:r>
      <w:r w:rsidRPr="002E160E">
        <w:rPr>
          <w:rFonts w:ascii="Palatino Linotype" w:eastAsia="Palatino Linotype" w:hAnsi="Palatino Linotype" w:cs="Palatino Linotype"/>
          <w:b/>
          <w:color w:val="000000"/>
        </w:rPr>
        <w:t xml:space="preserve">elementos que brinden certeza de la imposibilidad técnica </w:t>
      </w:r>
      <w:r w:rsidRPr="002E160E">
        <w:rPr>
          <w:rFonts w:ascii="Palatino Linotype" w:eastAsia="Palatino Linotype" w:hAnsi="Palatino Linotype" w:cs="Palatino Linotype"/>
          <w:b/>
          <w:color w:val="000000"/>
        </w:rPr>
        <w:lastRenderedPageBreak/>
        <w:t>administrativa o humana</w:t>
      </w:r>
      <w:r w:rsidRPr="002E160E">
        <w:rPr>
          <w:rFonts w:ascii="Palatino Linotype" w:eastAsia="Palatino Linotype" w:hAnsi="Palatino Linotype" w:cs="Palatino Linotype"/>
          <w:color w:val="000000"/>
        </w:rPr>
        <w:t xml:space="preserve"> con los respectivos medios de convicción, el </w:t>
      </w:r>
      <w:r w:rsidRPr="002E160E">
        <w:rPr>
          <w:rFonts w:ascii="Palatino Linotype" w:eastAsia="Palatino Linotype" w:hAnsi="Palatino Linotype" w:cs="Palatino Linotype"/>
          <w:b/>
          <w:color w:val="000000"/>
        </w:rPr>
        <w:t>reporte de incidencia ante la Dirección General de Informática de este Instituto.</w:t>
      </w:r>
      <w:r w:rsidRPr="002E160E">
        <w:rPr>
          <w:rFonts w:ascii="Palatino Linotype" w:eastAsia="Palatino Linotype" w:hAnsi="Palatino Linotype" w:cs="Palatino Linotype"/>
          <w:color w:val="000000"/>
        </w:rPr>
        <w:t xml:space="preserve">  </w:t>
      </w:r>
    </w:p>
    <w:p w:rsidR="00E32DEB" w:rsidRPr="002E160E" w:rsidRDefault="00E32DE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32DEB" w:rsidRPr="002E160E" w:rsidRDefault="008C051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 xml:space="preserve">De lo anterior en fecha </w:t>
      </w:r>
      <w:r w:rsidRPr="002E160E">
        <w:rPr>
          <w:rFonts w:ascii="Palatino Linotype" w:eastAsia="Palatino Linotype" w:hAnsi="Palatino Linotype" w:cs="Palatino Linotype"/>
          <w:b/>
          <w:color w:val="000000"/>
        </w:rPr>
        <w:t xml:space="preserve">cuatro de diciembre de dos mil veinticuatro, </w:t>
      </w:r>
      <w:r w:rsidRPr="002E160E">
        <w:rPr>
          <w:rFonts w:ascii="Palatino Linotype" w:eastAsia="Palatino Linotype" w:hAnsi="Palatino Linotype" w:cs="Palatino Linotype"/>
          <w:color w:val="000000"/>
        </w:rPr>
        <w:t xml:space="preserve">el Sujeto Obligado mediante correo electrónico dio respuesta al requerimiento, mediante oficio número 2010A4000/UT/RR/0584/2024, suscrito por la Titular de la Unidad de Transparencia, en el que refiere: </w:t>
      </w:r>
    </w:p>
    <w:p w:rsidR="00E32DEB" w:rsidRPr="002E160E" w:rsidRDefault="00E32DE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32DEB" w:rsidRPr="002E160E" w:rsidRDefault="008C051D">
      <w:pPr>
        <w:pBdr>
          <w:top w:val="nil"/>
          <w:left w:val="nil"/>
          <w:bottom w:val="nil"/>
          <w:right w:val="nil"/>
          <w:between w:val="nil"/>
        </w:pBdr>
        <w:ind w:left="720"/>
        <w:jc w:val="both"/>
        <w:rPr>
          <w:rFonts w:ascii="Palatino Linotype" w:eastAsia="Palatino Linotype" w:hAnsi="Palatino Linotype" w:cs="Palatino Linotype"/>
          <w:i/>
          <w:color w:val="000000"/>
        </w:rPr>
      </w:pPr>
      <w:r w:rsidRPr="002E160E">
        <w:rPr>
          <w:rFonts w:ascii="Palatino Linotype" w:eastAsia="Palatino Linotype" w:hAnsi="Palatino Linotype" w:cs="Palatino Linotype"/>
          <w:i/>
          <w:color w:val="000000"/>
        </w:rPr>
        <w:t>“…es menester señalar que como se hizo del conocimiento en cada una de las respuestas primigenias, la Dirección General de Medio Ambiente, se encuentra imposibilitada en hacer entrega de la información mediante el Sistema de Acceso a la Información Mexiquense (SAIMEX), esto es, derivado del cumulo de información que representa, además por las razones y motivos expuestas en el Acta de Comité, pertenecientes a cada una de las solicitudes de mérito.</w:t>
      </w:r>
    </w:p>
    <w:p w:rsidR="00E32DEB" w:rsidRPr="002E160E" w:rsidRDefault="00E32DEB">
      <w:pPr>
        <w:pBdr>
          <w:top w:val="nil"/>
          <w:left w:val="nil"/>
          <w:bottom w:val="nil"/>
          <w:right w:val="nil"/>
          <w:between w:val="nil"/>
        </w:pBdr>
        <w:ind w:left="720"/>
        <w:jc w:val="both"/>
        <w:rPr>
          <w:rFonts w:ascii="Palatino Linotype" w:eastAsia="Palatino Linotype" w:hAnsi="Palatino Linotype" w:cs="Palatino Linotype"/>
          <w:i/>
          <w:color w:val="000000"/>
        </w:rPr>
      </w:pPr>
    </w:p>
    <w:p w:rsidR="00E32DEB" w:rsidRPr="002E160E" w:rsidRDefault="008C051D">
      <w:pPr>
        <w:pBdr>
          <w:top w:val="nil"/>
          <w:left w:val="nil"/>
          <w:bottom w:val="nil"/>
          <w:right w:val="nil"/>
          <w:between w:val="nil"/>
        </w:pBdr>
        <w:ind w:left="720"/>
        <w:jc w:val="both"/>
        <w:rPr>
          <w:rFonts w:ascii="Palatino Linotype" w:eastAsia="Palatino Linotype" w:hAnsi="Palatino Linotype" w:cs="Palatino Linotype"/>
          <w:b/>
          <w:i/>
          <w:color w:val="000000"/>
        </w:rPr>
      </w:pPr>
      <w:r w:rsidRPr="002E160E">
        <w:rPr>
          <w:rFonts w:ascii="Palatino Linotype" w:eastAsia="Palatino Linotype" w:hAnsi="Palatino Linotype" w:cs="Palatino Linotype"/>
          <w:i/>
          <w:color w:val="000000"/>
        </w:rPr>
        <w:t xml:space="preserve">Sin embargo, esta Dirección General cuentan con un </w:t>
      </w:r>
      <w:r w:rsidRPr="002E160E">
        <w:rPr>
          <w:rFonts w:ascii="Palatino Linotype" w:eastAsia="Palatino Linotype" w:hAnsi="Palatino Linotype" w:cs="Palatino Linotype"/>
          <w:b/>
          <w:i/>
          <w:color w:val="000000"/>
          <w:u w:val="single"/>
        </w:rPr>
        <w:t>alto número de solicitudes y requerimientos recibidos dentro del primer semestre y lo que va del segundo semestre de la presente anualidad,</w:t>
      </w:r>
      <w:r w:rsidRPr="002E160E">
        <w:rPr>
          <w:rFonts w:ascii="Palatino Linotype" w:eastAsia="Palatino Linotype" w:hAnsi="Palatino Linotype" w:cs="Palatino Linotype"/>
          <w:i/>
          <w:color w:val="000000"/>
        </w:rPr>
        <w:t xml:space="preserve"> por tal motivo, se han rebasado las capacidades técnicas y humanas de los servidores públicos encargados de efectuar dichas tareas; para </w:t>
      </w:r>
      <w:proofErr w:type="spellStart"/>
      <w:r w:rsidRPr="002E160E">
        <w:rPr>
          <w:rFonts w:ascii="Palatino Linotype" w:eastAsia="Palatino Linotype" w:hAnsi="Palatino Linotype" w:cs="Palatino Linotype"/>
          <w:i/>
          <w:color w:val="000000"/>
        </w:rPr>
        <w:t>contra</w:t>
      </w:r>
      <w:proofErr w:type="spellEnd"/>
      <w:r w:rsidRPr="002E160E">
        <w:rPr>
          <w:rFonts w:ascii="Palatino Linotype" w:eastAsia="Palatino Linotype" w:hAnsi="Palatino Linotype" w:cs="Palatino Linotype"/>
          <w:i/>
          <w:color w:val="000000"/>
        </w:rPr>
        <w:t xml:space="preserve"> con el número exacto de </w:t>
      </w:r>
      <w:r w:rsidRPr="002E160E">
        <w:rPr>
          <w:rFonts w:ascii="Palatino Linotype" w:eastAsia="Palatino Linotype" w:hAnsi="Palatino Linotype" w:cs="Palatino Linotype"/>
          <w:b/>
          <w:i/>
          <w:color w:val="000000"/>
        </w:rPr>
        <w:t>fojas.</w:t>
      </w:r>
    </w:p>
    <w:p w:rsidR="00E32DEB" w:rsidRPr="002E160E" w:rsidRDefault="00E32DEB">
      <w:pPr>
        <w:pBdr>
          <w:top w:val="nil"/>
          <w:left w:val="nil"/>
          <w:bottom w:val="nil"/>
          <w:right w:val="nil"/>
          <w:between w:val="nil"/>
        </w:pBdr>
        <w:ind w:left="720"/>
        <w:jc w:val="both"/>
        <w:rPr>
          <w:rFonts w:ascii="Palatino Linotype" w:eastAsia="Palatino Linotype" w:hAnsi="Palatino Linotype" w:cs="Palatino Linotype"/>
          <w:b/>
          <w:i/>
          <w:color w:val="000000"/>
        </w:rPr>
      </w:pPr>
    </w:p>
    <w:p w:rsidR="00E32DEB" w:rsidRPr="002E160E" w:rsidRDefault="008C051D">
      <w:pPr>
        <w:pBdr>
          <w:top w:val="nil"/>
          <w:left w:val="nil"/>
          <w:bottom w:val="nil"/>
          <w:right w:val="nil"/>
          <w:between w:val="nil"/>
        </w:pBdr>
        <w:ind w:left="720"/>
        <w:jc w:val="both"/>
        <w:rPr>
          <w:rFonts w:ascii="Palatino Linotype" w:eastAsia="Palatino Linotype" w:hAnsi="Palatino Linotype" w:cs="Palatino Linotype"/>
          <w:i/>
          <w:color w:val="000000"/>
        </w:rPr>
      </w:pPr>
      <w:r w:rsidRPr="002E160E">
        <w:rPr>
          <w:rFonts w:ascii="Palatino Linotype" w:eastAsia="Palatino Linotype" w:hAnsi="Palatino Linotype" w:cs="Palatino Linotype"/>
          <w:i/>
          <w:color w:val="000000"/>
        </w:rPr>
        <w:t xml:space="preserve">Bajo esa tesitura, la calidad en la que se realiza el escaneo de las fojas consistentes en el soporte documental que da cuenta de lo requerido, es de una solución de 150 </w:t>
      </w:r>
      <w:proofErr w:type="spellStart"/>
      <w:r w:rsidRPr="002E160E">
        <w:rPr>
          <w:rFonts w:ascii="Palatino Linotype" w:eastAsia="Palatino Linotype" w:hAnsi="Palatino Linotype" w:cs="Palatino Linotype"/>
          <w:i/>
          <w:color w:val="000000"/>
        </w:rPr>
        <w:t>Dpi´s</w:t>
      </w:r>
      <w:proofErr w:type="spellEnd"/>
      <w:r w:rsidRPr="002E160E">
        <w:rPr>
          <w:rFonts w:ascii="Palatino Linotype" w:eastAsia="Palatino Linotype" w:hAnsi="Palatino Linotype" w:cs="Palatino Linotype"/>
          <w:i/>
          <w:color w:val="000000"/>
        </w:rPr>
        <w:t xml:space="preserve"> en escala de grises y formato </w:t>
      </w:r>
      <w:proofErr w:type="spellStart"/>
      <w:r w:rsidRPr="002E160E">
        <w:rPr>
          <w:rFonts w:ascii="Palatino Linotype" w:eastAsia="Palatino Linotype" w:hAnsi="Palatino Linotype" w:cs="Palatino Linotype"/>
          <w:i/>
          <w:color w:val="000000"/>
        </w:rPr>
        <w:t>pdf</w:t>
      </w:r>
      <w:proofErr w:type="spellEnd"/>
      <w:r w:rsidRPr="002E160E">
        <w:rPr>
          <w:rFonts w:ascii="Palatino Linotype" w:eastAsia="Palatino Linotype" w:hAnsi="Palatino Linotype" w:cs="Palatino Linotype"/>
          <w:i/>
          <w:color w:val="000000"/>
        </w:rPr>
        <w:t xml:space="preserve">, sin embargo, con el fin único y propósito de cumplir con el principio de máxima publicidad y legibilidad, es necesario hacerlo en la resolución del archivo antes señalada; además de ello, tienen un mayor peso en razón que el contenido de cada documento incluye imagen lo que incrementa el mismo; de tal manera al no tener </w:t>
      </w:r>
      <w:r w:rsidRPr="002E160E">
        <w:rPr>
          <w:rFonts w:ascii="Palatino Linotype" w:eastAsia="Palatino Linotype" w:hAnsi="Palatino Linotype" w:cs="Palatino Linotype"/>
          <w:i/>
          <w:color w:val="000000"/>
        </w:rPr>
        <w:lastRenderedPageBreak/>
        <w:t xml:space="preserve">un número de fojas determinado, no se ha registrado el reporte de incidencia ante la Dirección General de Informática del propio </w:t>
      </w:r>
      <w:proofErr w:type="spellStart"/>
      <w:r w:rsidRPr="002E160E">
        <w:rPr>
          <w:rFonts w:ascii="Palatino Linotype" w:eastAsia="Palatino Linotype" w:hAnsi="Palatino Linotype" w:cs="Palatino Linotype"/>
          <w:i/>
          <w:color w:val="000000"/>
        </w:rPr>
        <w:t>Infoem</w:t>
      </w:r>
      <w:proofErr w:type="spellEnd"/>
      <w:r w:rsidRPr="002E160E">
        <w:rPr>
          <w:rFonts w:ascii="Palatino Linotype" w:eastAsia="Palatino Linotype" w:hAnsi="Palatino Linotype" w:cs="Palatino Linotype"/>
          <w:i/>
          <w:color w:val="000000"/>
        </w:rPr>
        <w:t>…”</w:t>
      </w:r>
      <w:r w:rsidRPr="002E160E">
        <w:rPr>
          <w:rFonts w:ascii="Palatino Linotype" w:eastAsia="Palatino Linotype" w:hAnsi="Palatino Linotype" w:cs="Palatino Linotype"/>
          <w:color w:val="000000"/>
        </w:rPr>
        <w:t xml:space="preserve"> (Sic)</w:t>
      </w:r>
      <w:r w:rsidRPr="002E160E">
        <w:rPr>
          <w:rFonts w:ascii="Palatino Linotype" w:eastAsia="Palatino Linotype" w:hAnsi="Palatino Linotype" w:cs="Palatino Linotype"/>
          <w:i/>
          <w:color w:val="000000"/>
        </w:rPr>
        <w:t xml:space="preserve"> </w:t>
      </w:r>
    </w:p>
    <w:p w:rsidR="00E32DEB" w:rsidRPr="002E160E" w:rsidRDefault="00E32DEB">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p>
    <w:p w:rsidR="00E32DEB" w:rsidRPr="002E160E" w:rsidRDefault="008C051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 xml:space="preserve">Derivado de lo anterior, se colige que en el presente asunto el </w:t>
      </w:r>
      <w:r w:rsidRPr="002E160E">
        <w:rPr>
          <w:rFonts w:ascii="Palatino Linotype" w:eastAsia="Palatino Linotype" w:hAnsi="Palatino Linotype" w:cs="Palatino Linotype"/>
          <w:b/>
          <w:color w:val="000000"/>
        </w:rPr>
        <w:t xml:space="preserve">Sujeto Obligado </w:t>
      </w:r>
      <w:r w:rsidRPr="002E160E">
        <w:rPr>
          <w:rFonts w:ascii="Palatino Linotype" w:eastAsia="Palatino Linotype" w:hAnsi="Palatino Linotype" w:cs="Palatino Linotype"/>
          <w:color w:val="000000"/>
        </w:rPr>
        <w:t xml:space="preserve">no acreditó el impedimento para proporcionar la información a través del SAIMEX, siendo de suma importancia mencionar que el motivo para el cambio de modalidad no lo son las capacidades del referido sistema, ya que en sus respuestas manifestó que los documentos mediante los cuales se daría respuesta excedían las capacidades técnicas del mismo, con lo que el Sujeto Obligado pretendió justificar el cambio de modalidad en la carga de trabajo derivado de la cantidad, volumen, los recursos materiales y humanos con los que cuenta el área a su cargo, que son limitados, sin embargo, no </w:t>
      </w:r>
      <w:r w:rsidRPr="002E160E">
        <w:rPr>
          <w:rFonts w:ascii="Palatino Linotype" w:eastAsia="Palatino Linotype" w:hAnsi="Palatino Linotype" w:cs="Palatino Linotype"/>
          <w:b/>
          <w:color w:val="000000"/>
        </w:rPr>
        <w:t>refirió de manera clara</w:t>
      </w:r>
      <w:r w:rsidRPr="002E160E">
        <w:rPr>
          <w:rFonts w:ascii="Palatino Linotype" w:eastAsia="Palatino Linotype" w:hAnsi="Palatino Linotype" w:cs="Palatino Linotype"/>
          <w:color w:val="000000"/>
        </w:rPr>
        <w:t xml:space="preserve">, </w:t>
      </w:r>
      <w:r w:rsidRPr="002E160E">
        <w:rPr>
          <w:rFonts w:ascii="Palatino Linotype" w:eastAsia="Palatino Linotype" w:hAnsi="Palatino Linotype" w:cs="Palatino Linotype"/>
          <w:b/>
          <w:color w:val="000000"/>
        </w:rPr>
        <w:t>las razones y fundamentos suficientes que impiden la entrega de la información a través de la modalidad elegida,</w:t>
      </w:r>
      <w:r w:rsidRPr="002E160E">
        <w:rPr>
          <w:rFonts w:ascii="Palatino Linotype" w:eastAsia="Palatino Linotype" w:hAnsi="Palatino Linotype" w:cs="Palatino Linotype"/>
          <w:color w:val="000000"/>
        </w:rPr>
        <w:t xml:space="preserve"> puesto que inicialmente expresó que la respuesta excedía las capacidades técnicas del sistema y posteriormente señaló que no se tenía la certeza del número de fojas con las que se daría respuesta; como lo es de manera enunciativa más no limitativa, que lo peticionado implica un análisis, procesamiento o estudio de documentos cuya reproducción sobrepasará sus capacidades técnicas, administrativas y humanas</w:t>
      </w:r>
      <w:r w:rsidRPr="002E160E">
        <w:rPr>
          <w:rFonts w:ascii="Palatino Linotype" w:eastAsia="Palatino Linotype" w:hAnsi="Palatino Linotype" w:cs="Palatino Linotype"/>
          <w:b/>
          <w:color w:val="000000"/>
        </w:rPr>
        <w:t>; </w:t>
      </w:r>
      <w:r w:rsidRPr="002E160E">
        <w:rPr>
          <w:rFonts w:ascii="Palatino Linotype" w:eastAsia="Palatino Linotype" w:hAnsi="Palatino Linotype" w:cs="Palatino Linotype"/>
          <w:color w:val="000000"/>
        </w:rPr>
        <w:t>precisando, por ejemplo, el formato en que se encuentra la información digital o físico</w:t>
      </w:r>
      <w:r w:rsidRPr="002E160E">
        <w:rPr>
          <w:rFonts w:ascii="Palatino Linotype" w:eastAsia="Palatino Linotype" w:hAnsi="Palatino Linotype" w:cs="Palatino Linotype"/>
          <w:b/>
          <w:color w:val="000000"/>
        </w:rPr>
        <w:t>;</w:t>
      </w:r>
      <w:r w:rsidRPr="002E160E">
        <w:rPr>
          <w:rFonts w:ascii="Palatino Linotype" w:eastAsia="Palatino Linotype" w:hAnsi="Palatino Linotype" w:cs="Palatino Linotype"/>
          <w:color w:val="000000"/>
        </w:rPr>
        <w:t xml:space="preserve"> si lo peticionado se encuentra en uno o varios expedientes; el cúmulo de información con la cual se daría respuesta a la solicitud el número de documentos generados, precisando el número de hojas o cuando menos un aproximado, así como el peso o tamaño de los mismos, la </w:t>
      </w:r>
      <w:r w:rsidRPr="002E160E">
        <w:rPr>
          <w:rFonts w:ascii="Palatino Linotype" w:eastAsia="Palatino Linotype" w:hAnsi="Palatino Linotype" w:cs="Palatino Linotype"/>
          <w:color w:val="000000"/>
        </w:rPr>
        <w:lastRenderedPageBreak/>
        <w:t xml:space="preserve">cantidad de recursos humanos y materiales con los que cuenta, el tiempo insuficiente para para atender la solicitud en los términos que precisa la Ley, etcétera. </w:t>
      </w:r>
    </w:p>
    <w:p w:rsidR="00E32DEB" w:rsidRPr="002E160E" w:rsidRDefault="00E32DE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32DEB" w:rsidRPr="002E160E" w:rsidRDefault="008C051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 xml:space="preserve">En tal contexto, es de señalar que el Organismo Garante Nacional, ha considerado que no resulta suficiente justificar una imposibilidad técnica y humana para acreditar un cambio de modalidad, sino que es necesario demostrar otros impedimentos como la cantidad y </w:t>
      </w:r>
      <w:r w:rsidRPr="002E160E">
        <w:rPr>
          <w:rFonts w:ascii="Palatino Linotype" w:eastAsia="Palatino Linotype" w:hAnsi="Palatino Linotype" w:cs="Palatino Linotype"/>
          <w:b/>
          <w:color w:val="000000"/>
        </w:rPr>
        <w:t>formato de la documentación</w:t>
      </w:r>
      <w:r w:rsidRPr="002E160E">
        <w:rPr>
          <w:rFonts w:ascii="Palatino Linotype" w:eastAsia="Palatino Linotype" w:hAnsi="Palatino Linotype" w:cs="Palatino Linotype"/>
          <w:color w:val="000000"/>
        </w:rPr>
        <w:t xml:space="preserve">, que fuera de imposible reproducción en el medio elegido por los solicitantes, </w:t>
      </w:r>
      <w:r w:rsidRPr="002E160E">
        <w:rPr>
          <w:rFonts w:ascii="Palatino Linotype" w:eastAsia="Palatino Linotype" w:hAnsi="Palatino Linotype" w:cs="Palatino Linotype"/>
          <w:b/>
          <w:color w:val="000000"/>
        </w:rPr>
        <w:t>que la información ameritara el cruce de información en los sistemas de datos</w:t>
      </w:r>
      <w:r w:rsidRPr="002E160E">
        <w:rPr>
          <w:rFonts w:ascii="Palatino Linotype" w:eastAsia="Palatino Linotype" w:hAnsi="Palatino Linotype" w:cs="Palatino Linotype"/>
          <w:color w:val="000000"/>
        </w:rPr>
        <w:t>, entre otros; con el fin de privilegiar el Principio de Gratuidad y Máxima Publicidad; argumentos que encuentran sustento dentro diversas de sus resoluciones de Recursos de Inconformidad como el RIA 136/20, RIA 140/20, RIA 153/20 RIA 237/20, RIA 257/20, RIA 258/20, entre otros.</w:t>
      </w:r>
    </w:p>
    <w:p w:rsidR="00E32DEB" w:rsidRPr="002E160E" w:rsidRDefault="00E32DEB">
      <w:pPr>
        <w:pBdr>
          <w:top w:val="nil"/>
          <w:left w:val="nil"/>
          <w:bottom w:val="nil"/>
          <w:right w:val="nil"/>
          <w:between w:val="nil"/>
        </w:pBdr>
        <w:ind w:left="720"/>
        <w:rPr>
          <w:rFonts w:ascii="Palatino Linotype" w:eastAsia="Palatino Linotype" w:hAnsi="Palatino Linotype" w:cs="Palatino Linotype"/>
          <w:color w:val="000000"/>
        </w:rPr>
      </w:pPr>
    </w:p>
    <w:p w:rsidR="00E32DEB" w:rsidRPr="002E160E" w:rsidRDefault="008C051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 xml:space="preserve">En este orden de ideas, se reitera que el Derecho de acceso a la información pública se satisface en aquellos casos en que se entregue el soporte documental en el que conste la información solicitada, sin necesidad de elaborar documentos </w:t>
      </w:r>
      <w:r w:rsidRPr="002E160E">
        <w:rPr>
          <w:rFonts w:ascii="Palatino Linotype" w:eastAsia="Palatino Linotype" w:hAnsi="Palatino Linotype" w:cs="Palatino Linotype"/>
          <w:i/>
          <w:color w:val="000000"/>
        </w:rPr>
        <w:t>ad hoc</w:t>
      </w:r>
      <w:r w:rsidRPr="002E160E">
        <w:rPr>
          <w:rFonts w:ascii="Palatino Linotype" w:eastAsia="Palatino Linotype" w:hAnsi="Palatino Linotype" w:cs="Palatino Linotype"/>
          <w:color w:val="000000"/>
        </w:rPr>
        <w:t xml:space="preserve">, de conformidad con en el artículo 160 de la Ley de Transparencia y Acceso a la Información Pública del Estado de México y Municipios, el cual refiere que los Sujetos Obligados deberán entregar la información que obre en sus archivos. </w:t>
      </w:r>
    </w:p>
    <w:p w:rsidR="00E32DEB" w:rsidRPr="002E160E" w:rsidRDefault="00E32DEB">
      <w:pPr>
        <w:pBdr>
          <w:top w:val="nil"/>
          <w:left w:val="nil"/>
          <w:bottom w:val="nil"/>
          <w:right w:val="nil"/>
          <w:between w:val="nil"/>
        </w:pBdr>
        <w:ind w:left="720"/>
        <w:rPr>
          <w:rFonts w:ascii="Palatino Linotype" w:eastAsia="Palatino Linotype" w:hAnsi="Palatino Linotype" w:cs="Palatino Linotype"/>
          <w:color w:val="000000"/>
        </w:rPr>
      </w:pPr>
    </w:p>
    <w:p w:rsidR="00E32DEB" w:rsidRPr="002E160E" w:rsidRDefault="008C051D">
      <w:pPr>
        <w:widowControl w:val="0"/>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 xml:space="preserve">De tales circunstancias, se concluye que los Sujetos Obligados únicamente se encuentran constreñidos a proporcionar los documentos que den cuenta de la </w:t>
      </w:r>
      <w:r w:rsidRPr="002E160E">
        <w:rPr>
          <w:rFonts w:ascii="Palatino Linotype" w:eastAsia="Palatino Linotype" w:hAnsi="Palatino Linotype" w:cs="Palatino Linotype"/>
          <w:color w:val="000000"/>
        </w:rPr>
        <w:lastRenderedPageBreak/>
        <w:t xml:space="preserve">información solicitada, como obren en sus archivos, sin tener que elaborarlos a las necesidades de las personas solicitantes; por lo que, en el presente caso, el </w:t>
      </w:r>
      <w:r w:rsidRPr="002E160E">
        <w:rPr>
          <w:rFonts w:ascii="Palatino Linotype" w:eastAsia="Palatino Linotype" w:hAnsi="Palatino Linotype" w:cs="Palatino Linotype"/>
          <w:b/>
          <w:color w:val="000000"/>
        </w:rPr>
        <w:t xml:space="preserve">Sujeto Obligado </w:t>
      </w:r>
      <w:r w:rsidRPr="002E160E">
        <w:rPr>
          <w:rFonts w:ascii="Palatino Linotype" w:eastAsia="Palatino Linotype" w:hAnsi="Palatino Linotype" w:cs="Palatino Linotype"/>
          <w:color w:val="000000"/>
        </w:rPr>
        <w:t>deberá entregar los documentos que den cuenta de lo peticionado para satisfacer el Derecho de acceso a la información.</w:t>
      </w:r>
    </w:p>
    <w:p w:rsidR="00E32DEB" w:rsidRPr="002E160E" w:rsidRDefault="00E32DEB">
      <w:pPr>
        <w:pBdr>
          <w:top w:val="nil"/>
          <w:left w:val="nil"/>
          <w:bottom w:val="nil"/>
          <w:right w:val="nil"/>
          <w:between w:val="nil"/>
        </w:pBdr>
        <w:ind w:left="720"/>
        <w:rPr>
          <w:rFonts w:ascii="Palatino Linotype" w:eastAsia="Palatino Linotype" w:hAnsi="Palatino Linotype" w:cs="Palatino Linotype"/>
          <w:color w:val="000000"/>
        </w:rPr>
      </w:pPr>
    </w:p>
    <w:p w:rsidR="00E32DEB" w:rsidRPr="002E160E" w:rsidRDefault="008C051D">
      <w:pPr>
        <w:widowControl w:val="0"/>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No obstante, se debe recordar que la persona solicitante requirió la información descrita en la solicitud de acceso de los vales de salida de planta del vivero municipal en el parque alameda 2000 del año 2022, 2023 y 2024; sin embargo, las solicitudes se tuvieron por presentadas el veintiocho de septiembre de dos mil veinticuatro, por lo que en específico de la solicitud hecha del periodo del año 2024, es ineludible señalar que la información sobre hechos que aún no se han generado debido a la temporalidad, son hechos futuros e inciertos, los cuales no se pueden determinar ya que están supeditados a la conclusión de los mismos; por lo que no es procedente que los Sujetos Obligados proporcionen dicha información.</w:t>
      </w:r>
    </w:p>
    <w:p w:rsidR="00E32DEB" w:rsidRPr="002E160E" w:rsidRDefault="008C051D">
      <w:pPr>
        <w:numPr>
          <w:ilvl w:val="0"/>
          <w:numId w:val="2"/>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Lo anterior se robustece con la Tesis Aislada con número de registro 209001</w:t>
      </w:r>
      <w:r w:rsidRPr="002E160E">
        <w:rPr>
          <w:rFonts w:ascii="Century Gothic" w:eastAsia="Century Gothic" w:hAnsi="Century Gothic" w:cs="Century Gothic"/>
          <w:color w:val="000000"/>
          <w:vertAlign w:val="superscript"/>
        </w:rPr>
        <w:footnoteReference w:id="2"/>
      </w:r>
      <w:r w:rsidRPr="002E160E">
        <w:rPr>
          <w:rFonts w:ascii="Palatino Linotype" w:eastAsia="Palatino Linotype" w:hAnsi="Palatino Linotype" w:cs="Palatino Linotype"/>
          <w:color w:val="000000"/>
        </w:rPr>
        <w:t>, de la Suprema Corte de Justicia de la Nación, emitida por los Tribunales Colegiados de Circuito, que a la letra señala:</w:t>
      </w:r>
    </w:p>
    <w:p w:rsidR="00E32DEB" w:rsidRPr="002E160E" w:rsidRDefault="00E32DEB">
      <w:pPr>
        <w:pBdr>
          <w:top w:val="nil"/>
          <w:left w:val="nil"/>
          <w:bottom w:val="nil"/>
          <w:right w:val="nil"/>
          <w:between w:val="nil"/>
        </w:pBdr>
        <w:spacing w:line="360" w:lineRule="auto"/>
        <w:ind w:right="-93"/>
        <w:jc w:val="both"/>
        <w:rPr>
          <w:rFonts w:ascii="Palatino Linotype" w:eastAsia="Palatino Linotype" w:hAnsi="Palatino Linotype" w:cs="Palatino Linotype"/>
          <w:color w:val="000000"/>
        </w:rPr>
      </w:pPr>
    </w:p>
    <w:p w:rsidR="00E32DEB" w:rsidRPr="002E160E" w:rsidRDefault="008C051D">
      <w:pPr>
        <w:pBdr>
          <w:top w:val="none" w:sz="0" w:space="0" w:color="000000"/>
          <w:left w:val="none" w:sz="0" w:space="0" w:color="000000"/>
          <w:bottom w:val="none" w:sz="0" w:space="0" w:color="000000"/>
          <w:right w:val="none" w:sz="0" w:space="0" w:color="000000"/>
          <w:between w:val="none" w:sz="0" w:space="0" w:color="000000"/>
        </w:pBdr>
        <w:ind w:left="851" w:right="900"/>
        <w:jc w:val="both"/>
        <w:rPr>
          <w:rFonts w:ascii="Palatino Linotype" w:eastAsia="Palatino Linotype" w:hAnsi="Palatino Linotype" w:cs="Palatino Linotype"/>
          <w:i/>
        </w:rPr>
      </w:pPr>
      <w:r w:rsidRPr="002E160E">
        <w:rPr>
          <w:rFonts w:ascii="Palatino Linotype" w:eastAsia="Palatino Linotype" w:hAnsi="Palatino Linotype" w:cs="Palatino Linotype"/>
          <w:b/>
          <w:i/>
        </w:rPr>
        <w:t xml:space="preserve">“ACTOS FUTUROS DE REALIZACION INCIERTA. NO PROCEDE EL JUICIO DE AMPARO CONTRA LOS. </w:t>
      </w:r>
      <w:r w:rsidRPr="002E160E">
        <w:rPr>
          <w:rFonts w:ascii="Palatino Linotype" w:eastAsia="Palatino Linotype" w:hAnsi="Palatino Linotype" w:cs="Palatino Linotype"/>
          <w:i/>
        </w:rPr>
        <w:t>Contra actos futuros de realización incierta no procede el juicio de garantías.”</w:t>
      </w:r>
    </w:p>
    <w:p w:rsidR="00E32DEB" w:rsidRPr="002E160E" w:rsidRDefault="00E32DEB">
      <w:pPr>
        <w:pBdr>
          <w:top w:val="none" w:sz="0" w:space="0" w:color="000000"/>
          <w:left w:val="none" w:sz="0" w:space="0" w:color="000000"/>
          <w:bottom w:val="none" w:sz="0" w:space="0" w:color="000000"/>
          <w:right w:val="none" w:sz="0" w:space="0" w:color="000000"/>
          <w:between w:val="none" w:sz="0" w:space="0" w:color="000000"/>
        </w:pBdr>
        <w:spacing w:line="360" w:lineRule="auto"/>
        <w:ind w:left="851" w:right="900"/>
        <w:jc w:val="both"/>
        <w:rPr>
          <w:rFonts w:ascii="Palatino Linotype" w:eastAsia="Palatino Linotype" w:hAnsi="Palatino Linotype" w:cs="Palatino Linotype"/>
          <w:i/>
        </w:rPr>
      </w:pPr>
    </w:p>
    <w:p w:rsidR="00E32DEB" w:rsidRPr="002E160E" w:rsidRDefault="008C051D">
      <w:pPr>
        <w:numPr>
          <w:ilvl w:val="0"/>
          <w:numId w:val="2"/>
        </w:numPr>
        <w:pBdr>
          <w:top w:val="nil"/>
          <w:left w:val="nil"/>
          <w:bottom w:val="nil"/>
          <w:right w:val="nil"/>
          <w:between w:val="nil"/>
        </w:pBdr>
        <w:spacing w:line="360" w:lineRule="auto"/>
        <w:ind w:left="0" w:right="51"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 xml:space="preserve">En ese sentido, no es procedente la exigencia de la parte </w:t>
      </w:r>
      <w:r w:rsidRPr="002E160E">
        <w:rPr>
          <w:rFonts w:ascii="Palatino Linotype" w:eastAsia="Palatino Linotype" w:hAnsi="Palatino Linotype" w:cs="Palatino Linotype"/>
          <w:b/>
          <w:color w:val="000000"/>
        </w:rPr>
        <w:t>Recurrente</w:t>
      </w:r>
      <w:r w:rsidRPr="002E160E">
        <w:rPr>
          <w:rFonts w:ascii="Palatino Linotype" w:eastAsia="Palatino Linotype" w:hAnsi="Palatino Linotype" w:cs="Palatino Linotype"/>
          <w:color w:val="000000"/>
        </w:rPr>
        <w:t xml:space="preserve"> de que el </w:t>
      </w:r>
      <w:r w:rsidRPr="002E160E">
        <w:rPr>
          <w:rFonts w:ascii="Palatino Linotype" w:eastAsia="Palatino Linotype" w:hAnsi="Palatino Linotype" w:cs="Palatino Linotype"/>
          <w:b/>
          <w:color w:val="000000"/>
        </w:rPr>
        <w:t>Sujeto Obligado</w:t>
      </w:r>
      <w:r w:rsidRPr="002E160E">
        <w:rPr>
          <w:rFonts w:ascii="Palatino Linotype" w:eastAsia="Palatino Linotype" w:hAnsi="Palatino Linotype" w:cs="Palatino Linotype"/>
          <w:color w:val="000000"/>
        </w:rPr>
        <w:t xml:space="preserve"> atienda su solicitud en los términos solicitados, es decir, al día treinta y uno de diciembre de dos mil veinticuatro, pues dicha autoridad únicamente está constreñida a proporcionar la información pública que genere en uso de sus atribuciones de derecho público con anterioridad a la fecha de la solicitud de información, esto es al veintiocho de septiembre de dos mil veinticuatro.</w:t>
      </w:r>
    </w:p>
    <w:p w:rsidR="00E32DEB" w:rsidRPr="002E160E" w:rsidRDefault="00E32DEB">
      <w:pPr>
        <w:pBdr>
          <w:top w:val="nil"/>
          <w:left w:val="nil"/>
          <w:bottom w:val="nil"/>
          <w:right w:val="nil"/>
          <w:between w:val="nil"/>
        </w:pBdr>
        <w:spacing w:line="360" w:lineRule="auto"/>
        <w:ind w:right="51"/>
        <w:jc w:val="both"/>
        <w:rPr>
          <w:rFonts w:ascii="Palatino Linotype" w:eastAsia="Palatino Linotype" w:hAnsi="Palatino Linotype" w:cs="Palatino Linotype"/>
          <w:color w:val="000000"/>
        </w:rPr>
      </w:pPr>
    </w:p>
    <w:p w:rsidR="00E32DEB" w:rsidRPr="002E160E" w:rsidRDefault="008C051D">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360" w:lineRule="auto"/>
        <w:ind w:left="0" w:right="51"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 xml:space="preserve">Por tal razón resulta dable ordenar, en atención a la solicitud de información </w:t>
      </w:r>
      <w:r w:rsidRPr="002E160E">
        <w:rPr>
          <w:rFonts w:ascii="Palatino Linotype" w:eastAsia="Palatino Linotype" w:hAnsi="Palatino Linotype" w:cs="Palatino Linotype"/>
          <w:b/>
          <w:color w:val="000000"/>
        </w:rPr>
        <w:t>02410/TOLUCA/IP/2024</w:t>
      </w:r>
      <w:r w:rsidRPr="002E160E">
        <w:rPr>
          <w:rFonts w:ascii="Palatino Linotype" w:eastAsia="Palatino Linotype" w:hAnsi="Palatino Linotype" w:cs="Palatino Linotype"/>
          <w:color w:val="000000"/>
        </w:rPr>
        <w:t xml:space="preserve"> previa búsqueda exhaustiva y razonable, la entrega de los vales de salida de planta del vivero municipal del parque alameda 2000, del uno de enero al veintiocho de septiembre de dos mil veinticuatro, en versión pública de ser necesario.</w:t>
      </w:r>
    </w:p>
    <w:p w:rsidR="00E32DEB" w:rsidRPr="002E160E" w:rsidRDefault="00E32DEB">
      <w:pPr>
        <w:spacing w:line="360" w:lineRule="auto"/>
        <w:jc w:val="both"/>
        <w:rPr>
          <w:rFonts w:ascii="Palatino Linotype" w:eastAsia="Palatino Linotype" w:hAnsi="Palatino Linotype" w:cs="Palatino Linotype"/>
          <w:color w:val="000000"/>
          <w:sz w:val="22"/>
          <w:szCs w:val="22"/>
        </w:rPr>
      </w:pPr>
    </w:p>
    <w:p w:rsidR="00E32DEB" w:rsidRPr="002E160E" w:rsidRDefault="008C051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t xml:space="preserve">De lo anterior, se concluye que, si bien el Sujeto Obligado indicó otras modalidades para la entrega de la información, lo cierto es que </w:t>
      </w:r>
      <w:r w:rsidRPr="002E160E">
        <w:rPr>
          <w:rFonts w:ascii="Palatino Linotype" w:eastAsia="Palatino Linotype" w:hAnsi="Palatino Linotype" w:cs="Palatino Linotype"/>
          <w:b/>
          <w:color w:val="000000"/>
        </w:rPr>
        <w:t>no se acreditó debidamente el cambio de modalidad,</w:t>
      </w:r>
      <w:r w:rsidRPr="002E160E">
        <w:rPr>
          <w:rFonts w:ascii="Palatino Linotype" w:eastAsia="Palatino Linotype" w:hAnsi="Palatino Linotype" w:cs="Palatino Linotype"/>
          <w:color w:val="000000"/>
        </w:rPr>
        <w:t xml:space="preserve"> puesto que no se especificó la cantidad de documentación de los vales de salida de planta del vivero municipal ubicado en el parque alameda 2000 de los años 2022, 2023 y 2024 y no aporta los elementos necesarios para acreditar el cambio de modalidad en los términos propuestos.</w:t>
      </w:r>
    </w:p>
    <w:p w:rsidR="00E32DEB" w:rsidRPr="002E160E" w:rsidRDefault="00E32DEB">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E32DEB" w:rsidRPr="002E160E" w:rsidRDefault="008C051D">
      <w:pPr>
        <w:numPr>
          <w:ilvl w:val="0"/>
          <w:numId w:val="2"/>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color w:val="000000"/>
        </w:rPr>
        <w:lastRenderedPageBreak/>
        <w:t xml:space="preserve">Por lo anteriormente expuesto, este Órgano Garante dable ordenar la entrega de información en virtud de que no fue acreditado el cambio de modalidad que pretendía el </w:t>
      </w:r>
      <w:r w:rsidRPr="002E160E">
        <w:rPr>
          <w:rFonts w:ascii="Palatino Linotype" w:eastAsia="Palatino Linotype" w:hAnsi="Palatino Linotype" w:cs="Palatino Linotype"/>
          <w:b/>
          <w:color w:val="000000"/>
        </w:rPr>
        <w:t>SUJETO OBLIGADO</w:t>
      </w:r>
      <w:r w:rsidRPr="002E160E">
        <w:rPr>
          <w:rFonts w:ascii="Palatino Linotype" w:eastAsia="Palatino Linotype" w:hAnsi="Palatino Linotype" w:cs="Palatino Linotype"/>
          <w:color w:val="000000"/>
        </w:rPr>
        <w:t xml:space="preserve">, sin embargo dado que </w:t>
      </w:r>
      <w:r w:rsidRPr="002E160E">
        <w:rPr>
          <w:rFonts w:ascii="Palatino Linotype" w:eastAsia="Palatino Linotype" w:hAnsi="Palatino Linotype" w:cs="Palatino Linotype"/>
          <w:b/>
          <w:color w:val="000000"/>
        </w:rPr>
        <w:t>LA PARTE RECURRENTE</w:t>
      </w:r>
      <w:r w:rsidRPr="002E160E">
        <w:rPr>
          <w:rFonts w:ascii="Palatino Linotype" w:eastAsia="Palatino Linotype" w:hAnsi="Palatino Linotype" w:cs="Palatino Linotype"/>
          <w:color w:val="000000"/>
        </w:rPr>
        <w:t xml:space="preserve"> precisó como temporalidad los años de la administración pública municipal 2022-2024, es necesario señalar que el periodo de gobierno de la administración en funciones aún no ha fenecido, por ende resulta viable ordenar la entrega de información es un periodo comprendido del 01 de enero de 2022 al 28 de septiembre de 2024, siendo esta última la fecha de la solicitud de información.</w:t>
      </w:r>
    </w:p>
    <w:p w:rsidR="00E32DEB" w:rsidRPr="002E160E" w:rsidRDefault="00E32DEB">
      <w:pPr>
        <w:pBdr>
          <w:top w:val="nil"/>
          <w:left w:val="nil"/>
          <w:bottom w:val="nil"/>
          <w:right w:val="nil"/>
          <w:between w:val="nil"/>
        </w:pBdr>
        <w:spacing w:line="360" w:lineRule="auto"/>
        <w:ind w:right="-93"/>
        <w:jc w:val="both"/>
        <w:rPr>
          <w:rFonts w:ascii="Palatino Linotype" w:eastAsia="Palatino Linotype" w:hAnsi="Palatino Linotype" w:cs="Palatino Linotype"/>
        </w:rPr>
      </w:pPr>
    </w:p>
    <w:p w:rsidR="00E32DEB" w:rsidRPr="002E160E" w:rsidRDefault="008C051D">
      <w:pPr>
        <w:keepNext/>
        <w:keepLines/>
        <w:spacing w:before="240" w:line="360" w:lineRule="auto"/>
        <w:rPr>
          <w:rFonts w:ascii="Palatino Linotype" w:eastAsia="Palatino Linotype" w:hAnsi="Palatino Linotype" w:cs="Palatino Linotype"/>
          <w:b/>
        </w:rPr>
      </w:pPr>
      <w:r w:rsidRPr="002E160E">
        <w:rPr>
          <w:rFonts w:ascii="Palatino Linotype" w:eastAsia="Palatino Linotype" w:hAnsi="Palatino Linotype" w:cs="Palatino Linotype"/>
          <w:b/>
        </w:rPr>
        <w:t>QUINTO. VERSIÓN PÚBLICA.</w:t>
      </w:r>
    </w:p>
    <w:p w:rsidR="00E32DEB" w:rsidRPr="002E160E" w:rsidRDefault="00E32DEB">
      <w:pPr>
        <w:keepNext/>
        <w:keepLines/>
        <w:spacing w:before="240" w:line="360" w:lineRule="auto"/>
        <w:rPr>
          <w:rFonts w:ascii="Palatino Linotype" w:eastAsia="Palatino Linotype" w:hAnsi="Palatino Linotype" w:cs="Palatino Linotype"/>
          <w:b/>
        </w:rPr>
      </w:pPr>
    </w:p>
    <w:p w:rsidR="00E32DEB" w:rsidRPr="002E160E" w:rsidRDefault="008C051D">
      <w:pPr>
        <w:keepNext/>
        <w:keepLines/>
        <w:numPr>
          <w:ilvl w:val="0"/>
          <w:numId w:val="1"/>
        </w:numPr>
        <w:spacing w:line="360" w:lineRule="auto"/>
        <w:ind w:left="284" w:firstLine="0"/>
        <w:rPr>
          <w:rFonts w:ascii="Palatino Linotype" w:eastAsia="Palatino Linotype" w:hAnsi="Palatino Linotype" w:cs="Palatino Linotype"/>
          <w:b/>
        </w:rPr>
      </w:pPr>
      <w:bookmarkStart w:id="3" w:name="_heading=h.1t3h5sf" w:colFirst="0" w:colLast="0"/>
      <w:bookmarkEnd w:id="3"/>
      <w:r w:rsidRPr="002E160E">
        <w:rPr>
          <w:rFonts w:ascii="Palatino Linotype" w:eastAsia="Palatino Linotype" w:hAnsi="Palatino Linotype" w:cs="Palatino Linotype"/>
          <w:b/>
        </w:rPr>
        <w:t xml:space="preserve">Nociones generales. </w:t>
      </w:r>
    </w:p>
    <w:p w:rsidR="00E32DEB" w:rsidRPr="002E160E" w:rsidRDefault="00E32DEB">
      <w:pPr>
        <w:ind w:right="1"/>
        <w:rPr>
          <w:rFonts w:ascii="Palatino Linotype" w:eastAsia="Palatino Linotype" w:hAnsi="Palatino Linotype" w:cs="Palatino Linotype"/>
        </w:rPr>
      </w:pPr>
    </w:p>
    <w:p w:rsidR="00E32DEB" w:rsidRPr="002E160E" w:rsidRDefault="008C051D">
      <w:pPr>
        <w:spacing w:line="360" w:lineRule="auto"/>
        <w:ind w:right="1"/>
        <w:jc w:val="both"/>
        <w:rPr>
          <w:rFonts w:ascii="Palatino Linotype" w:eastAsia="Palatino Linotype" w:hAnsi="Palatino Linotype" w:cs="Palatino Linotype"/>
          <w:b/>
        </w:rPr>
      </w:pPr>
      <w:r w:rsidRPr="002E160E">
        <w:rPr>
          <w:rFonts w:ascii="Palatino Linotype" w:eastAsia="Palatino Linotype" w:hAnsi="Palatino Linotype" w:cs="Palatino Linotype"/>
        </w:rPr>
        <w:t>48. Debe destacarse que, debido a la naturaleza de la información solicitada</w:t>
      </w:r>
      <w:r w:rsidRPr="002E160E">
        <w:rPr>
          <w:rFonts w:ascii="Palatino Linotype" w:eastAsia="Palatino Linotype" w:hAnsi="Palatino Linotype" w:cs="Palatino Linotype"/>
          <w:b/>
        </w:rPr>
        <w:t xml:space="preserve">, </w:t>
      </w:r>
      <w:r w:rsidRPr="002E160E">
        <w:rPr>
          <w:rFonts w:ascii="Palatino Linotype" w:eastAsia="Palatino Linotype" w:hAnsi="Palatino Linotype" w:cs="Palatino Linotype"/>
        </w:rPr>
        <w:t xml:space="preserve">eventualmente pudiera obrar datos personales susceptibles de protegerse, el </w:t>
      </w:r>
      <w:r w:rsidRPr="002E160E">
        <w:rPr>
          <w:rFonts w:ascii="Palatino Linotype" w:eastAsia="Palatino Linotype" w:hAnsi="Palatino Linotype" w:cs="Palatino Linotype"/>
          <w:b/>
        </w:rPr>
        <w:t xml:space="preserve">Sujeto Obligado </w:t>
      </w:r>
      <w:r w:rsidRPr="002E160E">
        <w:rPr>
          <w:rFonts w:ascii="Palatino Linotype" w:eastAsia="Palatino Linotype" w:hAnsi="Palatino Linotype" w:cs="Palatino Linotype"/>
        </w:rPr>
        <w:t xml:space="preserve">deberá de hacer la adecuada versión pública, protegiendo los datos que no son susceptibles de ser proporcionados. </w:t>
      </w:r>
    </w:p>
    <w:p w:rsidR="00E32DEB" w:rsidRPr="002E160E" w:rsidRDefault="00E32DEB">
      <w:pPr>
        <w:ind w:right="1"/>
        <w:rPr>
          <w:rFonts w:ascii="Palatino Linotype" w:eastAsia="Palatino Linotype" w:hAnsi="Palatino Linotype" w:cs="Palatino Linotype"/>
        </w:rPr>
      </w:pPr>
    </w:p>
    <w:p w:rsidR="00E32DEB" w:rsidRPr="002E160E" w:rsidRDefault="008C051D">
      <w:pPr>
        <w:spacing w:line="360" w:lineRule="auto"/>
        <w:ind w:right="1"/>
        <w:jc w:val="both"/>
        <w:rPr>
          <w:rFonts w:ascii="Palatino Linotype" w:eastAsia="Palatino Linotype" w:hAnsi="Palatino Linotype" w:cs="Palatino Linotype"/>
          <w:b/>
        </w:rPr>
      </w:pPr>
      <w:r w:rsidRPr="002E160E">
        <w:rPr>
          <w:rFonts w:ascii="Palatino Linotype" w:eastAsia="Palatino Linotype" w:hAnsi="Palatino Linotype" w:cs="Palatino Linotype"/>
        </w:rPr>
        <w:t>49. No pasa desapercibido para este Órgano Garante que los Sujetos Obligados</w:t>
      </w:r>
      <w:r w:rsidRPr="002E160E">
        <w:rPr>
          <w:rFonts w:ascii="Palatino Linotype" w:eastAsia="Palatino Linotype" w:hAnsi="Palatino Linotype" w:cs="Palatino Linotype"/>
          <w:b/>
        </w:rPr>
        <w:t xml:space="preserve"> </w:t>
      </w:r>
      <w:r w:rsidRPr="002E160E">
        <w:rPr>
          <w:rFonts w:ascii="Palatino Linotype" w:eastAsia="Palatino Linotype" w:hAnsi="Palatino Linotype" w:cs="Palatino Linotype"/>
        </w:rPr>
        <w:t xml:space="preserve">serán responsables de los datos personales en su posesión y que, en caso de localizarse datos concernientes a terceros, éstos no podrán difundir, distribuir o comercializar los datos </w:t>
      </w:r>
      <w:r w:rsidRPr="002E160E">
        <w:rPr>
          <w:rFonts w:ascii="Palatino Linotype" w:eastAsia="Palatino Linotype" w:hAnsi="Palatino Linotype" w:cs="Palatino Linotype"/>
        </w:rPr>
        <w:lastRenderedPageBreak/>
        <w:t>personales.  Cabe destacar que, para la realización de la clasificación de la información, se deben seguir una serie de pasos y procedimientos, por lo que es menester reiterar los mismos:</w:t>
      </w:r>
    </w:p>
    <w:p w:rsidR="00E32DEB" w:rsidRPr="002E160E" w:rsidRDefault="00E32DEB">
      <w:pPr>
        <w:spacing w:line="360" w:lineRule="auto"/>
        <w:ind w:right="49"/>
        <w:jc w:val="both"/>
        <w:rPr>
          <w:rFonts w:ascii="Palatino Linotype" w:eastAsia="Palatino Linotype" w:hAnsi="Palatino Linotype" w:cs="Palatino Linotype"/>
        </w:rPr>
      </w:pPr>
    </w:p>
    <w:tbl>
      <w:tblPr>
        <w:tblStyle w:val="a5"/>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E32DEB" w:rsidRPr="002E160E" w:rsidTr="00E32D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E32DEB" w:rsidRPr="002E160E" w:rsidRDefault="008C051D">
            <w:pPr>
              <w:rPr>
                <w:rFonts w:ascii="Palatino Linotype" w:eastAsia="Palatino Linotype" w:hAnsi="Palatino Linotype" w:cs="Palatino Linotype"/>
              </w:rPr>
            </w:pPr>
            <w:r w:rsidRPr="002E160E">
              <w:rPr>
                <w:rFonts w:ascii="Palatino Linotype" w:eastAsia="Palatino Linotype" w:hAnsi="Palatino Linotype" w:cs="Palatino Linotype"/>
              </w:rPr>
              <w:t>a) Requisitos previos.</w:t>
            </w:r>
          </w:p>
        </w:tc>
        <w:tc>
          <w:tcPr>
            <w:tcW w:w="6990" w:type="dxa"/>
          </w:tcPr>
          <w:p w:rsidR="00E32DEB" w:rsidRPr="002E160E" w:rsidRDefault="008C051D">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2E160E">
              <w:rPr>
                <w:rFonts w:ascii="Palatino Linotype" w:eastAsia="Palatino Linotype" w:hAnsi="Palatino Linotype" w:cs="Palatino Linotype"/>
                <w:b w:val="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E32DEB" w:rsidRPr="002E160E" w:rsidRDefault="008C051D">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2E160E">
              <w:rPr>
                <w:rFonts w:ascii="Palatino Linotype" w:eastAsia="Palatino Linotype" w:hAnsi="Palatino Linotype" w:cs="Palatino Linotype"/>
                <w:b w:val="0"/>
              </w:rPr>
              <w:t>Al hacerlo tienen que precisar de qué información se trata, señalando el supuesto de clasificación (confidencialidad o reserva).</w:t>
            </w:r>
          </w:p>
          <w:p w:rsidR="00E32DEB" w:rsidRPr="002E160E" w:rsidRDefault="008C051D">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2E160E">
              <w:rPr>
                <w:rFonts w:ascii="Palatino Linotype" w:eastAsia="Palatino Linotype" w:hAnsi="Palatino Linotype" w:cs="Palatino Linotype"/>
                <w:b w:val="0"/>
              </w:rPr>
              <w:t>Además, se debe señalar el procedimiento, de los tres que establecen los artículos 132 y 106 de la Ley Estatal y General, respectivamente.</w:t>
            </w:r>
          </w:p>
          <w:p w:rsidR="00E32DEB" w:rsidRPr="002E160E" w:rsidRDefault="008C051D">
            <w:pPr>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2E160E">
              <w:rPr>
                <w:rFonts w:ascii="Palatino Linotype" w:eastAsia="Palatino Linotype" w:hAnsi="Palatino Linotype" w:cs="Palatino Linotype"/>
                <w:b w:val="0"/>
              </w:rPr>
              <w:t xml:space="preserve">El último de estos requisitos previos consiste en que no se pueden emitir acuerdos de carácter general ni particular, esto es, </w:t>
            </w:r>
            <w:r w:rsidRPr="002E160E">
              <w:rPr>
                <w:rFonts w:ascii="Palatino Linotype" w:eastAsia="Palatino Linotype" w:hAnsi="Palatino Linotype" w:cs="Palatino Linotype"/>
                <w:b w:val="0"/>
                <w:u w:val="single"/>
              </w:rPr>
              <w:t>no se puede hacer un acuerdo para clasificar de manera general todos los documentos de un expediente o área, sin</w:t>
            </w:r>
            <w:r w:rsidRPr="002E160E">
              <w:rPr>
                <w:rFonts w:ascii="Palatino Linotype" w:eastAsia="Palatino Linotype" w:hAnsi="Palatino Linotype" w:cs="Palatino Linotype"/>
                <w:b w:val="0"/>
              </w:rPr>
              <w:t xml:space="preserve"> individualizar su análisis y tampoco se puede hacer un acuerdo por cada dato que se vaya a clasificar dentro de un documento con diez datos, por ejemplo, susceptibles de ser clasificados.</w:t>
            </w:r>
          </w:p>
        </w:tc>
      </w:tr>
      <w:tr w:rsidR="00E32DEB" w:rsidRPr="002E160E" w:rsidTr="00E32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E32DEB" w:rsidRPr="002E160E" w:rsidRDefault="008C051D">
            <w:pPr>
              <w:rPr>
                <w:rFonts w:ascii="Palatino Linotype" w:eastAsia="Palatino Linotype" w:hAnsi="Palatino Linotype" w:cs="Palatino Linotype"/>
              </w:rPr>
            </w:pPr>
            <w:r w:rsidRPr="002E160E">
              <w:rPr>
                <w:rFonts w:ascii="Palatino Linotype" w:eastAsia="Palatino Linotype" w:hAnsi="Palatino Linotype" w:cs="Palatino Linotype"/>
              </w:rPr>
              <w:t>b) Supuestos de clasificación.</w:t>
            </w:r>
          </w:p>
        </w:tc>
        <w:tc>
          <w:tcPr>
            <w:tcW w:w="6990" w:type="dxa"/>
          </w:tcPr>
          <w:p w:rsidR="00E32DEB" w:rsidRPr="002E160E" w:rsidRDefault="008C051D">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2E160E">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rsidR="00E32DEB" w:rsidRPr="002E160E" w:rsidRDefault="008C051D">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2E160E">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E32DEB" w:rsidRPr="002E160E" w:rsidRDefault="008C051D">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2E160E">
              <w:rPr>
                <w:rFonts w:ascii="Palatino Linotype" w:eastAsia="Palatino Linotype" w:hAnsi="Palatino Linotype" w:cs="Palatino Linotype"/>
              </w:rPr>
              <w:lastRenderedPageBreak/>
              <w:t xml:space="preserve">El </w:t>
            </w:r>
            <w:r w:rsidRPr="002E160E">
              <w:rPr>
                <w:rFonts w:ascii="Palatino Linotype" w:eastAsia="Palatino Linotype" w:hAnsi="Palatino Linotype" w:cs="Palatino Linotype"/>
                <w:b/>
              </w:rPr>
              <w:t>Sujeto Obligado</w:t>
            </w:r>
            <w:r w:rsidRPr="002E160E">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32DEB" w:rsidRPr="002E160E" w:rsidTr="00E32DEB">
        <w:tc>
          <w:tcPr>
            <w:cnfStyle w:val="001000000000" w:firstRow="0" w:lastRow="0" w:firstColumn="1" w:lastColumn="0" w:oddVBand="0" w:evenVBand="0" w:oddHBand="0" w:evenHBand="0" w:firstRowFirstColumn="0" w:firstRowLastColumn="0" w:lastRowFirstColumn="0" w:lastRowLastColumn="0"/>
            <w:tcW w:w="1838" w:type="dxa"/>
          </w:tcPr>
          <w:p w:rsidR="00E32DEB" w:rsidRPr="002E160E" w:rsidRDefault="008C051D">
            <w:pPr>
              <w:rPr>
                <w:rFonts w:ascii="Palatino Linotype" w:eastAsia="Palatino Linotype" w:hAnsi="Palatino Linotype" w:cs="Palatino Linotype"/>
              </w:rPr>
            </w:pPr>
            <w:r w:rsidRPr="002E160E">
              <w:rPr>
                <w:rFonts w:ascii="Palatino Linotype" w:eastAsia="Palatino Linotype" w:hAnsi="Palatino Linotype" w:cs="Palatino Linotype"/>
              </w:rPr>
              <w:lastRenderedPageBreak/>
              <w:t>c) Formalidades para emitir el acuerdo de clasificación.</w:t>
            </w:r>
          </w:p>
        </w:tc>
        <w:tc>
          <w:tcPr>
            <w:tcW w:w="6990" w:type="dxa"/>
          </w:tcPr>
          <w:p w:rsidR="00E32DEB" w:rsidRPr="002E160E" w:rsidRDefault="008C051D">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2E160E">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rsidR="00E32DEB" w:rsidRPr="002E160E" w:rsidRDefault="008C051D">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2E160E">
              <w:rPr>
                <w:rFonts w:ascii="Palatino Linotype" w:eastAsia="Palatino Linotype" w:hAnsi="Palatino Linotype" w:cs="Palatino Linotype"/>
              </w:rPr>
              <w:t xml:space="preserve">Es necesario que </w:t>
            </w:r>
            <w:r w:rsidRPr="002E160E">
              <w:rPr>
                <w:rFonts w:ascii="Palatino Linotype" w:eastAsia="Palatino Linotype" w:hAnsi="Palatino Linotype" w:cs="Palatino Linotype"/>
                <w:b/>
                <w:u w:val="single"/>
              </w:rPr>
              <w:t>el acto reúna con los requisitos elementales</w:t>
            </w:r>
            <w:r w:rsidRPr="002E160E">
              <w:rPr>
                <w:rFonts w:ascii="Palatino Linotype" w:eastAsia="Palatino Linotype" w:hAnsi="Palatino Linotype" w:cs="Palatino Linotype"/>
              </w:rPr>
              <w:t>, entre ellos, que la autoridad que va a emitir el acto de autoridad sea la legalmente facultada para ello.</w:t>
            </w:r>
          </w:p>
          <w:p w:rsidR="00E32DEB" w:rsidRPr="002E160E" w:rsidRDefault="008C051D">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2E160E">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32DEB" w:rsidRPr="002E160E" w:rsidTr="00E32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E32DEB" w:rsidRPr="002E160E" w:rsidRDefault="00E32DEB">
            <w:pPr>
              <w:rPr>
                <w:rFonts w:ascii="Palatino Linotype" w:eastAsia="Palatino Linotype" w:hAnsi="Palatino Linotype" w:cs="Palatino Linotype"/>
              </w:rPr>
            </w:pPr>
          </w:p>
          <w:p w:rsidR="00E32DEB" w:rsidRPr="002E160E" w:rsidRDefault="008C051D">
            <w:pPr>
              <w:jc w:val="both"/>
              <w:rPr>
                <w:rFonts w:ascii="Palatino Linotype" w:eastAsia="Palatino Linotype" w:hAnsi="Palatino Linotype" w:cs="Palatino Linotype"/>
              </w:rPr>
            </w:pPr>
            <w:r w:rsidRPr="002E160E">
              <w:rPr>
                <w:rFonts w:ascii="Palatino Linotype" w:eastAsia="Palatino Linotype" w:hAnsi="Palatino Linotype" w:cs="Palatino Linotype"/>
              </w:rPr>
              <w:t xml:space="preserve">d) Requisitos de fondo del acuerdo de clasificación. </w:t>
            </w:r>
          </w:p>
        </w:tc>
        <w:tc>
          <w:tcPr>
            <w:tcW w:w="6990" w:type="dxa"/>
          </w:tcPr>
          <w:p w:rsidR="00E32DEB" w:rsidRPr="002E160E" w:rsidRDefault="008C051D">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2E160E">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2E160E">
              <w:rPr>
                <w:rFonts w:ascii="Palatino Linotype" w:eastAsia="Palatino Linotype" w:hAnsi="Palatino Linotype" w:cs="Palatino Linotype"/>
                <w:b/>
              </w:rPr>
              <w:t>Sujetos Obligados</w:t>
            </w:r>
            <w:r w:rsidRPr="002E160E">
              <w:rPr>
                <w:rFonts w:ascii="Palatino Linotype" w:eastAsia="Palatino Linotype" w:hAnsi="Palatino Linotype" w:cs="Palatino Linotype"/>
              </w:rPr>
              <w:t xml:space="preserve">, por lo que deberán fundar y motivar debidamente la clasificación. </w:t>
            </w:r>
          </w:p>
          <w:p w:rsidR="00E32DEB" w:rsidRPr="002E160E" w:rsidRDefault="008C051D">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2E160E">
              <w:rPr>
                <w:rFonts w:ascii="Palatino Linotype" w:eastAsia="Palatino Linotype" w:hAnsi="Palatino Linotype" w:cs="Palatino Linotype"/>
              </w:rPr>
              <w:t xml:space="preserve">De lo anterior, se desprende que para una correcta </w:t>
            </w:r>
            <w:r w:rsidRPr="002E160E">
              <w:rPr>
                <w:rFonts w:ascii="Palatino Linotype" w:eastAsia="Palatino Linotype" w:hAnsi="Palatino Linotype" w:cs="Palatino Linotype"/>
                <w:b/>
              </w:rPr>
              <w:t>clasificación total o parcial</w:t>
            </w:r>
            <w:r w:rsidRPr="002E160E">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E32DEB" w:rsidRPr="002E160E" w:rsidRDefault="008C051D">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2E160E">
              <w:rPr>
                <w:rFonts w:ascii="Palatino Linotype" w:eastAsia="Palatino Linotype" w:hAnsi="Palatino Linotype" w:cs="Palatino Linotype"/>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E32DEB" w:rsidRPr="002E160E" w:rsidRDefault="008C051D">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2E160E">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rsidR="00E32DEB" w:rsidRPr="002E160E" w:rsidRDefault="008C051D">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2E160E">
              <w:rPr>
                <w:rFonts w:ascii="Palatino Linotype" w:eastAsia="Palatino Linotype" w:hAnsi="Palatino Linotype" w:cs="Palatino Linotype"/>
              </w:rPr>
              <w:t xml:space="preserve">Ahora bien, </w:t>
            </w:r>
            <w:r w:rsidRPr="002E160E">
              <w:rPr>
                <w:rFonts w:ascii="Palatino Linotype" w:eastAsia="Palatino Linotype" w:hAnsi="Palatino Linotype" w:cs="Palatino Linotype"/>
                <w:b/>
                <w:u w:val="single"/>
              </w:rPr>
              <w:t>para cada caso además de fundar y motivar</w:t>
            </w:r>
            <w:r w:rsidRPr="002E160E">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E32DEB" w:rsidRPr="002E160E" w:rsidTr="00E32DEB">
        <w:tc>
          <w:tcPr>
            <w:cnfStyle w:val="001000000000" w:firstRow="0" w:lastRow="0" w:firstColumn="1" w:lastColumn="0" w:oddVBand="0" w:evenVBand="0" w:oddHBand="0" w:evenHBand="0" w:firstRowFirstColumn="0" w:firstRowLastColumn="0" w:lastRowFirstColumn="0" w:lastRowLastColumn="0"/>
            <w:tcW w:w="1838" w:type="dxa"/>
          </w:tcPr>
          <w:p w:rsidR="00E32DEB" w:rsidRPr="002E160E" w:rsidRDefault="008C051D">
            <w:pPr>
              <w:ind w:right="49"/>
              <w:jc w:val="both"/>
              <w:rPr>
                <w:rFonts w:ascii="Palatino Linotype" w:eastAsia="Palatino Linotype" w:hAnsi="Palatino Linotype" w:cs="Palatino Linotype"/>
              </w:rPr>
            </w:pPr>
            <w:r w:rsidRPr="002E160E">
              <w:rPr>
                <w:rFonts w:ascii="Palatino Linotype" w:eastAsia="Palatino Linotype" w:hAnsi="Palatino Linotype" w:cs="Palatino Linotype"/>
                <w:b w:val="0"/>
              </w:rPr>
              <w:lastRenderedPageBreak/>
              <w:t>e</w:t>
            </w:r>
            <w:r w:rsidRPr="002E160E">
              <w:rPr>
                <w:rFonts w:ascii="Palatino Linotype" w:eastAsia="Palatino Linotype" w:hAnsi="Palatino Linotype" w:cs="Palatino Linotype"/>
              </w:rPr>
              <w:t xml:space="preserve">) Condiciones especiales de la clasificación de la información como confidencial. </w:t>
            </w:r>
          </w:p>
        </w:tc>
        <w:tc>
          <w:tcPr>
            <w:tcW w:w="6990" w:type="dxa"/>
          </w:tcPr>
          <w:p w:rsidR="00E32DEB" w:rsidRPr="002E160E" w:rsidRDefault="008C051D">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2E160E">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rsidR="00E32DEB" w:rsidRPr="002E160E" w:rsidRDefault="008C051D">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2E160E">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E32DEB" w:rsidRPr="002E160E" w:rsidRDefault="008C051D">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2E160E">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E32DEB" w:rsidRPr="002E160E" w:rsidRDefault="00E32DEB">
      <w:pPr>
        <w:rPr>
          <w:rFonts w:ascii="Palatino Linotype" w:eastAsia="Palatino Linotype" w:hAnsi="Palatino Linotype" w:cs="Palatino Linotype"/>
          <w:b/>
        </w:rPr>
      </w:pPr>
    </w:p>
    <w:p w:rsidR="00E32DEB" w:rsidRPr="002E160E" w:rsidRDefault="008C051D">
      <w:pPr>
        <w:spacing w:line="360" w:lineRule="auto"/>
        <w:ind w:right="1"/>
        <w:jc w:val="both"/>
        <w:rPr>
          <w:rFonts w:ascii="Palatino Linotype" w:eastAsia="Palatino Linotype" w:hAnsi="Palatino Linotype" w:cs="Palatino Linotype"/>
          <w:b/>
        </w:rPr>
      </w:pPr>
      <w:r w:rsidRPr="002E160E">
        <w:rPr>
          <w:rFonts w:ascii="Palatino Linotype" w:eastAsia="Palatino Linotype" w:hAnsi="Palatino Linotype" w:cs="Palatino Linotype"/>
        </w:rPr>
        <w:t xml:space="preserve">50. Si el Servidor Público incumple con estas formalidades y entrega la información sin proteger los datos personales incumple con lo que estipula las disposiciones legales </w:t>
      </w:r>
      <w:r w:rsidRPr="002E160E">
        <w:rPr>
          <w:rFonts w:ascii="Palatino Linotype" w:eastAsia="Palatino Linotype" w:hAnsi="Palatino Linotype" w:cs="Palatino Linotype"/>
        </w:rPr>
        <w:lastRenderedPageBreak/>
        <w:t>establecidas, asimismo que si entrega un documento testado sin el debido acuerdo de clasificación.</w:t>
      </w:r>
    </w:p>
    <w:p w:rsidR="00E32DEB" w:rsidRPr="002E160E" w:rsidRDefault="00E32DEB">
      <w:pPr>
        <w:ind w:right="1"/>
        <w:rPr>
          <w:rFonts w:ascii="Palatino Linotype" w:eastAsia="Palatino Linotype" w:hAnsi="Palatino Linotype" w:cs="Palatino Linotype"/>
          <w:color w:val="222222"/>
          <w:sz w:val="22"/>
          <w:szCs w:val="22"/>
        </w:rPr>
      </w:pPr>
    </w:p>
    <w:p w:rsidR="00E32DEB" w:rsidRPr="002E160E" w:rsidRDefault="008C051D">
      <w:pPr>
        <w:pBdr>
          <w:top w:val="nil"/>
          <w:left w:val="nil"/>
          <w:bottom w:val="nil"/>
          <w:right w:val="nil"/>
          <w:between w:val="nil"/>
        </w:pBdr>
        <w:spacing w:line="360" w:lineRule="auto"/>
        <w:ind w:right="-93"/>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rPr>
        <w:t xml:space="preserve">51. </w:t>
      </w:r>
      <w:r w:rsidRPr="002E160E">
        <w:rPr>
          <w:rFonts w:ascii="Palatino Linotype" w:eastAsia="Palatino Linotype" w:hAnsi="Palatino Linotype" w:cs="Palatino Linotype"/>
          <w:color w:val="000000"/>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E32DEB" w:rsidRPr="002E160E" w:rsidRDefault="008C051D">
      <w:pPr>
        <w:pStyle w:val="Ttulo1"/>
        <w:spacing w:line="360" w:lineRule="auto"/>
        <w:ind w:left="644"/>
        <w:jc w:val="center"/>
        <w:rPr>
          <w:rFonts w:ascii="Palatino Linotype" w:eastAsia="Palatino Linotype" w:hAnsi="Palatino Linotype" w:cs="Palatino Linotype"/>
          <w:sz w:val="24"/>
          <w:szCs w:val="24"/>
        </w:rPr>
      </w:pPr>
      <w:bookmarkStart w:id="4" w:name="_heading=h.3znysh7" w:colFirst="0" w:colLast="0"/>
      <w:bookmarkEnd w:id="4"/>
      <w:r w:rsidRPr="002E160E">
        <w:rPr>
          <w:rFonts w:ascii="Palatino Linotype" w:eastAsia="Palatino Linotype" w:hAnsi="Palatino Linotype" w:cs="Palatino Linotype"/>
          <w:sz w:val="24"/>
          <w:szCs w:val="24"/>
        </w:rPr>
        <w:t>RESUELVE</w:t>
      </w:r>
    </w:p>
    <w:p w:rsidR="00E32DEB" w:rsidRPr="002E160E" w:rsidRDefault="00E32DEB">
      <w:pPr>
        <w:pBdr>
          <w:top w:val="nil"/>
          <w:left w:val="nil"/>
          <w:bottom w:val="nil"/>
          <w:right w:val="nil"/>
          <w:between w:val="nil"/>
        </w:pBdr>
        <w:spacing w:line="360" w:lineRule="auto"/>
        <w:ind w:left="644" w:right="113"/>
        <w:jc w:val="both"/>
        <w:rPr>
          <w:rFonts w:ascii="Palatino Linotype" w:eastAsia="Palatino Linotype" w:hAnsi="Palatino Linotype" w:cs="Palatino Linotype"/>
          <w:b/>
          <w:color w:val="000000"/>
        </w:rPr>
      </w:pPr>
    </w:p>
    <w:p w:rsidR="00E32DEB" w:rsidRPr="002E160E" w:rsidRDefault="008C051D">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2E160E">
        <w:rPr>
          <w:rFonts w:ascii="Palatino Linotype" w:eastAsia="Palatino Linotype" w:hAnsi="Palatino Linotype" w:cs="Palatino Linotype"/>
          <w:b/>
          <w:color w:val="000000"/>
        </w:rPr>
        <w:t>PRIMERO.</w:t>
      </w:r>
      <w:r w:rsidRPr="002E160E">
        <w:rPr>
          <w:rFonts w:ascii="Palatino Linotype" w:eastAsia="Palatino Linotype" w:hAnsi="Palatino Linotype" w:cs="Palatino Linotype"/>
          <w:color w:val="000000"/>
        </w:rPr>
        <w:t xml:space="preserve"> </w:t>
      </w:r>
      <w:r w:rsidRPr="002E160E">
        <w:rPr>
          <w:rFonts w:ascii="Palatino Linotype" w:eastAsia="Palatino Linotype" w:hAnsi="Palatino Linotype" w:cs="Palatino Linotype"/>
        </w:rPr>
        <w:t xml:space="preserve">Resultan fundadas las razones o motivos de inconformidad hechos valer en  los Recurso de Revisión </w:t>
      </w:r>
      <w:r w:rsidRPr="002E160E">
        <w:rPr>
          <w:rFonts w:ascii="Palatino Linotype" w:eastAsia="Palatino Linotype" w:hAnsi="Palatino Linotype" w:cs="Palatino Linotype"/>
          <w:b/>
        </w:rPr>
        <w:t>07008/INFOEM/IP/RR/2024</w:t>
      </w:r>
      <w:r w:rsidRPr="002E160E">
        <w:rPr>
          <w:rFonts w:ascii="Palatino Linotype" w:eastAsia="Palatino Linotype" w:hAnsi="Palatino Linotype" w:cs="Palatino Linotype"/>
        </w:rPr>
        <w:t xml:space="preserve">, </w:t>
      </w:r>
      <w:r w:rsidRPr="002E160E">
        <w:rPr>
          <w:rFonts w:ascii="Palatino Linotype" w:eastAsia="Palatino Linotype" w:hAnsi="Palatino Linotype" w:cs="Palatino Linotype"/>
          <w:b/>
        </w:rPr>
        <w:t xml:space="preserve">07009/INFOEM/IP/RR/2024 </w:t>
      </w:r>
      <w:r w:rsidRPr="002E160E">
        <w:rPr>
          <w:rFonts w:ascii="Palatino Linotype" w:eastAsia="Palatino Linotype" w:hAnsi="Palatino Linotype" w:cs="Palatino Linotype"/>
        </w:rPr>
        <w:t xml:space="preserve">y </w:t>
      </w:r>
      <w:r w:rsidRPr="002E160E">
        <w:rPr>
          <w:rFonts w:ascii="Palatino Linotype" w:eastAsia="Palatino Linotype" w:hAnsi="Palatino Linotype" w:cs="Palatino Linotype"/>
          <w:b/>
        </w:rPr>
        <w:t>07010/INFOEM/IP/RR/2024</w:t>
      </w:r>
      <w:r w:rsidRPr="002E160E">
        <w:rPr>
          <w:rFonts w:ascii="Palatino Linotype" w:eastAsia="Palatino Linotype" w:hAnsi="Palatino Linotype" w:cs="Palatino Linotype"/>
        </w:rPr>
        <w:t>,</w:t>
      </w:r>
      <w:r w:rsidRPr="002E160E">
        <w:rPr>
          <w:rFonts w:ascii="Palatino Linotype" w:eastAsia="Palatino Linotype" w:hAnsi="Palatino Linotype" w:cs="Palatino Linotype"/>
          <w:b/>
        </w:rPr>
        <w:t xml:space="preserve"> </w:t>
      </w:r>
      <w:r w:rsidRPr="002E160E">
        <w:rPr>
          <w:rFonts w:ascii="Palatino Linotype" w:eastAsia="Palatino Linotype" w:hAnsi="Palatino Linotype" w:cs="Palatino Linotype"/>
        </w:rPr>
        <w:t>en términos del Considerando Cuarto y Quinto</w:t>
      </w:r>
      <w:r w:rsidRPr="002E160E">
        <w:rPr>
          <w:rFonts w:ascii="Palatino Linotype" w:eastAsia="Palatino Linotype" w:hAnsi="Palatino Linotype" w:cs="Palatino Linotype"/>
          <w:b/>
        </w:rPr>
        <w:t xml:space="preserve"> </w:t>
      </w:r>
      <w:r w:rsidRPr="002E160E">
        <w:rPr>
          <w:rFonts w:ascii="Palatino Linotype" w:eastAsia="Palatino Linotype" w:hAnsi="Palatino Linotype" w:cs="Palatino Linotype"/>
        </w:rPr>
        <w:t>de la presente Resolución.</w:t>
      </w:r>
    </w:p>
    <w:p w:rsidR="00E32DEB" w:rsidRPr="002E160E" w:rsidRDefault="008C051D">
      <w:pPr>
        <w:shd w:val="clear" w:color="auto" w:fill="FFFFFF"/>
        <w:spacing w:before="240" w:after="360" w:line="360" w:lineRule="auto"/>
        <w:ind w:right="1"/>
        <w:jc w:val="both"/>
        <w:rPr>
          <w:rFonts w:ascii="Palatino Linotype" w:eastAsia="Palatino Linotype" w:hAnsi="Palatino Linotype" w:cs="Palatino Linotype"/>
        </w:rPr>
      </w:pPr>
      <w:bookmarkStart w:id="5" w:name="_heading=h.1fob9te" w:colFirst="0" w:colLast="0"/>
      <w:bookmarkEnd w:id="5"/>
      <w:r w:rsidRPr="002E160E">
        <w:rPr>
          <w:rFonts w:ascii="Palatino Linotype" w:eastAsia="Palatino Linotype" w:hAnsi="Palatino Linotype" w:cs="Palatino Linotype"/>
          <w:b/>
        </w:rPr>
        <w:t xml:space="preserve">SEGUNDO. </w:t>
      </w:r>
      <w:r w:rsidRPr="002E160E">
        <w:rPr>
          <w:rFonts w:ascii="Palatino Linotype" w:eastAsia="Palatino Linotype" w:hAnsi="Palatino Linotype" w:cs="Palatino Linotype"/>
        </w:rPr>
        <w:t xml:space="preserve">Se </w:t>
      </w:r>
      <w:r w:rsidRPr="002E160E">
        <w:rPr>
          <w:rFonts w:ascii="Palatino Linotype" w:eastAsia="Palatino Linotype" w:hAnsi="Palatino Linotype" w:cs="Palatino Linotype"/>
          <w:b/>
        </w:rPr>
        <w:t xml:space="preserve">REVOCAN </w:t>
      </w:r>
      <w:r w:rsidRPr="002E160E">
        <w:rPr>
          <w:rFonts w:ascii="Palatino Linotype" w:eastAsia="Palatino Linotype" w:hAnsi="Palatino Linotype" w:cs="Palatino Linotype"/>
        </w:rPr>
        <w:t xml:space="preserve">las respuestas emitidas por el </w:t>
      </w:r>
      <w:r w:rsidRPr="002E160E">
        <w:rPr>
          <w:rFonts w:ascii="Palatino Linotype" w:eastAsia="Palatino Linotype" w:hAnsi="Palatino Linotype" w:cs="Palatino Linotype"/>
          <w:b/>
        </w:rPr>
        <w:t xml:space="preserve">Ayuntamiento de Toluca </w:t>
      </w:r>
      <w:r w:rsidRPr="002E160E">
        <w:rPr>
          <w:rFonts w:ascii="Palatino Linotype" w:eastAsia="Palatino Linotype" w:hAnsi="Palatino Linotype" w:cs="Palatino Linotype"/>
        </w:rPr>
        <w:t xml:space="preserve">en las solicitudes de información </w:t>
      </w:r>
      <w:r w:rsidRPr="002E160E">
        <w:rPr>
          <w:rFonts w:ascii="Palatino Linotype" w:eastAsia="Palatino Linotype" w:hAnsi="Palatino Linotype" w:cs="Palatino Linotype"/>
          <w:b/>
        </w:rPr>
        <w:t>02409/TOLUCA/IP/2024</w:t>
      </w:r>
      <w:r w:rsidRPr="002E160E">
        <w:rPr>
          <w:rFonts w:ascii="Palatino Linotype" w:eastAsia="Palatino Linotype" w:hAnsi="Palatino Linotype" w:cs="Palatino Linotype"/>
        </w:rPr>
        <w:t xml:space="preserve">, </w:t>
      </w:r>
      <w:r w:rsidRPr="002E160E">
        <w:rPr>
          <w:rFonts w:ascii="Palatino Linotype" w:eastAsia="Palatino Linotype" w:hAnsi="Palatino Linotype" w:cs="Palatino Linotype"/>
          <w:b/>
        </w:rPr>
        <w:t xml:space="preserve">02410/TOLUCA/IP/2024 </w:t>
      </w:r>
      <w:r w:rsidRPr="002E160E">
        <w:rPr>
          <w:rFonts w:ascii="Palatino Linotype" w:eastAsia="Palatino Linotype" w:hAnsi="Palatino Linotype" w:cs="Palatino Linotype"/>
        </w:rPr>
        <w:t xml:space="preserve">y </w:t>
      </w:r>
      <w:r w:rsidRPr="002E160E">
        <w:rPr>
          <w:rFonts w:ascii="Palatino Linotype" w:eastAsia="Palatino Linotype" w:hAnsi="Palatino Linotype" w:cs="Palatino Linotype"/>
          <w:b/>
        </w:rPr>
        <w:t>02411/TOLUCA/IP/2024</w:t>
      </w:r>
      <w:r w:rsidRPr="002E160E">
        <w:rPr>
          <w:rFonts w:ascii="Palatino Linotype" w:eastAsia="Palatino Linotype" w:hAnsi="Palatino Linotype" w:cs="Palatino Linotype"/>
        </w:rPr>
        <w:t xml:space="preserve">  y se </w:t>
      </w:r>
      <w:r w:rsidRPr="002E160E">
        <w:rPr>
          <w:rFonts w:ascii="Palatino Linotype" w:eastAsia="Palatino Linotype" w:hAnsi="Palatino Linotype" w:cs="Palatino Linotype"/>
          <w:b/>
        </w:rPr>
        <w:t>ORDENA</w:t>
      </w:r>
      <w:r w:rsidRPr="002E160E">
        <w:rPr>
          <w:rFonts w:ascii="Palatino Linotype" w:eastAsia="Palatino Linotype" w:hAnsi="Palatino Linotype" w:cs="Palatino Linotype"/>
        </w:rPr>
        <w:t xml:space="preserve"> entregar vía Sistema de Acceso a la Información Mexiquense </w:t>
      </w:r>
      <w:r w:rsidRPr="002E160E">
        <w:rPr>
          <w:rFonts w:ascii="Palatino Linotype" w:eastAsia="Palatino Linotype" w:hAnsi="Palatino Linotype" w:cs="Palatino Linotype"/>
          <w:b/>
        </w:rPr>
        <w:t>(SAIMEX)</w:t>
      </w:r>
      <w:r w:rsidRPr="002E160E">
        <w:rPr>
          <w:rFonts w:ascii="Palatino Linotype" w:eastAsia="Palatino Linotype" w:hAnsi="Palatino Linotype" w:cs="Palatino Linotype"/>
        </w:rPr>
        <w:t>, en versión pública de ser procedente, lo siguiente:</w:t>
      </w:r>
    </w:p>
    <w:p w:rsidR="00E32DEB" w:rsidRPr="002E160E" w:rsidRDefault="008C051D">
      <w:pPr>
        <w:pStyle w:val="Puesto"/>
        <w:spacing w:line="360" w:lineRule="auto"/>
        <w:ind w:left="644" w:right="822"/>
        <w:jc w:val="both"/>
        <w:rPr>
          <w:rFonts w:ascii="Palatino Linotype" w:eastAsia="Palatino Linotype" w:hAnsi="Palatino Linotype" w:cs="Palatino Linotype"/>
          <w:sz w:val="24"/>
          <w:szCs w:val="24"/>
        </w:rPr>
      </w:pPr>
      <w:r w:rsidRPr="002E160E">
        <w:rPr>
          <w:rFonts w:ascii="Palatino Linotype" w:eastAsia="Palatino Linotype" w:hAnsi="Palatino Linotype" w:cs="Palatino Linotype"/>
          <w:sz w:val="24"/>
          <w:szCs w:val="24"/>
        </w:rPr>
        <w:lastRenderedPageBreak/>
        <w:t>1.- Vales de salida de planta del vivero municipal ubicado en el parque alameda 2000, del 01 de enero de 2022 al 28 de septiembre de 2024.</w:t>
      </w:r>
    </w:p>
    <w:p w:rsidR="00E32DEB" w:rsidRPr="002E160E" w:rsidRDefault="00E32DEB"/>
    <w:p w:rsidR="00E32DEB" w:rsidRPr="002E160E" w:rsidRDefault="008C051D">
      <w:pPr>
        <w:spacing w:before="240" w:after="360" w:line="360" w:lineRule="auto"/>
        <w:ind w:right="-2"/>
        <w:jc w:val="both"/>
        <w:rPr>
          <w:sz w:val="26"/>
          <w:szCs w:val="26"/>
        </w:rPr>
      </w:pPr>
      <w:r w:rsidRPr="002E160E">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la</w:t>
      </w:r>
      <w:r w:rsidRPr="002E160E">
        <w:rPr>
          <w:rFonts w:ascii="Palatino Linotype" w:eastAsia="Palatino Linotype" w:hAnsi="Palatino Linotype" w:cs="Palatino Linotype"/>
          <w:b/>
        </w:rPr>
        <w:t xml:space="preserve"> RECURRENTE</w:t>
      </w:r>
      <w:r w:rsidRPr="002E160E">
        <w:rPr>
          <w:rFonts w:ascii="Palatino Linotype" w:eastAsia="Palatino Linotype" w:hAnsi="Palatino Linotype" w:cs="Palatino Linotype"/>
        </w:rPr>
        <w:t>.</w:t>
      </w:r>
    </w:p>
    <w:p w:rsidR="00E32DEB" w:rsidRPr="002E160E" w:rsidRDefault="008C051D">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b/>
          <w:color w:val="000000"/>
        </w:rPr>
        <w:t>TERCERO.</w:t>
      </w:r>
      <w:r w:rsidRPr="002E160E">
        <w:rPr>
          <w:rFonts w:ascii="Palatino Linotype" w:eastAsia="Palatino Linotype" w:hAnsi="Palatino Linotype" w:cs="Palatino Linotype"/>
          <w:color w:val="000000"/>
        </w:rPr>
        <w:t xml:space="preserve"> Notifíquese la presente resolución al Titular de la Unidad de Transparencia del </w:t>
      </w:r>
      <w:r w:rsidRPr="002E160E">
        <w:rPr>
          <w:rFonts w:ascii="Palatino Linotype" w:eastAsia="Palatino Linotype" w:hAnsi="Palatino Linotype" w:cs="Palatino Linotype"/>
          <w:b/>
          <w:color w:val="000000"/>
        </w:rPr>
        <w:t xml:space="preserve">SUJETO OBLIGADO </w:t>
      </w:r>
      <w:r w:rsidRPr="002E160E">
        <w:rPr>
          <w:rFonts w:ascii="Palatino Linotype" w:eastAsia="Palatino Linotype" w:hAnsi="Palatino Linotype" w:cs="Palatino Linotype"/>
          <w:color w:val="000000"/>
        </w:rPr>
        <w:t xml:space="preserve">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2E160E">
        <w:rPr>
          <w:rFonts w:ascii="Palatino Linotype" w:eastAsia="Palatino Linotype" w:hAnsi="Palatino Linotype" w:cs="Palatino Linotype"/>
          <w:b/>
          <w:color w:val="000000"/>
        </w:rPr>
        <w:t>diez días hábiles</w:t>
      </w:r>
      <w:r w:rsidRPr="002E160E">
        <w:rPr>
          <w:rFonts w:ascii="Palatino Linotype" w:eastAsia="Palatino Linotype" w:hAnsi="Palatino Linotype" w:cs="Palatino Linotype"/>
          <w:color w:val="000000"/>
        </w:rPr>
        <w:t xml:space="preserve">, e informe a este Instituto en un plazo de </w:t>
      </w:r>
      <w:r w:rsidRPr="002E160E">
        <w:rPr>
          <w:rFonts w:ascii="Palatino Linotype" w:eastAsia="Palatino Linotype" w:hAnsi="Palatino Linotype" w:cs="Palatino Linotype"/>
          <w:b/>
          <w:color w:val="000000"/>
        </w:rPr>
        <w:t>tres días hábiles</w:t>
      </w:r>
      <w:r w:rsidRPr="002E160E">
        <w:rPr>
          <w:rFonts w:ascii="Palatino Linotype" w:eastAsia="Palatino Linotype" w:hAnsi="Palatino Linotype" w:cs="Palatino Linotype"/>
          <w:color w:val="000000"/>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E32DEB" w:rsidRPr="002E160E" w:rsidRDefault="00E32DEB">
      <w:pPr>
        <w:pBdr>
          <w:top w:val="nil"/>
          <w:left w:val="nil"/>
          <w:bottom w:val="nil"/>
          <w:right w:val="nil"/>
          <w:between w:val="nil"/>
        </w:pBdr>
        <w:spacing w:line="360" w:lineRule="auto"/>
        <w:ind w:left="644"/>
        <w:jc w:val="both"/>
        <w:rPr>
          <w:rFonts w:ascii="Palatino Linotype" w:eastAsia="Palatino Linotype" w:hAnsi="Palatino Linotype" w:cs="Palatino Linotype"/>
          <w:color w:val="000000"/>
        </w:rPr>
      </w:pPr>
    </w:p>
    <w:p w:rsidR="00E32DEB" w:rsidRPr="002E160E" w:rsidRDefault="008C051D">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b/>
          <w:color w:val="000000"/>
        </w:rPr>
        <w:t>CUARTO.</w:t>
      </w:r>
      <w:r w:rsidRPr="002E160E">
        <w:rPr>
          <w:rFonts w:ascii="Palatino Linotype" w:eastAsia="Palatino Linotype" w:hAnsi="Palatino Linotype" w:cs="Palatino Linotype"/>
          <w:color w:val="000000"/>
        </w:rPr>
        <w:t xml:space="preserve"> Notifíquese a </w:t>
      </w:r>
      <w:r w:rsidRPr="002E160E">
        <w:rPr>
          <w:rFonts w:ascii="Palatino Linotype" w:eastAsia="Palatino Linotype" w:hAnsi="Palatino Linotype" w:cs="Palatino Linotype"/>
          <w:b/>
          <w:color w:val="000000"/>
        </w:rPr>
        <w:t>LA PARTE RECURRENTE</w:t>
      </w:r>
      <w:r w:rsidRPr="002E160E">
        <w:rPr>
          <w:rFonts w:ascii="Palatino Linotype" w:eastAsia="Palatino Linotype" w:hAnsi="Palatino Linotype" w:cs="Palatino Linotype"/>
          <w:color w:val="000000"/>
        </w:rPr>
        <w:t xml:space="preserve"> la presente resolución vía Sistema de Acceso a la Información Mexiquense (SAIMEX).</w:t>
      </w:r>
    </w:p>
    <w:p w:rsidR="00E32DEB" w:rsidRPr="002E160E" w:rsidRDefault="00E32DEB">
      <w:pPr>
        <w:pBdr>
          <w:top w:val="nil"/>
          <w:left w:val="nil"/>
          <w:bottom w:val="nil"/>
          <w:right w:val="nil"/>
          <w:between w:val="nil"/>
        </w:pBdr>
        <w:spacing w:line="360" w:lineRule="auto"/>
        <w:ind w:left="644"/>
        <w:jc w:val="both"/>
        <w:rPr>
          <w:rFonts w:ascii="Palatino Linotype" w:eastAsia="Palatino Linotype" w:hAnsi="Palatino Linotype" w:cs="Palatino Linotype"/>
          <w:color w:val="000000"/>
        </w:rPr>
      </w:pPr>
    </w:p>
    <w:p w:rsidR="00E32DEB" w:rsidRPr="002E160E" w:rsidRDefault="008C051D">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b/>
          <w:color w:val="000000"/>
        </w:rPr>
        <w:t>QUINTO</w:t>
      </w:r>
      <w:r w:rsidRPr="002E160E">
        <w:rPr>
          <w:rFonts w:ascii="Palatino Linotype" w:eastAsia="Palatino Linotype" w:hAnsi="Palatino Linotype" w:cs="Palatino Linotype"/>
          <w:color w:val="000000"/>
        </w:rPr>
        <w:t xml:space="preserve">. Hágase del conocimiento a </w:t>
      </w:r>
      <w:r w:rsidRPr="002E160E">
        <w:rPr>
          <w:rFonts w:ascii="Palatino Linotype" w:eastAsia="Palatino Linotype" w:hAnsi="Palatino Linotype" w:cs="Palatino Linotype"/>
          <w:b/>
          <w:color w:val="000000"/>
        </w:rPr>
        <w:t>LA PARTE RECURRENTE</w:t>
      </w:r>
      <w:r w:rsidRPr="002E160E">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E32DEB" w:rsidRPr="002E160E" w:rsidRDefault="00E32DEB">
      <w:pPr>
        <w:pBdr>
          <w:top w:val="nil"/>
          <w:left w:val="nil"/>
          <w:bottom w:val="nil"/>
          <w:right w:val="nil"/>
          <w:between w:val="nil"/>
        </w:pBdr>
        <w:spacing w:line="360" w:lineRule="auto"/>
        <w:ind w:left="644"/>
        <w:jc w:val="both"/>
        <w:rPr>
          <w:rFonts w:ascii="Palatino Linotype" w:eastAsia="Palatino Linotype" w:hAnsi="Palatino Linotype" w:cs="Palatino Linotype"/>
          <w:color w:val="000000"/>
        </w:rPr>
      </w:pPr>
    </w:p>
    <w:p w:rsidR="00E32DEB" w:rsidRPr="002E160E" w:rsidRDefault="008C051D">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2E160E">
        <w:rPr>
          <w:rFonts w:ascii="Palatino Linotype" w:eastAsia="Palatino Linotype" w:hAnsi="Palatino Linotype" w:cs="Palatino Linotype"/>
          <w:b/>
          <w:color w:val="000000"/>
        </w:rPr>
        <w:t>SEXTO.</w:t>
      </w:r>
      <w:r w:rsidRPr="002E160E">
        <w:rPr>
          <w:rFonts w:ascii="Palatino Linotype" w:eastAsia="Palatino Linotype" w:hAnsi="Palatino Linotype" w:cs="Palatino Linotype"/>
          <w:color w:val="000000"/>
        </w:rPr>
        <w:t xml:space="preserve"> De conformidad con el artículo 198 de la Ley de Transparencia y Acceso a la Información Pública del Estado de México y Municipios, el </w:t>
      </w:r>
      <w:r w:rsidRPr="002E160E">
        <w:rPr>
          <w:rFonts w:ascii="Palatino Linotype" w:eastAsia="Palatino Linotype" w:hAnsi="Palatino Linotype" w:cs="Palatino Linotype"/>
          <w:b/>
          <w:color w:val="000000"/>
        </w:rPr>
        <w:t>SUJETO OBLIGADO</w:t>
      </w:r>
      <w:r w:rsidRPr="002E160E">
        <w:rPr>
          <w:rFonts w:ascii="Palatino Linotype" w:eastAsia="Palatino Linotype" w:hAnsi="Palatino Linotype" w:cs="Palatino Linotype"/>
          <w:color w:val="000000"/>
        </w:rPr>
        <w:t xml:space="preserve"> podrá solicitar una ampliación de plazo de manera fundada y motivada, para el cumplimiento de la presente resolución.</w:t>
      </w:r>
    </w:p>
    <w:p w:rsidR="00E32DEB" w:rsidRPr="002E160E" w:rsidRDefault="00E32DEB">
      <w:pPr>
        <w:pBdr>
          <w:top w:val="nil"/>
          <w:left w:val="nil"/>
          <w:bottom w:val="nil"/>
          <w:right w:val="nil"/>
          <w:between w:val="nil"/>
        </w:pBdr>
        <w:spacing w:line="360" w:lineRule="auto"/>
        <w:ind w:left="644"/>
        <w:jc w:val="both"/>
        <w:rPr>
          <w:rFonts w:ascii="Palatino Linotype" w:eastAsia="Palatino Linotype" w:hAnsi="Palatino Linotype" w:cs="Palatino Linotype"/>
          <w:color w:val="000000"/>
        </w:rPr>
      </w:pPr>
    </w:p>
    <w:p w:rsidR="00EB293E" w:rsidRPr="003C7186" w:rsidRDefault="00EB293E" w:rsidP="00EB293E">
      <w:pPr>
        <w:spacing w:line="360" w:lineRule="auto"/>
        <w:ind w:left="-142" w:right="-234" w:firstLine="1"/>
        <w:jc w:val="both"/>
        <w:rPr>
          <w:rFonts w:ascii="Palatino Linotype" w:hAnsi="Palatino Linotype"/>
        </w:rPr>
      </w:pPr>
      <w:r w:rsidRPr="002E160E">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(18) DE DICIEMBRE DE DOS MIL </w:t>
      </w:r>
      <w:r w:rsidRPr="002E160E">
        <w:rPr>
          <w:rFonts w:ascii="Palatino Linotype" w:hAnsi="Palatino Linotype"/>
        </w:rPr>
        <w:lastRenderedPageBreak/>
        <w:t>VEINTICUATRO, ANTE EL SECRETARIO TÉCNICO DEL PLENO ALEXIS TAPIA RAMÍREZ.</w:t>
      </w:r>
      <w:bookmarkStart w:id="6" w:name="_GoBack"/>
      <w:bookmarkEnd w:id="6"/>
      <w:r w:rsidRPr="003C7186">
        <w:rPr>
          <w:rFonts w:ascii="Palatino Linotype" w:hAnsi="Palatino Linotype"/>
        </w:rPr>
        <w:t xml:space="preserve"> </w:t>
      </w:r>
    </w:p>
    <w:p w:rsidR="00E32DEB" w:rsidRDefault="00E32DEB">
      <w:pPr>
        <w:spacing w:line="360" w:lineRule="auto"/>
        <w:jc w:val="both"/>
        <w:rPr>
          <w:rFonts w:ascii="Palatino Linotype" w:eastAsia="Palatino Linotype" w:hAnsi="Palatino Linotype" w:cs="Palatino Linotype"/>
        </w:rPr>
      </w:pPr>
    </w:p>
    <w:p w:rsidR="00E32DEB" w:rsidRDefault="00E32DEB">
      <w:pPr>
        <w:spacing w:line="360" w:lineRule="auto"/>
        <w:jc w:val="both"/>
        <w:rPr>
          <w:rFonts w:ascii="Palatino Linotype" w:eastAsia="Palatino Linotype" w:hAnsi="Palatino Linotype" w:cs="Palatino Linotype"/>
        </w:rPr>
      </w:pPr>
    </w:p>
    <w:sectPr w:rsidR="00E32DEB">
      <w:headerReference w:type="even" r:id="rId10"/>
      <w:headerReference w:type="default" r:id="rId11"/>
      <w:footerReference w:type="default" r:id="rId12"/>
      <w:headerReference w:type="first" r:id="rId13"/>
      <w:footerReference w:type="first" r:id="rId14"/>
      <w:pgSz w:w="12240" w:h="15840"/>
      <w:pgMar w:top="80" w:right="1467"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5B1" w:rsidRDefault="006255B1">
      <w:r>
        <w:separator/>
      </w:r>
    </w:p>
  </w:endnote>
  <w:endnote w:type="continuationSeparator" w:id="0">
    <w:p w:rsidR="006255B1" w:rsidRDefault="00625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DEB" w:rsidRDefault="008C05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E160E">
      <w:rPr>
        <w:b/>
        <w:noProof/>
        <w:color w:val="000000"/>
      </w:rPr>
      <w:t>32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E160E">
      <w:rPr>
        <w:b/>
        <w:noProof/>
        <w:color w:val="000000"/>
      </w:rPr>
      <w:t>32</w:t>
    </w:r>
    <w:r>
      <w:rPr>
        <w:b/>
        <w:color w:val="000000"/>
      </w:rPr>
      <w:fldChar w:fldCharType="end"/>
    </w:r>
  </w:p>
  <w:p w:rsidR="00E32DEB" w:rsidRDefault="00E32DEB">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DEB" w:rsidRDefault="008C051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E160E">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E160E">
      <w:rPr>
        <w:b/>
        <w:noProof/>
        <w:color w:val="000000"/>
      </w:rPr>
      <w:t>32</w:t>
    </w:r>
    <w:r>
      <w:rPr>
        <w:b/>
        <w:color w:val="000000"/>
      </w:rPr>
      <w:fldChar w:fldCharType="end"/>
    </w:r>
  </w:p>
  <w:p w:rsidR="00E32DEB" w:rsidRDefault="00E32DEB">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5B1" w:rsidRDefault="006255B1">
      <w:r>
        <w:separator/>
      </w:r>
    </w:p>
  </w:footnote>
  <w:footnote w:type="continuationSeparator" w:id="0">
    <w:p w:rsidR="006255B1" w:rsidRDefault="006255B1">
      <w:r>
        <w:continuationSeparator/>
      </w:r>
    </w:p>
  </w:footnote>
  <w:footnote w:id="1">
    <w:p w:rsidR="00E32DEB" w:rsidRDefault="008C051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rsidR="00E32DEB" w:rsidRDefault="008C051D">
      <w:pPr>
        <w:pBdr>
          <w:top w:val="none" w:sz="0" w:space="0" w:color="000000"/>
          <w:left w:val="none" w:sz="0" w:space="0" w:color="000000"/>
          <w:bottom w:val="none" w:sz="0" w:space="0" w:color="000000"/>
          <w:right w:val="none" w:sz="0" w:space="0" w:color="000000"/>
          <w:between w:val="none" w:sz="0" w:space="0" w:color="000000"/>
        </w:pBdr>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Tesis XX.308 K, </w:t>
      </w:r>
      <w:r>
        <w:rPr>
          <w:rFonts w:ascii="Palatino Linotype" w:eastAsia="Palatino Linotype" w:hAnsi="Palatino Linotype" w:cs="Palatino Linotype"/>
          <w:i/>
          <w:color w:val="000000"/>
          <w:sz w:val="16"/>
          <w:szCs w:val="16"/>
        </w:rPr>
        <w:t>Semanario Judicial de la Federación</w:t>
      </w:r>
      <w:r>
        <w:rPr>
          <w:rFonts w:ascii="Palatino Linotype" w:eastAsia="Palatino Linotype" w:hAnsi="Palatino Linotype" w:cs="Palatino Linotype"/>
          <w:color w:val="000000"/>
          <w:sz w:val="16"/>
          <w:szCs w:val="16"/>
        </w:rPr>
        <w:t>, Octava Época, tomo XV-1, febrero de 1995, pág. 138.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DEB" w:rsidRDefault="006255B1">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9.8pt;height:768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DEB" w:rsidRDefault="00E32DEB">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p>
  <w:tbl>
    <w:tblPr>
      <w:tblStyle w:val="a8"/>
      <w:tblW w:w="9214" w:type="dxa"/>
      <w:tblInd w:w="0" w:type="dxa"/>
      <w:tblLayout w:type="fixed"/>
      <w:tblLook w:val="0000" w:firstRow="0" w:lastRow="0" w:firstColumn="0" w:lastColumn="0" w:noHBand="0" w:noVBand="0"/>
    </w:tblPr>
    <w:tblGrid>
      <w:gridCol w:w="2268"/>
      <w:gridCol w:w="6946"/>
    </w:tblGrid>
    <w:tr w:rsidR="00E32DEB">
      <w:trPr>
        <w:trHeight w:val="2803"/>
      </w:trPr>
      <w:tc>
        <w:tcPr>
          <w:tcW w:w="2268" w:type="dxa"/>
          <w:tcMar>
            <w:top w:w="0" w:type="dxa"/>
            <w:left w:w="115" w:type="dxa"/>
            <w:bottom w:w="0" w:type="dxa"/>
            <w:right w:w="115" w:type="dxa"/>
          </w:tcMar>
        </w:tcPr>
        <w:p w:rsidR="00E32DEB" w:rsidRDefault="00E32DEB">
          <w:pPr>
            <w:tabs>
              <w:tab w:val="right" w:pos="4273"/>
            </w:tabs>
            <w:rPr>
              <w:rFonts w:ascii="Garamond" w:eastAsia="Garamond" w:hAnsi="Garamond" w:cs="Garamond"/>
              <w:sz w:val="16"/>
              <w:szCs w:val="16"/>
            </w:rPr>
          </w:pPr>
        </w:p>
      </w:tc>
      <w:tc>
        <w:tcPr>
          <w:tcW w:w="6946" w:type="dxa"/>
          <w:tcMar>
            <w:top w:w="0" w:type="dxa"/>
            <w:left w:w="115" w:type="dxa"/>
            <w:bottom w:w="0" w:type="dxa"/>
            <w:right w:w="115" w:type="dxa"/>
          </w:tcMar>
        </w:tcPr>
        <w:p w:rsidR="00E32DEB" w:rsidRDefault="00E32DEB"/>
        <w:tbl>
          <w:tblPr>
            <w:tblStyle w:val="a9"/>
            <w:tblW w:w="6684" w:type="dxa"/>
            <w:tblInd w:w="559" w:type="dxa"/>
            <w:tblLayout w:type="fixed"/>
            <w:tblLook w:val="0000" w:firstRow="0" w:lastRow="0" w:firstColumn="0" w:lastColumn="0" w:noHBand="0" w:noVBand="0"/>
          </w:tblPr>
          <w:tblGrid>
            <w:gridCol w:w="2550"/>
            <w:gridCol w:w="4134"/>
          </w:tblGrid>
          <w:tr w:rsidR="00E32DEB">
            <w:trPr>
              <w:trHeight w:val="144"/>
            </w:trPr>
            <w:tc>
              <w:tcPr>
                <w:tcW w:w="2550" w:type="dxa"/>
                <w:tcMar>
                  <w:top w:w="0" w:type="dxa"/>
                  <w:left w:w="115" w:type="dxa"/>
                  <w:bottom w:w="0" w:type="dxa"/>
                  <w:right w:w="115" w:type="dxa"/>
                </w:tcMar>
              </w:tcPr>
              <w:p w:rsidR="00E32DEB" w:rsidRDefault="008C051D">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134" w:type="dxa"/>
                <w:tcMar>
                  <w:top w:w="0" w:type="dxa"/>
                  <w:left w:w="115" w:type="dxa"/>
                  <w:bottom w:w="0" w:type="dxa"/>
                  <w:right w:w="115" w:type="dxa"/>
                </w:tcMar>
              </w:tcPr>
              <w:p w:rsidR="00E32DEB" w:rsidRDefault="008C051D">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07008/INFOEM/IP/RR/2024 y</w:t>
                </w:r>
              </w:p>
              <w:p w:rsidR="00E32DEB" w:rsidRDefault="008C051D">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Acumulados</w:t>
                </w:r>
              </w:p>
            </w:tc>
          </w:tr>
          <w:tr w:rsidR="00E32DEB">
            <w:trPr>
              <w:trHeight w:val="283"/>
            </w:trPr>
            <w:tc>
              <w:tcPr>
                <w:tcW w:w="2550" w:type="dxa"/>
                <w:tcMar>
                  <w:top w:w="0" w:type="dxa"/>
                  <w:left w:w="115" w:type="dxa"/>
                  <w:bottom w:w="0" w:type="dxa"/>
                  <w:right w:w="115" w:type="dxa"/>
                </w:tcMar>
              </w:tcPr>
              <w:p w:rsidR="00E32DEB" w:rsidRDefault="008C051D">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134" w:type="dxa"/>
                <w:tcMar>
                  <w:top w:w="0" w:type="dxa"/>
                  <w:left w:w="115" w:type="dxa"/>
                  <w:bottom w:w="0" w:type="dxa"/>
                  <w:right w:w="115" w:type="dxa"/>
                </w:tcMar>
              </w:tcPr>
              <w:p w:rsidR="00E32DEB" w:rsidRDefault="008C051D">
                <w:pPr>
                  <w:tabs>
                    <w:tab w:val="left" w:pos="2834"/>
                  </w:tabs>
                  <w:ind w:left="-74" w:right="310"/>
                  <w:jc w:val="both"/>
                  <w:rPr>
                    <w:rFonts w:ascii="Palatino Linotype" w:eastAsia="Palatino Linotype" w:hAnsi="Palatino Linotype" w:cs="Palatino Linotype"/>
                  </w:rPr>
                </w:pPr>
                <w:r>
                  <w:rPr>
                    <w:rFonts w:ascii="Palatino Linotype" w:eastAsia="Palatino Linotype" w:hAnsi="Palatino Linotype" w:cs="Palatino Linotype"/>
                  </w:rPr>
                  <w:t>Ayuntamiento de Toluca</w:t>
                </w:r>
              </w:p>
            </w:tc>
          </w:tr>
          <w:tr w:rsidR="00E32DEB">
            <w:trPr>
              <w:trHeight w:val="283"/>
            </w:trPr>
            <w:tc>
              <w:tcPr>
                <w:tcW w:w="2550" w:type="dxa"/>
                <w:tcMar>
                  <w:top w:w="0" w:type="dxa"/>
                  <w:left w:w="115" w:type="dxa"/>
                  <w:bottom w:w="0" w:type="dxa"/>
                  <w:right w:w="115" w:type="dxa"/>
                </w:tcMar>
              </w:tcPr>
              <w:p w:rsidR="00E32DEB" w:rsidRDefault="008C051D">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134" w:type="dxa"/>
                <w:tcMar>
                  <w:top w:w="0" w:type="dxa"/>
                  <w:left w:w="115" w:type="dxa"/>
                  <w:bottom w:w="0" w:type="dxa"/>
                  <w:right w:w="115" w:type="dxa"/>
                </w:tcMar>
              </w:tcPr>
              <w:p w:rsidR="00E32DEB" w:rsidRDefault="008C051D">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rsidR="00E32DEB" w:rsidRDefault="00E32DEB">
                <w:pPr>
                  <w:tabs>
                    <w:tab w:val="right" w:pos="8838"/>
                  </w:tabs>
                  <w:ind w:left="-74" w:right="-1415"/>
                  <w:rPr>
                    <w:rFonts w:ascii="Palatino Linotype" w:eastAsia="Palatino Linotype" w:hAnsi="Palatino Linotype" w:cs="Palatino Linotype"/>
                    <w:b/>
                  </w:rPr>
                </w:pPr>
              </w:p>
            </w:tc>
          </w:tr>
        </w:tbl>
        <w:p w:rsidR="00E32DEB" w:rsidRDefault="00E32DEB">
          <w:pPr>
            <w:tabs>
              <w:tab w:val="right" w:pos="8838"/>
            </w:tabs>
            <w:ind w:left="-28"/>
            <w:jc w:val="both"/>
            <w:rPr>
              <w:rFonts w:ascii="Arial" w:eastAsia="Arial" w:hAnsi="Arial" w:cs="Arial"/>
              <w:b/>
            </w:rPr>
          </w:pPr>
        </w:p>
      </w:tc>
    </w:tr>
  </w:tbl>
  <w:p w:rsidR="00E32DEB" w:rsidRDefault="006255B1">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color w:val="000000"/>
        <w:sz w:val="14"/>
        <w:szCs w:val="14"/>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DEB" w:rsidRDefault="006255B1">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color w:val="000000"/>
        <w:sz w:val="14"/>
        <w:szCs w:val="14"/>
      </w:rPr>
    </w:pPr>
    <w:r>
      <w:rPr>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76.3pt;margin-top:-151.15pt;width:589.8pt;height:768pt;z-index:-251658752;mso-position-horizontal:absolute;mso-position-horizontal-relative:margin;mso-position-vertical:absolute;mso-position-vertical-relative:margin">
          <v:imagedata r:id="rId1" o:title="image3"/>
          <w10:wrap anchorx="margin" anchory="margin"/>
        </v:shape>
      </w:pict>
    </w:r>
  </w:p>
  <w:tbl>
    <w:tblPr>
      <w:tblStyle w:val="a6"/>
      <w:tblW w:w="9915" w:type="dxa"/>
      <w:tblInd w:w="0" w:type="dxa"/>
      <w:tblLayout w:type="fixed"/>
      <w:tblLook w:val="0000" w:firstRow="0" w:lastRow="0" w:firstColumn="0" w:lastColumn="0" w:noHBand="0" w:noVBand="0"/>
    </w:tblPr>
    <w:tblGrid>
      <w:gridCol w:w="2265"/>
      <w:gridCol w:w="7650"/>
    </w:tblGrid>
    <w:tr w:rsidR="00E32DEB">
      <w:trPr>
        <w:trHeight w:val="2514"/>
      </w:trPr>
      <w:tc>
        <w:tcPr>
          <w:tcW w:w="2265" w:type="dxa"/>
          <w:tcMar>
            <w:top w:w="0" w:type="dxa"/>
            <w:left w:w="115" w:type="dxa"/>
            <w:bottom w:w="0" w:type="dxa"/>
            <w:right w:w="115" w:type="dxa"/>
          </w:tcMar>
        </w:tcPr>
        <w:p w:rsidR="00E32DEB" w:rsidRDefault="00E32DEB">
          <w:pPr>
            <w:tabs>
              <w:tab w:val="right" w:pos="4273"/>
            </w:tabs>
            <w:rPr>
              <w:rFonts w:ascii="Garamond" w:eastAsia="Garamond" w:hAnsi="Garamond" w:cs="Garamond"/>
            </w:rPr>
          </w:pPr>
        </w:p>
      </w:tc>
      <w:tc>
        <w:tcPr>
          <w:tcW w:w="7650" w:type="dxa"/>
          <w:tcMar>
            <w:top w:w="0" w:type="dxa"/>
            <w:left w:w="115" w:type="dxa"/>
            <w:bottom w:w="0" w:type="dxa"/>
            <w:right w:w="115" w:type="dxa"/>
          </w:tcMar>
        </w:tcPr>
        <w:p w:rsidR="00E32DEB" w:rsidRDefault="00E32DEB">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rFonts w:ascii="Garamond" w:eastAsia="Garamond" w:hAnsi="Garamond" w:cs="Garamond"/>
            </w:rPr>
          </w:pPr>
        </w:p>
        <w:tbl>
          <w:tblPr>
            <w:tblStyle w:val="a7"/>
            <w:tblW w:w="6690" w:type="dxa"/>
            <w:tblInd w:w="700" w:type="dxa"/>
            <w:tblLayout w:type="fixed"/>
            <w:tblLook w:val="0000" w:firstRow="0" w:lastRow="0" w:firstColumn="0" w:lastColumn="0" w:noHBand="0" w:noVBand="0"/>
          </w:tblPr>
          <w:tblGrid>
            <w:gridCol w:w="2582"/>
            <w:gridCol w:w="4108"/>
          </w:tblGrid>
          <w:tr w:rsidR="00E32DEB">
            <w:trPr>
              <w:trHeight w:val="144"/>
            </w:trPr>
            <w:tc>
              <w:tcPr>
                <w:tcW w:w="2582" w:type="dxa"/>
                <w:tcBorders>
                  <w:top w:val="nil"/>
                  <w:left w:val="nil"/>
                  <w:bottom w:val="nil"/>
                  <w:right w:val="nil"/>
                </w:tcBorders>
                <w:tcMar>
                  <w:top w:w="0" w:type="dxa"/>
                  <w:left w:w="115" w:type="dxa"/>
                  <w:bottom w:w="0" w:type="dxa"/>
                  <w:right w:w="115" w:type="dxa"/>
                </w:tcMar>
              </w:tcPr>
              <w:p w:rsidR="00E32DEB" w:rsidRDefault="008C051D">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08" w:type="dxa"/>
                <w:tcBorders>
                  <w:top w:val="nil"/>
                  <w:left w:val="nil"/>
                  <w:bottom w:val="nil"/>
                  <w:right w:val="nil"/>
                </w:tcBorders>
                <w:tcMar>
                  <w:top w:w="0" w:type="dxa"/>
                  <w:left w:w="115" w:type="dxa"/>
                  <w:bottom w:w="0" w:type="dxa"/>
                  <w:right w:w="115" w:type="dxa"/>
                </w:tcMar>
              </w:tcPr>
              <w:p w:rsidR="00E32DEB" w:rsidRDefault="008C051D">
                <w:pPr>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07008/INFOEM/IP/RR/2024 y </w:t>
                </w:r>
              </w:p>
              <w:p w:rsidR="00E32DEB" w:rsidRDefault="008C051D">
                <w:pPr>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acumulados</w:t>
                </w:r>
              </w:p>
            </w:tc>
          </w:tr>
          <w:tr w:rsidR="00E32DEB">
            <w:trPr>
              <w:trHeight w:val="144"/>
            </w:trPr>
            <w:tc>
              <w:tcPr>
                <w:tcW w:w="2582" w:type="dxa"/>
                <w:tcBorders>
                  <w:top w:val="nil"/>
                  <w:left w:val="nil"/>
                  <w:bottom w:val="nil"/>
                  <w:right w:val="nil"/>
                </w:tcBorders>
                <w:tcMar>
                  <w:top w:w="0" w:type="dxa"/>
                  <w:left w:w="115" w:type="dxa"/>
                  <w:bottom w:w="0" w:type="dxa"/>
                  <w:right w:w="115" w:type="dxa"/>
                </w:tcMar>
              </w:tcPr>
              <w:p w:rsidR="00E32DEB" w:rsidRDefault="008C051D">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08" w:type="dxa"/>
                <w:tcBorders>
                  <w:top w:val="nil"/>
                  <w:left w:val="nil"/>
                  <w:bottom w:val="nil"/>
                  <w:right w:val="nil"/>
                </w:tcBorders>
                <w:tcMar>
                  <w:top w:w="0" w:type="dxa"/>
                  <w:left w:w="115" w:type="dxa"/>
                  <w:bottom w:w="0" w:type="dxa"/>
                  <w:right w:w="115" w:type="dxa"/>
                </w:tcMar>
              </w:tcPr>
              <w:p w:rsidR="00E32DEB" w:rsidRDefault="002E160E">
                <w:pPr>
                  <w:tabs>
                    <w:tab w:val="left" w:pos="3827"/>
                  </w:tabs>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w:t>
                </w:r>
              </w:p>
            </w:tc>
          </w:tr>
          <w:tr w:rsidR="00E32DEB">
            <w:trPr>
              <w:trHeight w:val="283"/>
            </w:trPr>
            <w:tc>
              <w:tcPr>
                <w:tcW w:w="2582" w:type="dxa"/>
                <w:tcBorders>
                  <w:top w:val="nil"/>
                  <w:left w:val="nil"/>
                  <w:bottom w:val="nil"/>
                  <w:right w:val="nil"/>
                </w:tcBorders>
                <w:tcMar>
                  <w:top w:w="0" w:type="dxa"/>
                  <w:left w:w="115" w:type="dxa"/>
                  <w:bottom w:w="0" w:type="dxa"/>
                  <w:right w:w="115" w:type="dxa"/>
                </w:tcMar>
              </w:tcPr>
              <w:p w:rsidR="00E32DEB" w:rsidRDefault="008C051D">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08" w:type="dxa"/>
                <w:tcBorders>
                  <w:top w:val="nil"/>
                  <w:left w:val="nil"/>
                  <w:bottom w:val="nil"/>
                  <w:right w:val="nil"/>
                </w:tcBorders>
                <w:tcMar>
                  <w:top w:w="0" w:type="dxa"/>
                  <w:left w:w="115" w:type="dxa"/>
                  <w:bottom w:w="0" w:type="dxa"/>
                  <w:right w:w="115" w:type="dxa"/>
                </w:tcMar>
              </w:tcPr>
              <w:p w:rsidR="00E32DEB" w:rsidRDefault="008C051D">
                <w:pPr>
                  <w:tabs>
                    <w:tab w:val="left" w:pos="2834"/>
                  </w:tabs>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Toluca</w:t>
                </w:r>
              </w:p>
            </w:tc>
          </w:tr>
          <w:tr w:rsidR="00E32DEB">
            <w:trPr>
              <w:trHeight w:val="283"/>
            </w:trPr>
            <w:tc>
              <w:tcPr>
                <w:tcW w:w="2582" w:type="dxa"/>
                <w:tcBorders>
                  <w:top w:val="nil"/>
                  <w:left w:val="nil"/>
                  <w:bottom w:val="nil"/>
                  <w:right w:val="nil"/>
                </w:tcBorders>
                <w:tcMar>
                  <w:top w:w="0" w:type="dxa"/>
                  <w:left w:w="115" w:type="dxa"/>
                  <w:bottom w:w="0" w:type="dxa"/>
                  <w:right w:w="115" w:type="dxa"/>
                </w:tcMar>
              </w:tcPr>
              <w:p w:rsidR="00E32DEB" w:rsidRDefault="008C051D">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08" w:type="dxa"/>
                <w:tcBorders>
                  <w:top w:val="nil"/>
                  <w:left w:val="nil"/>
                  <w:bottom w:val="nil"/>
                  <w:right w:val="nil"/>
                </w:tcBorders>
                <w:tcMar>
                  <w:top w:w="0" w:type="dxa"/>
                  <w:left w:w="115" w:type="dxa"/>
                  <w:bottom w:w="0" w:type="dxa"/>
                  <w:right w:w="115" w:type="dxa"/>
                </w:tcMar>
              </w:tcPr>
              <w:p w:rsidR="00E32DEB" w:rsidRDefault="008C051D">
                <w:pPr>
                  <w:ind w:right="-99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E32DEB" w:rsidRDefault="00E32DEB">
                <w:pPr>
                  <w:ind w:left="-283" w:right="-990" w:firstLine="141"/>
                  <w:rPr>
                    <w:rFonts w:ascii="Palatino Linotype" w:eastAsia="Palatino Linotype" w:hAnsi="Palatino Linotype" w:cs="Palatino Linotype"/>
                    <w:b/>
                    <w:sz w:val="22"/>
                    <w:szCs w:val="22"/>
                  </w:rPr>
                </w:pPr>
              </w:p>
            </w:tc>
          </w:tr>
        </w:tbl>
        <w:p w:rsidR="00E32DEB" w:rsidRDefault="00E32DEB">
          <w:pPr>
            <w:tabs>
              <w:tab w:val="right" w:pos="8838"/>
            </w:tabs>
            <w:ind w:left="-28"/>
            <w:jc w:val="both"/>
            <w:rPr>
              <w:rFonts w:ascii="Arial" w:eastAsia="Arial" w:hAnsi="Arial" w:cs="Arial"/>
              <w:b/>
            </w:rPr>
          </w:pPr>
        </w:p>
      </w:tc>
    </w:tr>
  </w:tbl>
  <w:p w:rsidR="00E32DEB" w:rsidRDefault="00E32DEB">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D6A31"/>
    <w:multiLevelType w:val="multilevel"/>
    <w:tmpl w:val="34284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DD6625"/>
    <w:multiLevelType w:val="multilevel"/>
    <w:tmpl w:val="AB206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B926A0"/>
    <w:multiLevelType w:val="multilevel"/>
    <w:tmpl w:val="1B5AC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1A3AAD"/>
    <w:multiLevelType w:val="multilevel"/>
    <w:tmpl w:val="72E40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6C6C56"/>
    <w:multiLevelType w:val="multilevel"/>
    <w:tmpl w:val="B6185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3E90615"/>
    <w:multiLevelType w:val="multilevel"/>
    <w:tmpl w:val="E1F4DCEC"/>
    <w:lvl w:ilvl="0">
      <w:start w:val="1"/>
      <w:numFmt w:val="upp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15:restartNumberingAfterBreak="0">
    <w:nsid w:val="785B049A"/>
    <w:multiLevelType w:val="multilevel"/>
    <w:tmpl w:val="8682C814"/>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EB"/>
    <w:rsid w:val="002E160E"/>
    <w:rsid w:val="006255B1"/>
    <w:rsid w:val="008C051D"/>
    <w:rsid w:val="00E32DEB"/>
    <w:rsid w:val="00EB29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8BB2579-573B-4D79-B4A2-616B20AB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unhideWhenUsed/>
    <w:qFormat/>
    <w:rPr>
      <w:color w:val="0563C1"/>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Textonotapie">
    <w:name w:val="footnote text"/>
    <w:basedOn w:val="Normal"/>
    <w:link w:val="TextonotapieCar"/>
    <w:uiPriority w:val="99"/>
    <w:unhideWhenUsed/>
    <w:qFormat/>
    <w:rPr>
      <w:rFonts w:asciiTheme="minorHAnsi" w:eastAsiaTheme="minorHAnsi" w:hAnsiTheme="minorHAnsi" w:cstheme="minorBidi"/>
      <w:sz w:val="20"/>
      <w:szCs w:val="20"/>
      <w:lang w:eastAsia="en-US"/>
    </w:rPr>
  </w:style>
  <w:style w:type="paragraph" w:styleId="TDC1">
    <w:name w:val="toc 1"/>
    <w:basedOn w:val="Normal"/>
    <w:next w:val="Normal"/>
    <w:autoRedefine/>
    <w:uiPriority w:val="39"/>
    <w:unhideWhenUsed/>
    <w:qFormat/>
    <w:pPr>
      <w:spacing w:after="100" w:line="259" w:lineRule="auto"/>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pPr>
      <w:tabs>
        <w:tab w:val="center" w:pos="4419"/>
        <w:tab w:val="right" w:pos="8838"/>
      </w:tabs>
    </w:pPr>
  </w:style>
  <w:style w:type="paragraph" w:styleId="Sangradetextonormal">
    <w:name w:val="Body Text Indent"/>
    <w:basedOn w:val="Normal"/>
    <w:link w:val="SangradetextonormalCar"/>
    <w:uiPriority w:val="99"/>
    <w:semiHidden/>
    <w:unhideWhenUsed/>
    <w:qFormat/>
    <w:pPr>
      <w:spacing w:after="120"/>
      <w:ind w:left="283"/>
    </w:pPr>
  </w:style>
  <w:style w:type="paragraph" w:styleId="Piedepgina">
    <w:name w:val="footer"/>
    <w:basedOn w:val="Normal"/>
    <w:link w:val="PiedepginaCar"/>
    <w:uiPriority w:val="99"/>
    <w:unhideWhenUsed/>
    <w:qFormat/>
    <w:pPr>
      <w:tabs>
        <w:tab w:val="center" w:pos="4419"/>
        <w:tab w:val="right" w:pos="8838"/>
      </w:tabs>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independienteprimerasangra2">
    <w:name w:val="Body Text First Indent 2"/>
    <w:basedOn w:val="Sangradetextonormal"/>
    <w:link w:val="Textoindependienteprimerasangra2Car"/>
    <w:uiPriority w:val="99"/>
    <w:unhideWhenUsed/>
    <w:pPr>
      <w:spacing w:after="0"/>
      <w:ind w:left="360" w:firstLine="360"/>
    </w:pPr>
  </w:style>
  <w:style w:type="paragraph" w:styleId="Textosinformato">
    <w:name w:val="Plain Text"/>
    <w:basedOn w:val="Normal"/>
    <w:link w:val="TextosinformatoCar"/>
    <w:rPr>
      <w:rFonts w:ascii="Courier New" w:hAnsi="Courier New" w:cs="Courier New"/>
      <w:sz w:val="20"/>
      <w:szCs w:val="20"/>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qFormat/>
    <w:rPr>
      <w:rFonts w:asciiTheme="majorHAnsi" w:eastAsiaTheme="majorEastAsia" w:hAnsiTheme="majorHAnsi" w:cstheme="majorBidi"/>
      <w:color w:val="2E74B5" w:themeColor="accent1" w:themeShade="BF"/>
      <w:sz w:val="26"/>
      <w:szCs w:val="26"/>
      <w:lang w:eastAsia="es-MX"/>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eastAsia="es-MX"/>
    </w:r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pPr>
      <w:ind w:left="720"/>
      <w:contextualSpacing/>
    </w:pPr>
    <w:rPr>
      <w:rFonts w:ascii="Century Gothic" w:hAnsi="Century Gothic"/>
    </w:rPr>
  </w:style>
  <w:style w:type="character" w:customStyle="1" w:styleId="PrrafodelistaCar">
    <w:name w:val="Párrafo de lista Car"/>
    <w:link w:val="Prrafodelista"/>
    <w:uiPriority w:val="34"/>
    <w:qFormat/>
    <w:locked/>
    <w:rPr>
      <w:rFonts w:ascii="Century Gothic" w:eastAsia="Times New Roman" w:hAnsi="Century Gothic" w:cs="Times New Roman"/>
      <w:sz w:val="24"/>
      <w:szCs w:val="24"/>
      <w:lang w:eastAsia="es-MX"/>
    </w:rPr>
  </w:style>
  <w:style w:type="paragraph" w:styleId="Sinespaciado">
    <w:name w:val="No Spacing"/>
    <w:link w:val="SinespaciadoCar"/>
    <w:uiPriority w:val="1"/>
    <w:qFormat/>
    <w:rPr>
      <w:lang w:eastAsia="es-ES"/>
    </w:rPr>
  </w:style>
  <w:style w:type="character" w:customStyle="1" w:styleId="SinespaciadoCar">
    <w:name w:val="Sin espaciado Car"/>
    <w:link w:val="Sinespaciado"/>
    <w:uiPriority w:val="1"/>
    <w:qFormat/>
    <w:locked/>
    <w:rPr>
      <w:rFonts w:ascii="Times New Roman" w:eastAsia="Times New Roman" w:hAnsi="Times New Roman" w:cs="Times New Roman"/>
      <w:sz w:val="24"/>
      <w:szCs w:val="24"/>
      <w:lang w:eastAsia="es-ES"/>
    </w:rPr>
  </w:style>
  <w:style w:type="table" w:customStyle="1" w:styleId="Style24">
    <w:name w:val="_Style 24"/>
    <w:basedOn w:val="TableNormal0"/>
    <w:tblPr/>
  </w:style>
  <w:style w:type="table" w:customStyle="1" w:styleId="Style25">
    <w:name w:val="_Style 25"/>
    <w:basedOn w:val="TableNormal0"/>
    <w:tblPr>
      <w:tblCellMar>
        <w:left w:w="115" w:type="dxa"/>
        <w:right w:w="115" w:type="dxa"/>
      </w:tblCellMar>
    </w:tblPr>
  </w:style>
  <w:style w:type="table" w:customStyle="1" w:styleId="Style26">
    <w:name w:val="_Style 26"/>
    <w:basedOn w:val="TableNormal0"/>
    <w:tblPr>
      <w:tblCellMar>
        <w:left w:w="115" w:type="dxa"/>
        <w:right w:w="115" w:type="dxa"/>
      </w:tblCellMar>
    </w:tblPr>
  </w:style>
  <w:style w:type="table" w:customStyle="1" w:styleId="Style27">
    <w:name w:val="_Style 27"/>
    <w:basedOn w:val="TableNormal0"/>
    <w:tblPr>
      <w:tblCellMar>
        <w:left w:w="115" w:type="dxa"/>
        <w:right w:w="115" w:type="dxa"/>
      </w:tblCellMar>
    </w:tblPr>
  </w:style>
  <w:style w:type="table" w:customStyle="1" w:styleId="Style28">
    <w:name w:val="_Style 28"/>
    <w:basedOn w:val="TableNormal0"/>
    <w:tblPr>
      <w:tblCellMar>
        <w:left w:w="115" w:type="dxa"/>
        <w:right w:w="115" w:type="dxa"/>
      </w:tblCellMar>
    </w:tblPr>
  </w:style>
  <w:style w:type="character" w:customStyle="1" w:styleId="Ttulo3Car">
    <w:name w:val="Título 3 Car"/>
    <w:basedOn w:val="Fuentedeprrafopredeter"/>
    <w:link w:val="Ttulo3"/>
    <w:rPr>
      <w:b/>
      <w:sz w:val="28"/>
      <w:szCs w:val="28"/>
    </w:rPr>
  </w:style>
  <w:style w:type="character" w:customStyle="1" w:styleId="TextonotapieCar">
    <w:name w:val="Texto nota pie Car"/>
    <w:basedOn w:val="Fuentedeprrafopredeter"/>
    <w:link w:val="Textonotapie"/>
    <w:uiPriority w:val="99"/>
    <w:qFormat/>
    <w:rPr>
      <w:rFonts w:asciiTheme="minorHAnsi" w:eastAsiaTheme="minorHAnsi" w:hAnsiTheme="minorHAnsi" w:cstheme="minorBidi"/>
      <w:sz w:val="20"/>
      <w:szCs w:val="20"/>
      <w:lang w:eastAsia="en-US"/>
    </w:rPr>
  </w:style>
  <w:style w:type="paragraph" w:customStyle="1" w:styleId="Texto">
    <w:name w:val="Texto"/>
    <w:basedOn w:val="Normal"/>
    <w:link w:val="TextoCar"/>
    <w:pPr>
      <w:spacing w:after="101" w:line="216" w:lineRule="exact"/>
      <w:ind w:firstLine="288"/>
      <w:jc w:val="both"/>
    </w:pPr>
    <w:rPr>
      <w:rFonts w:ascii="Arial" w:hAnsi="Arial" w:cs="Arial"/>
      <w:sz w:val="18"/>
      <w:szCs w:val="20"/>
      <w:lang w:val="es-ES" w:eastAsia="es-ES"/>
    </w:rPr>
  </w:style>
  <w:style w:type="character" w:customStyle="1" w:styleId="TextosinformatoCar">
    <w:name w:val="Texto sin formato Car"/>
    <w:basedOn w:val="Fuentedeprrafopredeter"/>
    <w:link w:val="Textosinformato"/>
    <w:rPr>
      <w:rFonts w:ascii="Courier New" w:hAnsi="Courier New" w:cs="Courier New"/>
      <w:sz w:val="20"/>
      <w:szCs w:val="20"/>
      <w:lang w:val="es-ES" w:eastAsia="es-ES"/>
    </w:rPr>
  </w:style>
  <w:style w:type="character" w:customStyle="1" w:styleId="TextoCar">
    <w:name w:val="Texto Car"/>
    <w:link w:val="Texto"/>
    <w:qFormat/>
    <w:locked/>
    <w:rPr>
      <w:rFonts w:ascii="Arial" w:hAnsi="Arial" w:cs="Arial"/>
      <w:sz w:val="18"/>
      <w:szCs w:val="20"/>
      <w:lang w:val="es-ES" w:eastAsia="es-ES"/>
    </w:rPr>
  </w:style>
  <w:style w:type="character" w:customStyle="1" w:styleId="PuestoCar">
    <w:name w:val="Puesto Car"/>
    <w:basedOn w:val="Fuentedeprrafopredeter"/>
    <w:link w:val="Puesto"/>
    <w:uiPriority w:val="10"/>
    <w:rPr>
      <w:b/>
      <w:sz w:val="72"/>
      <w:szCs w:val="72"/>
    </w:rPr>
  </w:style>
  <w:style w:type="character" w:customStyle="1" w:styleId="Ttulo1Car">
    <w:name w:val="Título 1 Car"/>
    <w:basedOn w:val="Fuentedeprrafopredeter"/>
    <w:link w:val="Ttulo1"/>
    <w:rPr>
      <w:b/>
      <w:sz w:val="48"/>
      <w:szCs w:val="48"/>
    </w:rPr>
  </w:style>
  <w:style w:type="table" w:customStyle="1" w:styleId="Style40">
    <w:name w:val="_Style 40"/>
    <w:basedOn w:val="TableNormal0"/>
    <w:tblPr>
      <w:tblCellMar>
        <w:left w:w="115" w:type="dxa"/>
        <w:right w:w="115" w:type="dxa"/>
      </w:tblCellMar>
    </w:tblPr>
  </w:style>
  <w:style w:type="table" w:customStyle="1" w:styleId="Style41">
    <w:name w:val="_Style 41"/>
    <w:basedOn w:val="TableNormal0"/>
    <w:qFormat/>
    <w:tblPr>
      <w:tblCellMar>
        <w:left w:w="115" w:type="dxa"/>
        <w:right w:w="115" w:type="dxa"/>
      </w:tblCellMar>
    </w:tblPr>
  </w:style>
  <w:style w:type="table" w:customStyle="1" w:styleId="Style42">
    <w:name w:val="_Style 42"/>
    <w:basedOn w:val="TableNormal0"/>
    <w:qFormat/>
    <w:tblPr>
      <w:tblCellMar>
        <w:left w:w="115" w:type="dxa"/>
        <w:right w:w="115" w:type="dxa"/>
      </w:tblCellMar>
    </w:tblPr>
  </w:style>
  <w:style w:type="table" w:customStyle="1" w:styleId="Style43">
    <w:name w:val="_Style 43"/>
    <w:basedOn w:val="TableNormal0"/>
    <w:qFormat/>
    <w:tblPr>
      <w:tblCellMar>
        <w:left w:w="115" w:type="dxa"/>
        <w:right w:w="115" w:type="dxa"/>
      </w:tblCellMar>
    </w:tblPr>
  </w:style>
  <w:style w:type="table" w:customStyle="1" w:styleId="Style44">
    <w:name w:val="_Style 44"/>
    <w:basedOn w:val="TableNormal0"/>
    <w:tblPr>
      <w:tblCellMar>
        <w:left w:w="115" w:type="dxa"/>
        <w:right w:w="115" w:type="dxa"/>
      </w:tblCellMar>
    </w:tblPr>
  </w:style>
  <w:style w:type="table" w:customStyle="1" w:styleId="Style47">
    <w:name w:val="_Style 47"/>
    <w:basedOn w:val="TableNormal0"/>
    <w:tblPr>
      <w:tblCellMar>
        <w:left w:w="115" w:type="dxa"/>
        <w:right w:w="115" w:type="dxa"/>
      </w:tblCellMar>
    </w:tblPr>
  </w:style>
  <w:style w:type="table" w:customStyle="1" w:styleId="Style48">
    <w:name w:val="_Style 48"/>
    <w:basedOn w:val="TableNormal0"/>
    <w:tblPr>
      <w:tblCellMar>
        <w:left w:w="115" w:type="dxa"/>
        <w:right w:w="115" w:type="dxa"/>
      </w:tblCellMar>
    </w:tblPr>
  </w:style>
  <w:style w:type="table" w:customStyle="1" w:styleId="Style49">
    <w:name w:val="_Style 49"/>
    <w:basedOn w:val="TableNormal0"/>
    <w:qFormat/>
    <w:tblPr>
      <w:tblCellMar>
        <w:left w:w="115" w:type="dxa"/>
        <w:right w:w="115" w:type="dxa"/>
      </w:tblCellMar>
    </w:tblPr>
  </w:style>
  <w:style w:type="table" w:customStyle="1" w:styleId="Style50">
    <w:name w:val="_Style 50"/>
    <w:basedOn w:val="TableNormal0"/>
    <w:tblPr>
      <w:tblCellMar>
        <w:left w:w="115" w:type="dxa"/>
        <w:right w:w="115" w:type="dxa"/>
      </w:tblCellMar>
    </w:tblPr>
  </w:style>
  <w:style w:type="paragraph" w:customStyle="1" w:styleId="Default">
    <w:name w:val="Default"/>
    <w:qFormat/>
    <w:pPr>
      <w:autoSpaceDE w:val="0"/>
      <w:autoSpaceDN w:val="0"/>
      <w:adjustRightInd w:val="0"/>
    </w:pPr>
    <w:rPr>
      <w:rFonts w:ascii="Arial" w:eastAsiaTheme="minorHAnsi" w:hAnsi="Arial" w:cs="Arial"/>
      <w:color w:val="000000"/>
      <w:lang w:eastAsia="en-US"/>
    </w:rPr>
  </w:style>
  <w:style w:type="character" w:customStyle="1" w:styleId="SangradetextonormalCar">
    <w:name w:val="Sangría de texto normal Car"/>
    <w:basedOn w:val="Fuentedeprrafopredeter"/>
    <w:link w:val="Sangradetextonormal"/>
    <w:uiPriority w:val="99"/>
    <w:semiHidden/>
    <w:qFormat/>
  </w:style>
  <w:style w:type="character" w:customStyle="1" w:styleId="Textoindependienteprimerasangra2Car">
    <w:name w:val="Texto independiente primera sangría 2 Car"/>
    <w:basedOn w:val="SangradetextonormalCar"/>
    <w:link w:val="Textoindependienteprimerasangra2"/>
    <w:uiPriority w:val="99"/>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e/2vzy3hiqdwWXBfrgUFRAe1Yw==">CgMxLjAyCGguZ2pkZ3hzMgloLjMwajB6bGwyCWguMXQzaDVzZjIJaC4xZm9iOXRlMgloLjN6bnlzaDcyCWguMmV0OTJwMDIJaC4xZm9iOXRlMgloLjF0M2g1c2YyCWguM3pueXNoNzIJaC4xZm9iOXRlOAByITE0Y1RvMHBEWmIta21TckVoMTVpVFdDMkdBbWR6Q0hoZw==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6991</Words>
  <Characters>38453</Characters>
  <Application>Microsoft Office Word</Application>
  <DocSecurity>0</DocSecurity>
  <Lines>320</Lines>
  <Paragraphs>90</Paragraphs>
  <ScaleCrop>false</ScaleCrop>
  <Company>HP Inc.</Company>
  <LinksUpToDate>false</LinksUpToDate>
  <CharactersWithSpaces>45354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3</cp:revision>
  <dcterms:created xsi:type="dcterms:W3CDTF">2024-12-12T03:18:00Z</dcterms:created>
  <dcterms:modified xsi:type="dcterms:W3CDTF">2025-01-24T16:38:00Z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2058-12.2.0.18911</vt:lpwstr>
  </property>
  <property fmtid="{D5CDD505-2E9C-101B-9397-08002B2CF9AE}" pid="3" name="ICV">
    <vt:lpwstr>6B976F8B69044B6685C723F71572CBEE_12</vt:lpwstr>
  </property>
</Properties>
</file>