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C7EE" w14:textId="77777777" w:rsidR="007A03CB" w:rsidRPr="00625633" w:rsidRDefault="0034483E">
      <w:pP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nueve de octubre de dos mil veinticuatro. </w:t>
      </w:r>
    </w:p>
    <w:p w14:paraId="3BFCCAE1" w14:textId="77777777" w:rsidR="007A03CB" w:rsidRPr="00625633" w:rsidRDefault="007A03CB">
      <w:pPr>
        <w:spacing w:after="0" w:line="360" w:lineRule="auto"/>
        <w:ind w:right="49"/>
        <w:jc w:val="center"/>
        <w:rPr>
          <w:rFonts w:ascii="Palatino Linotype" w:eastAsia="Palatino Linotype" w:hAnsi="Palatino Linotype" w:cs="Palatino Linotype"/>
        </w:rPr>
      </w:pPr>
    </w:p>
    <w:p w14:paraId="6BFFF646" w14:textId="641B8D2C" w:rsidR="007A03CB" w:rsidRPr="00625633" w:rsidRDefault="0034483E">
      <w:pP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Visto el expediente relativo al recurso de revisión </w:t>
      </w:r>
      <w:r w:rsidRPr="00625633">
        <w:rPr>
          <w:rFonts w:ascii="Palatino Linotype" w:eastAsia="Palatino Linotype" w:hAnsi="Palatino Linotype" w:cs="Palatino Linotype"/>
          <w:b/>
        </w:rPr>
        <w:t>04154/INFOEM/IP/RR/20274</w:t>
      </w:r>
      <w:r w:rsidRPr="00625633">
        <w:rPr>
          <w:rFonts w:ascii="Palatino Linotype" w:eastAsia="Palatino Linotype" w:hAnsi="Palatino Linotype" w:cs="Palatino Linotype"/>
        </w:rPr>
        <w:t xml:space="preserve">, interpuesto por </w:t>
      </w:r>
      <w:r w:rsidR="00F909FF" w:rsidRPr="00F909FF">
        <w:rPr>
          <w:rFonts w:ascii="Palatino Linotype" w:eastAsia="Palatino Linotype" w:hAnsi="Palatino Linotype" w:cs="Palatino Linotype"/>
          <w:b/>
        </w:rPr>
        <w:t>XXXX XXXXX XXXX</w:t>
      </w:r>
      <w:r w:rsidR="00F909FF" w:rsidRPr="00F909FF">
        <w:rPr>
          <w:rFonts w:ascii="Palatino Linotype" w:eastAsia="Palatino Linotype" w:hAnsi="Palatino Linotype" w:cs="Palatino Linotype"/>
          <w:b/>
        </w:rPr>
        <w:t xml:space="preserve"> </w:t>
      </w:r>
      <w:r w:rsidRPr="00625633">
        <w:rPr>
          <w:rFonts w:ascii="Palatino Linotype" w:eastAsia="Palatino Linotype" w:hAnsi="Palatino Linotype" w:cs="Palatino Linotype"/>
        </w:rPr>
        <w:t xml:space="preserve">al cual en lo sucesivo se le denominará la parte </w:t>
      </w:r>
      <w:r w:rsidRPr="00625633">
        <w:rPr>
          <w:rFonts w:ascii="Palatino Linotype" w:eastAsia="Palatino Linotype" w:hAnsi="Palatino Linotype" w:cs="Palatino Linotype"/>
          <w:b/>
        </w:rPr>
        <w:t>RECURRENTE</w:t>
      </w:r>
      <w:r w:rsidRPr="00625633">
        <w:rPr>
          <w:rFonts w:ascii="Palatino Linotype" w:eastAsia="Palatino Linotype" w:hAnsi="Palatino Linotype" w:cs="Palatino Linotype"/>
        </w:rPr>
        <w:t xml:space="preserve">, en contra de la respuesta a su solicitud de información identificada con número de folio </w:t>
      </w:r>
      <w:r w:rsidRPr="00625633">
        <w:rPr>
          <w:rFonts w:ascii="Palatino Linotype" w:eastAsia="Palatino Linotype" w:hAnsi="Palatino Linotype" w:cs="Palatino Linotype"/>
          <w:b/>
        </w:rPr>
        <w:t>00061/JALTENCO/IP/2024</w:t>
      </w:r>
      <w:r w:rsidRPr="00625633">
        <w:rPr>
          <w:rFonts w:ascii="Palatino Linotype" w:eastAsia="Palatino Linotype" w:hAnsi="Palatino Linotype" w:cs="Palatino Linotype"/>
        </w:rPr>
        <w:t xml:space="preserve"> proporcionada por parte del </w:t>
      </w:r>
      <w:r w:rsidRPr="00625633">
        <w:rPr>
          <w:rFonts w:ascii="Palatino Linotype" w:eastAsia="Palatino Linotype" w:hAnsi="Palatino Linotype" w:cs="Palatino Linotype"/>
          <w:b/>
        </w:rPr>
        <w:t>Ayuntamiento de Jaltenco</w:t>
      </w:r>
      <w:r w:rsidRPr="00625633">
        <w:rPr>
          <w:rFonts w:ascii="Palatino Linotype" w:eastAsia="Palatino Linotype" w:hAnsi="Palatino Linotype" w:cs="Palatino Linotype"/>
        </w:rPr>
        <w:t xml:space="preserve">, en lo sucesivo el </w:t>
      </w:r>
      <w:r w:rsidRPr="00625633">
        <w:rPr>
          <w:rFonts w:ascii="Palatino Linotype" w:eastAsia="Palatino Linotype" w:hAnsi="Palatino Linotype" w:cs="Palatino Linotype"/>
          <w:b/>
        </w:rPr>
        <w:t>SUJETO OBLIGADO</w:t>
      </w:r>
      <w:r w:rsidRPr="00625633">
        <w:rPr>
          <w:rFonts w:ascii="Palatino Linotype" w:eastAsia="Palatino Linotype" w:hAnsi="Palatino Linotype" w:cs="Palatino Linotype"/>
        </w:rPr>
        <w:t>; se procede a dictar la presente resolución, con base en los siguientes:</w:t>
      </w:r>
    </w:p>
    <w:p w14:paraId="5597C1C8" w14:textId="77777777" w:rsidR="007A03CB" w:rsidRPr="00625633" w:rsidRDefault="007A03CB">
      <w:pPr>
        <w:spacing w:after="0" w:line="360" w:lineRule="auto"/>
        <w:ind w:right="49"/>
        <w:jc w:val="both"/>
        <w:rPr>
          <w:rFonts w:ascii="Palatino Linotype" w:eastAsia="Palatino Linotype" w:hAnsi="Palatino Linotype" w:cs="Palatino Linotype"/>
        </w:rPr>
      </w:pPr>
    </w:p>
    <w:p w14:paraId="39F1F44B" w14:textId="77777777" w:rsidR="007A03CB" w:rsidRPr="00625633" w:rsidRDefault="0034483E">
      <w:pPr>
        <w:spacing w:after="0" w:line="360" w:lineRule="auto"/>
        <w:ind w:right="49"/>
        <w:jc w:val="center"/>
        <w:rPr>
          <w:rFonts w:ascii="Palatino Linotype" w:eastAsia="Palatino Linotype" w:hAnsi="Palatino Linotype" w:cs="Palatino Linotype"/>
          <w:b/>
        </w:rPr>
      </w:pPr>
      <w:r w:rsidRPr="00625633">
        <w:rPr>
          <w:rFonts w:ascii="Palatino Linotype" w:eastAsia="Palatino Linotype" w:hAnsi="Palatino Linotype" w:cs="Palatino Linotype"/>
          <w:b/>
        </w:rPr>
        <w:t>I.</w:t>
      </w:r>
      <w:r w:rsidRPr="00625633">
        <w:rPr>
          <w:rFonts w:ascii="Palatino Linotype" w:eastAsia="Palatino Linotype" w:hAnsi="Palatino Linotype" w:cs="Palatino Linotype"/>
          <w:b/>
        </w:rPr>
        <w:tab/>
        <w:t>A N T E C E D E N T E S</w:t>
      </w:r>
    </w:p>
    <w:p w14:paraId="1235A489" w14:textId="77777777" w:rsidR="007A03CB" w:rsidRPr="00625633" w:rsidRDefault="007A03CB">
      <w:pPr>
        <w:spacing w:after="0" w:line="360" w:lineRule="auto"/>
        <w:ind w:right="49"/>
        <w:jc w:val="both"/>
        <w:rPr>
          <w:rFonts w:ascii="Palatino Linotype" w:eastAsia="Palatino Linotype" w:hAnsi="Palatino Linotype" w:cs="Palatino Linotype"/>
        </w:rPr>
      </w:pPr>
    </w:p>
    <w:p w14:paraId="2EF5D398" w14:textId="77777777" w:rsidR="007A03CB" w:rsidRPr="00625633" w:rsidRDefault="0034483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25633">
        <w:rPr>
          <w:rFonts w:ascii="Palatino Linotype" w:eastAsia="Palatino Linotype" w:hAnsi="Palatino Linotype" w:cs="Palatino Linotype"/>
          <w:b/>
        </w:rPr>
        <w:t>Solicitud de acceso a la información.</w:t>
      </w:r>
      <w:r w:rsidRPr="00625633">
        <w:rPr>
          <w:rFonts w:ascii="Palatino Linotype" w:eastAsia="Palatino Linotype" w:hAnsi="Palatino Linotype" w:cs="Palatino Linotype"/>
        </w:rPr>
        <w:t xml:space="preserve"> Con fecha </w:t>
      </w:r>
      <w:r w:rsidRPr="00625633">
        <w:rPr>
          <w:rFonts w:ascii="Palatino Linotype" w:eastAsia="Palatino Linotype" w:hAnsi="Palatino Linotype" w:cs="Palatino Linotype"/>
          <w:b/>
        </w:rPr>
        <w:t>once de junio de dos mil veinticuatro</w:t>
      </w:r>
      <w:r w:rsidRPr="00625633">
        <w:rPr>
          <w:rFonts w:ascii="Palatino Linotype" w:eastAsia="Palatino Linotype" w:hAnsi="Palatino Linotype" w:cs="Palatino Linotype"/>
        </w:rPr>
        <w:t xml:space="preserve">, la parte </w:t>
      </w:r>
      <w:r w:rsidRPr="00625633">
        <w:rPr>
          <w:rFonts w:ascii="Palatino Linotype" w:eastAsia="Palatino Linotype" w:hAnsi="Palatino Linotype" w:cs="Palatino Linotype"/>
          <w:b/>
        </w:rPr>
        <w:t>RECURRENTE</w:t>
      </w:r>
      <w:r w:rsidRPr="00625633">
        <w:rPr>
          <w:rFonts w:ascii="Palatino Linotype" w:eastAsia="Palatino Linotype" w:hAnsi="Palatino Linotype" w:cs="Palatino Linotype"/>
        </w:rPr>
        <w:t xml:space="preserve"> formuló solicitud de acceso a información pública al</w:t>
      </w:r>
      <w:r w:rsidRPr="00625633">
        <w:rPr>
          <w:rFonts w:ascii="Palatino Linotype" w:eastAsia="Palatino Linotype" w:hAnsi="Palatino Linotype" w:cs="Palatino Linotype"/>
          <w:b/>
        </w:rPr>
        <w:t xml:space="preserve"> SUJETO OBLIGADO</w:t>
      </w:r>
      <w:r w:rsidRPr="00625633">
        <w:rPr>
          <w:rFonts w:ascii="Palatino Linotype" w:eastAsia="Palatino Linotype" w:hAnsi="Palatino Linotype" w:cs="Palatino Linotype"/>
        </w:rPr>
        <w:t xml:space="preserve"> a través de la Plataforma Nacional de Transparencia registrada en el Sistema de Acceso a la Información Mexiquense, en adelante SAIMEX, en la que requirió lo siguiente: </w:t>
      </w:r>
    </w:p>
    <w:p w14:paraId="27C32E0F" w14:textId="77777777" w:rsidR="007A03CB" w:rsidRPr="00625633" w:rsidRDefault="0034483E">
      <w:pPr>
        <w:tabs>
          <w:tab w:val="left" w:pos="1530"/>
        </w:tabs>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ab/>
      </w:r>
    </w:p>
    <w:p w14:paraId="05CAC600" w14:textId="77777777" w:rsidR="007A03CB" w:rsidRPr="00625633" w:rsidRDefault="0034483E">
      <w:pPr>
        <w:spacing w:after="0" w:line="240" w:lineRule="auto"/>
        <w:ind w:left="567" w:right="701"/>
        <w:jc w:val="both"/>
        <w:rPr>
          <w:rFonts w:ascii="Palatino Linotype" w:eastAsia="Palatino Linotype" w:hAnsi="Palatino Linotype" w:cs="Palatino Linotype"/>
          <w:i/>
        </w:rPr>
      </w:pPr>
      <w:bookmarkStart w:id="0" w:name="_heading=h.30j0zll" w:colFirst="0" w:colLast="0"/>
      <w:bookmarkEnd w:id="0"/>
      <w:r w:rsidRPr="00625633">
        <w:rPr>
          <w:rFonts w:ascii="Palatino Linotype" w:eastAsia="Palatino Linotype" w:hAnsi="Palatino Linotype" w:cs="Palatino Linotype"/>
          <w:i/>
        </w:rPr>
        <w:t>“Se solicita en formato XLS compatible con Excel, la base de datos del padrón actualizado de licencias otorgadas para la operación de establecimientos en los que se vende o consumen bebidas alcohólicas, otorgadas por la Dirección de Desarrollo Económico, así como, su giro o modalidad, dirección de los establecimientos, los nombres y/o razones sociales de los titulares, y el hipervínculo del documento en el que obre cada una de las licencias.”.</w:t>
      </w:r>
    </w:p>
    <w:p w14:paraId="4F1AAB97" w14:textId="77777777" w:rsidR="007A03CB" w:rsidRPr="00625633" w:rsidRDefault="0034483E">
      <w:pPr>
        <w:spacing w:after="0"/>
        <w:ind w:left="567" w:right="560"/>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 </w:t>
      </w:r>
    </w:p>
    <w:p w14:paraId="4D35A588" w14:textId="77777777" w:rsidR="007A03CB" w:rsidRPr="00625633" w:rsidRDefault="0034483E">
      <w:pP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b/>
        </w:rPr>
        <w:t>Modalidad elegida para la entrega de la información:</w:t>
      </w:r>
      <w:r w:rsidRPr="00625633">
        <w:rPr>
          <w:rFonts w:ascii="Palatino Linotype" w:eastAsia="Palatino Linotype" w:hAnsi="Palatino Linotype" w:cs="Palatino Linotype"/>
        </w:rPr>
        <w:t xml:space="preserve"> a través del Sistema de Acceso a la Información Mexiquense (SAIMEX) y correo electrónico. </w:t>
      </w:r>
    </w:p>
    <w:p w14:paraId="1E1C3EE8" w14:textId="77777777" w:rsidR="007A03CB" w:rsidRPr="00625633" w:rsidRDefault="0034483E">
      <w:pPr>
        <w:numPr>
          <w:ilvl w:val="0"/>
          <w:numId w:val="3"/>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rPr>
      </w:pPr>
      <w:r w:rsidRPr="00625633">
        <w:rPr>
          <w:rFonts w:ascii="Palatino Linotype" w:eastAsia="Palatino Linotype" w:hAnsi="Palatino Linotype" w:cs="Palatino Linotype"/>
          <w:b/>
        </w:rPr>
        <w:lastRenderedPageBreak/>
        <w:t xml:space="preserve">Respuesta. </w:t>
      </w:r>
      <w:r w:rsidRPr="00625633">
        <w:rPr>
          <w:rFonts w:ascii="Palatino Linotype" w:eastAsia="Palatino Linotype" w:hAnsi="Palatino Linotype" w:cs="Palatino Linotype"/>
        </w:rPr>
        <w:t xml:space="preserve">El Sujeto </w:t>
      </w:r>
      <w:proofErr w:type="gramStart"/>
      <w:r w:rsidRPr="00625633">
        <w:rPr>
          <w:rFonts w:ascii="Palatino Linotype" w:eastAsia="Palatino Linotype" w:hAnsi="Palatino Linotype" w:cs="Palatino Linotype"/>
        </w:rPr>
        <w:t>Obligado  no</w:t>
      </w:r>
      <w:proofErr w:type="gramEnd"/>
      <w:r w:rsidRPr="00625633">
        <w:rPr>
          <w:rFonts w:ascii="Palatino Linotype" w:eastAsia="Palatino Linotype" w:hAnsi="Palatino Linotype" w:cs="Palatino Linotype"/>
        </w:rPr>
        <w:t xml:space="preserve"> dio respuesta a la solicitud de información.</w:t>
      </w:r>
    </w:p>
    <w:p w14:paraId="3CA5FE5B" w14:textId="77777777" w:rsidR="007A03CB" w:rsidRPr="00625633" w:rsidRDefault="007A03CB">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71BCC1D" w14:textId="77777777" w:rsidR="007A03CB" w:rsidRPr="00625633" w:rsidRDefault="0034483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25633">
        <w:rPr>
          <w:rFonts w:ascii="Palatino Linotype" w:eastAsia="Palatino Linotype" w:hAnsi="Palatino Linotype" w:cs="Palatino Linotype"/>
          <w:b/>
        </w:rPr>
        <w:t xml:space="preserve">Recurso de Revisión. </w:t>
      </w:r>
      <w:r w:rsidRPr="00625633">
        <w:rPr>
          <w:rFonts w:ascii="Palatino Linotype" w:eastAsia="Palatino Linotype" w:hAnsi="Palatino Linotype" w:cs="Palatino Linotype"/>
        </w:rPr>
        <w:t xml:space="preserve">En fecha </w:t>
      </w:r>
      <w:r w:rsidRPr="00625633">
        <w:rPr>
          <w:rFonts w:ascii="Palatino Linotype" w:eastAsia="Palatino Linotype" w:hAnsi="Palatino Linotype" w:cs="Palatino Linotype"/>
          <w:b/>
        </w:rPr>
        <w:t>cinco de julio de dos mil veinticuatro</w:t>
      </w:r>
      <w:r w:rsidRPr="00625633">
        <w:rPr>
          <w:rFonts w:ascii="Palatino Linotype" w:eastAsia="Palatino Linotype" w:hAnsi="Palatino Linotype" w:cs="Palatino Linotype"/>
        </w:rPr>
        <w:t xml:space="preserve"> la persona Solicitante interpuso Recurso de Revisión a través del </w:t>
      </w:r>
      <w:r w:rsidRPr="00625633">
        <w:rPr>
          <w:rFonts w:ascii="Palatino Linotype" w:eastAsia="Palatino Linotype" w:hAnsi="Palatino Linotype" w:cs="Palatino Linotype"/>
          <w:b/>
        </w:rPr>
        <w:t>SAIMEX</w:t>
      </w:r>
      <w:r w:rsidRPr="00625633">
        <w:rPr>
          <w:rFonts w:ascii="Palatino Linotype" w:eastAsia="Palatino Linotype" w:hAnsi="Palatino Linotype" w:cs="Palatino Linotype"/>
        </w:rPr>
        <w:t>, a través del cual expresó lo siguiente:</w:t>
      </w:r>
    </w:p>
    <w:p w14:paraId="10725353" w14:textId="77777777" w:rsidR="007A03CB" w:rsidRPr="00625633" w:rsidRDefault="007A03C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CF34204" w14:textId="77777777" w:rsidR="007A03CB" w:rsidRPr="00625633" w:rsidRDefault="0034483E">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625633">
        <w:rPr>
          <w:rFonts w:ascii="Palatino Linotype" w:eastAsia="Palatino Linotype" w:hAnsi="Palatino Linotype" w:cs="Palatino Linotype"/>
          <w:b/>
        </w:rPr>
        <w:t>Acto impugnado</w:t>
      </w:r>
      <w:r w:rsidRPr="00625633">
        <w:rPr>
          <w:rFonts w:ascii="Palatino Linotype" w:eastAsia="Palatino Linotype" w:hAnsi="Palatino Linotype" w:cs="Palatino Linotype"/>
          <w:b/>
          <w:i/>
        </w:rPr>
        <w:t xml:space="preserve">. </w:t>
      </w:r>
      <w:r w:rsidRPr="00625633">
        <w:rPr>
          <w:rFonts w:ascii="Palatino Linotype" w:eastAsia="Palatino Linotype" w:hAnsi="Palatino Linotype" w:cs="Palatino Linotype"/>
          <w:i/>
        </w:rPr>
        <w:t xml:space="preserve">“Por medio del presente escrito con fundamento en el </w:t>
      </w:r>
      <w:proofErr w:type="spellStart"/>
      <w:r w:rsidRPr="00625633">
        <w:rPr>
          <w:rFonts w:ascii="Palatino Linotype" w:eastAsia="Palatino Linotype" w:hAnsi="Palatino Linotype" w:cs="Palatino Linotype"/>
          <w:i/>
        </w:rPr>
        <w:t>articulo</w:t>
      </w:r>
      <w:proofErr w:type="spellEnd"/>
      <w:r w:rsidRPr="00625633">
        <w:rPr>
          <w:rFonts w:ascii="Palatino Linotype" w:eastAsia="Palatino Linotype" w:hAnsi="Palatino Linotype" w:cs="Palatino Linotype"/>
          <w:i/>
        </w:rPr>
        <w:t xml:space="preserve"> 53 fracciones II, V Y VI de la Ley de Transparencia e Información Pública del Estado de México y sus Municipios solicito la respuesta a mi solicitud lo más pronto posible al Sujeto Obligado, en el cual solicito a esta H. Institución se le imponga una medida disciplinaria por no responder dentro del plazo que marca la Ley.”.</w:t>
      </w:r>
    </w:p>
    <w:p w14:paraId="6B384308" w14:textId="77777777" w:rsidR="007A03CB" w:rsidRPr="00625633" w:rsidRDefault="007A03CB">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687070DB" w14:textId="77777777" w:rsidR="007A03CB" w:rsidRPr="00625633" w:rsidRDefault="0034483E">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625633">
        <w:rPr>
          <w:rFonts w:ascii="Palatino Linotype" w:eastAsia="Palatino Linotype" w:hAnsi="Palatino Linotype" w:cs="Palatino Linotype"/>
          <w:b/>
        </w:rPr>
        <w:t xml:space="preserve">Razones o motivos de la inconformidad: </w:t>
      </w:r>
      <w:r w:rsidRPr="00625633">
        <w:rPr>
          <w:rFonts w:ascii="Palatino Linotype" w:eastAsia="Palatino Linotype" w:hAnsi="Palatino Linotype" w:cs="Palatino Linotype"/>
        </w:rPr>
        <w:t>N/A</w:t>
      </w:r>
      <w:r w:rsidRPr="00625633">
        <w:rPr>
          <w:rFonts w:ascii="Palatino Linotype" w:eastAsia="Palatino Linotype" w:hAnsi="Palatino Linotype" w:cs="Palatino Linotype"/>
          <w:i/>
        </w:rPr>
        <w:t xml:space="preserve"> </w:t>
      </w:r>
    </w:p>
    <w:p w14:paraId="3CA67194" w14:textId="77777777" w:rsidR="007A03CB" w:rsidRPr="00625633" w:rsidRDefault="007A03CB">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58600372" w14:textId="77777777" w:rsidR="007A03CB" w:rsidRPr="00625633" w:rsidRDefault="0034483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25633">
        <w:rPr>
          <w:rFonts w:ascii="Palatino Linotype" w:eastAsia="Palatino Linotype" w:hAnsi="Palatino Linotype" w:cs="Palatino Linotype"/>
          <w:b/>
        </w:rPr>
        <w:t>Turno.</w:t>
      </w:r>
      <w:r w:rsidRPr="00625633">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625633">
        <w:rPr>
          <w:rFonts w:ascii="Palatino Linotype" w:eastAsia="Palatino Linotype" w:hAnsi="Palatino Linotype" w:cs="Palatino Linotype"/>
          <w:b/>
        </w:rPr>
        <w:t>04154/INFOEM/IP/RR/2024</w:t>
      </w:r>
      <w:r w:rsidRPr="00625633">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76710D98" w14:textId="77777777" w:rsidR="007A03CB" w:rsidRPr="00625633" w:rsidRDefault="007A03C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A23709C" w14:textId="77777777" w:rsidR="007A03CB" w:rsidRPr="00625633" w:rsidRDefault="0034483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25633">
        <w:rPr>
          <w:rFonts w:ascii="Palatino Linotype" w:eastAsia="Palatino Linotype" w:hAnsi="Palatino Linotype" w:cs="Palatino Linotype"/>
          <w:b/>
        </w:rPr>
        <w:t>Admisión del recurso de revisión</w:t>
      </w:r>
      <w:r w:rsidRPr="00625633">
        <w:rPr>
          <w:rFonts w:ascii="Palatino Linotype" w:eastAsia="Palatino Linotype" w:hAnsi="Palatino Linotype" w:cs="Palatino Linotype"/>
        </w:rPr>
        <w:t xml:space="preserve">: En fecha </w:t>
      </w:r>
      <w:r w:rsidRPr="00625633">
        <w:rPr>
          <w:rFonts w:ascii="Palatino Linotype" w:eastAsia="Palatino Linotype" w:hAnsi="Palatino Linotype" w:cs="Palatino Linotype"/>
          <w:b/>
        </w:rPr>
        <w:t>diez de julio de dos mil veinticuatro</w:t>
      </w:r>
      <w:r w:rsidRPr="00625633">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6CA3FC31" w14:textId="77777777" w:rsidR="007A03CB" w:rsidRPr="00625633" w:rsidRDefault="007A03CB">
      <w:pPr>
        <w:pBdr>
          <w:top w:val="nil"/>
          <w:left w:val="nil"/>
          <w:bottom w:val="nil"/>
          <w:right w:val="nil"/>
          <w:between w:val="nil"/>
        </w:pBdr>
        <w:ind w:left="720"/>
        <w:rPr>
          <w:rFonts w:ascii="Palatino Linotype" w:eastAsia="Palatino Linotype" w:hAnsi="Palatino Linotype" w:cs="Palatino Linotype"/>
        </w:rPr>
      </w:pPr>
    </w:p>
    <w:p w14:paraId="6A0ED6BD" w14:textId="77777777" w:rsidR="007A03CB" w:rsidRPr="00625633" w:rsidRDefault="0034483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25633">
        <w:rPr>
          <w:rFonts w:ascii="Palatino Linotype" w:eastAsia="Palatino Linotype" w:hAnsi="Palatino Linotype" w:cs="Palatino Linotype"/>
          <w:b/>
        </w:rPr>
        <w:lastRenderedPageBreak/>
        <w:t xml:space="preserve">Informe Justificado. </w:t>
      </w:r>
      <w:r w:rsidRPr="00625633">
        <w:rPr>
          <w:rFonts w:ascii="Palatino Linotype" w:eastAsia="Palatino Linotype" w:hAnsi="Palatino Linotype" w:cs="Palatino Linotype"/>
        </w:rPr>
        <w:t xml:space="preserve">En fecha </w:t>
      </w:r>
      <w:r w:rsidRPr="00625633">
        <w:rPr>
          <w:rFonts w:ascii="Palatino Linotype" w:eastAsia="Palatino Linotype" w:hAnsi="Palatino Linotype" w:cs="Palatino Linotype"/>
          <w:b/>
        </w:rPr>
        <w:t>dieciséis de julio de dos mil veinticuatro</w:t>
      </w:r>
      <w:r w:rsidRPr="00625633">
        <w:rPr>
          <w:rFonts w:ascii="Palatino Linotype" w:eastAsia="Palatino Linotype" w:hAnsi="Palatino Linotype" w:cs="Palatino Linotype"/>
        </w:rPr>
        <w:t xml:space="preserve">, el </w:t>
      </w:r>
      <w:r w:rsidRPr="00625633">
        <w:rPr>
          <w:rFonts w:ascii="Palatino Linotype" w:eastAsia="Palatino Linotype" w:hAnsi="Palatino Linotype" w:cs="Palatino Linotype"/>
          <w:b/>
        </w:rPr>
        <w:t xml:space="preserve">SUJETO OBLIGADO </w:t>
      </w:r>
      <w:r w:rsidRPr="00625633">
        <w:rPr>
          <w:rFonts w:ascii="Palatino Linotype" w:eastAsia="Palatino Linotype" w:hAnsi="Palatino Linotype" w:cs="Palatino Linotype"/>
        </w:rPr>
        <w:t xml:space="preserve">rindió su informe justificado, a través de lo siguiente: </w:t>
      </w:r>
    </w:p>
    <w:p w14:paraId="56510313" w14:textId="77777777" w:rsidR="007A03CB" w:rsidRPr="00625633" w:rsidRDefault="007A03C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CEFD7C0" w14:textId="77777777" w:rsidR="007A03CB" w:rsidRPr="00625633" w:rsidRDefault="0034483E">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Documento donde consta el concentrado de unidades económicas 2024, en la que se advierte el nombre, razón social, comunidad y número de licencia de funcionamiento. </w:t>
      </w:r>
    </w:p>
    <w:p w14:paraId="1834D784" w14:textId="77777777" w:rsidR="007A03CB" w:rsidRPr="00625633" w:rsidRDefault="007A03CB">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3E3C92AF" w14:textId="77777777" w:rsidR="007A03CB" w:rsidRPr="00625633" w:rsidRDefault="0034483E">
      <w:pPr>
        <w:pBdr>
          <w:top w:val="nil"/>
          <w:left w:val="nil"/>
          <w:bottom w:val="nil"/>
          <w:right w:val="nil"/>
          <w:between w:val="nil"/>
        </w:pBdr>
        <w:tabs>
          <w:tab w:val="left" w:pos="8647"/>
        </w:tabs>
        <w:spacing w:after="0" w:line="360" w:lineRule="auto"/>
        <w:ind w:right="134"/>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Los documentos se hicieron del conocimiento de la parte Recurrente el </w:t>
      </w:r>
      <w:r w:rsidRPr="00625633">
        <w:rPr>
          <w:rFonts w:ascii="Palatino Linotype" w:eastAsia="Palatino Linotype" w:hAnsi="Palatino Linotype" w:cs="Palatino Linotype"/>
          <w:b/>
        </w:rPr>
        <w:t xml:space="preserve">dos de octubre de dos mil veinticuatro. </w:t>
      </w:r>
    </w:p>
    <w:p w14:paraId="34D4121A" w14:textId="77777777" w:rsidR="007A03CB" w:rsidRPr="00625633" w:rsidRDefault="007A03CB">
      <w:pPr>
        <w:pBdr>
          <w:top w:val="nil"/>
          <w:left w:val="nil"/>
          <w:bottom w:val="nil"/>
          <w:right w:val="nil"/>
          <w:between w:val="nil"/>
        </w:pBdr>
        <w:spacing w:after="0" w:line="360" w:lineRule="auto"/>
        <w:ind w:right="49"/>
        <w:rPr>
          <w:rFonts w:ascii="Palatino Linotype" w:eastAsia="Palatino Linotype" w:hAnsi="Palatino Linotype" w:cs="Palatino Linotype"/>
        </w:rPr>
      </w:pPr>
    </w:p>
    <w:p w14:paraId="46C730B5" w14:textId="77777777" w:rsidR="007A03CB" w:rsidRPr="00625633" w:rsidRDefault="0034483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Por otro lado, la parte Recurrente remitió un documento donde expone sus motivos de inconformidad. </w:t>
      </w:r>
    </w:p>
    <w:p w14:paraId="62A4719C" w14:textId="77777777" w:rsidR="007A03CB" w:rsidRPr="00625633" w:rsidRDefault="007A03C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9A7500D" w14:textId="77777777" w:rsidR="007A03CB" w:rsidRPr="00625633" w:rsidRDefault="0034483E">
      <w:pPr>
        <w:numPr>
          <w:ilvl w:val="0"/>
          <w:numId w:val="3"/>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rPr>
      </w:pPr>
      <w:r w:rsidRPr="00625633">
        <w:rPr>
          <w:rFonts w:ascii="Palatino Linotype" w:eastAsia="Palatino Linotype" w:hAnsi="Palatino Linotype" w:cs="Palatino Linotype"/>
          <w:b/>
        </w:rPr>
        <w:t>Ampliación de plazo:</w:t>
      </w:r>
      <w:r w:rsidRPr="00625633">
        <w:rPr>
          <w:rFonts w:ascii="Palatino Linotype" w:eastAsia="Palatino Linotype" w:hAnsi="Palatino Linotype" w:cs="Palatino Linotype"/>
        </w:rPr>
        <w:t xml:space="preserve"> En fecha </w:t>
      </w:r>
      <w:r w:rsidRPr="00625633">
        <w:rPr>
          <w:rFonts w:ascii="Palatino Linotype" w:eastAsia="Palatino Linotype" w:hAnsi="Palatino Linotype" w:cs="Palatino Linotype"/>
          <w:b/>
        </w:rPr>
        <w:t>dos de octubre de dos mil veinticuatro</w:t>
      </w:r>
      <w:r w:rsidRPr="00625633">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02B6EF86" w14:textId="77777777" w:rsidR="007A03CB" w:rsidRPr="00625633" w:rsidRDefault="007A03CB">
      <w:pPr>
        <w:widowControl w:val="0"/>
        <w:spacing w:after="0" w:line="360" w:lineRule="auto"/>
        <w:jc w:val="both"/>
        <w:rPr>
          <w:rFonts w:ascii="Palatino Linotype" w:eastAsia="Palatino Linotype" w:hAnsi="Palatino Linotype" w:cs="Palatino Linotype"/>
        </w:rPr>
      </w:pPr>
    </w:p>
    <w:p w14:paraId="3F0F9144" w14:textId="77777777" w:rsidR="007A03CB" w:rsidRPr="00625633" w:rsidRDefault="0034483E">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344B047" w14:textId="77777777" w:rsidR="007A03CB" w:rsidRPr="00625633" w:rsidRDefault="007A03CB">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0D2B64B8"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4C3A0EA" w14:textId="77777777" w:rsidR="007A03CB" w:rsidRPr="00625633" w:rsidRDefault="007A03CB">
      <w:pPr>
        <w:spacing w:after="0" w:line="360" w:lineRule="auto"/>
        <w:jc w:val="both"/>
        <w:rPr>
          <w:rFonts w:ascii="Palatino Linotype" w:eastAsia="Palatino Linotype" w:hAnsi="Palatino Linotype" w:cs="Palatino Linotype"/>
        </w:rPr>
      </w:pPr>
    </w:p>
    <w:p w14:paraId="70010214"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1B9A7A2" w14:textId="77777777" w:rsidR="007A03CB" w:rsidRPr="00625633" w:rsidRDefault="007A03CB">
      <w:pPr>
        <w:spacing w:after="0" w:line="360" w:lineRule="auto"/>
        <w:jc w:val="both"/>
        <w:rPr>
          <w:rFonts w:ascii="Palatino Linotype" w:eastAsia="Palatino Linotype" w:hAnsi="Palatino Linotype" w:cs="Palatino Linotype"/>
        </w:rPr>
      </w:pPr>
    </w:p>
    <w:p w14:paraId="7A60E11E"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1A9320F" w14:textId="77777777" w:rsidR="007A03CB" w:rsidRPr="00625633" w:rsidRDefault="007A03CB">
      <w:pPr>
        <w:spacing w:after="0" w:line="360" w:lineRule="auto"/>
        <w:jc w:val="both"/>
        <w:rPr>
          <w:rFonts w:ascii="Palatino Linotype" w:eastAsia="Palatino Linotype" w:hAnsi="Palatino Linotype" w:cs="Palatino Linotype"/>
        </w:rPr>
      </w:pPr>
    </w:p>
    <w:p w14:paraId="02F25487" w14:textId="77777777" w:rsidR="007A03CB" w:rsidRPr="00625633" w:rsidRDefault="0034483E">
      <w:pPr>
        <w:spacing w:after="0" w:line="360" w:lineRule="auto"/>
        <w:jc w:val="both"/>
        <w:rPr>
          <w:rFonts w:ascii="Palatino Linotype" w:eastAsia="Palatino Linotype" w:hAnsi="Palatino Linotype" w:cs="Palatino Linotype"/>
          <w:strike/>
        </w:rPr>
      </w:pPr>
      <w:r w:rsidRPr="00625633">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25A161E3" w14:textId="77777777" w:rsidR="007A03CB" w:rsidRPr="00625633" w:rsidRDefault="007A03CB">
      <w:pPr>
        <w:spacing w:after="0" w:line="360" w:lineRule="auto"/>
        <w:jc w:val="both"/>
        <w:rPr>
          <w:rFonts w:ascii="Palatino Linotype" w:eastAsia="Palatino Linotype" w:hAnsi="Palatino Linotype" w:cs="Palatino Linotype"/>
        </w:rPr>
      </w:pPr>
    </w:p>
    <w:p w14:paraId="3B3506B4" w14:textId="77777777" w:rsidR="007A03CB" w:rsidRPr="00625633" w:rsidRDefault="0034483E">
      <w:pPr>
        <w:numPr>
          <w:ilvl w:val="0"/>
          <w:numId w:val="4"/>
        </w:num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7C4EEB92" w14:textId="77777777" w:rsidR="007A03CB" w:rsidRPr="00625633" w:rsidRDefault="0034483E">
      <w:pPr>
        <w:numPr>
          <w:ilvl w:val="0"/>
          <w:numId w:val="4"/>
        </w:num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Actividad Procesal del interesado. Acciones u omisiones del interesado.</w:t>
      </w:r>
    </w:p>
    <w:p w14:paraId="7AB04B7A" w14:textId="77777777" w:rsidR="007A03CB" w:rsidRPr="00625633" w:rsidRDefault="0034483E">
      <w:pPr>
        <w:numPr>
          <w:ilvl w:val="0"/>
          <w:numId w:val="4"/>
        </w:num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Conducta de la Autoridad: Las Acciones u omisiones realizadas en el procedimiento. Así como si la autoridad actuó con la debida diligencia.</w:t>
      </w:r>
    </w:p>
    <w:p w14:paraId="584C88DF" w14:textId="77777777" w:rsidR="007A03CB" w:rsidRPr="00625633" w:rsidRDefault="0034483E">
      <w:pPr>
        <w:numPr>
          <w:ilvl w:val="0"/>
          <w:numId w:val="4"/>
        </w:num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0B2BAF1A" w14:textId="77777777" w:rsidR="007A03CB" w:rsidRPr="00625633" w:rsidRDefault="007A03CB">
      <w:pPr>
        <w:spacing w:after="0" w:line="360" w:lineRule="auto"/>
        <w:jc w:val="both"/>
        <w:rPr>
          <w:rFonts w:ascii="Palatino Linotype" w:eastAsia="Palatino Linotype" w:hAnsi="Palatino Linotype" w:cs="Palatino Linotype"/>
        </w:rPr>
      </w:pPr>
    </w:p>
    <w:p w14:paraId="25E934FD"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w:t>
      </w:r>
      <w:r w:rsidRPr="00625633">
        <w:rPr>
          <w:rFonts w:ascii="Palatino Linotype" w:eastAsia="Palatino Linotype" w:hAnsi="Palatino Linotype" w:cs="Palatino Linotype"/>
        </w:rPr>
        <w:lastRenderedPageBreak/>
        <w:t>normal, debe concluirse que es una excluyente de responsabilidad en relación con la actuación del funcionario, como ha acontecido en el caso que nos ocupa.</w:t>
      </w:r>
    </w:p>
    <w:p w14:paraId="7EA29EC1" w14:textId="77777777" w:rsidR="007A03CB" w:rsidRPr="00625633" w:rsidRDefault="007A03CB">
      <w:pPr>
        <w:spacing w:after="0" w:line="360" w:lineRule="auto"/>
        <w:jc w:val="both"/>
        <w:rPr>
          <w:rFonts w:ascii="Palatino Linotype" w:eastAsia="Palatino Linotype" w:hAnsi="Palatino Linotype" w:cs="Palatino Linotype"/>
        </w:rPr>
      </w:pPr>
    </w:p>
    <w:p w14:paraId="3FB151F1"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625633">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625633">
        <w:rPr>
          <w:rFonts w:ascii="Palatino Linotype" w:eastAsia="Palatino Linotype" w:hAnsi="Palatino Linotype" w:cs="Palatino Linotype"/>
        </w:rPr>
        <w:t>, visible en la Gaceta del Seminario Judicial de la Federación con el registro digital 205635.</w:t>
      </w:r>
    </w:p>
    <w:p w14:paraId="10A15FE6" w14:textId="77777777" w:rsidR="007A03CB" w:rsidRPr="00625633" w:rsidRDefault="007A03CB">
      <w:pPr>
        <w:spacing w:after="0" w:line="360" w:lineRule="auto"/>
        <w:jc w:val="both"/>
        <w:rPr>
          <w:rFonts w:ascii="Palatino Linotype" w:eastAsia="Palatino Linotype" w:hAnsi="Palatino Linotype" w:cs="Palatino Linotype"/>
        </w:rPr>
      </w:pPr>
    </w:p>
    <w:p w14:paraId="19E8A9C3"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DC561F4" w14:textId="77777777" w:rsidR="007A03CB" w:rsidRPr="00625633" w:rsidRDefault="007A03CB">
      <w:pPr>
        <w:spacing w:after="0" w:line="360" w:lineRule="auto"/>
        <w:jc w:val="both"/>
        <w:rPr>
          <w:rFonts w:ascii="Palatino Linotype" w:eastAsia="Palatino Linotype" w:hAnsi="Palatino Linotype" w:cs="Palatino Linotype"/>
        </w:rPr>
      </w:pPr>
    </w:p>
    <w:p w14:paraId="684B8563"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4490633" w14:textId="77777777" w:rsidR="007A03CB" w:rsidRPr="00625633" w:rsidRDefault="007A03CB">
      <w:pPr>
        <w:spacing w:after="0" w:line="360" w:lineRule="auto"/>
        <w:jc w:val="both"/>
        <w:rPr>
          <w:rFonts w:ascii="Palatino Linotype" w:eastAsia="Palatino Linotype" w:hAnsi="Palatino Linotype" w:cs="Palatino Linotype"/>
        </w:rPr>
      </w:pPr>
    </w:p>
    <w:p w14:paraId="707FA732" w14:textId="77777777" w:rsidR="007A03CB" w:rsidRPr="00625633" w:rsidRDefault="0034483E">
      <w:pPr>
        <w:spacing w:after="0" w:line="360" w:lineRule="auto"/>
        <w:ind w:left="567" w:right="616"/>
        <w:jc w:val="both"/>
        <w:rPr>
          <w:rFonts w:ascii="Palatino Linotype" w:eastAsia="Palatino Linotype" w:hAnsi="Palatino Linotype" w:cs="Palatino Linotype"/>
        </w:rPr>
      </w:pPr>
      <w:r w:rsidRPr="00625633">
        <w:rPr>
          <w:rFonts w:ascii="Palatino Linotype" w:eastAsia="Palatino Linotype" w:hAnsi="Palatino Linotype" w:cs="Palatino Linotype"/>
          <w:b/>
        </w:rPr>
        <w:t xml:space="preserve"> </w:t>
      </w:r>
      <w:r w:rsidRPr="00625633">
        <w:rPr>
          <w:rFonts w:ascii="Palatino Linotype" w:eastAsia="Palatino Linotype" w:hAnsi="Palatino Linotype" w:cs="Palatino Linotype"/>
          <w:b/>
          <w:i/>
        </w:rPr>
        <w:t>“PLAZO RAZONABLE PARA RESOLVER. DIMENSIÓN Y EFECTOS DE ESTE CONCEPTO CUANDO SE ADUCE EXCESIVA CARGA DE TRABAJO.”</w:t>
      </w:r>
      <w:r w:rsidRPr="00625633">
        <w:rPr>
          <w:rFonts w:ascii="Palatino Linotype" w:eastAsia="Palatino Linotype" w:hAnsi="Palatino Linotype" w:cs="Palatino Linotype"/>
        </w:rPr>
        <w:t xml:space="preserve"> </w:t>
      </w:r>
      <w:r w:rsidRPr="00625633">
        <w:rPr>
          <w:rFonts w:ascii="Palatino Linotype" w:eastAsia="Palatino Linotype" w:hAnsi="Palatino Linotype" w:cs="Palatino Linotype"/>
        </w:rPr>
        <w:lastRenderedPageBreak/>
        <w:t>consultable en el Seminario Judicial de la Federación y su gaceta, con el registro digital 2002351.</w:t>
      </w:r>
    </w:p>
    <w:p w14:paraId="6C3E0CBE" w14:textId="77777777" w:rsidR="007A03CB" w:rsidRPr="00625633" w:rsidRDefault="0034483E">
      <w:pPr>
        <w:spacing w:after="0" w:line="360" w:lineRule="auto"/>
        <w:ind w:left="567" w:right="616"/>
        <w:jc w:val="both"/>
        <w:rPr>
          <w:rFonts w:ascii="Palatino Linotype" w:eastAsia="Palatino Linotype" w:hAnsi="Palatino Linotype" w:cs="Palatino Linotype"/>
        </w:rPr>
      </w:pPr>
      <w:r w:rsidRPr="00625633">
        <w:rPr>
          <w:rFonts w:ascii="Palatino Linotype" w:eastAsia="Palatino Linotype" w:hAnsi="Palatino Linotype" w:cs="Palatino Linotype"/>
          <w:b/>
          <w:i/>
        </w:rPr>
        <w:t>“PLAZO RAZONABLE PARA RESOLVER. CONCEPTO Y ELEMENTOS QUE LO INTEGRAN A LA LUZ DEL DERECHO INTERNACIONAL DE LOS DERECHOS HUMANOS</w:t>
      </w:r>
      <w:r w:rsidRPr="00625633">
        <w:rPr>
          <w:rFonts w:ascii="Palatino Linotype" w:eastAsia="Palatino Linotype" w:hAnsi="Palatino Linotype" w:cs="Palatino Linotype"/>
          <w:i/>
        </w:rPr>
        <w:t>.”</w:t>
      </w:r>
      <w:r w:rsidRPr="00625633">
        <w:rPr>
          <w:rFonts w:ascii="Palatino Linotype" w:eastAsia="Palatino Linotype" w:hAnsi="Palatino Linotype" w:cs="Palatino Linotype"/>
        </w:rPr>
        <w:t>, visible en el Seminario Judicial de la Federación y su gaceta, con el registro digital 2002350.</w:t>
      </w:r>
    </w:p>
    <w:p w14:paraId="237BBE4D" w14:textId="77777777" w:rsidR="007A03CB" w:rsidRPr="00625633" w:rsidRDefault="007A03CB">
      <w:pPr>
        <w:spacing w:after="0" w:line="360" w:lineRule="auto"/>
        <w:ind w:left="567" w:right="616"/>
        <w:jc w:val="both"/>
        <w:rPr>
          <w:rFonts w:ascii="Palatino Linotype" w:eastAsia="Palatino Linotype" w:hAnsi="Palatino Linotype" w:cs="Palatino Linotype"/>
        </w:rPr>
      </w:pPr>
    </w:p>
    <w:p w14:paraId="5D404B64"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069916BF" w14:textId="77777777" w:rsidR="007A03CB" w:rsidRPr="00625633" w:rsidRDefault="007A03CB">
      <w:pPr>
        <w:spacing w:after="0" w:line="360" w:lineRule="auto"/>
        <w:jc w:val="both"/>
        <w:rPr>
          <w:rFonts w:ascii="Palatino Linotype" w:eastAsia="Palatino Linotype" w:hAnsi="Palatino Linotype" w:cs="Palatino Linotype"/>
        </w:rPr>
      </w:pPr>
    </w:p>
    <w:p w14:paraId="3A0A4194" w14:textId="77777777" w:rsidR="007A03CB" w:rsidRPr="00625633" w:rsidRDefault="0034483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25633">
        <w:rPr>
          <w:rFonts w:ascii="Palatino Linotype" w:eastAsia="Palatino Linotype" w:hAnsi="Palatino Linotype" w:cs="Palatino Linotype"/>
          <w:b/>
        </w:rPr>
        <w:t>Cierre de instrucción</w:t>
      </w:r>
      <w:r w:rsidRPr="00625633">
        <w:rPr>
          <w:rFonts w:ascii="Palatino Linotype" w:eastAsia="Palatino Linotype" w:hAnsi="Palatino Linotype" w:cs="Palatino Linotype"/>
        </w:rPr>
        <w:t xml:space="preserve">. En fecha </w:t>
      </w:r>
      <w:r w:rsidRPr="00625633">
        <w:rPr>
          <w:rFonts w:ascii="Palatino Linotype" w:eastAsia="Palatino Linotype" w:hAnsi="Palatino Linotype" w:cs="Palatino Linotype"/>
          <w:b/>
        </w:rPr>
        <w:t>nueve de octubre de dos mil veinticuatro</w:t>
      </w:r>
      <w:r w:rsidRPr="00625633">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6829A57" w14:textId="77777777" w:rsidR="007A03CB" w:rsidRPr="00625633" w:rsidRDefault="007A03C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B67D1B3" w14:textId="77777777" w:rsidR="007A03CB" w:rsidRPr="00625633" w:rsidRDefault="0034483E">
      <w:pP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68E48E8D" w14:textId="77777777" w:rsidR="007A03CB" w:rsidRPr="00625633" w:rsidRDefault="007A03CB">
      <w:pPr>
        <w:spacing w:after="0" w:line="360" w:lineRule="auto"/>
        <w:ind w:right="49"/>
        <w:jc w:val="both"/>
        <w:rPr>
          <w:rFonts w:ascii="Palatino Linotype" w:eastAsia="Palatino Linotype" w:hAnsi="Palatino Linotype" w:cs="Palatino Linotype"/>
        </w:rPr>
      </w:pPr>
    </w:p>
    <w:p w14:paraId="233D9EDA" w14:textId="77777777" w:rsidR="007A03CB" w:rsidRPr="00625633" w:rsidRDefault="0034483E">
      <w:pPr>
        <w:spacing w:after="0" w:line="360" w:lineRule="auto"/>
        <w:ind w:right="49"/>
        <w:jc w:val="center"/>
        <w:rPr>
          <w:rFonts w:ascii="Palatino Linotype" w:eastAsia="Palatino Linotype" w:hAnsi="Palatino Linotype" w:cs="Palatino Linotype"/>
          <w:b/>
        </w:rPr>
      </w:pPr>
      <w:r w:rsidRPr="00625633">
        <w:rPr>
          <w:rFonts w:ascii="Palatino Linotype" w:eastAsia="Palatino Linotype" w:hAnsi="Palatino Linotype" w:cs="Palatino Linotype"/>
          <w:b/>
        </w:rPr>
        <w:t>II.</w:t>
      </w:r>
      <w:r w:rsidRPr="00625633">
        <w:rPr>
          <w:rFonts w:ascii="Palatino Linotype" w:eastAsia="Palatino Linotype" w:hAnsi="Palatino Linotype" w:cs="Palatino Linotype"/>
          <w:b/>
        </w:rPr>
        <w:tab/>
        <w:t>C O N S I D E R A N D O:</w:t>
      </w:r>
    </w:p>
    <w:p w14:paraId="0E03CCB1" w14:textId="77777777" w:rsidR="007A03CB" w:rsidRPr="00625633" w:rsidRDefault="007A03CB">
      <w:pPr>
        <w:spacing w:after="0" w:line="360" w:lineRule="auto"/>
        <w:ind w:right="49"/>
        <w:jc w:val="both"/>
        <w:rPr>
          <w:rFonts w:ascii="Palatino Linotype" w:eastAsia="Palatino Linotype" w:hAnsi="Palatino Linotype" w:cs="Palatino Linotype"/>
        </w:rPr>
      </w:pPr>
    </w:p>
    <w:p w14:paraId="42D05E52"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b/>
        </w:rPr>
        <w:t xml:space="preserve">Primero. Competencia. </w:t>
      </w:r>
      <w:r w:rsidRPr="00625633">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w:t>
      </w:r>
      <w:r w:rsidRPr="00625633">
        <w:rPr>
          <w:rFonts w:ascii="Palatino Linotype" w:eastAsia="Palatino Linotype" w:hAnsi="Palatino Linotype" w:cs="Palatino Linotype"/>
        </w:rPr>
        <w:lastRenderedPageBreak/>
        <w:t>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EBF3639" w14:textId="77777777" w:rsidR="007A03CB" w:rsidRPr="00625633" w:rsidRDefault="007A03CB">
      <w:pPr>
        <w:spacing w:after="0" w:line="360" w:lineRule="auto"/>
        <w:ind w:right="49"/>
        <w:jc w:val="both"/>
        <w:rPr>
          <w:rFonts w:ascii="Palatino Linotype" w:eastAsia="Palatino Linotype" w:hAnsi="Palatino Linotype" w:cs="Palatino Linotype"/>
        </w:rPr>
      </w:pPr>
    </w:p>
    <w:p w14:paraId="188FF8A9"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b/>
        </w:rPr>
        <w:t>Segundo. Oportunidad y Procedibilidad del Recurso de Revisión.</w:t>
      </w:r>
      <w:r w:rsidRPr="00625633">
        <w:rPr>
          <w:rFonts w:ascii="Palatino Linotype" w:eastAsia="Palatino Linotype" w:hAnsi="Palatino Linotype" w:cs="Palatino Linotype"/>
        </w:rPr>
        <w:t xml:space="preserve"> Es de precisar que la</w:t>
      </w:r>
      <w:r w:rsidRPr="00625633">
        <w:rPr>
          <w:rFonts w:ascii="Palatino Linotype" w:eastAsia="Palatino Linotype" w:hAnsi="Palatino Linotype" w:cs="Palatino Linotype"/>
          <w:b/>
        </w:rPr>
        <w:t xml:space="preserve"> </w:t>
      </w:r>
      <w:r w:rsidRPr="00625633">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166, del tenor literal siguiente: </w:t>
      </w:r>
    </w:p>
    <w:p w14:paraId="6643179A" w14:textId="77777777" w:rsidR="007A03CB" w:rsidRPr="00625633" w:rsidRDefault="007A03CB">
      <w:pPr>
        <w:spacing w:after="0" w:line="360" w:lineRule="auto"/>
        <w:jc w:val="both"/>
        <w:rPr>
          <w:rFonts w:ascii="Palatino Linotype" w:eastAsia="Palatino Linotype" w:hAnsi="Palatino Linotype" w:cs="Palatino Linotype"/>
        </w:rPr>
      </w:pPr>
    </w:p>
    <w:p w14:paraId="36ED4F3B" w14:textId="77777777" w:rsidR="007A03CB" w:rsidRPr="00625633" w:rsidRDefault="0034483E">
      <w:pPr>
        <w:spacing w:after="0"/>
        <w:ind w:left="851" w:right="851"/>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r w:rsidRPr="00625633">
        <w:rPr>
          <w:rFonts w:ascii="Palatino Linotype" w:eastAsia="Palatino Linotype" w:hAnsi="Palatino Linotype" w:cs="Palatino Linotype"/>
          <w:b/>
          <w:i/>
        </w:rPr>
        <w:t xml:space="preserve">Artículo 163. </w:t>
      </w:r>
      <w:r w:rsidRPr="00625633">
        <w:rPr>
          <w:rFonts w:ascii="Palatino Linotype" w:eastAsia="Palatino Linotype" w:hAnsi="Palatino Linotype" w:cs="Palatino Linotype"/>
          <w:i/>
        </w:rPr>
        <w:t xml:space="preserve">La Unidad de Transparencia deberá notificar la respuesta a la solicitud al interesado en el menor tiempo posible, que no podrá exceder de quince días hábiles, contados a partir del día siguiente a la presentación de aquélla. </w:t>
      </w:r>
    </w:p>
    <w:p w14:paraId="49054D92" w14:textId="77777777" w:rsidR="007A03CB" w:rsidRPr="00625633" w:rsidRDefault="0034483E">
      <w:pPr>
        <w:spacing w:after="0"/>
        <w:ind w:left="851" w:right="851"/>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p>
    <w:p w14:paraId="6B7DAA49" w14:textId="77777777" w:rsidR="007A03CB" w:rsidRPr="00625633" w:rsidRDefault="0034483E">
      <w:pPr>
        <w:spacing w:after="0"/>
        <w:ind w:left="851" w:right="851"/>
        <w:jc w:val="both"/>
        <w:rPr>
          <w:rFonts w:ascii="Palatino Linotype" w:eastAsia="Palatino Linotype" w:hAnsi="Palatino Linotype" w:cs="Palatino Linotype"/>
          <w:i/>
        </w:rPr>
      </w:pPr>
      <w:r w:rsidRPr="00625633">
        <w:rPr>
          <w:rFonts w:ascii="Palatino Linotype" w:eastAsia="Palatino Linotype" w:hAnsi="Palatino Linotype" w:cs="Palatino Linotype"/>
          <w:b/>
          <w:i/>
        </w:rPr>
        <w:t>Artículo 166.</w:t>
      </w:r>
      <w:r w:rsidRPr="00625633">
        <w:rPr>
          <w:rFonts w:ascii="Palatino Linotype" w:eastAsia="Palatino Linotype" w:hAnsi="Palatino Linotype" w:cs="Palatino Linotype"/>
          <w:i/>
        </w:rPr>
        <w:t xml:space="preserve"> […]</w:t>
      </w:r>
    </w:p>
    <w:p w14:paraId="4EFAA0F7" w14:textId="77777777" w:rsidR="007A03CB" w:rsidRPr="00625633" w:rsidRDefault="0034483E">
      <w:pPr>
        <w:spacing w:after="0"/>
        <w:ind w:left="851" w:right="851"/>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Cuando el sujeto obligado no entregue la respuesta a la solicitud dentro del plazo previsto en la Ley, la solicitud se entenderá negada y el solicitante podrá interponer el recurso de revisión previsto en este ordenamiento.” </w:t>
      </w:r>
    </w:p>
    <w:p w14:paraId="7FFDF3AD" w14:textId="77777777" w:rsidR="007A03CB" w:rsidRPr="00625633" w:rsidRDefault="007A03CB">
      <w:pPr>
        <w:spacing w:after="0" w:line="360" w:lineRule="auto"/>
        <w:ind w:left="851" w:right="851"/>
        <w:jc w:val="both"/>
        <w:rPr>
          <w:rFonts w:ascii="Palatino Linotype" w:eastAsia="Palatino Linotype" w:hAnsi="Palatino Linotype" w:cs="Palatino Linotype"/>
          <w:i/>
        </w:rPr>
      </w:pPr>
    </w:p>
    <w:p w14:paraId="4C7A2CC8"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0614D518" w14:textId="77777777" w:rsidR="007A03CB" w:rsidRPr="00625633" w:rsidRDefault="007A03CB">
      <w:pPr>
        <w:spacing w:after="0" w:line="360" w:lineRule="auto"/>
        <w:jc w:val="both"/>
        <w:rPr>
          <w:rFonts w:ascii="Palatino Linotype" w:eastAsia="Palatino Linotype" w:hAnsi="Palatino Linotype" w:cs="Palatino Linotype"/>
        </w:rPr>
      </w:pPr>
    </w:p>
    <w:p w14:paraId="683FA46D"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lastRenderedPageBreak/>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6C93D7F7" w14:textId="77777777" w:rsidR="007A03CB" w:rsidRPr="00625633" w:rsidRDefault="007A03CB">
      <w:pPr>
        <w:spacing w:after="0" w:line="360" w:lineRule="auto"/>
        <w:jc w:val="both"/>
        <w:rPr>
          <w:rFonts w:ascii="Palatino Linotype" w:eastAsia="Palatino Linotype" w:hAnsi="Palatino Linotype" w:cs="Palatino Linotype"/>
        </w:rPr>
      </w:pPr>
    </w:p>
    <w:p w14:paraId="7ED10DEC"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Por su parte, el artículo 178 del citado ordenamiento, establece:</w:t>
      </w:r>
    </w:p>
    <w:p w14:paraId="351005DB" w14:textId="77777777" w:rsidR="007A03CB" w:rsidRPr="00625633" w:rsidRDefault="007A03CB">
      <w:pPr>
        <w:spacing w:after="0" w:line="360" w:lineRule="auto"/>
        <w:jc w:val="both"/>
        <w:rPr>
          <w:rFonts w:ascii="Palatino Linotype" w:eastAsia="Palatino Linotype" w:hAnsi="Palatino Linotype" w:cs="Palatino Linotype"/>
        </w:rPr>
      </w:pPr>
    </w:p>
    <w:p w14:paraId="42BD646C" w14:textId="77777777" w:rsidR="007A03CB" w:rsidRPr="00625633" w:rsidRDefault="0034483E">
      <w:pPr>
        <w:spacing w:after="0"/>
        <w:ind w:left="567" w:right="560"/>
        <w:jc w:val="both"/>
        <w:rPr>
          <w:rFonts w:ascii="Palatino Linotype" w:eastAsia="Palatino Linotype" w:hAnsi="Palatino Linotype" w:cs="Palatino Linotype"/>
          <w:b/>
          <w:i/>
        </w:rPr>
      </w:pPr>
      <w:r w:rsidRPr="00625633">
        <w:rPr>
          <w:rFonts w:ascii="Palatino Linotype" w:eastAsia="Palatino Linotype" w:hAnsi="Palatino Linotype" w:cs="Palatino Linotype"/>
          <w:i/>
        </w:rPr>
        <w:t>“</w:t>
      </w:r>
      <w:r w:rsidRPr="00625633">
        <w:rPr>
          <w:rFonts w:ascii="Palatino Linotype" w:eastAsia="Palatino Linotype" w:hAnsi="Palatino Linotype" w:cs="Palatino Linotype"/>
          <w:b/>
          <w:i/>
        </w:rPr>
        <w:t xml:space="preserve">Artículo 178. </w:t>
      </w:r>
      <w:r w:rsidRPr="00625633">
        <w:rPr>
          <w:rFonts w:ascii="Palatino Linotype" w:eastAsia="Palatino Linotype" w:hAnsi="Palatino Linotype" w:cs="Palatino Linotype"/>
          <w:i/>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625633">
        <w:rPr>
          <w:rFonts w:ascii="Palatino Linotype" w:eastAsia="Palatino Linotype" w:hAnsi="Palatino Linotype" w:cs="Palatino Linotype"/>
          <w:b/>
          <w:i/>
        </w:rPr>
        <w:t>.</w:t>
      </w:r>
    </w:p>
    <w:p w14:paraId="76C2501C" w14:textId="77777777" w:rsidR="007A03CB" w:rsidRPr="00625633" w:rsidRDefault="007A03CB">
      <w:pPr>
        <w:spacing w:after="0"/>
        <w:ind w:left="567" w:right="560"/>
        <w:jc w:val="both"/>
        <w:rPr>
          <w:rFonts w:ascii="Palatino Linotype" w:eastAsia="Palatino Linotype" w:hAnsi="Palatino Linotype" w:cs="Palatino Linotype"/>
          <w:b/>
          <w:i/>
        </w:rPr>
      </w:pPr>
    </w:p>
    <w:p w14:paraId="178829F3" w14:textId="77777777" w:rsidR="007A03CB" w:rsidRPr="00625633" w:rsidRDefault="0034483E">
      <w:pPr>
        <w:spacing w:after="0"/>
        <w:ind w:left="567" w:right="560"/>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A falta de respuesta del sujeto obligado, dentro de los plazos establecidos en esta Ley, a una solicitud de acceso a la información pública, el recurso podrá ser interpuesto en cualquier momento acompañado con el documento que pruebe la fecha en que presentó la solicitud. </w:t>
      </w:r>
    </w:p>
    <w:p w14:paraId="5DBE18C8" w14:textId="77777777" w:rsidR="007A03CB" w:rsidRPr="00625633" w:rsidRDefault="007A03CB">
      <w:pPr>
        <w:spacing w:after="0"/>
        <w:ind w:left="567" w:right="560"/>
        <w:jc w:val="both"/>
        <w:rPr>
          <w:rFonts w:ascii="Palatino Linotype" w:eastAsia="Palatino Linotype" w:hAnsi="Palatino Linotype" w:cs="Palatino Linotype"/>
          <w:i/>
        </w:rPr>
      </w:pPr>
    </w:p>
    <w:p w14:paraId="60C991C3" w14:textId="77777777" w:rsidR="007A03CB" w:rsidRPr="00625633" w:rsidRDefault="0034483E">
      <w:pPr>
        <w:spacing w:after="0"/>
        <w:ind w:left="567" w:right="560"/>
        <w:jc w:val="both"/>
        <w:rPr>
          <w:rFonts w:ascii="Palatino Linotype" w:eastAsia="Palatino Linotype" w:hAnsi="Palatino Linotype" w:cs="Palatino Linotype"/>
          <w:b/>
          <w:i/>
        </w:rPr>
      </w:pPr>
      <w:r w:rsidRPr="00625633">
        <w:rPr>
          <w:rFonts w:ascii="Palatino Linotype" w:eastAsia="Palatino Linotype" w:hAnsi="Palatino Linotype" w:cs="Palatino Linotype"/>
          <w:i/>
        </w:rPr>
        <w:t>En el caso de que se interponga ante la Unidad de Transparencia, ésta deberá remitir el recurso de revisión al Instituto a más tardar al día siguiente de haberlo recibido.</w:t>
      </w:r>
      <w:r w:rsidRPr="00625633">
        <w:rPr>
          <w:rFonts w:ascii="Palatino Linotype" w:eastAsia="Palatino Linotype" w:hAnsi="Palatino Linotype" w:cs="Palatino Linotype"/>
          <w:b/>
          <w:i/>
        </w:rPr>
        <w:t>”</w:t>
      </w:r>
    </w:p>
    <w:p w14:paraId="2FE9CF44" w14:textId="77777777" w:rsidR="007A03CB" w:rsidRPr="00625633" w:rsidRDefault="007A03CB">
      <w:pPr>
        <w:spacing w:after="0" w:line="360" w:lineRule="auto"/>
        <w:ind w:left="851" w:right="851"/>
        <w:jc w:val="both"/>
        <w:rPr>
          <w:rFonts w:ascii="Palatino Linotype" w:eastAsia="Palatino Linotype" w:hAnsi="Palatino Linotype" w:cs="Palatino Linotype"/>
          <w:i/>
        </w:rPr>
      </w:pPr>
    </w:p>
    <w:p w14:paraId="37C12CFC"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De lo anterior, se advierte que el recurso de revisión se han de interponer dentro del plazo de quince días hábiles, a partir de la fecha en que el </w:t>
      </w:r>
      <w:r w:rsidRPr="00625633">
        <w:rPr>
          <w:rFonts w:ascii="Palatino Linotype" w:eastAsia="Palatino Linotype" w:hAnsi="Palatino Linotype" w:cs="Palatino Linotype"/>
          <w:b/>
        </w:rPr>
        <w:t xml:space="preserve">Sujeto Obligado </w:t>
      </w:r>
      <w:r w:rsidRPr="00625633">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625633">
        <w:rPr>
          <w:rFonts w:ascii="Palatino Linotype" w:eastAsia="Palatino Linotype" w:hAnsi="Palatino Linotype" w:cs="Palatino Linotype"/>
          <w:b/>
          <w:u w:val="single"/>
        </w:rPr>
        <w:t>la interposición del recurso de revisión puede ser en cualquier momento.</w:t>
      </w:r>
    </w:p>
    <w:p w14:paraId="08E78BC1" w14:textId="77777777" w:rsidR="007A03CB" w:rsidRPr="00625633" w:rsidRDefault="007A03CB">
      <w:pPr>
        <w:spacing w:after="0" w:line="360" w:lineRule="auto"/>
        <w:jc w:val="both"/>
        <w:rPr>
          <w:rFonts w:ascii="Palatino Linotype" w:eastAsia="Palatino Linotype" w:hAnsi="Palatino Linotype" w:cs="Palatino Linotype"/>
        </w:rPr>
      </w:pPr>
    </w:p>
    <w:p w14:paraId="35E9142D"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La negativa ficta constituye una presunción legal, en el entendido de que donde no hubo respuesta por parte del </w:t>
      </w:r>
      <w:r w:rsidRPr="00625633">
        <w:rPr>
          <w:rFonts w:ascii="Palatino Linotype" w:eastAsia="Palatino Linotype" w:hAnsi="Palatino Linotype" w:cs="Palatino Linotype"/>
          <w:b/>
        </w:rPr>
        <w:t xml:space="preserve">Sujeto Obligado </w:t>
      </w:r>
      <w:r w:rsidRPr="00625633">
        <w:rPr>
          <w:rFonts w:ascii="Palatino Linotype" w:eastAsia="Palatino Linotype" w:hAnsi="Palatino Linotype" w:cs="Palatino Linotype"/>
        </w:rPr>
        <w:t xml:space="preserve">existe por lo tanto, una resolución de rechazo ante la solicitud del ciudadano; ya que efectivamente, dicha figura se encuentra íntimamente vinculada con el Derecho de Petición, consagrado en nuestra Carta Magna, es por ello que </w:t>
      </w:r>
      <w:r w:rsidRPr="00625633">
        <w:rPr>
          <w:rFonts w:ascii="Palatino Linotype" w:eastAsia="Palatino Linotype" w:hAnsi="Palatino Linotype" w:cs="Palatino Linotype"/>
        </w:rPr>
        <w:lastRenderedPageBreak/>
        <w:t>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49B7CA81" w14:textId="77777777" w:rsidR="007A03CB" w:rsidRPr="00625633" w:rsidRDefault="007A03CB">
      <w:pPr>
        <w:spacing w:after="0" w:line="360" w:lineRule="auto"/>
        <w:jc w:val="both"/>
        <w:rPr>
          <w:rFonts w:ascii="Palatino Linotype" w:eastAsia="Palatino Linotype" w:hAnsi="Palatino Linotype" w:cs="Palatino Linotype"/>
        </w:rPr>
      </w:pPr>
    </w:p>
    <w:p w14:paraId="2AE08DA2"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Sujeto Obligado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625633">
        <w:rPr>
          <w:rFonts w:ascii="Palatino Linotype" w:eastAsia="Palatino Linotype" w:hAnsi="Palatino Linotype" w:cs="Palatino Linotype"/>
        </w:rPr>
        <w:t>desechamiento</w:t>
      </w:r>
      <w:proofErr w:type="spellEnd"/>
      <w:r w:rsidRPr="00625633">
        <w:rPr>
          <w:rFonts w:ascii="Palatino Linotype" w:eastAsia="Palatino Linotype" w:hAnsi="Palatino Linotype" w:cs="Palatino Linotype"/>
        </w:rPr>
        <w:t xml:space="preserve"> del mismo.</w:t>
      </w:r>
    </w:p>
    <w:p w14:paraId="03A6405E" w14:textId="77777777" w:rsidR="007A03CB" w:rsidRPr="00625633" w:rsidRDefault="007A03CB">
      <w:pPr>
        <w:spacing w:after="0" w:line="360" w:lineRule="auto"/>
        <w:jc w:val="both"/>
        <w:rPr>
          <w:rFonts w:ascii="Palatino Linotype" w:eastAsia="Palatino Linotype" w:hAnsi="Palatino Linotype" w:cs="Palatino Linotype"/>
        </w:rPr>
      </w:pPr>
    </w:p>
    <w:p w14:paraId="1C0018B0"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625633">
        <w:rPr>
          <w:rFonts w:ascii="Palatino Linotype" w:eastAsia="Palatino Linotype" w:hAnsi="Palatino Linotype" w:cs="Palatino Linotype"/>
          <w:b/>
        </w:rPr>
        <w:t>Sujeto Obligado</w:t>
      </w:r>
      <w:r w:rsidRPr="00625633">
        <w:rPr>
          <w:rFonts w:ascii="Palatino Linotype" w:eastAsia="Palatino Linotype" w:hAnsi="Palatino Linotype" w:cs="Palatino Linotype"/>
        </w:rPr>
        <w:t>,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4ABFD6CD" w14:textId="77777777" w:rsidR="007A03CB" w:rsidRPr="00625633" w:rsidRDefault="007A03CB">
      <w:pPr>
        <w:spacing w:after="0"/>
        <w:jc w:val="both"/>
        <w:rPr>
          <w:rFonts w:ascii="Palatino Linotype" w:eastAsia="Palatino Linotype" w:hAnsi="Palatino Linotype" w:cs="Palatino Linotype"/>
          <w:i/>
        </w:rPr>
      </w:pPr>
    </w:p>
    <w:p w14:paraId="3CA05F86" w14:textId="77777777" w:rsidR="007A03CB" w:rsidRPr="00625633" w:rsidRDefault="0034483E">
      <w:pPr>
        <w:tabs>
          <w:tab w:val="left" w:pos="1276"/>
        </w:tabs>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b/>
          <w:i/>
        </w:rPr>
        <w:t>“CRITERIO 0001-15. NEGATIVA FICTA. PLAZO PARA INTERPONER EL RECURSO DE REVISIÓN TRATÁNDOSE DE</w:t>
      </w:r>
      <w:r w:rsidRPr="00625633">
        <w:rPr>
          <w:rFonts w:ascii="Palatino Linotype" w:eastAsia="Palatino Linotype" w:hAnsi="Palatino Linotype" w:cs="Palatino Linotype"/>
          <w:i/>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w:t>
      </w:r>
      <w:r w:rsidRPr="00625633">
        <w:rPr>
          <w:rFonts w:ascii="Palatino Linotype" w:eastAsia="Palatino Linotype" w:hAnsi="Palatino Linotype" w:cs="Palatino Linotype"/>
          <w:i/>
        </w:rPr>
        <w:lastRenderedPageBreak/>
        <w:t xml:space="preserve">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 </w:t>
      </w:r>
    </w:p>
    <w:p w14:paraId="6F7D647B" w14:textId="77777777" w:rsidR="007A03CB" w:rsidRPr="00625633" w:rsidRDefault="007A03CB">
      <w:pPr>
        <w:spacing w:after="0"/>
        <w:ind w:left="567" w:right="843"/>
        <w:jc w:val="both"/>
        <w:rPr>
          <w:rFonts w:ascii="Palatino Linotype" w:eastAsia="Palatino Linotype" w:hAnsi="Palatino Linotype" w:cs="Palatino Linotype"/>
          <w:i/>
        </w:rPr>
      </w:pPr>
    </w:p>
    <w:p w14:paraId="3884A37E"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380E653" w14:textId="77777777" w:rsidR="007A03CB" w:rsidRPr="00625633" w:rsidRDefault="007A03CB">
      <w:pPr>
        <w:spacing w:after="0" w:line="360" w:lineRule="auto"/>
        <w:jc w:val="both"/>
        <w:rPr>
          <w:rFonts w:ascii="Palatino Linotype" w:eastAsia="Palatino Linotype" w:hAnsi="Palatino Linotype" w:cs="Palatino Linotype"/>
        </w:rPr>
      </w:pPr>
    </w:p>
    <w:p w14:paraId="1310D7EB"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el artículo 179, fracción VII de la ley de la materia, que a la letra dice:</w:t>
      </w:r>
    </w:p>
    <w:p w14:paraId="08381D14" w14:textId="77777777" w:rsidR="007A03CB" w:rsidRPr="00625633" w:rsidRDefault="007A03CB">
      <w:pPr>
        <w:spacing w:after="0" w:line="360" w:lineRule="auto"/>
        <w:jc w:val="both"/>
        <w:rPr>
          <w:rFonts w:ascii="Palatino Linotype" w:eastAsia="Palatino Linotype" w:hAnsi="Palatino Linotype" w:cs="Palatino Linotype"/>
        </w:rPr>
      </w:pPr>
    </w:p>
    <w:p w14:paraId="6BC03F69" w14:textId="77777777" w:rsidR="007A03CB" w:rsidRPr="00625633" w:rsidRDefault="0034483E">
      <w:pPr>
        <w:spacing w:after="0"/>
        <w:ind w:left="851" w:right="851"/>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r w:rsidRPr="00625633">
        <w:rPr>
          <w:rFonts w:ascii="Palatino Linotype" w:eastAsia="Palatino Linotype" w:hAnsi="Palatino Linotype" w:cs="Palatino Linotype"/>
          <w:b/>
          <w:i/>
        </w:rPr>
        <w:t xml:space="preserve">Artículo 179. </w:t>
      </w:r>
      <w:r w:rsidRPr="00625633">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494D935C" w14:textId="77777777" w:rsidR="007A03CB" w:rsidRPr="00625633" w:rsidRDefault="0034483E">
      <w:pPr>
        <w:spacing w:after="0"/>
        <w:ind w:left="851" w:right="851"/>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p>
    <w:p w14:paraId="401AFFC5" w14:textId="77777777" w:rsidR="007A03CB" w:rsidRPr="00625633" w:rsidRDefault="0034483E">
      <w:pPr>
        <w:spacing w:after="0"/>
        <w:ind w:left="851" w:right="851"/>
        <w:jc w:val="both"/>
        <w:rPr>
          <w:rFonts w:ascii="Palatino Linotype" w:eastAsia="Palatino Linotype" w:hAnsi="Palatino Linotype" w:cs="Palatino Linotype"/>
          <w:i/>
        </w:rPr>
      </w:pPr>
      <w:r w:rsidRPr="00625633">
        <w:rPr>
          <w:rFonts w:ascii="Palatino Linotype" w:eastAsia="Palatino Linotype" w:hAnsi="Palatino Linotype" w:cs="Palatino Linotype"/>
          <w:b/>
          <w:i/>
        </w:rPr>
        <w:t xml:space="preserve">VII. </w:t>
      </w:r>
      <w:r w:rsidRPr="00625633">
        <w:rPr>
          <w:rFonts w:ascii="Palatino Linotype" w:eastAsia="Palatino Linotype" w:hAnsi="Palatino Linotype" w:cs="Palatino Linotype"/>
          <w:i/>
        </w:rPr>
        <w:t>La falta de respuesta a una solicitud de acceso a la información;”</w:t>
      </w:r>
    </w:p>
    <w:p w14:paraId="66D3101E" w14:textId="77777777" w:rsidR="007A03CB" w:rsidRPr="00625633" w:rsidRDefault="007A03CB">
      <w:pPr>
        <w:spacing w:after="0" w:line="360" w:lineRule="auto"/>
        <w:ind w:left="1134" w:right="851"/>
        <w:jc w:val="both"/>
        <w:rPr>
          <w:rFonts w:ascii="Palatino Linotype" w:eastAsia="Palatino Linotype" w:hAnsi="Palatino Linotype" w:cs="Palatino Linotype"/>
          <w:i/>
        </w:rPr>
      </w:pPr>
    </w:p>
    <w:p w14:paraId="4A1E29C9"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El precepto legal citado, establece como supuesto de procedencia del recurso de revisión, en aquellos casos en que la parte Recurrente estime negado el acceso a la información por la falta de respuesta por el Sujeto Obligado, en este asunto se actualiza la hipótesis jurídica citada, en </w:t>
      </w:r>
      <w:r w:rsidRPr="00625633">
        <w:rPr>
          <w:rFonts w:ascii="Palatino Linotype" w:eastAsia="Palatino Linotype" w:hAnsi="Palatino Linotype" w:cs="Palatino Linotype"/>
        </w:rPr>
        <w:lastRenderedPageBreak/>
        <w:t>atención a que la parte Recurrente combate falta de trámite por el Sujeto Obligado y expresa motivos de inconformidad en contra de dicha circunstancia.</w:t>
      </w:r>
    </w:p>
    <w:p w14:paraId="0235EA87" w14:textId="77777777" w:rsidR="007A03CB" w:rsidRPr="00625633" w:rsidRDefault="007A03CB">
      <w:pPr>
        <w:spacing w:after="0" w:line="360" w:lineRule="auto"/>
        <w:ind w:right="49"/>
        <w:jc w:val="both"/>
        <w:rPr>
          <w:rFonts w:ascii="Palatino Linotype" w:eastAsia="Palatino Linotype" w:hAnsi="Palatino Linotype" w:cs="Palatino Linotype"/>
        </w:rPr>
      </w:pPr>
    </w:p>
    <w:p w14:paraId="6972DCBC"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b/>
        </w:rPr>
        <w:t>Tercero. Materia de Revisión</w:t>
      </w:r>
      <w:r w:rsidRPr="00625633">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VII del artículo 179 de la Ley de Transparencia y Acceso a la Información Pública del Estado de México y Municipios.  </w:t>
      </w:r>
    </w:p>
    <w:p w14:paraId="768B1221" w14:textId="77777777" w:rsidR="007A03CB" w:rsidRPr="00625633" w:rsidRDefault="007A03CB">
      <w:pPr>
        <w:spacing w:after="0" w:line="360" w:lineRule="auto"/>
        <w:jc w:val="both"/>
        <w:rPr>
          <w:rFonts w:ascii="Palatino Linotype" w:eastAsia="Palatino Linotype" w:hAnsi="Palatino Linotype" w:cs="Palatino Linotype"/>
        </w:rPr>
      </w:pPr>
    </w:p>
    <w:p w14:paraId="50437A2B" w14:textId="77777777" w:rsidR="007A03CB" w:rsidRPr="00625633" w:rsidRDefault="0034483E">
      <w:pP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b/>
        </w:rPr>
        <w:t>Cuarto.</w:t>
      </w:r>
      <w:r w:rsidRPr="00625633">
        <w:rPr>
          <w:rFonts w:ascii="Palatino Linotype" w:eastAsia="Palatino Linotype" w:hAnsi="Palatino Linotype" w:cs="Palatino Linotype"/>
        </w:rPr>
        <w:t xml:space="preserve"> </w:t>
      </w:r>
      <w:r w:rsidRPr="00625633">
        <w:rPr>
          <w:rFonts w:ascii="Palatino Linotype" w:eastAsia="Palatino Linotype" w:hAnsi="Palatino Linotype" w:cs="Palatino Linotype"/>
          <w:b/>
        </w:rPr>
        <w:t>Estudio de fondo del asunto.</w:t>
      </w:r>
      <w:r w:rsidRPr="00625633">
        <w:rPr>
          <w:rFonts w:ascii="Palatino Linotype" w:eastAsia="Palatino Linotype" w:hAnsi="Palatino Linotype" w:cs="Palatino Linotype"/>
        </w:rPr>
        <w:t xml:space="preserve">  Es conveniente analizar si la respuesta e informe justificado del Sujeto Obligado</w:t>
      </w:r>
      <w:r w:rsidRPr="00625633">
        <w:rPr>
          <w:rFonts w:ascii="Palatino Linotype" w:eastAsia="Palatino Linotype" w:hAnsi="Palatino Linotype" w:cs="Palatino Linotype"/>
          <w:b/>
        </w:rPr>
        <w:t xml:space="preserve"> </w:t>
      </w:r>
      <w:r w:rsidRPr="00625633">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7B298F7" w14:textId="77777777" w:rsidR="007A03CB" w:rsidRPr="00625633" w:rsidRDefault="007A03CB">
      <w:pPr>
        <w:spacing w:after="0" w:line="360" w:lineRule="auto"/>
        <w:jc w:val="both"/>
        <w:rPr>
          <w:rFonts w:ascii="Palatino Linotype" w:eastAsia="Palatino Linotype" w:hAnsi="Palatino Linotype" w:cs="Palatino Linotype"/>
        </w:rPr>
      </w:pPr>
    </w:p>
    <w:p w14:paraId="29A3114D" w14:textId="77777777" w:rsidR="007A03CB" w:rsidRPr="00625633" w:rsidRDefault="0034483E">
      <w:pPr>
        <w:tabs>
          <w:tab w:val="left" w:pos="851"/>
        </w:tabs>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r w:rsidRPr="00625633">
        <w:rPr>
          <w:rFonts w:ascii="Palatino Linotype" w:eastAsia="Palatino Linotype" w:hAnsi="Palatino Linotype" w:cs="Palatino Linotype"/>
          <w:b/>
          <w:i/>
        </w:rPr>
        <w:t>Artículo 4</w:t>
      </w:r>
      <w:r w:rsidRPr="00625633">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FDB7B14" w14:textId="77777777" w:rsidR="007A03CB" w:rsidRPr="00625633" w:rsidRDefault="0034483E">
      <w:pPr>
        <w:tabs>
          <w:tab w:val="left" w:pos="851"/>
        </w:tabs>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625633">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20DB2BD" w14:textId="77777777" w:rsidR="007A03CB" w:rsidRPr="00625633" w:rsidRDefault="0034483E">
      <w:pPr>
        <w:tabs>
          <w:tab w:val="left" w:pos="851"/>
        </w:tabs>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625633">
        <w:rPr>
          <w:rFonts w:ascii="Palatino Linotype" w:eastAsia="Palatino Linotype" w:hAnsi="Palatino Linotype" w:cs="Palatino Linotype"/>
          <w:i/>
        </w:rPr>
        <w:t>.”</w:t>
      </w:r>
    </w:p>
    <w:p w14:paraId="728EDBE4" w14:textId="77777777" w:rsidR="007A03CB" w:rsidRPr="00625633" w:rsidRDefault="007A03CB">
      <w:pPr>
        <w:spacing w:after="0" w:line="360" w:lineRule="auto"/>
        <w:jc w:val="both"/>
        <w:rPr>
          <w:rFonts w:ascii="Palatino Linotype" w:eastAsia="Palatino Linotype" w:hAnsi="Palatino Linotype" w:cs="Palatino Linotype"/>
        </w:rPr>
      </w:pPr>
    </w:p>
    <w:p w14:paraId="6D96B4DC"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9A53FA7" w14:textId="77777777" w:rsidR="007A03CB" w:rsidRPr="00625633" w:rsidRDefault="007A03CB">
      <w:pPr>
        <w:spacing w:after="0"/>
        <w:ind w:left="567" w:right="616"/>
        <w:jc w:val="both"/>
        <w:rPr>
          <w:rFonts w:ascii="Palatino Linotype" w:eastAsia="Palatino Linotype" w:hAnsi="Palatino Linotype" w:cs="Palatino Linotype"/>
        </w:rPr>
      </w:pPr>
    </w:p>
    <w:p w14:paraId="6387BA84"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r w:rsidRPr="00625633">
        <w:rPr>
          <w:rFonts w:ascii="Palatino Linotype" w:eastAsia="Palatino Linotype" w:hAnsi="Palatino Linotype" w:cs="Palatino Linotype"/>
          <w:b/>
          <w:i/>
        </w:rPr>
        <w:t>Artículo 12.-</w:t>
      </w:r>
      <w:r w:rsidRPr="00625633">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90B336A" w14:textId="77777777" w:rsidR="007A03CB" w:rsidRPr="00625633" w:rsidRDefault="007A03CB">
      <w:pPr>
        <w:spacing w:after="0"/>
        <w:ind w:left="567" w:right="616"/>
        <w:jc w:val="both"/>
        <w:rPr>
          <w:rFonts w:ascii="Palatino Linotype" w:eastAsia="Palatino Linotype" w:hAnsi="Palatino Linotype" w:cs="Palatino Linotype"/>
          <w:i/>
        </w:rPr>
      </w:pPr>
    </w:p>
    <w:p w14:paraId="6DC06510"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625633">
        <w:rPr>
          <w:rFonts w:ascii="Palatino Linotype" w:eastAsia="Palatino Linotype" w:hAnsi="Palatino Linotype" w:cs="Palatino Linotype"/>
          <w:i/>
        </w:rPr>
        <w:t xml:space="preserve">. </w:t>
      </w:r>
      <w:r w:rsidRPr="00625633">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625633">
        <w:rPr>
          <w:rFonts w:ascii="Palatino Linotype" w:eastAsia="Palatino Linotype" w:hAnsi="Palatino Linotype" w:cs="Palatino Linotype"/>
          <w:i/>
        </w:rPr>
        <w:t xml:space="preserve">.” </w:t>
      </w:r>
    </w:p>
    <w:p w14:paraId="08F204D0" w14:textId="77777777" w:rsidR="007A03CB" w:rsidRPr="00625633" w:rsidRDefault="007A03CB">
      <w:pPr>
        <w:spacing w:after="0"/>
        <w:ind w:left="567" w:right="616"/>
        <w:jc w:val="both"/>
        <w:rPr>
          <w:rFonts w:ascii="Palatino Linotype" w:eastAsia="Palatino Linotype" w:hAnsi="Palatino Linotype" w:cs="Palatino Linotype"/>
          <w:i/>
        </w:rPr>
      </w:pPr>
    </w:p>
    <w:p w14:paraId="47AF458D" w14:textId="77777777" w:rsidR="007A03CB" w:rsidRPr="00625633" w:rsidRDefault="0034483E">
      <w:pPr>
        <w:spacing w:after="0" w:line="360" w:lineRule="auto"/>
        <w:ind w:right="-93"/>
        <w:jc w:val="both"/>
        <w:rPr>
          <w:rFonts w:ascii="Palatino Linotype" w:eastAsia="Palatino Linotype" w:hAnsi="Palatino Linotype" w:cs="Palatino Linotype"/>
        </w:rPr>
      </w:pPr>
      <w:r w:rsidRPr="00625633">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2A0C0F96" w14:textId="77777777" w:rsidR="007A03CB" w:rsidRPr="00625633" w:rsidRDefault="007A03CB">
      <w:pPr>
        <w:spacing w:after="0" w:line="360" w:lineRule="auto"/>
        <w:ind w:right="-93"/>
        <w:jc w:val="both"/>
        <w:rPr>
          <w:rFonts w:ascii="Palatino Linotype" w:eastAsia="Palatino Linotype" w:hAnsi="Palatino Linotype" w:cs="Palatino Linotype"/>
        </w:rPr>
      </w:pPr>
    </w:p>
    <w:p w14:paraId="2BBEAD68" w14:textId="77777777" w:rsidR="007A03CB" w:rsidRPr="00625633" w:rsidRDefault="0034483E">
      <w:pPr>
        <w:spacing w:after="0" w:line="360" w:lineRule="auto"/>
        <w:jc w:val="both"/>
        <w:rPr>
          <w:rFonts w:ascii="Palatino Linotype" w:eastAsia="Palatino Linotype" w:hAnsi="Palatino Linotype" w:cs="Palatino Linotype"/>
          <w:b/>
        </w:rPr>
      </w:pPr>
      <w:r w:rsidRPr="00625633">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625633">
        <w:rPr>
          <w:rFonts w:ascii="Palatino Linotype" w:eastAsia="Palatino Linotype" w:hAnsi="Palatino Linotype" w:cs="Palatino Linotype"/>
          <w:b/>
        </w:rPr>
        <w:t xml:space="preserve"> </w:t>
      </w:r>
    </w:p>
    <w:p w14:paraId="4D0F464C"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lastRenderedPageBreak/>
        <w:t>“</w:t>
      </w:r>
      <w:r w:rsidRPr="00625633">
        <w:rPr>
          <w:rFonts w:ascii="Palatino Linotype" w:eastAsia="Palatino Linotype" w:hAnsi="Palatino Linotype" w:cs="Palatino Linotype"/>
          <w:b/>
          <w:i/>
        </w:rPr>
        <w:t>No existe obligación de elaborar documentos ad hoc para atender las solicitudes de acceso a la información.</w:t>
      </w:r>
      <w:r w:rsidRPr="00625633">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E08B171" w14:textId="77777777" w:rsidR="007A03CB" w:rsidRPr="00625633" w:rsidRDefault="007A03CB">
      <w:pPr>
        <w:spacing w:after="0"/>
        <w:ind w:left="567" w:right="616"/>
        <w:jc w:val="both"/>
        <w:rPr>
          <w:rFonts w:ascii="Palatino Linotype" w:eastAsia="Palatino Linotype" w:hAnsi="Palatino Linotype" w:cs="Palatino Linotype"/>
          <w:i/>
        </w:rPr>
      </w:pPr>
    </w:p>
    <w:p w14:paraId="0E8C221B"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105286C" w14:textId="77777777" w:rsidR="007A03CB" w:rsidRPr="00625633" w:rsidRDefault="007A03CB">
      <w:pPr>
        <w:spacing w:after="0" w:line="360" w:lineRule="auto"/>
        <w:jc w:val="both"/>
        <w:rPr>
          <w:rFonts w:ascii="Palatino Linotype" w:eastAsia="Palatino Linotype" w:hAnsi="Palatino Linotype" w:cs="Palatino Linotype"/>
        </w:rPr>
      </w:pPr>
    </w:p>
    <w:p w14:paraId="2DEC7D12" w14:textId="77777777" w:rsidR="007A03CB" w:rsidRPr="00625633" w:rsidRDefault="0034483E">
      <w:pP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486DA1A" w14:textId="77777777" w:rsidR="007A03CB" w:rsidRPr="00625633" w:rsidRDefault="007A03CB">
      <w:pPr>
        <w:spacing w:after="0" w:line="360" w:lineRule="auto"/>
        <w:ind w:right="49"/>
        <w:jc w:val="both"/>
        <w:rPr>
          <w:rFonts w:ascii="Palatino Linotype" w:eastAsia="Palatino Linotype" w:hAnsi="Palatino Linotype" w:cs="Palatino Linotype"/>
        </w:rPr>
      </w:pPr>
    </w:p>
    <w:p w14:paraId="246A0AFD"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625633">
        <w:rPr>
          <w:rFonts w:ascii="Palatino Linotype" w:eastAsia="Palatino Linotype" w:hAnsi="Palatino Linotype" w:cs="Palatino Linotype"/>
        </w:rPr>
        <w:lastRenderedPageBreak/>
        <w:t xml:space="preserve">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33442D6" w14:textId="77777777" w:rsidR="007A03CB" w:rsidRPr="00625633" w:rsidRDefault="007A03CB">
      <w:pPr>
        <w:spacing w:after="0" w:line="360" w:lineRule="auto"/>
        <w:jc w:val="both"/>
        <w:rPr>
          <w:rFonts w:ascii="Palatino Linotype" w:eastAsia="Palatino Linotype" w:hAnsi="Palatino Linotype" w:cs="Palatino Linotype"/>
        </w:rPr>
      </w:pPr>
    </w:p>
    <w:p w14:paraId="56F4C4B0"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r w:rsidRPr="00625633">
        <w:rPr>
          <w:rFonts w:ascii="Palatino Linotype" w:eastAsia="Palatino Linotype" w:hAnsi="Palatino Linotype" w:cs="Palatino Linotype"/>
          <w:b/>
          <w:i/>
        </w:rPr>
        <w:t xml:space="preserve">Artículo 3. </w:t>
      </w:r>
      <w:r w:rsidRPr="00625633">
        <w:rPr>
          <w:rFonts w:ascii="Palatino Linotype" w:eastAsia="Palatino Linotype" w:hAnsi="Palatino Linotype" w:cs="Palatino Linotype"/>
          <w:i/>
        </w:rPr>
        <w:t>Para los efectos de la presente Ley se entenderá por:</w:t>
      </w:r>
    </w:p>
    <w:p w14:paraId="072A6F94"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p>
    <w:p w14:paraId="020739DD"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b/>
          <w:i/>
        </w:rPr>
        <w:t>XI. Documento:</w:t>
      </w:r>
      <w:r w:rsidRPr="00625633">
        <w:rPr>
          <w:rFonts w:ascii="Palatino Linotype" w:eastAsia="Palatino Linotype" w:hAnsi="Palatino Linotype" w:cs="Palatino Linotype"/>
          <w:i/>
        </w:rPr>
        <w:t xml:space="preserve"> Los expedientes, reportes, estudios, actas</w:t>
      </w:r>
      <w:r w:rsidRPr="00625633">
        <w:rPr>
          <w:rFonts w:ascii="Palatino Linotype" w:eastAsia="Palatino Linotype" w:hAnsi="Palatino Linotype" w:cs="Palatino Linotype"/>
          <w:b/>
          <w:i/>
        </w:rPr>
        <w:t>,</w:t>
      </w:r>
      <w:r w:rsidRPr="00625633">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A43967E" w14:textId="77777777" w:rsidR="007A03CB" w:rsidRPr="00625633" w:rsidRDefault="007A03CB">
      <w:pPr>
        <w:spacing w:after="0" w:line="360" w:lineRule="auto"/>
        <w:ind w:left="851" w:right="899"/>
        <w:jc w:val="both"/>
        <w:rPr>
          <w:rFonts w:ascii="Palatino Linotype" w:eastAsia="Palatino Linotype" w:hAnsi="Palatino Linotype" w:cs="Palatino Linotype"/>
        </w:rPr>
      </w:pPr>
    </w:p>
    <w:p w14:paraId="3DF15D5B"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F974705" w14:textId="77777777" w:rsidR="007A03CB" w:rsidRPr="00625633" w:rsidRDefault="007A03CB">
      <w:pPr>
        <w:spacing w:after="0" w:line="360" w:lineRule="auto"/>
        <w:ind w:left="851" w:right="899"/>
        <w:jc w:val="both"/>
        <w:rPr>
          <w:rFonts w:ascii="Palatino Linotype" w:eastAsia="Palatino Linotype" w:hAnsi="Palatino Linotype" w:cs="Palatino Linotype"/>
        </w:rPr>
      </w:pPr>
    </w:p>
    <w:p w14:paraId="198C784A" w14:textId="77777777" w:rsidR="007A03CB" w:rsidRPr="00625633" w:rsidRDefault="0034483E">
      <w:pPr>
        <w:tabs>
          <w:tab w:val="left" w:pos="7797"/>
        </w:tabs>
        <w:spacing w:after="0"/>
        <w:ind w:left="709" w:right="616"/>
        <w:jc w:val="both"/>
        <w:rPr>
          <w:rFonts w:ascii="Palatino Linotype" w:eastAsia="Palatino Linotype" w:hAnsi="Palatino Linotype" w:cs="Palatino Linotype"/>
          <w:b/>
          <w:i/>
        </w:rPr>
      </w:pPr>
      <w:r w:rsidRPr="00625633">
        <w:rPr>
          <w:rFonts w:ascii="Palatino Linotype" w:eastAsia="Palatino Linotype" w:hAnsi="Palatino Linotype" w:cs="Palatino Linotype"/>
          <w:b/>
        </w:rPr>
        <w:t>“</w:t>
      </w:r>
      <w:r w:rsidRPr="00625633">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625633">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CEF70E5" w14:textId="77777777" w:rsidR="007A03CB" w:rsidRPr="00625633" w:rsidRDefault="0034483E">
      <w:pPr>
        <w:tabs>
          <w:tab w:val="left" w:pos="7797"/>
        </w:tabs>
        <w:spacing w:after="0"/>
        <w:ind w:left="709"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En </w:t>
      </w:r>
      <w:proofErr w:type="gramStart"/>
      <w:r w:rsidRPr="00625633">
        <w:rPr>
          <w:rFonts w:ascii="Palatino Linotype" w:eastAsia="Palatino Linotype" w:hAnsi="Palatino Linotype" w:cs="Palatino Linotype"/>
          <w:i/>
        </w:rPr>
        <w:t>consecuencia</w:t>
      </w:r>
      <w:proofErr w:type="gramEnd"/>
      <w:r w:rsidRPr="00625633">
        <w:rPr>
          <w:rFonts w:ascii="Palatino Linotype" w:eastAsia="Palatino Linotype" w:hAnsi="Palatino Linotype" w:cs="Palatino Linotype"/>
          <w:i/>
        </w:rPr>
        <w:t xml:space="preserve"> el acceso a la información se refiere a que se cumplan cualquiera de los siguientes tres supuestos:</w:t>
      </w:r>
    </w:p>
    <w:p w14:paraId="48CADC01" w14:textId="77777777" w:rsidR="007A03CB" w:rsidRPr="00625633" w:rsidRDefault="0034483E">
      <w:pPr>
        <w:tabs>
          <w:tab w:val="left" w:pos="7797"/>
        </w:tabs>
        <w:spacing w:after="0"/>
        <w:ind w:left="709"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lastRenderedPageBreak/>
        <w:t xml:space="preserve">1) Que se trate de información registrada en cualquier soporte documental, </w:t>
      </w:r>
      <w:proofErr w:type="gramStart"/>
      <w:r w:rsidRPr="00625633">
        <w:rPr>
          <w:rFonts w:ascii="Palatino Linotype" w:eastAsia="Palatino Linotype" w:hAnsi="Palatino Linotype" w:cs="Palatino Linotype"/>
          <w:i/>
        </w:rPr>
        <w:t>que</w:t>
      </w:r>
      <w:proofErr w:type="gramEnd"/>
      <w:r w:rsidRPr="00625633">
        <w:rPr>
          <w:rFonts w:ascii="Palatino Linotype" w:eastAsia="Palatino Linotype" w:hAnsi="Palatino Linotype" w:cs="Palatino Linotype"/>
          <w:i/>
        </w:rPr>
        <w:t xml:space="preserve"> en ejercicio de las atribuciones conferidas, sea generada por los Sujetos Obligados;</w:t>
      </w:r>
    </w:p>
    <w:p w14:paraId="2966F1E6" w14:textId="77777777" w:rsidR="007A03CB" w:rsidRPr="00625633" w:rsidRDefault="0034483E">
      <w:pPr>
        <w:tabs>
          <w:tab w:val="left" w:pos="7797"/>
        </w:tabs>
        <w:spacing w:after="0"/>
        <w:ind w:left="709" w:right="616"/>
        <w:jc w:val="both"/>
        <w:rPr>
          <w:rFonts w:ascii="Palatino Linotype" w:eastAsia="Palatino Linotype" w:hAnsi="Palatino Linotype" w:cs="Palatino Linotype"/>
          <w:b/>
          <w:i/>
        </w:rPr>
      </w:pPr>
      <w:r w:rsidRPr="00625633">
        <w:rPr>
          <w:rFonts w:ascii="Palatino Linotype" w:eastAsia="Palatino Linotype" w:hAnsi="Palatino Linotype" w:cs="Palatino Linotype"/>
          <w:b/>
          <w:i/>
        </w:rPr>
        <w:t xml:space="preserve">2) Que se trate de información registrada en cualquier soporte documental, </w:t>
      </w:r>
      <w:proofErr w:type="gramStart"/>
      <w:r w:rsidRPr="00625633">
        <w:rPr>
          <w:rFonts w:ascii="Palatino Linotype" w:eastAsia="Palatino Linotype" w:hAnsi="Palatino Linotype" w:cs="Palatino Linotype"/>
          <w:b/>
          <w:i/>
        </w:rPr>
        <w:t>que</w:t>
      </w:r>
      <w:proofErr w:type="gramEnd"/>
      <w:r w:rsidRPr="00625633">
        <w:rPr>
          <w:rFonts w:ascii="Palatino Linotype" w:eastAsia="Palatino Linotype" w:hAnsi="Palatino Linotype" w:cs="Palatino Linotype"/>
          <w:b/>
          <w:i/>
        </w:rPr>
        <w:t xml:space="preserve"> en ejercicio de las atribuciones conferidas, sea administrada por los Sujetos Obligados, y</w:t>
      </w:r>
    </w:p>
    <w:p w14:paraId="6D5ACEBB" w14:textId="77777777" w:rsidR="007A03CB" w:rsidRPr="00625633" w:rsidRDefault="0034483E">
      <w:pPr>
        <w:tabs>
          <w:tab w:val="left" w:pos="7797"/>
        </w:tabs>
        <w:spacing w:after="0"/>
        <w:ind w:left="709" w:right="616"/>
        <w:jc w:val="both"/>
        <w:rPr>
          <w:rFonts w:ascii="Palatino Linotype" w:eastAsia="Palatino Linotype" w:hAnsi="Palatino Linotype" w:cs="Palatino Linotype"/>
          <w:b/>
          <w:i/>
        </w:rPr>
      </w:pPr>
      <w:r w:rsidRPr="00625633">
        <w:rPr>
          <w:rFonts w:ascii="Palatino Linotype" w:eastAsia="Palatino Linotype" w:hAnsi="Palatino Linotype" w:cs="Palatino Linotype"/>
          <w:b/>
          <w:i/>
        </w:rPr>
        <w:t xml:space="preserve">3) Que se trate de información registrada en cualquier soporte documental, </w:t>
      </w:r>
      <w:proofErr w:type="gramStart"/>
      <w:r w:rsidRPr="00625633">
        <w:rPr>
          <w:rFonts w:ascii="Palatino Linotype" w:eastAsia="Palatino Linotype" w:hAnsi="Palatino Linotype" w:cs="Palatino Linotype"/>
          <w:b/>
          <w:i/>
        </w:rPr>
        <w:t>que</w:t>
      </w:r>
      <w:proofErr w:type="gramEnd"/>
      <w:r w:rsidRPr="00625633">
        <w:rPr>
          <w:rFonts w:ascii="Palatino Linotype" w:eastAsia="Palatino Linotype" w:hAnsi="Palatino Linotype" w:cs="Palatino Linotype"/>
          <w:b/>
          <w:i/>
        </w:rPr>
        <w:t xml:space="preserve"> en ejercicio de las atribuciones conferidas, se encuentre en posesión de los Sujetos Obligados.” </w:t>
      </w:r>
    </w:p>
    <w:p w14:paraId="4FB9D564" w14:textId="77777777" w:rsidR="007A03CB" w:rsidRPr="00625633" w:rsidRDefault="007A03CB">
      <w:pPr>
        <w:spacing w:after="0" w:line="360" w:lineRule="auto"/>
        <w:jc w:val="both"/>
        <w:rPr>
          <w:rFonts w:ascii="Palatino Linotype" w:eastAsia="Palatino Linotype" w:hAnsi="Palatino Linotype" w:cs="Palatino Linotype"/>
        </w:rPr>
      </w:pPr>
    </w:p>
    <w:p w14:paraId="273C481A" w14:textId="77777777" w:rsidR="007A03CB" w:rsidRPr="00625633" w:rsidRDefault="0034483E">
      <w:pP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De las actuaciones que integran el expediente electrónico, se procede al análisis de los agravios hechos valer por el Recurrente, relativos a la falta de respuesta a una solicitud de acceso a la información, lo que actualiza la causal de procedencia prevista en la fracción VII del artículo 179 de la Ley de Transparencia y Acceso a la Información Pública del Estado de México y Municipios.</w:t>
      </w:r>
    </w:p>
    <w:p w14:paraId="4EA6E111" w14:textId="77777777" w:rsidR="007A03CB" w:rsidRPr="00625633" w:rsidRDefault="007A03CB">
      <w:pPr>
        <w:spacing w:after="0" w:line="360" w:lineRule="auto"/>
        <w:jc w:val="both"/>
        <w:rPr>
          <w:rFonts w:ascii="Palatino Linotype" w:eastAsia="Palatino Linotype" w:hAnsi="Palatino Linotype" w:cs="Palatino Linotype"/>
        </w:rPr>
      </w:pPr>
    </w:p>
    <w:p w14:paraId="731517EC" w14:textId="77777777" w:rsidR="007A03CB" w:rsidRPr="00625633" w:rsidRDefault="0034483E">
      <w:pPr>
        <w:spacing w:after="0" w:line="360" w:lineRule="auto"/>
        <w:jc w:val="both"/>
        <w:rPr>
          <w:rFonts w:ascii="Palatino Linotype" w:eastAsia="Palatino Linotype" w:hAnsi="Palatino Linotype" w:cs="Palatino Linotype"/>
          <w:b/>
        </w:rPr>
      </w:pPr>
      <w:r w:rsidRPr="00625633">
        <w:rPr>
          <w:rFonts w:ascii="Palatino Linotype" w:eastAsia="Palatino Linotype" w:hAnsi="Palatino Linotype" w:cs="Palatino Linotype"/>
        </w:rPr>
        <w:t>Dicho lo anterior, es de recordar que la parte Solicitante requirió en formato XLS compatible con Excel, la base de datos del padrón actualizado de licencias otorgadas para la operación de establecimientos en los que se vende o consumen bebidas alcohólicas, otorgadas por la Dirección de Desarrollo Económico, así como, su giro o modalidad, dirección de los establecimientos, los nombres y/o razones sociales de los titulares, y el hipervínculo del documento en el que obre cada una de las licencias.</w:t>
      </w:r>
    </w:p>
    <w:p w14:paraId="0B43B545" w14:textId="77777777" w:rsidR="007A03CB" w:rsidRPr="00625633" w:rsidRDefault="007A03CB">
      <w:pPr>
        <w:spacing w:after="0" w:line="360" w:lineRule="auto"/>
        <w:jc w:val="both"/>
        <w:rPr>
          <w:rFonts w:ascii="Palatino Linotype" w:eastAsia="Palatino Linotype" w:hAnsi="Palatino Linotype" w:cs="Palatino Linotype"/>
          <w:b/>
        </w:rPr>
      </w:pPr>
    </w:p>
    <w:p w14:paraId="3F8DC759"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El Sujeto Obligado fue omiso en proporcionar respuesta, situación por la que se inconformó la parte Recurrente. </w:t>
      </w:r>
    </w:p>
    <w:p w14:paraId="3D256C69" w14:textId="77777777" w:rsidR="007A03CB" w:rsidRPr="00625633" w:rsidRDefault="007A03CB">
      <w:pPr>
        <w:pBdr>
          <w:top w:val="nil"/>
          <w:left w:val="nil"/>
          <w:bottom w:val="nil"/>
          <w:right w:val="nil"/>
          <w:between w:val="nil"/>
        </w:pBdr>
        <w:spacing w:after="0" w:line="360" w:lineRule="auto"/>
        <w:ind w:right="49"/>
        <w:jc w:val="both"/>
        <w:rPr>
          <w:rFonts w:ascii="Palatino Linotype" w:eastAsia="Palatino Linotype" w:hAnsi="Palatino Linotype" w:cs="Palatino Linotype"/>
          <w:b/>
          <w:u w:val="single"/>
        </w:rPr>
      </w:pPr>
    </w:p>
    <w:p w14:paraId="5FBCD222" w14:textId="77777777" w:rsidR="007A03CB" w:rsidRPr="00625633" w:rsidRDefault="0034483E">
      <w:pP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En atención a ello, mediante informe justificado el Sujeto Obligado hizo entrega de un documento donde consta el concentrado de unidades económicas del año dos mil </w:t>
      </w:r>
      <w:r w:rsidRPr="00625633">
        <w:rPr>
          <w:rFonts w:ascii="Palatino Linotype" w:eastAsia="Palatino Linotype" w:hAnsi="Palatino Linotype" w:cs="Palatino Linotype"/>
        </w:rPr>
        <w:lastRenderedPageBreak/>
        <w:t xml:space="preserve">veinticuatro, el cual contiene nombre, razón social, comunidad y número de licencia de funcionamiento, tal como se observa a continuación: </w:t>
      </w:r>
    </w:p>
    <w:p w14:paraId="69D641F5" w14:textId="77777777" w:rsidR="007A03CB" w:rsidRPr="00625633" w:rsidRDefault="007A03CB">
      <w:pPr>
        <w:spacing w:after="0" w:line="360" w:lineRule="auto"/>
        <w:ind w:right="49"/>
        <w:jc w:val="both"/>
        <w:rPr>
          <w:rFonts w:ascii="Palatino Linotype" w:eastAsia="Palatino Linotype" w:hAnsi="Palatino Linotype" w:cs="Palatino Linotype"/>
        </w:rPr>
      </w:pPr>
    </w:p>
    <w:p w14:paraId="5BAD4B83" w14:textId="77777777" w:rsidR="007A03CB" w:rsidRPr="00625633" w:rsidRDefault="0034483E">
      <w:pP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noProof/>
          <w:lang w:eastAsia="es-MX"/>
        </w:rPr>
        <w:drawing>
          <wp:inline distT="0" distB="0" distL="0" distR="0" wp14:anchorId="1A94A613" wp14:editId="53B3ECA9">
            <wp:extent cx="5756275" cy="795020"/>
            <wp:effectExtent l="0" t="0" r="0" b="0"/>
            <wp:docPr id="2902082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56275" cy="795020"/>
                    </a:xfrm>
                    <a:prstGeom prst="rect">
                      <a:avLst/>
                    </a:prstGeom>
                    <a:ln/>
                  </pic:spPr>
                </pic:pic>
              </a:graphicData>
            </a:graphic>
          </wp:inline>
        </w:drawing>
      </w:r>
    </w:p>
    <w:p w14:paraId="2236D5EE" w14:textId="77777777" w:rsidR="007A03CB" w:rsidRPr="00625633" w:rsidRDefault="007A03CB">
      <w:pPr>
        <w:spacing w:after="0" w:line="360" w:lineRule="auto"/>
        <w:ind w:right="49"/>
        <w:jc w:val="both"/>
        <w:rPr>
          <w:rFonts w:ascii="Palatino Linotype" w:eastAsia="Palatino Linotype" w:hAnsi="Palatino Linotype" w:cs="Palatino Linotype"/>
        </w:rPr>
      </w:pPr>
    </w:p>
    <w:p w14:paraId="2CB9D02C" w14:textId="77777777" w:rsidR="007A03CB" w:rsidRPr="00625633" w:rsidRDefault="0034483E">
      <w:pPr>
        <w:widowControl w:val="0"/>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Dicho lo anterior, en principio resulta necesario mencionar que, del expediente no se advierte que el Sujeto Obligado haya proporcionado respuesta, situación que actualiza la hipótesis contenida en la fracción VII del artículo 179 de la Ley de Transparencia de la Entidad, por lo que, los agravios hechos valer por la parte Recurrente, devienen </w:t>
      </w:r>
      <w:r w:rsidRPr="00625633">
        <w:rPr>
          <w:rFonts w:ascii="Palatino Linotype" w:eastAsia="Palatino Linotype" w:hAnsi="Palatino Linotype" w:cs="Palatino Linotype"/>
          <w:b/>
        </w:rPr>
        <w:t>FUNDADOS</w:t>
      </w:r>
      <w:r w:rsidRPr="00625633">
        <w:rPr>
          <w:rFonts w:ascii="Palatino Linotype" w:eastAsia="Palatino Linotype" w:hAnsi="Palatino Linotype" w:cs="Palatino Linotype"/>
        </w:rPr>
        <w:t xml:space="preserve">. </w:t>
      </w:r>
    </w:p>
    <w:p w14:paraId="6F73F11D" w14:textId="77777777" w:rsidR="007A03CB" w:rsidRPr="00625633" w:rsidRDefault="007A03CB">
      <w:pPr>
        <w:spacing w:after="0" w:line="360" w:lineRule="auto"/>
        <w:ind w:right="-93"/>
        <w:jc w:val="both"/>
        <w:rPr>
          <w:rFonts w:ascii="Palatino Linotype" w:eastAsia="Palatino Linotype" w:hAnsi="Palatino Linotype" w:cs="Palatino Linotype"/>
        </w:rPr>
      </w:pPr>
    </w:p>
    <w:p w14:paraId="4DF5CA2A" w14:textId="77777777" w:rsidR="007A03CB" w:rsidRPr="00625633" w:rsidRDefault="0034483E">
      <w:pP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Primeramente, si bien es cierto que la parte</w:t>
      </w:r>
      <w:r w:rsidRPr="00625633">
        <w:rPr>
          <w:rFonts w:ascii="Palatino Linotype" w:eastAsia="Palatino Linotype" w:hAnsi="Palatino Linotype" w:cs="Palatino Linotype"/>
          <w:b/>
        </w:rPr>
        <w:t xml:space="preserve"> Recurrente</w:t>
      </w:r>
      <w:r w:rsidRPr="00625633">
        <w:rPr>
          <w:rFonts w:ascii="Palatino Linotype" w:eastAsia="Palatino Linotype" w:hAnsi="Palatino Linotype" w:cs="Palatino Linotype"/>
        </w:rPr>
        <w:t xml:space="preserve"> no señaló de manera precisa la temporalidad de la información que requiere, lo cierto es que, de la solicitud se advierte que el particular requiere la entrega del padrón actualizado y las licencias que correspondan con dicho padrón; por lo que, se advierte que solicita la información vigente a la fecha de la solicitud, esto es, al once de junio de dos mil veinticuatro. </w:t>
      </w:r>
    </w:p>
    <w:p w14:paraId="695984FF" w14:textId="77777777" w:rsidR="007A03CB" w:rsidRPr="00625633" w:rsidRDefault="007A03CB">
      <w:pPr>
        <w:spacing w:after="0" w:line="360" w:lineRule="auto"/>
        <w:ind w:right="49"/>
        <w:jc w:val="both"/>
        <w:rPr>
          <w:rFonts w:ascii="Palatino Linotype" w:eastAsia="Palatino Linotype" w:hAnsi="Palatino Linotype" w:cs="Palatino Linotype"/>
        </w:rPr>
      </w:pPr>
    </w:p>
    <w:p w14:paraId="2A501F60" w14:textId="77777777" w:rsidR="007A03CB" w:rsidRPr="00625633" w:rsidRDefault="0034483E">
      <w:pPr>
        <w:spacing w:after="0" w:line="360" w:lineRule="auto"/>
        <w:ind w:right="-93"/>
        <w:jc w:val="both"/>
        <w:rPr>
          <w:rFonts w:ascii="Palatino Linotype" w:eastAsia="Palatino Linotype" w:hAnsi="Palatino Linotype" w:cs="Palatino Linotype"/>
        </w:rPr>
      </w:pPr>
      <w:r w:rsidRPr="00625633">
        <w:rPr>
          <w:rFonts w:ascii="Palatino Linotype" w:eastAsia="Palatino Linotype" w:hAnsi="Palatino Linotype" w:cs="Palatino Linotype"/>
        </w:rPr>
        <w:t>Precisado lo anterior, resulta necesario contextualizar la información requerida, para ello es de traer a colación el artículo 31 de la Ley Orgánica Municipal del Estado de México, los ayuntamientos cuentan con atribuciones para otorgar licencia de funcionamiento, previa presentación del Dictamen de Giro, a las unidades económicas que tengan como actividad complementaria o principal la venta de bebidas alcohólicas; además, dicha licencia tendrá una vigencia de cinco años y deberá ser refrendada de manera anual, con independencia de que puedan ser sujetos de visitas de verificación para constatar el cumplimiento de las disposiciones jurídicas aplicables.</w:t>
      </w:r>
    </w:p>
    <w:p w14:paraId="5ED07F90"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lastRenderedPageBreak/>
        <w:t xml:space="preserve">Aunado a lo anterior, el Código Financiero del Estado de México establece en su artículo 159 </w:t>
      </w:r>
      <w:r w:rsidRPr="00625633">
        <w:rPr>
          <w:rFonts w:ascii="Palatino Linotype" w:eastAsia="Palatino Linotype" w:hAnsi="Palatino Linotype" w:cs="Palatino Linotype"/>
          <w:i/>
        </w:rPr>
        <w:t>“Los derechos por la expedición o refrendo anual de licencias para la venta de bebidas alcohólicas al público”</w:t>
      </w:r>
      <w:r w:rsidRPr="00625633">
        <w:rPr>
          <w:rFonts w:ascii="Palatino Linotype" w:eastAsia="Palatino Linotype" w:hAnsi="Palatino Linotype" w:cs="Palatino Linotype"/>
        </w:rPr>
        <w:t xml:space="preserve">, </w:t>
      </w:r>
      <w:proofErr w:type="gramStart"/>
      <w:r w:rsidRPr="00625633">
        <w:rPr>
          <w:rFonts w:ascii="Palatino Linotype" w:eastAsia="Palatino Linotype" w:hAnsi="Palatino Linotype" w:cs="Palatino Linotype"/>
        </w:rPr>
        <w:t>que</w:t>
      </w:r>
      <w:proofErr w:type="gramEnd"/>
      <w:r w:rsidRPr="00625633">
        <w:rPr>
          <w:rFonts w:ascii="Palatino Linotype" w:eastAsia="Palatino Linotype" w:hAnsi="Palatino Linotype" w:cs="Palatino Linotype"/>
        </w:rPr>
        <w:t xml:space="preserve"> por la expedición o refrendo de licencias para vender bebidas alcohólicas al público en botella cerrada, o al copeo en general, en establecimientos comerciales, de servicios o de diversión y espectáculos públicos, se pagarán derechos conforme la tarifa que establece.</w:t>
      </w:r>
    </w:p>
    <w:p w14:paraId="7FBAA168" w14:textId="77777777" w:rsidR="007A03CB" w:rsidRPr="00625633" w:rsidRDefault="007A03CB">
      <w:pPr>
        <w:spacing w:after="0" w:line="360" w:lineRule="auto"/>
        <w:jc w:val="both"/>
        <w:rPr>
          <w:rFonts w:ascii="Palatino Linotype" w:eastAsia="Palatino Linotype" w:hAnsi="Palatino Linotype" w:cs="Palatino Linotype"/>
        </w:rPr>
      </w:pPr>
    </w:p>
    <w:p w14:paraId="35CF1AC7"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Ahora bien, la Ley de Competitividad y Ordenamiento Comercial del Estado de México, define a la licencia de funcionamiento en términos del artículo 2 fracciones I y XV respectivamente, como el acto administrativo que emite la autoridad, por el cual autoriza a una persona física o jurídica colectiva a desarrollar actividades económicas; mientras que una actividad económica, es el conjunto de acciones y recursos que emplean las unidades económicas para producir bienes o proporcionar servicios. </w:t>
      </w:r>
    </w:p>
    <w:p w14:paraId="654311D8" w14:textId="77777777" w:rsidR="007A03CB" w:rsidRPr="00625633" w:rsidRDefault="007A03CB">
      <w:pPr>
        <w:spacing w:after="0" w:line="360" w:lineRule="auto"/>
        <w:jc w:val="both"/>
        <w:rPr>
          <w:rFonts w:ascii="Palatino Linotype" w:eastAsia="Palatino Linotype" w:hAnsi="Palatino Linotype" w:cs="Palatino Linotype"/>
        </w:rPr>
      </w:pPr>
    </w:p>
    <w:p w14:paraId="5910653B"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Aunado a ello, el artículo 7 del mismo ordenamiento, señala que a los municipios les corresponde crear, operar, digitalizar y mantener actualizado semanalmente el registro municipal a través de la Dirección de Desarrollo Económico, tal y como se muestra a continuación: </w:t>
      </w:r>
    </w:p>
    <w:p w14:paraId="65087980" w14:textId="77777777" w:rsidR="007A03CB" w:rsidRPr="00625633" w:rsidRDefault="007A03CB">
      <w:pPr>
        <w:spacing w:after="0" w:line="360" w:lineRule="auto"/>
        <w:jc w:val="both"/>
        <w:rPr>
          <w:rFonts w:ascii="Palatino Linotype" w:eastAsia="Palatino Linotype" w:hAnsi="Palatino Linotype" w:cs="Palatino Linotype"/>
        </w:rPr>
      </w:pPr>
    </w:p>
    <w:p w14:paraId="112A0104" w14:textId="77777777" w:rsidR="007A03CB" w:rsidRPr="00625633" w:rsidRDefault="0034483E">
      <w:pPr>
        <w:spacing w:after="0"/>
        <w:ind w:left="567" w:right="418"/>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r w:rsidRPr="00625633">
        <w:rPr>
          <w:rFonts w:ascii="Palatino Linotype" w:eastAsia="Palatino Linotype" w:hAnsi="Palatino Linotype" w:cs="Palatino Linotype"/>
          <w:b/>
          <w:i/>
        </w:rPr>
        <w:t>Artículo 7.</w:t>
      </w:r>
      <w:r w:rsidRPr="00625633">
        <w:rPr>
          <w:rFonts w:ascii="Palatino Linotype" w:eastAsia="Palatino Linotype" w:hAnsi="Palatino Linotype" w:cs="Palatino Linotype"/>
          <w:i/>
        </w:rPr>
        <w:t xml:space="preserve"> Corresponde a los municipios:</w:t>
      </w:r>
    </w:p>
    <w:p w14:paraId="13759DF2" w14:textId="77777777" w:rsidR="007A03CB" w:rsidRPr="00625633" w:rsidRDefault="0034483E">
      <w:pPr>
        <w:spacing w:after="0"/>
        <w:ind w:left="567" w:right="418"/>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I. </w:t>
      </w:r>
      <w:r w:rsidRPr="00625633">
        <w:rPr>
          <w:rFonts w:ascii="Palatino Linotype" w:eastAsia="Palatino Linotype" w:hAnsi="Palatino Linotype" w:cs="Palatino Linotype"/>
          <w:b/>
          <w:i/>
          <w:u w:val="single"/>
        </w:rPr>
        <w:t>Crear el registro municipal</w:t>
      </w:r>
      <w:r w:rsidRPr="00625633">
        <w:rPr>
          <w:rFonts w:ascii="Palatino Linotype" w:eastAsia="Palatino Linotype" w:hAnsi="Palatino Linotype" w:cs="Palatino Linotype"/>
          <w:i/>
        </w:rPr>
        <w:t>, donde se especifica la licencia de funcionamiento con la actividad de la unidad económica e impacto que generen, así como las demás características que se determinen.</w:t>
      </w:r>
    </w:p>
    <w:p w14:paraId="2238F5D4" w14:textId="77777777" w:rsidR="007A03CB" w:rsidRPr="00625633" w:rsidRDefault="0034483E">
      <w:pPr>
        <w:spacing w:after="0"/>
        <w:ind w:left="567" w:right="418"/>
        <w:jc w:val="both"/>
        <w:rPr>
          <w:rFonts w:ascii="Palatino Linotype" w:eastAsia="Palatino Linotype" w:hAnsi="Palatino Linotype" w:cs="Palatino Linotype"/>
          <w:i/>
        </w:rPr>
      </w:pPr>
      <w:r w:rsidRPr="00625633">
        <w:rPr>
          <w:rFonts w:ascii="Palatino Linotype" w:eastAsia="Palatino Linotype" w:hAnsi="Palatino Linotype" w:cs="Palatino Linotype"/>
          <w:i/>
        </w:rPr>
        <w:t>II…</w:t>
      </w:r>
    </w:p>
    <w:p w14:paraId="7E3B803B" w14:textId="77777777" w:rsidR="007A03CB" w:rsidRPr="00625633" w:rsidRDefault="0034483E">
      <w:pPr>
        <w:spacing w:after="0"/>
        <w:ind w:left="567" w:right="418"/>
        <w:jc w:val="both"/>
        <w:rPr>
          <w:rFonts w:ascii="Palatino Linotype" w:eastAsia="Palatino Linotype" w:hAnsi="Palatino Linotype" w:cs="Palatino Linotype"/>
          <w:i/>
        </w:rPr>
      </w:pPr>
      <w:r w:rsidRPr="00625633">
        <w:rPr>
          <w:rFonts w:ascii="Palatino Linotype" w:eastAsia="Palatino Linotype" w:hAnsi="Palatino Linotype" w:cs="Palatino Linotype"/>
          <w:b/>
          <w:i/>
        </w:rPr>
        <w:t xml:space="preserve">III. Operar, digitalizar y </w:t>
      </w:r>
      <w:r w:rsidRPr="00625633">
        <w:rPr>
          <w:rFonts w:ascii="Palatino Linotype" w:eastAsia="Palatino Linotype" w:hAnsi="Palatino Linotype" w:cs="Palatino Linotype"/>
          <w:b/>
          <w:i/>
          <w:u w:val="single"/>
        </w:rPr>
        <w:t>mantener, semanalmente actualizado, el registro municipal, a través de la Dirección de Desarrollo Económico o su equivalente,</w:t>
      </w:r>
      <w:r w:rsidRPr="00625633">
        <w:rPr>
          <w:rFonts w:ascii="Palatino Linotype" w:eastAsia="Palatino Linotype" w:hAnsi="Palatino Linotype" w:cs="Palatino Linotype"/>
          <w:i/>
        </w:rPr>
        <w:t xml:space="preserve"> que opere en su demarcación, el cual deberá publicarse en el portal de Internet del municipio.</w:t>
      </w:r>
    </w:p>
    <w:p w14:paraId="4BB35CCE" w14:textId="77777777" w:rsidR="007A03CB" w:rsidRPr="00625633" w:rsidRDefault="0034483E">
      <w:pPr>
        <w:spacing w:after="0"/>
        <w:ind w:left="567" w:right="418"/>
        <w:jc w:val="both"/>
        <w:rPr>
          <w:rFonts w:ascii="Palatino Linotype" w:eastAsia="Palatino Linotype" w:hAnsi="Palatino Linotype" w:cs="Palatino Linotype"/>
          <w:b/>
          <w:i/>
          <w:u w:val="single"/>
        </w:rPr>
      </w:pPr>
      <w:r w:rsidRPr="00625633">
        <w:rPr>
          <w:rFonts w:ascii="Palatino Linotype" w:eastAsia="Palatino Linotype" w:hAnsi="Palatino Linotype" w:cs="Palatino Linotype"/>
          <w:i/>
        </w:rPr>
        <w:t xml:space="preserve">IV. </w:t>
      </w:r>
      <w:r w:rsidRPr="00625633">
        <w:rPr>
          <w:rFonts w:ascii="Palatino Linotype" w:eastAsia="Palatino Linotype" w:hAnsi="Palatino Linotype" w:cs="Palatino Linotype"/>
          <w:b/>
          <w:i/>
          <w:u w:val="single"/>
        </w:rPr>
        <w:t>Enviar, dentro de los cinco días hábiles siguientes de cada mes calendario la actualización de su registro municipal, el informe correspondiente a las autoridades estatales, para actualizar el registro estatal.</w:t>
      </w:r>
    </w:p>
    <w:p w14:paraId="3AFC30F7" w14:textId="77777777" w:rsidR="007A03CB" w:rsidRPr="00625633" w:rsidRDefault="0034483E">
      <w:pPr>
        <w:spacing w:after="0"/>
        <w:ind w:left="567" w:right="418"/>
        <w:jc w:val="both"/>
        <w:rPr>
          <w:rFonts w:ascii="Palatino Linotype" w:eastAsia="Palatino Linotype" w:hAnsi="Palatino Linotype" w:cs="Palatino Linotype"/>
          <w:b/>
          <w:i/>
        </w:rPr>
      </w:pPr>
      <w:r w:rsidRPr="00625633">
        <w:rPr>
          <w:rFonts w:ascii="Palatino Linotype" w:eastAsia="Palatino Linotype" w:hAnsi="Palatino Linotype" w:cs="Palatino Linotype"/>
          <w:b/>
          <w:i/>
        </w:rPr>
        <w:lastRenderedPageBreak/>
        <w:t>V. Resguardar y actualizar el archivo físico y digital con los documentos requeridos por las leyes para la expedición y refrendo de las licencias correspondientes</w:t>
      </w:r>
    </w:p>
    <w:p w14:paraId="77EF3D4F" w14:textId="77777777" w:rsidR="007A03CB" w:rsidRPr="00625633" w:rsidRDefault="0034483E">
      <w:pPr>
        <w:spacing w:after="0"/>
        <w:ind w:left="567" w:right="418"/>
        <w:jc w:val="both"/>
        <w:rPr>
          <w:rFonts w:ascii="Palatino Linotype" w:eastAsia="Palatino Linotype" w:hAnsi="Palatino Linotype" w:cs="Palatino Linotype"/>
          <w:i/>
        </w:rPr>
      </w:pPr>
      <w:r w:rsidRPr="00625633">
        <w:rPr>
          <w:rFonts w:ascii="Palatino Linotype" w:eastAsia="Palatino Linotype" w:hAnsi="Palatino Linotype" w:cs="Palatino Linotype"/>
          <w:i/>
        </w:rPr>
        <w:t>VI a X…”</w:t>
      </w:r>
    </w:p>
    <w:p w14:paraId="300FE7C7" w14:textId="77777777" w:rsidR="007A03CB" w:rsidRPr="00625633" w:rsidRDefault="0034483E">
      <w:pPr>
        <w:spacing w:after="0"/>
        <w:ind w:left="567" w:right="418"/>
        <w:jc w:val="both"/>
        <w:rPr>
          <w:rFonts w:ascii="Palatino Linotype" w:eastAsia="Palatino Linotype" w:hAnsi="Palatino Linotype" w:cs="Palatino Linotype"/>
          <w:i/>
        </w:rPr>
      </w:pPr>
      <w:r w:rsidRPr="00625633">
        <w:rPr>
          <w:rFonts w:ascii="Palatino Linotype" w:eastAsia="Palatino Linotype" w:hAnsi="Palatino Linotype" w:cs="Palatino Linotype"/>
          <w:i/>
        </w:rPr>
        <w:t>(Énfasis Añadido)</w:t>
      </w:r>
    </w:p>
    <w:p w14:paraId="6D3B7C4E" w14:textId="77777777" w:rsidR="007A03CB" w:rsidRPr="00625633" w:rsidRDefault="007A03CB">
      <w:pPr>
        <w:spacing w:after="0" w:line="360" w:lineRule="auto"/>
        <w:ind w:right="539"/>
        <w:jc w:val="both"/>
        <w:rPr>
          <w:rFonts w:ascii="Palatino Linotype" w:eastAsia="Palatino Linotype" w:hAnsi="Palatino Linotype" w:cs="Palatino Linotype"/>
        </w:rPr>
      </w:pPr>
    </w:p>
    <w:p w14:paraId="1E1CB353" w14:textId="77777777" w:rsidR="007A03CB" w:rsidRPr="00625633" w:rsidRDefault="0034483E">
      <w:pP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Bajo esa misma premisa, en su artículo 10 de la Ley de Competitividad del Estado refiere que los registros tienen como finalidad crear una base de datos confiable, actualizada e integrada de las unidades económicas que se </w:t>
      </w:r>
      <w:proofErr w:type="spellStart"/>
      <w:r w:rsidRPr="00625633">
        <w:rPr>
          <w:rFonts w:ascii="Palatino Linotype" w:eastAsia="Palatino Linotype" w:hAnsi="Palatino Linotype" w:cs="Palatino Linotype"/>
        </w:rPr>
        <w:t>aperturen</w:t>
      </w:r>
      <w:proofErr w:type="spellEnd"/>
      <w:r w:rsidRPr="00625633">
        <w:rPr>
          <w:rFonts w:ascii="Palatino Linotype" w:eastAsia="Palatino Linotype" w:hAnsi="Palatino Linotype" w:cs="Palatino Linotype"/>
        </w:rPr>
        <w:t xml:space="preserve">, mismos que contendrán por lo menos los siguientes datos: </w:t>
      </w:r>
    </w:p>
    <w:p w14:paraId="4E183BB6" w14:textId="77777777" w:rsidR="007A03CB" w:rsidRPr="00625633" w:rsidRDefault="007A03CB">
      <w:pPr>
        <w:spacing w:after="0" w:line="360" w:lineRule="auto"/>
        <w:ind w:right="49"/>
        <w:jc w:val="both"/>
        <w:rPr>
          <w:rFonts w:ascii="Palatino Linotype" w:eastAsia="Palatino Linotype" w:hAnsi="Palatino Linotype" w:cs="Palatino Linotype"/>
        </w:rPr>
      </w:pPr>
    </w:p>
    <w:p w14:paraId="12B796AD"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rPr>
        <w:t>“</w:t>
      </w:r>
      <w:r w:rsidRPr="00625633">
        <w:rPr>
          <w:rFonts w:ascii="Palatino Linotype" w:eastAsia="Palatino Linotype" w:hAnsi="Palatino Linotype" w:cs="Palatino Linotype"/>
          <w:b/>
          <w:i/>
        </w:rPr>
        <w:t>Artículo 10</w:t>
      </w:r>
      <w:r w:rsidRPr="00625633">
        <w:rPr>
          <w:rFonts w:ascii="Palatino Linotype" w:eastAsia="Palatino Linotype" w:hAnsi="Palatino Linotype" w:cs="Palatino Linotype"/>
          <w:i/>
        </w:rPr>
        <w:t xml:space="preserve">. </w:t>
      </w:r>
      <w:r w:rsidRPr="00625633">
        <w:rPr>
          <w:rFonts w:ascii="Palatino Linotype" w:eastAsia="Palatino Linotype" w:hAnsi="Palatino Linotype" w:cs="Palatino Linotype"/>
          <w:b/>
          <w:i/>
        </w:rPr>
        <w:t xml:space="preserve">Los registros tienen como finalidad </w:t>
      </w:r>
      <w:r w:rsidRPr="00625633">
        <w:rPr>
          <w:rFonts w:ascii="Palatino Linotype" w:eastAsia="Palatino Linotype" w:hAnsi="Palatino Linotype" w:cs="Palatino Linotype"/>
          <w:b/>
          <w:i/>
          <w:u w:val="single"/>
        </w:rPr>
        <w:t>crear una base de datos confiable</w:t>
      </w:r>
      <w:r w:rsidRPr="00625633">
        <w:rPr>
          <w:rFonts w:ascii="Palatino Linotype" w:eastAsia="Palatino Linotype" w:hAnsi="Palatino Linotype" w:cs="Palatino Linotype"/>
          <w:b/>
          <w:i/>
        </w:rPr>
        <w:t xml:space="preserve">, </w:t>
      </w:r>
      <w:r w:rsidRPr="00625633">
        <w:rPr>
          <w:rFonts w:ascii="Palatino Linotype" w:eastAsia="Palatino Linotype" w:hAnsi="Palatino Linotype" w:cs="Palatino Linotype"/>
          <w:i/>
        </w:rPr>
        <w:t xml:space="preserve">actualizada e integrada a nivel estatal y municipal de las unidades económicas que se </w:t>
      </w:r>
      <w:proofErr w:type="spellStart"/>
      <w:r w:rsidRPr="00625633">
        <w:rPr>
          <w:rFonts w:ascii="Palatino Linotype" w:eastAsia="Palatino Linotype" w:hAnsi="Palatino Linotype" w:cs="Palatino Linotype"/>
          <w:i/>
        </w:rPr>
        <w:t>aperturen</w:t>
      </w:r>
      <w:proofErr w:type="spellEnd"/>
      <w:r w:rsidRPr="00625633">
        <w:rPr>
          <w:rFonts w:ascii="Palatino Linotype" w:eastAsia="Palatino Linotype" w:hAnsi="Palatino Linotype" w:cs="Palatino Linotype"/>
          <w:i/>
        </w:rPr>
        <w:t xml:space="preserve"> en el territorio de la Entidad.</w:t>
      </w:r>
    </w:p>
    <w:p w14:paraId="281C315B" w14:textId="77777777" w:rsidR="007A03CB" w:rsidRPr="00625633" w:rsidRDefault="007A03CB">
      <w:pPr>
        <w:spacing w:after="0"/>
        <w:ind w:left="567" w:right="616"/>
        <w:jc w:val="both"/>
        <w:rPr>
          <w:rFonts w:ascii="Palatino Linotype" w:eastAsia="Palatino Linotype" w:hAnsi="Palatino Linotype" w:cs="Palatino Linotype"/>
          <w:i/>
        </w:rPr>
      </w:pPr>
    </w:p>
    <w:p w14:paraId="5C9E46F9"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b/>
          <w:i/>
        </w:rPr>
        <w:t>Artículo 11.</w:t>
      </w:r>
      <w:r w:rsidRPr="00625633">
        <w:rPr>
          <w:rFonts w:ascii="Palatino Linotype" w:eastAsia="Palatino Linotype" w:hAnsi="Palatino Linotype" w:cs="Palatino Linotype"/>
          <w:i/>
        </w:rPr>
        <w:t xml:space="preserve"> </w:t>
      </w:r>
      <w:r w:rsidRPr="00625633">
        <w:rPr>
          <w:rFonts w:ascii="Palatino Linotype" w:eastAsia="Palatino Linotype" w:hAnsi="Palatino Linotype" w:cs="Palatino Linotype"/>
          <w:b/>
          <w:i/>
          <w:u w:val="single"/>
        </w:rPr>
        <w:t>El registro incluirá al menos los datos siguientes</w:t>
      </w:r>
      <w:r w:rsidRPr="00625633">
        <w:rPr>
          <w:rFonts w:ascii="Palatino Linotype" w:eastAsia="Palatino Linotype" w:hAnsi="Palatino Linotype" w:cs="Palatino Linotype"/>
          <w:i/>
        </w:rPr>
        <w:t>:</w:t>
      </w:r>
    </w:p>
    <w:p w14:paraId="3F15B345"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I. Clave única, que se integrará de una serie alfanumérica.</w:t>
      </w:r>
    </w:p>
    <w:p w14:paraId="3E8B3EB9"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II. Nombre del municipio.</w:t>
      </w:r>
    </w:p>
    <w:p w14:paraId="7EF2252E" w14:textId="77777777" w:rsidR="007A03CB" w:rsidRPr="00625633" w:rsidRDefault="0034483E">
      <w:pPr>
        <w:spacing w:after="0"/>
        <w:ind w:left="567" w:right="616"/>
        <w:jc w:val="both"/>
        <w:rPr>
          <w:rFonts w:ascii="Palatino Linotype" w:eastAsia="Palatino Linotype" w:hAnsi="Palatino Linotype" w:cs="Palatino Linotype"/>
          <w:b/>
          <w:i/>
          <w:u w:val="single"/>
        </w:rPr>
      </w:pPr>
      <w:r w:rsidRPr="00625633">
        <w:rPr>
          <w:rFonts w:ascii="Palatino Linotype" w:eastAsia="Palatino Linotype" w:hAnsi="Palatino Linotype" w:cs="Palatino Linotype"/>
          <w:b/>
          <w:i/>
          <w:u w:val="single"/>
        </w:rPr>
        <w:t>III. Nombre del titular.</w:t>
      </w:r>
    </w:p>
    <w:p w14:paraId="2A895E15" w14:textId="77777777" w:rsidR="007A03CB" w:rsidRPr="00625633" w:rsidRDefault="0034483E">
      <w:pPr>
        <w:spacing w:after="0"/>
        <w:ind w:left="567" w:right="616"/>
        <w:jc w:val="both"/>
        <w:rPr>
          <w:rFonts w:ascii="Palatino Linotype" w:eastAsia="Palatino Linotype" w:hAnsi="Palatino Linotype" w:cs="Palatino Linotype"/>
          <w:b/>
          <w:i/>
          <w:u w:val="single"/>
        </w:rPr>
      </w:pPr>
      <w:r w:rsidRPr="00625633">
        <w:rPr>
          <w:rFonts w:ascii="Palatino Linotype" w:eastAsia="Palatino Linotype" w:hAnsi="Palatino Linotype" w:cs="Palatino Linotype"/>
          <w:b/>
          <w:i/>
          <w:u w:val="single"/>
        </w:rPr>
        <w:t>IV. Actividad económica.</w:t>
      </w:r>
    </w:p>
    <w:p w14:paraId="72EB1595"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V. Fecha de inicio de actividades.</w:t>
      </w:r>
    </w:p>
    <w:p w14:paraId="3FA7D9AF"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VI. Tipo de impacto.</w:t>
      </w:r>
    </w:p>
    <w:p w14:paraId="2556DF6C" w14:textId="77777777" w:rsidR="007A03CB" w:rsidRPr="00625633" w:rsidRDefault="0034483E">
      <w:pPr>
        <w:spacing w:after="0"/>
        <w:ind w:left="567" w:right="616"/>
        <w:jc w:val="both"/>
        <w:rPr>
          <w:rFonts w:ascii="Palatino Linotype" w:eastAsia="Palatino Linotype" w:hAnsi="Palatino Linotype" w:cs="Palatino Linotype"/>
          <w:b/>
          <w:i/>
          <w:u w:val="single"/>
        </w:rPr>
      </w:pPr>
      <w:r w:rsidRPr="00625633">
        <w:rPr>
          <w:rFonts w:ascii="Palatino Linotype" w:eastAsia="Palatino Linotype" w:hAnsi="Palatino Linotype" w:cs="Palatino Linotype"/>
          <w:b/>
          <w:i/>
          <w:u w:val="single"/>
        </w:rPr>
        <w:t>VII. Domicilio de la unidad económica.</w:t>
      </w:r>
    </w:p>
    <w:p w14:paraId="10C60BB4"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VIII. Visitas y procedimientos de verificación en su caso.</w:t>
      </w:r>
    </w:p>
    <w:p w14:paraId="18BBA739"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IX. Sanciones en su caso.</w:t>
      </w:r>
    </w:p>
    <w:p w14:paraId="720AFD56"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X. Las demás que le confieran esta Ley y otras disposiciones aplicables.”</w:t>
      </w:r>
    </w:p>
    <w:p w14:paraId="2AA5BEF6" w14:textId="77777777" w:rsidR="007A03CB" w:rsidRPr="00625633" w:rsidRDefault="007A03CB">
      <w:pPr>
        <w:spacing w:after="0" w:line="360" w:lineRule="auto"/>
        <w:jc w:val="both"/>
        <w:rPr>
          <w:rFonts w:ascii="Palatino Linotype" w:eastAsia="Palatino Linotype" w:hAnsi="Palatino Linotype" w:cs="Palatino Linotype"/>
        </w:rPr>
      </w:pPr>
    </w:p>
    <w:p w14:paraId="339B9A71"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Aunado a lo anterior, sobre las unidades económicas dedicadas a la venta y/o distribución de bebidas alcohólicas el artículo 70 señala que la Dirección de Desarrollo Económico o unidad administrativa equivalente en el municipio creará y actualizará el registro de las unidades económicas que cuenten con el Dictamen de Giro, para la solicitud o refrendo de licencias de funcionamiento.</w:t>
      </w:r>
    </w:p>
    <w:p w14:paraId="7380A7EE"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lastRenderedPageBreak/>
        <w:t xml:space="preserve">De la normatividad citada, se desprende que corresponde al </w:t>
      </w:r>
      <w:r w:rsidRPr="00625633">
        <w:rPr>
          <w:rFonts w:ascii="Palatino Linotype" w:eastAsia="Palatino Linotype" w:hAnsi="Palatino Linotype" w:cs="Palatino Linotype"/>
          <w:b/>
        </w:rPr>
        <w:t>Sujeto Obligado</w:t>
      </w:r>
      <w:r w:rsidRPr="00625633">
        <w:rPr>
          <w:rFonts w:ascii="Palatino Linotype" w:eastAsia="Palatino Linotype" w:hAnsi="Palatino Linotype" w:cs="Palatino Linotype"/>
        </w:rPr>
        <w:t xml:space="preserve"> crear el registro municipal en donde se especifique el número de las licencias de funcionamiento con la actividad económica que realicen los particulares en las que se les denomina unidades económicas al lugar en donde realicen sus actividades y para ello los solicitantes deben cubrir ciertos requisitos que contiene los datos requeridos por el Particular. </w:t>
      </w:r>
    </w:p>
    <w:p w14:paraId="29B74F39" w14:textId="77777777" w:rsidR="007A03CB" w:rsidRPr="00625633" w:rsidRDefault="007A03CB">
      <w:pPr>
        <w:spacing w:after="0" w:line="360" w:lineRule="auto"/>
        <w:jc w:val="both"/>
        <w:rPr>
          <w:rFonts w:ascii="Palatino Linotype" w:eastAsia="Palatino Linotype" w:hAnsi="Palatino Linotype" w:cs="Palatino Linotype"/>
        </w:rPr>
      </w:pPr>
    </w:p>
    <w:p w14:paraId="7866F7A0"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Aunado a lo anterior, sobre la naturaleza de las licencias</w:t>
      </w:r>
      <w:r w:rsidRPr="00625633">
        <w:rPr>
          <w:rFonts w:ascii="Palatino Linotype" w:eastAsia="Palatino Linotype" w:hAnsi="Palatino Linotype" w:cs="Palatino Linotype"/>
          <w:i/>
        </w:rPr>
        <w:t xml:space="preserve">, </w:t>
      </w:r>
      <w:r w:rsidRPr="00625633">
        <w:rPr>
          <w:rFonts w:ascii="Palatino Linotype" w:eastAsia="Palatino Linotype" w:hAnsi="Palatino Linotype" w:cs="Palatino Linotype"/>
        </w:rPr>
        <w:t>se debe indicar que no sólo se trata de información pública, sino además que corresponde a las obligaciones de transparencia, de acuerdo a lo señalado en el artículo 92, fracción XXXII, de la Ley de Transparencia y Acceso a la Información Pública del Estado de México y Municipios, que se transcribe a continuación:</w:t>
      </w:r>
    </w:p>
    <w:p w14:paraId="21369EA0" w14:textId="77777777" w:rsidR="007A03CB" w:rsidRPr="00625633" w:rsidRDefault="007A03CB">
      <w:pPr>
        <w:spacing w:after="0" w:line="360" w:lineRule="auto"/>
        <w:ind w:right="-93"/>
        <w:jc w:val="both"/>
        <w:rPr>
          <w:rFonts w:ascii="Palatino Linotype" w:eastAsia="Palatino Linotype" w:hAnsi="Palatino Linotype" w:cs="Palatino Linotype"/>
        </w:rPr>
      </w:pPr>
    </w:p>
    <w:p w14:paraId="47703060" w14:textId="77777777" w:rsidR="007A03CB" w:rsidRPr="00625633" w:rsidRDefault="0034483E">
      <w:pPr>
        <w:spacing w:after="0"/>
        <w:ind w:left="567" w:right="418"/>
        <w:jc w:val="both"/>
        <w:rPr>
          <w:rFonts w:ascii="Palatino Linotype" w:eastAsia="Palatino Linotype" w:hAnsi="Palatino Linotype" w:cs="Palatino Linotype"/>
          <w:i/>
        </w:rPr>
      </w:pPr>
      <w:r w:rsidRPr="00625633">
        <w:rPr>
          <w:rFonts w:ascii="Palatino Linotype" w:eastAsia="Palatino Linotype" w:hAnsi="Palatino Linotype" w:cs="Palatino Linotype"/>
          <w:b/>
          <w:i/>
        </w:rPr>
        <w:t>“Artículo 92.</w:t>
      </w:r>
      <w:r w:rsidRPr="00625633">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5FC9AF5" w14:textId="77777777" w:rsidR="007A03CB" w:rsidRPr="00625633" w:rsidRDefault="0034483E">
      <w:pPr>
        <w:spacing w:after="0"/>
        <w:ind w:left="567" w:right="418"/>
        <w:jc w:val="both"/>
        <w:rPr>
          <w:rFonts w:ascii="Palatino Linotype" w:eastAsia="Palatino Linotype" w:hAnsi="Palatino Linotype" w:cs="Palatino Linotype"/>
          <w:b/>
          <w:i/>
        </w:rPr>
      </w:pPr>
      <w:r w:rsidRPr="00625633">
        <w:rPr>
          <w:rFonts w:ascii="Palatino Linotype" w:eastAsia="Palatino Linotype" w:hAnsi="Palatino Linotype" w:cs="Palatino Linotype"/>
          <w:b/>
          <w:i/>
        </w:rPr>
        <w:t>…</w:t>
      </w:r>
    </w:p>
    <w:p w14:paraId="36D178CE" w14:textId="77777777" w:rsidR="007A03CB" w:rsidRPr="00625633" w:rsidRDefault="0034483E">
      <w:pPr>
        <w:spacing w:after="0"/>
        <w:ind w:left="567" w:right="418"/>
        <w:jc w:val="both"/>
        <w:rPr>
          <w:rFonts w:ascii="Palatino Linotype" w:eastAsia="Palatino Linotype" w:hAnsi="Palatino Linotype" w:cs="Palatino Linotype"/>
          <w:b/>
          <w:i/>
        </w:rPr>
      </w:pPr>
      <w:r w:rsidRPr="00625633">
        <w:rPr>
          <w:rFonts w:ascii="Palatino Linotype" w:eastAsia="Palatino Linotype" w:hAnsi="Palatino Linotype" w:cs="Palatino Linotype"/>
          <w:b/>
          <w:i/>
        </w:rPr>
        <w:t xml:space="preserve">XXXII. </w:t>
      </w:r>
      <w:r w:rsidRPr="00625633">
        <w:rPr>
          <w:rFonts w:ascii="Palatino Linotype" w:eastAsia="Palatino Linotype" w:hAnsi="Palatino Linotype" w:cs="Palatino Linotype"/>
          <w:i/>
        </w:rPr>
        <w:t>Las concesiones, contratos, convenios, permisos</w:t>
      </w:r>
      <w:r w:rsidRPr="00625633">
        <w:rPr>
          <w:rFonts w:ascii="Palatino Linotype" w:eastAsia="Palatino Linotype" w:hAnsi="Palatino Linotype" w:cs="Palatino Linotype"/>
          <w:b/>
          <w:i/>
        </w:rPr>
        <w:t xml:space="preserve">, </w:t>
      </w:r>
      <w:r w:rsidRPr="00625633">
        <w:rPr>
          <w:rFonts w:ascii="Palatino Linotype" w:eastAsia="Palatino Linotype" w:hAnsi="Palatino Linotype" w:cs="Palatino Linotype"/>
          <w:b/>
          <w:i/>
          <w:u w:val="single"/>
        </w:rPr>
        <w:t>licencias o autorizaciones otorgados</w:t>
      </w:r>
      <w:r w:rsidRPr="00625633">
        <w:rPr>
          <w:rFonts w:ascii="Palatino Linotype" w:eastAsia="Palatino Linotype" w:hAnsi="Palatino Linotype" w:cs="Palatino Linotype"/>
          <w:i/>
        </w:rPr>
        <w:t>, especificando los titulares de aquéllos, debiendo publicarse su objeto, nombre o razón social del titular, vigencia, tipo, términos, condiciones, monto y modificaciones, así como si el procedimiento involucra el aprovechamiento de bienes, servicios y/o recursos públicos;</w:t>
      </w:r>
      <w:r w:rsidRPr="00625633">
        <w:rPr>
          <w:rFonts w:ascii="Palatino Linotype" w:eastAsia="Palatino Linotype" w:hAnsi="Palatino Linotype" w:cs="Palatino Linotype"/>
          <w:b/>
          <w:i/>
        </w:rPr>
        <w:t xml:space="preserve"> </w:t>
      </w:r>
    </w:p>
    <w:p w14:paraId="1D143B79" w14:textId="77777777" w:rsidR="007A03CB" w:rsidRPr="00625633" w:rsidRDefault="0034483E">
      <w:pPr>
        <w:spacing w:after="0"/>
        <w:ind w:left="567" w:right="418"/>
        <w:jc w:val="both"/>
        <w:rPr>
          <w:rFonts w:ascii="Palatino Linotype" w:eastAsia="Palatino Linotype" w:hAnsi="Palatino Linotype" w:cs="Palatino Linotype"/>
          <w:i/>
        </w:rPr>
      </w:pPr>
      <w:r w:rsidRPr="00625633">
        <w:rPr>
          <w:rFonts w:ascii="Palatino Linotype" w:eastAsia="Palatino Linotype" w:hAnsi="Palatino Linotype" w:cs="Palatino Linotype"/>
          <w:b/>
          <w:i/>
        </w:rPr>
        <w:t>…”</w:t>
      </w:r>
    </w:p>
    <w:p w14:paraId="2C3A531F" w14:textId="77777777" w:rsidR="007A03CB" w:rsidRPr="00625633" w:rsidRDefault="007A03CB">
      <w:pPr>
        <w:spacing w:after="0" w:line="360" w:lineRule="auto"/>
        <w:jc w:val="both"/>
        <w:rPr>
          <w:rFonts w:ascii="Palatino Linotype" w:eastAsia="Palatino Linotype" w:hAnsi="Palatino Linotype" w:cs="Palatino Linotype"/>
        </w:rPr>
      </w:pPr>
    </w:p>
    <w:p w14:paraId="54938EA6" w14:textId="77777777" w:rsidR="007A03CB" w:rsidRPr="00625633" w:rsidRDefault="0034483E">
      <w:pPr>
        <w:spacing w:after="0" w:line="360" w:lineRule="auto"/>
        <w:ind w:firstLine="1"/>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Expuesto lo anterior, se concluye que el </w:t>
      </w:r>
      <w:r w:rsidRPr="00625633">
        <w:rPr>
          <w:rFonts w:ascii="Palatino Linotype" w:eastAsia="Palatino Linotype" w:hAnsi="Palatino Linotype" w:cs="Palatino Linotype"/>
          <w:b/>
        </w:rPr>
        <w:t>Sujeto Obligado</w:t>
      </w:r>
      <w:r w:rsidRPr="00625633">
        <w:rPr>
          <w:rFonts w:ascii="Palatino Linotype" w:eastAsia="Palatino Linotype" w:hAnsi="Palatino Linotype" w:cs="Palatino Linotype"/>
        </w:rPr>
        <w:t xml:space="preserve"> cuenta con atribuciones para generar poseer y/o administrar la información solicitada, a través de la Dirección de Desarrollo Económico. </w:t>
      </w:r>
    </w:p>
    <w:p w14:paraId="3BD44D99" w14:textId="77777777" w:rsidR="007A03CB" w:rsidRPr="00625633" w:rsidRDefault="007A03CB">
      <w:pPr>
        <w:spacing w:after="0" w:line="360" w:lineRule="auto"/>
        <w:ind w:firstLine="1"/>
        <w:jc w:val="both"/>
        <w:rPr>
          <w:rFonts w:ascii="Palatino Linotype" w:eastAsia="Palatino Linotype" w:hAnsi="Palatino Linotype" w:cs="Palatino Linotype"/>
        </w:rPr>
      </w:pPr>
    </w:p>
    <w:p w14:paraId="5AB1B182" w14:textId="77777777" w:rsidR="007A03CB" w:rsidRPr="00625633" w:rsidRDefault="0034483E">
      <w:pPr>
        <w:spacing w:after="0" w:line="360" w:lineRule="auto"/>
        <w:ind w:firstLine="1"/>
        <w:jc w:val="both"/>
        <w:rPr>
          <w:rFonts w:ascii="Palatino Linotype" w:eastAsia="Palatino Linotype" w:hAnsi="Palatino Linotype" w:cs="Palatino Linotype"/>
          <w:b/>
        </w:rPr>
      </w:pPr>
      <w:r w:rsidRPr="00625633">
        <w:rPr>
          <w:rFonts w:ascii="Palatino Linotype" w:eastAsia="Palatino Linotype" w:hAnsi="Palatino Linotype" w:cs="Palatino Linotype"/>
        </w:rPr>
        <w:lastRenderedPageBreak/>
        <w:t xml:space="preserve">Ahora bien, en atención a los agravios hechos valer por la parte Recurrente, como se mencionó, el Sujeto Obligado mediante informe justificado, remitió un concentrado de unidades económicas 2024, en el que se advierte el nombre (dato que fue clasificado), razón social, comunidad y número de licencia de funcionamiento, sin embargo, </w:t>
      </w:r>
      <w:r w:rsidRPr="00625633">
        <w:rPr>
          <w:rFonts w:ascii="Palatino Linotype" w:eastAsia="Palatino Linotype" w:hAnsi="Palatino Linotype" w:cs="Palatino Linotype"/>
          <w:b/>
        </w:rPr>
        <w:t xml:space="preserve">no se proporcionó información relacionada con el giro, el domicilio y tampoco se envió el hipervínculo a las licencias. </w:t>
      </w:r>
    </w:p>
    <w:p w14:paraId="6DF3BAA4" w14:textId="77777777" w:rsidR="007A03CB" w:rsidRPr="00625633" w:rsidRDefault="007A03CB">
      <w:pPr>
        <w:spacing w:after="0" w:line="360" w:lineRule="auto"/>
        <w:ind w:firstLine="1"/>
        <w:jc w:val="both"/>
        <w:rPr>
          <w:rFonts w:ascii="Palatino Linotype" w:eastAsia="Palatino Linotype" w:hAnsi="Palatino Linotype" w:cs="Palatino Linotype"/>
          <w:b/>
        </w:rPr>
      </w:pPr>
    </w:p>
    <w:p w14:paraId="3A4C0D6E" w14:textId="77777777" w:rsidR="007A03CB" w:rsidRPr="00625633" w:rsidRDefault="0034483E">
      <w:pPr>
        <w:spacing w:after="0" w:line="360" w:lineRule="auto"/>
        <w:ind w:firstLine="1"/>
        <w:jc w:val="both"/>
        <w:rPr>
          <w:rFonts w:ascii="Palatino Linotype" w:eastAsia="Palatino Linotype" w:hAnsi="Palatino Linotype" w:cs="Palatino Linotype"/>
          <w:b/>
        </w:rPr>
      </w:pPr>
      <w:r w:rsidRPr="00625633">
        <w:rPr>
          <w:rFonts w:ascii="Palatino Linotype" w:eastAsia="Palatino Linotype" w:hAnsi="Palatino Linotype" w:cs="Palatino Linotype"/>
        </w:rPr>
        <w:t xml:space="preserve">En ese sentido, de conformidad con el artículo 11 de la Ley de Competitividad Estatal, la base de datos de las unidades económicas, debe contener el nombre del titular, la actividad económica y el domicilio de la unidad (no únicamente la comunidad), es por lo que, corroborando el concentrado de unidades económicas 2024 enviado por el Sujeto Obligado con lo señalado por la Ley, se considera que </w:t>
      </w:r>
      <w:r w:rsidRPr="00625633">
        <w:rPr>
          <w:rFonts w:ascii="Palatino Linotype" w:eastAsia="Palatino Linotype" w:hAnsi="Palatino Linotype" w:cs="Palatino Linotype"/>
          <w:b/>
        </w:rPr>
        <w:t>el Ayuntamiento entregó información incompleta.</w:t>
      </w:r>
    </w:p>
    <w:p w14:paraId="12AC0583" w14:textId="77777777" w:rsidR="007A03CB" w:rsidRPr="00625633" w:rsidRDefault="007A03CB">
      <w:pPr>
        <w:spacing w:after="0" w:line="360" w:lineRule="auto"/>
        <w:ind w:firstLine="1"/>
        <w:jc w:val="both"/>
        <w:rPr>
          <w:rFonts w:ascii="Palatino Linotype" w:eastAsia="Palatino Linotype" w:hAnsi="Palatino Linotype" w:cs="Palatino Linotype"/>
          <w:b/>
        </w:rPr>
      </w:pPr>
    </w:p>
    <w:p w14:paraId="6C5C302E" w14:textId="77777777" w:rsidR="007A03CB" w:rsidRPr="00625633" w:rsidRDefault="0034483E">
      <w:pPr>
        <w:spacing w:after="0" w:line="360" w:lineRule="auto"/>
        <w:ind w:firstLine="1"/>
        <w:jc w:val="both"/>
        <w:rPr>
          <w:rFonts w:ascii="Palatino Linotype" w:eastAsia="Palatino Linotype" w:hAnsi="Palatino Linotype" w:cs="Palatino Linotype"/>
        </w:rPr>
      </w:pPr>
      <w:r w:rsidRPr="00625633">
        <w:rPr>
          <w:rFonts w:ascii="Palatino Linotype" w:eastAsia="Palatino Linotype" w:hAnsi="Palatino Linotype" w:cs="Palatino Linotype"/>
        </w:rPr>
        <w:t>Asimismo, no pasa desapercibido mencionar que el Sujeto Obligado clasificó el nombre del titular de la licencia de funcionamiento, por lo que, es de destacar lo siguiente:</w:t>
      </w:r>
    </w:p>
    <w:p w14:paraId="27B13A64" w14:textId="77777777" w:rsidR="007A03CB" w:rsidRPr="00625633" w:rsidRDefault="007A03CB">
      <w:pPr>
        <w:spacing w:after="0" w:line="360" w:lineRule="auto"/>
        <w:ind w:firstLine="1"/>
        <w:jc w:val="both"/>
        <w:rPr>
          <w:rFonts w:ascii="Palatino Linotype" w:eastAsia="Palatino Linotype" w:hAnsi="Palatino Linotype" w:cs="Palatino Linotype"/>
        </w:rPr>
      </w:pPr>
    </w:p>
    <w:p w14:paraId="5519D489" w14:textId="77777777" w:rsidR="007A03CB" w:rsidRPr="00625633" w:rsidRDefault="0034483E">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625633">
        <w:rPr>
          <w:rFonts w:ascii="Palatino Linotype" w:eastAsia="Palatino Linotype" w:hAnsi="Palatino Linotype" w:cs="Palatino Linotype"/>
          <w:b/>
        </w:rPr>
        <w:t xml:space="preserve">Nombre del titular de la Licencia de funcionamiento (persona física): </w:t>
      </w:r>
      <w:r w:rsidRPr="00625633">
        <w:rPr>
          <w:rFonts w:ascii="Palatino Linotype" w:eastAsia="Palatino Linotype" w:hAnsi="Palatino Linotype" w:cs="Palatino Linotype"/>
        </w:rPr>
        <w:t xml:space="preserve">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625633">
        <w:rPr>
          <w:rFonts w:ascii="Palatino Linotype" w:eastAsia="Palatino Linotype" w:hAnsi="Palatino Linotype" w:cs="Palatino Linotype"/>
          <w:i/>
        </w:rPr>
        <w:t>per se</w:t>
      </w:r>
      <w:r w:rsidRPr="00625633">
        <w:rPr>
          <w:rFonts w:ascii="Palatino Linotype" w:eastAsia="Palatino Linotype" w:hAnsi="Palatino Linotype" w:cs="Palatino Linotype"/>
        </w:rPr>
        <w:t xml:space="preserve"> es un elemento que hace a una persona física identificada o identificable, por lo que, </w:t>
      </w:r>
      <w:r w:rsidRPr="00625633">
        <w:rPr>
          <w:rFonts w:ascii="Palatino Linotype" w:eastAsia="Palatino Linotype" w:hAnsi="Palatino Linotype" w:cs="Palatino Linotype"/>
          <w:b/>
        </w:rPr>
        <w:t>se considera un dato personal.</w:t>
      </w:r>
    </w:p>
    <w:p w14:paraId="5AFB6D2D" w14:textId="77777777" w:rsidR="007A03CB" w:rsidRPr="00625633" w:rsidRDefault="0034483E">
      <w:pPr>
        <w:spacing w:line="360" w:lineRule="auto"/>
        <w:ind w:left="567"/>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Sobre el tema, se tiene presente que este Instituto emitió el Criterio Relevante 01/18, de la Segunda Época de este Instituto, que establece que el nombre del titular de una </w:t>
      </w:r>
      <w:r w:rsidRPr="00625633">
        <w:rPr>
          <w:rFonts w:ascii="Palatino Linotype" w:eastAsia="Palatino Linotype" w:hAnsi="Palatino Linotype" w:cs="Palatino Linotype"/>
        </w:rPr>
        <w:lastRenderedPageBreak/>
        <w:t>licencia (persona física), como en el caso que nos ocupa, es información confidencial, cuando no involucra aprovechamiento de recursos públicos.</w:t>
      </w:r>
    </w:p>
    <w:p w14:paraId="7A983647" w14:textId="77777777" w:rsidR="007A03CB" w:rsidRPr="00625633" w:rsidRDefault="0034483E">
      <w:pPr>
        <w:ind w:left="567"/>
        <w:jc w:val="both"/>
        <w:rPr>
          <w:rFonts w:ascii="Palatino Linotype" w:eastAsia="Palatino Linotype" w:hAnsi="Palatino Linotype" w:cs="Palatino Linotype"/>
        </w:rPr>
      </w:pPr>
      <w:r w:rsidRPr="00625633">
        <w:rPr>
          <w:rFonts w:ascii="Palatino Linotype" w:eastAsia="Palatino Linotype" w:hAnsi="Palatino Linotype" w:cs="Palatino Linotype"/>
          <w:b/>
          <w:i/>
        </w:rPr>
        <w:t>“Nombre del titular de una licencia que no involucre el aprovechamiento de bienes, servicios y/o recursos públicos, constituye un dato personal susceptible de clasificar como confidencial.</w:t>
      </w:r>
      <w:r w:rsidRPr="00625633">
        <w:rPr>
          <w:rFonts w:ascii="Palatino Linotype" w:eastAsia="Palatino Linotype" w:hAnsi="Palatino Linotype" w:cs="Palatino Linotype"/>
          <w:i/>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3C674751" w14:textId="77777777" w:rsidR="007A03CB" w:rsidRPr="00625633" w:rsidRDefault="0034483E">
      <w:pPr>
        <w:spacing w:after="0" w:line="360" w:lineRule="auto"/>
        <w:ind w:left="567" w:right="-93"/>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w:t>
      </w:r>
      <w:r w:rsidRPr="00625633">
        <w:rPr>
          <w:rFonts w:ascii="Palatino Linotype" w:eastAsia="Palatino Linotype" w:hAnsi="Palatino Linotype" w:cs="Palatino Linotype"/>
        </w:rPr>
        <w:lastRenderedPageBreak/>
        <w:t>constituye un dato personal, a menos que se actualice alguno de los supuestos previamente señalados.</w:t>
      </w:r>
    </w:p>
    <w:p w14:paraId="6127BC46" w14:textId="77777777" w:rsidR="007A03CB" w:rsidRPr="00625633" w:rsidRDefault="007A03CB">
      <w:pPr>
        <w:spacing w:after="0" w:line="360" w:lineRule="auto"/>
        <w:ind w:left="567" w:right="-93"/>
        <w:jc w:val="both"/>
        <w:rPr>
          <w:rFonts w:ascii="Palatino Linotype" w:eastAsia="Palatino Linotype" w:hAnsi="Palatino Linotype" w:cs="Palatino Linotype"/>
        </w:rPr>
      </w:pPr>
    </w:p>
    <w:p w14:paraId="4C6EBF11" w14:textId="77777777" w:rsidR="007A03CB" w:rsidRPr="00625633" w:rsidRDefault="0034483E">
      <w:pPr>
        <w:spacing w:line="360" w:lineRule="auto"/>
        <w:ind w:left="567" w:right="-93"/>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No obstante, se considera que el nombre localizado en una </w:t>
      </w:r>
      <w:r w:rsidRPr="00625633">
        <w:rPr>
          <w:rFonts w:ascii="Palatino Linotype" w:eastAsia="Palatino Linotype" w:hAnsi="Palatino Linotype" w:cs="Palatino Linotype"/>
          <w:b/>
          <w:u w:val="single"/>
        </w:rPr>
        <w:t>licencia de funcionamiento</w:t>
      </w:r>
      <w:r w:rsidRPr="00625633">
        <w:rPr>
          <w:rFonts w:ascii="Palatino Linotype" w:eastAsia="Palatino Linotype" w:hAnsi="Palatino Linotype" w:cs="Palatino Linotype"/>
        </w:rPr>
        <w:t xml:space="preserve">, guarda cierto interés público, dado que cualquier actividad comercial, industrial o económica, es regulada por el Municipio de Jaltenco dentro de su circunscripción territorial, pues ayuda a transparentar la gestión pública, por lo que, no resulta procedente clasificar dicho dato, en términos del artículo 143 de la Ley de Transparencia y Acceso a la Información Pública del Estado de México y municipios. </w:t>
      </w:r>
    </w:p>
    <w:p w14:paraId="4FA4CFC2" w14:textId="77777777" w:rsidR="007A03CB" w:rsidRPr="00625633" w:rsidRDefault="0034483E">
      <w:pPr>
        <w:spacing w:after="0" w:line="360" w:lineRule="auto"/>
        <w:ind w:firstLine="1"/>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Por otro lado, en cuanto hace al hipervínculo de las licencias de funcionamiento, se advierte que la pretensión de la parte Recurrente es obtener las </w:t>
      </w:r>
      <w:r w:rsidRPr="00625633">
        <w:rPr>
          <w:rFonts w:ascii="Palatino Linotype" w:eastAsia="Palatino Linotype" w:hAnsi="Palatino Linotype" w:cs="Palatino Linotype"/>
          <w:b/>
        </w:rPr>
        <w:t xml:space="preserve">licencias de funcionamiento. </w:t>
      </w:r>
    </w:p>
    <w:p w14:paraId="00C3247D" w14:textId="77777777" w:rsidR="007A03CB" w:rsidRPr="00625633" w:rsidRDefault="007A03CB">
      <w:pPr>
        <w:spacing w:after="0" w:line="360" w:lineRule="auto"/>
        <w:ind w:firstLine="1"/>
        <w:jc w:val="both"/>
        <w:rPr>
          <w:rFonts w:ascii="Palatino Linotype" w:eastAsia="Palatino Linotype" w:hAnsi="Palatino Linotype" w:cs="Palatino Linotype"/>
        </w:rPr>
      </w:pPr>
    </w:p>
    <w:p w14:paraId="595B8F2C" w14:textId="77777777" w:rsidR="007A03CB" w:rsidRPr="00625633" w:rsidRDefault="0034483E">
      <w:pPr>
        <w:spacing w:after="0" w:line="360" w:lineRule="auto"/>
        <w:ind w:firstLine="1"/>
        <w:jc w:val="both"/>
        <w:rPr>
          <w:rFonts w:ascii="Palatino Linotype" w:eastAsia="Palatino Linotype" w:hAnsi="Palatino Linotype" w:cs="Palatino Linotype"/>
        </w:rPr>
      </w:pPr>
      <w:r w:rsidRPr="00625633">
        <w:rPr>
          <w:rFonts w:ascii="Palatino Linotype" w:eastAsia="Palatino Linotype" w:hAnsi="Palatino Linotype" w:cs="Palatino Linotype"/>
        </w:rPr>
        <w:t>En ese sentido, el Sujeto Obligado fue omiso en pronunciarse al respecto, situación por lo que resulta necesario traer a colación el Criterio 02/17 emitido por el Instituto Nacional de Transparencia, Acceso a la Información y Protección de Datos Personales el cual establece lo siguiente:</w:t>
      </w:r>
    </w:p>
    <w:p w14:paraId="28907AEE" w14:textId="77777777" w:rsidR="007A03CB" w:rsidRPr="00625633" w:rsidRDefault="007A03CB">
      <w:pPr>
        <w:pBdr>
          <w:top w:val="nil"/>
          <w:left w:val="nil"/>
          <w:bottom w:val="nil"/>
          <w:right w:val="nil"/>
          <w:between w:val="nil"/>
        </w:pBdr>
        <w:spacing w:after="0"/>
        <w:ind w:left="567" w:right="701"/>
        <w:jc w:val="both"/>
        <w:rPr>
          <w:rFonts w:ascii="Palatino Linotype" w:eastAsia="Palatino Linotype" w:hAnsi="Palatino Linotype" w:cs="Palatino Linotype"/>
          <w:i/>
        </w:rPr>
      </w:pPr>
    </w:p>
    <w:p w14:paraId="49C8C9A3" w14:textId="77777777" w:rsidR="007A03CB" w:rsidRPr="00625633" w:rsidRDefault="0034483E">
      <w:pPr>
        <w:pBdr>
          <w:top w:val="nil"/>
          <w:left w:val="nil"/>
          <w:bottom w:val="nil"/>
          <w:right w:val="nil"/>
          <w:between w:val="nil"/>
        </w:pBdr>
        <w:spacing w:after="0"/>
        <w:ind w:left="567" w:right="701"/>
        <w:jc w:val="both"/>
        <w:rPr>
          <w:rFonts w:ascii="Palatino Linotype" w:eastAsia="Palatino Linotype" w:hAnsi="Palatino Linotype" w:cs="Palatino Linotype"/>
          <w:i/>
        </w:rPr>
      </w:pPr>
      <w:r w:rsidRPr="00625633">
        <w:rPr>
          <w:rFonts w:ascii="Palatino Linotype" w:eastAsia="Palatino Linotype" w:hAnsi="Palatino Linotype" w:cs="Palatino Linotype"/>
          <w:b/>
          <w:i/>
        </w:rPr>
        <w:t>Congruencia y exhaustividad. Sus alcances para garantizar el derecho de acceso a la información.</w:t>
      </w:r>
      <w:r w:rsidRPr="00625633">
        <w:rPr>
          <w:rFonts w:ascii="Palatino Linotype" w:eastAsia="Palatino Linotype" w:hAnsi="Palatino Linotype" w:cs="Palatino Linotype"/>
          <w: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6EC4F80" w14:textId="77777777" w:rsidR="007A03CB" w:rsidRPr="00625633" w:rsidRDefault="007A03CB">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22B2C0D0" w14:textId="77777777" w:rsidR="007A03CB" w:rsidRPr="00625633" w:rsidRDefault="0034483E">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Es así, que los sujetos obligados para garantizar el derecho de acceso a la Información, deberán cumplir con los principios de exhaustividad y congruencia, esto es, que la congruencia </w:t>
      </w:r>
      <w:r w:rsidRPr="00625633">
        <w:rPr>
          <w:rFonts w:ascii="Palatino Linotype" w:eastAsia="Palatino Linotype" w:hAnsi="Palatino Linotype" w:cs="Palatino Linotype"/>
          <w:b/>
        </w:rPr>
        <w:t>implica que exista concordancia entre el requerimiento formulado por el particular y la respuesta proporcionada por el sujeto obligado</w:t>
      </w:r>
      <w:r w:rsidRPr="00625633">
        <w:rPr>
          <w:rFonts w:ascii="Palatino Linotype" w:eastAsia="Palatino Linotype" w:hAnsi="Palatino Linotype" w:cs="Palatino Linotype"/>
        </w:rPr>
        <w:t xml:space="preserve">, mientras que la exhaustividad establece que el sujeto obligado </w:t>
      </w:r>
      <w:r w:rsidRPr="00625633">
        <w:rPr>
          <w:rFonts w:ascii="Palatino Linotype" w:eastAsia="Palatino Linotype" w:hAnsi="Palatino Linotype" w:cs="Palatino Linotype"/>
          <w:b/>
        </w:rPr>
        <w:t>deberá atender de manera expresa cada uno de los puntos solicitados</w:t>
      </w:r>
      <w:r w:rsidRPr="00625633">
        <w:rPr>
          <w:rFonts w:ascii="Palatino Linotype" w:eastAsia="Palatino Linotype" w:hAnsi="Palatino Linotype" w:cs="Palatino Linotype"/>
        </w:rPr>
        <w:t xml:space="preserve">, situación que en el presente caso </w:t>
      </w:r>
      <w:r w:rsidRPr="00625633">
        <w:rPr>
          <w:rFonts w:ascii="Palatino Linotype" w:eastAsia="Palatino Linotype" w:hAnsi="Palatino Linotype" w:cs="Palatino Linotype"/>
          <w:b/>
          <w:u w:val="single"/>
        </w:rPr>
        <w:t>no aconteció</w:t>
      </w:r>
      <w:r w:rsidRPr="00625633">
        <w:rPr>
          <w:rFonts w:ascii="Palatino Linotype" w:eastAsia="Palatino Linotype" w:hAnsi="Palatino Linotype" w:cs="Palatino Linotype"/>
        </w:rPr>
        <w:t xml:space="preserve">, pues el Sujeto Obligado no fue exhaustivo, al no proporcionar el hipervínculo solicitado donde pudiera encontrar las licencias de funcionamiento. </w:t>
      </w:r>
    </w:p>
    <w:p w14:paraId="3E9BA0D6" w14:textId="77777777" w:rsidR="007A03CB" w:rsidRPr="00625633" w:rsidRDefault="007A03CB">
      <w:pPr>
        <w:spacing w:after="0" w:line="360" w:lineRule="auto"/>
        <w:jc w:val="both"/>
        <w:rPr>
          <w:rFonts w:ascii="Palatino Linotype" w:eastAsia="Palatino Linotype" w:hAnsi="Palatino Linotype" w:cs="Palatino Linotype"/>
        </w:rPr>
      </w:pPr>
    </w:p>
    <w:p w14:paraId="73761133"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Del mismo modo, resulta importante señalar que de la revisión al expediente electrónico no se advierte que, el Sujeto Obligado haya turnado la solicitud de información a la unidad administrativa competente, por lo que, es necesario referir que, el procedimiento para la atención a las solicitudes de acceso a la información, establecido en los artículos 151, 160, 162, 163, 164, 165 y 166, de la Ley de Transparencia y Acceso a la Información Pública del Estado de México y Municipios: </w:t>
      </w:r>
    </w:p>
    <w:p w14:paraId="137EBB1B" w14:textId="77777777" w:rsidR="007A03CB" w:rsidRPr="00625633" w:rsidRDefault="007A03CB">
      <w:pPr>
        <w:spacing w:after="0" w:line="360" w:lineRule="auto"/>
        <w:jc w:val="both"/>
        <w:rPr>
          <w:rFonts w:ascii="Palatino Linotype" w:eastAsia="Palatino Linotype" w:hAnsi="Palatino Linotype" w:cs="Palatino Linotype"/>
        </w:rPr>
      </w:pPr>
    </w:p>
    <w:p w14:paraId="7FDCABBC" w14:textId="77777777" w:rsidR="007A03CB" w:rsidRPr="00625633" w:rsidRDefault="0034483E">
      <w:pPr>
        <w:spacing w:after="0" w:line="360" w:lineRule="auto"/>
        <w:ind w:left="567"/>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4FB53C96" w14:textId="77777777" w:rsidR="007A03CB" w:rsidRPr="00625633" w:rsidRDefault="0034483E">
      <w:pPr>
        <w:spacing w:after="0" w:line="360" w:lineRule="auto"/>
        <w:ind w:left="567"/>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 La respuesta a los requerimientos informativos, deberá notificarse al interesado en el menor tiempo posible, que no podrá exceder de quince días hábiles, contados a partir del día siguiente a la presentación de esta. </w:t>
      </w:r>
    </w:p>
    <w:p w14:paraId="76E238E8" w14:textId="77777777" w:rsidR="007A03CB" w:rsidRPr="00625633" w:rsidRDefault="0034483E">
      <w:pPr>
        <w:spacing w:after="0" w:line="360" w:lineRule="auto"/>
        <w:ind w:left="567"/>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Excepcionalmente, el plazo referido podrá ampliarse por siete días hábiles más, cuando existan razones fundadas y motivadas, a través del Comité de Transparencia; </w:t>
      </w:r>
    </w:p>
    <w:p w14:paraId="5FAE0421" w14:textId="77777777" w:rsidR="007A03CB" w:rsidRPr="00625633" w:rsidRDefault="0034483E">
      <w:pPr>
        <w:spacing w:after="0" w:line="360" w:lineRule="auto"/>
        <w:ind w:left="567"/>
        <w:jc w:val="both"/>
        <w:rPr>
          <w:rFonts w:ascii="Palatino Linotype" w:eastAsia="Palatino Linotype" w:hAnsi="Palatino Linotype" w:cs="Palatino Linotype"/>
        </w:rPr>
      </w:pPr>
      <w:r w:rsidRPr="00625633">
        <w:rPr>
          <w:rFonts w:ascii="Palatino Linotype" w:eastAsia="Palatino Linotype" w:hAnsi="Palatino Linotype" w:cs="Palatino Linotype"/>
        </w:rPr>
        <w:lastRenderedPageBreak/>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31E15CE7" w14:textId="77777777" w:rsidR="007A03CB" w:rsidRPr="00625633" w:rsidRDefault="0034483E">
      <w:pPr>
        <w:spacing w:after="0" w:line="360" w:lineRule="auto"/>
        <w:ind w:left="567"/>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2DB5C783" w14:textId="77777777" w:rsidR="007A03CB" w:rsidRPr="00625633" w:rsidRDefault="0034483E">
      <w:pPr>
        <w:spacing w:after="0" w:line="360" w:lineRule="auto"/>
        <w:ind w:left="567"/>
        <w:jc w:val="both"/>
        <w:rPr>
          <w:rFonts w:ascii="Palatino Linotype" w:eastAsia="Palatino Linotype" w:hAnsi="Palatino Linotype" w:cs="Palatino Linotype"/>
        </w:rPr>
      </w:pPr>
      <w:r w:rsidRPr="00625633">
        <w:rPr>
          <w:rFonts w:ascii="Palatino Linotype" w:eastAsia="Palatino Linotype" w:hAnsi="Palatino Linotype" w:cs="Palatino Linotype"/>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31B3ABE8" w14:textId="77777777" w:rsidR="007A03CB" w:rsidRPr="00625633" w:rsidRDefault="007A03CB">
      <w:pPr>
        <w:spacing w:after="0" w:line="360" w:lineRule="auto"/>
        <w:jc w:val="both"/>
        <w:rPr>
          <w:rFonts w:ascii="Palatino Linotype" w:eastAsia="Palatino Linotype" w:hAnsi="Palatino Linotype" w:cs="Palatino Linotype"/>
        </w:rPr>
      </w:pPr>
    </w:p>
    <w:p w14:paraId="54D6A96A"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En este orden de ideas, se reitera que la Unidad de Transparencia no turnó la solicitud de información a la unidad administrativa competente, de conformidad con lo establecido en el artículo 162 de la Ley de Transparencia y Acceso a la Información Pública del Estado de México y Municipios, la cual de manera enunciativa más no limitativa sería la Dirección de Desarrollo Económico, de conformidad con lo que establece el artículo 96 </w:t>
      </w:r>
      <w:proofErr w:type="spellStart"/>
      <w:r w:rsidRPr="00625633">
        <w:rPr>
          <w:rFonts w:ascii="Palatino Linotype" w:eastAsia="Palatino Linotype" w:hAnsi="Palatino Linotype" w:cs="Palatino Linotype"/>
        </w:rPr>
        <w:t>Quárter</w:t>
      </w:r>
      <w:proofErr w:type="spellEnd"/>
      <w:r w:rsidRPr="00625633">
        <w:rPr>
          <w:rFonts w:ascii="Palatino Linotype" w:eastAsia="Palatino Linotype" w:hAnsi="Palatino Linotype" w:cs="Palatino Linotype"/>
        </w:rPr>
        <w:t xml:space="preserve"> de la Ley Orgánica Municipal del Estado de México: </w:t>
      </w:r>
    </w:p>
    <w:p w14:paraId="4A2E21F2" w14:textId="77777777" w:rsidR="007A03CB" w:rsidRPr="00625633" w:rsidRDefault="007A03CB">
      <w:pPr>
        <w:spacing w:after="0" w:line="360" w:lineRule="auto"/>
        <w:jc w:val="both"/>
        <w:rPr>
          <w:rFonts w:ascii="Palatino Linotype" w:eastAsia="Palatino Linotype" w:hAnsi="Palatino Linotype" w:cs="Palatino Linotype"/>
        </w:rPr>
      </w:pPr>
    </w:p>
    <w:p w14:paraId="66D923F8" w14:textId="77777777" w:rsidR="007A03CB" w:rsidRPr="00625633" w:rsidRDefault="0034483E">
      <w:pPr>
        <w:spacing w:after="0"/>
        <w:ind w:left="567" w:right="616"/>
        <w:jc w:val="both"/>
        <w:rPr>
          <w:rFonts w:ascii="Palatino Linotype" w:eastAsia="Palatino Linotype" w:hAnsi="Palatino Linotype" w:cs="Palatino Linotype"/>
          <w:b/>
          <w:i/>
        </w:rPr>
      </w:pPr>
      <w:r w:rsidRPr="00625633">
        <w:rPr>
          <w:rFonts w:ascii="Palatino Linotype" w:eastAsia="Palatino Linotype" w:hAnsi="Palatino Linotype" w:cs="Palatino Linotype"/>
          <w:i/>
        </w:rPr>
        <w:t>“</w:t>
      </w:r>
      <w:r w:rsidRPr="00625633">
        <w:rPr>
          <w:rFonts w:ascii="Palatino Linotype" w:eastAsia="Palatino Linotype" w:hAnsi="Palatino Linotype" w:cs="Palatino Linotype"/>
          <w:b/>
          <w:i/>
        </w:rPr>
        <w:t xml:space="preserve">Artículo 96 </w:t>
      </w:r>
      <w:proofErr w:type="spellStart"/>
      <w:proofErr w:type="gramStart"/>
      <w:r w:rsidRPr="00625633">
        <w:rPr>
          <w:rFonts w:ascii="Palatino Linotype" w:eastAsia="Palatino Linotype" w:hAnsi="Palatino Linotype" w:cs="Palatino Linotype"/>
          <w:b/>
          <w:i/>
        </w:rPr>
        <w:t>Quáter</w:t>
      </w:r>
      <w:proofErr w:type="spellEnd"/>
      <w:r w:rsidRPr="00625633">
        <w:rPr>
          <w:rFonts w:ascii="Palatino Linotype" w:eastAsia="Palatino Linotype" w:hAnsi="Palatino Linotype" w:cs="Palatino Linotype"/>
          <w:i/>
        </w:rPr>
        <w:t>.-</w:t>
      </w:r>
      <w:proofErr w:type="gramEnd"/>
      <w:r w:rsidRPr="00625633">
        <w:rPr>
          <w:rFonts w:ascii="Palatino Linotype" w:eastAsia="Palatino Linotype" w:hAnsi="Palatino Linotype" w:cs="Palatino Linotype"/>
          <w:i/>
        </w:rPr>
        <w:t xml:space="preserve"> El Titular de la </w:t>
      </w:r>
      <w:r w:rsidRPr="00625633">
        <w:rPr>
          <w:rFonts w:ascii="Palatino Linotype" w:eastAsia="Palatino Linotype" w:hAnsi="Palatino Linotype" w:cs="Palatino Linotype"/>
          <w:b/>
          <w:i/>
        </w:rPr>
        <w:t>Dirección de Desarrollo Económico Municipal</w:t>
      </w:r>
      <w:r w:rsidRPr="00625633">
        <w:rPr>
          <w:rFonts w:ascii="Palatino Linotype" w:eastAsia="Palatino Linotype" w:hAnsi="Palatino Linotype" w:cs="Palatino Linotype"/>
          <w:i/>
        </w:rPr>
        <w:t xml:space="preserve"> o el Titular de la Unidad Administrativa equivalente, tiene </w:t>
      </w:r>
      <w:r w:rsidRPr="00625633">
        <w:rPr>
          <w:rFonts w:ascii="Palatino Linotype" w:eastAsia="Palatino Linotype" w:hAnsi="Palatino Linotype" w:cs="Palatino Linotype"/>
          <w:b/>
          <w:i/>
        </w:rPr>
        <w:t>las siguientes atribuciones:</w:t>
      </w:r>
    </w:p>
    <w:p w14:paraId="3345BFE1"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p>
    <w:p w14:paraId="15DEEBF7"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lastRenderedPageBreak/>
        <w:t>II Bis. Impulsar y difundir la simplificación de trámites y reducción de plazos para el otorgamiento de permisos, licencias y autorizaciones del orden municipal, de conformidad con la Ley para la Mejora Regulatoria del Estado de México y Municipios, la Ley de Competitividad y Ordenamiento Comercial del Estado de México, la Ley de Fomento Económico del Estado de México, sus respectivos reglamentos y demás disposiciones jurídicas aplicables;</w:t>
      </w:r>
    </w:p>
    <w:p w14:paraId="240F1250"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p>
    <w:p w14:paraId="713E47A6"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XVIII. Conducir la coordinación interinstitucional de las dependencias municipales a las que corresponda conocer sobre </w:t>
      </w:r>
      <w:r w:rsidRPr="00625633">
        <w:rPr>
          <w:rFonts w:ascii="Palatino Linotype" w:eastAsia="Palatino Linotype" w:hAnsi="Palatino Linotype" w:cs="Palatino Linotype"/>
          <w:b/>
          <w:i/>
        </w:rPr>
        <w:t>el otorgamiento de permisos y licencias para la apertura y funcionamiento de unidades económicas</w:t>
      </w:r>
      <w:r w:rsidRPr="00625633">
        <w:rPr>
          <w:rFonts w:ascii="Palatino Linotype" w:eastAsia="Palatino Linotype" w:hAnsi="Palatino Linotype" w:cs="Palatino Linotype"/>
          <w:i/>
        </w:rPr>
        <w:t>;</w:t>
      </w:r>
    </w:p>
    <w:p w14:paraId="7D4F9B2B"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Para tal efecto, deberá garantizar que el otorgamiento de la licencia no esté sujeto al pago de contribuciones ni a donación alguna; la exigencia de cargas tributarias, dádivas o cualquier otro concepto que condicione su expedición será sancionada en términos de la Ley de Responsabilidades Administrativas del Estado de México y Municipios;</w:t>
      </w:r>
    </w:p>
    <w:p w14:paraId="7200C82A" w14:textId="77777777" w:rsidR="007A03CB" w:rsidRPr="00625633" w:rsidRDefault="0034483E">
      <w:pPr>
        <w:spacing w:after="0"/>
        <w:ind w:left="567" w:right="616"/>
        <w:jc w:val="both"/>
        <w:rPr>
          <w:rFonts w:ascii="Palatino Linotype" w:eastAsia="Palatino Linotype" w:hAnsi="Palatino Linotype" w:cs="Palatino Linotype"/>
        </w:rPr>
      </w:pPr>
      <w:r w:rsidRPr="00625633">
        <w:rPr>
          <w:rFonts w:ascii="Palatino Linotype" w:eastAsia="Palatino Linotype" w:hAnsi="Palatino Linotype" w:cs="Palatino Linotype"/>
          <w:i/>
        </w:rPr>
        <w:t xml:space="preserve">XIX. </w:t>
      </w:r>
      <w:r w:rsidRPr="00625633">
        <w:rPr>
          <w:rFonts w:ascii="Palatino Linotype" w:eastAsia="Palatino Linotype" w:hAnsi="Palatino Linotype" w:cs="Palatino Linotype"/>
          <w:b/>
          <w:i/>
        </w:rPr>
        <w:t>Operar y actualizar el Registro Municipal de Unidades Económicas de los permisos o licencias de funcionamiento otorgadas a las unidades económicas respectivas</w:t>
      </w:r>
      <w:r w:rsidRPr="00625633">
        <w:rPr>
          <w:rFonts w:ascii="Palatino Linotype" w:eastAsia="Palatino Linotype" w:hAnsi="Palatino Linotype" w:cs="Palatino Linotype"/>
          <w:i/>
        </w:rPr>
        <w:t xml:space="preserve">, así como remitir dentro de los cinco días hábiles siguientes los datos generados al Sistema que al efecto integre la Secretaría de Desarrollo Económico, a la Secretaría de Seguridad y a la </w:t>
      </w:r>
      <w:proofErr w:type="gramStart"/>
      <w:r w:rsidRPr="00625633">
        <w:rPr>
          <w:rFonts w:ascii="Palatino Linotype" w:eastAsia="Palatino Linotype" w:hAnsi="Palatino Linotype" w:cs="Palatino Linotype"/>
          <w:i/>
        </w:rPr>
        <w:t>Fiscalía General</w:t>
      </w:r>
      <w:proofErr w:type="gramEnd"/>
      <w:r w:rsidRPr="00625633">
        <w:rPr>
          <w:rFonts w:ascii="Palatino Linotype" w:eastAsia="Palatino Linotype" w:hAnsi="Palatino Linotype" w:cs="Palatino Linotype"/>
          <w:i/>
        </w:rPr>
        <w:t xml:space="preserve"> de Justicia del Estado de México, la información respectiva;</w:t>
      </w:r>
      <w:r w:rsidRPr="00625633">
        <w:rPr>
          <w:rFonts w:ascii="Palatino Linotype" w:eastAsia="Palatino Linotype" w:hAnsi="Palatino Linotype" w:cs="Palatino Linotype"/>
          <w:i/>
        </w:rPr>
        <w:br/>
        <w:t>…”</w:t>
      </w:r>
    </w:p>
    <w:p w14:paraId="230BE3BA" w14:textId="77777777" w:rsidR="007A03CB" w:rsidRPr="00625633" w:rsidRDefault="007A03CB">
      <w:pPr>
        <w:spacing w:after="0"/>
        <w:ind w:left="567" w:firstLine="1"/>
        <w:jc w:val="both"/>
        <w:rPr>
          <w:rFonts w:ascii="Palatino Linotype" w:eastAsia="Palatino Linotype" w:hAnsi="Palatino Linotype" w:cs="Palatino Linotype"/>
        </w:rPr>
      </w:pPr>
    </w:p>
    <w:p w14:paraId="1A2C22C6" w14:textId="77777777" w:rsidR="007A03CB" w:rsidRPr="00625633" w:rsidRDefault="0034483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Es por todo lo anterior que este Organismo Garante determina que los agravios hechos valer por el Particular en su recurso de revisión devienen </w:t>
      </w:r>
      <w:r w:rsidRPr="00625633">
        <w:rPr>
          <w:rFonts w:ascii="Palatino Linotype" w:eastAsia="Palatino Linotype" w:hAnsi="Palatino Linotype" w:cs="Palatino Linotype"/>
          <w:b/>
        </w:rPr>
        <w:t xml:space="preserve">fundados </w:t>
      </w:r>
      <w:r w:rsidRPr="00625633">
        <w:rPr>
          <w:rFonts w:ascii="Palatino Linotype" w:eastAsia="Palatino Linotype" w:hAnsi="Palatino Linotype" w:cs="Palatino Linotype"/>
        </w:rPr>
        <w:t xml:space="preserve">y, por ende, resulta procedente </w:t>
      </w:r>
      <w:r w:rsidRPr="00625633">
        <w:rPr>
          <w:rFonts w:ascii="Palatino Linotype" w:eastAsia="Palatino Linotype" w:hAnsi="Palatino Linotype" w:cs="Palatino Linotype"/>
          <w:b/>
        </w:rPr>
        <w:t xml:space="preserve">ordenar </w:t>
      </w:r>
      <w:r w:rsidRPr="00625633">
        <w:rPr>
          <w:rFonts w:ascii="Palatino Linotype" w:eastAsia="Palatino Linotype" w:hAnsi="Palatino Linotype" w:cs="Palatino Linotype"/>
        </w:rPr>
        <w:t xml:space="preserve">la entrega vía Sistema de Acceso a la Información Mexiquense y correo electrónico, de ser el caso en versión pública, lo siguiente: </w:t>
      </w:r>
    </w:p>
    <w:p w14:paraId="2A3ED55B" w14:textId="77777777" w:rsidR="007A03CB" w:rsidRPr="00625633" w:rsidRDefault="007A03C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78BCC37" w14:textId="77777777" w:rsidR="007A03CB" w:rsidRPr="00625633" w:rsidRDefault="0034483E">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El Registro Municipal de las licencias de funcionamiento otorgadas para la operación de establecimientos en los que se vende o consume bebidas alcohólicas, en donde conste, dirección de los establecimientos, nombres y/o razones sociales de los titulares y giro y/o actividad económica vigente al once de junio de dos mil veinticuatro. </w:t>
      </w:r>
    </w:p>
    <w:p w14:paraId="592630BF" w14:textId="77777777" w:rsidR="007A03CB" w:rsidRPr="00625633" w:rsidRDefault="0034483E">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lastRenderedPageBreak/>
        <w:t>Licencias de funcionamientos relativas a la actividad económica referida en la solicitud de información, vigentes al once de junio de dos mil veinticuatro.</w:t>
      </w:r>
    </w:p>
    <w:p w14:paraId="2928F644" w14:textId="77777777" w:rsidR="007A03CB" w:rsidRPr="00625633" w:rsidRDefault="007A03C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37C513E" w14:textId="77777777" w:rsidR="007A03CB" w:rsidRPr="00625633" w:rsidRDefault="0034483E">
      <w:pPr>
        <w:pBdr>
          <w:top w:val="nil"/>
          <w:left w:val="nil"/>
          <w:bottom w:val="nil"/>
          <w:right w:val="nil"/>
          <w:between w:val="nil"/>
        </w:pBd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Finalmente, es de señalar que, como ya se mencionó el </w:t>
      </w:r>
      <w:r w:rsidRPr="00625633">
        <w:rPr>
          <w:rFonts w:ascii="Palatino Linotype" w:eastAsia="Palatino Linotype" w:hAnsi="Palatino Linotype" w:cs="Palatino Linotype"/>
          <w:b/>
        </w:rPr>
        <w:t>Sujeto Obligado</w:t>
      </w:r>
      <w:r w:rsidRPr="00625633">
        <w:rPr>
          <w:rFonts w:ascii="Palatino Linotype" w:eastAsia="Palatino Linotype" w:hAnsi="Palatino Linotype" w:cs="Palatino Linotype"/>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625633">
        <w:rPr>
          <w:rFonts w:ascii="Palatino Linotype" w:eastAsia="Palatino Linotype" w:hAnsi="Palatino Linotype" w:cs="Palatino Linotype"/>
          <w:b/>
        </w:rPr>
        <w:t xml:space="preserve">ORDENA </w:t>
      </w:r>
      <w:r w:rsidRPr="00625633">
        <w:rPr>
          <w:rFonts w:ascii="Palatino Linotype" w:eastAsia="Palatino Linotype" w:hAnsi="Palatino Linotype" w:cs="Palatino Linotype"/>
        </w:rPr>
        <w:t>dar vista a la Secretaría Técnica del Pleno a efecto de que ejerza las atribuciones previstas en la normatividad aplicable y comunique al Órgano Interno de Control Competente para que éste último, en ejercicio de sus atribuciones resuelva lo conducente y determine en su caso el grado de responsabilidad en el incumplimiento de las obligaciones establecidas en la citada ley.</w:t>
      </w:r>
    </w:p>
    <w:p w14:paraId="73457663" w14:textId="77777777" w:rsidR="007A03CB" w:rsidRPr="00625633" w:rsidRDefault="007A03CB">
      <w:pPr>
        <w:spacing w:after="0" w:line="360" w:lineRule="auto"/>
        <w:jc w:val="both"/>
        <w:rPr>
          <w:rFonts w:ascii="Palatino Linotype" w:eastAsia="Palatino Linotype" w:hAnsi="Palatino Linotype" w:cs="Palatino Linotype"/>
        </w:rPr>
      </w:pPr>
    </w:p>
    <w:p w14:paraId="4ADB9D04"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Asimismo, no está por demás mencionar que, el Recurso de Revisión no es la vía para solicitar o imponer alguna sanción al Sujeto Obligado por no haber proporcionado respuesta en el plazo establecido por la Ley en la materia, de tal manera que, se dejan a salvo los derechos de la parte Recurrente para que acuda a la instancia competente a ejercer lo que a derecho corresponda. </w:t>
      </w:r>
    </w:p>
    <w:p w14:paraId="66236F67" w14:textId="77777777" w:rsidR="007A03CB" w:rsidRPr="00625633" w:rsidRDefault="007A03CB">
      <w:pPr>
        <w:spacing w:after="0" w:line="360" w:lineRule="auto"/>
        <w:jc w:val="both"/>
        <w:rPr>
          <w:rFonts w:ascii="Palatino Linotype" w:eastAsia="Palatino Linotype" w:hAnsi="Palatino Linotype" w:cs="Palatino Linotype"/>
        </w:rPr>
      </w:pPr>
    </w:p>
    <w:p w14:paraId="7875B129"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b/>
        </w:rPr>
        <w:t xml:space="preserve">Quinto. Versión Pública. </w:t>
      </w:r>
      <w:r w:rsidRPr="00625633">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561A5D91" w14:textId="77777777" w:rsidR="007A03CB" w:rsidRPr="00625633" w:rsidRDefault="007A03CB">
      <w:pPr>
        <w:spacing w:after="0" w:line="360" w:lineRule="auto"/>
        <w:jc w:val="both"/>
        <w:rPr>
          <w:rFonts w:ascii="Palatino Linotype" w:eastAsia="Palatino Linotype" w:hAnsi="Palatino Linotype" w:cs="Palatino Linotype"/>
        </w:rPr>
      </w:pPr>
    </w:p>
    <w:p w14:paraId="4C845E43"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En ese sentido, el Sujeto Obligado tendrá que elaborar la versión pública de los documentos que vaya a entregar para dar cumplimiento a esta resolución a fin de satisfacer el derecho de </w:t>
      </w:r>
      <w:r w:rsidRPr="00625633">
        <w:rPr>
          <w:rFonts w:ascii="Palatino Linotype" w:eastAsia="Palatino Linotype" w:hAnsi="Palatino Linotype" w:cs="Palatino Linotype"/>
        </w:rPr>
        <w:lastRenderedPageBreak/>
        <w:t>acceso a la información pública del recurrente sin menoscabar el derecho a la protección de los datos personales de terceros.</w:t>
      </w:r>
    </w:p>
    <w:p w14:paraId="0D212156" w14:textId="77777777" w:rsidR="007A03CB" w:rsidRPr="00625633" w:rsidRDefault="007A03CB">
      <w:pPr>
        <w:spacing w:after="0" w:line="360" w:lineRule="auto"/>
        <w:jc w:val="both"/>
        <w:rPr>
          <w:rFonts w:ascii="Palatino Linotype" w:eastAsia="Palatino Linotype" w:hAnsi="Palatino Linotype" w:cs="Palatino Linotype"/>
        </w:rPr>
      </w:pPr>
    </w:p>
    <w:p w14:paraId="4B08906C"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Ahora bien, es de destacar que, la información que se determina ordenar puede contener los siguientes datos: </w:t>
      </w:r>
    </w:p>
    <w:p w14:paraId="22995135" w14:textId="77777777" w:rsidR="007A03CB" w:rsidRPr="00625633" w:rsidRDefault="007A03CB">
      <w:pPr>
        <w:spacing w:after="0" w:line="360" w:lineRule="auto"/>
        <w:jc w:val="both"/>
        <w:rPr>
          <w:rFonts w:ascii="Palatino Linotype" w:eastAsia="Palatino Linotype" w:hAnsi="Palatino Linotype" w:cs="Palatino Linotype"/>
        </w:rPr>
      </w:pPr>
    </w:p>
    <w:p w14:paraId="6ECD2D27" w14:textId="77777777" w:rsidR="007A03CB" w:rsidRPr="00625633" w:rsidRDefault="0034483E">
      <w:pPr>
        <w:numPr>
          <w:ilvl w:val="0"/>
          <w:numId w:val="2"/>
        </w:numPr>
        <w:pBdr>
          <w:top w:val="nil"/>
          <w:left w:val="nil"/>
          <w:bottom w:val="nil"/>
          <w:right w:val="nil"/>
          <w:between w:val="nil"/>
        </w:pBdr>
        <w:spacing w:after="0" w:line="360" w:lineRule="auto"/>
        <w:ind w:right="51"/>
        <w:jc w:val="both"/>
        <w:rPr>
          <w:rFonts w:ascii="Palatino Linotype" w:eastAsia="Palatino Linotype" w:hAnsi="Palatino Linotype" w:cs="Palatino Linotype"/>
        </w:rPr>
      </w:pPr>
      <w:r w:rsidRPr="00625633">
        <w:rPr>
          <w:rFonts w:ascii="Palatino Linotype" w:eastAsia="Palatino Linotype" w:hAnsi="Palatino Linotype" w:cs="Palatino Linotype"/>
          <w:b/>
        </w:rPr>
        <w:t>Clave catastral</w:t>
      </w:r>
      <w:r w:rsidRPr="00625633">
        <w:rPr>
          <w:rFonts w:ascii="Palatino Linotype" w:eastAsia="Palatino Linotype" w:hAnsi="Palatino Linotype" w:cs="Palatino Linotype"/>
        </w:rPr>
        <w:t xml:space="preserve">. En lo que respecta a este dato artículo 179, fracción I del </w:t>
      </w:r>
      <w:r w:rsidRPr="00625633">
        <w:rPr>
          <w:rFonts w:ascii="Palatino Linotype" w:eastAsia="Palatino Linotype" w:hAnsi="Palatino Linotype" w:cs="Palatino Linotype"/>
          <w:i/>
        </w:rPr>
        <w:t>Código Financiero del Estado de México y Municipios,</w:t>
      </w:r>
      <w:r w:rsidRPr="00625633">
        <w:rPr>
          <w:rFonts w:ascii="Palatino Linotype" w:eastAsia="Palatino Linotype" w:hAnsi="Palatino Linotype" w:cs="Palatino Linotype"/>
        </w:rPr>
        <w:t xml:space="preserve">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504A1546" w14:textId="77777777" w:rsidR="007A03CB" w:rsidRPr="00625633" w:rsidRDefault="0034483E">
      <w:pPr>
        <w:pBdr>
          <w:top w:val="nil"/>
          <w:left w:val="nil"/>
          <w:bottom w:val="nil"/>
          <w:right w:val="nil"/>
          <w:between w:val="nil"/>
        </w:pBdr>
        <w:spacing w:after="0" w:line="360" w:lineRule="auto"/>
        <w:ind w:left="720" w:right="51"/>
        <w:jc w:val="both"/>
        <w:rPr>
          <w:rFonts w:ascii="Palatino Linotype" w:eastAsia="Palatino Linotype" w:hAnsi="Palatino Linotype" w:cs="Palatino Linotype"/>
        </w:rPr>
      </w:pPr>
      <w:r w:rsidRPr="00625633">
        <w:rPr>
          <w:rFonts w:ascii="Palatino Linotype" w:eastAsia="Palatino Linotype" w:hAnsi="Palatino Linotype" w:cs="Palatino Linotype"/>
        </w:rPr>
        <w:t>Conforme a lo descrito, se advierte que el dato en comento hace referencia a un predio determinado.</w:t>
      </w:r>
    </w:p>
    <w:p w14:paraId="451EEBAE" w14:textId="77777777" w:rsidR="007A03CB" w:rsidRPr="00625633" w:rsidRDefault="0034483E">
      <w:pPr>
        <w:pBdr>
          <w:top w:val="nil"/>
          <w:left w:val="nil"/>
          <w:bottom w:val="nil"/>
          <w:right w:val="nil"/>
          <w:between w:val="nil"/>
        </w:pBdr>
        <w:spacing w:after="0" w:line="360" w:lineRule="auto"/>
        <w:ind w:left="720" w:right="51"/>
        <w:jc w:val="both"/>
        <w:rPr>
          <w:rFonts w:ascii="Palatino Linotype" w:eastAsia="Palatino Linotype" w:hAnsi="Palatino Linotype" w:cs="Palatino Linotype"/>
        </w:rPr>
      </w:pPr>
      <w:r w:rsidRPr="00625633">
        <w:rPr>
          <w:rFonts w:ascii="Palatino Linotype" w:eastAsia="Palatino Linotype" w:hAnsi="Palatino Linotype" w:cs="Palatino Linotype"/>
        </w:rPr>
        <w:t>El “Diccionario de Datos catastrales Escala 1:1000” del Instituto Nacional de Estadística y Geografía (INEGI), contempla en su Glosario la definición de la Clave Catastral, la cual, apunta lo siguiente:</w:t>
      </w:r>
    </w:p>
    <w:p w14:paraId="4E445677" w14:textId="77777777" w:rsidR="007A03CB" w:rsidRPr="00625633" w:rsidRDefault="007A03CB">
      <w:pPr>
        <w:pBdr>
          <w:top w:val="nil"/>
          <w:left w:val="nil"/>
          <w:bottom w:val="nil"/>
          <w:right w:val="nil"/>
          <w:between w:val="nil"/>
        </w:pBdr>
        <w:spacing w:after="0" w:line="360" w:lineRule="auto"/>
        <w:ind w:left="720" w:right="51"/>
        <w:jc w:val="both"/>
        <w:rPr>
          <w:rFonts w:ascii="Palatino Linotype" w:eastAsia="Palatino Linotype" w:hAnsi="Palatino Linotype" w:cs="Palatino Linotype"/>
        </w:rPr>
      </w:pPr>
    </w:p>
    <w:p w14:paraId="2EB5EE6B" w14:textId="77777777" w:rsidR="007A03CB" w:rsidRPr="00625633" w:rsidRDefault="0034483E">
      <w:pPr>
        <w:spacing w:after="0"/>
        <w:ind w:left="851"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r w:rsidRPr="00625633">
        <w:rPr>
          <w:rFonts w:ascii="Palatino Linotype" w:eastAsia="Palatino Linotype" w:hAnsi="Palatino Linotype" w:cs="Palatino Linotype"/>
          <w:b/>
          <w:i/>
        </w:rPr>
        <w:t>Clave Catastral</w:t>
      </w:r>
      <w:r w:rsidRPr="00625633">
        <w:rPr>
          <w:rFonts w:ascii="Palatino Linotype" w:eastAsia="Palatino Linotype" w:hAnsi="Palatino Linotype" w:cs="Palatino Linotype"/>
          <w:i/>
        </w:rPr>
        <w:t>: El código que identifica al predio de forma única para su localización geográfica, mismo que es asignado a cada uno de ellos en el momento de su inscripción en el padrón catastral por las Unidades del Estado con atribuciones catastrales.”</w:t>
      </w:r>
    </w:p>
    <w:p w14:paraId="14885AE3" w14:textId="77777777" w:rsidR="007A03CB" w:rsidRPr="00625633" w:rsidRDefault="007A03CB">
      <w:pPr>
        <w:spacing w:after="0"/>
        <w:ind w:right="616"/>
        <w:jc w:val="both"/>
        <w:rPr>
          <w:rFonts w:ascii="Palatino Linotype" w:eastAsia="Palatino Linotype" w:hAnsi="Palatino Linotype" w:cs="Palatino Linotype"/>
          <w:i/>
        </w:rPr>
      </w:pPr>
    </w:p>
    <w:p w14:paraId="4E136C0A" w14:textId="77777777" w:rsidR="007A03CB" w:rsidRPr="00625633" w:rsidRDefault="0034483E">
      <w:pPr>
        <w:spacing w:after="0" w:line="360" w:lineRule="auto"/>
        <w:ind w:left="709" w:right="134"/>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De los conceptos antepuestos, se advierte que la Clave Catastral es una serie de elementos que hacen identificable un inmueble para su localización geográfica y posterior inscripción al padrón catastral de cada Entidad Federativa y, quizá hasta podría revelar información inherente al patrimonio del propietario de dicho predio o </w:t>
      </w:r>
      <w:r w:rsidRPr="00625633">
        <w:rPr>
          <w:rFonts w:ascii="Palatino Linotype" w:eastAsia="Palatino Linotype" w:hAnsi="Palatino Linotype" w:cs="Palatino Linotype"/>
        </w:rPr>
        <w:lastRenderedPageBreak/>
        <w:t>inmueble, lo que no otorga ni certeza jurídica ni abona a la transparencia, ya que no se trata de actos de autoridad que ayuden a hacer público el quehacer de los servidores, por lo cual se considera que no es procedente la entrega de dicho dato.</w:t>
      </w:r>
    </w:p>
    <w:p w14:paraId="5A24909A" w14:textId="77777777" w:rsidR="007A03CB" w:rsidRPr="00625633" w:rsidRDefault="0034483E">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b/>
        </w:rPr>
        <w:t>Nombre de representante legal</w:t>
      </w:r>
      <w:r w:rsidRPr="00625633">
        <w:rPr>
          <w:rFonts w:ascii="Palatino Linotype" w:eastAsia="Palatino Linotype" w:hAnsi="Palatino Linotype" w:cs="Palatino Linotype"/>
        </w:rPr>
        <w:t>. Resulta necesario señalar que las personas jurídico colectivas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solicitar y recibir diversas Licencias de Funcionamiento.</w:t>
      </w:r>
    </w:p>
    <w:p w14:paraId="47CC3D09" w14:textId="77777777" w:rsidR="007A03CB" w:rsidRPr="00625633" w:rsidRDefault="0034483E">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sidRPr="00625633">
        <w:rPr>
          <w:rFonts w:ascii="Palatino Linotype" w:eastAsia="Palatino Linotype" w:hAnsi="Palatino Linotype" w:cs="Palatino Linotype"/>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014E5AFD" w14:textId="77777777" w:rsidR="007A03CB" w:rsidRPr="00625633" w:rsidRDefault="0034483E">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sidRPr="00625633">
        <w:rPr>
          <w:rFonts w:ascii="Palatino Linotype" w:eastAsia="Palatino Linotype" w:hAnsi="Palatino Linotype" w:cs="Palatino Linotype"/>
        </w:rPr>
        <w:t>En esa tesitura, la representación de las personas morales se realizará por medio de representantes o apoderados, y en el caso específico de las sociedades mercantiles, dicha representación se otorgará mediante instrumento público.</w:t>
      </w:r>
    </w:p>
    <w:p w14:paraId="360551C9" w14:textId="77777777" w:rsidR="007A03CB" w:rsidRPr="00625633" w:rsidRDefault="0034483E">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sidRPr="00625633">
        <w:rPr>
          <w:rFonts w:ascii="Palatino Linotype" w:eastAsia="Palatino Linotype" w:hAnsi="Palatino Linotype" w:cs="Palatino Linotype"/>
        </w:rPr>
        <w:t>Ello, toda vez que la representación legal debe ser conocida para surtir efectos ante terceros; es decir, la publicidad de la misma tiene por objeto dar certeza a quienes se relacionan con la persona jurídico-colectiva representada, que las actuaciones de su representante están previamente autorizadas y que surtirán efectos legales a que constriñe cada acto.</w:t>
      </w:r>
    </w:p>
    <w:p w14:paraId="051F5681" w14:textId="77777777" w:rsidR="007A03CB" w:rsidRPr="00625633" w:rsidRDefault="0034483E">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625633">
        <w:rPr>
          <w:rFonts w:ascii="Palatino Linotype" w:eastAsia="Palatino Linotype" w:hAnsi="Palatino Linotype" w:cs="Palatino Linotype"/>
          <w:b/>
        </w:rPr>
        <w:t xml:space="preserve">es público, </w:t>
      </w:r>
      <w:r w:rsidRPr="00625633">
        <w:rPr>
          <w:rFonts w:ascii="Palatino Linotype" w:eastAsia="Palatino Linotype" w:hAnsi="Palatino Linotype" w:cs="Palatino Linotype"/>
        </w:rPr>
        <w:t xml:space="preserve">toda vez que por conducto </w:t>
      </w:r>
      <w:r w:rsidRPr="00625633">
        <w:rPr>
          <w:rFonts w:ascii="Palatino Linotype" w:eastAsia="Palatino Linotype" w:hAnsi="Palatino Linotype" w:cs="Palatino Linotype"/>
        </w:rPr>
        <w:lastRenderedPageBreak/>
        <w:t xml:space="preserve">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1E464092" w14:textId="77777777" w:rsidR="007A03CB" w:rsidRPr="00625633" w:rsidRDefault="0034483E">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sidRPr="00625633">
        <w:rPr>
          <w:rFonts w:ascii="Palatino Linotype" w:eastAsia="Palatino Linotype" w:hAnsi="Palatino Linotype" w:cs="Palatino Linotype"/>
        </w:rPr>
        <w:t>Lo anterior, se robustece con el criterio 01/19, emitido por el Instituto Nacional de Transparencia, Acceso a la Información Pública y Protección de Datos Personales, que establece lo siguiente:</w:t>
      </w:r>
    </w:p>
    <w:p w14:paraId="0827F33D" w14:textId="77777777" w:rsidR="007A03CB" w:rsidRPr="00625633" w:rsidRDefault="007A03CB">
      <w:pPr>
        <w:spacing w:after="0" w:line="360" w:lineRule="auto"/>
        <w:ind w:left="567" w:right="567"/>
        <w:jc w:val="both"/>
        <w:rPr>
          <w:rFonts w:ascii="Palatino Linotype" w:eastAsia="Palatino Linotype" w:hAnsi="Palatino Linotype" w:cs="Palatino Linotype"/>
          <w:b/>
          <w:i/>
        </w:rPr>
      </w:pPr>
    </w:p>
    <w:p w14:paraId="7FAB2899" w14:textId="77777777" w:rsidR="007A03CB" w:rsidRPr="00625633" w:rsidRDefault="0034483E">
      <w:pPr>
        <w:spacing w:after="0"/>
        <w:ind w:left="851" w:right="616"/>
        <w:jc w:val="both"/>
        <w:rPr>
          <w:rFonts w:ascii="Palatino Linotype" w:eastAsia="Palatino Linotype" w:hAnsi="Palatino Linotype" w:cs="Palatino Linotype"/>
          <w:i/>
        </w:rPr>
      </w:pPr>
      <w:r w:rsidRPr="00625633">
        <w:rPr>
          <w:rFonts w:ascii="Palatino Linotype" w:eastAsia="Palatino Linotype" w:hAnsi="Palatino Linotype" w:cs="Palatino Linotype"/>
          <w:b/>
          <w:i/>
        </w:rPr>
        <w:t>“Datos de identificación del representante o apoderado legal.</w:t>
      </w:r>
      <w:r w:rsidRPr="00625633">
        <w:rPr>
          <w:rFonts w:ascii="Palatino Linotype" w:eastAsia="Palatino Linotype" w:hAnsi="Palatino Linotype" w:cs="Palatino Linotype"/>
          <w:i/>
        </w:rPr>
        <w:t xml:space="preserve"> </w:t>
      </w:r>
      <w:r w:rsidRPr="00625633">
        <w:rPr>
          <w:rFonts w:ascii="Palatino Linotype" w:eastAsia="Palatino Linotype" w:hAnsi="Palatino Linotype" w:cs="Palatino Linotype"/>
          <w:b/>
          <w:i/>
        </w:rPr>
        <w:t xml:space="preserve">Naturaleza jurídica. </w:t>
      </w:r>
      <w:r w:rsidRPr="00625633">
        <w:rPr>
          <w:rFonts w:ascii="Palatino Linotype" w:eastAsia="Palatino Linotype" w:hAnsi="Palatino Linotype" w:cs="Palatino Linotype"/>
          <w:i/>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roofErr w:type="gramStart"/>
      <w:r w:rsidRPr="00625633">
        <w:rPr>
          <w:rFonts w:ascii="Palatino Linotype" w:eastAsia="Palatino Linotype" w:hAnsi="Palatino Linotype" w:cs="Palatino Linotype"/>
          <w:i/>
        </w:rPr>
        <w:t>.”(</w:t>
      </w:r>
      <w:proofErr w:type="gramEnd"/>
      <w:r w:rsidRPr="00625633">
        <w:rPr>
          <w:rFonts w:ascii="Palatino Linotype" w:eastAsia="Palatino Linotype" w:hAnsi="Palatino Linotype" w:cs="Palatino Linotype"/>
          <w:i/>
        </w:rPr>
        <w:t>Sic)</w:t>
      </w:r>
    </w:p>
    <w:p w14:paraId="644173AF" w14:textId="77777777" w:rsidR="007A03CB" w:rsidRPr="00625633" w:rsidRDefault="007A03CB">
      <w:pPr>
        <w:spacing w:after="0" w:line="360" w:lineRule="auto"/>
        <w:jc w:val="both"/>
        <w:rPr>
          <w:rFonts w:ascii="Palatino Linotype" w:eastAsia="Palatino Linotype" w:hAnsi="Palatino Linotype" w:cs="Palatino Linotype"/>
        </w:rPr>
      </w:pPr>
    </w:p>
    <w:p w14:paraId="3DFFF563" w14:textId="77777777" w:rsidR="007A03CB" w:rsidRPr="00625633" w:rsidRDefault="0034483E">
      <w:pPr>
        <w:spacing w:after="0" w:line="360" w:lineRule="auto"/>
        <w:ind w:left="567"/>
        <w:jc w:val="both"/>
        <w:rPr>
          <w:rFonts w:ascii="Palatino Linotype" w:eastAsia="Palatino Linotype" w:hAnsi="Palatino Linotype" w:cs="Palatino Linotype"/>
        </w:rPr>
      </w:pPr>
      <w:r w:rsidRPr="00625633">
        <w:rPr>
          <w:rFonts w:ascii="Palatino Linotype" w:eastAsia="Palatino Linotype" w:hAnsi="Palatino Linotype" w:cs="Palatino Linotype"/>
        </w:rPr>
        <w:t>Ante tales situaciones, el nombre del representante legal, de una persona jurídica colectiva que solicito una Licencia de Funcionamiento, no es susceptible de ser clasificado como confidencial, en términos del artículo 143, fracción I de la Ley Federal de Transparencia y Acceso a la Información Pública; inclusive ayuda a rendir cuentas, de que dicha autorización fue entregada a la persona adecuada.</w:t>
      </w:r>
    </w:p>
    <w:p w14:paraId="1F75B7A0" w14:textId="77777777" w:rsidR="007A03CB" w:rsidRPr="00625633" w:rsidRDefault="007A03CB">
      <w:pPr>
        <w:spacing w:after="0" w:line="360" w:lineRule="auto"/>
        <w:ind w:right="51"/>
        <w:jc w:val="both"/>
        <w:rPr>
          <w:rFonts w:ascii="Palatino Linotype" w:eastAsia="Palatino Linotype" w:hAnsi="Palatino Linotype" w:cs="Palatino Linotype"/>
        </w:rPr>
      </w:pPr>
    </w:p>
    <w:p w14:paraId="021234BE" w14:textId="77777777" w:rsidR="007A03CB" w:rsidRPr="00625633" w:rsidRDefault="0034483E">
      <w:pPr>
        <w:numPr>
          <w:ilvl w:val="0"/>
          <w:numId w:val="2"/>
        </w:num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625633">
        <w:rPr>
          <w:rFonts w:ascii="Palatino Linotype" w:eastAsia="Palatino Linotype" w:hAnsi="Palatino Linotype" w:cs="Palatino Linotype"/>
          <w:b/>
        </w:rPr>
        <w:t>Domicilio particular del titular de la licencia de funcionamiento y el domicilio del local o establecimiento comercial</w:t>
      </w:r>
      <w:r w:rsidRPr="00625633">
        <w:rPr>
          <w:rFonts w:ascii="Palatino Linotype" w:eastAsia="Palatino Linotype" w:hAnsi="Palatino Linotype" w:cs="Palatino Linotype"/>
        </w:rPr>
        <w:t>, es dable precisar que el código civil, lo define de la siguiente manera:</w:t>
      </w:r>
    </w:p>
    <w:p w14:paraId="0F7E18AB" w14:textId="77777777" w:rsidR="007A03CB" w:rsidRPr="00625633" w:rsidRDefault="007A03CB">
      <w:pPr>
        <w:spacing w:after="0" w:line="360" w:lineRule="auto"/>
        <w:jc w:val="both"/>
        <w:rPr>
          <w:rFonts w:ascii="Palatino Linotype" w:eastAsia="Palatino Linotype" w:hAnsi="Palatino Linotype" w:cs="Palatino Linotype"/>
        </w:rPr>
      </w:pPr>
    </w:p>
    <w:p w14:paraId="73852213" w14:textId="77777777" w:rsidR="007A03CB" w:rsidRPr="00625633" w:rsidRDefault="0034483E">
      <w:pPr>
        <w:spacing w:after="0"/>
        <w:ind w:left="851" w:right="618"/>
        <w:jc w:val="both"/>
        <w:rPr>
          <w:rFonts w:ascii="Palatino Linotype" w:eastAsia="Palatino Linotype" w:hAnsi="Palatino Linotype" w:cs="Palatino Linotype"/>
        </w:rPr>
      </w:pPr>
      <w:r w:rsidRPr="00625633">
        <w:rPr>
          <w:rFonts w:ascii="Palatino Linotype" w:eastAsia="Palatino Linotype" w:hAnsi="Palatino Linotype" w:cs="Palatino Linotype"/>
          <w:i/>
        </w:rPr>
        <w:t xml:space="preserve">“Concepto de domicilio de las personas físicas Artículo 2.17.- El domicilio de una persona física es el lugar donde reside con el propósito de establecerse en él; a falta de </w:t>
      </w:r>
      <w:r w:rsidRPr="00625633">
        <w:rPr>
          <w:rFonts w:ascii="Palatino Linotype" w:eastAsia="Palatino Linotype" w:hAnsi="Palatino Linotype" w:cs="Palatino Linotype"/>
          <w:i/>
        </w:rPr>
        <w:lastRenderedPageBreak/>
        <w:t>éste, el lugar en que tiene el principal asiento de sus negocios; y a falta de uno y otro, el lugar en que se halle.”</w:t>
      </w:r>
      <w:r w:rsidRPr="00625633">
        <w:rPr>
          <w:rFonts w:ascii="Palatino Linotype" w:eastAsia="Palatino Linotype" w:hAnsi="Palatino Linotype" w:cs="Palatino Linotype"/>
        </w:rPr>
        <w:t xml:space="preserve"> </w:t>
      </w:r>
    </w:p>
    <w:p w14:paraId="55792E75" w14:textId="77777777" w:rsidR="007A03CB" w:rsidRPr="00625633" w:rsidRDefault="007A03CB">
      <w:pPr>
        <w:spacing w:after="0" w:line="360" w:lineRule="auto"/>
        <w:jc w:val="both"/>
        <w:rPr>
          <w:rFonts w:ascii="Palatino Linotype" w:eastAsia="Palatino Linotype" w:hAnsi="Palatino Linotype" w:cs="Palatino Linotype"/>
        </w:rPr>
      </w:pPr>
    </w:p>
    <w:p w14:paraId="24F82C93" w14:textId="77777777" w:rsidR="007A03CB" w:rsidRPr="00625633" w:rsidRDefault="0034483E">
      <w:pPr>
        <w:spacing w:after="0" w:line="360" w:lineRule="auto"/>
        <w:ind w:left="567"/>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Entonces se identifica que el domicilio no solamente permite identificar a una persona, sino que la hace localizable de manera física. </w:t>
      </w:r>
    </w:p>
    <w:p w14:paraId="5FD2D6B9" w14:textId="77777777" w:rsidR="007A03CB" w:rsidRPr="00625633" w:rsidRDefault="007A03CB">
      <w:pPr>
        <w:spacing w:after="0" w:line="360" w:lineRule="auto"/>
        <w:ind w:left="567"/>
        <w:jc w:val="both"/>
        <w:rPr>
          <w:rFonts w:ascii="Palatino Linotype" w:eastAsia="Palatino Linotype" w:hAnsi="Palatino Linotype" w:cs="Palatino Linotype"/>
        </w:rPr>
      </w:pPr>
    </w:p>
    <w:p w14:paraId="36845073" w14:textId="77777777" w:rsidR="007A03CB" w:rsidRPr="00625633" w:rsidRDefault="0034483E">
      <w:pPr>
        <w:spacing w:after="0" w:line="360" w:lineRule="auto"/>
        <w:ind w:left="567"/>
        <w:jc w:val="both"/>
        <w:rPr>
          <w:rFonts w:ascii="Palatino Linotype" w:eastAsia="Palatino Linotype" w:hAnsi="Palatino Linotype" w:cs="Palatino Linotype"/>
        </w:rPr>
      </w:pPr>
      <w:r w:rsidRPr="00625633">
        <w:rPr>
          <w:rFonts w:ascii="Palatino Linotype" w:eastAsia="Palatino Linotype" w:hAnsi="Palatino Linotype" w:cs="Palatino Linotype"/>
        </w:rPr>
        <w:t>Ahora bien, en el caso que nos ocupa, el domicilio particular del titular de la licencia de funcionamiento, este dato se clasifica, en términos al criterio 01/18, del Instituto de Transparencia y Acceso a la Información Pública del Estado de México, ya señalado.</w:t>
      </w:r>
    </w:p>
    <w:p w14:paraId="0D0F0C12" w14:textId="77777777" w:rsidR="007A03CB" w:rsidRPr="00625633" w:rsidRDefault="007A03CB">
      <w:pPr>
        <w:spacing w:after="0" w:line="360" w:lineRule="auto"/>
        <w:ind w:left="567"/>
        <w:jc w:val="both"/>
        <w:rPr>
          <w:rFonts w:ascii="Palatino Linotype" w:eastAsia="Palatino Linotype" w:hAnsi="Palatino Linotype" w:cs="Palatino Linotype"/>
        </w:rPr>
      </w:pPr>
    </w:p>
    <w:p w14:paraId="154EBC2C" w14:textId="77777777" w:rsidR="007A03CB" w:rsidRPr="00625633" w:rsidRDefault="0034483E">
      <w:pPr>
        <w:spacing w:after="0" w:line="360" w:lineRule="auto"/>
        <w:ind w:left="567"/>
        <w:jc w:val="both"/>
        <w:rPr>
          <w:rFonts w:ascii="Palatino Linotype" w:eastAsia="Palatino Linotype" w:hAnsi="Palatino Linotype" w:cs="Palatino Linotype"/>
        </w:rPr>
      </w:pPr>
      <w:r w:rsidRPr="00625633">
        <w:rPr>
          <w:rFonts w:ascii="Palatino Linotype" w:eastAsia="Palatino Linotype" w:hAnsi="Palatino Linotype" w:cs="Palatino Linotype"/>
        </w:rPr>
        <w:t>No así en cuanto al domicilio del local o establecimiento comercial, ya que se identifica que el domicilio sobre el cual versa la licencia de funcionamiento es información de naturaleza pública.</w:t>
      </w:r>
    </w:p>
    <w:p w14:paraId="0895AF37" w14:textId="77777777" w:rsidR="007A03CB" w:rsidRPr="00625633" w:rsidRDefault="007A03CB">
      <w:pPr>
        <w:spacing w:after="0" w:line="360" w:lineRule="auto"/>
        <w:ind w:left="567"/>
        <w:jc w:val="both"/>
        <w:rPr>
          <w:rFonts w:ascii="Palatino Linotype" w:eastAsia="Palatino Linotype" w:hAnsi="Palatino Linotype" w:cs="Palatino Linotype"/>
        </w:rPr>
      </w:pPr>
    </w:p>
    <w:p w14:paraId="716F928A" w14:textId="77777777" w:rsidR="007A03CB" w:rsidRPr="00625633" w:rsidRDefault="0034483E">
      <w:pPr>
        <w:numPr>
          <w:ilvl w:val="0"/>
          <w:numId w:val="2"/>
        </w:num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 </w:t>
      </w:r>
      <w:r w:rsidRPr="00625633">
        <w:rPr>
          <w:rFonts w:ascii="Palatino Linotype" w:eastAsia="Palatino Linotype" w:hAnsi="Palatino Linotype" w:cs="Palatino Linotype"/>
          <w:b/>
        </w:rPr>
        <w:t>Registro Federal de Contribuyentes (RFC)</w:t>
      </w:r>
      <w:r w:rsidRPr="00625633">
        <w:rPr>
          <w:rFonts w:ascii="Palatino Linotype" w:eastAsia="Palatino Linotype" w:hAnsi="Palatino Linotype" w:cs="Palatino Linotype"/>
        </w:rPr>
        <w:t>, en las licencias de funcionamiento, puede ser de personas físicas y morales. El Registro Federal de Contribuyentes de personas físicas,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w:t>
      </w:r>
    </w:p>
    <w:p w14:paraId="6055B5DC" w14:textId="77777777" w:rsidR="007A03CB" w:rsidRPr="00625633" w:rsidRDefault="0034483E">
      <w:p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625633">
        <w:rPr>
          <w:rFonts w:ascii="Palatino Linotype" w:eastAsia="Palatino Linotype" w:hAnsi="Palatino Linotype" w:cs="Palatino Linotype"/>
        </w:rPr>
        <w:t>Lo anterior, resulta congruente con el Criterio 19/17 emitido por el Instituto Nacional de Transparencia, Acceso a la Información y Protección de Datos Personales, en el cual se señala lo siguiente:</w:t>
      </w:r>
    </w:p>
    <w:p w14:paraId="532EB155" w14:textId="77777777" w:rsidR="007A03CB" w:rsidRPr="00625633" w:rsidRDefault="007A03CB">
      <w:pPr>
        <w:spacing w:after="0" w:line="360" w:lineRule="auto"/>
        <w:jc w:val="both"/>
        <w:rPr>
          <w:rFonts w:ascii="Palatino Linotype" w:eastAsia="Palatino Linotype" w:hAnsi="Palatino Linotype" w:cs="Palatino Linotype"/>
        </w:rPr>
      </w:pPr>
    </w:p>
    <w:p w14:paraId="4155DFBF" w14:textId="77777777" w:rsidR="007A03CB" w:rsidRPr="00625633" w:rsidRDefault="0034483E">
      <w:pPr>
        <w:spacing w:after="0"/>
        <w:ind w:left="851" w:right="618"/>
        <w:jc w:val="both"/>
        <w:rPr>
          <w:rFonts w:ascii="Palatino Linotype" w:eastAsia="Palatino Linotype" w:hAnsi="Palatino Linotype" w:cs="Palatino Linotype"/>
          <w:i/>
        </w:rPr>
      </w:pPr>
      <w:r w:rsidRPr="00625633">
        <w:rPr>
          <w:rFonts w:ascii="Palatino Linotype" w:eastAsia="Palatino Linotype" w:hAnsi="Palatino Linotype" w:cs="Palatino Linotype"/>
          <w:i/>
        </w:rPr>
        <w:lastRenderedPageBreak/>
        <w:t>“Registro Federal de Contribuyentes (RFC) de personas físicas. El RFC es una clave de carácter fiscal, única e irrepetible, que permite identificar al titular, su edad y fecha de nacimiento, por lo que es un dato personal de carácter confidencial.”</w:t>
      </w:r>
    </w:p>
    <w:p w14:paraId="1675825F" w14:textId="77777777" w:rsidR="007A03CB" w:rsidRPr="00625633" w:rsidRDefault="007A03CB">
      <w:pPr>
        <w:spacing w:after="0" w:line="360" w:lineRule="auto"/>
        <w:jc w:val="both"/>
        <w:rPr>
          <w:rFonts w:ascii="Palatino Linotype" w:eastAsia="Palatino Linotype" w:hAnsi="Palatino Linotype" w:cs="Palatino Linotype"/>
        </w:rPr>
      </w:pPr>
    </w:p>
    <w:p w14:paraId="35174423" w14:textId="77777777" w:rsidR="007A03CB" w:rsidRPr="00625633" w:rsidRDefault="007A03CB">
      <w:pPr>
        <w:spacing w:after="0" w:line="360" w:lineRule="auto"/>
        <w:jc w:val="both"/>
        <w:rPr>
          <w:rFonts w:ascii="Palatino Linotype" w:eastAsia="Palatino Linotype" w:hAnsi="Palatino Linotype" w:cs="Palatino Linotype"/>
        </w:rPr>
      </w:pPr>
    </w:p>
    <w:p w14:paraId="589DD372" w14:textId="77777777" w:rsidR="007A03CB" w:rsidRPr="00625633" w:rsidRDefault="0034483E">
      <w:pPr>
        <w:spacing w:after="0" w:line="360" w:lineRule="auto"/>
        <w:ind w:right="50"/>
        <w:jc w:val="both"/>
        <w:rPr>
          <w:rFonts w:ascii="Palatino Linotype" w:eastAsia="Palatino Linotype" w:hAnsi="Palatino Linotype" w:cs="Palatino Linotype"/>
        </w:rPr>
      </w:pPr>
      <w:r w:rsidRPr="00625633">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39C5A95C" w14:textId="77777777" w:rsidR="007A03CB" w:rsidRPr="00625633" w:rsidRDefault="007A03CB">
      <w:pPr>
        <w:spacing w:after="0" w:line="360" w:lineRule="auto"/>
        <w:ind w:right="50"/>
        <w:jc w:val="both"/>
        <w:rPr>
          <w:rFonts w:ascii="Palatino Linotype" w:eastAsia="Palatino Linotype" w:hAnsi="Palatino Linotype" w:cs="Palatino Linotype"/>
        </w:rPr>
      </w:pPr>
    </w:p>
    <w:p w14:paraId="6EFF0C4E"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r w:rsidRPr="00625633">
        <w:rPr>
          <w:rFonts w:ascii="Palatino Linotype" w:eastAsia="Palatino Linotype" w:hAnsi="Palatino Linotype" w:cs="Palatino Linotype"/>
          <w:b/>
          <w:i/>
        </w:rPr>
        <w:t>Artículo 3.</w:t>
      </w:r>
      <w:r w:rsidRPr="00625633">
        <w:rPr>
          <w:rFonts w:ascii="Palatino Linotype" w:eastAsia="Palatino Linotype" w:hAnsi="Palatino Linotype" w:cs="Palatino Linotype"/>
          <w:i/>
        </w:rPr>
        <w:t xml:space="preserve"> Para los efectos de la presente Ley se entenderá por:</w:t>
      </w:r>
    </w:p>
    <w:p w14:paraId="4987FD07"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p>
    <w:p w14:paraId="0102D694"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64EEA7DB"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XX. Información clasificada: Aquella considerada por la presente Ley como reservada o confidencial;</w:t>
      </w:r>
    </w:p>
    <w:p w14:paraId="32AA7053"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FA3F771"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60589B57"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p>
    <w:p w14:paraId="424C4B05"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b/>
          <w:i/>
        </w:rPr>
        <w:t>Artículo 91.</w:t>
      </w:r>
      <w:r w:rsidRPr="00625633">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03E6E6AC"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b/>
          <w:i/>
        </w:rPr>
        <w:t>Artículo 132.</w:t>
      </w:r>
      <w:r w:rsidRPr="00625633">
        <w:rPr>
          <w:rFonts w:ascii="Palatino Linotype" w:eastAsia="Palatino Linotype" w:hAnsi="Palatino Linotype" w:cs="Palatino Linotype"/>
          <w:i/>
        </w:rPr>
        <w:t xml:space="preserve"> La clasificación de la información se llevará a cabo en el momento en que:</w:t>
      </w:r>
    </w:p>
    <w:p w14:paraId="4C2BFE85" w14:textId="77777777" w:rsidR="007A03CB" w:rsidRPr="00625633" w:rsidRDefault="0034483E">
      <w:pPr>
        <w:tabs>
          <w:tab w:val="left" w:pos="1134"/>
        </w:tabs>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I. Se reciba una solicitud de acceso a la información;</w:t>
      </w:r>
    </w:p>
    <w:p w14:paraId="4ED00A55" w14:textId="77777777" w:rsidR="007A03CB" w:rsidRPr="00625633" w:rsidRDefault="0034483E">
      <w:pPr>
        <w:tabs>
          <w:tab w:val="left" w:pos="1134"/>
        </w:tabs>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II. Se determine mediante resolución de autoridad competente; o</w:t>
      </w:r>
    </w:p>
    <w:p w14:paraId="1E294CCD" w14:textId="77777777" w:rsidR="007A03CB" w:rsidRPr="00625633" w:rsidRDefault="0034483E">
      <w:pPr>
        <w:tabs>
          <w:tab w:val="left" w:pos="1134"/>
        </w:tabs>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III. Se generen versiones públicas para dar cumplimiento a las obligaciones de transparencia previstas en esta Ley.</w:t>
      </w:r>
    </w:p>
    <w:p w14:paraId="317419DC"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p>
    <w:p w14:paraId="4E10C80A"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b/>
          <w:i/>
        </w:rPr>
        <w:t>Artículo 143</w:t>
      </w:r>
      <w:r w:rsidRPr="00625633">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4D70D88"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lastRenderedPageBreak/>
        <w:t>I. Se refiera a la información privada y los datos personales concernientes a una persona física o jurídico colectiva identificada o identificable;</w:t>
      </w:r>
    </w:p>
    <w:p w14:paraId="792F1BCE"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1F4AA25A"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III. La que presenten los particulares a los sujetos obligados, de conformidad con lo dispuesto por las leyes o los tratados internacionales.</w:t>
      </w:r>
    </w:p>
    <w:p w14:paraId="0D431B8F"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6284EDA7"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209DFC0F" w14:textId="77777777" w:rsidR="007A03CB" w:rsidRPr="00625633" w:rsidRDefault="007A03CB">
      <w:pPr>
        <w:spacing w:after="0"/>
        <w:ind w:left="567" w:right="616"/>
        <w:jc w:val="both"/>
        <w:rPr>
          <w:rFonts w:ascii="Palatino Linotype" w:eastAsia="Palatino Linotype" w:hAnsi="Palatino Linotype" w:cs="Palatino Linotype"/>
          <w:i/>
        </w:rPr>
      </w:pPr>
    </w:p>
    <w:p w14:paraId="67DB7D80"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A6A7E39" w14:textId="77777777" w:rsidR="007A03CB" w:rsidRPr="00625633" w:rsidRDefault="007A03CB">
      <w:pPr>
        <w:spacing w:after="0"/>
        <w:jc w:val="both"/>
        <w:rPr>
          <w:rFonts w:ascii="Palatino Linotype" w:eastAsia="Palatino Linotype" w:hAnsi="Palatino Linotype" w:cs="Palatino Linotype"/>
        </w:rPr>
      </w:pPr>
    </w:p>
    <w:p w14:paraId="12795209"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534CEA60" w14:textId="77777777" w:rsidR="007A03CB" w:rsidRPr="00625633" w:rsidRDefault="007A03CB">
      <w:pPr>
        <w:spacing w:after="0" w:line="360" w:lineRule="auto"/>
        <w:jc w:val="both"/>
        <w:rPr>
          <w:rFonts w:ascii="Palatino Linotype" w:eastAsia="Palatino Linotype" w:hAnsi="Palatino Linotype" w:cs="Palatino Linotype"/>
        </w:rPr>
      </w:pPr>
    </w:p>
    <w:p w14:paraId="48C84D2D"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 “</w:t>
      </w:r>
      <w:r w:rsidRPr="00625633">
        <w:rPr>
          <w:rFonts w:ascii="Palatino Linotype" w:eastAsia="Palatino Linotype" w:hAnsi="Palatino Linotype" w:cs="Palatino Linotype"/>
          <w:b/>
          <w:i/>
        </w:rPr>
        <w:t>Quincuagésimo</w:t>
      </w:r>
      <w:r w:rsidRPr="00625633">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w:t>
      </w:r>
      <w:r w:rsidRPr="00625633">
        <w:rPr>
          <w:rFonts w:ascii="Palatino Linotype" w:eastAsia="Palatino Linotype" w:hAnsi="Palatino Linotype" w:cs="Palatino Linotype"/>
          <w:i/>
        </w:rPr>
        <w:lastRenderedPageBreak/>
        <w:t xml:space="preserve">expedientes, siempre y cuando cumplan lo establecido en los presentes Lineamientos, así como en las correspondientes Leyes Generales. </w:t>
      </w:r>
    </w:p>
    <w:p w14:paraId="47458B31" w14:textId="77777777" w:rsidR="007A03CB" w:rsidRPr="00625633" w:rsidRDefault="0034483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b/>
          <w:i/>
        </w:rPr>
        <w:t>Quincuagésimo primero.</w:t>
      </w:r>
      <w:r w:rsidRPr="00625633">
        <w:rPr>
          <w:rFonts w:ascii="Palatino Linotype" w:eastAsia="Palatino Linotype" w:hAnsi="Palatino Linotype" w:cs="Palatino Linotype"/>
          <w:i/>
        </w:rPr>
        <w:t xml:space="preserve"> Toda acta del Comité de Transparencia deberá contener: </w:t>
      </w:r>
    </w:p>
    <w:p w14:paraId="51F9BA74" w14:textId="77777777" w:rsidR="007A03CB" w:rsidRPr="00625633" w:rsidRDefault="0034483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I. El número de sesión y fecha; </w:t>
      </w:r>
    </w:p>
    <w:p w14:paraId="7472E44E" w14:textId="77777777" w:rsidR="007A03CB" w:rsidRPr="00625633" w:rsidRDefault="0034483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II. El nombre del área que solicitó la clasificación de información; </w:t>
      </w:r>
    </w:p>
    <w:p w14:paraId="76AD8150" w14:textId="77777777" w:rsidR="007A03CB" w:rsidRPr="00625633" w:rsidRDefault="0034483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III. La fundamentación legal y motivación correspondiente; </w:t>
      </w:r>
    </w:p>
    <w:p w14:paraId="7946D95D" w14:textId="77777777" w:rsidR="007A03CB" w:rsidRPr="00625633" w:rsidRDefault="0034483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IV. La resolución o resoluciones aprobadas; y </w:t>
      </w:r>
    </w:p>
    <w:p w14:paraId="2E0DB601" w14:textId="77777777" w:rsidR="007A03CB" w:rsidRPr="00625633" w:rsidRDefault="0034483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V. La rúbrica o firma digital de cada integrante del Comité de Transparencia. </w:t>
      </w:r>
    </w:p>
    <w:p w14:paraId="5F0C0985" w14:textId="77777777" w:rsidR="007A03CB" w:rsidRPr="00625633" w:rsidRDefault="0034483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6BD62641" w14:textId="77777777" w:rsidR="007A03CB" w:rsidRPr="00625633" w:rsidRDefault="0034483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I. Los motivos y razonamientos que sustenten la confirmación o modificación de la prueba de daño;</w:t>
      </w:r>
    </w:p>
    <w:p w14:paraId="11867DE2" w14:textId="77777777" w:rsidR="007A03CB" w:rsidRPr="00625633" w:rsidRDefault="0034483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II. Descripción de las partes o secciones reservadas, en caso de clasificación parcial; </w:t>
      </w:r>
    </w:p>
    <w:p w14:paraId="6F97FAB9" w14:textId="77777777" w:rsidR="007A03CB" w:rsidRPr="00625633" w:rsidRDefault="0034483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III. El periodo por el que mantendrá su clasificación y fecha de expiración; y </w:t>
      </w:r>
    </w:p>
    <w:p w14:paraId="347A912E" w14:textId="77777777" w:rsidR="007A03CB" w:rsidRPr="00625633" w:rsidRDefault="0034483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IV. El nombre del titular y área encargada de realizar la versión pública del documento, en su caso. </w:t>
      </w:r>
    </w:p>
    <w:p w14:paraId="5D2062DB" w14:textId="77777777" w:rsidR="007A03CB" w:rsidRPr="00625633" w:rsidRDefault="0034483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3E7D60E6" w14:textId="77777777" w:rsidR="007A03CB" w:rsidRPr="00625633" w:rsidRDefault="0034483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6AFB1C43"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b/>
          <w:i/>
        </w:rPr>
        <w:t>Quincuagésimo segundo.</w:t>
      </w:r>
      <w:r w:rsidRPr="00625633">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E7825D5"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22504102"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I. Fijar la fecha en que se elaboró la versión pública y la fecha en la cual el Comité de Transparencia confirmó dicha versión;</w:t>
      </w:r>
    </w:p>
    <w:p w14:paraId="7BDAC164"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23A071A"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III. Señalar las personas o instancias autorizadas a acceder a la información clasificada.</w:t>
      </w:r>
    </w:p>
    <w:p w14:paraId="572F27F7"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lastRenderedPageBreak/>
        <w:t>En los documentos de difusión electrónica, señalar en la primera hoja y en el nombre del archivo, que la versión pública corresponde a un documento que contiene información confidencial.”</w:t>
      </w:r>
    </w:p>
    <w:p w14:paraId="471D1F6C" w14:textId="77777777" w:rsidR="007A03CB" w:rsidRPr="00625633" w:rsidRDefault="007A03CB">
      <w:pPr>
        <w:spacing w:after="0" w:line="360" w:lineRule="auto"/>
        <w:jc w:val="both"/>
        <w:rPr>
          <w:rFonts w:ascii="Palatino Linotype" w:eastAsia="Palatino Linotype" w:hAnsi="Palatino Linotype" w:cs="Palatino Linotype"/>
        </w:rPr>
      </w:pPr>
    </w:p>
    <w:p w14:paraId="434B5344"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3BC63A29" w14:textId="77777777" w:rsidR="007A03CB" w:rsidRPr="00625633" w:rsidRDefault="007A03CB">
      <w:pPr>
        <w:spacing w:after="0" w:line="360" w:lineRule="auto"/>
        <w:jc w:val="both"/>
        <w:rPr>
          <w:rFonts w:ascii="Palatino Linotype" w:eastAsia="Palatino Linotype" w:hAnsi="Palatino Linotype" w:cs="Palatino Linotype"/>
        </w:rPr>
      </w:pPr>
    </w:p>
    <w:p w14:paraId="3EB2044C" w14:textId="77777777" w:rsidR="007A03CB" w:rsidRPr="00625633" w:rsidRDefault="0034483E">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r w:rsidRPr="00625633">
        <w:rPr>
          <w:rFonts w:ascii="Palatino Linotype" w:eastAsia="Palatino Linotype" w:hAnsi="Palatino Linotype" w:cs="Palatino Linotype"/>
          <w:b/>
          <w:i/>
        </w:rPr>
        <w:t>Quincuagésimo cuarto.</w:t>
      </w:r>
      <w:r w:rsidRPr="00625633">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4E5BA370"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b/>
          <w:i/>
        </w:rPr>
        <w:t>Quincuagésimo quinto.</w:t>
      </w:r>
      <w:r w:rsidRPr="00625633">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625633">
        <w:rPr>
          <w:rFonts w:ascii="Palatino Linotype" w:eastAsia="Palatino Linotype" w:hAnsi="Palatino Linotype" w:cs="Palatino Linotype"/>
          <w:i/>
        </w:rPr>
        <w:t>testado</w:t>
      </w:r>
      <w:proofErr w:type="spellEnd"/>
      <w:r w:rsidRPr="00625633">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2C99D2A2"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w:t>
      </w:r>
    </w:p>
    <w:p w14:paraId="24326D9D"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b/>
          <w:i/>
        </w:rPr>
        <w:t>Quincuagésimo séptimo.</w:t>
      </w:r>
      <w:r w:rsidRPr="00625633">
        <w:rPr>
          <w:rFonts w:ascii="Palatino Linotype" w:eastAsia="Palatino Linotype" w:hAnsi="Palatino Linotype" w:cs="Palatino Linotype"/>
          <w:i/>
        </w:rPr>
        <w:t xml:space="preserve"> Se considera, en principio, como información pública y no podrá omitirse de las versiones públicas la siguiente: </w:t>
      </w:r>
    </w:p>
    <w:p w14:paraId="3DA3F4EE"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55F82095"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2B06D0F7"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3F8B6F98"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6344E838" w14:textId="77777777" w:rsidR="007A03CB" w:rsidRPr="00625633" w:rsidRDefault="0034483E">
      <w:pPr>
        <w:spacing w:after="0"/>
        <w:ind w:left="567" w:right="616"/>
        <w:jc w:val="both"/>
        <w:rPr>
          <w:rFonts w:ascii="Palatino Linotype" w:eastAsia="Palatino Linotype" w:hAnsi="Palatino Linotype" w:cs="Palatino Linotype"/>
          <w:i/>
        </w:rPr>
      </w:pPr>
      <w:r w:rsidRPr="00625633">
        <w:rPr>
          <w:rFonts w:ascii="Palatino Linotype" w:eastAsia="Palatino Linotype" w:hAnsi="Palatino Linotype" w:cs="Palatino Linotype"/>
          <w:i/>
        </w:rPr>
        <w:lastRenderedPageBreak/>
        <w:t>Quincuagésimo octavo. Los sujetos obligados garantizarán que los sistemas o medios empleados para eliminar la información en las versiones públicas sean irreversibles, de tal forma que no permitan su recuperación o la visualización de la misma.”</w:t>
      </w:r>
    </w:p>
    <w:p w14:paraId="658D898D" w14:textId="77777777" w:rsidR="007A03CB" w:rsidRPr="00625633" w:rsidRDefault="007A03CB">
      <w:pPr>
        <w:spacing w:after="0" w:line="360" w:lineRule="auto"/>
        <w:ind w:left="567" w:right="616"/>
        <w:jc w:val="both"/>
        <w:rPr>
          <w:rFonts w:ascii="Palatino Linotype" w:eastAsia="Palatino Linotype" w:hAnsi="Palatino Linotype" w:cs="Palatino Linotype"/>
          <w:i/>
        </w:rPr>
      </w:pPr>
    </w:p>
    <w:p w14:paraId="01E2E4EE"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787537DA" w14:textId="77777777" w:rsidR="007A03CB" w:rsidRPr="00625633" w:rsidRDefault="007A03CB">
      <w:pPr>
        <w:spacing w:after="0" w:line="360" w:lineRule="auto"/>
        <w:jc w:val="both"/>
        <w:rPr>
          <w:rFonts w:ascii="Palatino Linotype" w:eastAsia="Palatino Linotype" w:hAnsi="Palatino Linotype" w:cs="Palatino Linotype"/>
        </w:rPr>
      </w:pPr>
    </w:p>
    <w:p w14:paraId="43ECABA5" w14:textId="77777777" w:rsidR="007A03CB" w:rsidRPr="00625633" w:rsidRDefault="0034483E">
      <w:pP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625633">
        <w:rPr>
          <w:rFonts w:ascii="Palatino Linotype" w:eastAsia="Palatino Linotype" w:hAnsi="Palatino Linotype" w:cs="Palatino Linotype"/>
          <w:b/>
        </w:rPr>
        <w:t>RECURRENTE</w:t>
      </w:r>
      <w:r w:rsidRPr="00625633">
        <w:rPr>
          <w:rFonts w:ascii="Palatino Linotype" w:eastAsia="Palatino Linotype" w:hAnsi="Palatino Linotype" w:cs="Palatino Linotype"/>
        </w:rPr>
        <w:t xml:space="preserve"> dentro del recurso de revisión </w:t>
      </w:r>
      <w:r w:rsidRPr="00625633">
        <w:rPr>
          <w:rFonts w:ascii="Palatino Linotype" w:eastAsia="Palatino Linotype" w:hAnsi="Palatino Linotype" w:cs="Palatino Linotype"/>
          <w:b/>
        </w:rPr>
        <w:t>04154/INFOEM/IP/RR/2024</w:t>
      </w:r>
      <w:r w:rsidRPr="00625633">
        <w:rPr>
          <w:rFonts w:ascii="Palatino Linotype" w:eastAsia="Palatino Linotype" w:hAnsi="Palatino Linotype" w:cs="Palatino Linotype"/>
        </w:rPr>
        <w:t>; por ello, y con fundamento en la fracción IV del numeral 186 de la Ley de Transparencia y Acceso a la Información Pública del Estado de México y Municipios, se ORDENA la respuesta a la solicitud de información número 00061/JALTENCO/IP/2024.</w:t>
      </w:r>
    </w:p>
    <w:p w14:paraId="6981B6AD" w14:textId="77777777" w:rsidR="007A03CB" w:rsidRPr="00625633" w:rsidRDefault="007A03CB">
      <w:pPr>
        <w:spacing w:after="0" w:line="360" w:lineRule="auto"/>
        <w:ind w:right="49"/>
        <w:jc w:val="both"/>
        <w:rPr>
          <w:rFonts w:ascii="Palatino Linotype" w:eastAsia="Palatino Linotype" w:hAnsi="Palatino Linotype" w:cs="Palatino Linotype"/>
        </w:rPr>
      </w:pPr>
    </w:p>
    <w:p w14:paraId="3049ED9B" w14:textId="77777777" w:rsidR="007A03CB" w:rsidRPr="00625633" w:rsidRDefault="0034483E">
      <w:pP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F2D1639" w14:textId="77777777" w:rsidR="007A03CB" w:rsidRPr="00625633" w:rsidRDefault="007A03CB">
      <w:pPr>
        <w:spacing w:after="0" w:line="360" w:lineRule="auto"/>
        <w:ind w:right="49"/>
        <w:jc w:val="both"/>
        <w:rPr>
          <w:rFonts w:ascii="Palatino Linotype" w:eastAsia="Palatino Linotype" w:hAnsi="Palatino Linotype" w:cs="Palatino Linotype"/>
        </w:rPr>
      </w:pPr>
    </w:p>
    <w:p w14:paraId="1FBA440D" w14:textId="77777777" w:rsidR="007A03CB" w:rsidRPr="00625633" w:rsidRDefault="0034483E">
      <w:pPr>
        <w:spacing w:after="0" w:line="360" w:lineRule="auto"/>
        <w:ind w:right="49"/>
        <w:jc w:val="center"/>
        <w:rPr>
          <w:rFonts w:ascii="Palatino Linotype" w:eastAsia="Palatino Linotype" w:hAnsi="Palatino Linotype" w:cs="Palatino Linotype"/>
          <w:b/>
        </w:rPr>
      </w:pPr>
      <w:r w:rsidRPr="00625633">
        <w:rPr>
          <w:rFonts w:ascii="Palatino Linotype" w:eastAsia="Palatino Linotype" w:hAnsi="Palatino Linotype" w:cs="Palatino Linotype"/>
          <w:b/>
        </w:rPr>
        <w:lastRenderedPageBreak/>
        <w:t>III.</w:t>
      </w:r>
      <w:r w:rsidRPr="00625633">
        <w:rPr>
          <w:rFonts w:ascii="Palatino Linotype" w:eastAsia="Palatino Linotype" w:hAnsi="Palatino Linotype" w:cs="Palatino Linotype"/>
          <w:b/>
        </w:rPr>
        <w:tab/>
        <w:t>R E S U E L V E:</w:t>
      </w:r>
    </w:p>
    <w:p w14:paraId="47D17B2B" w14:textId="77777777" w:rsidR="007A03CB" w:rsidRPr="00625633" w:rsidRDefault="007A03CB">
      <w:pPr>
        <w:spacing w:after="0" w:line="360" w:lineRule="auto"/>
        <w:ind w:right="49"/>
        <w:jc w:val="both"/>
        <w:rPr>
          <w:rFonts w:ascii="Palatino Linotype" w:eastAsia="Palatino Linotype" w:hAnsi="Palatino Linotype" w:cs="Palatino Linotype"/>
        </w:rPr>
      </w:pPr>
    </w:p>
    <w:p w14:paraId="4A6EEF4C" w14:textId="77777777" w:rsidR="007A03CB" w:rsidRPr="00625633" w:rsidRDefault="0034483E">
      <w:pP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b/>
        </w:rPr>
        <w:t xml:space="preserve">Primero. </w:t>
      </w:r>
      <w:r w:rsidRPr="00625633">
        <w:rPr>
          <w:rFonts w:ascii="Palatino Linotype" w:eastAsia="Palatino Linotype" w:hAnsi="Palatino Linotype" w:cs="Palatino Linotype"/>
        </w:rPr>
        <w:t>Resultan</w:t>
      </w:r>
      <w:r w:rsidRPr="00625633">
        <w:rPr>
          <w:rFonts w:ascii="Palatino Linotype" w:eastAsia="Palatino Linotype" w:hAnsi="Palatino Linotype" w:cs="Palatino Linotype"/>
          <w:b/>
        </w:rPr>
        <w:t xml:space="preserve"> FUNDADOS </w:t>
      </w:r>
      <w:r w:rsidRPr="00625633">
        <w:rPr>
          <w:rFonts w:ascii="Palatino Linotype" w:eastAsia="Palatino Linotype" w:hAnsi="Palatino Linotype" w:cs="Palatino Linotype"/>
        </w:rPr>
        <w:t xml:space="preserve">los motivos de inconformidad de la parte </w:t>
      </w:r>
      <w:r w:rsidRPr="00625633">
        <w:rPr>
          <w:rFonts w:ascii="Palatino Linotype" w:eastAsia="Palatino Linotype" w:hAnsi="Palatino Linotype" w:cs="Palatino Linotype"/>
          <w:b/>
        </w:rPr>
        <w:t>Recurrente</w:t>
      </w:r>
      <w:r w:rsidRPr="00625633">
        <w:rPr>
          <w:rFonts w:ascii="Palatino Linotype" w:eastAsia="Palatino Linotype" w:hAnsi="Palatino Linotype" w:cs="Palatino Linotype"/>
        </w:rPr>
        <w:t xml:space="preserve">, hechos valer en el Recurso de Revisión </w:t>
      </w:r>
      <w:r w:rsidRPr="00625633">
        <w:rPr>
          <w:rFonts w:ascii="Palatino Linotype" w:eastAsia="Palatino Linotype" w:hAnsi="Palatino Linotype" w:cs="Palatino Linotype"/>
          <w:b/>
        </w:rPr>
        <w:t>04154/INFOEM/IP/RR/2024</w:t>
      </w:r>
      <w:r w:rsidRPr="00625633">
        <w:rPr>
          <w:rFonts w:ascii="Palatino Linotype" w:eastAsia="Palatino Linotype" w:hAnsi="Palatino Linotype" w:cs="Palatino Linotype"/>
        </w:rPr>
        <w:t>, en términos del</w:t>
      </w:r>
      <w:r w:rsidRPr="00625633">
        <w:rPr>
          <w:rFonts w:ascii="Palatino Linotype" w:eastAsia="Palatino Linotype" w:hAnsi="Palatino Linotype" w:cs="Palatino Linotype"/>
          <w:b/>
        </w:rPr>
        <w:t xml:space="preserve"> Considerando</w:t>
      </w:r>
      <w:r w:rsidRPr="00625633">
        <w:rPr>
          <w:rFonts w:ascii="Palatino Linotype" w:eastAsia="Palatino Linotype" w:hAnsi="Palatino Linotype" w:cs="Palatino Linotype"/>
        </w:rPr>
        <w:t xml:space="preserve"> </w:t>
      </w:r>
      <w:r w:rsidRPr="00625633">
        <w:rPr>
          <w:rFonts w:ascii="Palatino Linotype" w:eastAsia="Palatino Linotype" w:hAnsi="Palatino Linotype" w:cs="Palatino Linotype"/>
          <w:b/>
        </w:rPr>
        <w:t>Cuarto</w:t>
      </w:r>
      <w:r w:rsidRPr="00625633">
        <w:rPr>
          <w:rFonts w:ascii="Palatino Linotype" w:eastAsia="Palatino Linotype" w:hAnsi="Palatino Linotype" w:cs="Palatino Linotype"/>
        </w:rPr>
        <w:t xml:space="preserve"> de la presente resolución.</w:t>
      </w:r>
    </w:p>
    <w:p w14:paraId="1CDF05D0" w14:textId="77777777" w:rsidR="007A03CB" w:rsidRPr="00625633" w:rsidRDefault="007A03CB">
      <w:pPr>
        <w:spacing w:after="0" w:line="360" w:lineRule="auto"/>
        <w:ind w:right="49"/>
        <w:jc w:val="both"/>
        <w:rPr>
          <w:rFonts w:ascii="Palatino Linotype" w:eastAsia="Palatino Linotype" w:hAnsi="Palatino Linotype" w:cs="Palatino Linotype"/>
        </w:rPr>
      </w:pPr>
    </w:p>
    <w:p w14:paraId="32EEAFD1" w14:textId="77777777" w:rsidR="007A03CB" w:rsidRPr="00625633" w:rsidRDefault="0034483E">
      <w:pPr>
        <w:spacing w:after="0" w:line="360" w:lineRule="auto"/>
        <w:jc w:val="both"/>
        <w:rPr>
          <w:rFonts w:ascii="Palatino Linotype" w:eastAsia="Palatino Linotype" w:hAnsi="Palatino Linotype" w:cs="Palatino Linotype"/>
        </w:rPr>
      </w:pPr>
      <w:bookmarkStart w:id="1" w:name="_heading=h.3dy6vkm" w:colFirst="0" w:colLast="0"/>
      <w:bookmarkEnd w:id="1"/>
      <w:r w:rsidRPr="00625633">
        <w:rPr>
          <w:rFonts w:ascii="Palatino Linotype" w:eastAsia="Palatino Linotype" w:hAnsi="Palatino Linotype" w:cs="Palatino Linotype"/>
          <w:b/>
        </w:rPr>
        <w:t>Segundo.</w:t>
      </w:r>
      <w:r w:rsidRPr="00625633">
        <w:rPr>
          <w:rFonts w:ascii="Palatino Linotype" w:eastAsia="Palatino Linotype" w:hAnsi="Palatino Linotype" w:cs="Palatino Linotype"/>
        </w:rPr>
        <w:t xml:space="preserve"> Se</w:t>
      </w:r>
      <w:r w:rsidRPr="00625633">
        <w:rPr>
          <w:rFonts w:ascii="Palatino Linotype" w:eastAsia="Palatino Linotype" w:hAnsi="Palatino Linotype" w:cs="Palatino Linotype"/>
          <w:b/>
        </w:rPr>
        <w:t xml:space="preserve"> Ordena </w:t>
      </w:r>
      <w:r w:rsidRPr="00625633">
        <w:rPr>
          <w:rFonts w:ascii="Palatino Linotype" w:eastAsia="Palatino Linotype" w:hAnsi="Palatino Linotype" w:cs="Palatino Linotype"/>
        </w:rPr>
        <w:t xml:space="preserve">al </w:t>
      </w:r>
      <w:r w:rsidRPr="00625633">
        <w:rPr>
          <w:rFonts w:ascii="Palatino Linotype" w:eastAsia="Palatino Linotype" w:hAnsi="Palatino Linotype" w:cs="Palatino Linotype"/>
          <w:b/>
        </w:rPr>
        <w:t>Sujeto Obligado</w:t>
      </w:r>
      <w:r w:rsidRPr="00625633">
        <w:rPr>
          <w:rFonts w:ascii="Palatino Linotype" w:eastAsia="Palatino Linotype" w:hAnsi="Palatino Linotype" w:cs="Palatino Linotype"/>
        </w:rPr>
        <w:t xml:space="preserve">, haga entrega a la parte </w:t>
      </w:r>
      <w:r w:rsidRPr="00625633">
        <w:rPr>
          <w:rFonts w:ascii="Palatino Linotype" w:eastAsia="Palatino Linotype" w:hAnsi="Palatino Linotype" w:cs="Palatino Linotype"/>
          <w:b/>
        </w:rPr>
        <w:t xml:space="preserve">Recurrente </w:t>
      </w:r>
      <w:r w:rsidRPr="00625633">
        <w:rPr>
          <w:rFonts w:ascii="Palatino Linotype" w:eastAsia="Palatino Linotype" w:hAnsi="Palatino Linotype" w:cs="Palatino Linotype"/>
        </w:rPr>
        <w:t xml:space="preserve">en términos de los </w:t>
      </w:r>
      <w:r w:rsidRPr="00625633">
        <w:rPr>
          <w:rFonts w:ascii="Palatino Linotype" w:eastAsia="Palatino Linotype" w:hAnsi="Palatino Linotype" w:cs="Palatino Linotype"/>
          <w:b/>
        </w:rPr>
        <w:t>Considerandos Cuarto y Quinto</w:t>
      </w:r>
      <w:r w:rsidRPr="00625633">
        <w:rPr>
          <w:rFonts w:ascii="Palatino Linotype" w:eastAsia="Palatino Linotype" w:hAnsi="Palatino Linotype" w:cs="Palatino Linotype"/>
        </w:rPr>
        <w:t xml:space="preserve">, previa búsqueda exhaustiva y razonable, de ser el caso, en versión pública, vía Sistema de Acceso a la Información Mexiquense y correo electrónico, en formato Excel o en el formato en que se haya generado, de lo siguiente:  </w:t>
      </w:r>
    </w:p>
    <w:p w14:paraId="09DBA1B2" w14:textId="77777777" w:rsidR="007A03CB" w:rsidRPr="00625633" w:rsidRDefault="007A03CB">
      <w:pPr>
        <w:spacing w:after="0" w:line="360" w:lineRule="auto"/>
        <w:jc w:val="both"/>
        <w:rPr>
          <w:rFonts w:ascii="Palatino Linotype" w:eastAsia="Palatino Linotype" w:hAnsi="Palatino Linotype" w:cs="Palatino Linotype"/>
        </w:rPr>
      </w:pPr>
    </w:p>
    <w:p w14:paraId="49D6E90E" w14:textId="77777777" w:rsidR="007A03CB" w:rsidRPr="00625633" w:rsidRDefault="0034483E">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bookmarkStart w:id="2" w:name="_heading=h.qr93j92x5q6k" w:colFirst="0" w:colLast="0"/>
      <w:bookmarkEnd w:id="2"/>
      <w:r w:rsidRPr="00625633">
        <w:rPr>
          <w:rFonts w:ascii="Palatino Linotype" w:eastAsia="Palatino Linotype" w:hAnsi="Palatino Linotype" w:cs="Palatino Linotype"/>
        </w:rPr>
        <w:t xml:space="preserve">El Registro Municipal de las licencias de funcionamiento otorgadas para la operación de establecimientos en los que se vende o consume bebidas alcohólicas, en donde conste, dirección de los establecimientos, nombres y/o razones sociales de los titulares y giro y/o actividad económica vigente al once de junio de dos mil veinticuatro. </w:t>
      </w:r>
    </w:p>
    <w:p w14:paraId="54B78B30" w14:textId="77777777" w:rsidR="007A03CB" w:rsidRPr="00625633" w:rsidRDefault="0034483E">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Licencias de funcionamientos relativas a la actividad económica referida en la solicitud de información, vigentes al once de junio de dos mil veinticuatro.</w:t>
      </w:r>
    </w:p>
    <w:p w14:paraId="206386C2" w14:textId="77777777" w:rsidR="007A03CB" w:rsidRPr="00625633" w:rsidRDefault="007A03CB">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b/>
        </w:rPr>
      </w:pPr>
    </w:p>
    <w:p w14:paraId="25357D8C" w14:textId="77777777" w:rsidR="007A03CB" w:rsidRPr="00625633" w:rsidRDefault="0034483E">
      <w:pPr>
        <w:spacing w:after="0"/>
        <w:ind w:left="567" w:right="615"/>
        <w:jc w:val="both"/>
        <w:rPr>
          <w:rFonts w:ascii="Palatino Linotype" w:eastAsia="Palatino Linotype" w:hAnsi="Palatino Linotype" w:cs="Palatino Linotype"/>
          <w:i/>
        </w:rPr>
      </w:pPr>
      <w:r w:rsidRPr="00625633">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625633">
        <w:rPr>
          <w:rFonts w:ascii="Palatino Linotype" w:eastAsia="Palatino Linotype" w:hAnsi="Palatino Linotype" w:cs="Palatino Linotype"/>
          <w:b/>
          <w:i/>
        </w:rPr>
        <w:t xml:space="preserve"> </w:t>
      </w:r>
      <w:r w:rsidRPr="00625633">
        <w:rPr>
          <w:rFonts w:ascii="Palatino Linotype" w:eastAsia="Palatino Linotype" w:hAnsi="Palatino Linotype" w:cs="Palatino Linotype"/>
          <w:i/>
        </w:rPr>
        <w:t xml:space="preserve">y se ponga a disposición de la parte Recurrente, en términos de los artículos 49, fracción </w:t>
      </w:r>
      <w:proofErr w:type="gramStart"/>
      <w:r w:rsidRPr="00625633">
        <w:rPr>
          <w:rFonts w:ascii="Palatino Linotype" w:eastAsia="Palatino Linotype" w:hAnsi="Palatino Linotype" w:cs="Palatino Linotype"/>
          <w:i/>
        </w:rPr>
        <w:t>VIII,  de</w:t>
      </w:r>
      <w:proofErr w:type="gramEnd"/>
      <w:r w:rsidRPr="00625633">
        <w:rPr>
          <w:rFonts w:ascii="Palatino Linotype" w:eastAsia="Palatino Linotype" w:hAnsi="Palatino Linotype" w:cs="Palatino Linotype"/>
          <w:i/>
        </w:rPr>
        <w:t xml:space="preserve"> la Ley de Transparencia y Acceso a la Información Pública del Estado de México y Municipios.</w:t>
      </w:r>
    </w:p>
    <w:p w14:paraId="101E18C3" w14:textId="77777777" w:rsidR="007A03CB" w:rsidRPr="00625633" w:rsidRDefault="007A03CB">
      <w:pPr>
        <w:spacing w:after="0" w:line="360" w:lineRule="auto"/>
        <w:jc w:val="both"/>
        <w:rPr>
          <w:rFonts w:ascii="Palatino Linotype" w:eastAsia="Palatino Linotype" w:hAnsi="Palatino Linotype" w:cs="Palatino Linotype"/>
        </w:rPr>
      </w:pPr>
    </w:p>
    <w:p w14:paraId="6DA8AD74" w14:textId="77777777" w:rsidR="007A03CB" w:rsidRPr="00625633" w:rsidRDefault="0034483E">
      <w:pPr>
        <w:spacing w:after="0" w:line="360" w:lineRule="auto"/>
        <w:jc w:val="both"/>
        <w:rPr>
          <w:rFonts w:ascii="Palatino Linotype" w:eastAsia="Palatino Linotype" w:hAnsi="Palatino Linotype" w:cs="Palatino Linotype"/>
        </w:rPr>
      </w:pPr>
      <w:bookmarkStart w:id="3" w:name="_heading=h.3znysh7" w:colFirst="0" w:colLast="0"/>
      <w:bookmarkEnd w:id="3"/>
      <w:r w:rsidRPr="00625633">
        <w:rPr>
          <w:rFonts w:ascii="Palatino Linotype" w:eastAsia="Palatino Linotype" w:hAnsi="Palatino Linotype" w:cs="Palatino Linotype"/>
          <w:b/>
        </w:rPr>
        <w:t xml:space="preserve">Tercero.  Notifíquese vía SAIMEX, </w:t>
      </w:r>
      <w:r w:rsidRPr="00625633">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w:t>
      </w:r>
      <w:r w:rsidRPr="00625633">
        <w:rPr>
          <w:rFonts w:ascii="Palatino Linotype" w:eastAsia="Palatino Linotype" w:hAnsi="Palatino Linotype" w:cs="Palatino Linotype"/>
        </w:rPr>
        <w:lastRenderedPageBreak/>
        <w:t>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B133951" w14:textId="77777777" w:rsidR="007A03CB" w:rsidRPr="00625633" w:rsidRDefault="007A03CB">
      <w:pPr>
        <w:spacing w:after="0" w:line="360" w:lineRule="auto"/>
        <w:jc w:val="both"/>
        <w:rPr>
          <w:rFonts w:ascii="Palatino Linotype" w:eastAsia="Palatino Linotype" w:hAnsi="Palatino Linotype" w:cs="Palatino Linotype"/>
        </w:rPr>
      </w:pPr>
    </w:p>
    <w:p w14:paraId="2B8AD422" w14:textId="77777777" w:rsidR="007A03CB" w:rsidRPr="00625633" w:rsidRDefault="0034483E">
      <w:pPr>
        <w:spacing w:after="0" w:line="360" w:lineRule="auto"/>
        <w:jc w:val="both"/>
        <w:rPr>
          <w:rFonts w:ascii="Palatino Linotype" w:eastAsia="Palatino Linotype" w:hAnsi="Palatino Linotype" w:cs="Palatino Linotype"/>
        </w:rPr>
      </w:pPr>
      <w:r w:rsidRPr="00625633">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7F8F200" w14:textId="77777777" w:rsidR="007A03CB" w:rsidRPr="00625633" w:rsidRDefault="007A03CB">
      <w:pPr>
        <w:spacing w:after="0" w:line="360" w:lineRule="auto"/>
        <w:jc w:val="both"/>
        <w:rPr>
          <w:rFonts w:ascii="Palatino Linotype" w:eastAsia="Palatino Linotype" w:hAnsi="Palatino Linotype" w:cs="Palatino Linotype"/>
        </w:rPr>
      </w:pPr>
    </w:p>
    <w:p w14:paraId="74688EB6" w14:textId="77777777" w:rsidR="007A03CB" w:rsidRPr="00625633" w:rsidRDefault="0034483E">
      <w:pPr>
        <w:spacing w:after="0" w:line="360" w:lineRule="auto"/>
        <w:jc w:val="both"/>
        <w:rPr>
          <w:rFonts w:ascii="Palatino Linotype" w:eastAsia="Palatino Linotype" w:hAnsi="Palatino Linotype" w:cs="Palatino Linotype"/>
          <w:strike/>
        </w:rPr>
      </w:pPr>
      <w:r w:rsidRPr="00625633">
        <w:rPr>
          <w:rFonts w:ascii="Palatino Linotype" w:eastAsia="Palatino Linotype" w:hAnsi="Palatino Linotype" w:cs="Palatino Linotype"/>
          <w:b/>
        </w:rPr>
        <w:t>Cuarto. Notifíquese vía SAIMEX</w:t>
      </w:r>
      <w:r w:rsidRPr="00625633">
        <w:rPr>
          <w:rFonts w:ascii="Palatino Linotype" w:eastAsia="Palatino Linotype" w:hAnsi="Palatino Linotype" w:cs="Palatino Linotype"/>
        </w:rPr>
        <w:t xml:space="preserve"> y </w:t>
      </w:r>
      <w:r w:rsidRPr="00625633">
        <w:rPr>
          <w:rFonts w:ascii="Palatino Linotype" w:eastAsia="Palatino Linotype" w:hAnsi="Palatino Linotype" w:cs="Palatino Linotype"/>
          <w:b/>
        </w:rPr>
        <w:t xml:space="preserve">correo electrónico </w:t>
      </w:r>
      <w:r w:rsidRPr="00625633">
        <w:rPr>
          <w:rFonts w:ascii="Palatino Linotype" w:eastAsia="Palatino Linotype" w:hAnsi="Palatino Linotype" w:cs="Palatino Linotype"/>
        </w:rPr>
        <w:t xml:space="preserve">a la parte </w:t>
      </w:r>
      <w:r w:rsidRPr="00625633">
        <w:rPr>
          <w:rFonts w:ascii="Palatino Linotype" w:eastAsia="Palatino Linotype" w:hAnsi="Palatino Linotype" w:cs="Palatino Linotype"/>
          <w:b/>
        </w:rPr>
        <w:t xml:space="preserve">Recurrente </w:t>
      </w:r>
      <w:r w:rsidRPr="00625633">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 </w:t>
      </w:r>
    </w:p>
    <w:p w14:paraId="6A37DC78" w14:textId="77777777" w:rsidR="007A03CB" w:rsidRPr="00625633" w:rsidRDefault="007A03CB">
      <w:pPr>
        <w:spacing w:after="0" w:line="360" w:lineRule="auto"/>
        <w:jc w:val="both"/>
        <w:rPr>
          <w:rFonts w:ascii="Palatino Linotype" w:eastAsia="Palatino Linotype" w:hAnsi="Palatino Linotype" w:cs="Palatino Linotype"/>
        </w:rPr>
      </w:pPr>
    </w:p>
    <w:p w14:paraId="7C11C746" w14:textId="77777777" w:rsidR="007A03CB" w:rsidRPr="00625633" w:rsidRDefault="0034483E">
      <w:pPr>
        <w:spacing w:after="0" w:line="360" w:lineRule="auto"/>
        <w:jc w:val="both"/>
        <w:rPr>
          <w:rFonts w:ascii="Palatino Linotype" w:eastAsia="Palatino Linotype" w:hAnsi="Palatino Linotype" w:cs="Palatino Linotype"/>
        </w:rPr>
      </w:pPr>
      <w:bookmarkStart w:id="4" w:name="_heading=h.gjdgxs" w:colFirst="0" w:colLast="0"/>
      <w:bookmarkEnd w:id="4"/>
      <w:r w:rsidRPr="00625633">
        <w:rPr>
          <w:rFonts w:ascii="Palatino Linotype" w:eastAsia="Palatino Linotype" w:hAnsi="Palatino Linotype" w:cs="Palatino Linotype"/>
          <w:b/>
        </w:rPr>
        <w:t>Quinto. Notifíquese vía SAIMEX</w:t>
      </w:r>
      <w:r w:rsidRPr="00625633">
        <w:rPr>
          <w:rFonts w:ascii="Palatino Linotype" w:eastAsia="Palatino Linotype" w:hAnsi="Palatino Linotype" w:cs="Palatino Linotype"/>
        </w:rPr>
        <w:t xml:space="preserve"> y </w:t>
      </w:r>
      <w:r w:rsidRPr="00625633">
        <w:rPr>
          <w:rFonts w:ascii="Palatino Linotype" w:eastAsia="Palatino Linotype" w:hAnsi="Palatino Linotype" w:cs="Palatino Linotype"/>
          <w:b/>
        </w:rPr>
        <w:t xml:space="preserve">correo electrónico </w:t>
      </w:r>
      <w:r w:rsidRPr="00625633">
        <w:rPr>
          <w:rFonts w:ascii="Palatino Linotype" w:eastAsia="Palatino Linotype" w:hAnsi="Palatino Linotype" w:cs="Palatino Linotype"/>
        </w:rPr>
        <w:t xml:space="preserve">a la parte </w:t>
      </w:r>
      <w:r w:rsidRPr="00625633">
        <w:rPr>
          <w:rFonts w:ascii="Palatino Linotype" w:eastAsia="Palatino Linotype" w:hAnsi="Palatino Linotype" w:cs="Palatino Linotype"/>
          <w:b/>
        </w:rPr>
        <w:t xml:space="preserve">Recurrente </w:t>
      </w:r>
      <w:r w:rsidRPr="00625633">
        <w:rPr>
          <w:rFonts w:ascii="Palatino Linotype" w:eastAsia="Palatino Linotype" w:hAnsi="Palatino Linotype" w:cs="Palatino Linotype"/>
        </w:rPr>
        <w:t xml:space="preserve">que la respuesta que dé el </w:t>
      </w:r>
      <w:r w:rsidRPr="00625633">
        <w:rPr>
          <w:rFonts w:ascii="Palatino Linotype" w:eastAsia="Palatino Linotype" w:hAnsi="Palatino Linotype" w:cs="Palatino Linotype"/>
          <w:b/>
        </w:rPr>
        <w:t>Sujeto Obligado</w:t>
      </w:r>
      <w:r w:rsidRPr="00625633">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5116C6E8" w14:textId="77777777" w:rsidR="007A03CB" w:rsidRPr="00625633" w:rsidRDefault="007A03CB">
      <w:pPr>
        <w:spacing w:after="0" w:line="360" w:lineRule="auto"/>
        <w:jc w:val="both"/>
        <w:rPr>
          <w:rFonts w:ascii="Palatino Linotype" w:eastAsia="Palatino Linotype" w:hAnsi="Palatino Linotype" w:cs="Palatino Linotype"/>
        </w:rPr>
      </w:pPr>
    </w:p>
    <w:p w14:paraId="71D9A37F" w14:textId="77777777" w:rsidR="007A03CB" w:rsidRPr="00625633" w:rsidRDefault="0034483E">
      <w:pP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b/>
        </w:rPr>
        <w:t xml:space="preserve">Sexto. Gírese </w:t>
      </w:r>
      <w:r w:rsidRPr="00625633">
        <w:rPr>
          <w:rFonts w:ascii="Palatino Linotype" w:eastAsia="Palatino Linotype" w:hAnsi="Palatino Linotype" w:cs="Palatino Linotype"/>
        </w:rPr>
        <w:t>oficio a la</w:t>
      </w:r>
      <w:r w:rsidRPr="00625633">
        <w:rPr>
          <w:rFonts w:ascii="Palatino Linotype" w:eastAsia="Palatino Linotype" w:hAnsi="Palatino Linotype" w:cs="Palatino Linotype"/>
          <w:b/>
        </w:rPr>
        <w:t xml:space="preserve"> Secretaría Técnica del Pleno de este Instituto </w:t>
      </w:r>
      <w:r w:rsidRPr="00625633">
        <w:rPr>
          <w:rFonts w:ascii="Palatino Linotype" w:eastAsia="Palatino Linotype" w:hAnsi="Palatino Linotype" w:cs="Palatino Linotype"/>
        </w:rPr>
        <w:t>para hacer del conocimiento del</w:t>
      </w:r>
      <w:r w:rsidRPr="00625633">
        <w:rPr>
          <w:rFonts w:ascii="Palatino Linotype" w:eastAsia="Palatino Linotype" w:hAnsi="Palatino Linotype" w:cs="Palatino Linotype"/>
          <w:b/>
        </w:rPr>
        <w:t xml:space="preserve"> Órgano Interno de Control </w:t>
      </w:r>
      <w:r w:rsidRPr="00625633">
        <w:rPr>
          <w:rFonts w:ascii="Palatino Linotype" w:eastAsia="Palatino Linotype" w:hAnsi="Palatino Linotype" w:cs="Palatino Linotype"/>
        </w:rPr>
        <w:t xml:space="preserve">competente la presente resolución, a fin de que </w:t>
      </w:r>
      <w:r w:rsidRPr="00625633">
        <w:rPr>
          <w:rFonts w:ascii="Palatino Linotype" w:eastAsia="Palatino Linotype" w:hAnsi="Palatino Linotype" w:cs="Palatino Linotype"/>
        </w:rPr>
        <w:lastRenderedPageBreak/>
        <w:t xml:space="preserve">de conformidad con el artículo 190, de la Ley de Transparencia y Acceso a la Información Pública del Estado de México y Municipios, determine lo conducente, en términos de lo señalado en el </w:t>
      </w:r>
      <w:r w:rsidRPr="00625633">
        <w:rPr>
          <w:rFonts w:ascii="Palatino Linotype" w:eastAsia="Palatino Linotype" w:hAnsi="Palatino Linotype" w:cs="Palatino Linotype"/>
          <w:b/>
        </w:rPr>
        <w:t xml:space="preserve">Considerando Cuarto </w:t>
      </w:r>
      <w:r w:rsidRPr="00625633">
        <w:rPr>
          <w:rFonts w:ascii="Palatino Linotype" w:eastAsia="Palatino Linotype" w:hAnsi="Palatino Linotype" w:cs="Palatino Linotype"/>
        </w:rPr>
        <w:t>de la presente Resolución.</w:t>
      </w:r>
    </w:p>
    <w:p w14:paraId="45622A95" w14:textId="77777777" w:rsidR="007A03CB" w:rsidRPr="00625633" w:rsidRDefault="007A03CB">
      <w:pPr>
        <w:spacing w:after="0" w:line="360" w:lineRule="auto"/>
        <w:ind w:right="49"/>
        <w:jc w:val="both"/>
        <w:rPr>
          <w:rFonts w:ascii="Palatino Linotype" w:eastAsia="Palatino Linotype" w:hAnsi="Palatino Linotype" w:cs="Palatino Linotype"/>
          <w:sz w:val="24"/>
          <w:szCs w:val="24"/>
        </w:rPr>
      </w:pPr>
    </w:p>
    <w:p w14:paraId="62088240" w14:textId="163B3787" w:rsidR="007A03CB" w:rsidRPr="00625633" w:rsidRDefault="0034483E">
      <w:pPr>
        <w:spacing w:after="0" w:line="360" w:lineRule="auto"/>
        <w:ind w:right="49"/>
        <w:jc w:val="both"/>
        <w:rPr>
          <w:rFonts w:ascii="Palatino Linotype" w:eastAsia="Palatino Linotype" w:hAnsi="Palatino Linotype" w:cs="Palatino Linotype"/>
        </w:rPr>
      </w:pPr>
      <w:r w:rsidRPr="00625633">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625633" w:rsidRPr="00625633">
        <w:rPr>
          <w:rFonts w:ascii="Palatino Linotype" w:eastAsia="Palatino Linotype" w:hAnsi="Palatino Linotype" w:cs="Palatino Linotype"/>
        </w:rPr>
        <w:t>(</w:t>
      </w:r>
      <w:r w:rsidR="00612BC6" w:rsidRPr="00625633">
        <w:rPr>
          <w:rFonts w:ascii="Palatino Linotype" w:eastAsia="Palatino Linotype" w:hAnsi="Palatino Linotype" w:cs="Palatino Linotype"/>
        </w:rPr>
        <w:t>EMITIENDO VOTO PARTICULAR</w:t>
      </w:r>
      <w:r w:rsidR="00625633" w:rsidRPr="00625633">
        <w:rPr>
          <w:rFonts w:ascii="Palatino Linotype" w:eastAsia="Palatino Linotype" w:hAnsi="Palatino Linotype" w:cs="Palatino Linotype"/>
        </w:rPr>
        <w:t>)</w:t>
      </w:r>
      <w:r w:rsidR="00612BC6" w:rsidRPr="00625633">
        <w:rPr>
          <w:rFonts w:ascii="Palatino Linotype" w:eastAsia="Palatino Linotype" w:hAnsi="Palatino Linotype" w:cs="Palatino Linotype"/>
        </w:rPr>
        <w:t xml:space="preserve"> </w:t>
      </w:r>
      <w:r w:rsidRPr="00625633">
        <w:rPr>
          <w:rFonts w:ascii="Palatino Linotype" w:eastAsia="Palatino Linotype" w:hAnsi="Palatino Linotype" w:cs="Palatino Linotype"/>
        </w:rPr>
        <w:t xml:space="preserve">Y GUADALUPE RAMÍREZ PEÑA; EN LA TRIGÉSIMA SEXTA SESIÓN ORDINARIA CELEBRADA EL NUEVE DE OCTUBRE DE DOS MIL VEINTICUATRO, ANTE EL SECRETARIO TÉCNICO DEL PLENO ALEXIS TAPIA RAMÍREZ. </w:t>
      </w:r>
    </w:p>
    <w:p w14:paraId="7B79AF35" w14:textId="77777777" w:rsidR="007A03CB" w:rsidRPr="00625633" w:rsidRDefault="007A03CB">
      <w:pPr>
        <w:spacing w:after="0" w:line="360" w:lineRule="auto"/>
        <w:ind w:right="49"/>
        <w:jc w:val="both"/>
        <w:rPr>
          <w:rFonts w:ascii="Palatino Linotype" w:eastAsia="Palatino Linotype" w:hAnsi="Palatino Linotype" w:cs="Palatino Linotype"/>
        </w:rPr>
      </w:pPr>
    </w:p>
    <w:p w14:paraId="06437BEB" w14:textId="77777777" w:rsidR="007A03CB" w:rsidRPr="00625633" w:rsidRDefault="007A03CB">
      <w:pPr>
        <w:spacing w:after="0" w:line="360" w:lineRule="auto"/>
        <w:ind w:right="49"/>
        <w:jc w:val="both"/>
        <w:rPr>
          <w:rFonts w:ascii="Palatino Linotype" w:eastAsia="Palatino Linotype" w:hAnsi="Palatino Linotype" w:cs="Palatino Linotype"/>
        </w:rPr>
      </w:pPr>
    </w:p>
    <w:p w14:paraId="65F59CFE" w14:textId="78CDFD12" w:rsidR="007A03CB" w:rsidRPr="00625633" w:rsidRDefault="007A03CB">
      <w:pPr>
        <w:spacing w:after="0" w:line="360" w:lineRule="auto"/>
        <w:ind w:right="49"/>
        <w:jc w:val="both"/>
        <w:rPr>
          <w:rFonts w:ascii="Palatino Linotype" w:eastAsia="Palatino Linotype" w:hAnsi="Palatino Linotype" w:cs="Palatino Linotype"/>
        </w:rPr>
      </w:pPr>
    </w:p>
    <w:p w14:paraId="1172A33D" w14:textId="75ED0CD6" w:rsidR="00625633" w:rsidRPr="00625633" w:rsidRDefault="00625633">
      <w:pPr>
        <w:spacing w:after="0" w:line="360" w:lineRule="auto"/>
        <w:ind w:right="49"/>
        <w:jc w:val="both"/>
        <w:rPr>
          <w:rFonts w:ascii="Palatino Linotype" w:eastAsia="Palatino Linotype" w:hAnsi="Palatino Linotype" w:cs="Palatino Linotype"/>
        </w:rPr>
      </w:pPr>
    </w:p>
    <w:p w14:paraId="221257FE" w14:textId="34C674A1" w:rsidR="00625633" w:rsidRPr="00625633" w:rsidRDefault="00625633">
      <w:pPr>
        <w:spacing w:after="0" w:line="360" w:lineRule="auto"/>
        <w:ind w:right="49"/>
        <w:jc w:val="both"/>
        <w:rPr>
          <w:rFonts w:ascii="Palatino Linotype" w:eastAsia="Palatino Linotype" w:hAnsi="Palatino Linotype" w:cs="Palatino Linotype"/>
        </w:rPr>
      </w:pPr>
    </w:p>
    <w:p w14:paraId="3C7517A9" w14:textId="731979B2" w:rsidR="00625633" w:rsidRPr="00625633" w:rsidRDefault="00625633">
      <w:pPr>
        <w:spacing w:after="0" w:line="360" w:lineRule="auto"/>
        <w:ind w:right="49"/>
        <w:jc w:val="both"/>
        <w:rPr>
          <w:rFonts w:ascii="Palatino Linotype" w:eastAsia="Palatino Linotype" w:hAnsi="Palatino Linotype" w:cs="Palatino Linotype"/>
        </w:rPr>
      </w:pPr>
    </w:p>
    <w:p w14:paraId="335E908F" w14:textId="4DDC9132" w:rsidR="00625633" w:rsidRPr="00625633" w:rsidRDefault="00625633">
      <w:pPr>
        <w:spacing w:after="0" w:line="360" w:lineRule="auto"/>
        <w:ind w:right="49"/>
        <w:jc w:val="both"/>
        <w:rPr>
          <w:rFonts w:ascii="Palatino Linotype" w:eastAsia="Palatino Linotype" w:hAnsi="Palatino Linotype" w:cs="Palatino Linotype"/>
        </w:rPr>
      </w:pPr>
    </w:p>
    <w:p w14:paraId="21BAFD70" w14:textId="1D997619" w:rsidR="00625633" w:rsidRPr="00625633" w:rsidRDefault="00625633">
      <w:pPr>
        <w:spacing w:after="0" w:line="360" w:lineRule="auto"/>
        <w:ind w:right="49"/>
        <w:jc w:val="both"/>
        <w:rPr>
          <w:rFonts w:ascii="Palatino Linotype" w:eastAsia="Palatino Linotype" w:hAnsi="Palatino Linotype" w:cs="Palatino Linotype"/>
        </w:rPr>
      </w:pPr>
    </w:p>
    <w:p w14:paraId="235470B4" w14:textId="79747823" w:rsidR="00625633" w:rsidRPr="00625633" w:rsidRDefault="00625633">
      <w:pPr>
        <w:spacing w:after="0" w:line="360" w:lineRule="auto"/>
        <w:ind w:right="49"/>
        <w:jc w:val="both"/>
        <w:rPr>
          <w:rFonts w:ascii="Palatino Linotype" w:eastAsia="Palatino Linotype" w:hAnsi="Palatino Linotype" w:cs="Palatino Linotype"/>
        </w:rPr>
      </w:pPr>
    </w:p>
    <w:p w14:paraId="0431D340" w14:textId="0681ED89" w:rsidR="00625633" w:rsidRPr="00625633" w:rsidRDefault="00625633">
      <w:pPr>
        <w:spacing w:after="0" w:line="360" w:lineRule="auto"/>
        <w:ind w:right="49"/>
        <w:jc w:val="both"/>
        <w:rPr>
          <w:rFonts w:ascii="Palatino Linotype" w:eastAsia="Palatino Linotype" w:hAnsi="Palatino Linotype" w:cs="Palatino Linotype"/>
        </w:rPr>
      </w:pPr>
    </w:p>
    <w:p w14:paraId="4182457C" w14:textId="3DB08009" w:rsidR="00625633" w:rsidRPr="00625633" w:rsidRDefault="00625633">
      <w:pPr>
        <w:spacing w:after="0" w:line="360" w:lineRule="auto"/>
        <w:ind w:right="49"/>
        <w:jc w:val="both"/>
        <w:rPr>
          <w:rFonts w:ascii="Palatino Linotype" w:eastAsia="Palatino Linotype" w:hAnsi="Palatino Linotype" w:cs="Palatino Linotype"/>
        </w:rPr>
      </w:pPr>
    </w:p>
    <w:p w14:paraId="372CB8E1" w14:textId="49BD60E3" w:rsidR="00625633" w:rsidRPr="00625633" w:rsidRDefault="00625633">
      <w:pPr>
        <w:spacing w:after="0" w:line="360" w:lineRule="auto"/>
        <w:ind w:right="49"/>
        <w:jc w:val="both"/>
        <w:rPr>
          <w:rFonts w:ascii="Palatino Linotype" w:eastAsia="Palatino Linotype" w:hAnsi="Palatino Linotype" w:cs="Palatino Linotype"/>
        </w:rPr>
      </w:pPr>
    </w:p>
    <w:p w14:paraId="013AB372" w14:textId="4402BAC3" w:rsidR="00625633" w:rsidRPr="00625633" w:rsidRDefault="00625633">
      <w:pPr>
        <w:spacing w:after="0" w:line="360" w:lineRule="auto"/>
        <w:ind w:right="49"/>
        <w:jc w:val="both"/>
        <w:rPr>
          <w:rFonts w:ascii="Palatino Linotype" w:eastAsia="Palatino Linotype" w:hAnsi="Palatino Linotype" w:cs="Palatino Linotype"/>
        </w:rPr>
      </w:pPr>
    </w:p>
    <w:p w14:paraId="37C393F9" w14:textId="6510812F" w:rsidR="00625633" w:rsidRPr="00625633" w:rsidRDefault="00625633">
      <w:pPr>
        <w:spacing w:after="0" w:line="360" w:lineRule="auto"/>
        <w:ind w:right="49"/>
        <w:jc w:val="both"/>
        <w:rPr>
          <w:rFonts w:ascii="Palatino Linotype" w:eastAsia="Palatino Linotype" w:hAnsi="Palatino Linotype" w:cs="Palatino Linotype"/>
        </w:rPr>
      </w:pPr>
    </w:p>
    <w:p w14:paraId="4538DE16" w14:textId="31ACCF0E" w:rsidR="00625633" w:rsidRPr="00625633" w:rsidRDefault="00625633">
      <w:pPr>
        <w:spacing w:after="0" w:line="360" w:lineRule="auto"/>
        <w:ind w:right="49"/>
        <w:jc w:val="both"/>
        <w:rPr>
          <w:rFonts w:ascii="Palatino Linotype" w:eastAsia="Palatino Linotype" w:hAnsi="Palatino Linotype" w:cs="Palatino Linotype"/>
        </w:rPr>
      </w:pPr>
    </w:p>
    <w:p w14:paraId="4D90167D" w14:textId="2BBBA16A" w:rsidR="00625633" w:rsidRPr="00625633" w:rsidRDefault="00625633">
      <w:pPr>
        <w:spacing w:after="0" w:line="360" w:lineRule="auto"/>
        <w:ind w:right="49"/>
        <w:jc w:val="both"/>
        <w:rPr>
          <w:rFonts w:ascii="Palatino Linotype" w:eastAsia="Palatino Linotype" w:hAnsi="Palatino Linotype" w:cs="Palatino Linotype"/>
        </w:rPr>
      </w:pPr>
    </w:p>
    <w:p w14:paraId="582C177A" w14:textId="2E8D9776" w:rsidR="00625633" w:rsidRPr="00625633" w:rsidRDefault="00625633">
      <w:pPr>
        <w:spacing w:after="0" w:line="360" w:lineRule="auto"/>
        <w:ind w:right="49"/>
        <w:jc w:val="both"/>
        <w:rPr>
          <w:rFonts w:ascii="Palatino Linotype" w:eastAsia="Palatino Linotype" w:hAnsi="Palatino Linotype" w:cs="Palatino Linotype"/>
        </w:rPr>
      </w:pPr>
    </w:p>
    <w:p w14:paraId="08F8522D" w14:textId="397546B0" w:rsidR="00625633" w:rsidRPr="00625633" w:rsidRDefault="00625633">
      <w:pPr>
        <w:spacing w:after="0" w:line="360" w:lineRule="auto"/>
        <w:ind w:right="49"/>
        <w:jc w:val="both"/>
        <w:rPr>
          <w:rFonts w:ascii="Palatino Linotype" w:eastAsia="Palatino Linotype" w:hAnsi="Palatino Linotype" w:cs="Palatino Linotype"/>
        </w:rPr>
      </w:pPr>
    </w:p>
    <w:p w14:paraId="6325AC92" w14:textId="375A46B0" w:rsidR="00625633" w:rsidRPr="00625633" w:rsidRDefault="00625633">
      <w:pPr>
        <w:spacing w:after="0" w:line="360" w:lineRule="auto"/>
        <w:ind w:right="49"/>
        <w:jc w:val="both"/>
        <w:rPr>
          <w:rFonts w:ascii="Palatino Linotype" w:eastAsia="Palatino Linotype" w:hAnsi="Palatino Linotype" w:cs="Palatino Linotype"/>
        </w:rPr>
      </w:pPr>
    </w:p>
    <w:p w14:paraId="1D56AC20" w14:textId="21160777" w:rsidR="00625633" w:rsidRPr="00625633" w:rsidRDefault="00625633">
      <w:pPr>
        <w:spacing w:after="0" w:line="360" w:lineRule="auto"/>
        <w:ind w:right="49"/>
        <w:jc w:val="both"/>
        <w:rPr>
          <w:rFonts w:ascii="Palatino Linotype" w:eastAsia="Palatino Linotype" w:hAnsi="Palatino Linotype" w:cs="Palatino Linotype"/>
        </w:rPr>
      </w:pPr>
    </w:p>
    <w:p w14:paraId="652930C7" w14:textId="77777777" w:rsidR="00625633" w:rsidRPr="00625633" w:rsidRDefault="00625633">
      <w:pPr>
        <w:spacing w:after="0" w:line="360" w:lineRule="auto"/>
        <w:ind w:right="49"/>
        <w:jc w:val="both"/>
        <w:rPr>
          <w:rFonts w:ascii="Palatino Linotype" w:eastAsia="Palatino Linotype" w:hAnsi="Palatino Linotype" w:cs="Palatino Linotype"/>
        </w:rPr>
      </w:pPr>
    </w:p>
    <w:sectPr w:rsidR="00625633" w:rsidRPr="00625633">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0258" w14:textId="77777777" w:rsidR="00471FA2" w:rsidRDefault="00471FA2">
      <w:pPr>
        <w:spacing w:after="0" w:line="240" w:lineRule="auto"/>
      </w:pPr>
      <w:r>
        <w:separator/>
      </w:r>
    </w:p>
  </w:endnote>
  <w:endnote w:type="continuationSeparator" w:id="0">
    <w:p w14:paraId="586E6E97" w14:textId="77777777" w:rsidR="00471FA2" w:rsidRDefault="0047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D80C" w14:textId="77777777" w:rsidR="007A03CB" w:rsidRDefault="0034483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F1F9F">
      <w:rPr>
        <w:b/>
        <w:noProof/>
        <w:color w:val="000000"/>
        <w:sz w:val="24"/>
        <w:szCs w:val="24"/>
      </w:rPr>
      <w:t>37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F1F9F">
      <w:rPr>
        <w:b/>
        <w:noProof/>
        <w:color w:val="000000"/>
        <w:sz w:val="24"/>
        <w:szCs w:val="24"/>
      </w:rPr>
      <w:t>39</w:t>
    </w:r>
    <w:r>
      <w:rPr>
        <w:b/>
        <w:color w:val="000000"/>
        <w:sz w:val="24"/>
        <w:szCs w:val="24"/>
      </w:rPr>
      <w:fldChar w:fldCharType="end"/>
    </w:r>
  </w:p>
  <w:p w14:paraId="36C71F66" w14:textId="77777777" w:rsidR="007A03CB" w:rsidRDefault="007A03C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E840" w14:textId="77777777" w:rsidR="007A03CB" w:rsidRDefault="0034483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F1F9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F1F9F">
      <w:rPr>
        <w:b/>
        <w:noProof/>
        <w:color w:val="000000"/>
        <w:sz w:val="24"/>
        <w:szCs w:val="24"/>
      </w:rPr>
      <w:t>39</w:t>
    </w:r>
    <w:r>
      <w:rPr>
        <w:b/>
        <w:color w:val="000000"/>
        <w:sz w:val="24"/>
        <w:szCs w:val="24"/>
      </w:rPr>
      <w:fldChar w:fldCharType="end"/>
    </w:r>
  </w:p>
  <w:p w14:paraId="6290A827" w14:textId="77777777" w:rsidR="007A03CB" w:rsidRDefault="007A03C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26CD" w14:textId="77777777" w:rsidR="00471FA2" w:rsidRDefault="00471FA2">
      <w:pPr>
        <w:spacing w:after="0" w:line="240" w:lineRule="auto"/>
      </w:pPr>
      <w:r>
        <w:separator/>
      </w:r>
    </w:p>
  </w:footnote>
  <w:footnote w:type="continuationSeparator" w:id="0">
    <w:p w14:paraId="344BFE75" w14:textId="77777777" w:rsidR="00471FA2" w:rsidRDefault="00471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DBEE" w14:textId="77777777" w:rsidR="007A03CB" w:rsidRDefault="0034483E">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0C31033A" wp14:editId="4F558A15">
          <wp:simplePos x="0" y="0"/>
          <wp:positionH relativeFrom="column">
            <wp:posOffset>-698499</wp:posOffset>
          </wp:positionH>
          <wp:positionV relativeFrom="paragraph">
            <wp:posOffset>-402589</wp:posOffset>
          </wp:positionV>
          <wp:extent cx="7809876" cy="10165823"/>
          <wp:effectExtent l="0" t="0" r="0" b="0"/>
          <wp:wrapNone/>
          <wp:docPr id="2902082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7A03CB" w14:paraId="1C02B862" w14:textId="77777777">
      <w:tc>
        <w:tcPr>
          <w:tcW w:w="2551" w:type="dxa"/>
          <w:vAlign w:val="center"/>
        </w:tcPr>
        <w:p w14:paraId="4A871553" w14:textId="77777777" w:rsidR="007A03CB" w:rsidRDefault="0034483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B49DF27" w14:textId="77777777" w:rsidR="007A03CB" w:rsidRDefault="0034483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04154/INFOEM/IP/RR/2024</w:t>
          </w:r>
        </w:p>
      </w:tc>
    </w:tr>
    <w:tr w:rsidR="007A03CB" w14:paraId="5CB46DC3" w14:textId="77777777">
      <w:trPr>
        <w:trHeight w:val="217"/>
      </w:trPr>
      <w:tc>
        <w:tcPr>
          <w:tcW w:w="2551" w:type="dxa"/>
          <w:vAlign w:val="center"/>
        </w:tcPr>
        <w:p w14:paraId="2F683994" w14:textId="77777777" w:rsidR="007A03CB" w:rsidRDefault="0034483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4C75C286" w14:textId="77777777" w:rsidR="007A03CB" w:rsidRDefault="0034483E">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Jaltenco</w:t>
          </w:r>
        </w:p>
      </w:tc>
    </w:tr>
    <w:tr w:rsidR="007A03CB" w14:paraId="5FD81C64" w14:textId="77777777">
      <w:tc>
        <w:tcPr>
          <w:tcW w:w="2551" w:type="dxa"/>
          <w:vAlign w:val="center"/>
        </w:tcPr>
        <w:p w14:paraId="10E3BEF0" w14:textId="77777777" w:rsidR="007A03CB" w:rsidRDefault="0034483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C20C2A6" w14:textId="77777777" w:rsidR="007A03CB" w:rsidRDefault="0034483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0C60A1D" w14:textId="77777777" w:rsidR="007A03CB" w:rsidRDefault="007A03C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882B" w14:textId="77777777" w:rsidR="007A03CB" w:rsidRDefault="0034483E">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1F9F2272" wp14:editId="36F92896">
          <wp:simplePos x="0" y="0"/>
          <wp:positionH relativeFrom="column">
            <wp:posOffset>-702944</wp:posOffset>
          </wp:positionH>
          <wp:positionV relativeFrom="paragraph">
            <wp:posOffset>-248919</wp:posOffset>
          </wp:positionV>
          <wp:extent cx="7809865" cy="10165715"/>
          <wp:effectExtent l="0" t="0" r="0" b="0"/>
          <wp:wrapNone/>
          <wp:docPr id="2902082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7A03CB" w14:paraId="4DEE8CCC" w14:textId="77777777">
      <w:tc>
        <w:tcPr>
          <w:tcW w:w="2551" w:type="dxa"/>
          <w:vAlign w:val="center"/>
        </w:tcPr>
        <w:p w14:paraId="7476ADD6" w14:textId="77777777" w:rsidR="007A03CB" w:rsidRDefault="0034483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7F7F13E" w14:textId="77777777" w:rsidR="007A03CB" w:rsidRDefault="0034483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04154/INFOEM/IP/RR/2024</w:t>
          </w:r>
        </w:p>
      </w:tc>
    </w:tr>
    <w:tr w:rsidR="007A03CB" w14:paraId="18957778" w14:textId="77777777">
      <w:tc>
        <w:tcPr>
          <w:tcW w:w="2551" w:type="dxa"/>
          <w:vAlign w:val="center"/>
        </w:tcPr>
        <w:p w14:paraId="539C4D91" w14:textId="77777777" w:rsidR="007A03CB" w:rsidRDefault="0034483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2E589D40" w14:textId="6D0FCD51" w:rsidR="007A03CB" w:rsidRDefault="00F909F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bookmarkStart w:id="5" w:name="_Hlk180597962"/>
          <w:r>
            <w:rPr>
              <w:rFonts w:ascii="Palatino Linotype" w:eastAsia="Palatino Linotype" w:hAnsi="Palatino Linotype" w:cs="Palatino Linotype"/>
              <w:b/>
              <w:color w:val="000000"/>
            </w:rPr>
            <w:t>XXXX XXXXX XXXX</w:t>
          </w:r>
          <w:bookmarkEnd w:id="5"/>
        </w:p>
      </w:tc>
    </w:tr>
    <w:tr w:rsidR="007A03CB" w14:paraId="5A009EF4" w14:textId="77777777">
      <w:trPr>
        <w:trHeight w:val="152"/>
      </w:trPr>
      <w:tc>
        <w:tcPr>
          <w:tcW w:w="2551" w:type="dxa"/>
          <w:vAlign w:val="center"/>
        </w:tcPr>
        <w:p w14:paraId="3914FA8E" w14:textId="77777777" w:rsidR="007A03CB" w:rsidRDefault="0034483E">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74DCE9C2" w14:textId="77777777" w:rsidR="007A03CB" w:rsidRDefault="0034483E">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Jaltenco</w:t>
          </w:r>
        </w:p>
      </w:tc>
    </w:tr>
    <w:tr w:rsidR="007A03CB" w14:paraId="6201C8F9" w14:textId="77777777">
      <w:tc>
        <w:tcPr>
          <w:tcW w:w="2551" w:type="dxa"/>
          <w:vAlign w:val="center"/>
        </w:tcPr>
        <w:p w14:paraId="64DECAA2" w14:textId="77777777" w:rsidR="007A03CB" w:rsidRDefault="0034483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2109A71" w14:textId="77777777" w:rsidR="007A03CB" w:rsidRDefault="0034483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987F62F" w14:textId="77777777" w:rsidR="007A03CB" w:rsidRDefault="0034483E">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081"/>
    <w:multiLevelType w:val="multilevel"/>
    <w:tmpl w:val="46A0B71C"/>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987128"/>
    <w:multiLevelType w:val="multilevel"/>
    <w:tmpl w:val="C920881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D4F1502"/>
    <w:multiLevelType w:val="multilevel"/>
    <w:tmpl w:val="4A9EE726"/>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2F40B8"/>
    <w:multiLevelType w:val="multilevel"/>
    <w:tmpl w:val="292A918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2565C13"/>
    <w:multiLevelType w:val="multilevel"/>
    <w:tmpl w:val="2A846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CB"/>
    <w:rsid w:val="000F1F9F"/>
    <w:rsid w:val="0034483E"/>
    <w:rsid w:val="00471FA2"/>
    <w:rsid w:val="00612BC6"/>
    <w:rsid w:val="00625633"/>
    <w:rsid w:val="0065741A"/>
    <w:rsid w:val="007A03CB"/>
    <w:rsid w:val="00955ED2"/>
    <w:rsid w:val="00F90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B595"/>
  <w15:docId w15:val="{1F9ED371-1C3C-4EC6-98D0-22673533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paragraph" w:styleId="Listaconvietas3">
    <w:name w:val="List Bullet 3"/>
    <w:basedOn w:val="Normal"/>
    <w:uiPriority w:val="99"/>
    <w:unhideWhenUsed/>
    <w:rsid w:val="008F386C"/>
    <w:pPr>
      <w:numPr>
        <w:numId w:val="5"/>
      </w:numPr>
      <w:spacing w:after="0" w:line="240" w:lineRule="auto"/>
      <w:contextualSpacing/>
    </w:pPr>
    <w:rPr>
      <w:rFonts w:ascii="Times New Roman" w:hAnsi="Times New Roman"/>
      <w:sz w:val="24"/>
      <w:szCs w:val="24"/>
      <w:lang w:eastAsia="es-MX"/>
    </w:rPr>
  </w:style>
  <w:style w:type="table" w:customStyle="1" w:styleId="a">
    <w:basedOn w:val="TableNormal0"/>
    <w:tblPr>
      <w:tblStyleRowBandSize w:val="1"/>
      <w:tblStyleColBandSize w:val="1"/>
      <w:tblCellMar>
        <w:top w:w="15" w:type="dxa"/>
        <w:left w:w="115" w:type="dxa"/>
        <w:bottom w:w="15" w:type="dxa"/>
        <w:right w:w="115"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U7OcY59pooC/9PcuGPvx+yvVJg==">CgMxLjAyCWguMzBqMHpsbDIJaC4zZHk2dmttMg5oLnFyOTNqOTJ4NXE2azIJaC4zem55c2g3MghoLmdqZGd4czgAciExaHBTNUd2ajgzeldwTVpwWlNNeDlMTzd2aXNWZGRzcEs=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10876</Words>
  <Characters>59823</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2024-10-11T16:39:00Z</cp:lastPrinted>
  <dcterms:created xsi:type="dcterms:W3CDTF">2024-10-23T23:49:00Z</dcterms:created>
  <dcterms:modified xsi:type="dcterms:W3CDTF">2024-10-23T23:49:00Z</dcterms:modified>
</cp:coreProperties>
</file>