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962F" w14:textId="77777777" w:rsidR="002B11D9" w:rsidRPr="00B77F8C" w:rsidRDefault="00E43858" w:rsidP="00B77F8C">
      <w:pPr>
        <w:keepNext/>
        <w:keepLines/>
        <w:pBdr>
          <w:top w:val="nil"/>
          <w:left w:val="nil"/>
          <w:bottom w:val="nil"/>
          <w:right w:val="nil"/>
          <w:between w:val="nil"/>
        </w:pBdr>
        <w:jc w:val="left"/>
        <w:rPr>
          <w:rFonts w:eastAsia="Palatino Linotype" w:cs="Palatino Linotype"/>
          <w:sz w:val="24"/>
          <w:szCs w:val="24"/>
        </w:rPr>
      </w:pPr>
      <w:r w:rsidRPr="00B77F8C">
        <w:rPr>
          <w:rFonts w:eastAsia="Palatino Linotype" w:cs="Palatino Linotype"/>
          <w:sz w:val="24"/>
          <w:szCs w:val="24"/>
        </w:rPr>
        <w:t>Contenido</w:t>
      </w:r>
    </w:p>
    <w:p w14:paraId="6569672F" w14:textId="77777777" w:rsidR="002B11D9" w:rsidRPr="00B77F8C" w:rsidRDefault="002B11D9" w:rsidP="00B77F8C">
      <w:pPr>
        <w:rPr>
          <w:sz w:val="16"/>
          <w:szCs w:val="16"/>
        </w:rPr>
      </w:pPr>
    </w:p>
    <w:sdt>
      <w:sdtPr>
        <w:id w:val="-341938133"/>
        <w:docPartObj>
          <w:docPartGallery w:val="Table of Contents"/>
          <w:docPartUnique/>
        </w:docPartObj>
      </w:sdtPr>
      <w:sdtEndPr/>
      <w:sdtContent>
        <w:p w14:paraId="17A85550" w14:textId="77777777" w:rsidR="002B11D9" w:rsidRPr="00B77F8C" w:rsidRDefault="00E43858" w:rsidP="00B77F8C">
          <w:pPr>
            <w:pBdr>
              <w:top w:val="nil"/>
              <w:left w:val="nil"/>
              <w:bottom w:val="nil"/>
              <w:right w:val="nil"/>
              <w:between w:val="nil"/>
            </w:pBdr>
            <w:tabs>
              <w:tab w:val="right" w:pos="9034"/>
            </w:tabs>
            <w:spacing w:after="100"/>
            <w:rPr>
              <w:rFonts w:ascii="Aptos" w:eastAsia="Aptos" w:hAnsi="Aptos" w:cs="Aptos"/>
              <w:szCs w:val="22"/>
            </w:rPr>
          </w:pPr>
          <w:r w:rsidRPr="00B77F8C">
            <w:fldChar w:fldCharType="begin"/>
          </w:r>
          <w:r w:rsidRPr="00B77F8C">
            <w:instrText xml:space="preserve"> TOC \h \u \z \t "Heading 1,1,Heading 2,2,Heading 3,3,"</w:instrText>
          </w:r>
          <w:r w:rsidRPr="00B77F8C">
            <w:fldChar w:fldCharType="separate"/>
          </w:r>
          <w:hyperlink w:anchor="_heading=h.gjdgxs">
            <w:r w:rsidRPr="00B77F8C">
              <w:rPr>
                <w:rFonts w:eastAsia="Palatino Linotype" w:cs="Palatino Linotype"/>
                <w:szCs w:val="22"/>
              </w:rPr>
              <w:t>ANTECEDENTES</w:t>
            </w:r>
            <w:r w:rsidRPr="00B77F8C">
              <w:rPr>
                <w:rFonts w:eastAsia="Palatino Linotype" w:cs="Palatino Linotype"/>
                <w:szCs w:val="22"/>
              </w:rPr>
              <w:tab/>
              <w:t>1</w:t>
            </w:r>
          </w:hyperlink>
        </w:p>
        <w:p w14:paraId="2FDD8C5F" w14:textId="77777777" w:rsidR="002B11D9" w:rsidRPr="00B77F8C" w:rsidRDefault="00350EC5" w:rsidP="00B77F8C">
          <w:pPr>
            <w:pBdr>
              <w:top w:val="nil"/>
              <w:left w:val="nil"/>
              <w:bottom w:val="nil"/>
              <w:right w:val="nil"/>
              <w:between w:val="nil"/>
            </w:pBdr>
            <w:tabs>
              <w:tab w:val="right" w:pos="9034"/>
            </w:tabs>
            <w:spacing w:after="100"/>
            <w:ind w:left="220"/>
            <w:rPr>
              <w:rFonts w:ascii="Aptos" w:eastAsia="Aptos" w:hAnsi="Aptos" w:cs="Aptos"/>
              <w:szCs w:val="22"/>
            </w:rPr>
          </w:pPr>
          <w:hyperlink w:anchor="_heading=h.30j0zll">
            <w:r w:rsidR="00E43858" w:rsidRPr="00B77F8C">
              <w:rPr>
                <w:rFonts w:eastAsia="Palatino Linotype" w:cs="Palatino Linotype"/>
                <w:szCs w:val="22"/>
              </w:rPr>
              <w:t>DE LA SOLICITUD DE INFORMACIÓN</w:t>
            </w:r>
            <w:r w:rsidR="00E43858" w:rsidRPr="00B77F8C">
              <w:rPr>
                <w:rFonts w:eastAsia="Palatino Linotype" w:cs="Palatino Linotype"/>
                <w:szCs w:val="22"/>
              </w:rPr>
              <w:tab/>
              <w:t>1</w:t>
            </w:r>
          </w:hyperlink>
        </w:p>
        <w:p w14:paraId="615ED5BA"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1fob9te">
            <w:r w:rsidR="00E43858" w:rsidRPr="00B77F8C">
              <w:rPr>
                <w:rFonts w:eastAsia="Palatino Linotype" w:cs="Palatino Linotype"/>
                <w:szCs w:val="22"/>
              </w:rPr>
              <w:t>a) Solicitud de información.</w:t>
            </w:r>
            <w:r w:rsidR="00E43858" w:rsidRPr="00B77F8C">
              <w:rPr>
                <w:rFonts w:eastAsia="Palatino Linotype" w:cs="Palatino Linotype"/>
                <w:szCs w:val="22"/>
              </w:rPr>
              <w:tab/>
              <w:t>1</w:t>
            </w:r>
          </w:hyperlink>
        </w:p>
        <w:p w14:paraId="0E3A29C6"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3znysh7">
            <w:r w:rsidR="00E43858" w:rsidRPr="00B77F8C">
              <w:rPr>
                <w:rFonts w:eastAsia="Palatino Linotype" w:cs="Palatino Linotype"/>
                <w:szCs w:val="22"/>
              </w:rPr>
              <w:t>b) Turno de la solicitud de información.</w:t>
            </w:r>
            <w:r w:rsidR="00E43858" w:rsidRPr="00B77F8C">
              <w:rPr>
                <w:rFonts w:eastAsia="Palatino Linotype" w:cs="Palatino Linotype"/>
                <w:szCs w:val="22"/>
              </w:rPr>
              <w:tab/>
              <w:t>2</w:t>
            </w:r>
          </w:hyperlink>
          <w:hyperlink w:anchor="_heading=h.2et92p0"/>
        </w:p>
        <w:p w14:paraId="6861454D"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tyjcwt">
            <w:r w:rsidR="00E43858" w:rsidRPr="00B77F8C">
              <w:rPr>
                <w:rFonts w:eastAsia="Palatino Linotype" w:cs="Palatino Linotype"/>
                <w:szCs w:val="22"/>
              </w:rPr>
              <w:t>c) Respuesta del Sujeto Obligado.</w:t>
            </w:r>
            <w:r w:rsidR="00E43858" w:rsidRPr="00B77F8C">
              <w:rPr>
                <w:rFonts w:eastAsia="Palatino Linotype" w:cs="Palatino Linotype"/>
                <w:szCs w:val="22"/>
              </w:rPr>
              <w:tab/>
              <w:t>3</w:t>
            </w:r>
          </w:hyperlink>
        </w:p>
        <w:p w14:paraId="76AC99E6" w14:textId="77777777" w:rsidR="002B11D9" w:rsidRPr="00B77F8C" w:rsidRDefault="00350EC5" w:rsidP="00B77F8C">
          <w:pPr>
            <w:pBdr>
              <w:top w:val="nil"/>
              <w:left w:val="nil"/>
              <w:bottom w:val="nil"/>
              <w:right w:val="nil"/>
              <w:between w:val="nil"/>
            </w:pBdr>
            <w:tabs>
              <w:tab w:val="right" w:pos="9034"/>
            </w:tabs>
            <w:spacing w:after="100"/>
            <w:ind w:left="220"/>
            <w:rPr>
              <w:rFonts w:ascii="Aptos" w:eastAsia="Aptos" w:hAnsi="Aptos" w:cs="Aptos"/>
              <w:szCs w:val="22"/>
            </w:rPr>
          </w:pPr>
          <w:hyperlink w:anchor="_heading=h.3dy6vkm">
            <w:r w:rsidR="00E43858" w:rsidRPr="00B77F8C">
              <w:rPr>
                <w:rFonts w:eastAsia="Palatino Linotype" w:cs="Palatino Linotype"/>
                <w:szCs w:val="22"/>
              </w:rPr>
              <w:t>DEL RECURSO DE REVISIÓN</w:t>
            </w:r>
            <w:r w:rsidR="00E43858" w:rsidRPr="00B77F8C">
              <w:rPr>
                <w:rFonts w:eastAsia="Palatino Linotype" w:cs="Palatino Linotype"/>
                <w:szCs w:val="22"/>
              </w:rPr>
              <w:tab/>
              <w:t>4</w:t>
            </w:r>
          </w:hyperlink>
        </w:p>
        <w:p w14:paraId="56990138"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1t3h5sf">
            <w:r w:rsidR="00E43858" w:rsidRPr="00B77F8C">
              <w:rPr>
                <w:rFonts w:eastAsia="Palatino Linotype" w:cs="Palatino Linotype"/>
                <w:szCs w:val="22"/>
              </w:rPr>
              <w:t>a) Interposición del Recurso de Revisión.</w:t>
            </w:r>
            <w:r w:rsidR="00E43858" w:rsidRPr="00B77F8C">
              <w:rPr>
                <w:rFonts w:eastAsia="Palatino Linotype" w:cs="Palatino Linotype"/>
                <w:szCs w:val="22"/>
              </w:rPr>
              <w:tab/>
              <w:t>4</w:t>
            </w:r>
          </w:hyperlink>
        </w:p>
        <w:p w14:paraId="46D09424"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4d34og8">
            <w:r w:rsidR="00E43858" w:rsidRPr="00B77F8C">
              <w:rPr>
                <w:rFonts w:eastAsia="Palatino Linotype" w:cs="Palatino Linotype"/>
                <w:szCs w:val="22"/>
              </w:rPr>
              <w:t>b) Turno del Recurso de Revisión.</w:t>
            </w:r>
            <w:r w:rsidR="00E43858" w:rsidRPr="00B77F8C">
              <w:rPr>
                <w:rFonts w:eastAsia="Palatino Linotype" w:cs="Palatino Linotype"/>
                <w:szCs w:val="22"/>
              </w:rPr>
              <w:tab/>
              <w:t>5</w:t>
            </w:r>
          </w:hyperlink>
        </w:p>
        <w:p w14:paraId="4ACFF7E7"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2s8eyo1">
            <w:r w:rsidR="00E43858" w:rsidRPr="00B77F8C">
              <w:rPr>
                <w:rFonts w:eastAsia="Palatino Linotype" w:cs="Palatino Linotype"/>
                <w:szCs w:val="22"/>
              </w:rPr>
              <w:t>c) Admisión del Recurso de Revisión.</w:t>
            </w:r>
            <w:r w:rsidR="00E43858" w:rsidRPr="00B77F8C">
              <w:rPr>
                <w:rFonts w:eastAsia="Palatino Linotype" w:cs="Palatino Linotype"/>
                <w:szCs w:val="22"/>
              </w:rPr>
              <w:tab/>
              <w:t>5</w:t>
            </w:r>
          </w:hyperlink>
        </w:p>
        <w:p w14:paraId="2766360E"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17dp8vu">
            <w:r w:rsidR="00E43858" w:rsidRPr="00B77F8C">
              <w:rPr>
                <w:rFonts w:eastAsia="Palatino Linotype" w:cs="Palatino Linotype"/>
                <w:szCs w:val="22"/>
              </w:rPr>
              <w:t xml:space="preserve">d) </w:t>
            </w:r>
            <w:r w:rsidR="00FB5184" w:rsidRPr="00B77F8C">
              <w:rPr>
                <w:rFonts w:eastAsia="Palatino Linotype" w:cs="Palatino Linotype"/>
                <w:szCs w:val="22"/>
              </w:rPr>
              <w:t>Manifestaciones</w:t>
            </w:r>
            <w:r w:rsidR="00E43858" w:rsidRPr="00B77F8C">
              <w:rPr>
                <w:rFonts w:eastAsia="Palatino Linotype" w:cs="Palatino Linotype"/>
                <w:szCs w:val="22"/>
              </w:rPr>
              <w:t xml:space="preserve"> del Sujeto Obligado.</w:t>
            </w:r>
            <w:r w:rsidR="00E43858" w:rsidRPr="00B77F8C">
              <w:rPr>
                <w:rFonts w:eastAsia="Palatino Linotype" w:cs="Palatino Linotype"/>
                <w:szCs w:val="22"/>
              </w:rPr>
              <w:tab/>
              <w:t>5</w:t>
            </w:r>
          </w:hyperlink>
        </w:p>
        <w:p w14:paraId="17348876"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3rdcrjn">
            <w:r w:rsidR="00E43858" w:rsidRPr="00B77F8C">
              <w:rPr>
                <w:rFonts w:eastAsia="Palatino Linotype" w:cs="Palatino Linotype"/>
                <w:szCs w:val="22"/>
              </w:rPr>
              <w:t>e) Manifestaciones de la Parte Recurrente.</w:t>
            </w:r>
            <w:r w:rsidR="00E43858" w:rsidRPr="00B77F8C">
              <w:rPr>
                <w:rFonts w:eastAsia="Palatino Linotype" w:cs="Palatino Linotype"/>
                <w:szCs w:val="22"/>
              </w:rPr>
              <w:tab/>
              <w:t>6</w:t>
            </w:r>
          </w:hyperlink>
        </w:p>
        <w:p w14:paraId="5563D462"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lnxbz9">
            <w:r w:rsidR="00E43858" w:rsidRPr="00B77F8C">
              <w:rPr>
                <w:rFonts w:eastAsia="Palatino Linotype" w:cs="Palatino Linotype"/>
                <w:szCs w:val="22"/>
              </w:rPr>
              <w:t>f) Cierre de instrucción.</w:t>
            </w:r>
            <w:r w:rsidR="00E43858" w:rsidRPr="00B77F8C">
              <w:rPr>
                <w:rFonts w:eastAsia="Palatino Linotype" w:cs="Palatino Linotype"/>
                <w:szCs w:val="22"/>
              </w:rPr>
              <w:tab/>
              <w:t>6</w:t>
            </w:r>
          </w:hyperlink>
        </w:p>
        <w:p w14:paraId="71D7924F" w14:textId="77777777" w:rsidR="002B11D9" w:rsidRPr="00B77F8C" w:rsidRDefault="00350EC5" w:rsidP="00B77F8C">
          <w:pPr>
            <w:pBdr>
              <w:top w:val="nil"/>
              <w:left w:val="nil"/>
              <w:bottom w:val="nil"/>
              <w:right w:val="nil"/>
              <w:between w:val="nil"/>
            </w:pBdr>
            <w:tabs>
              <w:tab w:val="right" w:pos="9034"/>
            </w:tabs>
            <w:spacing w:after="100"/>
            <w:rPr>
              <w:rFonts w:ascii="Aptos" w:eastAsia="Aptos" w:hAnsi="Aptos" w:cs="Aptos"/>
              <w:szCs w:val="22"/>
            </w:rPr>
          </w:pPr>
          <w:hyperlink w:anchor="_heading=h.1ksv4uv">
            <w:r w:rsidR="00E43858" w:rsidRPr="00B77F8C">
              <w:rPr>
                <w:rFonts w:eastAsia="Palatino Linotype" w:cs="Palatino Linotype"/>
                <w:szCs w:val="22"/>
              </w:rPr>
              <w:t>CONSIDERANDOS</w:t>
            </w:r>
            <w:r w:rsidR="00E43858" w:rsidRPr="00B77F8C">
              <w:rPr>
                <w:rFonts w:eastAsia="Palatino Linotype" w:cs="Palatino Linotype"/>
                <w:szCs w:val="22"/>
              </w:rPr>
              <w:tab/>
              <w:t>6</w:t>
            </w:r>
          </w:hyperlink>
        </w:p>
        <w:p w14:paraId="7614D150" w14:textId="77777777" w:rsidR="002B11D9" w:rsidRPr="00B77F8C" w:rsidRDefault="00350EC5" w:rsidP="00B77F8C">
          <w:pPr>
            <w:pBdr>
              <w:top w:val="nil"/>
              <w:left w:val="nil"/>
              <w:bottom w:val="nil"/>
              <w:right w:val="nil"/>
              <w:between w:val="nil"/>
            </w:pBdr>
            <w:tabs>
              <w:tab w:val="right" w:pos="9034"/>
            </w:tabs>
            <w:spacing w:after="100"/>
            <w:ind w:left="220"/>
            <w:rPr>
              <w:rFonts w:ascii="Aptos" w:eastAsia="Aptos" w:hAnsi="Aptos" w:cs="Aptos"/>
              <w:szCs w:val="22"/>
            </w:rPr>
          </w:pPr>
          <w:hyperlink w:anchor="_heading=h.44sinio">
            <w:r w:rsidR="00E43858" w:rsidRPr="00B77F8C">
              <w:rPr>
                <w:rFonts w:eastAsia="Palatino Linotype" w:cs="Palatino Linotype"/>
                <w:szCs w:val="22"/>
              </w:rPr>
              <w:t>PRIMERO. Procedibilidad</w:t>
            </w:r>
            <w:r w:rsidR="00E43858" w:rsidRPr="00B77F8C">
              <w:rPr>
                <w:rFonts w:eastAsia="Palatino Linotype" w:cs="Palatino Linotype"/>
                <w:szCs w:val="22"/>
              </w:rPr>
              <w:tab/>
              <w:t>7</w:t>
            </w:r>
          </w:hyperlink>
        </w:p>
        <w:p w14:paraId="17AEEA91"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2jxsxqh">
            <w:r w:rsidR="00E43858" w:rsidRPr="00B77F8C">
              <w:rPr>
                <w:rFonts w:eastAsia="Palatino Linotype" w:cs="Palatino Linotype"/>
                <w:szCs w:val="22"/>
              </w:rPr>
              <w:t>a) Competencia del Instituto.</w:t>
            </w:r>
            <w:r w:rsidR="00E43858" w:rsidRPr="00B77F8C">
              <w:rPr>
                <w:rFonts w:eastAsia="Palatino Linotype" w:cs="Palatino Linotype"/>
                <w:szCs w:val="22"/>
              </w:rPr>
              <w:tab/>
              <w:t>7</w:t>
            </w:r>
          </w:hyperlink>
        </w:p>
        <w:p w14:paraId="2C6983EF"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z337ya">
            <w:r w:rsidR="00E43858" w:rsidRPr="00B77F8C">
              <w:rPr>
                <w:rFonts w:eastAsia="Palatino Linotype" w:cs="Palatino Linotype"/>
                <w:szCs w:val="22"/>
              </w:rPr>
              <w:t>b) Legitimidad de la parte recurrente.</w:t>
            </w:r>
            <w:r w:rsidR="00E43858" w:rsidRPr="00B77F8C">
              <w:rPr>
                <w:rFonts w:eastAsia="Palatino Linotype" w:cs="Palatino Linotype"/>
                <w:szCs w:val="22"/>
              </w:rPr>
              <w:tab/>
              <w:t>7</w:t>
            </w:r>
          </w:hyperlink>
        </w:p>
        <w:p w14:paraId="66F737B2"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3j2qqm3">
            <w:r w:rsidR="00E43858" w:rsidRPr="00B77F8C">
              <w:rPr>
                <w:rFonts w:eastAsia="Palatino Linotype" w:cs="Palatino Linotype"/>
                <w:szCs w:val="22"/>
              </w:rPr>
              <w:t>c) Plazo para interponer el recurso.</w:t>
            </w:r>
            <w:r w:rsidR="00E43858" w:rsidRPr="00B77F8C">
              <w:rPr>
                <w:rFonts w:eastAsia="Palatino Linotype" w:cs="Palatino Linotype"/>
                <w:szCs w:val="22"/>
              </w:rPr>
              <w:tab/>
              <w:t>7</w:t>
            </w:r>
          </w:hyperlink>
        </w:p>
        <w:p w14:paraId="352099A2"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4i7ojhp">
            <w:r w:rsidR="00E43858" w:rsidRPr="00B77F8C">
              <w:rPr>
                <w:rFonts w:eastAsia="Palatino Linotype" w:cs="Palatino Linotype"/>
                <w:szCs w:val="22"/>
              </w:rPr>
              <w:t xml:space="preserve">d) </w:t>
            </w:r>
            <w:r w:rsidR="00FD0098" w:rsidRPr="00B77F8C">
              <w:rPr>
                <w:rFonts w:eastAsia="Palatino Linotype" w:cs="Palatino Linotype"/>
                <w:szCs w:val="22"/>
              </w:rPr>
              <w:t xml:space="preserve">Requisitos formales para la interposisicón </w:t>
            </w:r>
            <w:r w:rsidR="003B7186" w:rsidRPr="00B77F8C">
              <w:rPr>
                <w:rFonts w:eastAsia="Palatino Linotype" w:cs="Palatino Linotype"/>
                <w:szCs w:val="22"/>
              </w:rPr>
              <w:t>del recurso.</w:t>
            </w:r>
            <w:r w:rsidR="00E43858" w:rsidRPr="00B77F8C">
              <w:rPr>
                <w:rFonts w:eastAsia="Palatino Linotype" w:cs="Palatino Linotype"/>
                <w:szCs w:val="22"/>
              </w:rPr>
              <w:tab/>
              <w:t>8</w:t>
            </w:r>
          </w:hyperlink>
        </w:p>
        <w:p w14:paraId="3EB299E5" w14:textId="77777777" w:rsidR="002B11D9" w:rsidRPr="00B77F8C" w:rsidRDefault="00350EC5" w:rsidP="00B77F8C">
          <w:pPr>
            <w:pBdr>
              <w:top w:val="nil"/>
              <w:left w:val="nil"/>
              <w:bottom w:val="nil"/>
              <w:right w:val="nil"/>
              <w:between w:val="nil"/>
            </w:pBdr>
            <w:tabs>
              <w:tab w:val="right" w:pos="9034"/>
            </w:tabs>
            <w:spacing w:after="100"/>
            <w:ind w:left="220"/>
            <w:rPr>
              <w:rFonts w:ascii="Aptos" w:eastAsia="Aptos" w:hAnsi="Aptos" w:cs="Aptos"/>
              <w:szCs w:val="22"/>
            </w:rPr>
          </w:pPr>
          <w:hyperlink w:anchor="_heading=h.1ci93xb">
            <w:r w:rsidR="00E43858" w:rsidRPr="00B77F8C">
              <w:rPr>
                <w:rFonts w:eastAsia="Palatino Linotype" w:cs="Palatino Linotype"/>
                <w:szCs w:val="22"/>
              </w:rPr>
              <w:t xml:space="preserve">SEGUNDO. </w:t>
            </w:r>
            <w:r w:rsidR="003B7186" w:rsidRPr="00B77F8C">
              <w:rPr>
                <w:rFonts w:eastAsia="Palatino Linotype" w:cs="Palatino Linotype"/>
                <w:szCs w:val="22"/>
              </w:rPr>
              <w:t>Análisis de la causal de sobreseimiento</w:t>
            </w:r>
            <w:r w:rsidR="00E43858" w:rsidRPr="00B77F8C">
              <w:rPr>
                <w:rFonts w:eastAsia="Palatino Linotype" w:cs="Palatino Linotype"/>
                <w:szCs w:val="22"/>
              </w:rPr>
              <w:t>.</w:t>
            </w:r>
            <w:r w:rsidR="00E43858" w:rsidRPr="00B77F8C">
              <w:rPr>
                <w:rFonts w:eastAsia="Palatino Linotype" w:cs="Palatino Linotype"/>
                <w:szCs w:val="22"/>
              </w:rPr>
              <w:tab/>
              <w:t>9</w:t>
            </w:r>
          </w:hyperlink>
        </w:p>
        <w:p w14:paraId="64C6A8F3"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3whwml4">
            <w:r w:rsidR="00E43858" w:rsidRPr="00B77F8C">
              <w:rPr>
                <w:rFonts w:eastAsia="Palatino Linotype" w:cs="Palatino Linotype"/>
                <w:szCs w:val="22"/>
              </w:rPr>
              <w:t>a) Mandato de transparencia y responsabilidad del Sujeto Obligado.</w:t>
            </w:r>
            <w:r w:rsidR="00E43858" w:rsidRPr="00B77F8C">
              <w:rPr>
                <w:rFonts w:eastAsia="Palatino Linotype" w:cs="Palatino Linotype"/>
                <w:szCs w:val="22"/>
              </w:rPr>
              <w:tab/>
              <w:t>9</w:t>
            </w:r>
          </w:hyperlink>
        </w:p>
        <w:p w14:paraId="344C6C69"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qsh70q">
            <w:r w:rsidR="003B7186" w:rsidRPr="00B77F8C">
              <w:rPr>
                <w:rFonts w:eastAsia="Palatino Linotype" w:cs="Palatino Linotype"/>
                <w:szCs w:val="22"/>
              </w:rPr>
              <w:t>b)Recurso de revisión extemporáneo.</w:t>
            </w:r>
            <w:r w:rsidR="00E43858" w:rsidRPr="00B77F8C">
              <w:rPr>
                <w:rFonts w:eastAsia="Palatino Linotype" w:cs="Palatino Linotype"/>
                <w:szCs w:val="22"/>
              </w:rPr>
              <w:tab/>
              <w:t>12</w:t>
            </w:r>
          </w:hyperlink>
        </w:p>
        <w:p w14:paraId="72E7D4D4" w14:textId="77777777" w:rsidR="002B11D9" w:rsidRPr="00B77F8C" w:rsidRDefault="00350EC5" w:rsidP="00B77F8C">
          <w:pPr>
            <w:pBdr>
              <w:top w:val="nil"/>
              <w:left w:val="nil"/>
              <w:bottom w:val="nil"/>
              <w:right w:val="nil"/>
              <w:between w:val="nil"/>
            </w:pBdr>
            <w:tabs>
              <w:tab w:val="right" w:pos="9034"/>
            </w:tabs>
            <w:spacing w:after="100"/>
            <w:ind w:left="440"/>
            <w:rPr>
              <w:rFonts w:ascii="Aptos" w:eastAsia="Aptos" w:hAnsi="Aptos" w:cs="Aptos"/>
              <w:szCs w:val="22"/>
            </w:rPr>
          </w:pPr>
          <w:hyperlink w:anchor="_heading=h.49x2ik5">
            <w:r w:rsidR="003B7186" w:rsidRPr="00B77F8C">
              <w:rPr>
                <w:rFonts w:eastAsia="Palatino Linotype" w:cs="Palatino Linotype"/>
                <w:szCs w:val="22"/>
              </w:rPr>
              <w:t>c</w:t>
            </w:r>
            <w:r w:rsidR="00E43858" w:rsidRPr="00B77F8C">
              <w:rPr>
                <w:rFonts w:eastAsia="Palatino Linotype" w:cs="Palatino Linotype"/>
                <w:szCs w:val="22"/>
              </w:rPr>
              <w:t>) Conclusión.</w:t>
            </w:r>
            <w:r w:rsidR="00E43858" w:rsidRPr="00B77F8C">
              <w:rPr>
                <w:rFonts w:eastAsia="Palatino Linotype" w:cs="Palatino Linotype"/>
                <w:szCs w:val="22"/>
              </w:rPr>
              <w:tab/>
              <w:t>15</w:t>
            </w:r>
          </w:hyperlink>
        </w:p>
        <w:p w14:paraId="42DCBD4E" w14:textId="77777777" w:rsidR="002B11D9" w:rsidRPr="00B77F8C" w:rsidRDefault="00350EC5" w:rsidP="00B77F8C">
          <w:pPr>
            <w:pBdr>
              <w:top w:val="nil"/>
              <w:left w:val="nil"/>
              <w:bottom w:val="nil"/>
              <w:right w:val="nil"/>
              <w:between w:val="nil"/>
            </w:pBdr>
            <w:tabs>
              <w:tab w:val="right" w:pos="9034"/>
            </w:tabs>
            <w:spacing w:after="100"/>
            <w:rPr>
              <w:rFonts w:ascii="Aptos" w:eastAsia="Aptos" w:hAnsi="Aptos" w:cs="Aptos"/>
              <w:szCs w:val="22"/>
            </w:rPr>
          </w:pPr>
          <w:hyperlink w:anchor="_heading=h.2p2csry">
            <w:r w:rsidR="00E43858" w:rsidRPr="00B77F8C">
              <w:rPr>
                <w:rFonts w:eastAsia="Palatino Linotype" w:cs="Palatino Linotype"/>
                <w:szCs w:val="22"/>
              </w:rPr>
              <w:t>RESUELVE</w:t>
            </w:r>
            <w:r w:rsidR="00E43858" w:rsidRPr="00B77F8C">
              <w:rPr>
                <w:rFonts w:eastAsia="Palatino Linotype" w:cs="Palatino Linotype"/>
                <w:szCs w:val="22"/>
              </w:rPr>
              <w:tab/>
              <w:t>16</w:t>
            </w:r>
          </w:hyperlink>
        </w:p>
        <w:p w14:paraId="29572F95" w14:textId="77777777" w:rsidR="002B11D9" w:rsidRPr="00B77F8C" w:rsidRDefault="00E43858" w:rsidP="00B77F8C">
          <w:pPr>
            <w:rPr>
              <w:b/>
            </w:rPr>
          </w:pPr>
          <w:r w:rsidRPr="00B77F8C">
            <w:fldChar w:fldCharType="end"/>
          </w:r>
        </w:p>
      </w:sdtContent>
    </w:sdt>
    <w:p w14:paraId="10C91D3B" w14:textId="77777777" w:rsidR="002B11D9" w:rsidRPr="00B77F8C" w:rsidRDefault="002B11D9" w:rsidP="00B77F8C">
      <w:pPr>
        <w:sectPr w:rsidR="002B11D9" w:rsidRPr="00B77F8C">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E731975" w14:textId="77777777" w:rsidR="002B11D9" w:rsidRPr="00B77F8C" w:rsidRDefault="00E43858" w:rsidP="00B77F8C">
      <w:pPr>
        <w:rPr>
          <w:b/>
        </w:rPr>
      </w:pPr>
      <w:r w:rsidRPr="00B77F8C">
        <w:lastRenderedPageBreak/>
        <w:t xml:space="preserve">Resolución del Pleno del Instituto de Transparencia, Acceso a la Información Pública y Protección de Datos Personales del Estado de México y Municipios, con domicilio en Metepec, Estado de México, de </w:t>
      </w:r>
      <w:r w:rsidR="00681817" w:rsidRPr="00B77F8C">
        <w:rPr>
          <w:b/>
        </w:rPr>
        <w:t xml:space="preserve">diecinueve </w:t>
      </w:r>
      <w:r w:rsidRPr="00B77F8C">
        <w:rPr>
          <w:b/>
        </w:rPr>
        <w:t xml:space="preserve">de </w:t>
      </w:r>
      <w:r w:rsidR="00E73590" w:rsidRPr="00B77F8C">
        <w:rPr>
          <w:b/>
        </w:rPr>
        <w:t>septiembre</w:t>
      </w:r>
      <w:r w:rsidRPr="00B77F8C">
        <w:rPr>
          <w:b/>
        </w:rPr>
        <w:t xml:space="preserve"> de dos mil veinticuatro.</w:t>
      </w:r>
    </w:p>
    <w:p w14:paraId="70A459BE" w14:textId="77777777" w:rsidR="002B11D9" w:rsidRPr="00B77F8C" w:rsidRDefault="002B11D9" w:rsidP="00B77F8C"/>
    <w:p w14:paraId="6C13CFB9" w14:textId="3947F1F3" w:rsidR="002B11D9" w:rsidRPr="00B77F8C" w:rsidRDefault="00E43858" w:rsidP="00B77F8C">
      <w:r w:rsidRPr="00B77F8C">
        <w:rPr>
          <w:b/>
        </w:rPr>
        <w:t xml:space="preserve">VISTO </w:t>
      </w:r>
      <w:r w:rsidRPr="00B77F8C">
        <w:t xml:space="preserve">el expediente formado con motivo del Recurso de Revisión </w:t>
      </w:r>
      <w:r w:rsidR="002F1D45" w:rsidRPr="00B77F8C">
        <w:rPr>
          <w:b/>
        </w:rPr>
        <w:t>04977</w:t>
      </w:r>
      <w:r w:rsidRPr="00B77F8C">
        <w:rPr>
          <w:b/>
        </w:rPr>
        <w:t>/INFOEM/IP/RR/2024</w:t>
      </w:r>
      <w:r w:rsidRPr="00B77F8C">
        <w:t xml:space="preserve"> interpuesto por </w:t>
      </w:r>
      <w:bookmarkStart w:id="2" w:name="_GoBack"/>
      <w:r w:rsidR="0093656F">
        <w:rPr>
          <w:b/>
        </w:rPr>
        <w:t>XXXXXXX</w:t>
      </w:r>
      <w:bookmarkEnd w:id="2"/>
      <w:r w:rsidR="008F496E" w:rsidRPr="00B77F8C">
        <w:rPr>
          <w:b/>
        </w:rPr>
        <w:t xml:space="preserve"> </w:t>
      </w:r>
      <w:r w:rsidRPr="00B77F8C">
        <w:t xml:space="preserve">a quien en lo subsecuente se le denominará </w:t>
      </w:r>
      <w:r w:rsidRPr="00B77F8C">
        <w:rPr>
          <w:b/>
        </w:rPr>
        <w:t>LA PARTE RECURRENTE</w:t>
      </w:r>
      <w:r w:rsidRPr="00B77F8C">
        <w:t xml:space="preserve">, en contra de la respuesta emitida por </w:t>
      </w:r>
      <w:r w:rsidR="002F1D45" w:rsidRPr="00B77F8C">
        <w:t>la</w:t>
      </w:r>
      <w:r w:rsidRPr="00B77F8C">
        <w:t xml:space="preserve"> </w:t>
      </w:r>
      <w:r w:rsidR="002F1D45" w:rsidRPr="00B77F8C">
        <w:rPr>
          <w:b/>
        </w:rPr>
        <w:t>Comisión del Agua del Estado de México</w:t>
      </w:r>
      <w:r w:rsidRPr="00B77F8C">
        <w:rPr>
          <w:b/>
        </w:rPr>
        <w:t xml:space="preserve">, </w:t>
      </w:r>
      <w:r w:rsidRPr="00B77F8C">
        <w:t xml:space="preserve">en adelante </w:t>
      </w:r>
      <w:r w:rsidRPr="00B77F8C">
        <w:rPr>
          <w:b/>
        </w:rPr>
        <w:t>EL SUJETO OBLIGADO</w:t>
      </w:r>
      <w:r w:rsidRPr="00B77F8C">
        <w:t>, se emite la presente Resolución con base en los Antecedentes y Considerandos que se exponen a continuación:</w:t>
      </w:r>
    </w:p>
    <w:p w14:paraId="4F14D63B" w14:textId="77777777" w:rsidR="002B11D9" w:rsidRPr="00B77F8C" w:rsidRDefault="002B11D9" w:rsidP="00B77F8C"/>
    <w:p w14:paraId="6D6B702B" w14:textId="77777777" w:rsidR="002B11D9" w:rsidRPr="00B77F8C" w:rsidRDefault="00E43858" w:rsidP="00B77F8C">
      <w:pPr>
        <w:pStyle w:val="Ttulo1"/>
      </w:pPr>
      <w:bookmarkStart w:id="3" w:name="_heading=h.gjdgxs" w:colFirst="0" w:colLast="0"/>
      <w:bookmarkEnd w:id="3"/>
      <w:r w:rsidRPr="00B77F8C">
        <w:t>ANTECEDENTES</w:t>
      </w:r>
    </w:p>
    <w:p w14:paraId="4DBB208D" w14:textId="77777777" w:rsidR="002B11D9" w:rsidRPr="00B77F8C" w:rsidRDefault="002B11D9" w:rsidP="00B77F8C"/>
    <w:p w14:paraId="1EDC8FAD" w14:textId="77777777" w:rsidR="002B11D9" w:rsidRPr="00B77F8C" w:rsidRDefault="00E43858" w:rsidP="00B77F8C">
      <w:pPr>
        <w:pStyle w:val="Ttulo2"/>
        <w:jc w:val="left"/>
      </w:pPr>
      <w:bookmarkStart w:id="4" w:name="_heading=h.30j0zll" w:colFirst="0" w:colLast="0"/>
      <w:bookmarkEnd w:id="4"/>
      <w:r w:rsidRPr="00B77F8C">
        <w:t>DE LA SOLICITUD DE INFORMACIÓN</w:t>
      </w:r>
    </w:p>
    <w:p w14:paraId="0E809A25" w14:textId="77777777" w:rsidR="002B11D9" w:rsidRPr="00B77F8C" w:rsidRDefault="00E43858" w:rsidP="00B77F8C">
      <w:pPr>
        <w:pStyle w:val="Ttulo3"/>
        <w:spacing w:line="360" w:lineRule="auto"/>
      </w:pPr>
      <w:bookmarkStart w:id="5" w:name="_heading=h.1fob9te" w:colFirst="0" w:colLast="0"/>
      <w:bookmarkEnd w:id="5"/>
      <w:r w:rsidRPr="00B77F8C">
        <w:t>a) Solicitud de información.</w:t>
      </w:r>
    </w:p>
    <w:p w14:paraId="76A63D0D" w14:textId="77777777" w:rsidR="002B11D9" w:rsidRPr="00B77F8C" w:rsidRDefault="00E43858" w:rsidP="00B77F8C">
      <w:pPr>
        <w:pBdr>
          <w:top w:val="nil"/>
          <w:left w:val="nil"/>
          <w:bottom w:val="nil"/>
          <w:right w:val="nil"/>
          <w:between w:val="nil"/>
        </w:pBdr>
        <w:tabs>
          <w:tab w:val="left" w:pos="0"/>
        </w:tabs>
        <w:rPr>
          <w:rFonts w:eastAsia="Palatino Linotype" w:cs="Palatino Linotype"/>
          <w:szCs w:val="22"/>
        </w:rPr>
      </w:pPr>
      <w:r w:rsidRPr="00B77F8C">
        <w:rPr>
          <w:rFonts w:eastAsia="Palatino Linotype" w:cs="Palatino Linotype"/>
          <w:szCs w:val="22"/>
        </w:rPr>
        <w:t xml:space="preserve">El </w:t>
      </w:r>
      <w:r w:rsidR="002F1D45" w:rsidRPr="00B77F8C">
        <w:rPr>
          <w:rFonts w:eastAsia="Palatino Linotype" w:cs="Palatino Linotype"/>
          <w:b/>
          <w:szCs w:val="22"/>
        </w:rPr>
        <w:t>veintiséis</w:t>
      </w:r>
      <w:r w:rsidRPr="00B77F8C">
        <w:rPr>
          <w:rFonts w:eastAsia="Palatino Linotype" w:cs="Palatino Linotype"/>
          <w:b/>
          <w:szCs w:val="22"/>
        </w:rPr>
        <w:t xml:space="preserve"> de </w:t>
      </w:r>
      <w:r w:rsidR="002F1D45" w:rsidRPr="00B77F8C">
        <w:rPr>
          <w:rFonts w:eastAsia="Palatino Linotype" w:cs="Palatino Linotype"/>
          <w:b/>
          <w:szCs w:val="22"/>
        </w:rPr>
        <w:t>abril</w:t>
      </w:r>
      <w:r w:rsidRPr="00B77F8C">
        <w:rPr>
          <w:rFonts w:eastAsia="Palatino Linotype" w:cs="Palatino Linotype"/>
          <w:b/>
          <w:szCs w:val="22"/>
        </w:rPr>
        <w:t xml:space="preserve"> de dos mil veinticuatro</w:t>
      </w:r>
      <w:r w:rsidRPr="00B77F8C">
        <w:rPr>
          <w:rFonts w:eastAsia="Palatino Linotype" w:cs="Palatino Linotype"/>
          <w:szCs w:val="22"/>
        </w:rPr>
        <w:t xml:space="preserve"> </w:t>
      </w:r>
      <w:r w:rsidRPr="00B77F8C">
        <w:rPr>
          <w:rFonts w:eastAsia="Palatino Linotype" w:cs="Palatino Linotype"/>
          <w:b/>
          <w:szCs w:val="22"/>
        </w:rPr>
        <w:t>LA PARTE RECURRENTE</w:t>
      </w:r>
      <w:r w:rsidRPr="00B77F8C">
        <w:rPr>
          <w:rFonts w:eastAsia="Palatino Linotype" w:cs="Palatino Linotype"/>
          <w:szCs w:val="22"/>
        </w:rPr>
        <w:t xml:space="preserve"> presentó una solicitud de acceso a la información pública ante el </w:t>
      </w:r>
      <w:r w:rsidRPr="00B77F8C">
        <w:rPr>
          <w:rFonts w:eastAsia="Palatino Linotype" w:cs="Palatino Linotype"/>
          <w:b/>
          <w:szCs w:val="22"/>
        </w:rPr>
        <w:t>SUJETO OBLIGADO</w:t>
      </w:r>
      <w:r w:rsidRPr="00B77F8C">
        <w:rPr>
          <w:rFonts w:eastAsia="Palatino Linotype" w:cs="Palatino Linotype"/>
          <w:szCs w:val="22"/>
        </w:rPr>
        <w:t>, a través de</w:t>
      </w:r>
      <w:r w:rsidR="008F496E" w:rsidRPr="00B77F8C">
        <w:rPr>
          <w:rFonts w:eastAsia="Palatino Linotype" w:cs="Palatino Linotype"/>
          <w:szCs w:val="22"/>
        </w:rPr>
        <w:t xml:space="preserve"> la Plataforma Nacional de Transparencia, vinculada a</w:t>
      </w:r>
      <w:r w:rsidRPr="00B77F8C">
        <w:rPr>
          <w:rFonts w:eastAsia="Palatino Linotype" w:cs="Palatino Linotype"/>
          <w:szCs w:val="22"/>
        </w:rPr>
        <w:t>l Sistema de Acceso a la Información Mexiquense (</w:t>
      </w:r>
      <w:r w:rsidRPr="00B77F8C">
        <w:rPr>
          <w:rFonts w:eastAsia="Palatino Linotype" w:cs="Palatino Linotype"/>
          <w:b/>
          <w:szCs w:val="22"/>
        </w:rPr>
        <w:t>SAIMEX</w:t>
      </w:r>
      <w:r w:rsidRPr="00B77F8C">
        <w:rPr>
          <w:rFonts w:eastAsia="Palatino Linotype" w:cs="Palatino Linotype"/>
          <w:szCs w:val="22"/>
        </w:rPr>
        <w:t>). Dicha solicitud quedó registrada con el número de folio</w:t>
      </w:r>
      <w:r w:rsidRPr="00B77F8C">
        <w:rPr>
          <w:rFonts w:eastAsia="Palatino Linotype" w:cs="Palatino Linotype"/>
          <w:b/>
          <w:szCs w:val="22"/>
        </w:rPr>
        <w:t xml:space="preserve"> </w:t>
      </w:r>
      <w:r w:rsidR="002F1D45" w:rsidRPr="00B77F8C">
        <w:rPr>
          <w:rFonts w:eastAsia="Palatino Linotype" w:cs="Palatino Linotype"/>
          <w:b/>
          <w:szCs w:val="22"/>
        </w:rPr>
        <w:t>00227/CAEM/IP/2024</w:t>
      </w:r>
      <w:r w:rsidR="00E73590" w:rsidRPr="00B77F8C">
        <w:rPr>
          <w:rFonts w:eastAsia="Palatino Linotype" w:cs="Palatino Linotype"/>
          <w:b/>
          <w:szCs w:val="22"/>
        </w:rPr>
        <w:t xml:space="preserve"> </w:t>
      </w:r>
      <w:r w:rsidRPr="00B77F8C">
        <w:rPr>
          <w:rFonts w:eastAsia="Palatino Linotype" w:cs="Palatino Linotype"/>
          <w:szCs w:val="22"/>
        </w:rPr>
        <w:t>y en ella se requirió la siguiente información:</w:t>
      </w:r>
    </w:p>
    <w:p w14:paraId="62812417" w14:textId="77777777" w:rsidR="002B11D9" w:rsidRPr="00B77F8C" w:rsidRDefault="002B11D9" w:rsidP="00B77F8C">
      <w:pPr>
        <w:tabs>
          <w:tab w:val="left" w:pos="4667"/>
        </w:tabs>
        <w:ind w:left="567" w:right="567"/>
        <w:rPr>
          <w:b/>
        </w:rPr>
      </w:pPr>
    </w:p>
    <w:p w14:paraId="0F5276AD" w14:textId="77777777" w:rsidR="002B11D9" w:rsidRPr="00B77F8C" w:rsidRDefault="00E43858" w:rsidP="00B77F8C">
      <w:pPr>
        <w:pStyle w:val="Ttulo"/>
      </w:pPr>
      <w:r w:rsidRPr="00B77F8C">
        <w:t>“</w:t>
      </w:r>
      <w:r w:rsidR="002F1D45" w:rsidRPr="00B77F8C">
        <w:t xml:space="preserve">Por medio de la presente, y en ejercicio del derecho de acceso a la información pública establecido en la Ley de Transparencia y Acceso a la Información Pública del Estado de México, me dirijo a ustedes para solicitar la siguiente información relacionada con la Comisión del Agua del Estado de México (CAEM) y la Contraloría del Estado de México: 1. Número de veces que el Órgano Interno de Control ha obstaculizado los procedimientos y entregas-recepciones de los funcionarios de la Comisión del Agua del Estado de México durante el periodo [especificar el periodo de tiempo requerido]. 2. Cantidad de denuncias presentadas por la Comisión del Agua del Estado de México debido a obstaculizaciones en los procedimientos y entregas-recepciones provocadas por el Órgano Interno de Control, </w:t>
      </w:r>
      <w:r w:rsidR="002F1D45" w:rsidRPr="00B77F8C">
        <w:lastRenderedPageBreak/>
        <w:t>durante el mismo periodo mencionado anteriormente. Esta información es esencial para comprender el funcionamiento y la transparencia en la gestión pública, y su divulgación contribuirá a fortalecer la rendición de cuentas y la confianza ciudadana en las instituciones. Agradezco de antemano la atención a esta solicitud y quedo a la espera de su pronta respuesta. Por favor, envíen la información requerida a la dirección postal o correo electrónico indicados al inicio de esta comunicación.</w:t>
      </w:r>
      <w:r w:rsidRPr="00B77F8C">
        <w:t>” (sic).</w:t>
      </w:r>
    </w:p>
    <w:p w14:paraId="699F8909" w14:textId="77777777" w:rsidR="002B11D9" w:rsidRPr="00B77F8C" w:rsidRDefault="002B11D9" w:rsidP="00B77F8C">
      <w:pPr>
        <w:tabs>
          <w:tab w:val="left" w:pos="4667"/>
        </w:tabs>
        <w:ind w:left="567" w:right="567"/>
        <w:rPr>
          <w:i/>
        </w:rPr>
      </w:pPr>
    </w:p>
    <w:p w14:paraId="28591555" w14:textId="77777777" w:rsidR="002B11D9" w:rsidRPr="00B77F8C" w:rsidRDefault="00E43858" w:rsidP="00B77F8C">
      <w:pPr>
        <w:tabs>
          <w:tab w:val="left" w:pos="4667"/>
        </w:tabs>
        <w:ind w:right="567"/>
      </w:pPr>
      <w:r w:rsidRPr="00B77F8C">
        <w:rPr>
          <w:b/>
        </w:rPr>
        <w:t>Modalidad de entrega</w:t>
      </w:r>
      <w:r w:rsidRPr="00B77F8C">
        <w:t>: a</w:t>
      </w:r>
      <w:r w:rsidRPr="00B77F8C">
        <w:rPr>
          <w:i/>
        </w:rPr>
        <w:t xml:space="preserve"> </w:t>
      </w:r>
      <w:r w:rsidRPr="00B77F8C">
        <w:t xml:space="preserve">través del </w:t>
      </w:r>
      <w:r w:rsidRPr="00B77F8C">
        <w:rPr>
          <w:b/>
        </w:rPr>
        <w:t>SAIMEX</w:t>
      </w:r>
      <w:r w:rsidRPr="00B77F8C">
        <w:t>.</w:t>
      </w:r>
    </w:p>
    <w:p w14:paraId="7C942967" w14:textId="77777777" w:rsidR="002B11D9" w:rsidRPr="00B77F8C" w:rsidRDefault="002B11D9" w:rsidP="00B77F8C">
      <w:pPr>
        <w:ind w:right="-28"/>
        <w:rPr>
          <w:i/>
        </w:rPr>
      </w:pPr>
    </w:p>
    <w:p w14:paraId="5B055837" w14:textId="77777777" w:rsidR="002B11D9" w:rsidRPr="00B77F8C" w:rsidRDefault="00E43858" w:rsidP="00B77F8C">
      <w:pPr>
        <w:pStyle w:val="Ttulo3"/>
        <w:spacing w:line="360" w:lineRule="auto"/>
      </w:pPr>
      <w:bookmarkStart w:id="6" w:name="_heading=h.3znysh7" w:colFirst="0" w:colLast="0"/>
      <w:bookmarkEnd w:id="6"/>
      <w:r w:rsidRPr="00B77F8C">
        <w:t>b) Turno de la solicitud de información.</w:t>
      </w:r>
    </w:p>
    <w:p w14:paraId="7716234C" w14:textId="77777777" w:rsidR="002B11D9" w:rsidRPr="00B77F8C" w:rsidRDefault="00E43858" w:rsidP="00B77F8C">
      <w:r w:rsidRPr="00B77F8C">
        <w:t xml:space="preserve">En cumplimiento al artículo 162 de la Ley de Transparencia y Acceso a la Información Pública del Estado de México y Municipios, el </w:t>
      </w:r>
      <w:r w:rsidR="002F1D45" w:rsidRPr="00B77F8C">
        <w:rPr>
          <w:b/>
        </w:rPr>
        <w:t>treinta</w:t>
      </w:r>
      <w:r w:rsidRPr="00B77F8C">
        <w:rPr>
          <w:b/>
        </w:rPr>
        <w:t xml:space="preserve"> de </w:t>
      </w:r>
      <w:r w:rsidR="002F1D45" w:rsidRPr="00B77F8C">
        <w:rPr>
          <w:b/>
        </w:rPr>
        <w:t>abr</w:t>
      </w:r>
      <w:r w:rsidR="003716E1" w:rsidRPr="00B77F8C">
        <w:rPr>
          <w:b/>
        </w:rPr>
        <w:t>il</w:t>
      </w:r>
      <w:r w:rsidRPr="00B77F8C">
        <w:rPr>
          <w:b/>
        </w:rPr>
        <w:t xml:space="preserve"> de dos mil veinticuatro</w:t>
      </w:r>
      <w:r w:rsidRPr="00B77F8C">
        <w:t xml:space="preserve"> el Titular de la Unidad de Transparencia del </w:t>
      </w:r>
      <w:r w:rsidRPr="00B77F8C">
        <w:rPr>
          <w:b/>
        </w:rPr>
        <w:t>SUJETO OBLIGADO</w:t>
      </w:r>
      <w:r w:rsidRPr="00B77F8C">
        <w:t xml:space="preserve"> turnó la solicitud de información a</w:t>
      </w:r>
      <w:r w:rsidR="003716E1" w:rsidRPr="00B77F8C">
        <w:t xml:space="preserve"> la </w:t>
      </w:r>
      <w:r w:rsidRPr="00B77F8C">
        <w:t>servidor</w:t>
      </w:r>
      <w:r w:rsidR="003716E1" w:rsidRPr="00B77F8C">
        <w:t>a pública habilitada</w:t>
      </w:r>
      <w:r w:rsidRPr="00B77F8C">
        <w:t xml:space="preserve"> que estimó pertinente.</w:t>
      </w:r>
    </w:p>
    <w:p w14:paraId="27551B57" w14:textId="77777777" w:rsidR="002B11D9" w:rsidRPr="00B77F8C" w:rsidRDefault="002B11D9" w:rsidP="00B77F8C">
      <w:bookmarkStart w:id="7" w:name="_heading=h.2et92p0" w:colFirst="0" w:colLast="0"/>
      <w:bookmarkEnd w:id="7"/>
    </w:p>
    <w:p w14:paraId="07068E7C" w14:textId="77777777" w:rsidR="002B11D9" w:rsidRPr="00B77F8C" w:rsidRDefault="008F496E" w:rsidP="00B77F8C">
      <w:pPr>
        <w:pStyle w:val="Ttulo3"/>
        <w:spacing w:line="360" w:lineRule="auto"/>
      </w:pPr>
      <w:bookmarkStart w:id="8" w:name="_heading=h.tyjcwt" w:colFirst="0" w:colLast="0"/>
      <w:bookmarkEnd w:id="8"/>
      <w:r w:rsidRPr="00B77F8C">
        <w:t>c</w:t>
      </w:r>
      <w:r w:rsidR="00E43858" w:rsidRPr="00B77F8C">
        <w:t>) Respuesta del Sujeto Obligado.</w:t>
      </w:r>
    </w:p>
    <w:p w14:paraId="2194CF2A" w14:textId="77777777" w:rsidR="002B11D9" w:rsidRPr="00B77F8C" w:rsidRDefault="00E43858" w:rsidP="00B77F8C">
      <w:pPr>
        <w:pBdr>
          <w:top w:val="nil"/>
          <w:left w:val="nil"/>
          <w:bottom w:val="nil"/>
          <w:right w:val="nil"/>
          <w:between w:val="nil"/>
        </w:pBdr>
        <w:rPr>
          <w:rFonts w:eastAsia="Palatino Linotype" w:cs="Palatino Linotype"/>
          <w:szCs w:val="22"/>
        </w:rPr>
      </w:pPr>
      <w:r w:rsidRPr="00B77F8C">
        <w:rPr>
          <w:rFonts w:eastAsia="Palatino Linotype" w:cs="Palatino Linotype"/>
          <w:szCs w:val="22"/>
        </w:rPr>
        <w:t xml:space="preserve">El </w:t>
      </w:r>
      <w:r w:rsidR="003716E1" w:rsidRPr="00B77F8C">
        <w:rPr>
          <w:rFonts w:eastAsia="Palatino Linotype" w:cs="Palatino Linotype"/>
          <w:b/>
          <w:szCs w:val="22"/>
        </w:rPr>
        <w:t>nueve</w:t>
      </w:r>
      <w:r w:rsidRPr="00B77F8C">
        <w:rPr>
          <w:rFonts w:eastAsia="Palatino Linotype" w:cs="Palatino Linotype"/>
          <w:b/>
          <w:szCs w:val="22"/>
        </w:rPr>
        <w:t xml:space="preserve"> de </w:t>
      </w:r>
      <w:r w:rsidR="003716E1" w:rsidRPr="00B77F8C">
        <w:rPr>
          <w:rFonts w:eastAsia="Palatino Linotype" w:cs="Palatino Linotype"/>
          <w:b/>
          <w:szCs w:val="22"/>
        </w:rPr>
        <w:t>mayo</w:t>
      </w:r>
      <w:r w:rsidRPr="00B77F8C">
        <w:rPr>
          <w:rFonts w:eastAsia="Palatino Linotype" w:cs="Palatino Linotype"/>
          <w:b/>
          <w:szCs w:val="22"/>
        </w:rPr>
        <w:t xml:space="preserve"> de dos mil veinticuatro</w:t>
      </w:r>
      <w:r w:rsidRPr="00B77F8C">
        <w:rPr>
          <w:rFonts w:eastAsia="Palatino Linotype" w:cs="Palatino Linotype"/>
          <w:szCs w:val="22"/>
        </w:rPr>
        <w:t xml:space="preserve"> el Titular de la Unidad de Transparencia del </w:t>
      </w:r>
      <w:r w:rsidRPr="00B77F8C">
        <w:rPr>
          <w:rFonts w:eastAsia="Palatino Linotype" w:cs="Palatino Linotype"/>
          <w:b/>
          <w:szCs w:val="22"/>
        </w:rPr>
        <w:t>SUJETO OBLIGADO</w:t>
      </w:r>
      <w:r w:rsidRPr="00B77F8C">
        <w:rPr>
          <w:rFonts w:eastAsia="Palatino Linotype" w:cs="Palatino Linotype"/>
          <w:szCs w:val="22"/>
        </w:rPr>
        <w:t xml:space="preserve"> notificó la siguiente respuesta a través del SAIMEX:</w:t>
      </w:r>
    </w:p>
    <w:p w14:paraId="64DC46DD" w14:textId="77777777" w:rsidR="002B11D9" w:rsidRPr="00B77F8C" w:rsidRDefault="002B11D9" w:rsidP="00B77F8C">
      <w:pPr>
        <w:tabs>
          <w:tab w:val="left" w:pos="4667"/>
        </w:tabs>
        <w:ind w:left="567" w:right="567"/>
        <w:rPr>
          <w:b/>
        </w:rPr>
      </w:pPr>
    </w:p>
    <w:p w14:paraId="7197667F" w14:textId="77777777" w:rsidR="003716E1" w:rsidRPr="00B77F8C" w:rsidRDefault="00E43858" w:rsidP="00B77F8C">
      <w:pPr>
        <w:pStyle w:val="Ttulo"/>
      </w:pPr>
      <w:r w:rsidRPr="00B77F8C">
        <w:t>“</w:t>
      </w:r>
      <w:r w:rsidR="003716E1" w:rsidRPr="00B77F8C">
        <w:t>Metepec, México a 09 de Mayo de 2024</w:t>
      </w:r>
    </w:p>
    <w:p w14:paraId="58440AA6" w14:textId="77777777" w:rsidR="003716E1" w:rsidRPr="00B77F8C" w:rsidRDefault="003716E1" w:rsidP="00B77F8C">
      <w:pPr>
        <w:pStyle w:val="Ttulo"/>
      </w:pPr>
      <w:r w:rsidRPr="00B77F8C">
        <w:t>Nombre del solicitante: C. Solicitante</w:t>
      </w:r>
    </w:p>
    <w:p w14:paraId="45596D87" w14:textId="77777777" w:rsidR="003716E1" w:rsidRPr="00B77F8C" w:rsidRDefault="003716E1" w:rsidP="00B77F8C">
      <w:pPr>
        <w:pStyle w:val="Ttulo"/>
      </w:pPr>
      <w:r w:rsidRPr="00B77F8C">
        <w:t>Folio de la solicitud: 00227/CAEM/IP/2024</w:t>
      </w:r>
    </w:p>
    <w:p w14:paraId="12CBAB1D" w14:textId="77777777" w:rsidR="003716E1" w:rsidRPr="00B77F8C" w:rsidRDefault="003716E1" w:rsidP="00B77F8C">
      <w:pPr>
        <w:pStyle w:val="Ttulo"/>
      </w:pPr>
      <w:r w:rsidRPr="00B77F8C">
        <w:t>En respuesta a la solicitud recibida, nos permitimos hacer de su conocimiento que con fundamento en el artículo 53, Fracciones: II, V y VI de la Ley de Transparencia y Acceso a la Información Pública del Estado de México y Municipios, le contestamos que:</w:t>
      </w:r>
    </w:p>
    <w:p w14:paraId="2A702D8F" w14:textId="77777777" w:rsidR="003716E1" w:rsidRPr="00B77F8C" w:rsidRDefault="003716E1" w:rsidP="00B77F8C">
      <w:pPr>
        <w:pStyle w:val="Ttulo"/>
      </w:pPr>
      <w:r w:rsidRPr="00B77F8C">
        <w:t xml:space="preserve">Oficio No. 219C0110010000S/ 0993 /2024 Naucalpan de Juárez, Estado de México 08 de mayo de 2024 ESTIMADO PETICIONARIO FOLIO DE LA SOLICITUD: 00227/CAEM/IP/2024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w:t>
      </w:r>
      <w:r w:rsidRPr="00B77F8C">
        <w:lastRenderedPageBreak/>
        <w:t>del Agua del Estado de México vía electrónica se ha registrado con el número de folio 00227/CAEM/IP/2024, misma que a la letra dice: "Por medio de la presente, y en ejercicio del derecho de acceso a la información pública establecido en la Ley de Transparencia y Acceso a la Información Pública del Estado de México, me dirijo a ustedes para solicitar la siguiente información relacionada con la Comisión del Agua del Estado de México (CAEM) y la Contraloría del Estado de México: 1. Número de veces que el Órgano Interno de Control ha obstaculizado los procedimientos y entregas-recepciones de los funcionarios de la Comisión del Agua del Estado de México durante el periodo [especificar el periodo de tiempo requerido]. 2. Cantidad de denuncias presentadas por la Comisión del Agua del Estado de México debido a obstaculizaciones en los procedimientos y entregas-recepciones provocadas por el Órgano Interno de Control, durante el mismo periodo mencionado anteriormente. Esta información es esencial para comprender el funcionamiento y la transparencia en la gestión pública, y su divulgación contribuirá a fortalecer la rendición de cuentas y la confianza ciudadana en las instituciones. Agradezco de antemano la atención a esta solicitud y quedo a la espera de su pronta respuesta. Por favor, envíen la información requerida a la dirección postal o correo electrónico indicados al inicio de esta comunicación."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Oficio No. 219C0110010000S/ 0993 /2024 Naucalpan de Juárez, Estado de México 08 de mayo de 2024 Es así que de conformidad con el Manual General de Organización vigente esta Comisión no ostenta funciones y/o atribuciones para atender u ostentar documentales respecto a lo solicitado. Sin otro particular por el momento, aprovecho la ocasión para enviarle un cordial saludo. A T E N T A M E N T E STEPHANIE VALERO SÁNCHEZ TITULAR DE LA UNIDAD DE TRANSPARENCIA</w:t>
      </w:r>
    </w:p>
    <w:p w14:paraId="2C909F5E" w14:textId="77777777" w:rsidR="003716E1" w:rsidRPr="00B77F8C" w:rsidRDefault="003716E1" w:rsidP="00B77F8C">
      <w:pPr>
        <w:pStyle w:val="Ttulo"/>
      </w:pPr>
      <w:r w:rsidRPr="00B77F8C">
        <w:t>ATENTAMENTE</w:t>
      </w:r>
    </w:p>
    <w:p w14:paraId="433E9983" w14:textId="77777777" w:rsidR="002B11D9" w:rsidRPr="00B77F8C" w:rsidRDefault="003716E1" w:rsidP="00B77F8C">
      <w:pPr>
        <w:pStyle w:val="Ttulo"/>
      </w:pPr>
      <w:r w:rsidRPr="00B77F8C">
        <w:t>Lic. Stephanie Valero Sánchez</w:t>
      </w:r>
      <w:r w:rsidR="00E43858" w:rsidRPr="00B77F8C">
        <w:t>”</w:t>
      </w:r>
    </w:p>
    <w:p w14:paraId="5394118D" w14:textId="77777777" w:rsidR="002B11D9" w:rsidRPr="00B77F8C" w:rsidRDefault="002B11D9" w:rsidP="00B77F8C">
      <w:pPr>
        <w:pStyle w:val="Ttulo"/>
      </w:pPr>
    </w:p>
    <w:p w14:paraId="72723BB1" w14:textId="77777777" w:rsidR="002B11D9" w:rsidRPr="00B77F8C" w:rsidRDefault="00E43858" w:rsidP="00B77F8C">
      <w:pPr>
        <w:ind w:right="-28"/>
      </w:pPr>
      <w:r w:rsidRPr="00B77F8C">
        <w:t xml:space="preserve">Asimismo, </w:t>
      </w:r>
      <w:r w:rsidRPr="00B77F8C">
        <w:rPr>
          <w:b/>
        </w:rPr>
        <w:t xml:space="preserve">EL SUJETO OBLIGADO </w:t>
      </w:r>
      <w:r w:rsidRPr="00B77F8C">
        <w:t>adjuntó a su respuesta los archivos electrónicos que se describen a continuación:</w:t>
      </w:r>
    </w:p>
    <w:p w14:paraId="2368DD9A" w14:textId="77777777" w:rsidR="002B11D9" w:rsidRPr="00B77F8C" w:rsidRDefault="002B11D9" w:rsidP="00B77F8C">
      <w:pPr>
        <w:ind w:right="-28"/>
      </w:pPr>
    </w:p>
    <w:p w14:paraId="090A30CB" w14:textId="77777777" w:rsidR="001F3976" w:rsidRPr="00B77F8C" w:rsidRDefault="00E43858" w:rsidP="00B77F8C">
      <w:pPr>
        <w:numPr>
          <w:ilvl w:val="0"/>
          <w:numId w:val="1"/>
        </w:numPr>
        <w:pBdr>
          <w:top w:val="nil"/>
          <w:left w:val="nil"/>
          <w:bottom w:val="nil"/>
          <w:right w:val="nil"/>
          <w:between w:val="nil"/>
        </w:pBdr>
        <w:ind w:right="-28"/>
        <w:rPr>
          <w:rFonts w:eastAsia="Palatino Linotype" w:cs="Palatino Linotype"/>
          <w:b/>
          <w:i/>
          <w:szCs w:val="22"/>
        </w:rPr>
      </w:pPr>
      <w:r w:rsidRPr="00B77F8C">
        <w:rPr>
          <w:rFonts w:eastAsia="Palatino Linotype" w:cs="Palatino Linotype"/>
          <w:b/>
          <w:i/>
          <w:szCs w:val="22"/>
        </w:rPr>
        <w:t>“</w:t>
      </w:r>
      <w:r w:rsidR="003716E1" w:rsidRPr="00B77F8C">
        <w:rPr>
          <w:rFonts w:eastAsia="Palatino Linotype" w:cs="Palatino Linotype"/>
          <w:b/>
          <w:i/>
          <w:szCs w:val="22"/>
        </w:rPr>
        <w:t>00227-CAEM-IP-2024.pdf</w:t>
      </w:r>
      <w:r w:rsidRPr="00B77F8C">
        <w:rPr>
          <w:rFonts w:eastAsia="Palatino Linotype" w:cs="Palatino Linotype"/>
          <w:b/>
          <w:i/>
          <w:szCs w:val="22"/>
        </w:rPr>
        <w:t xml:space="preserve">”: </w:t>
      </w:r>
      <w:r w:rsidRPr="00B77F8C">
        <w:rPr>
          <w:rFonts w:eastAsia="Palatino Linotype" w:cs="Palatino Linotype"/>
          <w:szCs w:val="22"/>
        </w:rPr>
        <w:t xml:space="preserve">documento constante de </w:t>
      </w:r>
      <w:r w:rsidR="003716E1" w:rsidRPr="00B77F8C">
        <w:rPr>
          <w:rFonts w:eastAsia="Palatino Linotype" w:cs="Palatino Linotype"/>
          <w:szCs w:val="22"/>
        </w:rPr>
        <w:t>1</w:t>
      </w:r>
      <w:r w:rsidRPr="00B77F8C">
        <w:rPr>
          <w:rFonts w:eastAsia="Palatino Linotype" w:cs="Palatino Linotype"/>
          <w:szCs w:val="22"/>
        </w:rPr>
        <w:t xml:space="preserve"> foja útil, de cuyo contenido se advierte el oficio con número de registro </w:t>
      </w:r>
      <w:r w:rsidR="003716E1" w:rsidRPr="00B77F8C">
        <w:rPr>
          <w:rFonts w:eastAsia="Palatino Linotype" w:cs="Palatino Linotype"/>
          <w:szCs w:val="22"/>
        </w:rPr>
        <w:t>219C0117L/903/2024</w:t>
      </w:r>
      <w:r w:rsidR="001F3976" w:rsidRPr="00B77F8C">
        <w:rPr>
          <w:rFonts w:eastAsia="Palatino Linotype" w:cs="Palatino Linotype"/>
          <w:szCs w:val="22"/>
        </w:rPr>
        <w:t xml:space="preserve">, suscrito por </w:t>
      </w:r>
      <w:r w:rsidR="003716E1" w:rsidRPr="00B77F8C">
        <w:rPr>
          <w:rFonts w:eastAsia="Palatino Linotype" w:cs="Palatino Linotype"/>
          <w:szCs w:val="22"/>
        </w:rPr>
        <w:t xml:space="preserve">LA </w:t>
      </w:r>
      <w:r w:rsidR="003716E1" w:rsidRPr="00B77F8C">
        <w:rPr>
          <w:rFonts w:eastAsia="Palatino Linotype" w:cs="Palatino Linotype"/>
          <w:szCs w:val="22"/>
        </w:rPr>
        <w:lastRenderedPageBreak/>
        <w:t>Directora General de Administración y Finanzas, por medio del cual señala que, no cuenta con atribuciones para atender u ostentar documentales respecto a lo solicitado</w:t>
      </w:r>
      <w:r w:rsidR="00E73590" w:rsidRPr="00B77F8C">
        <w:rPr>
          <w:rFonts w:eastAsia="Palatino Linotype" w:cs="Palatino Linotype"/>
          <w:szCs w:val="22"/>
        </w:rPr>
        <w:t>.</w:t>
      </w:r>
    </w:p>
    <w:p w14:paraId="66FE9909" w14:textId="77777777" w:rsidR="00B1246E" w:rsidRPr="00B77F8C" w:rsidRDefault="00B1246E" w:rsidP="00B77F8C">
      <w:pPr>
        <w:numPr>
          <w:ilvl w:val="0"/>
          <w:numId w:val="1"/>
        </w:numPr>
        <w:pBdr>
          <w:top w:val="nil"/>
          <w:left w:val="nil"/>
          <w:bottom w:val="nil"/>
          <w:right w:val="nil"/>
          <w:between w:val="nil"/>
        </w:pBdr>
        <w:ind w:right="-28"/>
        <w:rPr>
          <w:rFonts w:eastAsia="Palatino Linotype" w:cs="Palatino Linotype"/>
          <w:b/>
          <w:i/>
          <w:szCs w:val="22"/>
        </w:rPr>
      </w:pPr>
      <w:r w:rsidRPr="00B77F8C">
        <w:rPr>
          <w:rFonts w:eastAsia="Palatino Linotype" w:cs="Palatino Linotype"/>
          <w:b/>
          <w:i/>
          <w:szCs w:val="22"/>
        </w:rPr>
        <w:t>“</w:t>
      </w:r>
      <w:r w:rsidR="003716E1" w:rsidRPr="00B77F8C">
        <w:rPr>
          <w:rFonts w:eastAsia="Palatino Linotype" w:cs="Palatino Linotype"/>
          <w:b/>
          <w:i/>
          <w:szCs w:val="22"/>
        </w:rPr>
        <w:t>Respuesta saimex 227 05-09-2024-192113.pdf</w:t>
      </w:r>
      <w:r w:rsidRPr="00B77F8C">
        <w:rPr>
          <w:rFonts w:eastAsia="Palatino Linotype" w:cs="Palatino Linotype"/>
          <w:b/>
          <w:i/>
          <w:szCs w:val="22"/>
        </w:rPr>
        <w:t xml:space="preserve">”: </w:t>
      </w:r>
      <w:r w:rsidRPr="00B77F8C">
        <w:rPr>
          <w:rFonts w:eastAsia="Palatino Linotype" w:cs="Palatino Linotype"/>
          <w:szCs w:val="22"/>
        </w:rPr>
        <w:t xml:space="preserve">documento constante de </w:t>
      </w:r>
      <w:r w:rsidR="003716E1" w:rsidRPr="00B77F8C">
        <w:rPr>
          <w:rFonts w:eastAsia="Palatino Linotype" w:cs="Palatino Linotype"/>
          <w:szCs w:val="22"/>
        </w:rPr>
        <w:t>3</w:t>
      </w:r>
      <w:r w:rsidRPr="00B77F8C">
        <w:rPr>
          <w:rFonts w:eastAsia="Palatino Linotype" w:cs="Palatino Linotype"/>
          <w:szCs w:val="22"/>
        </w:rPr>
        <w:t xml:space="preserve"> fojas útiles, de cuyo contenido se advierte</w:t>
      </w:r>
      <w:r w:rsidR="003716E1" w:rsidRPr="00B77F8C">
        <w:rPr>
          <w:rFonts w:eastAsia="Palatino Linotype" w:cs="Palatino Linotype"/>
          <w:szCs w:val="22"/>
        </w:rPr>
        <w:t xml:space="preserve"> el oficio con número de registro 219C0110010000S/0993/2024, suscrito por la Titular de la Unidad de Transparencia, por el que señala que, no cuenta con atribuciones para atender u ostentar documentales respecto a lo solicitado; asimismo remite la documental descrita en el párrafo anterior.</w:t>
      </w:r>
    </w:p>
    <w:p w14:paraId="5041DE70" w14:textId="77777777" w:rsidR="00E43858" w:rsidRPr="00B77F8C" w:rsidRDefault="00E43858" w:rsidP="00B77F8C">
      <w:pPr>
        <w:pBdr>
          <w:top w:val="nil"/>
          <w:left w:val="nil"/>
          <w:bottom w:val="nil"/>
          <w:right w:val="nil"/>
          <w:between w:val="nil"/>
        </w:pBdr>
        <w:ind w:left="720" w:right="-28"/>
      </w:pPr>
    </w:p>
    <w:p w14:paraId="09FF454F" w14:textId="77777777" w:rsidR="002B11D9" w:rsidRPr="00B77F8C" w:rsidRDefault="00E43858" w:rsidP="00B77F8C">
      <w:pPr>
        <w:pStyle w:val="Ttulo2"/>
        <w:jc w:val="left"/>
      </w:pPr>
      <w:bookmarkStart w:id="9" w:name="_heading=h.3dy6vkm" w:colFirst="0" w:colLast="0"/>
      <w:bookmarkEnd w:id="9"/>
      <w:r w:rsidRPr="00B77F8C">
        <w:t>DEL RECURSO DE REVISIÓN</w:t>
      </w:r>
    </w:p>
    <w:p w14:paraId="21129A47" w14:textId="77777777" w:rsidR="002B11D9" w:rsidRPr="00B77F8C" w:rsidRDefault="002B11D9" w:rsidP="00B77F8C">
      <w:pPr>
        <w:ind w:right="-28"/>
      </w:pPr>
    </w:p>
    <w:p w14:paraId="61B56092" w14:textId="77777777" w:rsidR="002B11D9" w:rsidRPr="00B77F8C" w:rsidRDefault="00E43858" w:rsidP="00B77F8C">
      <w:pPr>
        <w:pStyle w:val="Ttulo3"/>
        <w:spacing w:line="360" w:lineRule="auto"/>
      </w:pPr>
      <w:bookmarkStart w:id="10" w:name="_heading=h.1t3h5sf" w:colFirst="0" w:colLast="0"/>
      <w:bookmarkEnd w:id="10"/>
      <w:r w:rsidRPr="00B77F8C">
        <w:t>a) Interposición del Recurso de Revisión.</w:t>
      </w:r>
    </w:p>
    <w:p w14:paraId="0646A586" w14:textId="77777777" w:rsidR="002B11D9" w:rsidRPr="00B77F8C" w:rsidRDefault="00E43858" w:rsidP="00B77F8C">
      <w:pPr>
        <w:ind w:right="-28"/>
      </w:pPr>
      <w:r w:rsidRPr="00B77F8C">
        <w:t xml:space="preserve">El </w:t>
      </w:r>
      <w:r w:rsidR="003716E1" w:rsidRPr="00B77F8C">
        <w:rPr>
          <w:b/>
        </w:rPr>
        <w:t>diecinueve</w:t>
      </w:r>
      <w:r w:rsidRPr="00B77F8C">
        <w:rPr>
          <w:b/>
        </w:rPr>
        <w:t xml:space="preserve"> de </w:t>
      </w:r>
      <w:r w:rsidR="00616413" w:rsidRPr="00B77F8C">
        <w:rPr>
          <w:b/>
        </w:rPr>
        <w:t>agosto</w:t>
      </w:r>
      <w:r w:rsidRPr="00B77F8C">
        <w:rPr>
          <w:b/>
        </w:rPr>
        <w:t xml:space="preserve"> de dos mil veinticuatro</w:t>
      </w:r>
      <w:r w:rsidRPr="00B77F8C">
        <w:t xml:space="preserve"> </w:t>
      </w:r>
      <w:r w:rsidRPr="00B77F8C">
        <w:rPr>
          <w:b/>
        </w:rPr>
        <w:t>LA PARTE RECURRENTE</w:t>
      </w:r>
      <w:r w:rsidRPr="00B77F8C">
        <w:t xml:space="preserve"> interpuso el recurso de revisión en contra de la respuesta emitida por el </w:t>
      </w:r>
      <w:r w:rsidRPr="00B77F8C">
        <w:rPr>
          <w:b/>
        </w:rPr>
        <w:t>SUJETO OBLIGADO</w:t>
      </w:r>
      <w:r w:rsidRPr="00B77F8C">
        <w:t xml:space="preserve">, mismo que fue registrado en el SAIMEX con el número de expediente </w:t>
      </w:r>
      <w:r w:rsidR="003716E1" w:rsidRPr="00B77F8C">
        <w:rPr>
          <w:b/>
        </w:rPr>
        <w:t>04977</w:t>
      </w:r>
      <w:r w:rsidRPr="00B77F8C">
        <w:rPr>
          <w:b/>
        </w:rPr>
        <w:t>/INFOEM/IP/RR/2024</w:t>
      </w:r>
      <w:r w:rsidRPr="00B77F8C">
        <w:t xml:space="preserve"> y en el cual manifiesta lo siguiente:</w:t>
      </w:r>
    </w:p>
    <w:p w14:paraId="5F48A90B" w14:textId="77777777" w:rsidR="002B11D9" w:rsidRPr="00B77F8C" w:rsidRDefault="002B11D9" w:rsidP="00B77F8C">
      <w:pPr>
        <w:tabs>
          <w:tab w:val="left" w:pos="4667"/>
        </w:tabs>
        <w:ind w:right="539"/>
      </w:pPr>
    </w:p>
    <w:p w14:paraId="018A0103" w14:textId="77777777" w:rsidR="002B11D9" w:rsidRPr="00B77F8C" w:rsidRDefault="00E43858" w:rsidP="00B77F8C">
      <w:pPr>
        <w:tabs>
          <w:tab w:val="left" w:pos="4667"/>
        </w:tabs>
        <w:ind w:left="567" w:right="539"/>
        <w:rPr>
          <w:b/>
        </w:rPr>
      </w:pPr>
      <w:r w:rsidRPr="00B77F8C">
        <w:rPr>
          <w:b/>
        </w:rPr>
        <w:t>ACTO IMPUGNADO</w:t>
      </w:r>
    </w:p>
    <w:p w14:paraId="265586CA" w14:textId="77777777" w:rsidR="00681817" w:rsidRPr="00B77F8C" w:rsidRDefault="00681817" w:rsidP="00B77F8C">
      <w:pPr>
        <w:tabs>
          <w:tab w:val="left" w:pos="4667"/>
        </w:tabs>
        <w:spacing w:line="240" w:lineRule="auto"/>
        <w:ind w:left="567" w:right="539"/>
        <w:rPr>
          <w:b/>
        </w:rPr>
      </w:pPr>
    </w:p>
    <w:p w14:paraId="3A20BDCA" w14:textId="77777777" w:rsidR="002B11D9" w:rsidRPr="00B77F8C" w:rsidRDefault="00E43858" w:rsidP="00B77F8C">
      <w:pPr>
        <w:tabs>
          <w:tab w:val="left" w:pos="4667"/>
        </w:tabs>
        <w:spacing w:line="240" w:lineRule="auto"/>
        <w:ind w:left="567" w:right="539"/>
      </w:pPr>
      <w:r w:rsidRPr="00B77F8C">
        <w:rPr>
          <w:i/>
        </w:rPr>
        <w:t>“</w:t>
      </w:r>
      <w:r w:rsidR="003716E1" w:rsidRPr="00B77F8C">
        <w:rPr>
          <w:i/>
        </w:rPr>
        <w:t>no se envia toda la informacion</w:t>
      </w:r>
      <w:r w:rsidRPr="00B77F8C">
        <w:rPr>
          <w:i/>
        </w:rPr>
        <w:t xml:space="preserve">” </w:t>
      </w:r>
      <w:r w:rsidRPr="00B77F8C">
        <w:t>(sic).</w:t>
      </w:r>
    </w:p>
    <w:p w14:paraId="151DBB86" w14:textId="77777777" w:rsidR="00616413" w:rsidRPr="00B77F8C" w:rsidRDefault="00616413" w:rsidP="00B77F8C">
      <w:pPr>
        <w:tabs>
          <w:tab w:val="left" w:pos="4667"/>
        </w:tabs>
        <w:spacing w:line="240" w:lineRule="auto"/>
        <w:ind w:left="567" w:right="539"/>
      </w:pPr>
    </w:p>
    <w:p w14:paraId="30AFCA43" w14:textId="77777777" w:rsidR="00616413" w:rsidRPr="00B77F8C" w:rsidRDefault="00616413" w:rsidP="00B77F8C">
      <w:pPr>
        <w:tabs>
          <w:tab w:val="left" w:pos="4667"/>
        </w:tabs>
        <w:ind w:left="567" w:right="539"/>
        <w:rPr>
          <w:b/>
        </w:rPr>
      </w:pPr>
      <w:r w:rsidRPr="00B77F8C">
        <w:rPr>
          <w:b/>
        </w:rPr>
        <w:t>RAZONES O MOTIVOS DE INCONFORMIDAD:</w:t>
      </w:r>
    </w:p>
    <w:p w14:paraId="62EF4A39" w14:textId="77777777" w:rsidR="00681817" w:rsidRPr="00B77F8C" w:rsidRDefault="00681817" w:rsidP="00B77F8C">
      <w:pPr>
        <w:tabs>
          <w:tab w:val="left" w:pos="4667"/>
        </w:tabs>
        <w:spacing w:line="240" w:lineRule="auto"/>
        <w:ind w:left="567" w:right="539"/>
        <w:rPr>
          <w:b/>
        </w:rPr>
      </w:pPr>
    </w:p>
    <w:p w14:paraId="10FF5D67" w14:textId="77777777" w:rsidR="00616413" w:rsidRPr="00B77F8C" w:rsidRDefault="00616413" w:rsidP="00B77F8C">
      <w:pPr>
        <w:tabs>
          <w:tab w:val="left" w:pos="4667"/>
        </w:tabs>
        <w:spacing w:line="240" w:lineRule="auto"/>
        <w:ind w:left="567" w:right="539"/>
      </w:pPr>
      <w:r w:rsidRPr="00B77F8C">
        <w:rPr>
          <w:i/>
        </w:rPr>
        <w:t>“</w:t>
      </w:r>
      <w:r w:rsidR="003716E1" w:rsidRPr="00B77F8C">
        <w:rPr>
          <w:i/>
        </w:rPr>
        <w:t>no se envia toda la informacion</w:t>
      </w:r>
      <w:r w:rsidRPr="00B77F8C">
        <w:rPr>
          <w:i/>
        </w:rPr>
        <w:t xml:space="preserve">” </w:t>
      </w:r>
      <w:r w:rsidRPr="00B77F8C">
        <w:t>(sic).</w:t>
      </w:r>
    </w:p>
    <w:p w14:paraId="2FAEF317" w14:textId="77777777" w:rsidR="002B11D9" w:rsidRPr="00B77F8C" w:rsidRDefault="002B11D9" w:rsidP="00B77F8C">
      <w:pPr>
        <w:tabs>
          <w:tab w:val="left" w:pos="4667"/>
        </w:tabs>
        <w:spacing w:line="240" w:lineRule="auto"/>
        <w:ind w:right="567"/>
        <w:rPr>
          <w:b/>
        </w:rPr>
      </w:pPr>
    </w:p>
    <w:p w14:paraId="65B07572" w14:textId="77777777" w:rsidR="002B11D9" w:rsidRPr="00B77F8C" w:rsidRDefault="00E43858" w:rsidP="00B77F8C">
      <w:pPr>
        <w:pStyle w:val="Ttulo3"/>
        <w:spacing w:line="360" w:lineRule="auto"/>
      </w:pPr>
      <w:bookmarkStart w:id="11" w:name="_heading=h.4d34og8" w:colFirst="0" w:colLast="0"/>
      <w:bookmarkEnd w:id="11"/>
      <w:r w:rsidRPr="00B77F8C">
        <w:t>b) Turno del Recurso de Revisión.</w:t>
      </w:r>
    </w:p>
    <w:p w14:paraId="3D968A2E" w14:textId="77777777" w:rsidR="002B11D9" w:rsidRPr="00B77F8C" w:rsidRDefault="00E43858" w:rsidP="00B77F8C">
      <w:r w:rsidRPr="00B77F8C">
        <w:t xml:space="preserve">Con fundamento en el artículo 185, fracción </w:t>
      </w:r>
      <w:r w:rsidR="003767EA" w:rsidRPr="00B77F8C">
        <w:t>V</w:t>
      </w:r>
      <w:r w:rsidRPr="00B77F8C">
        <w:t>I de la Ley de Transparencia y Acceso a la Información Pública del Estado de México y Municipios, el</w:t>
      </w:r>
      <w:r w:rsidRPr="00B77F8C">
        <w:rPr>
          <w:b/>
        </w:rPr>
        <w:t xml:space="preserve"> </w:t>
      </w:r>
      <w:r w:rsidR="007022ED" w:rsidRPr="00B77F8C">
        <w:rPr>
          <w:b/>
        </w:rPr>
        <w:t>diecinueve</w:t>
      </w:r>
      <w:r w:rsidR="00616413" w:rsidRPr="00B77F8C">
        <w:rPr>
          <w:b/>
        </w:rPr>
        <w:t xml:space="preserve"> </w:t>
      </w:r>
      <w:r w:rsidRPr="00B77F8C">
        <w:rPr>
          <w:b/>
        </w:rPr>
        <w:t xml:space="preserve">de </w:t>
      </w:r>
      <w:r w:rsidR="00616413" w:rsidRPr="00B77F8C">
        <w:rPr>
          <w:b/>
        </w:rPr>
        <w:t>agosto</w:t>
      </w:r>
      <w:r w:rsidRPr="00B77F8C">
        <w:rPr>
          <w:b/>
        </w:rPr>
        <w:t xml:space="preserve"> de dos mil </w:t>
      </w:r>
      <w:r w:rsidRPr="00B77F8C">
        <w:rPr>
          <w:b/>
        </w:rPr>
        <w:lastRenderedPageBreak/>
        <w:t>veinticuatro</w:t>
      </w:r>
      <w:r w:rsidRPr="00B77F8C">
        <w:t xml:space="preserve"> se turnó el recurso de revisión a través del SAIMEX a la </w:t>
      </w:r>
      <w:r w:rsidRPr="00B77F8C">
        <w:rPr>
          <w:b/>
        </w:rPr>
        <w:t>Comisionada Sharon Cristina Morales Martínez</w:t>
      </w:r>
      <w:r w:rsidRPr="00B77F8C">
        <w:t xml:space="preserve">, a efecto de decretar su admisión o desechamiento. </w:t>
      </w:r>
    </w:p>
    <w:p w14:paraId="533FD28A" w14:textId="77777777" w:rsidR="002B11D9" w:rsidRPr="00B77F8C" w:rsidRDefault="002B11D9" w:rsidP="00B77F8C"/>
    <w:p w14:paraId="527CCB14" w14:textId="77777777" w:rsidR="002B11D9" w:rsidRPr="00B77F8C" w:rsidRDefault="00E43858" w:rsidP="00B77F8C">
      <w:pPr>
        <w:pStyle w:val="Ttulo3"/>
        <w:spacing w:line="360" w:lineRule="auto"/>
      </w:pPr>
      <w:bookmarkStart w:id="12" w:name="_heading=h.2s8eyo1" w:colFirst="0" w:colLast="0"/>
      <w:bookmarkEnd w:id="12"/>
      <w:r w:rsidRPr="00B77F8C">
        <w:t>c) Admisión del Recurso de Revisión.</w:t>
      </w:r>
    </w:p>
    <w:p w14:paraId="18879B08" w14:textId="77777777" w:rsidR="002B11D9" w:rsidRPr="00B77F8C" w:rsidRDefault="00E43858" w:rsidP="00B77F8C">
      <w:r w:rsidRPr="00B77F8C">
        <w:t xml:space="preserve">El </w:t>
      </w:r>
      <w:r w:rsidR="007022ED" w:rsidRPr="00B77F8C">
        <w:rPr>
          <w:b/>
        </w:rPr>
        <w:t>veintiuno</w:t>
      </w:r>
      <w:r w:rsidRPr="00B77F8C">
        <w:rPr>
          <w:b/>
        </w:rPr>
        <w:t xml:space="preserve"> de </w:t>
      </w:r>
      <w:r w:rsidR="007022ED" w:rsidRPr="00B77F8C">
        <w:rPr>
          <w:b/>
        </w:rPr>
        <w:t>agosto</w:t>
      </w:r>
      <w:r w:rsidRPr="00B77F8C">
        <w:rPr>
          <w:b/>
        </w:rPr>
        <w:t xml:space="preserve"> de dos mil veinticuatro</w:t>
      </w:r>
      <w:r w:rsidRPr="00B77F8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5533070" w14:textId="77777777" w:rsidR="002B11D9" w:rsidRPr="00B77F8C" w:rsidRDefault="002B11D9" w:rsidP="00B77F8C">
      <w:pPr>
        <w:rPr>
          <w:b/>
        </w:rPr>
      </w:pPr>
    </w:p>
    <w:p w14:paraId="03760AD0" w14:textId="77777777" w:rsidR="002B11D9" w:rsidRPr="00B77F8C" w:rsidRDefault="00E43858" w:rsidP="00B77F8C">
      <w:pPr>
        <w:pStyle w:val="Ttulo3"/>
        <w:spacing w:line="360" w:lineRule="auto"/>
      </w:pPr>
      <w:bookmarkStart w:id="13" w:name="_heading=h.17dp8vu" w:colFirst="0" w:colLast="0"/>
      <w:bookmarkEnd w:id="13"/>
      <w:r w:rsidRPr="00B77F8C">
        <w:t xml:space="preserve">d) </w:t>
      </w:r>
      <w:r w:rsidR="00875119" w:rsidRPr="00B77F8C">
        <w:t>Manifestaciones</w:t>
      </w:r>
      <w:r w:rsidRPr="00B77F8C">
        <w:t xml:space="preserve"> del Sujeto Obligado.</w:t>
      </w:r>
    </w:p>
    <w:p w14:paraId="62898409" w14:textId="77777777" w:rsidR="00616413" w:rsidRPr="00B77F8C" w:rsidRDefault="00616413" w:rsidP="00B77F8C">
      <w:pPr>
        <w:rPr>
          <w:rFonts w:cs="Tahoma"/>
          <w:bCs/>
          <w:szCs w:val="22"/>
        </w:rPr>
      </w:pPr>
      <w:r w:rsidRPr="00B77F8C">
        <w:rPr>
          <w:rFonts w:cs="Tahoma"/>
          <w:bCs/>
          <w:szCs w:val="22"/>
        </w:rPr>
        <w:t xml:space="preserve">De las constancias que obran en los expedientes electrónicos del SAIMEX, se advierte que </w:t>
      </w:r>
      <w:r w:rsidRPr="00B77F8C">
        <w:rPr>
          <w:rFonts w:cs="Tahoma"/>
          <w:b/>
          <w:bCs/>
          <w:szCs w:val="22"/>
        </w:rPr>
        <w:t>EL SUJETO OBLIGADO</w:t>
      </w:r>
      <w:r w:rsidRPr="00B77F8C">
        <w:rPr>
          <w:rFonts w:cs="Tahoma"/>
          <w:bCs/>
          <w:szCs w:val="22"/>
        </w:rPr>
        <w:t xml:space="preserve"> omitió remitir sus informes justificados dentro del plazo legalmente concedido.</w:t>
      </w:r>
    </w:p>
    <w:p w14:paraId="509B2922" w14:textId="77777777" w:rsidR="002B11D9" w:rsidRPr="00B77F8C" w:rsidRDefault="002B11D9" w:rsidP="00B77F8C">
      <w:pPr>
        <w:ind w:right="539"/>
      </w:pPr>
    </w:p>
    <w:p w14:paraId="6B85CB59" w14:textId="77777777" w:rsidR="002B11D9" w:rsidRPr="00B77F8C" w:rsidRDefault="00E43858" w:rsidP="00B77F8C">
      <w:pPr>
        <w:pStyle w:val="Ttulo3"/>
        <w:spacing w:line="360" w:lineRule="auto"/>
      </w:pPr>
      <w:bookmarkStart w:id="14" w:name="_heading=h.3rdcrjn" w:colFirst="0" w:colLast="0"/>
      <w:bookmarkEnd w:id="14"/>
      <w:r w:rsidRPr="00B77F8C">
        <w:t>e) Manifestaciones de la Parte Recurrente.</w:t>
      </w:r>
    </w:p>
    <w:p w14:paraId="06D718E9" w14:textId="77777777" w:rsidR="002B11D9" w:rsidRPr="00B77F8C" w:rsidRDefault="00E43858" w:rsidP="00B77F8C">
      <w:r w:rsidRPr="00B77F8C">
        <w:rPr>
          <w:b/>
        </w:rPr>
        <w:t xml:space="preserve">LA PARTE RECURRENTE </w:t>
      </w:r>
      <w:r w:rsidRPr="00B77F8C">
        <w:t>no realizó manifestación alguna dentro del término legalmente concedido para tal efecto, ni presentó pruebas o alegatos.</w:t>
      </w:r>
    </w:p>
    <w:p w14:paraId="04E354A0" w14:textId="77777777" w:rsidR="002B11D9" w:rsidRPr="00B77F8C" w:rsidRDefault="002B11D9" w:rsidP="00B77F8C">
      <w:bookmarkStart w:id="15" w:name="_heading=h.26in1rg" w:colFirst="0" w:colLast="0"/>
      <w:bookmarkEnd w:id="15"/>
    </w:p>
    <w:p w14:paraId="20323786" w14:textId="77777777" w:rsidR="002B11D9" w:rsidRPr="00B77F8C" w:rsidRDefault="00616413" w:rsidP="00B77F8C">
      <w:pPr>
        <w:pStyle w:val="Ttulo3"/>
        <w:spacing w:line="360" w:lineRule="auto"/>
      </w:pPr>
      <w:bookmarkStart w:id="16" w:name="_heading=h.lnxbz9" w:colFirst="0" w:colLast="0"/>
      <w:bookmarkEnd w:id="16"/>
      <w:r w:rsidRPr="00B77F8C">
        <w:t>f</w:t>
      </w:r>
      <w:r w:rsidR="00E43858" w:rsidRPr="00B77F8C">
        <w:t>) Cierre de instrucción.</w:t>
      </w:r>
    </w:p>
    <w:p w14:paraId="4188C867" w14:textId="77777777" w:rsidR="002B11D9" w:rsidRPr="00B77F8C" w:rsidRDefault="00E43858" w:rsidP="00B77F8C">
      <w:bookmarkStart w:id="17" w:name="_heading=h.35nkun2" w:colFirst="0" w:colLast="0"/>
      <w:bookmarkEnd w:id="17"/>
      <w:r w:rsidRPr="00B77F8C">
        <w:t xml:space="preserve">Al no existir diligencias pendientes por desahogar, el </w:t>
      </w:r>
      <w:r w:rsidR="00681817" w:rsidRPr="00B77F8C">
        <w:rPr>
          <w:b/>
        </w:rPr>
        <w:t>once</w:t>
      </w:r>
      <w:r w:rsidRPr="00B77F8C">
        <w:rPr>
          <w:b/>
        </w:rPr>
        <w:t xml:space="preserve"> de </w:t>
      </w:r>
      <w:r w:rsidR="00616413" w:rsidRPr="00B77F8C">
        <w:rPr>
          <w:b/>
        </w:rPr>
        <w:t>septiembre</w:t>
      </w:r>
      <w:r w:rsidRPr="00B77F8C">
        <w:rPr>
          <w:b/>
        </w:rPr>
        <w:t xml:space="preserve"> de dos mil veinticuatro</w:t>
      </w:r>
      <w:r w:rsidRPr="00B77F8C">
        <w:t xml:space="preserve"> la </w:t>
      </w:r>
      <w:r w:rsidRPr="00B77F8C">
        <w:rPr>
          <w:b/>
        </w:rPr>
        <w:t xml:space="preserve">Comisionada Sharon Cristina Morales Martínez </w:t>
      </w:r>
      <w:r w:rsidRPr="00B77F8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77CDE27" w14:textId="77777777" w:rsidR="002B11D9" w:rsidRPr="00B77F8C" w:rsidRDefault="002B11D9" w:rsidP="00B77F8C"/>
    <w:p w14:paraId="4C6343A0" w14:textId="77777777" w:rsidR="002B11D9" w:rsidRPr="00B77F8C" w:rsidRDefault="00E43858" w:rsidP="00B77F8C">
      <w:pPr>
        <w:pStyle w:val="Ttulo1"/>
      </w:pPr>
      <w:bookmarkStart w:id="18" w:name="_heading=h.1ksv4uv" w:colFirst="0" w:colLast="0"/>
      <w:bookmarkEnd w:id="18"/>
      <w:r w:rsidRPr="00B77F8C">
        <w:t>CONSIDERANDOS</w:t>
      </w:r>
    </w:p>
    <w:p w14:paraId="17263994" w14:textId="77777777" w:rsidR="002B11D9" w:rsidRPr="00B77F8C" w:rsidRDefault="002B11D9" w:rsidP="00B77F8C">
      <w:pPr>
        <w:jc w:val="center"/>
        <w:rPr>
          <w:b/>
        </w:rPr>
      </w:pPr>
    </w:p>
    <w:p w14:paraId="307B9E2F" w14:textId="77777777" w:rsidR="002B11D9" w:rsidRPr="00B77F8C" w:rsidRDefault="00E43858" w:rsidP="00B77F8C">
      <w:pPr>
        <w:pStyle w:val="Ttulo2"/>
      </w:pPr>
      <w:bookmarkStart w:id="19" w:name="_heading=h.44sinio" w:colFirst="0" w:colLast="0"/>
      <w:bookmarkEnd w:id="19"/>
      <w:r w:rsidRPr="00B77F8C">
        <w:t>PRIMERO. Procedibilidad</w:t>
      </w:r>
    </w:p>
    <w:p w14:paraId="11704C7D" w14:textId="77777777" w:rsidR="002B11D9" w:rsidRPr="00B77F8C" w:rsidRDefault="00E43858" w:rsidP="00B77F8C">
      <w:pPr>
        <w:pStyle w:val="Ttulo3"/>
        <w:spacing w:line="360" w:lineRule="auto"/>
      </w:pPr>
      <w:bookmarkStart w:id="20" w:name="_heading=h.2jxsxqh" w:colFirst="0" w:colLast="0"/>
      <w:bookmarkEnd w:id="20"/>
      <w:r w:rsidRPr="00B77F8C">
        <w:t>a) Competencia del Instituto.</w:t>
      </w:r>
    </w:p>
    <w:p w14:paraId="1C3321F7" w14:textId="77777777" w:rsidR="002B11D9" w:rsidRPr="00B77F8C" w:rsidRDefault="00E43858" w:rsidP="00B77F8C">
      <w:r w:rsidRPr="00B77F8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0AAD04D" w14:textId="77777777" w:rsidR="002B11D9" w:rsidRPr="00B77F8C" w:rsidRDefault="002B11D9" w:rsidP="00B77F8C"/>
    <w:p w14:paraId="6406166D" w14:textId="77777777" w:rsidR="002B11D9" w:rsidRPr="00B77F8C" w:rsidRDefault="00E43858" w:rsidP="00B77F8C">
      <w:pPr>
        <w:pStyle w:val="Ttulo3"/>
        <w:spacing w:line="360" w:lineRule="auto"/>
      </w:pPr>
      <w:bookmarkStart w:id="21" w:name="_heading=h.z337ya" w:colFirst="0" w:colLast="0"/>
      <w:bookmarkEnd w:id="21"/>
      <w:r w:rsidRPr="00B77F8C">
        <w:t>b) Legitimidad de la parte recurrente.</w:t>
      </w:r>
    </w:p>
    <w:p w14:paraId="5897488F" w14:textId="77777777" w:rsidR="002B11D9" w:rsidRPr="00B77F8C" w:rsidRDefault="00E43858" w:rsidP="00B77F8C">
      <w:r w:rsidRPr="00B77F8C">
        <w:t>El recurso de revisión fue interpuesto por parte legítima, ya que se presentó por la misma persona que formuló la solicitud de acceso a la Información Pública,</w:t>
      </w:r>
      <w:r w:rsidRPr="00B77F8C">
        <w:rPr>
          <w:b/>
        </w:rPr>
        <w:t xml:space="preserve"> </w:t>
      </w:r>
      <w:r w:rsidRPr="00B77F8C">
        <w:t>debido a que los datos de acceso</w:t>
      </w:r>
      <w:r w:rsidRPr="00B77F8C">
        <w:rPr>
          <w:b/>
        </w:rPr>
        <w:t xml:space="preserve"> </w:t>
      </w:r>
      <w:r w:rsidRPr="00B77F8C">
        <w:t>SAIMEX son personales e irrepetibles.</w:t>
      </w:r>
    </w:p>
    <w:p w14:paraId="3EC7848B" w14:textId="77777777" w:rsidR="002B11D9" w:rsidRPr="00B77F8C" w:rsidRDefault="002B11D9" w:rsidP="00B77F8C"/>
    <w:p w14:paraId="0734A63C" w14:textId="77777777" w:rsidR="002B11D9" w:rsidRPr="00B77F8C" w:rsidRDefault="00E43858" w:rsidP="00B77F8C">
      <w:pPr>
        <w:pStyle w:val="Ttulo3"/>
        <w:spacing w:line="360" w:lineRule="auto"/>
      </w:pPr>
      <w:bookmarkStart w:id="22" w:name="_heading=h.3j2qqm3" w:colFirst="0" w:colLast="0"/>
      <w:bookmarkEnd w:id="22"/>
      <w:r w:rsidRPr="00B77F8C">
        <w:t>c) Plazo para interponer el recurso.</w:t>
      </w:r>
    </w:p>
    <w:p w14:paraId="09DA0831" w14:textId="77777777" w:rsidR="002B11D9" w:rsidRPr="00B77F8C" w:rsidRDefault="00E43858" w:rsidP="00B77F8C">
      <w:bookmarkStart w:id="23" w:name="_heading=h.1y810tw" w:colFirst="0" w:colLast="0"/>
      <w:bookmarkEnd w:id="23"/>
      <w:r w:rsidRPr="00B77F8C">
        <w:rPr>
          <w:b/>
        </w:rPr>
        <w:t>EL SUJETO OBLIGADO</w:t>
      </w:r>
      <w:r w:rsidRPr="00B77F8C">
        <w:t xml:space="preserve"> notificó la respuesta a la solicitud de acceso a la Información Pública el </w:t>
      </w:r>
      <w:r w:rsidR="007022ED" w:rsidRPr="00B77F8C">
        <w:rPr>
          <w:b/>
        </w:rPr>
        <w:t xml:space="preserve">nueve </w:t>
      </w:r>
      <w:r w:rsidRPr="00B77F8C">
        <w:rPr>
          <w:b/>
        </w:rPr>
        <w:t xml:space="preserve">de </w:t>
      </w:r>
      <w:r w:rsidR="007022ED" w:rsidRPr="00B77F8C">
        <w:rPr>
          <w:b/>
        </w:rPr>
        <w:t>mayo</w:t>
      </w:r>
      <w:r w:rsidRPr="00B77F8C">
        <w:rPr>
          <w:b/>
        </w:rPr>
        <w:t xml:space="preserve"> de dos mil veinticuatro</w:t>
      </w:r>
      <w:r w:rsidRPr="00B77F8C">
        <w:t xml:space="preserve"> y el recurso que nos ocupa se interpuso el </w:t>
      </w:r>
      <w:r w:rsidR="007022ED" w:rsidRPr="00B77F8C">
        <w:rPr>
          <w:b/>
        </w:rPr>
        <w:t>diecinueve</w:t>
      </w:r>
      <w:r w:rsidRPr="00B77F8C">
        <w:rPr>
          <w:b/>
        </w:rPr>
        <w:t xml:space="preserve"> de </w:t>
      </w:r>
      <w:r w:rsidR="007022ED" w:rsidRPr="00B77F8C">
        <w:rPr>
          <w:b/>
        </w:rPr>
        <w:t>agosto</w:t>
      </w:r>
      <w:r w:rsidRPr="00B77F8C">
        <w:rPr>
          <w:b/>
        </w:rPr>
        <w:t xml:space="preserve"> de dos mil veinticuatro</w:t>
      </w:r>
      <w:r w:rsidRPr="00B77F8C">
        <w:t xml:space="preserve"> por lo tanto, éste </w:t>
      </w:r>
      <w:r w:rsidRPr="00B77F8C">
        <w:rPr>
          <w:b/>
        </w:rPr>
        <w:t xml:space="preserve">se encuentra </w:t>
      </w:r>
      <w:r w:rsidR="007022ED" w:rsidRPr="00B77F8C">
        <w:rPr>
          <w:b/>
        </w:rPr>
        <w:t>fuera</w:t>
      </w:r>
      <w:r w:rsidRPr="00B77F8C">
        <w:rPr>
          <w:b/>
        </w:rPr>
        <w:t xml:space="preserve"> del margen temporal</w:t>
      </w:r>
      <w:r w:rsidRPr="00B77F8C">
        <w:t xml:space="preserve"> previsto en el artículo 178 de la Ley de Transparencia y Acceso a la Información </w:t>
      </w:r>
      <w:r w:rsidRPr="00B77F8C">
        <w:lastRenderedPageBreak/>
        <w:t xml:space="preserve">Pública del Estado de México y Municipios, el cual transcurrió del </w:t>
      </w:r>
      <w:r w:rsidR="007022ED" w:rsidRPr="00B77F8C">
        <w:rPr>
          <w:b/>
        </w:rPr>
        <w:t>diez al treinta de mayo</w:t>
      </w:r>
      <w:r w:rsidRPr="00B77F8C">
        <w:rPr>
          <w:b/>
        </w:rPr>
        <w:t xml:space="preserve"> de dos mil veinticuatro</w:t>
      </w:r>
      <w:r w:rsidRPr="00B77F8C">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C7902B7" w14:textId="77777777" w:rsidR="007E3CDB" w:rsidRPr="00B77F8C" w:rsidRDefault="007E3CDB" w:rsidP="00B77F8C"/>
    <w:p w14:paraId="1969E1D4" w14:textId="77777777" w:rsidR="007E3CDB" w:rsidRPr="00B77F8C" w:rsidRDefault="007E3CDB" w:rsidP="00B77F8C">
      <w:r w:rsidRPr="00B77F8C">
        <w:t>Por lo anterior, se desprende que para el caso que nos ocupa, el recurso de revisión fue interpuesto al sexagésimo segundo día posterior a la notificación de la respuesta.</w:t>
      </w:r>
    </w:p>
    <w:p w14:paraId="0E09301A" w14:textId="77777777" w:rsidR="002B11D9" w:rsidRPr="00B77F8C" w:rsidRDefault="002B11D9" w:rsidP="00B77F8C"/>
    <w:p w14:paraId="1186FDC3" w14:textId="77777777" w:rsidR="002B11D9" w:rsidRPr="00B77F8C" w:rsidRDefault="00E43858" w:rsidP="00B77F8C">
      <w:pPr>
        <w:pStyle w:val="Ttulo3"/>
        <w:spacing w:line="360" w:lineRule="auto"/>
      </w:pPr>
      <w:bookmarkStart w:id="24" w:name="_heading=h.4i7ojhp" w:colFirst="0" w:colLast="0"/>
      <w:bookmarkEnd w:id="24"/>
      <w:r w:rsidRPr="00B77F8C">
        <w:t xml:space="preserve">d) Causal de </w:t>
      </w:r>
      <w:r w:rsidR="00823777" w:rsidRPr="00B77F8C">
        <w:t>im</w:t>
      </w:r>
      <w:r w:rsidRPr="00B77F8C">
        <w:t>procedencia.</w:t>
      </w:r>
    </w:p>
    <w:p w14:paraId="02C1CAAE" w14:textId="77777777" w:rsidR="002B11D9" w:rsidRPr="00B77F8C" w:rsidRDefault="00E43858" w:rsidP="00B77F8C">
      <w:r w:rsidRPr="00B77F8C">
        <w:t xml:space="preserve">Resulta </w:t>
      </w:r>
      <w:r w:rsidR="00823777" w:rsidRPr="00B77F8C">
        <w:t>im</w:t>
      </w:r>
      <w:r w:rsidRPr="00B77F8C">
        <w:t xml:space="preserve">procedente la interposición del recurso de revisión, ya que se actualiza la causal de </w:t>
      </w:r>
      <w:r w:rsidR="00823777" w:rsidRPr="00B77F8C">
        <w:t>desechamiento</w:t>
      </w:r>
      <w:r w:rsidRPr="00B77F8C">
        <w:t xml:space="preserve"> señalad</w:t>
      </w:r>
      <w:r w:rsidR="00616413" w:rsidRPr="00B77F8C">
        <w:t>a en el a</w:t>
      </w:r>
      <w:r w:rsidR="007E3CDB" w:rsidRPr="00B77F8C">
        <w:t>rtículo 1</w:t>
      </w:r>
      <w:r w:rsidR="00823777" w:rsidRPr="00B77F8C">
        <w:t>91</w:t>
      </w:r>
      <w:r w:rsidR="00616413" w:rsidRPr="00B77F8C">
        <w:t xml:space="preserve">, fracción </w:t>
      </w:r>
      <w:r w:rsidR="00823777" w:rsidRPr="00B77F8C">
        <w:t>I</w:t>
      </w:r>
      <w:r w:rsidRPr="00B77F8C">
        <w:t xml:space="preserve"> de la Ley de Transparencia y Acceso a la Información Pública del Estado de México y Municipios.</w:t>
      </w:r>
    </w:p>
    <w:p w14:paraId="5F892876" w14:textId="77777777" w:rsidR="002B11D9" w:rsidRPr="00B77F8C" w:rsidRDefault="002B11D9" w:rsidP="00B77F8C"/>
    <w:p w14:paraId="2BE21A00" w14:textId="77777777" w:rsidR="002B11D9" w:rsidRPr="00B77F8C" w:rsidRDefault="00E43858" w:rsidP="00B77F8C">
      <w:pPr>
        <w:pStyle w:val="Ttulo3"/>
        <w:spacing w:line="360" w:lineRule="auto"/>
      </w:pPr>
      <w:bookmarkStart w:id="25" w:name="_heading=h.2xcytpi" w:colFirst="0" w:colLast="0"/>
      <w:bookmarkEnd w:id="25"/>
      <w:r w:rsidRPr="00B77F8C">
        <w:t>e) Requisitos formales para la interposición del recurso.</w:t>
      </w:r>
    </w:p>
    <w:p w14:paraId="1C0C4865" w14:textId="77777777" w:rsidR="00616413" w:rsidRPr="00B77F8C" w:rsidRDefault="00616413" w:rsidP="00B77F8C">
      <w:pPr>
        <w:rPr>
          <w:rFonts w:cs="Arial"/>
          <w:lang w:val="es-ES"/>
        </w:rPr>
      </w:pPr>
      <w:bookmarkStart w:id="26" w:name="_heading=h.1ci93xb" w:colFirst="0" w:colLast="0"/>
      <w:bookmarkEnd w:id="26"/>
      <w:r w:rsidRPr="00B77F8C">
        <w:rPr>
          <w:lang w:val="es-ES"/>
        </w:rPr>
        <w:t xml:space="preserve">Es importante mencionar que, de la revisión del expediente electrónico del </w:t>
      </w:r>
      <w:r w:rsidRPr="00B77F8C">
        <w:rPr>
          <w:bCs/>
          <w:lang w:val="es-ES"/>
        </w:rPr>
        <w:t>SAIMEX,</w:t>
      </w:r>
      <w:r w:rsidRPr="00B77F8C">
        <w:rPr>
          <w:lang w:val="es-ES"/>
        </w:rPr>
        <w:t xml:space="preserve"> se observa que </w:t>
      </w:r>
      <w:r w:rsidRPr="00B77F8C">
        <w:rPr>
          <w:b/>
          <w:bCs/>
          <w:lang w:val="es-ES"/>
        </w:rPr>
        <w:t>LA PARTE RECURRENTE</w:t>
      </w:r>
      <w:r w:rsidRPr="00B77F8C">
        <w:rPr>
          <w:lang w:val="es-ES"/>
        </w:rPr>
        <w:t xml:space="preserve"> no proporcionó su nombre para ser identificado, lo que en estricto sentido provoca que </w:t>
      </w:r>
      <w:r w:rsidRPr="00B77F8C">
        <w:rPr>
          <w:rFonts w:cs="Arial"/>
          <w:lang w:val="es-ES"/>
        </w:rPr>
        <w:t>no</w:t>
      </w:r>
      <w:r w:rsidRPr="00B77F8C">
        <w:rPr>
          <w:lang w:val="es-ES"/>
        </w:rPr>
        <w:t xml:space="preserve"> se colmen los requisitos establecidos en el artículo 180 de la Ley de Transparencia; sin embargo, el artículo 15 de </w:t>
      </w:r>
      <w:r w:rsidRPr="00B77F8C">
        <w:rPr>
          <w:rFonts w:cs="Arial"/>
          <w:lang w:val="es-ES" w:eastAsia="es-MX"/>
        </w:rPr>
        <w:t xml:space="preserve">Ley de Transparencia y Acceso a la </w:t>
      </w:r>
      <w:r w:rsidRPr="00B77F8C">
        <w:rPr>
          <w:rFonts w:cs="Arial"/>
          <w:lang w:val="es-ES"/>
        </w:rPr>
        <w:t>Información</w:t>
      </w:r>
      <w:r w:rsidRPr="00B77F8C">
        <w:rPr>
          <w:rFonts w:cs="Arial"/>
          <w:lang w:val="es-ES" w:eastAsia="es-MX"/>
        </w:rPr>
        <w:t xml:space="preserve"> Pública del Estado de México y Municipios </w:t>
      </w:r>
      <w:r w:rsidRPr="00B77F8C">
        <w:rPr>
          <w:rFonts w:cs="Arial"/>
          <w:iCs/>
          <w:lang w:val="es-ES"/>
        </w:rPr>
        <w:t xml:space="preserve">prevé que </w:t>
      </w:r>
      <w:r w:rsidRPr="00B77F8C">
        <w:rPr>
          <w:lang w:val="es-ES"/>
        </w:rPr>
        <w:t xml:space="preserve">toda persona tendrá acceso a la información </w:t>
      </w:r>
      <w:r w:rsidRPr="00B77F8C">
        <w:rPr>
          <w:rFonts w:cs="Arial"/>
          <w:lang w:val="es-ES"/>
        </w:rPr>
        <w:t xml:space="preserve">sin necesidad de acreditar interés alguno o justificar su utilización, de lo que se infiere que </w:t>
      </w:r>
      <w:r w:rsidRPr="00B77F8C">
        <w:rPr>
          <w:rFonts w:cs="Arial"/>
          <w:b/>
          <w:lang w:val="es-ES"/>
        </w:rPr>
        <w:t xml:space="preserve">el nombre no es un requisito </w:t>
      </w:r>
      <w:r w:rsidRPr="00B77F8C">
        <w:rPr>
          <w:rFonts w:cs="Arial"/>
          <w:b/>
          <w:iCs/>
          <w:lang w:val="es-ES"/>
        </w:rPr>
        <w:t>indispensable</w:t>
      </w:r>
      <w:r w:rsidRPr="00B77F8C">
        <w:rPr>
          <w:rFonts w:cs="Arial"/>
          <w:lang w:val="es-ES"/>
        </w:rPr>
        <w:t xml:space="preserve"> para que las y los ciudadanos ejerzan el derecho de a</w:t>
      </w:r>
      <w:r w:rsidR="00823777" w:rsidRPr="00B77F8C">
        <w:rPr>
          <w:rFonts w:cs="Arial"/>
          <w:lang w:val="es-ES"/>
        </w:rPr>
        <w:t>cceso a la información pública.</w:t>
      </w:r>
    </w:p>
    <w:p w14:paraId="1E420EBB" w14:textId="77777777" w:rsidR="00616413" w:rsidRPr="00B77F8C" w:rsidRDefault="00616413" w:rsidP="00B77F8C">
      <w:pPr>
        <w:rPr>
          <w:rFonts w:cs="Arial"/>
          <w:lang w:val="es-ES"/>
        </w:rPr>
      </w:pPr>
    </w:p>
    <w:p w14:paraId="673BCCB6" w14:textId="77777777" w:rsidR="00616413" w:rsidRPr="00B77F8C" w:rsidRDefault="00616413" w:rsidP="00B77F8C">
      <w:pPr>
        <w:rPr>
          <w:lang w:val="es-ES"/>
        </w:rPr>
      </w:pPr>
      <w:r w:rsidRPr="00B77F8C">
        <w:rPr>
          <w:rFonts w:cs="Arial"/>
          <w:lang w:val="es-ES"/>
        </w:rPr>
        <w:t xml:space="preserve">Asimismo, la Ley de la materia prevé en su artículo 155, párrafo segundo la posibilidad de que las solicitudes de información sean anónimas, al utilizar un nombre incompleto o, </w:t>
      </w:r>
      <w:r w:rsidRPr="00B77F8C">
        <w:rPr>
          <w:rFonts w:cs="Arial"/>
          <w:lang w:val="es-ES"/>
        </w:rPr>
        <w:lastRenderedPageBreak/>
        <w:t>inclusive un seudónimo.</w:t>
      </w:r>
      <w:r w:rsidRPr="00B77F8C">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77F8C">
        <w:rPr>
          <w:b/>
          <w:bCs/>
          <w:lang w:val="es-ES"/>
        </w:rPr>
        <w:t>LA PARTE RECURRENTE</w:t>
      </w:r>
      <w:r w:rsidRPr="00B77F8C">
        <w:rPr>
          <w:rFonts w:cs="Arial"/>
          <w:b/>
          <w:lang w:val="es-ES"/>
        </w:rPr>
        <w:t>;</w:t>
      </w:r>
      <w:r w:rsidRPr="00B77F8C">
        <w:rPr>
          <w:lang w:val="es-ES"/>
        </w:rPr>
        <w:t xml:space="preserve"> por lo que, en el presente caso, al haber sido presentado el recurso de revisión vía </w:t>
      </w:r>
      <w:r w:rsidRPr="00B77F8C">
        <w:rPr>
          <w:bCs/>
          <w:lang w:val="es-ES"/>
        </w:rPr>
        <w:t>SAIMEX</w:t>
      </w:r>
      <w:r w:rsidRPr="00B77F8C">
        <w:rPr>
          <w:lang w:val="es-ES"/>
        </w:rPr>
        <w:t>, dicho requisito resulta innecesario.</w:t>
      </w:r>
    </w:p>
    <w:p w14:paraId="7C294578" w14:textId="77777777" w:rsidR="002B11D9" w:rsidRPr="00B77F8C" w:rsidRDefault="002B11D9" w:rsidP="00B77F8C"/>
    <w:p w14:paraId="565B0740" w14:textId="77777777" w:rsidR="002B11D9" w:rsidRPr="00B77F8C" w:rsidRDefault="00E43858" w:rsidP="00B77F8C">
      <w:pPr>
        <w:pStyle w:val="Ttulo2"/>
      </w:pPr>
      <w:r w:rsidRPr="00B77F8C">
        <w:t xml:space="preserve">SEGUNDO. </w:t>
      </w:r>
      <w:r w:rsidR="007E3CDB" w:rsidRPr="00B77F8C">
        <w:t>Análisis de</w:t>
      </w:r>
      <w:r w:rsidR="00180ACC" w:rsidRPr="00B77F8C">
        <w:t xml:space="preserve"> </w:t>
      </w:r>
      <w:r w:rsidR="007E3CDB" w:rsidRPr="00B77F8C">
        <w:t>la causal de sobreseimiento</w:t>
      </w:r>
      <w:r w:rsidRPr="00B77F8C">
        <w:t>.</w:t>
      </w:r>
    </w:p>
    <w:p w14:paraId="7D32096C" w14:textId="77777777" w:rsidR="007E3CDB" w:rsidRPr="00B77F8C" w:rsidRDefault="007E3CDB" w:rsidP="00B77F8C"/>
    <w:p w14:paraId="03A07903" w14:textId="77777777" w:rsidR="002B11D9" w:rsidRPr="00B77F8C" w:rsidRDefault="00E43858" w:rsidP="00B77F8C">
      <w:pPr>
        <w:pStyle w:val="Ttulo3"/>
        <w:spacing w:line="360" w:lineRule="auto"/>
      </w:pPr>
      <w:bookmarkStart w:id="27" w:name="_heading=h.3whwml4" w:colFirst="0" w:colLast="0"/>
      <w:bookmarkEnd w:id="27"/>
      <w:r w:rsidRPr="00B77F8C">
        <w:t>a) Mandato de transparencia y responsabilidad del Sujeto Obligado.</w:t>
      </w:r>
    </w:p>
    <w:p w14:paraId="3E4F1679" w14:textId="77777777" w:rsidR="002B11D9" w:rsidRPr="00B77F8C" w:rsidRDefault="00E43858" w:rsidP="00B77F8C">
      <w:r w:rsidRPr="00B77F8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B1DE423" w14:textId="77777777" w:rsidR="002B11D9" w:rsidRPr="00B77F8C" w:rsidRDefault="002B11D9" w:rsidP="00B77F8C"/>
    <w:p w14:paraId="44C61E28" w14:textId="77777777" w:rsidR="002B11D9" w:rsidRPr="00B77F8C" w:rsidRDefault="00E43858" w:rsidP="00B77F8C">
      <w:pPr>
        <w:pStyle w:val="Ttulo"/>
        <w:rPr>
          <w:b/>
        </w:rPr>
      </w:pPr>
      <w:r w:rsidRPr="00B77F8C">
        <w:rPr>
          <w:b/>
        </w:rPr>
        <w:t>Constitución Política de los Estados Unidos Mexicanos</w:t>
      </w:r>
    </w:p>
    <w:p w14:paraId="7F7FBFB7" w14:textId="77777777" w:rsidR="002B11D9" w:rsidRPr="00B77F8C" w:rsidRDefault="00E43858" w:rsidP="00B77F8C">
      <w:pPr>
        <w:pStyle w:val="Ttulo"/>
      </w:pPr>
      <w:r w:rsidRPr="00B77F8C">
        <w:rPr>
          <w:b/>
        </w:rPr>
        <w:t>“Artículo 6</w:t>
      </w:r>
      <w:r w:rsidRPr="00B77F8C">
        <w:t>.</w:t>
      </w:r>
    </w:p>
    <w:p w14:paraId="62EAD1DB" w14:textId="77777777" w:rsidR="002B11D9" w:rsidRPr="00B77F8C" w:rsidRDefault="00E43858" w:rsidP="00B77F8C">
      <w:pPr>
        <w:pStyle w:val="Ttulo"/>
      </w:pPr>
      <w:r w:rsidRPr="00B77F8C">
        <w:t>(…)</w:t>
      </w:r>
    </w:p>
    <w:p w14:paraId="65819A7E" w14:textId="77777777" w:rsidR="002B11D9" w:rsidRPr="00B77F8C" w:rsidRDefault="00E43858" w:rsidP="00B77F8C">
      <w:pPr>
        <w:pStyle w:val="Ttulo"/>
      </w:pPr>
      <w:r w:rsidRPr="00B77F8C">
        <w:t>Para efectos de lo dispuesto en el presente artículo se observará lo siguiente:</w:t>
      </w:r>
    </w:p>
    <w:p w14:paraId="3810CF1B" w14:textId="77777777" w:rsidR="002B11D9" w:rsidRPr="00B77F8C" w:rsidRDefault="00E43858" w:rsidP="00B77F8C">
      <w:pPr>
        <w:pStyle w:val="Ttulo"/>
        <w:rPr>
          <w:b/>
        </w:rPr>
      </w:pPr>
      <w:r w:rsidRPr="00B77F8C">
        <w:rPr>
          <w:b/>
        </w:rPr>
        <w:t>A. Para el ejercicio del derecho de acceso a la información, la Federación y las entidades federativas, en el ámbito de sus respectivas competencias, se regirán por los siguientes principios y bases:</w:t>
      </w:r>
    </w:p>
    <w:p w14:paraId="77E617E5" w14:textId="77777777" w:rsidR="002B11D9" w:rsidRPr="00B77F8C" w:rsidRDefault="00E43858" w:rsidP="00B77F8C">
      <w:pPr>
        <w:pStyle w:val="Ttulo"/>
      </w:pPr>
      <w:r w:rsidRPr="00B77F8C">
        <w:rPr>
          <w:b/>
        </w:rPr>
        <w:t xml:space="preserve">I. </w:t>
      </w:r>
      <w:r w:rsidRPr="00B77F8C">
        <w:rPr>
          <w:b/>
        </w:rPr>
        <w:tab/>
        <w:t>Toda la información en posesión de cualquier</w:t>
      </w:r>
      <w:r w:rsidRPr="00B77F8C">
        <w:t xml:space="preserve"> </w:t>
      </w:r>
      <w:r w:rsidRPr="00B77F8C">
        <w:rPr>
          <w:b/>
        </w:rPr>
        <w:t>autoridad</w:t>
      </w:r>
      <w:r w:rsidRPr="00B77F8C">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77F8C">
        <w:rPr>
          <w:b/>
        </w:rPr>
        <w:t>municipal</w:t>
      </w:r>
      <w:r w:rsidRPr="00B77F8C">
        <w:t xml:space="preserve">, </w:t>
      </w:r>
      <w:r w:rsidRPr="00B77F8C">
        <w:rPr>
          <w:b/>
        </w:rPr>
        <w:t>es pública</w:t>
      </w:r>
      <w:r w:rsidRPr="00B77F8C">
        <w:t xml:space="preserve"> y sólo podrá ser reservada temporalmente por razones de interés público y seguridad nacional, en los términos que fijen las leyes. </w:t>
      </w:r>
      <w:r w:rsidRPr="00B77F8C">
        <w:rPr>
          <w:b/>
        </w:rPr>
        <w:t>En la interpretación de este derecho deberá prevalecer el principio de máxima publicidad. Los sujetos obligados deberán documentar todo acto que derive del ejercicio de sus facultades, competencias o funciones</w:t>
      </w:r>
      <w:r w:rsidRPr="00B77F8C">
        <w:t>, la ley determinará los supuestos específicos bajo los cuales procederá la declaración de inexistencia de la información.”</w:t>
      </w:r>
    </w:p>
    <w:p w14:paraId="512FAB45" w14:textId="77777777" w:rsidR="002B11D9" w:rsidRPr="00B77F8C" w:rsidRDefault="002B11D9" w:rsidP="00B77F8C">
      <w:pPr>
        <w:ind w:left="567" w:right="539"/>
        <w:rPr>
          <w:b/>
          <w:i/>
        </w:rPr>
      </w:pPr>
    </w:p>
    <w:p w14:paraId="2CCA524E" w14:textId="77777777" w:rsidR="002B11D9" w:rsidRPr="00B77F8C" w:rsidRDefault="00E43858" w:rsidP="00B77F8C">
      <w:pPr>
        <w:pStyle w:val="Ttulo"/>
        <w:rPr>
          <w:b/>
        </w:rPr>
      </w:pPr>
      <w:r w:rsidRPr="00B77F8C">
        <w:rPr>
          <w:b/>
        </w:rPr>
        <w:t>Constitución Política del Estado Libre y Soberano de México</w:t>
      </w:r>
    </w:p>
    <w:p w14:paraId="68C444D0" w14:textId="77777777" w:rsidR="002B11D9" w:rsidRPr="00B77F8C" w:rsidRDefault="00E43858" w:rsidP="00B77F8C">
      <w:pPr>
        <w:pStyle w:val="Ttulo"/>
        <w:rPr>
          <w:b/>
        </w:rPr>
      </w:pPr>
      <w:r w:rsidRPr="00B77F8C">
        <w:rPr>
          <w:b/>
        </w:rPr>
        <w:lastRenderedPageBreak/>
        <w:t xml:space="preserve">“Artículo 5.- </w:t>
      </w:r>
    </w:p>
    <w:p w14:paraId="4C90CE88" w14:textId="77777777" w:rsidR="002B11D9" w:rsidRPr="00B77F8C" w:rsidRDefault="00E43858" w:rsidP="00B77F8C">
      <w:pPr>
        <w:pStyle w:val="Ttulo"/>
        <w:rPr>
          <w:b/>
        </w:rPr>
      </w:pPr>
      <w:r w:rsidRPr="00B77F8C">
        <w:rPr>
          <w:b/>
        </w:rPr>
        <w:t>(…)</w:t>
      </w:r>
    </w:p>
    <w:p w14:paraId="6A50119E" w14:textId="77777777" w:rsidR="002B11D9" w:rsidRPr="00B77F8C" w:rsidRDefault="00E43858" w:rsidP="00B77F8C">
      <w:pPr>
        <w:pStyle w:val="Ttulo"/>
        <w:rPr>
          <w:b/>
        </w:rPr>
      </w:pPr>
      <w:r w:rsidRPr="00B77F8C">
        <w:rPr>
          <w:b/>
        </w:rPr>
        <w:t>El derecho a la información será garantizado por el Estado. La ley establecerá las previsiones que permitan asegurar la protección, el respeto y la difusión de este derecho.</w:t>
      </w:r>
    </w:p>
    <w:p w14:paraId="1CC0CEEA" w14:textId="77777777" w:rsidR="002B11D9" w:rsidRPr="00B77F8C" w:rsidRDefault="00E43858" w:rsidP="00B77F8C">
      <w:pPr>
        <w:pStyle w:val="Ttulo"/>
      </w:pPr>
      <w:r w:rsidRPr="00B77F8C">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BCEABCB" w14:textId="77777777" w:rsidR="002B11D9" w:rsidRPr="00B77F8C" w:rsidRDefault="00E43858" w:rsidP="00B77F8C">
      <w:pPr>
        <w:pStyle w:val="Ttulo"/>
        <w:rPr>
          <w:b/>
        </w:rPr>
      </w:pPr>
      <w:r w:rsidRPr="00B77F8C">
        <w:rPr>
          <w:b/>
        </w:rPr>
        <w:t>Este derecho se regirá por los principios y bases siguientes:</w:t>
      </w:r>
    </w:p>
    <w:p w14:paraId="32A15AD8" w14:textId="77777777" w:rsidR="002B11D9" w:rsidRPr="00B77F8C" w:rsidRDefault="00E43858" w:rsidP="00B77F8C">
      <w:pPr>
        <w:pStyle w:val="Ttulo"/>
      </w:pPr>
      <w:r w:rsidRPr="00B77F8C">
        <w:rPr>
          <w:b/>
        </w:rPr>
        <w:t>I. Toda la información en posesión de cualquier autoridad, entidad, órgano y organismos de los</w:t>
      </w:r>
      <w:r w:rsidRPr="00B77F8C">
        <w:t xml:space="preserve"> Poderes Ejecutivo, Legislativo y Judicial, órganos autónomos, partidos políticos, fideicomisos y fondos públicos estatales y </w:t>
      </w:r>
      <w:r w:rsidRPr="00B77F8C">
        <w:rPr>
          <w:b/>
        </w:rPr>
        <w:t>municipales</w:t>
      </w:r>
      <w:r w:rsidRPr="00B77F8C">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77F8C">
        <w:rPr>
          <w:b/>
        </w:rPr>
        <w:t>es pública</w:t>
      </w:r>
      <w:r w:rsidRPr="00B77F8C">
        <w:t xml:space="preserve"> y sólo podrá ser reservada temporalmente por razones previstas en la Constitución Política de los Estados Unidos Mexicanos de interés público y seguridad, en los términos que fijen las leyes. </w:t>
      </w:r>
      <w:r w:rsidRPr="00B77F8C">
        <w:rPr>
          <w:b/>
        </w:rPr>
        <w:t>En la interpretación de este derecho deberá prevalecer el principio de máxima publicidad</w:t>
      </w:r>
      <w:r w:rsidRPr="00B77F8C">
        <w:t xml:space="preserve">. </w:t>
      </w:r>
      <w:r w:rsidRPr="00B77F8C">
        <w:rPr>
          <w:b/>
        </w:rPr>
        <w:t>Los sujetos obligados deberán documentar todo acto que derive del ejercicio de sus facultades, competencias o funciones</w:t>
      </w:r>
      <w:r w:rsidRPr="00B77F8C">
        <w:t>, la ley determinará los supuestos específicos bajo los cuales procederá la declaración de inexistencia de la información.”</w:t>
      </w:r>
    </w:p>
    <w:p w14:paraId="7326F0F9" w14:textId="77777777" w:rsidR="002B11D9" w:rsidRPr="00B77F8C" w:rsidRDefault="002B11D9" w:rsidP="00B77F8C">
      <w:pPr>
        <w:rPr>
          <w:b/>
          <w:i/>
        </w:rPr>
      </w:pPr>
    </w:p>
    <w:p w14:paraId="37F77EDD" w14:textId="77777777" w:rsidR="002B11D9" w:rsidRPr="00B77F8C" w:rsidRDefault="00E43858" w:rsidP="00B77F8C">
      <w:pPr>
        <w:rPr>
          <w:i/>
        </w:rPr>
      </w:pPr>
      <w:r w:rsidRPr="00B77F8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77F8C">
        <w:rPr>
          <w:i/>
        </w:rPr>
        <w:t>por los principios de simplicidad, rapidez, gratuidad del procedimiento, auxilio y orientación a los particulares.</w:t>
      </w:r>
    </w:p>
    <w:p w14:paraId="2CCAA83F" w14:textId="77777777" w:rsidR="002B11D9" w:rsidRPr="00B77F8C" w:rsidRDefault="002B11D9" w:rsidP="00B77F8C">
      <w:pPr>
        <w:rPr>
          <w:i/>
        </w:rPr>
      </w:pPr>
    </w:p>
    <w:p w14:paraId="75A5490F" w14:textId="77777777" w:rsidR="002B11D9" w:rsidRPr="00B77F8C" w:rsidRDefault="00E43858" w:rsidP="00B77F8C">
      <w:pPr>
        <w:rPr>
          <w:i/>
        </w:rPr>
      </w:pPr>
      <w:r w:rsidRPr="00B77F8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0F0ABEC" w14:textId="77777777" w:rsidR="002B11D9" w:rsidRPr="00B77F8C" w:rsidRDefault="002B11D9" w:rsidP="00B77F8C"/>
    <w:p w14:paraId="0C007719" w14:textId="77777777" w:rsidR="002B11D9" w:rsidRPr="00B77F8C" w:rsidRDefault="00E43858" w:rsidP="00B77F8C">
      <w:r w:rsidRPr="00B77F8C">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E59EF3" w14:textId="77777777" w:rsidR="002B11D9" w:rsidRPr="00B77F8C" w:rsidRDefault="002B11D9" w:rsidP="00B77F8C"/>
    <w:p w14:paraId="6C0F91D6" w14:textId="77777777" w:rsidR="002B11D9" w:rsidRPr="00B77F8C" w:rsidRDefault="00E43858" w:rsidP="00B77F8C">
      <w:r w:rsidRPr="00B77F8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C5ABC79" w14:textId="77777777" w:rsidR="002B11D9" w:rsidRPr="00B77F8C" w:rsidRDefault="002B11D9" w:rsidP="00B77F8C"/>
    <w:p w14:paraId="2FFD4001" w14:textId="77777777" w:rsidR="002B11D9" w:rsidRPr="00B77F8C" w:rsidRDefault="00E43858" w:rsidP="00B77F8C">
      <w:r w:rsidRPr="00B77F8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18D3C3C" w14:textId="77777777" w:rsidR="002B11D9" w:rsidRPr="00B77F8C" w:rsidRDefault="002B11D9" w:rsidP="00B77F8C"/>
    <w:p w14:paraId="424C836B" w14:textId="77777777" w:rsidR="002B11D9" w:rsidRPr="00B77F8C" w:rsidRDefault="00E43858" w:rsidP="00B77F8C">
      <w:bookmarkStart w:id="28" w:name="_heading=h.2bn6wsx" w:colFirst="0" w:colLast="0"/>
      <w:bookmarkEnd w:id="28"/>
      <w:r w:rsidRPr="00B77F8C">
        <w:t xml:space="preserve">Con base en lo anterior, se considera que </w:t>
      </w:r>
      <w:r w:rsidRPr="00B77F8C">
        <w:rPr>
          <w:b/>
        </w:rPr>
        <w:t>EL</w:t>
      </w:r>
      <w:r w:rsidRPr="00B77F8C">
        <w:t xml:space="preserve"> </w:t>
      </w:r>
      <w:r w:rsidRPr="00B77F8C">
        <w:rPr>
          <w:b/>
        </w:rPr>
        <w:t>SUJETO OBLIGADO</w:t>
      </w:r>
      <w:r w:rsidRPr="00B77F8C">
        <w:t xml:space="preserve"> se encontraba compelido a atender la solicitud de acceso a la información realizada por </w:t>
      </w:r>
      <w:r w:rsidRPr="00B77F8C">
        <w:rPr>
          <w:b/>
        </w:rPr>
        <w:t>LA PARTE RECURRENTE</w:t>
      </w:r>
      <w:r w:rsidRPr="00B77F8C">
        <w:t>.</w:t>
      </w:r>
    </w:p>
    <w:p w14:paraId="0C5A6D80" w14:textId="77777777" w:rsidR="002B11D9" w:rsidRPr="00B77F8C" w:rsidRDefault="002B11D9" w:rsidP="00B77F8C"/>
    <w:p w14:paraId="042781E0" w14:textId="77777777" w:rsidR="002B11D9" w:rsidRPr="00B77F8C" w:rsidRDefault="00E43858" w:rsidP="00B77F8C">
      <w:pPr>
        <w:pStyle w:val="Ttulo3"/>
        <w:spacing w:line="360" w:lineRule="auto"/>
      </w:pPr>
      <w:bookmarkStart w:id="29" w:name="_heading=h.qsh70q" w:colFirst="0" w:colLast="0"/>
      <w:bookmarkEnd w:id="29"/>
      <w:r w:rsidRPr="00B77F8C">
        <w:lastRenderedPageBreak/>
        <w:t xml:space="preserve">b) </w:t>
      </w:r>
      <w:r w:rsidR="00823777" w:rsidRPr="00B77F8C">
        <w:t>Recurso de revisión extemporáneo</w:t>
      </w:r>
      <w:r w:rsidR="00180ACC" w:rsidRPr="00B77F8C">
        <w:t>.</w:t>
      </w:r>
    </w:p>
    <w:p w14:paraId="7AAE0E97" w14:textId="77777777" w:rsidR="003D4D00" w:rsidRPr="00B77F8C" w:rsidRDefault="00823777" w:rsidP="00B77F8C">
      <w:pPr>
        <w:rPr>
          <w:rFonts w:eastAsia="Calibri"/>
          <w:szCs w:val="22"/>
          <w:lang w:eastAsia="es-ES_tradnl"/>
        </w:rPr>
      </w:pPr>
      <w:r w:rsidRPr="00B77F8C">
        <w:rPr>
          <w:rFonts w:eastAsia="Calibri"/>
          <w:szCs w:val="22"/>
          <w:lang w:eastAsia="es-ES_tradnl"/>
        </w:rPr>
        <w:t xml:space="preserve">Como fue señalado anteriormente, </w:t>
      </w:r>
      <w:r w:rsidR="003D4D00" w:rsidRPr="00B77F8C">
        <w:rPr>
          <w:rFonts w:eastAsia="Calibri"/>
          <w:szCs w:val="22"/>
          <w:lang w:eastAsia="es-ES_tradnl"/>
        </w:rPr>
        <w:t xml:space="preserve">el artículo 178 de la Ley de Transparencia señala prevé que los solicitantes tendrán la oportunidad conforme a su derecho de acceso a la información pública, de interponer el recurso de revisión en caso de estar inconforme con las respuestas presentadas por los Sujeto Obligados. </w:t>
      </w:r>
    </w:p>
    <w:p w14:paraId="0272BB1C" w14:textId="77777777" w:rsidR="003D4D00" w:rsidRPr="00B77F8C" w:rsidRDefault="003D4D00" w:rsidP="00B77F8C">
      <w:pPr>
        <w:rPr>
          <w:rFonts w:eastAsia="Calibri"/>
          <w:szCs w:val="22"/>
          <w:lang w:eastAsia="es-ES_tradnl"/>
        </w:rPr>
      </w:pPr>
    </w:p>
    <w:p w14:paraId="0680C537" w14:textId="77777777" w:rsidR="003D4D00" w:rsidRPr="00B77F8C" w:rsidRDefault="003D4D00" w:rsidP="00B77F8C">
      <w:pPr>
        <w:rPr>
          <w:rFonts w:eastAsia="Calibri"/>
          <w:szCs w:val="22"/>
          <w:lang w:eastAsia="es-ES_tradnl"/>
        </w:rPr>
      </w:pPr>
      <w:r w:rsidRPr="00B77F8C">
        <w:rPr>
          <w:rFonts w:eastAsia="Calibri"/>
          <w:szCs w:val="22"/>
          <w:lang w:eastAsia="es-ES_tradnl"/>
        </w:rPr>
        <w:t>Para el caso que nos ocupa, si bien el medio de impugnación fue admitido a trámite por este Instituto, se advierte tras el análisis de las actuaciones que obran dentro del expediente electrónico del SAIMEX que el recurso de revisión fue interpuesto en un plazo que no corresponde a lo establecido por la normatividad ci</w:t>
      </w:r>
      <w:r w:rsidR="00FD0098" w:rsidRPr="00B77F8C">
        <w:rPr>
          <w:rFonts w:eastAsia="Calibri"/>
          <w:szCs w:val="22"/>
          <w:lang w:eastAsia="es-ES_tradnl"/>
        </w:rPr>
        <w:t>t</w:t>
      </w:r>
      <w:r w:rsidR="00F47CE4" w:rsidRPr="00B77F8C">
        <w:rPr>
          <w:rFonts w:eastAsia="Calibri"/>
          <w:szCs w:val="22"/>
          <w:lang w:eastAsia="es-ES_tradnl"/>
        </w:rPr>
        <w:t>ada en el párrafo que antecede.</w:t>
      </w:r>
    </w:p>
    <w:p w14:paraId="151A909F" w14:textId="77777777" w:rsidR="00F47CE4" w:rsidRPr="00B77F8C" w:rsidRDefault="00F47CE4" w:rsidP="00B77F8C">
      <w:pPr>
        <w:rPr>
          <w:rFonts w:eastAsia="Calibri"/>
          <w:szCs w:val="22"/>
          <w:lang w:eastAsia="es-ES_tradnl"/>
        </w:rPr>
      </w:pPr>
    </w:p>
    <w:p w14:paraId="372AF2BA" w14:textId="77777777" w:rsidR="00F47CE4" w:rsidRPr="00B77F8C" w:rsidRDefault="00F47CE4" w:rsidP="00B77F8C">
      <w:pPr>
        <w:rPr>
          <w:rFonts w:eastAsia="Calibri"/>
        </w:rPr>
      </w:pPr>
      <w:r w:rsidRPr="00B77F8C">
        <w:rPr>
          <w:rFonts w:eastAsia="Calibri"/>
          <w:szCs w:val="22"/>
          <w:lang w:eastAsia="es-ES_tradnl"/>
        </w:rPr>
        <w:t>Es importante destacar que el plazo para interponer el recurso de revisión en que se actúa, transcurrió del diez al treinta de mayo del año en curso</w:t>
      </w:r>
      <w:r w:rsidR="00CD75D2" w:rsidRPr="00B77F8C">
        <w:rPr>
          <w:rFonts w:eastAsia="Calibri"/>
          <w:szCs w:val="22"/>
          <w:lang w:eastAsia="es-ES_tradnl"/>
        </w:rPr>
        <w:t xml:space="preserve">; sin embargo </w:t>
      </w:r>
      <w:r w:rsidRPr="00B77F8C">
        <w:rPr>
          <w:rFonts w:eastAsia="Calibri"/>
          <w:b/>
          <w:szCs w:val="22"/>
          <w:lang w:eastAsia="es-ES_tradnl"/>
        </w:rPr>
        <w:t xml:space="preserve">LA PARTE RECURRENTE </w:t>
      </w:r>
      <w:r w:rsidRPr="00B77F8C">
        <w:rPr>
          <w:rFonts w:eastAsia="Calibri"/>
          <w:szCs w:val="22"/>
          <w:lang w:eastAsia="es-ES_tradnl"/>
        </w:rPr>
        <w:t xml:space="preserve">presentó su inconformidad </w:t>
      </w:r>
      <w:r w:rsidR="00CD75D2" w:rsidRPr="00B77F8C">
        <w:rPr>
          <w:rFonts w:eastAsia="Calibri"/>
          <w:szCs w:val="22"/>
          <w:lang w:eastAsia="es-ES_tradnl"/>
        </w:rPr>
        <w:t xml:space="preserve">hasta el diecinueve de agosto de dos mil veinticuatro; es decir al </w:t>
      </w:r>
      <w:r w:rsidRPr="00B77F8C">
        <w:t>sexagésimo segundo.</w:t>
      </w:r>
    </w:p>
    <w:p w14:paraId="05AEA566" w14:textId="77777777" w:rsidR="00FD0098" w:rsidRPr="00B77F8C" w:rsidRDefault="00FD0098" w:rsidP="00B77F8C">
      <w:pPr>
        <w:rPr>
          <w:rFonts w:eastAsia="Calibri"/>
          <w:szCs w:val="22"/>
          <w:lang w:eastAsia="es-ES_tradnl"/>
        </w:rPr>
      </w:pPr>
    </w:p>
    <w:p w14:paraId="180BF15B" w14:textId="77777777" w:rsidR="00FD0098" w:rsidRPr="00B77F8C" w:rsidRDefault="00FD0098" w:rsidP="00B77F8C">
      <w:pPr>
        <w:rPr>
          <w:rFonts w:eastAsia="Palatino Linotype" w:cs="Palatino Linotype"/>
          <w:lang w:eastAsia="es-MX"/>
        </w:rPr>
      </w:pPr>
      <w:r w:rsidRPr="00B77F8C">
        <w:rPr>
          <w:rFonts w:eastAsia="Calibri"/>
          <w:szCs w:val="22"/>
          <w:lang w:eastAsia="es-ES_tradnl"/>
        </w:rPr>
        <w:t>Por lo anterior</w:t>
      </w:r>
      <w:r w:rsidRPr="00B77F8C">
        <w:rPr>
          <w:rFonts w:eastAsia="Palatino Linotype" w:cs="Palatino Linotype"/>
          <w:lang w:eastAsia="es-MX"/>
        </w:rPr>
        <w:t>, es conveniente traer a colación lo dispuesto por los artículos 191, fracción I y 192, fracción IV de la Ley de Transparencia local, que disponen lo siguiente:</w:t>
      </w:r>
    </w:p>
    <w:p w14:paraId="1D36E57C" w14:textId="77777777" w:rsidR="00FD0098" w:rsidRPr="00B77F8C" w:rsidRDefault="00FD0098" w:rsidP="00B77F8C">
      <w:pPr>
        <w:pStyle w:val="Ttulo"/>
        <w:spacing w:line="360" w:lineRule="auto"/>
        <w:ind w:left="0"/>
        <w:rPr>
          <w:rFonts w:eastAsia="Palatino Linotype"/>
          <w:lang w:eastAsia="es-MX"/>
        </w:rPr>
      </w:pPr>
    </w:p>
    <w:p w14:paraId="5E0E8D14" w14:textId="77777777" w:rsidR="00FD0098" w:rsidRPr="00B77F8C" w:rsidRDefault="00FD0098" w:rsidP="00B77F8C">
      <w:pPr>
        <w:pStyle w:val="Ttulo"/>
      </w:pPr>
      <w:r w:rsidRPr="00B77F8C">
        <w:rPr>
          <w:b/>
        </w:rPr>
        <w:t>Artículo 191.</w:t>
      </w:r>
      <w:r w:rsidRPr="00B77F8C">
        <w:t xml:space="preserve"> El recurso será desechado por improcedente cuando:</w:t>
      </w:r>
    </w:p>
    <w:p w14:paraId="6F471998" w14:textId="77777777" w:rsidR="00FD0098" w:rsidRPr="00B77F8C" w:rsidRDefault="00FD0098" w:rsidP="00B77F8C">
      <w:pPr>
        <w:pStyle w:val="Ttulo"/>
        <w:jc w:val="left"/>
        <w:rPr>
          <w:b/>
        </w:rPr>
      </w:pPr>
      <w:r w:rsidRPr="00B77F8C">
        <w:t>I</w:t>
      </w:r>
      <w:r w:rsidRPr="00B77F8C">
        <w:rPr>
          <w:b/>
        </w:rPr>
        <w:t>. Sea extemporáneo por haber transcurrido el plazo establecido en la</w:t>
      </w:r>
      <w:r w:rsidR="00681817" w:rsidRPr="00B77F8C">
        <w:rPr>
          <w:b/>
        </w:rPr>
        <w:t xml:space="preserve"> </w:t>
      </w:r>
      <w:r w:rsidRPr="00B77F8C">
        <w:rPr>
          <w:b/>
        </w:rPr>
        <w:t>presente Ley, a partir de la respuesta;”</w:t>
      </w:r>
    </w:p>
    <w:p w14:paraId="15ADDA8D" w14:textId="77777777" w:rsidR="00FD0098" w:rsidRPr="00B77F8C" w:rsidRDefault="00FD0098" w:rsidP="00B77F8C">
      <w:pPr>
        <w:pStyle w:val="Ttulo"/>
      </w:pPr>
    </w:p>
    <w:p w14:paraId="49A6104A" w14:textId="77777777" w:rsidR="00FD0098" w:rsidRPr="00B77F8C" w:rsidRDefault="00FD0098" w:rsidP="00B77F8C">
      <w:pPr>
        <w:pStyle w:val="Ttulo"/>
      </w:pPr>
      <w:r w:rsidRPr="00B77F8C">
        <w:rPr>
          <w:b/>
        </w:rPr>
        <w:t>Artículo 192.</w:t>
      </w:r>
      <w:r w:rsidRPr="00B77F8C">
        <w:t xml:space="preserve"> El recurso será sobreseído, en todo o en parte, cuando una vez</w:t>
      </w:r>
      <w:r w:rsidR="00681817" w:rsidRPr="00B77F8C">
        <w:t xml:space="preserve"> </w:t>
      </w:r>
      <w:r w:rsidRPr="00B77F8C">
        <w:t>admitido, se actualicen alguno de los siguientes supuestos:</w:t>
      </w:r>
    </w:p>
    <w:p w14:paraId="02CBC226" w14:textId="77777777" w:rsidR="00FD0098" w:rsidRPr="00B77F8C" w:rsidRDefault="00FD0098" w:rsidP="00B77F8C">
      <w:pPr>
        <w:pStyle w:val="Ttulo"/>
      </w:pPr>
      <w:r w:rsidRPr="00B77F8C">
        <w:t>(…)</w:t>
      </w:r>
    </w:p>
    <w:p w14:paraId="5DE3E86C" w14:textId="77777777" w:rsidR="00FD0098" w:rsidRPr="00B77F8C" w:rsidRDefault="00FD0098" w:rsidP="00B77F8C">
      <w:pPr>
        <w:pStyle w:val="Ttulo"/>
      </w:pPr>
      <w:r w:rsidRPr="00B77F8C">
        <w:rPr>
          <w:b/>
        </w:rPr>
        <w:t>IV.</w:t>
      </w:r>
      <w:r w:rsidRPr="00B77F8C">
        <w:t xml:space="preserve"> Admitido el recurso de revisión, aparezca alguna causal de improcedencia en los términos de la presente Ley; y.”</w:t>
      </w:r>
    </w:p>
    <w:p w14:paraId="0B584F0E" w14:textId="77777777" w:rsidR="00FD0098" w:rsidRPr="00B77F8C" w:rsidRDefault="00FD0098" w:rsidP="00B77F8C">
      <w:pPr>
        <w:rPr>
          <w:lang w:val="es-ES"/>
        </w:rPr>
      </w:pPr>
    </w:p>
    <w:p w14:paraId="55DD9211" w14:textId="77777777" w:rsidR="00FD0098" w:rsidRPr="00B77F8C" w:rsidRDefault="00FD0098" w:rsidP="00B77F8C">
      <w:pPr>
        <w:rPr>
          <w:lang w:val="es-ES"/>
        </w:rPr>
      </w:pPr>
      <w:r w:rsidRPr="00B77F8C">
        <w:rPr>
          <w:lang w:val="es-ES"/>
        </w:rPr>
        <w:lastRenderedPageBreak/>
        <w:t>Sirve como criterio orientador, lo establecido en la Jurisprudencia 1ª.J3/99 de la Novena Época, emitida por la Primera Sala de la Suprema Corte de Justicia de la Nación, publicada en el Semanario Judicial de la Federación y su Gaceta, que en lo conducente dispone:</w:t>
      </w:r>
    </w:p>
    <w:p w14:paraId="3039890B" w14:textId="77777777" w:rsidR="00FD0098" w:rsidRPr="00B77F8C" w:rsidRDefault="00FD0098" w:rsidP="00B77F8C">
      <w:pPr>
        <w:rPr>
          <w:sz w:val="18"/>
          <w:szCs w:val="16"/>
          <w:lang w:val="es-ES"/>
        </w:rPr>
      </w:pPr>
    </w:p>
    <w:p w14:paraId="2A4B2FEF" w14:textId="77777777" w:rsidR="00FD0098" w:rsidRPr="00B77F8C" w:rsidRDefault="00FD0098" w:rsidP="00B77F8C">
      <w:pPr>
        <w:pStyle w:val="Ttulo"/>
        <w:rPr>
          <w:sz w:val="18"/>
          <w:szCs w:val="48"/>
        </w:rPr>
      </w:pPr>
      <w:r w:rsidRPr="00B77F8C">
        <w:t>“</w:t>
      </w:r>
      <w:r w:rsidRPr="00B77F8C">
        <w:rPr>
          <w:b/>
        </w:rPr>
        <w:t xml:space="preserve">IMPROCEDENCIA. ESTUDIO PREFERENCIAL DE LAS CAUSALES PREVISTAS EN EL ARTÍCULO 73 DE LA LEY DE AMPARO. </w:t>
      </w:r>
      <w:r w:rsidRPr="00B77F8C">
        <w:t xml:space="preserve">De </w:t>
      </w:r>
      <w:r w:rsidRPr="00B77F8C">
        <w:rPr>
          <w:rStyle w:val="TtuloCar"/>
          <w:i/>
        </w:rPr>
        <w:t>conformidad con lo dispuesto en el último párrafo del artículo 73 de la Ley de A</w:t>
      </w:r>
      <w:r w:rsidRPr="00B77F8C">
        <w:t>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(Sic)</w:t>
      </w:r>
      <w:r w:rsidRPr="00B77F8C">
        <w:cr/>
      </w:r>
    </w:p>
    <w:p w14:paraId="217A9B80" w14:textId="77777777" w:rsidR="00FD0098" w:rsidRPr="00B77F8C" w:rsidRDefault="00FD0098" w:rsidP="00B77F8C">
      <w:pPr>
        <w:rPr>
          <w:b/>
          <w:bCs/>
          <w:lang w:val="es-ES"/>
        </w:rPr>
      </w:pPr>
      <w:r w:rsidRPr="00B77F8C">
        <w:rPr>
          <w:lang w:val="es-ES"/>
        </w:rPr>
        <w:t xml:space="preserve">Precisado lo anterior y toda vez que el sobreseimiento 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B77F8C">
        <w:rPr>
          <w:b/>
          <w:bCs/>
          <w:lang w:val="es-ES"/>
        </w:rPr>
        <w:t>SOBRESEIMIENTO, NO PERMITE ENTRAR AL ESTUDIO DE LAS CUESTIONES DE FONDO</w:t>
      </w:r>
      <w:r w:rsidRPr="00B77F8C">
        <w:rPr>
          <w:rStyle w:val="Refdenotaalpie"/>
          <w:b/>
          <w:bCs/>
          <w:lang w:val="es-ES"/>
        </w:rPr>
        <w:footnoteReference w:id="1"/>
      </w:r>
    </w:p>
    <w:p w14:paraId="77AC2F66" w14:textId="77777777" w:rsidR="00FD0098" w:rsidRPr="00B77F8C" w:rsidRDefault="00FD0098" w:rsidP="00B77F8C">
      <w:pPr>
        <w:rPr>
          <w:b/>
          <w:bCs/>
          <w:lang w:val="es-ES"/>
        </w:rPr>
      </w:pPr>
    </w:p>
    <w:p w14:paraId="23A35B36" w14:textId="77777777" w:rsidR="0007548E" w:rsidRPr="00B77F8C" w:rsidRDefault="00FD0098" w:rsidP="00B77F8C">
      <w:pPr>
        <w:pStyle w:val="Ttulo3"/>
        <w:spacing w:line="360" w:lineRule="auto"/>
      </w:pPr>
      <w:r w:rsidRPr="00B77F8C">
        <w:t>c</w:t>
      </w:r>
      <w:r w:rsidR="0007548E" w:rsidRPr="00B77F8C">
        <w:t>) Conclusión</w:t>
      </w:r>
      <w:r w:rsidRPr="00B77F8C">
        <w:t>.</w:t>
      </w:r>
    </w:p>
    <w:p w14:paraId="4CEEE389" w14:textId="77777777" w:rsidR="00FD0098" w:rsidRPr="00B77F8C" w:rsidRDefault="00FD0098" w:rsidP="00B77F8C">
      <w:pPr>
        <w:widowControl w:val="0"/>
        <w:tabs>
          <w:tab w:val="left" w:pos="1701"/>
          <w:tab w:val="left" w:pos="1843"/>
        </w:tabs>
        <w:autoSpaceDE w:val="0"/>
        <w:autoSpaceDN w:val="0"/>
        <w:adjustRightInd w:val="0"/>
        <w:rPr>
          <w:rFonts w:eastAsia="Palatino Linotype" w:cs="Palatino Linotype"/>
          <w:iCs/>
        </w:rPr>
      </w:pPr>
      <w:bookmarkStart w:id="30" w:name="_heading=h.1pxezwc" w:colFirst="0" w:colLast="0"/>
      <w:bookmarkEnd w:id="30"/>
      <w:r w:rsidRPr="00B77F8C">
        <w:rPr>
          <w:rFonts w:cs="Arial"/>
        </w:rPr>
        <w:t xml:space="preserve">Po lo hasta aquí expuesto, se colige que el presente Recurso de Revisión </w:t>
      </w:r>
      <w:r w:rsidRPr="00B77F8C">
        <w:rPr>
          <w:rFonts w:eastAsia="Palatino Linotype" w:cs="Palatino Linotype"/>
          <w:iCs/>
        </w:rPr>
        <w:t xml:space="preserve">fue interpuesto fuera del plazo legal establecido por la normatividad de la materia, resultando extemporáneo para </w:t>
      </w:r>
      <w:r w:rsidR="00F47CE4" w:rsidRPr="00B77F8C">
        <w:rPr>
          <w:rFonts w:eastAsia="Palatino Linotype" w:cs="Palatino Linotype"/>
          <w:iCs/>
        </w:rPr>
        <w:t>su sustanciación de fondo.</w:t>
      </w:r>
    </w:p>
    <w:p w14:paraId="0AF19FF2" w14:textId="77777777" w:rsidR="0007548E" w:rsidRPr="00B77F8C" w:rsidRDefault="0007548E" w:rsidP="00B77F8C">
      <w:pPr>
        <w:ind w:right="-93"/>
      </w:pPr>
      <w:r w:rsidRPr="00B77F8C">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291B79D" w14:textId="77777777" w:rsidR="00E94CA2" w:rsidRPr="00B77F8C" w:rsidRDefault="00E94CA2" w:rsidP="00B77F8C"/>
    <w:p w14:paraId="5B3E04C9" w14:textId="77777777" w:rsidR="0007548E" w:rsidRPr="00B77F8C" w:rsidRDefault="0007548E" w:rsidP="00B77F8C">
      <w:pPr>
        <w:pStyle w:val="Ttulo1"/>
      </w:pPr>
      <w:bookmarkStart w:id="31" w:name="_heading=h.49x2ik5" w:colFirst="0" w:colLast="0"/>
      <w:bookmarkEnd w:id="31"/>
      <w:r w:rsidRPr="00B77F8C">
        <w:t>RESUELVE</w:t>
      </w:r>
    </w:p>
    <w:p w14:paraId="754A6B82" w14:textId="77777777" w:rsidR="0007548E" w:rsidRPr="00B77F8C" w:rsidRDefault="0007548E" w:rsidP="00B77F8C">
      <w:pPr>
        <w:ind w:right="113"/>
        <w:rPr>
          <w:b/>
        </w:rPr>
      </w:pPr>
    </w:p>
    <w:p w14:paraId="430B47EC" w14:textId="77777777" w:rsidR="00377BDF" w:rsidRPr="00B77F8C" w:rsidRDefault="00FD0098" w:rsidP="00B77F8C">
      <w:pPr>
        <w:widowControl w:val="0"/>
      </w:pPr>
      <w:r w:rsidRPr="00B77F8C">
        <w:rPr>
          <w:b/>
        </w:rPr>
        <w:t xml:space="preserve">PRIMERO. </w:t>
      </w:r>
      <w:r w:rsidR="00377BDF" w:rsidRPr="00B77F8C">
        <w:rPr>
          <w:rFonts w:cs="Arial"/>
          <w:szCs w:val="28"/>
        </w:rPr>
        <w:t xml:space="preserve">Se </w:t>
      </w:r>
      <w:r w:rsidR="00377BDF" w:rsidRPr="00B77F8C">
        <w:rPr>
          <w:rFonts w:cs="Arial"/>
          <w:b/>
          <w:szCs w:val="28"/>
        </w:rPr>
        <w:t>SOBRESEE</w:t>
      </w:r>
      <w:r w:rsidR="00377BDF" w:rsidRPr="00B77F8C">
        <w:rPr>
          <w:rFonts w:cs="Arial"/>
          <w:szCs w:val="28"/>
        </w:rPr>
        <w:t xml:space="preserve"> el Recurso de Revisión número </w:t>
      </w:r>
      <w:r w:rsidR="00377BDF" w:rsidRPr="00B77F8C">
        <w:rPr>
          <w:b/>
        </w:rPr>
        <w:t xml:space="preserve">04977/INFOEM/IP/RR/2024 </w:t>
      </w:r>
      <w:r w:rsidR="00377BDF" w:rsidRPr="00B77F8C">
        <w:rPr>
          <w:rFonts w:cs="Arial"/>
          <w:szCs w:val="28"/>
          <w:lang w:val="es-ES"/>
        </w:rPr>
        <w:t xml:space="preserve">porque una vez admitido se actualizó la causal de improcedencia contemplada en el artículo 192 fracción IV, </w:t>
      </w:r>
      <w:r w:rsidR="003B4D6E" w:rsidRPr="00B77F8C">
        <w:t>en relación al diverso numeral 191, fracción I</w:t>
      </w:r>
      <w:r w:rsidR="00141187" w:rsidRPr="00B77F8C">
        <w:t>,</w:t>
      </w:r>
      <w:r w:rsidR="003B4D6E" w:rsidRPr="00B77F8C">
        <w:t xml:space="preserve"> </w:t>
      </w:r>
      <w:r w:rsidR="00377BDF" w:rsidRPr="00B77F8C">
        <w:rPr>
          <w:rFonts w:cs="Arial"/>
          <w:szCs w:val="28"/>
          <w:lang w:val="es-ES"/>
        </w:rPr>
        <w:t xml:space="preserve">de la </w:t>
      </w:r>
      <w:r w:rsidR="00377BDF" w:rsidRPr="00B77F8C">
        <w:rPr>
          <w:lang w:eastAsia="es-ES_tradnl"/>
        </w:rPr>
        <w:t>Ley de Transparencia y Acceso a la Información Pública del Estado de México y Municipios</w:t>
      </w:r>
      <w:r w:rsidR="00377BDF" w:rsidRPr="00B77F8C">
        <w:rPr>
          <w:rFonts w:cs="Arial"/>
          <w:szCs w:val="28"/>
          <w:lang w:val="es-ES"/>
        </w:rPr>
        <w:t xml:space="preserve">, por </w:t>
      </w:r>
      <w:r w:rsidR="00377BDF" w:rsidRPr="00B77F8C">
        <w:rPr>
          <w:rFonts w:cs="Arial"/>
          <w:lang w:val="es-ES"/>
        </w:rPr>
        <w:t>haberse interpuesto de manera extemporánea por</w:t>
      </w:r>
      <w:r w:rsidR="00377BDF" w:rsidRPr="00B77F8C">
        <w:t xml:space="preserve"> </w:t>
      </w:r>
      <w:r w:rsidR="00377BDF" w:rsidRPr="00B77F8C">
        <w:rPr>
          <w:b/>
          <w:bCs/>
        </w:rPr>
        <w:t>LA PARTE RECURRENTE</w:t>
      </w:r>
      <w:r w:rsidR="00377BDF" w:rsidRPr="00B77F8C">
        <w:t xml:space="preserve">, en términos del Considerando </w:t>
      </w:r>
      <w:r w:rsidR="00377BDF" w:rsidRPr="00B77F8C">
        <w:rPr>
          <w:b/>
          <w:bCs/>
        </w:rPr>
        <w:t>SEGUNDO</w:t>
      </w:r>
      <w:r w:rsidR="00377BDF" w:rsidRPr="00B77F8C">
        <w:t xml:space="preserve"> de la presente resolución.</w:t>
      </w:r>
    </w:p>
    <w:p w14:paraId="22D2FF94" w14:textId="77777777" w:rsidR="00377BDF" w:rsidRPr="00B77F8C" w:rsidRDefault="00377BDF" w:rsidP="00B77F8C">
      <w:pPr>
        <w:widowControl w:val="0"/>
        <w:rPr>
          <w:b/>
        </w:rPr>
      </w:pPr>
    </w:p>
    <w:p w14:paraId="13A39840" w14:textId="77777777" w:rsidR="00FD0098" w:rsidRPr="00B77F8C" w:rsidRDefault="00FD0098" w:rsidP="00B77F8C">
      <w:pPr>
        <w:ind w:right="-93"/>
      </w:pPr>
      <w:r w:rsidRPr="00B77F8C">
        <w:rPr>
          <w:rFonts w:eastAsia="Calibri" w:cs="Tahoma"/>
          <w:b/>
          <w:bCs/>
          <w:lang w:eastAsia="en-US"/>
        </w:rPr>
        <w:t>SEGUNDO.</w:t>
      </w:r>
      <w:r w:rsidRPr="00B77F8C">
        <w:rPr>
          <w:rFonts w:eastAsia="Calibri" w:cs="Tahoma"/>
        </w:rPr>
        <w:t xml:space="preserve"> </w:t>
      </w:r>
      <w:r w:rsidRPr="00B77F8C">
        <w:t>Notifíquese la presente resolución mediante Sistema de Acceso a la Información Mexiquense (</w:t>
      </w:r>
      <w:r w:rsidRPr="00B77F8C">
        <w:rPr>
          <w:b/>
        </w:rPr>
        <w:t>SAIMEX</w:t>
      </w:r>
      <w:r w:rsidRPr="00B77F8C">
        <w:t xml:space="preserve">), al Titular de la Unidad de Transparencia del </w:t>
      </w:r>
      <w:r w:rsidRPr="00B77F8C">
        <w:rPr>
          <w:b/>
          <w:bCs/>
        </w:rPr>
        <w:t>SUJETO OBLIGADO</w:t>
      </w:r>
      <w:r w:rsidRPr="00B77F8C">
        <w:t>, para su conocimiento.</w:t>
      </w:r>
    </w:p>
    <w:p w14:paraId="06148DAB" w14:textId="77777777" w:rsidR="00FD0098" w:rsidRPr="00B77F8C" w:rsidRDefault="00FD0098" w:rsidP="00B77F8C">
      <w:pPr>
        <w:rPr>
          <w:b/>
        </w:rPr>
      </w:pPr>
    </w:p>
    <w:p w14:paraId="5D8B985C" w14:textId="77777777" w:rsidR="00FD0098" w:rsidRPr="00B77F8C" w:rsidRDefault="00FD0098" w:rsidP="00B77F8C">
      <w:r w:rsidRPr="00B77F8C">
        <w:rPr>
          <w:b/>
        </w:rPr>
        <w:t>TERCERO.</w:t>
      </w:r>
      <w:r w:rsidRPr="00B77F8C">
        <w:t xml:space="preserve"> Notifíquese a </w:t>
      </w:r>
      <w:r w:rsidRPr="00B77F8C">
        <w:rPr>
          <w:b/>
        </w:rPr>
        <w:t>LA PARTE RECURRENTE</w:t>
      </w:r>
      <w:r w:rsidRPr="00B77F8C">
        <w:t xml:space="preserve"> la presente resolución vía Sistema de Acceso a la Información Mexiquense (</w:t>
      </w:r>
      <w:r w:rsidRPr="00B77F8C">
        <w:rPr>
          <w:b/>
        </w:rPr>
        <w:t>SAIMEX</w:t>
      </w:r>
      <w:r w:rsidRPr="00B77F8C">
        <w:t>).</w:t>
      </w:r>
    </w:p>
    <w:p w14:paraId="4F60E6F3" w14:textId="77777777" w:rsidR="00FD0098" w:rsidRPr="00B77F8C" w:rsidRDefault="00FD0098" w:rsidP="00B77F8C"/>
    <w:p w14:paraId="5388D6D6" w14:textId="77777777" w:rsidR="00FD0098" w:rsidRPr="00B77F8C" w:rsidRDefault="00FD0098" w:rsidP="00B77F8C">
      <w:r w:rsidRPr="00B77F8C">
        <w:rPr>
          <w:b/>
        </w:rPr>
        <w:t>CUARTO</w:t>
      </w:r>
      <w:r w:rsidRPr="00B77F8C">
        <w:t xml:space="preserve">. Hágase del conocimiento a </w:t>
      </w:r>
      <w:r w:rsidRPr="00B77F8C">
        <w:rPr>
          <w:b/>
        </w:rPr>
        <w:t>LA PARTE RECURRENTE</w:t>
      </w:r>
      <w:r w:rsidRPr="00B77F8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D17BB8A" w14:textId="62448A61" w:rsidR="00681817" w:rsidRPr="00B77F8C" w:rsidRDefault="00681817" w:rsidP="00B77F8C">
      <w:pPr>
        <w:rPr>
          <w:rFonts w:eastAsia="Palatino Linotype" w:cs="Palatino Linotype"/>
          <w:szCs w:val="22"/>
        </w:rPr>
      </w:pPr>
      <w:r w:rsidRPr="00B77F8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77705D" w:rsidRPr="00B77F8C">
        <w:rPr>
          <w:rFonts w:eastAsia="Palatino Linotype" w:cs="Palatino Linotype"/>
          <w:szCs w:val="22"/>
        </w:rPr>
        <w:t>GUADALUPE RAMÍREZ PEÑA</w:t>
      </w:r>
      <w:r w:rsidR="00B77F8C">
        <w:rPr>
          <w:rFonts w:eastAsia="Palatino Linotype" w:cs="Palatino Linotype"/>
          <w:szCs w:val="22"/>
        </w:rPr>
        <w:t xml:space="preserve"> (AUSENCIA JUSTIFICADA)</w:t>
      </w:r>
      <w:r w:rsidR="0077705D" w:rsidRPr="00B77F8C">
        <w:rPr>
          <w:rFonts w:eastAsia="Palatino Linotype" w:cs="Palatino Linotype"/>
          <w:szCs w:val="22"/>
        </w:rPr>
        <w:t>, EN LA TRI</w:t>
      </w:r>
      <w:r w:rsidRPr="00B77F8C">
        <w:rPr>
          <w:rFonts w:eastAsia="Palatino Linotype" w:cs="Palatino Linotype"/>
          <w:szCs w:val="22"/>
        </w:rPr>
        <w:t>GÉSIMA TERCERA SESIÓN ORDINARIA, CELEBRADA EL DIECINUEVE DE SEPTIEMBRE DE DOS MIL VEINTICUATRO, ANTE EL SECRETARIO TÉCNICO DEL PLENO, ALEXIS TAPIA RAMÍREZ.</w:t>
      </w:r>
    </w:p>
    <w:p w14:paraId="428282F6" w14:textId="77777777" w:rsidR="002B11D9" w:rsidRPr="00B77F8C" w:rsidRDefault="00E43858" w:rsidP="00B77F8C">
      <w:pPr>
        <w:tabs>
          <w:tab w:val="left" w:pos="2325"/>
        </w:tabs>
        <w:rPr>
          <w:sz w:val="18"/>
          <w:szCs w:val="18"/>
        </w:rPr>
      </w:pPr>
      <w:r w:rsidRPr="00B77F8C">
        <w:rPr>
          <w:sz w:val="18"/>
          <w:szCs w:val="18"/>
        </w:rPr>
        <w:t>SCMM/AGZ/DEMF/DLM</w:t>
      </w:r>
    </w:p>
    <w:p w14:paraId="23E6EB84" w14:textId="77777777" w:rsidR="002B11D9" w:rsidRPr="00B77F8C" w:rsidRDefault="002B11D9" w:rsidP="00B77F8C">
      <w:pPr>
        <w:ind w:right="-93"/>
      </w:pPr>
    </w:p>
    <w:p w14:paraId="6CE5D9C1" w14:textId="77777777" w:rsidR="002B11D9" w:rsidRPr="00B77F8C" w:rsidRDefault="002B11D9" w:rsidP="00B77F8C">
      <w:pPr>
        <w:ind w:right="-93"/>
      </w:pPr>
    </w:p>
    <w:p w14:paraId="48DFA0CC" w14:textId="77777777" w:rsidR="002B11D9" w:rsidRPr="00B77F8C" w:rsidRDefault="002B11D9" w:rsidP="00B77F8C">
      <w:pPr>
        <w:ind w:right="-93"/>
      </w:pPr>
    </w:p>
    <w:p w14:paraId="46288A4D" w14:textId="77777777" w:rsidR="002B11D9" w:rsidRPr="00B77F8C" w:rsidRDefault="002B11D9" w:rsidP="00B77F8C">
      <w:pPr>
        <w:ind w:right="-93"/>
      </w:pPr>
    </w:p>
    <w:p w14:paraId="1C4E7DCC" w14:textId="77777777" w:rsidR="002B11D9" w:rsidRPr="00B77F8C" w:rsidRDefault="002B11D9" w:rsidP="00B77F8C">
      <w:pPr>
        <w:ind w:right="-93"/>
      </w:pPr>
    </w:p>
    <w:p w14:paraId="0A3CBC13" w14:textId="77777777" w:rsidR="002B11D9" w:rsidRPr="00B77F8C" w:rsidRDefault="002B11D9" w:rsidP="00B77F8C">
      <w:pPr>
        <w:ind w:right="-93"/>
      </w:pPr>
    </w:p>
    <w:p w14:paraId="5707EAE2" w14:textId="77777777" w:rsidR="002B11D9" w:rsidRPr="00B77F8C" w:rsidRDefault="002B11D9" w:rsidP="00B77F8C">
      <w:pPr>
        <w:ind w:right="-93"/>
      </w:pPr>
    </w:p>
    <w:p w14:paraId="65CAD2F7" w14:textId="77777777" w:rsidR="002B11D9" w:rsidRPr="00B77F8C" w:rsidRDefault="002B11D9" w:rsidP="00B77F8C">
      <w:pPr>
        <w:ind w:right="-93"/>
      </w:pPr>
    </w:p>
    <w:p w14:paraId="310C3907" w14:textId="77777777" w:rsidR="002B11D9" w:rsidRPr="00B77F8C" w:rsidRDefault="002B11D9" w:rsidP="00B77F8C">
      <w:pPr>
        <w:tabs>
          <w:tab w:val="center" w:pos="4568"/>
        </w:tabs>
        <w:ind w:right="-93"/>
      </w:pPr>
    </w:p>
    <w:p w14:paraId="3CF49F94" w14:textId="77777777" w:rsidR="002B11D9" w:rsidRPr="00B77F8C" w:rsidRDefault="002B11D9" w:rsidP="00B77F8C">
      <w:pPr>
        <w:tabs>
          <w:tab w:val="center" w:pos="4568"/>
        </w:tabs>
        <w:ind w:right="-93"/>
      </w:pPr>
    </w:p>
    <w:p w14:paraId="0F9AC909" w14:textId="77777777" w:rsidR="002B11D9" w:rsidRPr="00B77F8C" w:rsidRDefault="002B11D9" w:rsidP="00B77F8C">
      <w:pPr>
        <w:tabs>
          <w:tab w:val="center" w:pos="4568"/>
        </w:tabs>
        <w:ind w:right="-93"/>
      </w:pPr>
    </w:p>
    <w:p w14:paraId="401F10B2" w14:textId="77777777" w:rsidR="002B11D9" w:rsidRPr="00B77F8C" w:rsidRDefault="002B11D9" w:rsidP="00B77F8C">
      <w:pPr>
        <w:tabs>
          <w:tab w:val="center" w:pos="4568"/>
        </w:tabs>
        <w:ind w:right="-93"/>
      </w:pPr>
    </w:p>
    <w:p w14:paraId="02D05FE0" w14:textId="77777777" w:rsidR="002B11D9" w:rsidRPr="00B77F8C" w:rsidRDefault="002B11D9" w:rsidP="00B77F8C">
      <w:pPr>
        <w:tabs>
          <w:tab w:val="center" w:pos="4568"/>
        </w:tabs>
        <w:ind w:right="-93"/>
      </w:pPr>
    </w:p>
    <w:p w14:paraId="0EFAB45F" w14:textId="77777777" w:rsidR="002B11D9" w:rsidRPr="00B77F8C" w:rsidRDefault="002B11D9" w:rsidP="00B77F8C">
      <w:pPr>
        <w:tabs>
          <w:tab w:val="center" w:pos="4568"/>
        </w:tabs>
        <w:ind w:right="-93"/>
      </w:pPr>
    </w:p>
    <w:p w14:paraId="42E6697F" w14:textId="77777777" w:rsidR="002B11D9" w:rsidRPr="00B77F8C" w:rsidRDefault="002B11D9" w:rsidP="00B77F8C">
      <w:pPr>
        <w:tabs>
          <w:tab w:val="center" w:pos="4568"/>
        </w:tabs>
        <w:ind w:right="-93"/>
      </w:pPr>
    </w:p>
    <w:p w14:paraId="1C69F479" w14:textId="77777777" w:rsidR="002B11D9" w:rsidRPr="00B77F8C" w:rsidRDefault="002B11D9" w:rsidP="00B77F8C">
      <w:pPr>
        <w:tabs>
          <w:tab w:val="center" w:pos="4568"/>
        </w:tabs>
        <w:ind w:right="-93"/>
      </w:pPr>
    </w:p>
    <w:p w14:paraId="27D47670" w14:textId="77777777" w:rsidR="002B11D9" w:rsidRPr="00B77F8C" w:rsidRDefault="002B11D9" w:rsidP="00B77F8C">
      <w:pPr>
        <w:tabs>
          <w:tab w:val="center" w:pos="4568"/>
        </w:tabs>
        <w:ind w:right="-93"/>
      </w:pPr>
    </w:p>
    <w:p w14:paraId="1CD06E2C" w14:textId="77777777" w:rsidR="002B11D9" w:rsidRPr="00B77F8C" w:rsidRDefault="002B11D9" w:rsidP="00B77F8C">
      <w:pPr>
        <w:tabs>
          <w:tab w:val="center" w:pos="4568"/>
        </w:tabs>
        <w:ind w:right="-93"/>
      </w:pPr>
    </w:p>
    <w:p w14:paraId="031F4C67" w14:textId="77777777" w:rsidR="002B11D9" w:rsidRPr="00B77F8C" w:rsidRDefault="002B11D9" w:rsidP="00B77F8C">
      <w:pPr>
        <w:tabs>
          <w:tab w:val="center" w:pos="4568"/>
        </w:tabs>
        <w:ind w:right="-93"/>
      </w:pPr>
    </w:p>
    <w:p w14:paraId="62C2CAA8" w14:textId="77777777" w:rsidR="002B11D9" w:rsidRPr="00B77F8C" w:rsidRDefault="002B11D9" w:rsidP="00B77F8C">
      <w:pPr>
        <w:tabs>
          <w:tab w:val="center" w:pos="4568"/>
        </w:tabs>
        <w:ind w:right="-93"/>
      </w:pPr>
    </w:p>
    <w:p w14:paraId="65E5748F" w14:textId="77777777" w:rsidR="002B11D9" w:rsidRPr="00B77F8C" w:rsidRDefault="002B11D9" w:rsidP="00B77F8C">
      <w:pPr>
        <w:tabs>
          <w:tab w:val="center" w:pos="4568"/>
        </w:tabs>
        <w:ind w:right="-93"/>
      </w:pPr>
    </w:p>
    <w:p w14:paraId="2EB58783" w14:textId="77777777" w:rsidR="002B11D9" w:rsidRPr="00B77F8C" w:rsidRDefault="002B11D9" w:rsidP="00B77F8C">
      <w:pPr>
        <w:tabs>
          <w:tab w:val="center" w:pos="4568"/>
        </w:tabs>
        <w:ind w:right="-93"/>
      </w:pPr>
    </w:p>
    <w:p w14:paraId="051C8635" w14:textId="77777777" w:rsidR="002B11D9" w:rsidRPr="00B77F8C" w:rsidRDefault="002B11D9" w:rsidP="00B77F8C">
      <w:pPr>
        <w:tabs>
          <w:tab w:val="center" w:pos="4568"/>
        </w:tabs>
        <w:ind w:right="-93"/>
      </w:pPr>
    </w:p>
    <w:p w14:paraId="32555C06" w14:textId="77777777" w:rsidR="002B11D9" w:rsidRPr="00B77F8C" w:rsidRDefault="002B11D9" w:rsidP="00B77F8C">
      <w:pPr>
        <w:tabs>
          <w:tab w:val="center" w:pos="4568"/>
        </w:tabs>
        <w:ind w:right="-93"/>
      </w:pPr>
    </w:p>
    <w:p w14:paraId="0FB81193" w14:textId="77777777" w:rsidR="002B11D9" w:rsidRPr="00B77F8C" w:rsidRDefault="002B11D9" w:rsidP="00B77F8C"/>
    <w:sectPr w:rsidR="002B11D9" w:rsidRPr="00B77F8C">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489B" w14:textId="77777777" w:rsidR="00350EC5" w:rsidRDefault="00350EC5">
      <w:pPr>
        <w:spacing w:line="240" w:lineRule="auto"/>
      </w:pPr>
      <w:r>
        <w:separator/>
      </w:r>
    </w:p>
  </w:endnote>
  <w:endnote w:type="continuationSeparator" w:id="0">
    <w:p w14:paraId="6019C6AE" w14:textId="77777777" w:rsidR="00350EC5" w:rsidRDefault="00350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panose1 w:val="020B0604020202020204"/>
    <w:charset w:val="00"/>
    <w:family w:val="auto"/>
    <w:pitch w:val="default"/>
  </w:font>
  <w:font w:name="Aptos Display">
    <w:altName w:val="Arial"/>
    <w:panose1 w:val="020B0604020202020204"/>
    <w:charset w:val="00"/>
    <w:family w:val="swiss"/>
    <w:pitch w:val="variable"/>
    <w:sig w:usb0="20000287" w:usb1="00000003" w:usb2="00000000" w:usb3="00000000" w:csb0="0000019F" w:csb1="00000000"/>
  </w:font>
  <w:font w:name="Aptos">
    <w:altName w:val="Arial"/>
    <w:panose1 w:val="020B06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667B" w14:textId="77777777" w:rsidR="003D4D00" w:rsidRDefault="003D4D00">
    <w:pPr>
      <w:tabs>
        <w:tab w:val="center" w:pos="4550"/>
        <w:tab w:val="left" w:pos="5818"/>
      </w:tabs>
      <w:ind w:right="260"/>
      <w:jc w:val="right"/>
      <w:rPr>
        <w:color w:val="071320"/>
        <w:sz w:val="24"/>
        <w:szCs w:val="24"/>
      </w:rPr>
    </w:pPr>
  </w:p>
  <w:p w14:paraId="4C25831B" w14:textId="77777777" w:rsidR="003D4D00" w:rsidRDefault="003D4D0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11D3" w14:textId="77777777" w:rsidR="003D4D00" w:rsidRDefault="003D4D0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32D16">
      <w:rPr>
        <w:noProof/>
        <w:color w:val="0A1D30"/>
        <w:sz w:val="24"/>
        <w:szCs w:val="24"/>
      </w:rPr>
      <w:t>14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32D16">
      <w:rPr>
        <w:noProof/>
        <w:color w:val="0A1D30"/>
        <w:sz w:val="24"/>
        <w:szCs w:val="24"/>
      </w:rPr>
      <w:t>17</w:t>
    </w:r>
    <w:r>
      <w:rPr>
        <w:color w:val="0A1D30"/>
        <w:sz w:val="24"/>
        <w:szCs w:val="24"/>
      </w:rPr>
      <w:fldChar w:fldCharType="end"/>
    </w:r>
  </w:p>
  <w:p w14:paraId="0C71A32C" w14:textId="77777777" w:rsidR="003D4D00" w:rsidRDefault="003D4D0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A1EC" w14:textId="77777777" w:rsidR="00350EC5" w:rsidRDefault="00350EC5">
      <w:pPr>
        <w:spacing w:line="240" w:lineRule="auto"/>
      </w:pPr>
      <w:r>
        <w:separator/>
      </w:r>
    </w:p>
  </w:footnote>
  <w:footnote w:type="continuationSeparator" w:id="0">
    <w:p w14:paraId="53425961" w14:textId="77777777" w:rsidR="00350EC5" w:rsidRDefault="00350EC5">
      <w:pPr>
        <w:spacing w:line="240" w:lineRule="auto"/>
      </w:pPr>
      <w:r>
        <w:continuationSeparator/>
      </w:r>
    </w:p>
  </w:footnote>
  <w:footnote w:id="1">
    <w:p w14:paraId="3AEDED3E" w14:textId="77777777" w:rsidR="00FD0098" w:rsidRPr="00FD0098" w:rsidRDefault="00FD0098" w:rsidP="00FD0098">
      <w:pPr>
        <w:pStyle w:val="Textonotapie"/>
        <w:jc w:val="both"/>
        <w:rPr>
          <w:rFonts w:ascii="Palatino Linotype" w:hAnsi="Palatino Linotype"/>
        </w:rPr>
      </w:pPr>
      <w:r>
        <w:rPr>
          <w:rStyle w:val="Refdenotaalpie"/>
        </w:rPr>
        <w:footnoteRef/>
      </w:r>
      <w:r>
        <w:t xml:space="preserve"> </w:t>
      </w:r>
      <w:r w:rsidRPr="00FD0098">
        <w:rPr>
          <w:rFonts w:ascii="Palatino Linotype" w:hAnsi="Palatino Linotype"/>
          <w:b/>
          <w:bCs/>
        </w:rPr>
        <w:t>Cuerpo de tesis</w:t>
      </w:r>
      <w:r w:rsidRPr="00FD0098">
        <w:rPr>
          <w:rFonts w:ascii="Palatino Linotype" w:hAnsi="Palatino Linotype"/>
        </w:rPr>
        <w:t xml:space="preserve">: </w:t>
      </w:r>
      <w:r>
        <w:rPr>
          <w:rFonts w:ascii="Palatino Linotype" w:hAnsi="Palatino Linotype"/>
        </w:rPr>
        <w:t>“</w:t>
      </w:r>
      <w:r w:rsidRPr="00FD0098">
        <w:rPr>
          <w:rFonts w:ascii="Palatino Linotype" w:hAnsi="Palatino Linotype"/>
          <w:i/>
        </w:rPr>
        <w:t>No causa agravio la sentencia que no se ocupa de los razonamientos tendientes a demostrar la inconstitucionalidad de los actos reclamados de las autoridades responsables, que constituyen el problema de fondo, si se decreta el sobreseimiento del juicio</w:t>
      </w:r>
      <w:r w:rsidRPr="00FD0098">
        <w:rPr>
          <w:rFonts w:ascii="Palatino Linotype" w:hAnsi="Palatino Linotype"/>
        </w:rPr>
        <w:t>.</w:t>
      </w:r>
      <w:r>
        <w:rPr>
          <w:rFonts w:ascii="Palatino Linotype" w:hAnsi="Palatino Linotype"/>
        </w:rPr>
        <w:t>”</w:t>
      </w:r>
    </w:p>
    <w:p w14:paraId="54B340BC" w14:textId="77777777" w:rsidR="00FD0098" w:rsidRDefault="00FD0098" w:rsidP="00FD0098">
      <w:pPr>
        <w:pStyle w:val="Textonotapie"/>
        <w:jc w:val="both"/>
      </w:pPr>
      <w:r w:rsidRPr="00FD0098">
        <w:rPr>
          <w:rFonts w:ascii="Palatino Linotype" w:hAnsi="Palatino Linotype"/>
          <w:b/>
          <w:bCs/>
        </w:rPr>
        <w:t>Localización</w:t>
      </w:r>
      <w:r w:rsidRPr="00FD0098">
        <w:rPr>
          <w:rFonts w:ascii="Palatino Linotype" w:hAnsi="Palatino Linotype"/>
        </w:rPr>
        <w:t>: 213609.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65E8" w14:textId="77777777" w:rsidR="003D4D00" w:rsidRDefault="003D4D00">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D4D00" w14:paraId="08C1AB27" w14:textId="77777777">
      <w:trPr>
        <w:trHeight w:val="144"/>
        <w:jc w:val="right"/>
      </w:trPr>
      <w:tc>
        <w:tcPr>
          <w:tcW w:w="2727" w:type="dxa"/>
        </w:tcPr>
        <w:p w14:paraId="48334C6C" w14:textId="77777777" w:rsidR="003D4D00" w:rsidRDefault="003D4D00">
          <w:pPr>
            <w:tabs>
              <w:tab w:val="right" w:pos="8838"/>
            </w:tabs>
            <w:ind w:left="-74" w:right="-105"/>
            <w:rPr>
              <w:b/>
            </w:rPr>
          </w:pPr>
          <w:r>
            <w:rPr>
              <w:b/>
            </w:rPr>
            <w:t>Recurso de Revisión:</w:t>
          </w:r>
        </w:p>
      </w:tc>
      <w:tc>
        <w:tcPr>
          <w:tcW w:w="3402" w:type="dxa"/>
        </w:tcPr>
        <w:p w14:paraId="7307AE96" w14:textId="77777777" w:rsidR="003D4D00" w:rsidRPr="00E43858" w:rsidRDefault="003D4D00">
          <w:pPr>
            <w:tabs>
              <w:tab w:val="right" w:pos="8838"/>
            </w:tabs>
            <w:ind w:left="-74" w:right="-105"/>
          </w:pPr>
          <w:r>
            <w:t>04977</w:t>
          </w:r>
          <w:r w:rsidRPr="00E43858">
            <w:t xml:space="preserve">/INFOEM/IP/RR/2024 </w:t>
          </w:r>
        </w:p>
      </w:tc>
    </w:tr>
    <w:tr w:rsidR="003D4D00" w14:paraId="48EDF9F6" w14:textId="77777777">
      <w:trPr>
        <w:trHeight w:val="283"/>
        <w:jc w:val="right"/>
      </w:trPr>
      <w:tc>
        <w:tcPr>
          <w:tcW w:w="2727" w:type="dxa"/>
        </w:tcPr>
        <w:p w14:paraId="08CFB7FC" w14:textId="77777777" w:rsidR="003D4D00" w:rsidRDefault="003D4D00">
          <w:pPr>
            <w:tabs>
              <w:tab w:val="right" w:pos="8838"/>
            </w:tabs>
            <w:ind w:left="-74" w:right="-105"/>
            <w:rPr>
              <w:b/>
            </w:rPr>
          </w:pPr>
          <w:r>
            <w:rPr>
              <w:b/>
            </w:rPr>
            <w:t>Sujeto Obligado:</w:t>
          </w:r>
        </w:p>
      </w:tc>
      <w:tc>
        <w:tcPr>
          <w:tcW w:w="3402" w:type="dxa"/>
        </w:tcPr>
        <w:p w14:paraId="23D1F698" w14:textId="77777777" w:rsidR="003D4D00" w:rsidRDefault="003D4D00">
          <w:pPr>
            <w:tabs>
              <w:tab w:val="left" w:pos="2834"/>
              <w:tab w:val="right" w:pos="8838"/>
            </w:tabs>
            <w:ind w:left="-108" w:right="-105"/>
          </w:pPr>
          <w:r w:rsidRPr="002F1D45">
            <w:t>Comisión del Agua del Estado de México</w:t>
          </w:r>
        </w:p>
      </w:tc>
    </w:tr>
    <w:tr w:rsidR="003D4D00" w14:paraId="3F2EA12E" w14:textId="77777777">
      <w:trPr>
        <w:trHeight w:val="283"/>
        <w:jc w:val="right"/>
      </w:trPr>
      <w:tc>
        <w:tcPr>
          <w:tcW w:w="2727" w:type="dxa"/>
        </w:tcPr>
        <w:p w14:paraId="6C9B3CEA" w14:textId="77777777" w:rsidR="003D4D00" w:rsidRDefault="003D4D00">
          <w:pPr>
            <w:tabs>
              <w:tab w:val="right" w:pos="8838"/>
            </w:tabs>
            <w:ind w:left="-74" w:right="-105"/>
            <w:rPr>
              <w:b/>
            </w:rPr>
          </w:pPr>
          <w:r>
            <w:rPr>
              <w:b/>
            </w:rPr>
            <w:t>Comisionada Ponente:</w:t>
          </w:r>
        </w:p>
      </w:tc>
      <w:tc>
        <w:tcPr>
          <w:tcW w:w="3402" w:type="dxa"/>
        </w:tcPr>
        <w:p w14:paraId="1A7CC217" w14:textId="77777777" w:rsidR="003D4D00" w:rsidRDefault="003D4D00">
          <w:pPr>
            <w:tabs>
              <w:tab w:val="right" w:pos="8838"/>
            </w:tabs>
            <w:ind w:left="-108" w:right="-105"/>
          </w:pPr>
          <w:r>
            <w:t>Sharon Cristina Morales Martínez</w:t>
          </w:r>
        </w:p>
      </w:tc>
    </w:tr>
  </w:tbl>
  <w:p w14:paraId="7AEA3DB8" w14:textId="77777777" w:rsidR="003D4D00" w:rsidRDefault="003D4D00">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64C30ED" wp14:editId="73FDC7DD">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46C6" w14:textId="77777777" w:rsidR="003D4D00" w:rsidRDefault="003D4D0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D4D00" w14:paraId="3FC55A7E" w14:textId="77777777">
      <w:trPr>
        <w:trHeight w:val="1435"/>
      </w:trPr>
      <w:tc>
        <w:tcPr>
          <w:tcW w:w="283" w:type="dxa"/>
          <w:shd w:val="clear" w:color="auto" w:fill="auto"/>
        </w:tcPr>
        <w:p w14:paraId="1DDDD8A6" w14:textId="77777777" w:rsidR="003D4D00" w:rsidRDefault="003D4D00">
          <w:pPr>
            <w:tabs>
              <w:tab w:val="right" w:pos="4273"/>
            </w:tabs>
            <w:rPr>
              <w:rFonts w:ascii="Garamond" w:eastAsia="Garamond" w:hAnsi="Garamond" w:cs="Garamond"/>
            </w:rPr>
          </w:pPr>
        </w:p>
      </w:tc>
      <w:tc>
        <w:tcPr>
          <w:tcW w:w="6379" w:type="dxa"/>
          <w:shd w:val="clear" w:color="auto" w:fill="auto"/>
        </w:tcPr>
        <w:p w14:paraId="62CD0D0D" w14:textId="77777777" w:rsidR="003D4D00" w:rsidRDefault="003D4D00">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3D4D00" w14:paraId="572C71FE" w14:textId="77777777">
            <w:trPr>
              <w:trHeight w:val="144"/>
            </w:trPr>
            <w:tc>
              <w:tcPr>
                <w:tcW w:w="2790" w:type="dxa"/>
              </w:tcPr>
              <w:p w14:paraId="6F7AA721" w14:textId="77777777" w:rsidR="003D4D00" w:rsidRDefault="003D4D00">
                <w:pPr>
                  <w:tabs>
                    <w:tab w:val="right" w:pos="8838"/>
                  </w:tabs>
                  <w:ind w:left="-74" w:right="-105"/>
                  <w:rPr>
                    <w:b/>
                  </w:rPr>
                </w:pPr>
                <w:bookmarkStart w:id="0" w:name="_heading=h.147n2zr" w:colFirst="0" w:colLast="0"/>
                <w:bookmarkEnd w:id="0"/>
                <w:r>
                  <w:rPr>
                    <w:b/>
                  </w:rPr>
                  <w:t>Recurso de Revisión:</w:t>
                </w:r>
              </w:p>
            </w:tc>
            <w:tc>
              <w:tcPr>
                <w:tcW w:w="3345" w:type="dxa"/>
              </w:tcPr>
              <w:p w14:paraId="4F6A7D0C" w14:textId="77777777" w:rsidR="003D4D00" w:rsidRPr="00E43858" w:rsidRDefault="003D4D00" w:rsidP="00E43858">
                <w:pPr>
                  <w:tabs>
                    <w:tab w:val="right" w:pos="8838"/>
                  </w:tabs>
                  <w:ind w:left="-74" w:right="-105"/>
                </w:pPr>
                <w:r>
                  <w:t>04977</w:t>
                </w:r>
                <w:r w:rsidRPr="00E43858">
                  <w:t xml:space="preserve">/INFOEM/IP/RR/2024 </w:t>
                </w:r>
              </w:p>
            </w:tc>
            <w:tc>
              <w:tcPr>
                <w:tcW w:w="3405" w:type="dxa"/>
              </w:tcPr>
              <w:p w14:paraId="434C0A1A" w14:textId="77777777" w:rsidR="003D4D00" w:rsidRDefault="003D4D00">
                <w:pPr>
                  <w:tabs>
                    <w:tab w:val="right" w:pos="8838"/>
                  </w:tabs>
                  <w:ind w:left="-74" w:right="-105"/>
                </w:pPr>
              </w:p>
            </w:tc>
          </w:tr>
          <w:tr w:rsidR="003D4D00" w14:paraId="126FB596" w14:textId="77777777">
            <w:trPr>
              <w:trHeight w:val="144"/>
            </w:trPr>
            <w:tc>
              <w:tcPr>
                <w:tcW w:w="2790" w:type="dxa"/>
              </w:tcPr>
              <w:p w14:paraId="5F1E025A" w14:textId="77777777" w:rsidR="003D4D00" w:rsidRDefault="003D4D00">
                <w:pPr>
                  <w:tabs>
                    <w:tab w:val="right" w:pos="8838"/>
                  </w:tabs>
                  <w:ind w:left="-74" w:right="-105"/>
                  <w:rPr>
                    <w:b/>
                  </w:rPr>
                </w:pPr>
                <w:bookmarkStart w:id="1" w:name="_heading=h.3o7alnk" w:colFirst="0" w:colLast="0"/>
                <w:bookmarkEnd w:id="1"/>
                <w:r>
                  <w:rPr>
                    <w:b/>
                  </w:rPr>
                  <w:t>Recurrente:</w:t>
                </w:r>
              </w:p>
            </w:tc>
            <w:tc>
              <w:tcPr>
                <w:tcW w:w="3345" w:type="dxa"/>
              </w:tcPr>
              <w:p w14:paraId="1D4D11D0" w14:textId="289445B3" w:rsidR="003D4D00" w:rsidRDefault="0093656F" w:rsidP="00E73590">
                <w:pPr>
                  <w:tabs>
                    <w:tab w:val="left" w:pos="3122"/>
                    <w:tab w:val="right" w:pos="8838"/>
                  </w:tabs>
                  <w:ind w:left="-105" w:right="-105"/>
                </w:pPr>
                <w:r>
                  <w:t>XXXXXXX</w:t>
                </w:r>
              </w:p>
            </w:tc>
            <w:tc>
              <w:tcPr>
                <w:tcW w:w="3405" w:type="dxa"/>
              </w:tcPr>
              <w:p w14:paraId="30B1073E" w14:textId="77777777" w:rsidR="003D4D00" w:rsidRDefault="003D4D00">
                <w:pPr>
                  <w:tabs>
                    <w:tab w:val="left" w:pos="3122"/>
                    <w:tab w:val="right" w:pos="8838"/>
                  </w:tabs>
                  <w:ind w:left="-105" w:right="-105"/>
                </w:pPr>
              </w:p>
            </w:tc>
          </w:tr>
          <w:tr w:rsidR="003D4D00" w14:paraId="1556B841" w14:textId="77777777">
            <w:trPr>
              <w:trHeight w:val="283"/>
            </w:trPr>
            <w:tc>
              <w:tcPr>
                <w:tcW w:w="2790" w:type="dxa"/>
              </w:tcPr>
              <w:p w14:paraId="6295E9B9" w14:textId="77777777" w:rsidR="003D4D00" w:rsidRDefault="003D4D00">
                <w:pPr>
                  <w:tabs>
                    <w:tab w:val="right" w:pos="8838"/>
                  </w:tabs>
                  <w:ind w:left="-74" w:right="-105"/>
                  <w:rPr>
                    <w:b/>
                  </w:rPr>
                </w:pPr>
                <w:r>
                  <w:rPr>
                    <w:b/>
                  </w:rPr>
                  <w:t>Sujeto Obligado:</w:t>
                </w:r>
              </w:p>
            </w:tc>
            <w:tc>
              <w:tcPr>
                <w:tcW w:w="3345" w:type="dxa"/>
              </w:tcPr>
              <w:p w14:paraId="2C343AD2" w14:textId="77777777" w:rsidR="003D4D00" w:rsidRDefault="003D4D00">
                <w:pPr>
                  <w:tabs>
                    <w:tab w:val="left" w:pos="2834"/>
                    <w:tab w:val="right" w:pos="8838"/>
                  </w:tabs>
                  <w:ind w:left="-108" w:right="-105"/>
                </w:pPr>
                <w:r w:rsidRPr="002F1D45">
                  <w:t>Comisión del Agua del Estado de México</w:t>
                </w:r>
              </w:p>
            </w:tc>
            <w:tc>
              <w:tcPr>
                <w:tcW w:w="3405" w:type="dxa"/>
              </w:tcPr>
              <w:p w14:paraId="6AC1513E" w14:textId="77777777" w:rsidR="003D4D00" w:rsidRDefault="003D4D00">
                <w:pPr>
                  <w:tabs>
                    <w:tab w:val="left" w:pos="2834"/>
                    <w:tab w:val="right" w:pos="8838"/>
                  </w:tabs>
                  <w:ind w:left="-108" w:right="-105"/>
                </w:pPr>
              </w:p>
            </w:tc>
          </w:tr>
          <w:tr w:rsidR="003D4D00" w14:paraId="62B20721" w14:textId="77777777">
            <w:trPr>
              <w:trHeight w:val="283"/>
            </w:trPr>
            <w:tc>
              <w:tcPr>
                <w:tcW w:w="2790" w:type="dxa"/>
              </w:tcPr>
              <w:p w14:paraId="3AE74B56" w14:textId="77777777" w:rsidR="003D4D00" w:rsidRDefault="003D4D00">
                <w:pPr>
                  <w:tabs>
                    <w:tab w:val="right" w:pos="8838"/>
                  </w:tabs>
                  <w:ind w:left="-74" w:right="-105"/>
                  <w:rPr>
                    <w:b/>
                  </w:rPr>
                </w:pPr>
                <w:r>
                  <w:rPr>
                    <w:b/>
                  </w:rPr>
                  <w:t>Comisionada Ponente:</w:t>
                </w:r>
              </w:p>
            </w:tc>
            <w:tc>
              <w:tcPr>
                <w:tcW w:w="3345" w:type="dxa"/>
              </w:tcPr>
              <w:p w14:paraId="56420526" w14:textId="77777777" w:rsidR="003D4D00" w:rsidRDefault="003D4D00">
                <w:pPr>
                  <w:tabs>
                    <w:tab w:val="right" w:pos="8838"/>
                  </w:tabs>
                  <w:ind w:left="-108" w:right="-105"/>
                </w:pPr>
                <w:r>
                  <w:t>Sharon Cristina Morales Martínez</w:t>
                </w:r>
              </w:p>
            </w:tc>
            <w:tc>
              <w:tcPr>
                <w:tcW w:w="3405" w:type="dxa"/>
              </w:tcPr>
              <w:p w14:paraId="3DCC53A7" w14:textId="77777777" w:rsidR="003D4D00" w:rsidRDefault="003D4D00">
                <w:pPr>
                  <w:tabs>
                    <w:tab w:val="right" w:pos="8838"/>
                  </w:tabs>
                  <w:ind w:left="-108" w:right="-105"/>
                </w:pPr>
              </w:p>
            </w:tc>
          </w:tr>
        </w:tbl>
        <w:p w14:paraId="62C8788B" w14:textId="77777777" w:rsidR="003D4D00" w:rsidRDefault="003D4D00">
          <w:pPr>
            <w:tabs>
              <w:tab w:val="right" w:pos="8838"/>
            </w:tabs>
            <w:ind w:left="-28"/>
            <w:rPr>
              <w:rFonts w:ascii="Arial" w:eastAsia="Arial" w:hAnsi="Arial" w:cs="Arial"/>
              <w:b/>
            </w:rPr>
          </w:pPr>
        </w:p>
      </w:tc>
    </w:tr>
  </w:tbl>
  <w:p w14:paraId="112D6021" w14:textId="77777777" w:rsidR="003D4D00" w:rsidRDefault="00350EC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9E96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E41EB"/>
    <w:multiLevelType w:val="hybridMultilevel"/>
    <w:tmpl w:val="A0DC9D2C"/>
    <w:lvl w:ilvl="0" w:tplc="9A6EE17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1411A"/>
    <w:multiLevelType w:val="hybridMultilevel"/>
    <w:tmpl w:val="9A3673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1"/>
  </w:num>
  <w:num w:numId="5">
    <w:abstractNumId w:val="0"/>
  </w:num>
  <w:num w:numId="6">
    <w:abstractNumId w:val="10"/>
  </w:num>
  <w:num w:numId="7">
    <w:abstractNumId w:val="13"/>
  </w:num>
  <w:num w:numId="8">
    <w:abstractNumId w:val="12"/>
  </w:num>
  <w:num w:numId="9">
    <w:abstractNumId w:val="5"/>
  </w:num>
  <w:num w:numId="10">
    <w:abstractNumId w:val="7"/>
  </w:num>
  <w:num w:numId="11">
    <w:abstractNumId w:val="1"/>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D9"/>
    <w:rsid w:val="00050E16"/>
    <w:rsid w:val="0007548E"/>
    <w:rsid w:val="000E42CA"/>
    <w:rsid w:val="00141187"/>
    <w:rsid w:val="00180ACC"/>
    <w:rsid w:val="00193492"/>
    <w:rsid w:val="001D0238"/>
    <w:rsid w:val="001F3976"/>
    <w:rsid w:val="002A72FE"/>
    <w:rsid w:val="002B11D9"/>
    <w:rsid w:val="002F1D45"/>
    <w:rsid w:val="0033679A"/>
    <w:rsid w:val="00350EC5"/>
    <w:rsid w:val="003716E1"/>
    <w:rsid w:val="003767EA"/>
    <w:rsid w:val="00377BDF"/>
    <w:rsid w:val="003B4D6E"/>
    <w:rsid w:val="003B7186"/>
    <w:rsid w:val="003D4D00"/>
    <w:rsid w:val="0047718C"/>
    <w:rsid w:val="00483D29"/>
    <w:rsid w:val="004A011D"/>
    <w:rsid w:val="004D4360"/>
    <w:rsid w:val="004F59D6"/>
    <w:rsid w:val="005315C2"/>
    <w:rsid w:val="005969D5"/>
    <w:rsid w:val="005B2925"/>
    <w:rsid w:val="006027DF"/>
    <w:rsid w:val="00616413"/>
    <w:rsid w:val="00681817"/>
    <w:rsid w:val="007022ED"/>
    <w:rsid w:val="0072302E"/>
    <w:rsid w:val="00732D16"/>
    <w:rsid w:val="0077705D"/>
    <w:rsid w:val="0078667E"/>
    <w:rsid w:val="007E3CDB"/>
    <w:rsid w:val="00823777"/>
    <w:rsid w:val="00875119"/>
    <w:rsid w:val="008E3E0B"/>
    <w:rsid w:val="008F496E"/>
    <w:rsid w:val="00911794"/>
    <w:rsid w:val="0093656F"/>
    <w:rsid w:val="009459E1"/>
    <w:rsid w:val="00946782"/>
    <w:rsid w:val="00964083"/>
    <w:rsid w:val="009E48E6"/>
    <w:rsid w:val="00A11BCA"/>
    <w:rsid w:val="00AD2F65"/>
    <w:rsid w:val="00B1246E"/>
    <w:rsid w:val="00B55678"/>
    <w:rsid w:val="00B77F8C"/>
    <w:rsid w:val="00BD06D1"/>
    <w:rsid w:val="00C13367"/>
    <w:rsid w:val="00C81D27"/>
    <w:rsid w:val="00CC6C3B"/>
    <w:rsid w:val="00CD75D2"/>
    <w:rsid w:val="00D0620A"/>
    <w:rsid w:val="00E27DD5"/>
    <w:rsid w:val="00E43858"/>
    <w:rsid w:val="00E51E50"/>
    <w:rsid w:val="00E73590"/>
    <w:rsid w:val="00E94CA2"/>
    <w:rsid w:val="00EA6E59"/>
    <w:rsid w:val="00EB0438"/>
    <w:rsid w:val="00EC047D"/>
    <w:rsid w:val="00EC2524"/>
    <w:rsid w:val="00ED4973"/>
    <w:rsid w:val="00F47CE4"/>
    <w:rsid w:val="00F86BF3"/>
    <w:rsid w:val="00F94C2B"/>
    <w:rsid w:val="00FB5184"/>
    <w:rsid w:val="00FD009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AF2FB2"/>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8579C-AD3B-8643-BB6E-C40ECC47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4040</Words>
  <Characters>22225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Microsoft Office User</cp:lastModifiedBy>
  <cp:revision>7</cp:revision>
  <cp:lastPrinted>2024-09-23T20:02:00Z</cp:lastPrinted>
  <dcterms:created xsi:type="dcterms:W3CDTF">2024-09-17T23:05:00Z</dcterms:created>
  <dcterms:modified xsi:type="dcterms:W3CDTF">2024-10-24T05:39:00Z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