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0A687D" w14:textId="77777777" w:rsidR="00FA7631" w:rsidRPr="0020382E" w:rsidRDefault="00335356">
      <w:pPr>
        <w:spacing w:before="240" w:after="240" w:line="360" w:lineRule="auto"/>
        <w:jc w:val="both"/>
        <w:rPr>
          <w:rFonts w:ascii="Palatino Linotype" w:eastAsia="Palatino Linotype" w:hAnsi="Palatino Linotype" w:cs="Palatino Linotype"/>
        </w:rPr>
      </w:pPr>
      <w:bookmarkStart w:id="0" w:name="_heading=h.gjdgxs" w:colFirst="0" w:colLast="0"/>
      <w:bookmarkEnd w:id="0"/>
      <w:r w:rsidRPr="0020382E">
        <w:rPr>
          <w:rFonts w:ascii="Palatino Linotype" w:eastAsia="Palatino Linotype" w:hAnsi="Palatino Linotype" w:cs="Palatino Linotype"/>
        </w:rPr>
        <w:t>Resolución del Pleno del Instituto de Transparencia, Acceso a la Información Pública y Protección de Datos Personales del Estado de México y Municipios, con domicilio e</w:t>
      </w:r>
      <w:r w:rsidR="002B6D82" w:rsidRPr="0020382E">
        <w:rPr>
          <w:rFonts w:ascii="Palatino Linotype" w:eastAsia="Palatino Linotype" w:hAnsi="Palatino Linotype" w:cs="Palatino Linotype"/>
        </w:rPr>
        <w:t>n Metepec, Estado de México, a once de diciembre</w:t>
      </w:r>
      <w:r w:rsidRPr="0020382E">
        <w:rPr>
          <w:rFonts w:ascii="Palatino Linotype" w:eastAsia="Palatino Linotype" w:hAnsi="Palatino Linotype" w:cs="Palatino Linotype"/>
        </w:rPr>
        <w:t xml:space="preserve"> de dos mil veinticuatro. </w:t>
      </w:r>
    </w:p>
    <w:p w14:paraId="455755AE" w14:textId="0CD96358" w:rsidR="00FA7631" w:rsidRPr="0020382E" w:rsidRDefault="00335356">
      <w:pPr>
        <w:spacing w:before="240" w:after="240" w:line="360" w:lineRule="auto"/>
        <w:jc w:val="both"/>
        <w:rPr>
          <w:rFonts w:ascii="Palatino Linotype" w:eastAsia="Palatino Linotype" w:hAnsi="Palatino Linotype" w:cs="Palatino Linotype"/>
          <w:b/>
        </w:rPr>
      </w:pPr>
      <w:r w:rsidRPr="0020382E">
        <w:rPr>
          <w:rFonts w:ascii="Palatino Linotype" w:eastAsia="Palatino Linotype" w:hAnsi="Palatino Linotype" w:cs="Palatino Linotype"/>
          <w:b/>
        </w:rPr>
        <w:t xml:space="preserve">VISTO </w:t>
      </w:r>
      <w:r w:rsidRPr="0020382E">
        <w:rPr>
          <w:rFonts w:ascii="Palatino Linotype" w:eastAsia="Palatino Linotype" w:hAnsi="Palatino Linotype" w:cs="Palatino Linotype"/>
        </w:rPr>
        <w:t xml:space="preserve">el expediente relativo al recurso de revisión </w:t>
      </w:r>
      <w:r w:rsidR="00DC71FE" w:rsidRPr="0020382E">
        <w:rPr>
          <w:rFonts w:ascii="Palatino Linotype" w:eastAsia="Palatino Linotype" w:hAnsi="Palatino Linotype" w:cs="Palatino Linotype"/>
          <w:b/>
        </w:rPr>
        <w:t>0</w:t>
      </w:r>
      <w:r w:rsidR="00446A59" w:rsidRPr="0020382E">
        <w:rPr>
          <w:rFonts w:ascii="Palatino Linotype" w:eastAsia="Palatino Linotype" w:hAnsi="Palatino Linotype" w:cs="Palatino Linotype"/>
          <w:b/>
        </w:rPr>
        <w:t>7239</w:t>
      </w:r>
      <w:r w:rsidR="00DC71FE" w:rsidRPr="0020382E">
        <w:rPr>
          <w:rFonts w:ascii="Palatino Linotype" w:eastAsia="Palatino Linotype" w:hAnsi="Palatino Linotype" w:cs="Palatino Linotype"/>
          <w:b/>
        </w:rPr>
        <w:t>/INFOEM/IP/RR/2024</w:t>
      </w:r>
      <w:r w:rsidRPr="0020382E">
        <w:rPr>
          <w:rFonts w:ascii="Palatino Linotype" w:eastAsia="Palatino Linotype" w:hAnsi="Palatino Linotype" w:cs="Palatino Linotype"/>
        </w:rPr>
        <w:t>, interpuesto por</w:t>
      </w:r>
      <w:r w:rsidR="00446A59" w:rsidRPr="0020382E">
        <w:rPr>
          <w:rFonts w:ascii="Palatino Linotype" w:eastAsia="Palatino Linotype" w:hAnsi="Palatino Linotype" w:cs="Palatino Linotype"/>
          <w:b/>
        </w:rPr>
        <w:t xml:space="preserve"> </w:t>
      </w:r>
      <w:r w:rsidR="00151E54" w:rsidRPr="00151E54">
        <w:rPr>
          <w:rFonts w:ascii="Palatino Linotype" w:eastAsia="Palatino Linotype" w:hAnsi="Palatino Linotype" w:cs="Palatino Linotype"/>
          <w:b/>
        </w:rPr>
        <w:t>XXXXXXX XXX XXXXXXXXX</w:t>
      </w:r>
      <w:r w:rsidRPr="0020382E">
        <w:rPr>
          <w:rFonts w:ascii="Palatino Linotype" w:eastAsia="Palatino Linotype" w:hAnsi="Palatino Linotype" w:cs="Palatino Linotype"/>
          <w:b/>
        </w:rPr>
        <w:t xml:space="preserve">, </w:t>
      </w:r>
      <w:r w:rsidRPr="0020382E">
        <w:rPr>
          <w:rFonts w:ascii="Palatino Linotype" w:eastAsia="Palatino Linotype" w:hAnsi="Palatino Linotype" w:cs="Palatino Linotype"/>
        </w:rPr>
        <w:t xml:space="preserve">a quien en lo sucesivo se le denominará como </w:t>
      </w:r>
      <w:r w:rsidR="00446A59" w:rsidRPr="0020382E">
        <w:rPr>
          <w:rFonts w:ascii="Palatino Linotype" w:eastAsia="Palatino Linotype" w:hAnsi="Palatino Linotype" w:cs="Palatino Linotype"/>
        </w:rPr>
        <w:t>la parte</w:t>
      </w:r>
      <w:r w:rsidR="00446A59" w:rsidRPr="0020382E">
        <w:rPr>
          <w:rFonts w:ascii="Palatino Linotype" w:eastAsia="Palatino Linotype" w:hAnsi="Palatino Linotype" w:cs="Palatino Linotype"/>
          <w:b/>
        </w:rPr>
        <w:t xml:space="preserve"> Recurrente</w:t>
      </w:r>
      <w:r w:rsidRPr="0020382E">
        <w:rPr>
          <w:rFonts w:ascii="Palatino Linotype" w:eastAsia="Palatino Linotype" w:hAnsi="Palatino Linotype" w:cs="Palatino Linotype"/>
          <w:b/>
        </w:rPr>
        <w:t xml:space="preserve">, </w:t>
      </w:r>
      <w:r w:rsidRPr="0020382E">
        <w:rPr>
          <w:rFonts w:ascii="Palatino Linotype" w:eastAsia="Palatino Linotype" w:hAnsi="Palatino Linotype" w:cs="Palatino Linotype"/>
        </w:rPr>
        <w:t>en contra de la falta de respuesta a la solicitud de acceso a la información con número de folio</w:t>
      </w:r>
      <w:r w:rsidRPr="0020382E">
        <w:rPr>
          <w:rFonts w:ascii="Verdana" w:eastAsia="Verdana" w:hAnsi="Verdana" w:cs="Verdana"/>
          <w:b/>
        </w:rPr>
        <w:t xml:space="preserve"> </w:t>
      </w:r>
      <w:r w:rsidR="00446A59" w:rsidRPr="0020382E">
        <w:rPr>
          <w:rFonts w:ascii="Palatino Linotype" w:eastAsia="Palatino Linotype" w:hAnsi="Palatino Linotype" w:cs="Palatino Linotype"/>
          <w:b/>
        </w:rPr>
        <w:t>00136/OCOYOAC/IP/2024</w:t>
      </w:r>
      <w:r w:rsidRPr="0020382E">
        <w:rPr>
          <w:rFonts w:ascii="Palatino Linotype" w:eastAsia="Palatino Linotype" w:hAnsi="Palatino Linotype" w:cs="Palatino Linotype"/>
          <w:b/>
        </w:rPr>
        <w:t>,</w:t>
      </w:r>
      <w:r w:rsidRPr="0020382E">
        <w:rPr>
          <w:rFonts w:ascii="Palatino Linotype" w:eastAsia="Palatino Linotype" w:hAnsi="Palatino Linotype" w:cs="Palatino Linotype"/>
        </w:rPr>
        <w:t xml:space="preserve"> por parte del</w:t>
      </w:r>
      <w:r w:rsidRPr="0020382E">
        <w:rPr>
          <w:rFonts w:ascii="Palatino Linotype" w:eastAsia="Palatino Linotype" w:hAnsi="Palatino Linotype" w:cs="Palatino Linotype"/>
          <w:b/>
        </w:rPr>
        <w:t xml:space="preserve"> </w:t>
      </w:r>
      <w:r w:rsidR="00446A59" w:rsidRPr="0020382E">
        <w:rPr>
          <w:rFonts w:ascii="Palatino Linotype" w:eastAsia="Palatino Linotype" w:hAnsi="Palatino Linotype" w:cs="Palatino Linotype"/>
          <w:b/>
        </w:rPr>
        <w:t>Ayuntamiento de Ocoyoacac</w:t>
      </w:r>
      <w:r w:rsidRPr="0020382E">
        <w:rPr>
          <w:rFonts w:ascii="Palatino Linotype" w:eastAsia="Palatino Linotype" w:hAnsi="Palatino Linotype" w:cs="Palatino Linotype"/>
          <w:b/>
        </w:rPr>
        <w:t>,</w:t>
      </w:r>
      <w:r w:rsidRPr="0020382E">
        <w:rPr>
          <w:rFonts w:ascii="Palatino Linotype" w:eastAsia="Palatino Linotype" w:hAnsi="Palatino Linotype" w:cs="Palatino Linotype"/>
        </w:rPr>
        <w:t xml:space="preserve"> en lo sucesivo </w:t>
      </w:r>
      <w:r w:rsidR="00446A59" w:rsidRPr="0020382E">
        <w:rPr>
          <w:rFonts w:ascii="Palatino Linotype" w:eastAsia="Palatino Linotype" w:hAnsi="Palatino Linotype" w:cs="Palatino Linotype"/>
        </w:rPr>
        <w:t>el</w:t>
      </w:r>
      <w:r w:rsidR="00446A59" w:rsidRPr="0020382E">
        <w:rPr>
          <w:rFonts w:ascii="Palatino Linotype" w:eastAsia="Palatino Linotype" w:hAnsi="Palatino Linotype" w:cs="Palatino Linotype"/>
          <w:b/>
        </w:rPr>
        <w:t xml:space="preserve"> Sujeto Obligado</w:t>
      </w:r>
      <w:r w:rsidRPr="0020382E">
        <w:rPr>
          <w:rFonts w:ascii="Palatino Linotype" w:eastAsia="Palatino Linotype" w:hAnsi="Palatino Linotype" w:cs="Palatino Linotype"/>
          <w:b/>
        </w:rPr>
        <w:t xml:space="preserve">; </w:t>
      </w:r>
      <w:r w:rsidRPr="0020382E">
        <w:rPr>
          <w:rFonts w:ascii="Palatino Linotype" w:eastAsia="Palatino Linotype" w:hAnsi="Palatino Linotype" w:cs="Palatino Linotype"/>
        </w:rPr>
        <w:t>se procede a dictar la presente resolución, con base en los siguientes:</w:t>
      </w:r>
    </w:p>
    <w:p w14:paraId="427EDEFC" w14:textId="77777777" w:rsidR="00FA7631" w:rsidRPr="0020382E" w:rsidRDefault="00335356">
      <w:pPr>
        <w:pBdr>
          <w:top w:val="nil"/>
          <w:left w:val="nil"/>
          <w:bottom w:val="nil"/>
          <w:right w:val="nil"/>
          <w:between w:val="nil"/>
        </w:pBdr>
        <w:spacing w:before="240" w:after="240" w:line="360" w:lineRule="auto"/>
        <w:jc w:val="center"/>
        <w:rPr>
          <w:rFonts w:ascii="Palatino Linotype" w:eastAsia="Palatino Linotype" w:hAnsi="Palatino Linotype" w:cs="Palatino Linotype"/>
          <w:b/>
        </w:rPr>
      </w:pPr>
      <w:r w:rsidRPr="0020382E">
        <w:rPr>
          <w:rFonts w:ascii="Palatino Linotype" w:eastAsia="Palatino Linotype" w:hAnsi="Palatino Linotype" w:cs="Palatino Linotype"/>
          <w:b/>
        </w:rPr>
        <w:t>I. A N T E C E D E N T E S:</w:t>
      </w:r>
    </w:p>
    <w:p w14:paraId="183D3D2B" w14:textId="77777777" w:rsidR="00FA7631" w:rsidRPr="0020382E" w:rsidRDefault="00335356">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b/>
        </w:rPr>
        <w:t xml:space="preserve">1. Solicitud de acceso a la información. </w:t>
      </w:r>
      <w:r w:rsidRPr="0020382E">
        <w:rPr>
          <w:rFonts w:ascii="Palatino Linotype" w:eastAsia="Palatino Linotype" w:hAnsi="Palatino Linotype" w:cs="Palatino Linotype"/>
        </w:rPr>
        <w:t xml:space="preserve">El </w:t>
      </w:r>
      <w:r w:rsidR="00DC71FE" w:rsidRPr="0020382E">
        <w:rPr>
          <w:rFonts w:ascii="Palatino Linotype" w:eastAsia="Palatino Linotype" w:hAnsi="Palatino Linotype" w:cs="Palatino Linotype"/>
          <w:b/>
        </w:rPr>
        <w:t>v</w:t>
      </w:r>
      <w:r w:rsidR="00DF5DF9" w:rsidRPr="0020382E">
        <w:rPr>
          <w:rFonts w:ascii="Palatino Linotype" w:eastAsia="Palatino Linotype" w:hAnsi="Palatino Linotype" w:cs="Palatino Linotype"/>
          <w:b/>
        </w:rPr>
        <w:t xml:space="preserve">eintidós de octubre </w:t>
      </w:r>
      <w:r w:rsidRPr="0020382E">
        <w:rPr>
          <w:rFonts w:ascii="Palatino Linotype" w:eastAsia="Palatino Linotype" w:hAnsi="Palatino Linotype" w:cs="Palatino Linotype"/>
          <w:b/>
        </w:rPr>
        <w:t xml:space="preserve">de dos mil veinticuatro, </w:t>
      </w:r>
      <w:r w:rsidR="00DF5DF9" w:rsidRPr="0020382E">
        <w:rPr>
          <w:rFonts w:ascii="Palatino Linotype" w:eastAsia="Palatino Linotype" w:hAnsi="Palatino Linotype" w:cs="Palatino Linotype"/>
        </w:rPr>
        <w:t>la parte</w:t>
      </w:r>
      <w:r w:rsidR="00DF5DF9" w:rsidRPr="0020382E">
        <w:rPr>
          <w:rFonts w:ascii="Palatino Linotype" w:eastAsia="Palatino Linotype" w:hAnsi="Palatino Linotype" w:cs="Palatino Linotype"/>
          <w:b/>
        </w:rPr>
        <w:t xml:space="preserve"> Recurrente</w:t>
      </w:r>
      <w:r w:rsidR="00DF5DF9" w:rsidRPr="0020382E">
        <w:rPr>
          <w:rFonts w:ascii="Palatino Linotype" w:eastAsia="Palatino Linotype" w:hAnsi="Palatino Linotype" w:cs="Palatino Linotype"/>
        </w:rPr>
        <w:t xml:space="preserve"> </w:t>
      </w:r>
      <w:r w:rsidRPr="0020382E">
        <w:rPr>
          <w:rFonts w:ascii="Palatino Linotype" w:eastAsia="Palatino Linotype" w:hAnsi="Palatino Linotype" w:cs="Palatino Linotype"/>
        </w:rPr>
        <w:t xml:space="preserve">formuló la solicitud de acceso a información pública al </w:t>
      </w:r>
      <w:r w:rsidR="00DF5DF9" w:rsidRPr="0020382E">
        <w:rPr>
          <w:rFonts w:ascii="Palatino Linotype" w:eastAsia="Palatino Linotype" w:hAnsi="Palatino Linotype" w:cs="Palatino Linotype"/>
          <w:b/>
        </w:rPr>
        <w:t>Sujeto Obligado,</w:t>
      </w:r>
      <w:r w:rsidR="00DF5DF9" w:rsidRPr="0020382E">
        <w:rPr>
          <w:rFonts w:ascii="Palatino Linotype" w:eastAsia="Palatino Linotype" w:hAnsi="Palatino Linotype" w:cs="Palatino Linotype"/>
        </w:rPr>
        <w:t xml:space="preserve"> </w:t>
      </w:r>
      <w:r w:rsidR="00DC71FE" w:rsidRPr="0020382E">
        <w:rPr>
          <w:rFonts w:ascii="Palatino Linotype" w:eastAsia="Palatino Linotype" w:hAnsi="Palatino Linotype" w:cs="Palatino Linotype"/>
        </w:rPr>
        <w:t>a través de</w:t>
      </w:r>
      <w:r w:rsidRPr="0020382E">
        <w:rPr>
          <w:rFonts w:ascii="Palatino Linotype" w:eastAsia="Palatino Linotype" w:hAnsi="Palatino Linotype" w:cs="Palatino Linotype"/>
        </w:rPr>
        <w:t xml:space="preserve">l Sistema de Acceso a la Información Mexiquense, en lo subsecuente el </w:t>
      </w:r>
      <w:r w:rsidRPr="0020382E">
        <w:rPr>
          <w:rFonts w:ascii="Palatino Linotype" w:eastAsia="Palatino Linotype" w:hAnsi="Palatino Linotype" w:cs="Palatino Linotype"/>
          <w:b/>
        </w:rPr>
        <w:t>SAIMEX</w:t>
      </w:r>
      <w:r w:rsidRPr="0020382E">
        <w:rPr>
          <w:rFonts w:ascii="Palatino Linotype" w:eastAsia="Palatino Linotype" w:hAnsi="Palatino Linotype" w:cs="Palatino Linotype"/>
        </w:rPr>
        <w:t>, requiriendo lo siguiente:</w:t>
      </w:r>
    </w:p>
    <w:p w14:paraId="00606960" w14:textId="77777777" w:rsidR="00FA7631" w:rsidRPr="0020382E" w:rsidRDefault="00335356">
      <w:pPr>
        <w:pBdr>
          <w:top w:val="nil"/>
          <w:left w:val="nil"/>
          <w:bottom w:val="nil"/>
          <w:right w:val="nil"/>
          <w:between w:val="nil"/>
        </w:pBdr>
        <w:ind w:left="864" w:right="864"/>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i/>
          <w:sz w:val="22"/>
          <w:szCs w:val="22"/>
        </w:rPr>
        <w:t>“</w:t>
      </w:r>
      <w:r w:rsidR="00DF5DF9" w:rsidRPr="0020382E">
        <w:rPr>
          <w:rFonts w:ascii="Palatino Linotype" w:eastAsia="Palatino Linotype" w:hAnsi="Palatino Linotype" w:cs="Palatino Linotype"/>
          <w:i/>
          <w:sz w:val="22"/>
          <w:szCs w:val="22"/>
        </w:rPr>
        <w:t>Se me proporcione copia simple, en su correspondiente versión pública del acta de cabildo en la que fuese nombrado el actual titular de Seguridad Pública del Municipio, así como, el acta de cabildo por el que el antecesor fuese destituido. Documento en que se tendrá que incluir la información relativa a la evaluación a la que sujetaron al actual titular del área que avalara su nombramiento.</w:t>
      </w:r>
      <w:r w:rsidRPr="0020382E">
        <w:rPr>
          <w:rFonts w:ascii="Palatino Linotype" w:eastAsia="Palatino Linotype" w:hAnsi="Palatino Linotype" w:cs="Palatino Linotype"/>
          <w:i/>
          <w:sz w:val="22"/>
          <w:szCs w:val="22"/>
        </w:rPr>
        <w:t>” (Sic)</w:t>
      </w:r>
    </w:p>
    <w:p w14:paraId="0DB737AF" w14:textId="77777777" w:rsidR="00FA7631" w:rsidRPr="0020382E" w:rsidRDefault="00335356">
      <w:pPr>
        <w:spacing w:before="240" w:after="240" w:line="360" w:lineRule="auto"/>
        <w:jc w:val="both"/>
        <w:rPr>
          <w:rFonts w:ascii="Palatino Linotype" w:eastAsia="Palatino Linotype" w:hAnsi="Palatino Linotype" w:cs="Palatino Linotype"/>
        </w:rPr>
      </w:pPr>
      <w:bookmarkStart w:id="1" w:name="_heading=h.4d34og8" w:colFirst="0" w:colLast="0"/>
      <w:bookmarkEnd w:id="1"/>
      <w:r w:rsidRPr="0020382E">
        <w:rPr>
          <w:rFonts w:ascii="Palatino Linotype" w:eastAsia="Palatino Linotype" w:hAnsi="Palatino Linotype" w:cs="Palatino Linotype"/>
          <w:b/>
        </w:rPr>
        <w:t>Modalidad de Entrega:</w:t>
      </w:r>
      <w:r w:rsidRPr="0020382E">
        <w:rPr>
          <w:rFonts w:ascii="Palatino Linotype" w:eastAsia="Palatino Linotype" w:hAnsi="Palatino Linotype" w:cs="Palatino Linotype"/>
        </w:rPr>
        <w:t xml:space="preserve"> </w:t>
      </w:r>
      <w:r w:rsidR="00DC71FE" w:rsidRPr="0020382E">
        <w:rPr>
          <w:rFonts w:ascii="Palatino Linotype" w:eastAsia="Palatino Linotype" w:hAnsi="Palatino Linotype" w:cs="Palatino Linotype"/>
          <w:noProof/>
        </w:rPr>
        <w:t>a través de SAIMEX.</w:t>
      </w:r>
    </w:p>
    <w:p w14:paraId="48DFE3B5" w14:textId="77777777" w:rsidR="00DF5DF9" w:rsidRPr="0020382E" w:rsidRDefault="00335356">
      <w:pPr>
        <w:spacing w:before="240" w:after="240" w:line="360" w:lineRule="auto"/>
        <w:jc w:val="both"/>
        <w:rPr>
          <w:rFonts w:ascii="Palatino Linotype" w:eastAsia="Palatino Linotype" w:hAnsi="Palatino Linotype" w:cs="Palatino Linotype"/>
          <w:b/>
        </w:rPr>
      </w:pPr>
      <w:r w:rsidRPr="0020382E">
        <w:rPr>
          <w:rFonts w:ascii="Palatino Linotype" w:eastAsia="Palatino Linotype" w:hAnsi="Palatino Linotype" w:cs="Palatino Linotype"/>
          <w:b/>
        </w:rPr>
        <w:lastRenderedPageBreak/>
        <w:t xml:space="preserve">2. Respuesta. </w:t>
      </w:r>
      <w:r w:rsidRPr="0020382E">
        <w:rPr>
          <w:rFonts w:ascii="Palatino Linotype" w:eastAsia="Palatino Linotype" w:hAnsi="Palatino Linotype" w:cs="Palatino Linotype"/>
        </w:rPr>
        <w:t xml:space="preserve">De las constancias que obran en </w:t>
      </w:r>
      <w:r w:rsidRPr="0020382E">
        <w:rPr>
          <w:rFonts w:ascii="Palatino Linotype" w:eastAsia="Palatino Linotype" w:hAnsi="Palatino Linotype" w:cs="Palatino Linotype"/>
          <w:b/>
        </w:rPr>
        <w:t>SAIMEX</w:t>
      </w:r>
      <w:r w:rsidRPr="0020382E">
        <w:rPr>
          <w:rFonts w:ascii="Palatino Linotype" w:eastAsia="Palatino Linotype" w:hAnsi="Palatino Linotype" w:cs="Palatino Linotype"/>
        </w:rPr>
        <w:t>, se observa que</w:t>
      </w:r>
      <w:r w:rsidR="00DF5DF9" w:rsidRPr="0020382E">
        <w:rPr>
          <w:rFonts w:ascii="Palatino Linotype" w:eastAsia="Palatino Linotype" w:hAnsi="Palatino Linotype" w:cs="Palatino Linotype"/>
        </w:rPr>
        <w:t xml:space="preserve"> el</w:t>
      </w:r>
      <w:r w:rsidRPr="0020382E">
        <w:rPr>
          <w:rFonts w:ascii="Palatino Linotype" w:eastAsia="Palatino Linotype" w:hAnsi="Palatino Linotype" w:cs="Palatino Linotype"/>
        </w:rPr>
        <w:t xml:space="preserve"> </w:t>
      </w:r>
      <w:r w:rsidR="00DF5DF9" w:rsidRPr="0020382E">
        <w:rPr>
          <w:rFonts w:ascii="Palatino Linotype" w:eastAsia="Palatino Linotype" w:hAnsi="Palatino Linotype" w:cs="Palatino Linotype"/>
          <w:b/>
        </w:rPr>
        <w:t>Sujeto Obligado</w:t>
      </w:r>
      <w:r w:rsidRPr="0020382E">
        <w:rPr>
          <w:rFonts w:ascii="Palatino Linotype" w:eastAsia="Palatino Linotype" w:hAnsi="Palatino Linotype" w:cs="Palatino Linotype"/>
          <w:b/>
        </w:rPr>
        <w:t xml:space="preserve"> </w:t>
      </w:r>
      <w:r w:rsidRPr="0020382E">
        <w:rPr>
          <w:rFonts w:ascii="Palatino Linotype" w:eastAsia="Palatino Linotype" w:hAnsi="Palatino Linotype" w:cs="Palatino Linotype"/>
        </w:rPr>
        <w:t xml:space="preserve">no emitió respuesta a la solicitud de información formulada por </w:t>
      </w:r>
      <w:r w:rsidR="00DF5DF9" w:rsidRPr="0020382E">
        <w:rPr>
          <w:rFonts w:ascii="Palatino Linotype" w:eastAsia="Palatino Linotype" w:hAnsi="Palatino Linotype" w:cs="Palatino Linotype"/>
        </w:rPr>
        <w:t>la persona solicitante.</w:t>
      </w:r>
    </w:p>
    <w:p w14:paraId="502F6243" w14:textId="77777777" w:rsidR="00FA7631" w:rsidRPr="0020382E" w:rsidRDefault="00335356">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b/>
        </w:rPr>
        <w:t xml:space="preserve">3. Interposición del recurso de revisión. </w:t>
      </w:r>
      <w:r w:rsidRPr="0020382E">
        <w:rPr>
          <w:rFonts w:ascii="Palatino Linotype" w:eastAsia="Palatino Linotype" w:hAnsi="Palatino Linotype" w:cs="Palatino Linotype"/>
        </w:rPr>
        <w:t xml:space="preserve">Inconforme la </w:t>
      </w:r>
      <w:r w:rsidR="00DF5DF9" w:rsidRPr="0020382E">
        <w:rPr>
          <w:rFonts w:ascii="Palatino Linotype" w:eastAsia="Palatino Linotype" w:hAnsi="Palatino Linotype" w:cs="Palatino Linotype"/>
        </w:rPr>
        <w:t>persona</w:t>
      </w:r>
      <w:r w:rsidRPr="0020382E">
        <w:rPr>
          <w:rFonts w:ascii="Palatino Linotype" w:eastAsia="Palatino Linotype" w:hAnsi="Palatino Linotype" w:cs="Palatino Linotype"/>
        </w:rPr>
        <w:t xml:space="preserve"> solicitante con la falta de respuesta del </w:t>
      </w:r>
      <w:r w:rsidR="00DF5DF9" w:rsidRPr="0020382E">
        <w:rPr>
          <w:rFonts w:ascii="Palatino Linotype" w:eastAsia="Palatino Linotype" w:hAnsi="Palatino Linotype" w:cs="Palatino Linotype"/>
          <w:b/>
        </w:rPr>
        <w:t>Sujeto Obligado</w:t>
      </w:r>
      <w:r w:rsidRPr="0020382E">
        <w:rPr>
          <w:rFonts w:ascii="Palatino Linotype" w:eastAsia="Palatino Linotype" w:hAnsi="Palatino Linotype" w:cs="Palatino Linotype"/>
        </w:rPr>
        <w:t xml:space="preserve">, interpuso recurso de revisión a través del </w:t>
      </w:r>
      <w:r w:rsidRPr="0020382E">
        <w:rPr>
          <w:rFonts w:ascii="Palatino Linotype" w:eastAsia="Palatino Linotype" w:hAnsi="Palatino Linotype" w:cs="Palatino Linotype"/>
          <w:b/>
        </w:rPr>
        <w:t>SAIMEX</w:t>
      </w:r>
      <w:r w:rsidRPr="0020382E">
        <w:rPr>
          <w:rFonts w:ascii="Palatino Linotype" w:eastAsia="Palatino Linotype" w:hAnsi="Palatino Linotype" w:cs="Palatino Linotype"/>
        </w:rPr>
        <w:t xml:space="preserve">, el </w:t>
      </w:r>
      <w:r w:rsidR="00DF5DF9" w:rsidRPr="0020382E">
        <w:rPr>
          <w:rFonts w:ascii="Palatino Linotype" w:eastAsia="Palatino Linotype" w:hAnsi="Palatino Linotype" w:cs="Palatino Linotype"/>
          <w:b/>
        </w:rPr>
        <w:t xml:space="preserve">diecinueve de noviembre </w:t>
      </w:r>
      <w:r w:rsidRPr="0020382E">
        <w:rPr>
          <w:rFonts w:ascii="Palatino Linotype" w:eastAsia="Palatino Linotype" w:hAnsi="Palatino Linotype" w:cs="Palatino Linotype"/>
          <w:b/>
        </w:rPr>
        <w:t>dos mil veinticuatro,</w:t>
      </w:r>
      <w:r w:rsidRPr="0020382E">
        <w:rPr>
          <w:rFonts w:ascii="Palatino Linotype" w:eastAsia="Palatino Linotype" w:hAnsi="Palatino Linotype" w:cs="Palatino Linotype"/>
        </w:rPr>
        <w:t xml:space="preserve"> expresando lo siguiente:</w:t>
      </w:r>
    </w:p>
    <w:p w14:paraId="44D989A5" w14:textId="77777777" w:rsidR="00FA7631" w:rsidRPr="0020382E" w:rsidRDefault="00335356">
      <w:pPr>
        <w:tabs>
          <w:tab w:val="left" w:pos="2745"/>
        </w:tabs>
        <w:spacing w:before="240" w:after="240" w:line="360" w:lineRule="auto"/>
        <w:jc w:val="both"/>
        <w:rPr>
          <w:rFonts w:ascii="Palatino Linotype" w:eastAsia="Palatino Linotype" w:hAnsi="Palatino Linotype" w:cs="Palatino Linotype"/>
          <w:b/>
        </w:rPr>
      </w:pPr>
      <w:r w:rsidRPr="0020382E">
        <w:rPr>
          <w:rFonts w:ascii="Palatino Linotype" w:eastAsia="Palatino Linotype" w:hAnsi="Palatino Linotype" w:cs="Palatino Linotype"/>
          <w:b/>
        </w:rPr>
        <w:t xml:space="preserve">Acto impugnado: </w:t>
      </w:r>
    </w:p>
    <w:p w14:paraId="68824898" w14:textId="77777777" w:rsidR="00FA7631" w:rsidRPr="0020382E" w:rsidRDefault="00335356">
      <w:pPr>
        <w:tabs>
          <w:tab w:val="left" w:pos="2745"/>
        </w:tabs>
        <w:spacing w:before="240" w:after="240"/>
        <w:ind w:left="851" w:right="900"/>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i/>
          <w:sz w:val="22"/>
          <w:szCs w:val="22"/>
        </w:rPr>
        <w:t>“</w:t>
      </w:r>
      <w:r w:rsidR="00DF5DF9" w:rsidRPr="0020382E">
        <w:rPr>
          <w:rFonts w:ascii="Palatino Linotype" w:eastAsia="Palatino Linotype" w:hAnsi="Palatino Linotype" w:cs="Palatino Linotype"/>
          <w:i/>
          <w:sz w:val="22"/>
          <w:szCs w:val="22"/>
        </w:rPr>
        <w:t>La omisión de respuesta a la solicitud de información 00136/OCOYOAC/IP/2024</w:t>
      </w:r>
      <w:r w:rsidRPr="0020382E">
        <w:rPr>
          <w:rFonts w:ascii="Palatino Linotype" w:eastAsia="Palatino Linotype" w:hAnsi="Palatino Linotype" w:cs="Palatino Linotype"/>
          <w:i/>
          <w:sz w:val="22"/>
          <w:szCs w:val="22"/>
        </w:rPr>
        <w:t>” (sic)</w:t>
      </w:r>
    </w:p>
    <w:p w14:paraId="6927DE43" w14:textId="77777777" w:rsidR="00FA7631" w:rsidRPr="0020382E" w:rsidRDefault="00335356">
      <w:pPr>
        <w:spacing w:line="360" w:lineRule="auto"/>
        <w:jc w:val="both"/>
        <w:rPr>
          <w:rFonts w:ascii="Palatino Linotype" w:eastAsia="Palatino Linotype" w:hAnsi="Palatino Linotype" w:cs="Palatino Linotype"/>
        </w:rPr>
      </w:pPr>
      <w:bookmarkStart w:id="2" w:name="_heading=h.30j0zll" w:colFirst="0" w:colLast="0"/>
      <w:bookmarkEnd w:id="2"/>
      <w:r w:rsidRPr="0020382E">
        <w:rPr>
          <w:rFonts w:ascii="Palatino Linotype" w:eastAsia="Palatino Linotype" w:hAnsi="Palatino Linotype" w:cs="Palatino Linotype"/>
          <w:b/>
        </w:rPr>
        <w:t>Y, Razones o motivos de inconformidad</w:t>
      </w:r>
      <w:r w:rsidRPr="0020382E">
        <w:rPr>
          <w:rFonts w:ascii="Palatino Linotype" w:eastAsia="Palatino Linotype" w:hAnsi="Palatino Linotype" w:cs="Palatino Linotype"/>
        </w:rPr>
        <w:t>:</w:t>
      </w:r>
    </w:p>
    <w:p w14:paraId="39869186" w14:textId="77777777" w:rsidR="00DC71FE" w:rsidRPr="0020382E" w:rsidRDefault="00DC71FE" w:rsidP="00DF5DF9">
      <w:pPr>
        <w:spacing w:before="120" w:after="120"/>
        <w:ind w:left="851" w:right="51"/>
        <w:jc w:val="both"/>
        <w:rPr>
          <w:rFonts w:ascii="Palatino Linotype" w:eastAsia="Palatino Linotype" w:hAnsi="Palatino Linotype" w:cs="Palatino Linotype"/>
        </w:rPr>
      </w:pPr>
      <w:r w:rsidRPr="0020382E">
        <w:rPr>
          <w:rFonts w:ascii="Palatino Linotype" w:eastAsia="Palatino Linotype" w:hAnsi="Palatino Linotype" w:cs="Palatino Linotype"/>
        </w:rPr>
        <w:t>“</w:t>
      </w:r>
      <w:r w:rsidR="00DF5DF9" w:rsidRPr="0020382E">
        <w:rPr>
          <w:rFonts w:ascii="Palatino Linotype" w:eastAsia="Palatino Linotype" w:hAnsi="Palatino Linotype" w:cs="Palatino Linotype"/>
          <w:i/>
          <w:sz w:val="22"/>
          <w:szCs w:val="22"/>
        </w:rPr>
        <w:t>El sujeto obligado no se pronunció ni para prorrogar el plazo legal para dar respuesta, por lo que, su omisión constituye una violación a mi derecho constitucional de acceso a la información</w:t>
      </w:r>
      <w:r w:rsidR="00DF5DF9" w:rsidRPr="0020382E">
        <w:rPr>
          <w:rFonts w:ascii="Palatino Linotype" w:eastAsia="Palatino Linotype" w:hAnsi="Palatino Linotype" w:cs="Palatino Linotype"/>
        </w:rPr>
        <w:t>.</w:t>
      </w:r>
      <w:r w:rsidRPr="0020382E">
        <w:rPr>
          <w:rFonts w:ascii="Palatino Linotype" w:eastAsia="Palatino Linotype" w:hAnsi="Palatino Linotype" w:cs="Palatino Linotype"/>
        </w:rPr>
        <w:t>” (sic)</w:t>
      </w:r>
    </w:p>
    <w:p w14:paraId="7A898BB5" w14:textId="77777777" w:rsidR="00FA7631" w:rsidRPr="0020382E" w:rsidRDefault="00335356">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b/>
        </w:rPr>
        <w:t xml:space="preserve">4. Turno. </w:t>
      </w:r>
      <w:r w:rsidRPr="0020382E">
        <w:rPr>
          <w:rFonts w:ascii="Palatino Linotype" w:eastAsia="Palatino Linotype" w:hAnsi="Palatino Linotype" w:cs="Palatino Linotype"/>
        </w:rPr>
        <w:t>De conformidad con el artículo 185 Fracción I de la Ley Transparencia y Acceso a la Información Pública, el recurso de revisión fue turnado a la Comisionada Ponente</w:t>
      </w:r>
      <w:r w:rsidRPr="0020382E">
        <w:rPr>
          <w:rFonts w:ascii="Palatino Linotype" w:eastAsia="Palatino Linotype" w:hAnsi="Palatino Linotype" w:cs="Palatino Linotype"/>
          <w:b/>
        </w:rPr>
        <w:t xml:space="preserve"> Guadalupe Ramírez Peña,</w:t>
      </w:r>
      <w:r w:rsidRPr="0020382E">
        <w:rPr>
          <w:rFonts w:ascii="Palatino Linotype" w:eastAsia="Palatino Linotype" w:hAnsi="Palatino Linotype" w:cs="Palatino Linotype"/>
        </w:rPr>
        <w:t xml:space="preserve"> a efecto de presentar al Pleno el proyecto de resolución correspondiente.</w:t>
      </w:r>
    </w:p>
    <w:p w14:paraId="09C18A48" w14:textId="77777777" w:rsidR="00FA7631" w:rsidRPr="0020382E" w:rsidRDefault="00335356">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b/>
        </w:rPr>
        <w:t xml:space="preserve">5. Admisión. </w:t>
      </w:r>
      <w:r w:rsidRPr="0020382E">
        <w:rPr>
          <w:rFonts w:ascii="Palatino Linotype" w:eastAsia="Palatino Linotype" w:hAnsi="Palatino Linotype" w:cs="Palatino Linotype"/>
        </w:rPr>
        <w:t xml:space="preserve">El día </w:t>
      </w:r>
      <w:r w:rsidR="005D3FCD" w:rsidRPr="0020382E">
        <w:rPr>
          <w:rFonts w:ascii="Palatino Linotype" w:eastAsia="Palatino Linotype" w:hAnsi="Palatino Linotype" w:cs="Palatino Linotype"/>
          <w:b/>
        </w:rPr>
        <w:t xml:space="preserve">veintidós de noviembre </w:t>
      </w:r>
      <w:r w:rsidRPr="0020382E">
        <w:rPr>
          <w:rFonts w:ascii="Palatino Linotype" w:eastAsia="Palatino Linotype" w:hAnsi="Palatino Linotype" w:cs="Palatino Linotype"/>
          <w:b/>
        </w:rPr>
        <w:t>de dos mil veinticuatro,</w:t>
      </w:r>
      <w:r w:rsidRPr="0020382E">
        <w:rPr>
          <w:rFonts w:ascii="Palatino Linotype" w:eastAsia="Palatino Linotype" w:hAnsi="Palatino Linotype" w:cs="Palatino Linotype"/>
        </w:rPr>
        <w:t xml:space="preserve"> en términos de lo dispuesto en el artículo 185 fracciones I, II y IV de la Ley de Transparencia y Acceso a la Información Pública del Estado de México y Municipios, se admitió a trámite el recurso de revisión al rubro indicado.</w:t>
      </w:r>
    </w:p>
    <w:p w14:paraId="60E29271" w14:textId="77777777" w:rsidR="00FA7631" w:rsidRPr="0020382E" w:rsidRDefault="00335356">
      <w:pPr>
        <w:spacing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b/>
        </w:rPr>
        <w:lastRenderedPageBreak/>
        <w:t xml:space="preserve">6. Manifestaciones. </w:t>
      </w:r>
      <w:r w:rsidRPr="0020382E">
        <w:rPr>
          <w:rFonts w:ascii="Palatino Linotype" w:eastAsia="Palatino Linotype" w:hAnsi="Palatino Linotype" w:cs="Palatino Linotype"/>
        </w:rPr>
        <w:t xml:space="preserve">De las constancias que obran en el expediente electrónico del SAIMEX se desprende que </w:t>
      </w:r>
      <w:r w:rsidR="005D3FCD" w:rsidRPr="0020382E">
        <w:rPr>
          <w:rFonts w:ascii="Palatino Linotype" w:eastAsia="Palatino Linotype" w:hAnsi="Palatino Linotype" w:cs="Palatino Linotype"/>
        </w:rPr>
        <w:t xml:space="preserve">el </w:t>
      </w:r>
      <w:r w:rsidR="005D3FCD" w:rsidRPr="0020382E">
        <w:rPr>
          <w:rFonts w:ascii="Palatino Linotype" w:eastAsia="Palatino Linotype" w:hAnsi="Palatino Linotype" w:cs="Palatino Linotype"/>
          <w:b/>
        </w:rPr>
        <w:t>Sujeto Obligado</w:t>
      </w:r>
      <w:r w:rsidR="005D3FCD" w:rsidRPr="0020382E">
        <w:rPr>
          <w:rFonts w:ascii="Palatino Linotype" w:eastAsia="Palatino Linotype" w:hAnsi="Palatino Linotype" w:cs="Palatino Linotype"/>
        </w:rPr>
        <w:t xml:space="preserve"> </w:t>
      </w:r>
      <w:r w:rsidRPr="0020382E">
        <w:rPr>
          <w:rFonts w:ascii="Palatino Linotype" w:eastAsia="Palatino Linotype" w:hAnsi="Palatino Linotype" w:cs="Palatino Linotype"/>
        </w:rPr>
        <w:t xml:space="preserve">no rindió su Informe Justificado, del mismo modo </w:t>
      </w:r>
      <w:r w:rsidR="005D3FCD" w:rsidRPr="0020382E">
        <w:rPr>
          <w:rFonts w:ascii="Palatino Linotype" w:eastAsia="Palatino Linotype" w:hAnsi="Palatino Linotype" w:cs="Palatino Linotype"/>
        </w:rPr>
        <w:t>la parte</w:t>
      </w:r>
      <w:r w:rsidR="005D3FCD" w:rsidRPr="0020382E">
        <w:rPr>
          <w:rFonts w:ascii="Palatino Linotype" w:eastAsia="Palatino Linotype" w:hAnsi="Palatino Linotype" w:cs="Palatino Linotype"/>
          <w:b/>
        </w:rPr>
        <w:t xml:space="preserve"> Recurrente</w:t>
      </w:r>
      <w:r w:rsidR="005D3FCD" w:rsidRPr="0020382E">
        <w:rPr>
          <w:rFonts w:ascii="Palatino Linotype" w:eastAsia="Palatino Linotype" w:hAnsi="Palatino Linotype" w:cs="Palatino Linotype"/>
        </w:rPr>
        <w:t xml:space="preserve"> </w:t>
      </w:r>
      <w:r w:rsidRPr="0020382E">
        <w:rPr>
          <w:rFonts w:ascii="Palatino Linotype" w:eastAsia="Palatino Linotype" w:hAnsi="Palatino Linotype" w:cs="Palatino Linotype"/>
        </w:rPr>
        <w:t>omitió realizar manifestaciones, como se observa a continuación:</w:t>
      </w:r>
    </w:p>
    <w:p w14:paraId="6F18F248" w14:textId="77777777" w:rsidR="005D3FCD" w:rsidRPr="0020382E" w:rsidRDefault="005D3FCD">
      <w:pPr>
        <w:spacing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noProof/>
        </w:rPr>
        <w:drawing>
          <wp:inline distT="0" distB="0" distL="0" distR="0" wp14:anchorId="15F6AAEB" wp14:editId="3307C919">
            <wp:extent cx="5612130" cy="1655445"/>
            <wp:effectExtent l="0" t="0" r="7620" b="190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612130" cy="1655445"/>
                    </a:xfrm>
                    <a:prstGeom prst="rect">
                      <a:avLst/>
                    </a:prstGeom>
                  </pic:spPr>
                </pic:pic>
              </a:graphicData>
            </a:graphic>
          </wp:inline>
        </w:drawing>
      </w:r>
    </w:p>
    <w:p w14:paraId="2B13B050" w14:textId="77777777" w:rsidR="00FA7631" w:rsidRPr="0020382E" w:rsidRDefault="00335356" w:rsidP="005D3FCD">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b/>
        </w:rPr>
        <w:t xml:space="preserve">7. Cierre de Instrucción. </w:t>
      </w:r>
      <w:r w:rsidR="005D3FCD" w:rsidRPr="0020382E">
        <w:rPr>
          <w:rFonts w:ascii="Palatino Linotype" w:eastAsia="Palatino Linotype" w:hAnsi="Palatino Linotype" w:cs="Palatino Linotype"/>
        </w:rPr>
        <w:t xml:space="preserve">El </w:t>
      </w:r>
      <w:r w:rsidR="005D3FCD" w:rsidRPr="0020382E">
        <w:rPr>
          <w:rFonts w:ascii="Palatino Linotype" w:eastAsia="Palatino Linotype" w:hAnsi="Palatino Linotype" w:cs="Palatino Linotype"/>
          <w:b/>
        </w:rPr>
        <w:t xml:space="preserve">cuatro de diciembre </w:t>
      </w:r>
      <w:r w:rsidRPr="0020382E">
        <w:rPr>
          <w:rFonts w:ascii="Palatino Linotype" w:eastAsia="Palatino Linotype" w:hAnsi="Palatino Linotype" w:cs="Palatino Linotype"/>
          <w:b/>
        </w:rPr>
        <w:t>de dos mil veinticuatro,</w:t>
      </w:r>
      <w:r w:rsidRPr="0020382E">
        <w:rPr>
          <w:rFonts w:ascii="Palatino Linotype" w:eastAsia="Palatino Linotype" w:hAnsi="Palatino Linotype" w:cs="Palatino Linotype"/>
        </w:rPr>
        <w:t xml:space="preserve"> con fundamento en lo establecido en el artículo 185, fracción VI de la Ley de Transparencia y Acceso a la Información Pública del Estado de México y Municipios, al no existir trámite pendiente por realizar y haber sido sustanciado el medio de impugnación, se acordó el cierre de instrucción y se procedió a formular la resolución que en derecho corresponda, y</w:t>
      </w:r>
    </w:p>
    <w:p w14:paraId="2D5FC627" w14:textId="77777777" w:rsidR="00FA7631" w:rsidRPr="0020382E" w:rsidRDefault="00335356" w:rsidP="005D3FCD">
      <w:pPr>
        <w:widowControl w:val="0"/>
        <w:spacing w:before="240" w:after="240" w:line="360" w:lineRule="auto"/>
        <w:jc w:val="center"/>
        <w:rPr>
          <w:rFonts w:ascii="Palatino Linotype" w:eastAsia="Palatino Linotype" w:hAnsi="Palatino Linotype" w:cs="Palatino Linotype"/>
          <w:b/>
        </w:rPr>
      </w:pPr>
      <w:r w:rsidRPr="0020382E">
        <w:rPr>
          <w:rFonts w:ascii="Palatino Linotype" w:eastAsia="Palatino Linotype" w:hAnsi="Palatino Linotype" w:cs="Palatino Linotype"/>
          <w:b/>
        </w:rPr>
        <w:t>II. C O N S I D E R A N D O:</w:t>
      </w:r>
    </w:p>
    <w:p w14:paraId="4E419EE2" w14:textId="77777777" w:rsidR="00FA7631" w:rsidRPr="0020382E" w:rsidRDefault="005D3FCD">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b/>
        </w:rPr>
        <w:t>Primero. Competencia</w:t>
      </w:r>
      <w:r w:rsidR="00335356" w:rsidRPr="0020382E">
        <w:rPr>
          <w:rFonts w:ascii="Palatino Linotype" w:eastAsia="Palatino Linotype" w:hAnsi="Palatino Linotype" w:cs="Palatino Linotype"/>
          <w:b/>
        </w:rPr>
        <w:t>.</w:t>
      </w:r>
      <w:r w:rsidR="00335356" w:rsidRPr="0020382E">
        <w:rPr>
          <w:rFonts w:ascii="Palatino Linotype" w:eastAsia="Palatino Linotype" w:hAnsi="Palatino Linotype" w:cs="Palatino Linotype"/>
        </w:rPr>
        <w:t xml:space="preserve"> El Instituto de Transparencia, Acceso a la Información Pública y Protección de Datos Personales del Estado de México y Municipios, es competente para conocer y resolver el presente recurso de revisión interpuesto por la parte recurrente, conforme a lo dispuesto en los artículos 6, apartado A de la Constitución Política de los Estados Unidos Mexicanos; 5 párrafos trigésimo tercero, trigésimo cuarto y trigésimo quinto, fracciones IV y V de la Constitución Política del </w:t>
      </w:r>
      <w:r w:rsidR="00335356" w:rsidRPr="0020382E">
        <w:rPr>
          <w:rFonts w:ascii="Palatino Linotype" w:eastAsia="Palatino Linotype" w:hAnsi="Palatino Linotype" w:cs="Palatino Linotype"/>
        </w:rPr>
        <w:lastRenderedPageBreak/>
        <w:t>Estado Libre y Soberano de México; 2, fracción II; 29, 36 fracciones I y II; 176, 178, 181, 185, fracción I, 186 y 188 de la Ley Transparencia y Acceso a la Información Pública del Estado de México y Municipios; 9, fracciones I y XXIII y 11 del Reglamento Interior del Instituto de Transparencia, Acceso a la Información Pública y Protección de Datos Personales del Estado de México y Municipios.</w:t>
      </w:r>
    </w:p>
    <w:p w14:paraId="46792057" w14:textId="77777777" w:rsidR="00FA7631" w:rsidRPr="0020382E" w:rsidRDefault="005D3FCD">
      <w:pPr>
        <w:spacing w:before="240" w:after="240" w:line="360" w:lineRule="auto"/>
        <w:jc w:val="both"/>
        <w:rPr>
          <w:rFonts w:ascii="Palatino Linotype" w:eastAsia="Palatino Linotype" w:hAnsi="Palatino Linotype" w:cs="Palatino Linotype"/>
        </w:rPr>
      </w:pPr>
      <w:bookmarkStart w:id="3" w:name="_heading=h.q9a5pqst6so" w:colFirst="0" w:colLast="0"/>
      <w:bookmarkEnd w:id="3"/>
      <w:r w:rsidRPr="0020382E">
        <w:rPr>
          <w:rFonts w:ascii="Palatino Linotype" w:eastAsia="Palatino Linotype" w:hAnsi="Palatino Linotype" w:cs="Palatino Linotype"/>
          <w:b/>
        </w:rPr>
        <w:t>Segundo. Oportunidad y Procedibilidad</w:t>
      </w:r>
      <w:r w:rsidR="00335356" w:rsidRPr="0020382E">
        <w:rPr>
          <w:rFonts w:ascii="Palatino Linotype" w:eastAsia="Palatino Linotype" w:hAnsi="Palatino Linotype" w:cs="Palatino Linotype"/>
          <w:b/>
        </w:rPr>
        <w:t xml:space="preserve">. </w:t>
      </w:r>
      <w:r w:rsidR="00335356" w:rsidRPr="0020382E">
        <w:rPr>
          <w:rFonts w:ascii="Palatino Linotype" w:eastAsia="Palatino Linotype" w:hAnsi="Palatino Linotype" w:cs="Palatino Linotype"/>
        </w:rPr>
        <w:t>Es de precisar que la</w:t>
      </w:r>
      <w:r w:rsidR="00335356" w:rsidRPr="0020382E">
        <w:rPr>
          <w:rFonts w:ascii="Palatino Linotype" w:eastAsia="Palatino Linotype" w:hAnsi="Palatino Linotype" w:cs="Palatino Linotype"/>
          <w:b/>
        </w:rPr>
        <w:t xml:space="preserve"> </w:t>
      </w:r>
      <w:r w:rsidR="00335356" w:rsidRPr="0020382E">
        <w:rPr>
          <w:rFonts w:ascii="Palatino Linotype" w:eastAsia="Palatino Linotype" w:hAnsi="Palatino Linotype" w:cs="Palatino Linotype"/>
        </w:rPr>
        <w:t xml:space="preserve">Ley de Transparencia y Acceso a la Información Pública del Estado de México y Municipios, describe el mecanismo de procedencia de los recursos de revisión, como se dispone en los artículos 163 y cuarto párrafo del 166, del tenor literal siguiente: </w:t>
      </w:r>
    </w:p>
    <w:p w14:paraId="2FDA7416" w14:textId="77777777" w:rsidR="00FA7631" w:rsidRPr="0020382E" w:rsidRDefault="005D3FCD">
      <w:pPr>
        <w:pBdr>
          <w:top w:val="nil"/>
          <w:left w:val="nil"/>
          <w:bottom w:val="nil"/>
          <w:right w:val="nil"/>
          <w:between w:val="nil"/>
        </w:pBdr>
        <w:ind w:left="864" w:right="864"/>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w:t>
      </w:r>
      <w:r w:rsidR="00335356" w:rsidRPr="0020382E">
        <w:rPr>
          <w:rFonts w:ascii="Palatino Linotype" w:eastAsia="Palatino Linotype" w:hAnsi="Palatino Linotype" w:cs="Palatino Linotype"/>
          <w:b/>
          <w:i/>
          <w:sz w:val="22"/>
          <w:szCs w:val="22"/>
        </w:rPr>
        <w:t xml:space="preserve">Artículo 163. </w:t>
      </w:r>
      <w:r w:rsidR="00335356" w:rsidRPr="0020382E">
        <w:rPr>
          <w:rFonts w:ascii="Palatino Linotype" w:eastAsia="Palatino Linotype" w:hAnsi="Palatino Linotype" w:cs="Palatino Linotype"/>
          <w:i/>
          <w:sz w:val="22"/>
          <w:szCs w:val="22"/>
        </w:rPr>
        <w:t xml:space="preserve">La Unidad de Transparencia deberá notificar la respuesta a la solicitud al interesado en el menor tiempo posible, que no podrá exceder de quince días hábiles, contados a partir del día siguiente a la presentación de aquélla. </w:t>
      </w:r>
    </w:p>
    <w:p w14:paraId="6AA43898" w14:textId="77777777" w:rsidR="00FA7631" w:rsidRPr="0020382E" w:rsidRDefault="00FA7631">
      <w:pPr>
        <w:pBdr>
          <w:top w:val="nil"/>
          <w:left w:val="nil"/>
          <w:bottom w:val="nil"/>
          <w:right w:val="nil"/>
          <w:between w:val="nil"/>
        </w:pBdr>
        <w:ind w:left="864" w:right="864"/>
        <w:jc w:val="both"/>
        <w:rPr>
          <w:rFonts w:ascii="Palatino Linotype" w:eastAsia="Palatino Linotype" w:hAnsi="Palatino Linotype" w:cs="Palatino Linotype"/>
          <w:i/>
          <w:sz w:val="22"/>
          <w:szCs w:val="22"/>
        </w:rPr>
      </w:pPr>
    </w:p>
    <w:p w14:paraId="391C1FCC" w14:textId="77777777" w:rsidR="00FA7631" w:rsidRPr="0020382E" w:rsidRDefault="00335356">
      <w:pPr>
        <w:pBdr>
          <w:top w:val="nil"/>
          <w:left w:val="nil"/>
          <w:bottom w:val="nil"/>
          <w:right w:val="nil"/>
          <w:between w:val="nil"/>
        </w:pBdr>
        <w:ind w:left="864" w:right="864"/>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Artículo 166.</w:t>
      </w:r>
    </w:p>
    <w:p w14:paraId="06FCA343" w14:textId="77777777" w:rsidR="00FA7631" w:rsidRPr="0020382E" w:rsidRDefault="005D3FCD">
      <w:pPr>
        <w:pBdr>
          <w:top w:val="nil"/>
          <w:left w:val="nil"/>
          <w:bottom w:val="nil"/>
          <w:right w:val="nil"/>
          <w:between w:val="nil"/>
        </w:pBdr>
        <w:ind w:left="864" w:right="864"/>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i/>
          <w:sz w:val="22"/>
          <w:szCs w:val="22"/>
        </w:rPr>
        <w:t>…</w:t>
      </w:r>
    </w:p>
    <w:p w14:paraId="25100620" w14:textId="77777777" w:rsidR="00FA7631" w:rsidRPr="0020382E" w:rsidRDefault="00335356">
      <w:pPr>
        <w:pBdr>
          <w:top w:val="nil"/>
          <w:left w:val="nil"/>
          <w:bottom w:val="nil"/>
          <w:right w:val="nil"/>
          <w:between w:val="nil"/>
        </w:pBdr>
        <w:ind w:left="864" w:right="864"/>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i/>
          <w:sz w:val="22"/>
          <w:szCs w:val="22"/>
        </w:rPr>
        <w:t>Cuando el sujeto obligado no entregue la respuesta a la solicitud dentro del plazo previsto en la Ley, la solicitud se entenderá negada y el solicitante podrá interponer el recurso de revisión previsto en este ordenamiento.</w:t>
      </w:r>
    </w:p>
    <w:p w14:paraId="72C7C9B8" w14:textId="77777777" w:rsidR="00FA7631" w:rsidRPr="0020382E" w:rsidRDefault="005D3FCD">
      <w:pPr>
        <w:pBdr>
          <w:top w:val="nil"/>
          <w:left w:val="nil"/>
          <w:bottom w:val="nil"/>
          <w:right w:val="nil"/>
          <w:between w:val="nil"/>
        </w:pBdr>
        <w:ind w:left="864" w:right="864"/>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i/>
          <w:sz w:val="22"/>
          <w:szCs w:val="22"/>
        </w:rPr>
        <w:t>…”</w:t>
      </w:r>
    </w:p>
    <w:p w14:paraId="75929EB6" w14:textId="77777777" w:rsidR="00FA7631" w:rsidRPr="0020382E" w:rsidRDefault="00335356">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De la interpretación sistemática a los preceptos legales insertos, se obtiene que el plazo que les asiste a los Sujetos Obligados para entregar la respuesta a una solicitud de información pública es de quince días hábiles posteriores a la presentación de ésta; sin embargo, en aquellos casos en que transcurre el referido plazo de quince días hábiles, sin que los Sujetos Obligados entreguen la respuesta a la solicitud de información, esta se considera negada; por lo que a la persona solicitante le asiste el derecho para presentar el recurso de revisión.</w:t>
      </w:r>
    </w:p>
    <w:p w14:paraId="14DFAA86" w14:textId="77777777" w:rsidR="00FA7631" w:rsidRPr="0020382E" w:rsidRDefault="00335356">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lastRenderedPageBreak/>
        <w:t>En tal sentido, se constituye lo que en la doctrina se conoce como negativa ficta, figura jurídica cuya esencia consiste en atribuir un efecto negativo al silencio de la autoridad administrativa frente a las instancias y solicitudes que hagan los particulares.</w:t>
      </w:r>
    </w:p>
    <w:p w14:paraId="639D9AA3" w14:textId="77777777" w:rsidR="00FA7631" w:rsidRPr="0020382E" w:rsidRDefault="00335356">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Por su parte, el artículo 178 del citado ordenamiento, establece:</w:t>
      </w:r>
    </w:p>
    <w:p w14:paraId="304255C1" w14:textId="77777777" w:rsidR="00FA7631" w:rsidRPr="0020382E" w:rsidRDefault="005D3FCD" w:rsidP="005D3FCD">
      <w:pPr>
        <w:pBdr>
          <w:top w:val="nil"/>
          <w:left w:val="nil"/>
          <w:bottom w:val="nil"/>
          <w:right w:val="nil"/>
          <w:between w:val="nil"/>
        </w:pBdr>
        <w:spacing w:before="120" w:after="120"/>
        <w:ind w:left="862" w:right="862"/>
        <w:jc w:val="both"/>
        <w:rPr>
          <w:rFonts w:ascii="Palatino Linotype" w:eastAsia="Palatino Linotype" w:hAnsi="Palatino Linotype" w:cs="Palatino Linotype"/>
          <w:b/>
          <w:i/>
          <w:sz w:val="22"/>
          <w:szCs w:val="22"/>
        </w:rPr>
      </w:pPr>
      <w:r w:rsidRPr="0020382E">
        <w:rPr>
          <w:rFonts w:ascii="Palatino Linotype" w:eastAsia="Palatino Linotype" w:hAnsi="Palatino Linotype" w:cs="Palatino Linotype"/>
          <w:b/>
          <w:i/>
          <w:sz w:val="22"/>
          <w:szCs w:val="22"/>
        </w:rPr>
        <w:t>“</w:t>
      </w:r>
      <w:r w:rsidR="00335356" w:rsidRPr="0020382E">
        <w:rPr>
          <w:rFonts w:ascii="Palatino Linotype" w:eastAsia="Palatino Linotype" w:hAnsi="Palatino Linotype" w:cs="Palatino Linotype"/>
          <w:b/>
          <w:i/>
          <w:sz w:val="22"/>
          <w:szCs w:val="22"/>
        </w:rPr>
        <w:t xml:space="preserve">Artículo 178. </w:t>
      </w:r>
      <w:r w:rsidR="00335356" w:rsidRPr="0020382E">
        <w:rPr>
          <w:rFonts w:ascii="Palatino Linotype" w:eastAsia="Palatino Linotype" w:hAnsi="Palatino Linotype" w:cs="Palatino Linotype"/>
          <w:i/>
          <w:sz w:val="22"/>
          <w:szCs w:val="22"/>
        </w:rPr>
        <w:t>El solicitante podrá interponer, por sí mismo o a través de su representante, de manera directa o por medios electrónicos, recurso de revisión ante el Instituto o ante la Unidad de Transparencia que haya conocido de la solicitud dentro de los quince días hábiles, siguientes a la fecha de la notificación de la respuesta</w:t>
      </w:r>
      <w:r w:rsidR="00335356" w:rsidRPr="0020382E">
        <w:rPr>
          <w:rFonts w:ascii="Palatino Linotype" w:eastAsia="Palatino Linotype" w:hAnsi="Palatino Linotype" w:cs="Palatino Linotype"/>
          <w:b/>
          <w:i/>
          <w:sz w:val="22"/>
          <w:szCs w:val="22"/>
        </w:rPr>
        <w:t>.</w:t>
      </w:r>
    </w:p>
    <w:p w14:paraId="7BE08E39" w14:textId="77777777" w:rsidR="00FA7631" w:rsidRPr="0020382E" w:rsidRDefault="00335356" w:rsidP="005D3FCD">
      <w:pPr>
        <w:pBdr>
          <w:top w:val="nil"/>
          <w:left w:val="nil"/>
          <w:bottom w:val="nil"/>
          <w:right w:val="nil"/>
          <w:between w:val="nil"/>
        </w:pBdr>
        <w:spacing w:before="120" w:after="120"/>
        <w:ind w:left="862" w:right="862"/>
        <w:jc w:val="both"/>
        <w:rPr>
          <w:rFonts w:ascii="Palatino Linotype" w:eastAsia="Palatino Linotype" w:hAnsi="Palatino Linotype" w:cs="Palatino Linotype"/>
          <w:b/>
          <w:i/>
          <w:sz w:val="22"/>
          <w:szCs w:val="22"/>
        </w:rPr>
      </w:pPr>
      <w:r w:rsidRPr="0020382E">
        <w:rPr>
          <w:rFonts w:ascii="Palatino Linotype" w:eastAsia="Palatino Linotype" w:hAnsi="Palatino Linotype" w:cs="Palatino Linotype"/>
          <w:i/>
          <w:sz w:val="22"/>
          <w:szCs w:val="22"/>
        </w:rPr>
        <w:t>A falta de respuesta del sujeto obligado, dentro de los plazos establecidos en esta Ley, a una solicitud de acceso a la información pública, el recurso podrá ser interpuesto en cualquier momento,</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acompañado con el documento que pruebe la fecha en que presentó la solicitud</w:t>
      </w:r>
      <w:r w:rsidRPr="0020382E">
        <w:rPr>
          <w:rFonts w:ascii="Palatino Linotype" w:eastAsia="Palatino Linotype" w:hAnsi="Palatino Linotype" w:cs="Palatino Linotype"/>
          <w:b/>
          <w:i/>
          <w:sz w:val="22"/>
          <w:szCs w:val="22"/>
        </w:rPr>
        <w:t>.</w:t>
      </w:r>
    </w:p>
    <w:p w14:paraId="70BD1AFD" w14:textId="77777777" w:rsidR="00FA7631" w:rsidRPr="0020382E" w:rsidRDefault="005D3FCD" w:rsidP="005D3FCD">
      <w:pPr>
        <w:pBdr>
          <w:top w:val="nil"/>
          <w:left w:val="nil"/>
          <w:bottom w:val="nil"/>
          <w:right w:val="nil"/>
          <w:between w:val="nil"/>
        </w:pBdr>
        <w:spacing w:before="120" w:after="120"/>
        <w:ind w:left="862" w:right="862"/>
        <w:jc w:val="both"/>
        <w:rPr>
          <w:rFonts w:ascii="Palatino Linotype" w:eastAsia="Palatino Linotype" w:hAnsi="Palatino Linotype" w:cs="Palatino Linotype"/>
          <w:b/>
          <w:i/>
          <w:sz w:val="22"/>
          <w:szCs w:val="22"/>
        </w:rPr>
      </w:pPr>
      <w:r w:rsidRPr="0020382E">
        <w:rPr>
          <w:rFonts w:ascii="Palatino Linotype" w:eastAsia="Palatino Linotype" w:hAnsi="Palatino Linotype" w:cs="Palatino Linotype"/>
          <w:b/>
          <w:i/>
          <w:sz w:val="22"/>
          <w:szCs w:val="22"/>
        </w:rPr>
        <w:t>…”</w:t>
      </w:r>
    </w:p>
    <w:p w14:paraId="21C14689" w14:textId="77777777" w:rsidR="00FA7631" w:rsidRPr="0020382E" w:rsidRDefault="00335356">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 xml:space="preserve">De lo anterior, se advierte que el recurso de revisión no se ha de interponer dentro del plazo de quince días hábiles, a partir de la fecha en que </w:t>
      </w:r>
      <w:r w:rsidR="005D3FCD" w:rsidRPr="0020382E">
        <w:rPr>
          <w:rFonts w:ascii="Palatino Linotype" w:eastAsia="Palatino Linotype" w:hAnsi="Palatino Linotype" w:cs="Palatino Linotype"/>
        </w:rPr>
        <w:t xml:space="preserve">el </w:t>
      </w:r>
      <w:r w:rsidR="005D3FCD" w:rsidRPr="0020382E">
        <w:rPr>
          <w:rFonts w:ascii="Palatino Linotype" w:eastAsia="Palatino Linotype" w:hAnsi="Palatino Linotype" w:cs="Palatino Linotype"/>
          <w:b/>
        </w:rPr>
        <w:t>Sujeto Obligado</w:t>
      </w:r>
      <w:r w:rsidR="005D3FCD" w:rsidRPr="0020382E">
        <w:rPr>
          <w:rFonts w:ascii="Palatino Linotype" w:eastAsia="Palatino Linotype" w:hAnsi="Palatino Linotype" w:cs="Palatino Linotype"/>
        </w:rPr>
        <w:t xml:space="preserve"> </w:t>
      </w:r>
      <w:r w:rsidRPr="0020382E">
        <w:rPr>
          <w:rFonts w:ascii="Palatino Linotype" w:eastAsia="Palatino Linotype" w:hAnsi="Palatino Linotype" w:cs="Palatino Linotype"/>
        </w:rPr>
        <w:t xml:space="preserve">da respuesta a la solicitud de información; sin embargo, tratándose de negativa ficta no existe resolución que se haga del conocimiento de la persona solicitante a partir de la cual pueda computarse dicho plazo, por lo que se concluye que </w:t>
      </w:r>
      <w:r w:rsidRPr="0020382E">
        <w:rPr>
          <w:rFonts w:ascii="Palatino Linotype" w:eastAsia="Palatino Linotype" w:hAnsi="Palatino Linotype" w:cs="Palatino Linotype"/>
          <w:b/>
          <w:u w:val="single"/>
        </w:rPr>
        <w:t>la interposición del recurso de revisión puede ser en cualquier momento.</w:t>
      </w:r>
    </w:p>
    <w:p w14:paraId="0EBBBB88" w14:textId="77777777" w:rsidR="00FA7631" w:rsidRPr="0020382E" w:rsidRDefault="00335356">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 xml:space="preserve">La negativa ficta constituye una presunción legal, en el entendido de que donde no hubo respuesta por parte del </w:t>
      </w:r>
      <w:r w:rsidR="005D3FCD" w:rsidRPr="0020382E">
        <w:rPr>
          <w:rFonts w:ascii="Palatino Linotype" w:eastAsia="Palatino Linotype" w:hAnsi="Palatino Linotype" w:cs="Palatino Linotype"/>
        </w:rPr>
        <w:t xml:space="preserve">al </w:t>
      </w:r>
      <w:r w:rsidR="005D3FCD" w:rsidRPr="0020382E">
        <w:rPr>
          <w:rFonts w:ascii="Palatino Linotype" w:eastAsia="Palatino Linotype" w:hAnsi="Palatino Linotype" w:cs="Palatino Linotype"/>
          <w:b/>
        </w:rPr>
        <w:t>Sujeto Obligado</w:t>
      </w:r>
      <w:r w:rsidRPr="0020382E">
        <w:rPr>
          <w:rFonts w:ascii="Palatino Linotype" w:eastAsia="Palatino Linotype" w:hAnsi="Palatino Linotype" w:cs="Palatino Linotype"/>
          <w:b/>
        </w:rPr>
        <w:t xml:space="preserve">, </w:t>
      </w:r>
      <w:r w:rsidRPr="0020382E">
        <w:rPr>
          <w:rFonts w:ascii="Palatino Linotype" w:eastAsia="Palatino Linotype" w:hAnsi="Palatino Linotype" w:cs="Palatino Linotype"/>
        </w:rPr>
        <w:t xml:space="preserve">existe por lo tanto, una resolución de rechazo ante la solicitud del ciudadano; ya que efectivamente, dicha figura se encuentra íntimamente vinculada con el Derecho de Petición, consagrado en nuestra </w:t>
      </w:r>
      <w:r w:rsidRPr="0020382E">
        <w:rPr>
          <w:rFonts w:ascii="Palatino Linotype" w:eastAsia="Palatino Linotype" w:hAnsi="Palatino Linotype" w:cs="Palatino Linotype"/>
        </w:rPr>
        <w:lastRenderedPageBreak/>
        <w:t>Constitución, es por ello que constituye un instrumento que garantiza la posibilidad de defensa del particular en contra de la incertidumbre jurídica y que tiende a realizar ese Estado de Derecho en el que, el particular, tiene siempre una vía de defensa en contra de los actos autoritarios que le perjudican.</w:t>
      </w:r>
    </w:p>
    <w:p w14:paraId="53160801" w14:textId="77777777" w:rsidR="00FA7631" w:rsidRPr="0020382E" w:rsidRDefault="00335356">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 xml:space="preserve">En el marco del derecho de acceso a la información pública, la figura de la negativa ficta brinda al ciudadano la oportunidad de inconformarse en los casos en que estime violentado su derecho; permitiendo a este Instituto cumplir los principios por los cuales la misma ley se rige que atienden a la simplicidad y rapidez al acceso a la información, por lo tanto antes de que se actualice un recurso extemporáneo, se actualiza la omisión del </w:t>
      </w:r>
      <w:r w:rsidR="005D3FCD" w:rsidRPr="0020382E">
        <w:rPr>
          <w:rFonts w:ascii="Palatino Linotype" w:eastAsia="Palatino Linotype" w:hAnsi="Palatino Linotype" w:cs="Palatino Linotype"/>
        </w:rPr>
        <w:t xml:space="preserve">al </w:t>
      </w:r>
      <w:r w:rsidR="005D3FCD" w:rsidRPr="0020382E">
        <w:rPr>
          <w:rFonts w:ascii="Palatino Linotype" w:eastAsia="Palatino Linotype" w:hAnsi="Palatino Linotype" w:cs="Palatino Linotype"/>
          <w:b/>
        </w:rPr>
        <w:t>Sujeto Obligado</w:t>
      </w:r>
      <w:r w:rsidR="005D3FCD" w:rsidRPr="0020382E">
        <w:rPr>
          <w:rFonts w:ascii="Palatino Linotype" w:eastAsia="Palatino Linotype" w:hAnsi="Palatino Linotype" w:cs="Palatino Linotype"/>
        </w:rPr>
        <w:t xml:space="preserve"> </w:t>
      </w:r>
      <w:r w:rsidRPr="0020382E">
        <w:rPr>
          <w:rFonts w:ascii="Palatino Linotype" w:eastAsia="Palatino Linotype" w:hAnsi="Palatino Linotype" w:cs="Palatino Linotype"/>
        </w:rPr>
        <w:t xml:space="preserve">de dar respuesta, por lo que este Organismo Garante del derecho de acceso a la información y en aras de privilegiar el principio de máxima publicidad deberá dar entrada al estudio del fondo del recurso interpuesto en dichos casos y no optar por el </w:t>
      </w:r>
      <w:proofErr w:type="spellStart"/>
      <w:r w:rsidRPr="0020382E">
        <w:rPr>
          <w:rFonts w:ascii="Palatino Linotype" w:eastAsia="Palatino Linotype" w:hAnsi="Palatino Linotype" w:cs="Palatino Linotype"/>
        </w:rPr>
        <w:t>desechamiento</w:t>
      </w:r>
      <w:proofErr w:type="spellEnd"/>
      <w:r w:rsidRPr="0020382E">
        <w:rPr>
          <w:rFonts w:ascii="Palatino Linotype" w:eastAsia="Palatino Linotype" w:hAnsi="Palatino Linotype" w:cs="Palatino Linotype"/>
        </w:rPr>
        <w:t xml:space="preserve"> del mismo.</w:t>
      </w:r>
    </w:p>
    <w:p w14:paraId="0F3DDFAA" w14:textId="77777777" w:rsidR="00FA7631" w:rsidRPr="0020382E" w:rsidRDefault="00335356">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 xml:space="preserve">Por lo tanto, con la finalidad de no reducir ni limitar el derecho de acceso a la información y concederle una protección más eficaz al solicitante para impugnar el silencio del </w:t>
      </w:r>
      <w:r w:rsidR="005D3FCD" w:rsidRPr="0020382E">
        <w:rPr>
          <w:rFonts w:ascii="Palatino Linotype" w:eastAsia="Palatino Linotype" w:hAnsi="Palatino Linotype" w:cs="Palatino Linotype"/>
        </w:rPr>
        <w:t xml:space="preserve">al </w:t>
      </w:r>
      <w:r w:rsidR="005D3FCD" w:rsidRPr="0020382E">
        <w:rPr>
          <w:rFonts w:ascii="Palatino Linotype" w:eastAsia="Palatino Linotype" w:hAnsi="Palatino Linotype" w:cs="Palatino Linotype"/>
          <w:b/>
        </w:rPr>
        <w:t>Sujeto Obligado</w:t>
      </w:r>
      <w:r w:rsidRPr="0020382E">
        <w:rPr>
          <w:rFonts w:ascii="Palatino Linotype" w:eastAsia="Palatino Linotype" w:hAnsi="Palatino Linotype" w:cs="Palatino Linotype"/>
          <w:b/>
        </w:rPr>
        <w:t>,</w:t>
      </w:r>
      <w:r w:rsidRPr="0020382E">
        <w:rPr>
          <w:rFonts w:ascii="Palatino Linotype" w:eastAsia="Palatino Linotype" w:hAnsi="Palatino Linotype" w:cs="Palatino Linotype"/>
        </w:rPr>
        <w:t xml:space="preserve"> este tiene la posibilidad de impugnar dicha omisión en cualquier tiempo mediante el recurso de revisión y con ello satisfacer su pretensión; postura que ha sido adoptada mediante criterio número 001-15, aprobado por el Pleno del Instituto de Transparencia, Acceso a la Información Pública y Protección de Datos Personales del Estado de México y Municipios y publicado en el Periódico Oficial del Estado de México “Gaceta del Gobierno”, el veintitrés de abril de dos mil quince, que establece:</w:t>
      </w:r>
    </w:p>
    <w:p w14:paraId="53BA334E" w14:textId="77777777" w:rsidR="00FA7631" w:rsidRPr="0020382E" w:rsidRDefault="005D3FCD">
      <w:pPr>
        <w:tabs>
          <w:tab w:val="left" w:pos="1276"/>
        </w:tabs>
        <w:spacing w:before="120" w:after="120"/>
        <w:ind w:left="851" w:right="902"/>
        <w:jc w:val="both"/>
        <w:rPr>
          <w:rFonts w:ascii="Palatino Linotype" w:eastAsia="Palatino Linotype" w:hAnsi="Palatino Linotype" w:cs="Palatino Linotype"/>
          <w:i/>
        </w:rPr>
      </w:pPr>
      <w:r w:rsidRPr="0020382E">
        <w:rPr>
          <w:rFonts w:ascii="Palatino Linotype" w:eastAsia="Palatino Linotype" w:hAnsi="Palatino Linotype" w:cs="Palatino Linotype"/>
          <w:b/>
          <w:i/>
          <w:sz w:val="22"/>
          <w:szCs w:val="22"/>
        </w:rPr>
        <w:lastRenderedPageBreak/>
        <w:t>“</w:t>
      </w:r>
      <w:r w:rsidR="00335356" w:rsidRPr="0020382E">
        <w:rPr>
          <w:rFonts w:ascii="Palatino Linotype" w:eastAsia="Palatino Linotype" w:hAnsi="Palatino Linotype" w:cs="Palatino Linotype"/>
          <w:b/>
          <w:i/>
          <w:sz w:val="22"/>
          <w:szCs w:val="22"/>
        </w:rPr>
        <w:t>NEGATIVA FICTA. PLAZO PARA INTERPONER EL RECURSO DE REVISIÓN TRATÁNDOSE DE</w:t>
      </w:r>
      <w:r w:rsidR="00335356" w:rsidRPr="0020382E">
        <w:rPr>
          <w:rFonts w:ascii="Palatino Linotype" w:eastAsia="Palatino Linotype" w:hAnsi="Palatino Linotype" w:cs="Palatino Linotype"/>
          <w:i/>
          <w:sz w:val="22"/>
          <w:szCs w:val="22"/>
        </w:rPr>
        <w:t>. El artículo 48, párrafo tercero de la Ley de Transparencia y Acceso a la Información Pública del Estado de México y Municipios establece que, cuando no se entregue la respuesta a la solicitud dentro del plazo de 15 días establecidos en el artículo 46 de la Ley de la materia, se entenderá por negada la solicitud y podrá interponerse el recurso correspondiente. Por su parte, el artículo 72 del mismo ordenamiento legal establece el plazo de 15 días para interponer el recurso de revisión a partir del día siguiente al que tuvo conocimiento de la respuesta recaída a su solicitud, sin que se establezca excepción alguna tratándose de una falta de respuesta del sujeto obligado. Así, entonces, resulta evidente que, al no emitirse respuesta dentro del plazo establecido, se genera la ficción legal de una respuesta en sentido negativo; en el entendido de que el plazo para impugnar esa negativa podrá ser en cualquier tiempo y hasta en tanto no se dicte resolución expresa; es decir, mientras no haya respuesta por parte del Sujeto Obligado, momento a partir del cual deberá computarse el plazo previsto en el artículo 72 de la citada Ley.</w:t>
      </w:r>
      <w:r w:rsidRPr="0020382E">
        <w:rPr>
          <w:rFonts w:ascii="Palatino Linotype" w:eastAsia="Palatino Linotype" w:hAnsi="Palatino Linotype" w:cs="Palatino Linotype"/>
          <w:i/>
          <w:sz w:val="22"/>
          <w:szCs w:val="22"/>
        </w:rPr>
        <w:t>”</w:t>
      </w:r>
    </w:p>
    <w:p w14:paraId="294F1A2B" w14:textId="77777777" w:rsidR="00DC71FE" w:rsidRPr="0020382E" w:rsidRDefault="00335356">
      <w:pPr>
        <w:spacing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Al mismo tiempo, por cuanto hace a la procedibilidad del recurso de revisión, una vez realizado el análisis de los formatos de interposición del recurso, se concluye la acreditación plena de los elementos formales precisados por el artículo 180 de la Ley de Transparencia y Acceso a la Información Pública del Estado de México y Municipios, en atención a que fue presentado mediante el formato visible en el SAIMEX.</w:t>
      </w:r>
    </w:p>
    <w:p w14:paraId="5AABAD80" w14:textId="77777777" w:rsidR="00FA7631" w:rsidRPr="0020382E" w:rsidRDefault="00335356">
      <w:pPr>
        <w:spacing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Finalmente, antes de entrar al estudio de la presente resolución es preciso determinar si resulta procedente la interposición del recurso de revisión, toda vez que se actualiza la hipótesis prevista en la fracción VII del artículo 179 de la ley de la materia, que a la letra dice:</w:t>
      </w:r>
    </w:p>
    <w:p w14:paraId="072BE517" w14:textId="77777777" w:rsidR="00FA7631" w:rsidRPr="0020382E" w:rsidRDefault="00FA7631">
      <w:pPr>
        <w:pBdr>
          <w:top w:val="nil"/>
          <w:left w:val="nil"/>
          <w:bottom w:val="nil"/>
          <w:right w:val="nil"/>
          <w:between w:val="nil"/>
        </w:pBdr>
        <w:ind w:left="864" w:right="864"/>
        <w:jc w:val="both"/>
        <w:rPr>
          <w:rFonts w:ascii="Palatino Linotype" w:eastAsia="Palatino Linotype" w:hAnsi="Palatino Linotype" w:cs="Palatino Linotype"/>
          <w:i/>
          <w:sz w:val="22"/>
          <w:szCs w:val="22"/>
        </w:rPr>
      </w:pPr>
    </w:p>
    <w:p w14:paraId="3A0051D0" w14:textId="77777777" w:rsidR="00FA7631" w:rsidRPr="0020382E" w:rsidRDefault="005D3FCD">
      <w:pPr>
        <w:pBdr>
          <w:top w:val="nil"/>
          <w:left w:val="nil"/>
          <w:bottom w:val="nil"/>
          <w:right w:val="nil"/>
          <w:between w:val="nil"/>
        </w:pBdr>
        <w:ind w:left="864" w:right="864"/>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w:t>
      </w:r>
      <w:r w:rsidR="00335356" w:rsidRPr="0020382E">
        <w:rPr>
          <w:rFonts w:ascii="Palatino Linotype" w:eastAsia="Palatino Linotype" w:hAnsi="Palatino Linotype" w:cs="Palatino Linotype"/>
          <w:b/>
          <w:i/>
          <w:sz w:val="22"/>
          <w:szCs w:val="22"/>
        </w:rPr>
        <w:t xml:space="preserve">Artículo 179. </w:t>
      </w:r>
      <w:r w:rsidR="00335356" w:rsidRPr="0020382E">
        <w:rPr>
          <w:rFonts w:ascii="Palatino Linotype" w:eastAsia="Palatino Linotype" w:hAnsi="Palatino Linotype" w:cs="Palatino Linotype"/>
          <w:i/>
          <w:sz w:val="22"/>
          <w:szCs w:val="22"/>
        </w:rPr>
        <w:t>El recurso de revisión es un medio de protección que la Ley otorga a los particulares, para hacer valer su derecho de acceso a la información pública, y procederá en contra de las siguientes causas:</w:t>
      </w:r>
    </w:p>
    <w:p w14:paraId="394F63B7" w14:textId="77777777" w:rsidR="00FA7631" w:rsidRPr="0020382E" w:rsidRDefault="00335356">
      <w:pPr>
        <w:pBdr>
          <w:top w:val="nil"/>
          <w:left w:val="nil"/>
          <w:bottom w:val="nil"/>
          <w:right w:val="nil"/>
          <w:between w:val="nil"/>
        </w:pBdr>
        <w:ind w:left="1134" w:right="864"/>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i/>
          <w:sz w:val="22"/>
          <w:szCs w:val="22"/>
        </w:rPr>
        <w:t>…</w:t>
      </w:r>
    </w:p>
    <w:p w14:paraId="35B14470" w14:textId="77777777" w:rsidR="00FA7631" w:rsidRPr="0020382E" w:rsidRDefault="00335356">
      <w:pPr>
        <w:pBdr>
          <w:top w:val="nil"/>
          <w:left w:val="nil"/>
          <w:bottom w:val="nil"/>
          <w:right w:val="nil"/>
          <w:between w:val="nil"/>
        </w:pBdr>
        <w:ind w:left="1134" w:right="864"/>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 xml:space="preserve">VII. </w:t>
      </w:r>
      <w:r w:rsidRPr="0020382E">
        <w:rPr>
          <w:rFonts w:ascii="Palatino Linotype" w:eastAsia="Palatino Linotype" w:hAnsi="Palatino Linotype" w:cs="Palatino Linotype"/>
          <w:i/>
          <w:sz w:val="22"/>
          <w:szCs w:val="22"/>
        </w:rPr>
        <w:t>La falta de respuesta a una solicitud de acceso a la información;”</w:t>
      </w:r>
    </w:p>
    <w:p w14:paraId="6C9B582C" w14:textId="77777777" w:rsidR="00FA7631" w:rsidRPr="0020382E" w:rsidRDefault="00335356">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lastRenderedPageBreak/>
        <w:t xml:space="preserve">El precepto legal citado, establece como supuesto de procedencia del recurso de revisión, en aquellos casos en que </w:t>
      </w:r>
      <w:r w:rsidR="005D3FCD" w:rsidRPr="0020382E">
        <w:rPr>
          <w:rFonts w:ascii="Palatino Linotype" w:eastAsia="Palatino Linotype" w:hAnsi="Palatino Linotype" w:cs="Palatino Linotype"/>
        </w:rPr>
        <w:t>la parte</w:t>
      </w:r>
      <w:r w:rsidR="005D3FCD" w:rsidRPr="0020382E">
        <w:rPr>
          <w:rFonts w:ascii="Palatino Linotype" w:eastAsia="Palatino Linotype" w:hAnsi="Palatino Linotype" w:cs="Palatino Linotype"/>
          <w:b/>
        </w:rPr>
        <w:t xml:space="preserve"> Recurrente</w:t>
      </w:r>
      <w:r w:rsidR="005D3FCD" w:rsidRPr="0020382E">
        <w:rPr>
          <w:rFonts w:ascii="Palatino Linotype" w:eastAsia="Palatino Linotype" w:hAnsi="Palatino Linotype" w:cs="Palatino Linotype"/>
        </w:rPr>
        <w:t xml:space="preserve"> </w:t>
      </w:r>
      <w:r w:rsidRPr="0020382E">
        <w:rPr>
          <w:rFonts w:ascii="Palatino Linotype" w:eastAsia="Palatino Linotype" w:hAnsi="Palatino Linotype" w:cs="Palatino Linotype"/>
        </w:rPr>
        <w:t>estime negado el acceso a la información por la falta de respuesta por</w:t>
      </w:r>
      <w:r w:rsidR="005D3FCD" w:rsidRPr="0020382E">
        <w:rPr>
          <w:rFonts w:ascii="Palatino Linotype" w:eastAsia="Palatino Linotype" w:hAnsi="Palatino Linotype" w:cs="Palatino Linotype"/>
        </w:rPr>
        <w:t xml:space="preserve"> </w:t>
      </w:r>
      <w:proofErr w:type="gramStart"/>
      <w:r w:rsidR="005D3FCD" w:rsidRPr="0020382E">
        <w:rPr>
          <w:rFonts w:ascii="Palatino Linotype" w:eastAsia="Palatino Linotype" w:hAnsi="Palatino Linotype" w:cs="Palatino Linotype"/>
        </w:rPr>
        <w:t xml:space="preserve">el </w:t>
      </w:r>
      <w:r w:rsidRPr="0020382E">
        <w:rPr>
          <w:rFonts w:ascii="Palatino Linotype" w:eastAsia="Palatino Linotype" w:hAnsi="Palatino Linotype" w:cs="Palatino Linotype"/>
        </w:rPr>
        <w:t xml:space="preserve"> </w:t>
      </w:r>
      <w:r w:rsidR="005D3FCD" w:rsidRPr="0020382E">
        <w:rPr>
          <w:rFonts w:ascii="Palatino Linotype" w:eastAsia="Palatino Linotype" w:hAnsi="Palatino Linotype" w:cs="Palatino Linotype"/>
          <w:b/>
        </w:rPr>
        <w:t>Sujeto</w:t>
      </w:r>
      <w:proofErr w:type="gramEnd"/>
      <w:r w:rsidR="005D3FCD" w:rsidRPr="0020382E">
        <w:rPr>
          <w:rFonts w:ascii="Palatino Linotype" w:eastAsia="Palatino Linotype" w:hAnsi="Palatino Linotype" w:cs="Palatino Linotype"/>
          <w:b/>
        </w:rPr>
        <w:t xml:space="preserve"> Obligado</w:t>
      </w:r>
      <w:r w:rsidRPr="0020382E">
        <w:rPr>
          <w:rFonts w:ascii="Palatino Linotype" w:eastAsia="Palatino Linotype" w:hAnsi="Palatino Linotype" w:cs="Palatino Linotype"/>
          <w:b/>
        </w:rPr>
        <w:t>,</w:t>
      </w:r>
      <w:r w:rsidRPr="0020382E">
        <w:rPr>
          <w:rFonts w:ascii="Palatino Linotype" w:eastAsia="Palatino Linotype" w:hAnsi="Palatino Linotype" w:cs="Palatino Linotype"/>
        </w:rPr>
        <w:t xml:space="preserve"> en este asunto se actualiza la hipótesis jurídica citada, en atención a que </w:t>
      </w:r>
      <w:r w:rsidR="005D3FCD" w:rsidRPr="0020382E">
        <w:rPr>
          <w:rFonts w:ascii="Palatino Linotype" w:eastAsia="Palatino Linotype" w:hAnsi="Palatino Linotype" w:cs="Palatino Linotype"/>
        </w:rPr>
        <w:t>la parte</w:t>
      </w:r>
      <w:r w:rsidR="005D3FCD" w:rsidRPr="0020382E">
        <w:rPr>
          <w:rFonts w:ascii="Palatino Linotype" w:eastAsia="Palatino Linotype" w:hAnsi="Palatino Linotype" w:cs="Palatino Linotype"/>
          <w:b/>
        </w:rPr>
        <w:t xml:space="preserve"> Recurrente</w:t>
      </w:r>
      <w:r w:rsidR="005D3FCD" w:rsidRPr="0020382E">
        <w:rPr>
          <w:rFonts w:ascii="Palatino Linotype" w:eastAsia="Palatino Linotype" w:hAnsi="Palatino Linotype" w:cs="Palatino Linotype"/>
        </w:rPr>
        <w:t xml:space="preserve"> </w:t>
      </w:r>
      <w:r w:rsidRPr="0020382E">
        <w:rPr>
          <w:rFonts w:ascii="Palatino Linotype" w:eastAsia="Palatino Linotype" w:hAnsi="Palatino Linotype" w:cs="Palatino Linotype"/>
        </w:rPr>
        <w:t xml:space="preserve">combate falta de trámite por </w:t>
      </w:r>
      <w:r w:rsidR="005D3FCD" w:rsidRPr="0020382E">
        <w:rPr>
          <w:rFonts w:ascii="Palatino Linotype" w:eastAsia="Palatino Linotype" w:hAnsi="Palatino Linotype" w:cs="Palatino Linotype"/>
        </w:rPr>
        <w:t xml:space="preserve">el </w:t>
      </w:r>
      <w:r w:rsidR="005D3FCD" w:rsidRPr="0020382E">
        <w:rPr>
          <w:rFonts w:ascii="Palatino Linotype" w:eastAsia="Palatino Linotype" w:hAnsi="Palatino Linotype" w:cs="Palatino Linotype"/>
          <w:b/>
        </w:rPr>
        <w:t>Sujeto Obligado</w:t>
      </w:r>
      <w:r w:rsidR="005D3FCD" w:rsidRPr="0020382E">
        <w:rPr>
          <w:rFonts w:ascii="Palatino Linotype" w:eastAsia="Palatino Linotype" w:hAnsi="Palatino Linotype" w:cs="Palatino Linotype"/>
        </w:rPr>
        <w:t xml:space="preserve"> </w:t>
      </w:r>
      <w:r w:rsidRPr="0020382E">
        <w:rPr>
          <w:rFonts w:ascii="Palatino Linotype" w:eastAsia="Palatino Linotype" w:hAnsi="Palatino Linotype" w:cs="Palatino Linotype"/>
        </w:rPr>
        <w:t>y expresa motivos de inconformidad en contra de dicha circunstancia.</w:t>
      </w:r>
    </w:p>
    <w:p w14:paraId="1E9287DF" w14:textId="77777777" w:rsidR="00FA7631" w:rsidRPr="0020382E" w:rsidRDefault="005D3FCD">
      <w:pPr>
        <w:tabs>
          <w:tab w:val="left" w:pos="8647"/>
        </w:tabs>
        <w:spacing w:before="240" w:after="240" w:line="360" w:lineRule="auto"/>
        <w:jc w:val="both"/>
        <w:rPr>
          <w:rFonts w:ascii="Palatino Linotype" w:eastAsia="Palatino Linotype" w:hAnsi="Palatino Linotype" w:cs="Palatino Linotype"/>
        </w:rPr>
      </w:pPr>
      <w:bookmarkStart w:id="4" w:name="_heading=h.2et92p0" w:colFirst="0" w:colLast="0"/>
      <w:bookmarkEnd w:id="4"/>
      <w:r w:rsidRPr="0020382E">
        <w:rPr>
          <w:rFonts w:ascii="Palatino Linotype" w:eastAsia="Palatino Linotype" w:hAnsi="Palatino Linotype" w:cs="Palatino Linotype"/>
          <w:b/>
        </w:rPr>
        <w:t>Tercero. Materia de la revisión</w:t>
      </w:r>
      <w:r w:rsidR="00335356" w:rsidRPr="0020382E">
        <w:rPr>
          <w:rFonts w:ascii="Palatino Linotype" w:eastAsia="Palatino Linotype" w:hAnsi="Palatino Linotype" w:cs="Palatino Linotype"/>
          <w:b/>
        </w:rPr>
        <w:t xml:space="preserve">. </w:t>
      </w:r>
      <w:r w:rsidR="00335356" w:rsidRPr="0020382E">
        <w:rPr>
          <w:rFonts w:ascii="Palatino Linotype" w:eastAsia="Palatino Linotype" w:hAnsi="Palatino Linotype" w:cs="Palatino Linotype"/>
        </w:rPr>
        <w:t xml:space="preserve">Este Organismo Garante procede del análisis de los agravios hechos valer por </w:t>
      </w:r>
      <w:r w:rsidRPr="0020382E">
        <w:rPr>
          <w:rFonts w:ascii="Palatino Linotype" w:eastAsia="Palatino Linotype" w:hAnsi="Palatino Linotype" w:cs="Palatino Linotype"/>
        </w:rPr>
        <w:t>la parte</w:t>
      </w:r>
      <w:r w:rsidRPr="0020382E">
        <w:rPr>
          <w:rFonts w:ascii="Palatino Linotype" w:eastAsia="Palatino Linotype" w:hAnsi="Palatino Linotype" w:cs="Palatino Linotype"/>
          <w:b/>
        </w:rPr>
        <w:t xml:space="preserve"> Recurrente</w:t>
      </w:r>
      <w:r w:rsidR="00335356" w:rsidRPr="0020382E">
        <w:rPr>
          <w:rFonts w:ascii="Palatino Linotype" w:eastAsia="Palatino Linotype" w:hAnsi="Palatino Linotype" w:cs="Palatino Linotype"/>
          <w:b/>
        </w:rPr>
        <w:t>,</w:t>
      </w:r>
      <w:r w:rsidR="00335356" w:rsidRPr="0020382E">
        <w:rPr>
          <w:rFonts w:ascii="Palatino Linotype" w:eastAsia="Palatino Linotype" w:hAnsi="Palatino Linotype" w:cs="Palatino Linotype"/>
        </w:rPr>
        <w:t xml:space="preserve"> a fin de determinar si se violenta en perjuicio de este, el derecho de acceso a la información previsto en la Constitución Política de los Estados Unidos Mexicanos y en la Constitución Política del Estado Libre y Soberano de México. </w:t>
      </w:r>
    </w:p>
    <w:p w14:paraId="76734176" w14:textId="77777777" w:rsidR="00FA7631" w:rsidRPr="0020382E" w:rsidRDefault="005D3FCD">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b/>
        </w:rPr>
        <w:t>Cuarto. Estudio del Asunto</w:t>
      </w:r>
      <w:r w:rsidR="00335356" w:rsidRPr="0020382E">
        <w:rPr>
          <w:rFonts w:ascii="Palatino Linotype" w:eastAsia="Palatino Linotype" w:hAnsi="Palatino Linotype" w:cs="Palatino Linotype"/>
          <w:b/>
        </w:rPr>
        <w:t xml:space="preserve">. </w:t>
      </w:r>
      <w:r w:rsidR="00335356" w:rsidRPr="0020382E">
        <w:rPr>
          <w:rFonts w:ascii="Palatino Linotype" w:eastAsia="Palatino Linotype" w:hAnsi="Palatino Linotype" w:cs="Palatino Linotype"/>
        </w:rPr>
        <w:t>Una vez determinada la vía sobre la que versará el presente recurso, y previa revisión del expediente del recurso de revisión materia de la presente resolución, se advierte que</w:t>
      </w:r>
      <w:r w:rsidRPr="0020382E">
        <w:rPr>
          <w:rFonts w:ascii="Palatino Linotype" w:eastAsia="Palatino Linotype" w:hAnsi="Palatino Linotype" w:cs="Palatino Linotype"/>
        </w:rPr>
        <w:t xml:space="preserve"> el</w:t>
      </w:r>
      <w:r w:rsidR="00335356" w:rsidRPr="0020382E">
        <w:rPr>
          <w:rFonts w:ascii="Palatino Linotype" w:eastAsia="Palatino Linotype" w:hAnsi="Palatino Linotype" w:cs="Palatino Linotype"/>
        </w:rPr>
        <w:t xml:space="preserve"> </w:t>
      </w:r>
      <w:r w:rsidRPr="0020382E">
        <w:rPr>
          <w:rFonts w:ascii="Palatino Linotype" w:eastAsia="Palatino Linotype" w:hAnsi="Palatino Linotype" w:cs="Palatino Linotype"/>
          <w:b/>
        </w:rPr>
        <w:t>Sujeto Obligado</w:t>
      </w:r>
      <w:r w:rsidRPr="0020382E">
        <w:rPr>
          <w:rFonts w:ascii="Palatino Linotype" w:eastAsia="Palatino Linotype" w:hAnsi="Palatino Linotype" w:cs="Palatino Linotype"/>
        </w:rPr>
        <w:t xml:space="preserve"> </w:t>
      </w:r>
      <w:r w:rsidR="00335356" w:rsidRPr="0020382E">
        <w:rPr>
          <w:rFonts w:ascii="Palatino Linotype" w:eastAsia="Palatino Linotype" w:hAnsi="Palatino Linotype" w:cs="Palatino Linotype"/>
        </w:rPr>
        <w:t xml:space="preserve">no dio respuesta a la solicitud de información planteada por </w:t>
      </w:r>
      <w:r w:rsidRPr="0020382E">
        <w:rPr>
          <w:rFonts w:ascii="Palatino Linotype" w:eastAsia="Palatino Linotype" w:hAnsi="Palatino Linotype" w:cs="Palatino Linotype"/>
        </w:rPr>
        <w:t>la parte</w:t>
      </w:r>
      <w:r w:rsidRPr="0020382E">
        <w:rPr>
          <w:rFonts w:ascii="Palatino Linotype" w:eastAsia="Palatino Linotype" w:hAnsi="Palatino Linotype" w:cs="Palatino Linotype"/>
          <w:b/>
        </w:rPr>
        <w:t xml:space="preserve"> Recurrente</w:t>
      </w:r>
      <w:r w:rsidR="00335356" w:rsidRPr="0020382E">
        <w:rPr>
          <w:rFonts w:ascii="Palatino Linotype" w:eastAsia="Palatino Linotype" w:hAnsi="Palatino Linotype" w:cs="Palatino Linotype"/>
        </w:rPr>
        <w:t xml:space="preserve">, lo que se traduce como la configuración de la </w:t>
      </w:r>
      <w:r w:rsidR="00335356" w:rsidRPr="0020382E">
        <w:rPr>
          <w:rFonts w:ascii="Palatino Linotype" w:eastAsia="Palatino Linotype" w:hAnsi="Palatino Linotype" w:cs="Palatino Linotype"/>
          <w:b/>
        </w:rPr>
        <w:t>NEGATIVA FICTA</w:t>
      </w:r>
      <w:r w:rsidR="00335356" w:rsidRPr="0020382E">
        <w:rPr>
          <w:rFonts w:ascii="Palatino Linotype" w:eastAsia="Palatino Linotype" w:hAnsi="Palatino Linotype" w:cs="Palatino Linotype"/>
        </w:rPr>
        <w:t xml:space="preserve">, situación que demuestra la existencia del acto impugnado y procedencia del motivo de inconformidad, que en términos generales consistente en que </w:t>
      </w:r>
      <w:r w:rsidRPr="0020382E">
        <w:rPr>
          <w:rFonts w:ascii="Palatino Linotype" w:eastAsia="Palatino Linotype" w:hAnsi="Palatino Linotype" w:cs="Palatino Linotype"/>
        </w:rPr>
        <w:t xml:space="preserve">el </w:t>
      </w:r>
      <w:r w:rsidRPr="0020382E">
        <w:rPr>
          <w:rFonts w:ascii="Palatino Linotype" w:eastAsia="Palatino Linotype" w:hAnsi="Palatino Linotype" w:cs="Palatino Linotype"/>
          <w:b/>
        </w:rPr>
        <w:t>Sujeto Obligado</w:t>
      </w:r>
      <w:r w:rsidR="00335356" w:rsidRPr="0020382E">
        <w:rPr>
          <w:rFonts w:ascii="Palatino Linotype" w:eastAsia="Palatino Linotype" w:hAnsi="Palatino Linotype" w:cs="Palatino Linotype"/>
        </w:rPr>
        <w:t xml:space="preserve"> no emitió respuesta a la solicitud de información, dentro del plazo legal previsto para ello.</w:t>
      </w:r>
    </w:p>
    <w:p w14:paraId="3EA348B3" w14:textId="77777777" w:rsidR="00FA7631" w:rsidRPr="0020382E" w:rsidRDefault="00335356">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 xml:space="preserve">Previo a exponer los argumentos que justifiquen la afirmación que antecede, es necesario precisar que, del análisis realizado a la solicitud formulada por </w:t>
      </w:r>
      <w:r w:rsidR="005D3FCD" w:rsidRPr="0020382E">
        <w:rPr>
          <w:rFonts w:ascii="Palatino Linotype" w:eastAsia="Palatino Linotype" w:hAnsi="Palatino Linotype" w:cs="Palatino Linotype"/>
        </w:rPr>
        <w:t>la parte</w:t>
      </w:r>
      <w:r w:rsidR="005D3FCD" w:rsidRPr="0020382E">
        <w:rPr>
          <w:rFonts w:ascii="Palatino Linotype" w:eastAsia="Palatino Linotype" w:hAnsi="Palatino Linotype" w:cs="Palatino Linotype"/>
          <w:b/>
        </w:rPr>
        <w:t xml:space="preserve"> </w:t>
      </w:r>
      <w:r w:rsidR="005D3FCD" w:rsidRPr="0020382E">
        <w:rPr>
          <w:rFonts w:ascii="Palatino Linotype" w:eastAsia="Palatino Linotype" w:hAnsi="Palatino Linotype" w:cs="Palatino Linotype"/>
          <w:b/>
        </w:rPr>
        <w:lastRenderedPageBreak/>
        <w:t>Recurrente</w:t>
      </w:r>
      <w:r w:rsidRPr="0020382E">
        <w:rPr>
          <w:rFonts w:ascii="Palatino Linotype" w:eastAsia="Palatino Linotype" w:hAnsi="Palatino Linotype" w:cs="Palatino Linotype"/>
          <w:b/>
        </w:rPr>
        <w:t xml:space="preserve">, </w:t>
      </w:r>
      <w:r w:rsidRPr="0020382E">
        <w:rPr>
          <w:rFonts w:ascii="Palatino Linotype" w:eastAsia="Palatino Linotype" w:hAnsi="Palatino Linotype" w:cs="Palatino Linotype"/>
        </w:rPr>
        <w:t xml:space="preserve">se advierte que requirió al </w:t>
      </w:r>
      <w:r w:rsidR="005D3FCD" w:rsidRPr="0020382E">
        <w:rPr>
          <w:rFonts w:ascii="Palatino Linotype" w:eastAsia="Palatino Linotype" w:hAnsi="Palatino Linotype" w:cs="Palatino Linotype"/>
          <w:b/>
        </w:rPr>
        <w:t>Sujeto Obligado</w:t>
      </w:r>
      <w:r w:rsidR="005D3FCD" w:rsidRPr="0020382E">
        <w:rPr>
          <w:rFonts w:ascii="Palatino Linotype" w:eastAsia="Palatino Linotype" w:hAnsi="Palatino Linotype" w:cs="Palatino Linotype"/>
        </w:rPr>
        <w:t xml:space="preserve"> </w:t>
      </w:r>
      <w:r w:rsidR="00940629" w:rsidRPr="0020382E">
        <w:rPr>
          <w:rFonts w:ascii="Palatino Linotype" w:eastAsia="Palatino Linotype" w:hAnsi="Palatino Linotype" w:cs="Palatino Linotype"/>
        </w:rPr>
        <w:t xml:space="preserve">le proporcionara, </w:t>
      </w:r>
      <w:r w:rsidR="005D3FCD" w:rsidRPr="0020382E">
        <w:rPr>
          <w:rFonts w:ascii="Palatino Linotype" w:eastAsia="Palatino Linotype" w:hAnsi="Palatino Linotype" w:cs="Palatino Linotype"/>
        </w:rPr>
        <w:t>a través de copia simple, en versión pública</w:t>
      </w:r>
      <w:r w:rsidR="00940629" w:rsidRPr="0020382E">
        <w:rPr>
          <w:rFonts w:ascii="Palatino Linotype" w:eastAsia="Palatino Linotype" w:hAnsi="Palatino Linotype" w:cs="Palatino Linotype"/>
        </w:rPr>
        <w:t>,</w:t>
      </w:r>
      <w:r w:rsidR="005D3FCD" w:rsidRPr="0020382E">
        <w:rPr>
          <w:rFonts w:ascii="Palatino Linotype" w:eastAsia="Palatino Linotype" w:hAnsi="Palatino Linotype" w:cs="Palatino Linotype"/>
        </w:rPr>
        <w:t xml:space="preserve"> </w:t>
      </w:r>
      <w:r w:rsidRPr="0020382E">
        <w:rPr>
          <w:rFonts w:ascii="Palatino Linotype" w:eastAsia="Palatino Linotype" w:hAnsi="Palatino Linotype" w:cs="Palatino Linotype"/>
        </w:rPr>
        <w:t>l</w:t>
      </w:r>
      <w:r w:rsidR="00940629" w:rsidRPr="0020382E">
        <w:rPr>
          <w:rFonts w:ascii="Palatino Linotype" w:eastAsia="Palatino Linotype" w:hAnsi="Palatino Linotype" w:cs="Palatino Linotype"/>
        </w:rPr>
        <w:t xml:space="preserve">a información </w:t>
      </w:r>
      <w:r w:rsidRPr="0020382E">
        <w:rPr>
          <w:rFonts w:ascii="Palatino Linotype" w:eastAsia="Palatino Linotype" w:hAnsi="Palatino Linotype" w:cs="Palatino Linotype"/>
        </w:rPr>
        <w:t>siguiente:</w:t>
      </w:r>
    </w:p>
    <w:p w14:paraId="1928C62F" w14:textId="77777777" w:rsidR="005D3FCD" w:rsidRPr="0020382E" w:rsidRDefault="00940629" w:rsidP="005D3FCD">
      <w:pPr>
        <w:pStyle w:val="Prrafodelista"/>
        <w:numPr>
          <w:ilvl w:val="0"/>
          <w:numId w:val="4"/>
        </w:numPr>
        <w:tabs>
          <w:tab w:val="left" w:pos="709"/>
        </w:tabs>
        <w:spacing w:before="240" w:after="240" w:line="360" w:lineRule="auto"/>
        <w:ind w:left="284" w:firstLine="0"/>
        <w:jc w:val="both"/>
        <w:rPr>
          <w:rFonts w:ascii="Palatino Linotype" w:eastAsia="Palatino Linotype" w:hAnsi="Palatino Linotype" w:cs="Palatino Linotype"/>
        </w:rPr>
      </w:pPr>
      <w:r w:rsidRPr="0020382E">
        <w:rPr>
          <w:rFonts w:ascii="Palatino Linotype" w:eastAsia="Palatino Linotype" w:hAnsi="Palatino Linotype" w:cs="Palatino Linotype"/>
        </w:rPr>
        <w:t>A</w:t>
      </w:r>
      <w:r w:rsidR="005D3FCD" w:rsidRPr="0020382E">
        <w:rPr>
          <w:rFonts w:ascii="Palatino Linotype" w:eastAsia="Palatino Linotype" w:hAnsi="Palatino Linotype" w:cs="Palatino Linotype"/>
        </w:rPr>
        <w:t>cta de cabildo en la que fue nombrado el actual titular de Seguridad Pública del Municipio.</w:t>
      </w:r>
    </w:p>
    <w:p w14:paraId="4C47B3AB" w14:textId="77777777" w:rsidR="005D3FCD" w:rsidRPr="0020382E" w:rsidRDefault="005D3FCD" w:rsidP="005D3FCD">
      <w:pPr>
        <w:pStyle w:val="Prrafodelista"/>
        <w:numPr>
          <w:ilvl w:val="0"/>
          <w:numId w:val="4"/>
        </w:numPr>
        <w:tabs>
          <w:tab w:val="left" w:pos="709"/>
        </w:tabs>
        <w:spacing w:before="240" w:after="240" w:line="360" w:lineRule="auto"/>
        <w:ind w:left="284" w:firstLine="0"/>
        <w:jc w:val="both"/>
        <w:rPr>
          <w:rFonts w:ascii="Palatino Linotype" w:eastAsia="Palatino Linotype" w:hAnsi="Palatino Linotype" w:cs="Palatino Linotype"/>
        </w:rPr>
      </w:pPr>
      <w:r w:rsidRPr="0020382E">
        <w:rPr>
          <w:rFonts w:ascii="Palatino Linotype" w:eastAsia="Palatino Linotype" w:hAnsi="Palatino Linotype" w:cs="Palatino Linotype"/>
        </w:rPr>
        <w:t>Acta de cabildo en la que su antecesor fue destituido.</w:t>
      </w:r>
    </w:p>
    <w:p w14:paraId="75C4829B" w14:textId="77777777" w:rsidR="005D3FCD" w:rsidRPr="0020382E" w:rsidRDefault="005D3FCD" w:rsidP="005D3FCD">
      <w:pPr>
        <w:pStyle w:val="Prrafodelista"/>
        <w:numPr>
          <w:ilvl w:val="0"/>
          <w:numId w:val="4"/>
        </w:numPr>
        <w:tabs>
          <w:tab w:val="left" w:pos="709"/>
        </w:tabs>
        <w:spacing w:before="240" w:after="240" w:line="360" w:lineRule="auto"/>
        <w:ind w:left="284" w:firstLine="0"/>
        <w:jc w:val="both"/>
        <w:rPr>
          <w:rFonts w:ascii="Palatino Linotype" w:eastAsia="Palatino Linotype" w:hAnsi="Palatino Linotype" w:cs="Palatino Linotype"/>
        </w:rPr>
      </w:pPr>
      <w:r w:rsidRPr="0020382E">
        <w:rPr>
          <w:rFonts w:ascii="Palatino Linotype" w:eastAsia="Palatino Linotype" w:hAnsi="Palatino Linotype" w:cs="Palatino Linotype"/>
        </w:rPr>
        <w:t xml:space="preserve">Evaluación a la que </w:t>
      </w:r>
      <w:r w:rsidR="00940629" w:rsidRPr="0020382E">
        <w:rPr>
          <w:rFonts w:ascii="Palatino Linotype" w:eastAsia="Palatino Linotype" w:hAnsi="Palatino Linotype" w:cs="Palatino Linotype"/>
        </w:rPr>
        <w:t xml:space="preserve">se </w:t>
      </w:r>
      <w:r w:rsidRPr="0020382E">
        <w:rPr>
          <w:rFonts w:ascii="Palatino Linotype" w:eastAsia="Palatino Linotype" w:hAnsi="Palatino Linotype" w:cs="Palatino Linotype"/>
        </w:rPr>
        <w:t>sujet</w:t>
      </w:r>
      <w:r w:rsidR="00940629" w:rsidRPr="0020382E">
        <w:rPr>
          <w:rFonts w:ascii="Palatino Linotype" w:eastAsia="Palatino Linotype" w:hAnsi="Palatino Linotype" w:cs="Palatino Linotype"/>
        </w:rPr>
        <w:t>ó el</w:t>
      </w:r>
      <w:r w:rsidRPr="0020382E">
        <w:rPr>
          <w:rFonts w:ascii="Palatino Linotype" w:eastAsia="Palatino Linotype" w:hAnsi="Palatino Linotype" w:cs="Palatino Linotype"/>
        </w:rPr>
        <w:t xml:space="preserve"> actual titular del área que avalara su nombramiento.</w:t>
      </w:r>
    </w:p>
    <w:p w14:paraId="0ED36C32" w14:textId="77777777" w:rsidR="00FA7631" w:rsidRPr="0020382E" w:rsidRDefault="00335356">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Precisado lo anterior, se procede al análisis del presente recurso, así como al contenido íntegro de las actuaciones que obran en el expediente electrónico, para así estar en posibilidad este Organismo Garante de dictar el fallo correspondiente conforme a derecho, tomando en consideración los elementos aportados por las partes y apegándose en todo momento al principio de máxima publicidad consagrado en nuestra Constitución Federal, Local y demás leyes aplicables en la materia, así como en los tratados internacionales en los que el Estado Mexicano sea parte, en concordancia con el artículo 8 de la Ley de Transparencia local.</w:t>
      </w:r>
    </w:p>
    <w:p w14:paraId="5FEA859D" w14:textId="77777777" w:rsidR="00FA7631" w:rsidRPr="0020382E" w:rsidRDefault="00335356">
      <w:pPr>
        <w:tabs>
          <w:tab w:val="left" w:pos="709"/>
        </w:tabs>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En primer lugar, es menester mencionar que el derecho de acceso a la información está consagrado en instrumentos internacionales de los cuales el Estado Mexicano se ha adherido, sin oponer reserva alguna sobre lo que nos interesa, adoptando dichas disposiciones al Derecho Interno, específicamente a nivel Constitucional, tal y como lo prevén los arábigos 1 párrafos primero, segundo y tercero y 6 apartado A fracciones I, II, III, IV, V, VI y VII que a la letra señalan:</w:t>
      </w:r>
    </w:p>
    <w:p w14:paraId="4314D4DE" w14:textId="77777777" w:rsidR="00FA7631" w:rsidRPr="0020382E" w:rsidRDefault="00940629" w:rsidP="00940629">
      <w:pPr>
        <w:pBdr>
          <w:top w:val="nil"/>
          <w:left w:val="nil"/>
          <w:bottom w:val="nil"/>
          <w:right w:val="nil"/>
          <w:between w:val="nil"/>
        </w:pBdr>
        <w:spacing w:before="120" w:after="120"/>
        <w:ind w:left="862"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u w:val="single"/>
        </w:rPr>
        <w:lastRenderedPageBreak/>
        <w:t>“</w:t>
      </w:r>
      <w:r w:rsidR="00335356" w:rsidRPr="0020382E">
        <w:rPr>
          <w:rFonts w:ascii="Palatino Linotype" w:eastAsia="Palatino Linotype" w:hAnsi="Palatino Linotype" w:cs="Palatino Linotype"/>
          <w:b/>
          <w:i/>
          <w:sz w:val="22"/>
          <w:szCs w:val="22"/>
          <w:u w:val="single"/>
        </w:rPr>
        <w:t>Artículo 1o. En los Estados Unidos Mexicanos todas las personas gozarán de los derechos humanos reconocidos en esta Constitución y en los tratados internacionales de los que el Estado Mexicano sea parte</w:t>
      </w:r>
      <w:r w:rsidR="00335356" w:rsidRPr="0020382E">
        <w:rPr>
          <w:rFonts w:ascii="Palatino Linotype" w:eastAsia="Palatino Linotype" w:hAnsi="Palatino Linotype" w:cs="Palatino Linotype"/>
          <w:i/>
          <w:sz w:val="22"/>
          <w:szCs w:val="22"/>
        </w:rPr>
        <w:t>, así como de las garantías para su protección, cuyo ejercicio no podrá restringirse ni suspenderse, salvo en los casos y bajo las condiciones que esta Constitución establece.</w:t>
      </w:r>
    </w:p>
    <w:p w14:paraId="113713A8" w14:textId="77777777" w:rsidR="00FA7631" w:rsidRPr="0020382E" w:rsidRDefault="00335356" w:rsidP="00940629">
      <w:pPr>
        <w:pBdr>
          <w:top w:val="nil"/>
          <w:left w:val="nil"/>
          <w:bottom w:val="nil"/>
          <w:right w:val="nil"/>
          <w:between w:val="nil"/>
        </w:pBdr>
        <w:spacing w:before="120" w:after="120"/>
        <w:ind w:left="862" w:right="862"/>
        <w:jc w:val="both"/>
        <w:rPr>
          <w:rFonts w:ascii="Palatino Linotype" w:eastAsia="Palatino Linotype" w:hAnsi="Palatino Linotype" w:cs="Palatino Linotype"/>
          <w:b/>
          <w:i/>
          <w:sz w:val="22"/>
          <w:szCs w:val="22"/>
        </w:rPr>
      </w:pPr>
      <w:r w:rsidRPr="0020382E">
        <w:rPr>
          <w:rFonts w:ascii="Palatino Linotype" w:eastAsia="Palatino Linotype" w:hAnsi="Palatino Linotype" w:cs="Palatino Linotype"/>
          <w:b/>
          <w:i/>
          <w:sz w:val="22"/>
          <w:szCs w:val="22"/>
        </w:rPr>
        <w:t>Las normas relativas a los derechos humanos se interpretarán de conformidad con esta Constitución y con los tratados internacionales de la materia favoreciendo en todo tiempo a las personas la protección más amplia.</w:t>
      </w:r>
    </w:p>
    <w:p w14:paraId="08F9C0B1" w14:textId="77777777" w:rsidR="00FA7631" w:rsidRPr="0020382E" w:rsidRDefault="00335356" w:rsidP="00940629">
      <w:pPr>
        <w:pBdr>
          <w:top w:val="nil"/>
          <w:left w:val="nil"/>
          <w:bottom w:val="nil"/>
          <w:right w:val="nil"/>
          <w:between w:val="nil"/>
        </w:pBdr>
        <w:spacing w:before="120" w:after="120"/>
        <w:ind w:left="862" w:right="862"/>
        <w:jc w:val="both"/>
        <w:rPr>
          <w:rFonts w:ascii="Palatino Linotype" w:eastAsia="Palatino Linotype" w:hAnsi="Palatino Linotype" w:cs="Palatino Linotype"/>
          <w:i/>
        </w:rPr>
      </w:pPr>
      <w:r w:rsidRPr="0020382E">
        <w:rPr>
          <w:rFonts w:ascii="Palatino Linotype" w:eastAsia="Palatino Linotype" w:hAnsi="Palatino Linotype" w:cs="Palatino Linotype"/>
          <w:b/>
          <w:i/>
          <w:sz w:val="22"/>
          <w:szCs w:val="22"/>
          <w:u w:val="single"/>
        </w:rPr>
        <w:t>Todas las autoridades, en el ámbito de sus competencias, tienen la obligación de promover, respetar, proteger y garantizar los derechos humanos de conformidad con los principios de universalidad, interdependencia, indivisibilidad y progresividad.</w:t>
      </w:r>
      <w:r w:rsidRPr="0020382E">
        <w:rPr>
          <w:rFonts w:ascii="Palatino Linotype" w:eastAsia="Palatino Linotype" w:hAnsi="Palatino Linotype" w:cs="Palatino Linotype"/>
          <w:i/>
          <w:sz w:val="22"/>
          <w:szCs w:val="22"/>
        </w:rPr>
        <w:t xml:space="preserve"> En consecuencia, el Estado deberá prevenir, investigar, sancionar y reparar las violaciones a los derechos humanos, en los términos que establezca la ley</w:t>
      </w:r>
    </w:p>
    <w:p w14:paraId="706203AA" w14:textId="77777777" w:rsidR="00FA7631" w:rsidRPr="0020382E" w:rsidRDefault="00940629" w:rsidP="00940629">
      <w:pPr>
        <w:pBdr>
          <w:top w:val="nil"/>
          <w:left w:val="nil"/>
          <w:bottom w:val="nil"/>
          <w:right w:val="nil"/>
          <w:between w:val="nil"/>
        </w:pBdr>
        <w:spacing w:before="120" w:after="120"/>
        <w:ind w:left="862"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i/>
          <w:sz w:val="22"/>
          <w:szCs w:val="22"/>
        </w:rPr>
        <w:t>…</w:t>
      </w:r>
    </w:p>
    <w:p w14:paraId="7B3387E4" w14:textId="77777777" w:rsidR="00FA7631" w:rsidRPr="0020382E" w:rsidRDefault="00335356" w:rsidP="00940629">
      <w:pPr>
        <w:pBdr>
          <w:top w:val="nil"/>
          <w:left w:val="nil"/>
          <w:bottom w:val="nil"/>
          <w:right w:val="nil"/>
          <w:between w:val="nil"/>
        </w:pBdr>
        <w:spacing w:before="120" w:after="120"/>
        <w:ind w:left="862" w:right="862"/>
        <w:jc w:val="both"/>
        <w:rPr>
          <w:rFonts w:ascii="Palatino Linotype" w:eastAsia="Palatino Linotype" w:hAnsi="Palatino Linotype" w:cs="Palatino Linotype"/>
          <w:i/>
        </w:rPr>
      </w:pPr>
      <w:r w:rsidRPr="0020382E">
        <w:rPr>
          <w:rFonts w:ascii="Palatino Linotype" w:eastAsia="Palatino Linotype" w:hAnsi="Palatino Linotype" w:cs="Palatino Linotype"/>
          <w:b/>
          <w:i/>
          <w:sz w:val="22"/>
          <w:szCs w:val="22"/>
        </w:rPr>
        <w:t>Artículo 6o.</w:t>
      </w:r>
    </w:p>
    <w:p w14:paraId="02F12ED7" w14:textId="77777777" w:rsidR="00FA7631" w:rsidRPr="0020382E" w:rsidRDefault="00940629" w:rsidP="00940629">
      <w:pPr>
        <w:pBdr>
          <w:top w:val="nil"/>
          <w:left w:val="nil"/>
          <w:bottom w:val="nil"/>
          <w:right w:val="nil"/>
          <w:between w:val="nil"/>
        </w:pBdr>
        <w:spacing w:before="120" w:after="120"/>
        <w:ind w:left="862" w:right="862"/>
        <w:jc w:val="both"/>
        <w:rPr>
          <w:rFonts w:ascii="Palatino Linotype" w:eastAsia="Palatino Linotype" w:hAnsi="Palatino Linotype" w:cs="Palatino Linotype"/>
          <w:i/>
        </w:rPr>
      </w:pPr>
      <w:r w:rsidRPr="0020382E">
        <w:rPr>
          <w:rFonts w:ascii="Palatino Linotype" w:eastAsia="Palatino Linotype" w:hAnsi="Palatino Linotype" w:cs="Palatino Linotype"/>
          <w:i/>
          <w:sz w:val="22"/>
          <w:szCs w:val="22"/>
        </w:rPr>
        <w:t>...</w:t>
      </w:r>
    </w:p>
    <w:p w14:paraId="799EAF11" w14:textId="77777777" w:rsidR="00FA7631" w:rsidRPr="0020382E" w:rsidRDefault="00335356" w:rsidP="00940629">
      <w:pPr>
        <w:pBdr>
          <w:top w:val="nil"/>
          <w:left w:val="nil"/>
          <w:bottom w:val="nil"/>
          <w:right w:val="nil"/>
          <w:between w:val="nil"/>
        </w:pBdr>
        <w:spacing w:before="120" w:after="120"/>
        <w:ind w:left="862"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 xml:space="preserve">A. Para el ejercicio del derecho de acceso a la información, la Federación y </w:t>
      </w:r>
      <w:r w:rsidRPr="0020382E">
        <w:rPr>
          <w:rFonts w:ascii="Palatino Linotype" w:eastAsia="Palatino Linotype" w:hAnsi="Palatino Linotype" w:cs="Palatino Linotype"/>
          <w:b/>
          <w:i/>
          <w:sz w:val="22"/>
          <w:szCs w:val="22"/>
          <w:u w:val="single"/>
        </w:rPr>
        <w:t>las entidades federativas</w:t>
      </w:r>
      <w:r w:rsidRPr="0020382E">
        <w:rPr>
          <w:rFonts w:ascii="Palatino Linotype" w:eastAsia="Palatino Linotype" w:hAnsi="Palatino Linotype" w:cs="Palatino Linotype"/>
          <w:b/>
          <w:i/>
          <w:sz w:val="22"/>
          <w:szCs w:val="22"/>
        </w:rPr>
        <w:t>,</w:t>
      </w:r>
      <w:r w:rsidRPr="0020382E">
        <w:rPr>
          <w:rFonts w:ascii="Palatino Linotype" w:eastAsia="Palatino Linotype" w:hAnsi="Palatino Linotype" w:cs="Palatino Linotype"/>
          <w:i/>
          <w:sz w:val="22"/>
          <w:szCs w:val="22"/>
        </w:rPr>
        <w:t xml:space="preserve"> en el ámbito de sus respectivas competencias, se regirán por los siguientes principios y bases:</w:t>
      </w:r>
    </w:p>
    <w:p w14:paraId="57AF0B86"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i/>
          <w:sz w:val="22"/>
          <w:szCs w:val="22"/>
        </w:rPr>
        <w:t> </w:t>
      </w:r>
      <w:r w:rsidRPr="0020382E">
        <w:rPr>
          <w:rFonts w:ascii="Palatino Linotype" w:eastAsia="Palatino Linotype" w:hAnsi="Palatino Linotype" w:cs="Palatino Linotype"/>
          <w:b/>
          <w:i/>
          <w:sz w:val="22"/>
          <w:szCs w:val="22"/>
        </w:rPr>
        <w:t xml:space="preserve">I. </w:t>
      </w:r>
      <w:r w:rsidRPr="0020382E">
        <w:rPr>
          <w:rFonts w:ascii="Palatino Linotype" w:eastAsia="Palatino Linotype" w:hAnsi="Palatino Linotype" w:cs="Palatino Linotype"/>
          <w:b/>
          <w:i/>
          <w:sz w:val="22"/>
          <w:szCs w:val="22"/>
          <w:u w:val="single"/>
        </w:rPr>
        <w:t>Toda la información en posesión de cualquier autoridad, entidad, órgano y organismo de los Poderes</w:t>
      </w:r>
      <w:r w:rsidRPr="0020382E">
        <w:rPr>
          <w:rFonts w:ascii="Palatino Linotype" w:eastAsia="Palatino Linotype" w:hAnsi="Palatino Linotype" w:cs="Palatino Linotype"/>
          <w:i/>
          <w:sz w:val="22"/>
          <w:szCs w:val="22"/>
        </w:rPr>
        <w:t xml:space="preserve"> Ejecutivo, Legislativo </w:t>
      </w:r>
      <w:r w:rsidRPr="0020382E">
        <w:rPr>
          <w:rFonts w:ascii="Palatino Linotype" w:eastAsia="Palatino Linotype" w:hAnsi="Palatino Linotype" w:cs="Palatino Linotype"/>
          <w:b/>
          <w:i/>
          <w:sz w:val="22"/>
          <w:szCs w:val="22"/>
          <w:u w:val="single"/>
        </w:rPr>
        <w:t>y Judicial</w:t>
      </w:r>
      <w:r w:rsidRPr="0020382E">
        <w:rPr>
          <w:rFonts w:ascii="Palatino Linotype" w:eastAsia="Palatino Linotype" w:hAnsi="Palatino Linotype" w:cs="Palatino Linotype"/>
          <w:i/>
          <w:sz w:val="22"/>
          <w:szCs w:val="22"/>
        </w:rPr>
        <w:t xml:space="preserve">, órganos autónomos, partidos políticos, fideicomisos y fondos públicos, así como de cualquier persona física, moral o sindicato que reciba y ejerza recursos públicos o realice actos de autoridad en el ámbito federal, estatal y municipal, </w:t>
      </w:r>
      <w:r w:rsidRPr="0020382E">
        <w:rPr>
          <w:rFonts w:ascii="Palatino Linotype" w:eastAsia="Palatino Linotype" w:hAnsi="Palatino Linotype" w:cs="Palatino Linotype"/>
          <w:b/>
          <w:i/>
          <w:sz w:val="22"/>
          <w:szCs w:val="22"/>
        </w:rPr>
        <w:t>es pública y sólo podrá ser reservada temporalmente por razones de interés público y seguridad nacional,</w:t>
      </w:r>
      <w:r w:rsidRPr="0020382E">
        <w:rPr>
          <w:rFonts w:ascii="Palatino Linotype" w:eastAsia="Palatino Linotype" w:hAnsi="Palatino Linotype" w:cs="Palatino Linotype"/>
          <w:i/>
          <w:sz w:val="22"/>
          <w:szCs w:val="22"/>
        </w:rPr>
        <w:t xml:space="preserve"> en los términos que fijen las leyes. En la interpretación de este derecho deberá prevalecer el principio de máxima publicidad. Los sujetos obligados deberán documentar todo acto que derive del ejercicio de sus facultades, competencias o funciones, la ley determinará los supuestos específicos bajo los cuales procederá la declaración de inexistencia de la información.</w:t>
      </w:r>
    </w:p>
    <w:p w14:paraId="7159F742"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b/>
          <w:i/>
          <w:sz w:val="22"/>
          <w:szCs w:val="22"/>
        </w:rPr>
      </w:pPr>
      <w:r w:rsidRPr="0020382E">
        <w:rPr>
          <w:rFonts w:ascii="Palatino Linotype" w:eastAsia="Palatino Linotype" w:hAnsi="Palatino Linotype" w:cs="Palatino Linotype"/>
          <w:i/>
          <w:sz w:val="22"/>
          <w:szCs w:val="22"/>
        </w:rPr>
        <w:lastRenderedPageBreak/>
        <w:t> </w:t>
      </w:r>
      <w:r w:rsidRPr="0020382E">
        <w:rPr>
          <w:rFonts w:ascii="Palatino Linotype" w:eastAsia="Palatino Linotype" w:hAnsi="Palatino Linotype" w:cs="Palatino Linotype"/>
          <w:b/>
          <w:i/>
          <w:sz w:val="22"/>
          <w:szCs w:val="22"/>
        </w:rPr>
        <w:t>II. La información que se refiere a la vida privada y los datos personales será protegida en los términos y con las excepciones que fijen las leyes.</w:t>
      </w:r>
    </w:p>
    <w:p w14:paraId="236F882E"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i/>
          <w:sz w:val="22"/>
          <w:szCs w:val="22"/>
        </w:rPr>
        <w:t> </w:t>
      </w:r>
      <w:r w:rsidRPr="0020382E">
        <w:rPr>
          <w:rFonts w:ascii="Palatino Linotype" w:eastAsia="Palatino Linotype" w:hAnsi="Palatino Linotype" w:cs="Palatino Linotype"/>
          <w:b/>
          <w:i/>
          <w:sz w:val="22"/>
          <w:szCs w:val="22"/>
        </w:rPr>
        <w:t xml:space="preserve">III. </w:t>
      </w:r>
      <w:r w:rsidRPr="0020382E">
        <w:rPr>
          <w:rFonts w:ascii="Palatino Linotype" w:eastAsia="Palatino Linotype" w:hAnsi="Palatino Linotype" w:cs="Palatino Linotype"/>
          <w:b/>
          <w:i/>
          <w:sz w:val="22"/>
          <w:szCs w:val="22"/>
          <w:u w:val="single"/>
        </w:rPr>
        <w:t>Toda persona, sin necesidad de acreditar interés alguno o justificar su utilización, tendrá acceso gratuito a la información pública,</w:t>
      </w:r>
      <w:r w:rsidRPr="0020382E">
        <w:rPr>
          <w:rFonts w:ascii="Palatino Linotype" w:eastAsia="Palatino Linotype" w:hAnsi="Palatino Linotype" w:cs="Palatino Linotype"/>
          <w:i/>
          <w:sz w:val="22"/>
          <w:szCs w:val="22"/>
        </w:rPr>
        <w:t xml:space="preserve"> a sus datos personales o a la rectificación de éstos.</w:t>
      </w:r>
    </w:p>
    <w:p w14:paraId="08C80117"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i/>
          <w:sz w:val="22"/>
          <w:szCs w:val="22"/>
        </w:rPr>
        <w:t> </w:t>
      </w:r>
      <w:r w:rsidRPr="0020382E">
        <w:rPr>
          <w:rFonts w:ascii="Palatino Linotype" w:eastAsia="Palatino Linotype" w:hAnsi="Palatino Linotype" w:cs="Palatino Linotype"/>
          <w:b/>
          <w:i/>
          <w:sz w:val="22"/>
          <w:szCs w:val="22"/>
        </w:rPr>
        <w:t xml:space="preserve">IV. </w:t>
      </w:r>
      <w:r w:rsidRPr="0020382E">
        <w:rPr>
          <w:rFonts w:ascii="Palatino Linotype" w:eastAsia="Palatino Linotype" w:hAnsi="Palatino Linotype" w:cs="Palatino Linotype"/>
          <w:i/>
          <w:sz w:val="22"/>
          <w:szCs w:val="22"/>
        </w:rPr>
        <w:t>Se establecerán mecanismos de acceso a la información y procedimientos de revisión expeditos que se sustanciarán ante los organismos autónomos especializados e imparciales que establece esta Constitución.</w:t>
      </w:r>
    </w:p>
    <w:p w14:paraId="7BDE818E"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 xml:space="preserve">V. </w:t>
      </w:r>
      <w:r w:rsidRPr="0020382E">
        <w:rPr>
          <w:rFonts w:ascii="Palatino Linotype" w:eastAsia="Palatino Linotype" w:hAnsi="Palatino Linotype" w:cs="Palatino Linotype"/>
          <w:i/>
          <w:sz w:val="22"/>
          <w:szCs w:val="22"/>
        </w:rPr>
        <w:t>Los sujetos obligados deberán preservar sus documentos en archivos administrativos actualizados y publicarán, a través de los medios electrónicos disponibles, la información completa y actualizada sobre el ejercicio de los recursos públicos y los indicadores que permitan rendir cuenta del cumplimiento de sus objetivos y de los resultados obtenidos.</w:t>
      </w:r>
    </w:p>
    <w:p w14:paraId="221D1940"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i/>
          <w:sz w:val="22"/>
          <w:szCs w:val="22"/>
        </w:rPr>
        <w:t> </w:t>
      </w:r>
      <w:r w:rsidRPr="0020382E">
        <w:rPr>
          <w:rFonts w:ascii="Palatino Linotype" w:eastAsia="Palatino Linotype" w:hAnsi="Palatino Linotype" w:cs="Palatino Linotype"/>
          <w:b/>
          <w:i/>
          <w:sz w:val="22"/>
          <w:szCs w:val="22"/>
        </w:rPr>
        <w:t xml:space="preserve">VI. </w:t>
      </w:r>
      <w:r w:rsidRPr="0020382E">
        <w:rPr>
          <w:rFonts w:ascii="Palatino Linotype" w:eastAsia="Palatino Linotype" w:hAnsi="Palatino Linotype" w:cs="Palatino Linotype"/>
          <w:i/>
          <w:sz w:val="22"/>
          <w:szCs w:val="22"/>
        </w:rPr>
        <w:t>Las leyes determinarán la manera en que los sujetos obligados deberán hacer pública la información relativa a los recursos públicos que entreguen a personas físicas o morales.</w:t>
      </w:r>
    </w:p>
    <w:p w14:paraId="515E7F0C"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i/>
          <w:sz w:val="22"/>
          <w:szCs w:val="22"/>
        </w:rPr>
        <w:t> </w:t>
      </w:r>
      <w:r w:rsidRPr="0020382E">
        <w:rPr>
          <w:rFonts w:ascii="Palatino Linotype" w:eastAsia="Palatino Linotype" w:hAnsi="Palatino Linotype" w:cs="Palatino Linotype"/>
          <w:b/>
          <w:i/>
          <w:sz w:val="22"/>
          <w:szCs w:val="22"/>
        </w:rPr>
        <w:t xml:space="preserve">VII. </w:t>
      </w:r>
      <w:r w:rsidRPr="0020382E">
        <w:rPr>
          <w:rFonts w:ascii="Palatino Linotype" w:eastAsia="Palatino Linotype" w:hAnsi="Palatino Linotype" w:cs="Palatino Linotype"/>
          <w:i/>
          <w:sz w:val="22"/>
          <w:szCs w:val="22"/>
        </w:rPr>
        <w:t xml:space="preserve">La inobservancia a las disposiciones en materia de acceso a la información pública será sancionada en los términos que dispongan las leyes. </w:t>
      </w:r>
    </w:p>
    <w:p w14:paraId="313CBE2F" w14:textId="77777777" w:rsidR="00FA7631" w:rsidRPr="0020382E" w:rsidRDefault="00940629" w:rsidP="00940629">
      <w:pPr>
        <w:pBdr>
          <w:top w:val="nil"/>
          <w:left w:val="nil"/>
          <w:bottom w:val="nil"/>
          <w:right w:val="nil"/>
          <w:between w:val="nil"/>
        </w:pBdr>
        <w:spacing w:before="120" w:after="120"/>
        <w:ind w:left="862"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i/>
          <w:sz w:val="22"/>
          <w:szCs w:val="22"/>
        </w:rPr>
        <w:t>...”</w:t>
      </w:r>
    </w:p>
    <w:p w14:paraId="0258EE37" w14:textId="77777777" w:rsidR="00FA7631" w:rsidRPr="0020382E" w:rsidRDefault="00335356">
      <w:pPr>
        <w:tabs>
          <w:tab w:val="left" w:pos="709"/>
        </w:tabs>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Así, de la interpretación sistémica de los numerales inmersos en el instrumento legal nacional, el derecho de acceso a la información es un derecho del cual goza toda persona sin discriminación alguna, el cual se ejerce ante los Poderes del Estado, entidades, dependencias o cualquiera persona física o moral que reciba y ejerza recursos públicos, siendo pública toda la información que posean con las excepciones enmarcadas, para lo cual queda demostrado que los Sujetos Obligados deben cumplir con dichos dispositivos legales.</w:t>
      </w:r>
    </w:p>
    <w:p w14:paraId="28B75EFE" w14:textId="77777777" w:rsidR="00FA7631" w:rsidRPr="0020382E" w:rsidRDefault="00335356">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En ese orden de ideas, la Ley de Transparencia y Acceso a la Información Pública del Estado de México y Municipios, prevé en su artículo 23, lo siguiente:</w:t>
      </w:r>
    </w:p>
    <w:p w14:paraId="1DC3F3CB" w14:textId="77777777" w:rsidR="00FA7631" w:rsidRPr="0020382E" w:rsidRDefault="00940629" w:rsidP="00940629">
      <w:pPr>
        <w:pBdr>
          <w:top w:val="nil"/>
          <w:left w:val="nil"/>
          <w:bottom w:val="nil"/>
          <w:right w:val="nil"/>
          <w:between w:val="nil"/>
        </w:pBdr>
        <w:spacing w:before="120" w:after="120"/>
        <w:ind w:left="862"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lastRenderedPageBreak/>
        <w:t>“</w:t>
      </w:r>
      <w:r w:rsidR="00335356" w:rsidRPr="0020382E">
        <w:rPr>
          <w:rFonts w:ascii="Palatino Linotype" w:eastAsia="Palatino Linotype" w:hAnsi="Palatino Linotype" w:cs="Palatino Linotype"/>
          <w:b/>
          <w:i/>
          <w:sz w:val="22"/>
          <w:szCs w:val="22"/>
        </w:rPr>
        <w:t>Artículo</w:t>
      </w:r>
      <w:r w:rsidR="00335356" w:rsidRPr="0020382E">
        <w:rPr>
          <w:rFonts w:ascii="Palatino Linotype" w:eastAsia="Palatino Linotype" w:hAnsi="Palatino Linotype" w:cs="Palatino Linotype"/>
          <w:b/>
          <w:i/>
        </w:rPr>
        <w:t xml:space="preserve"> </w:t>
      </w:r>
      <w:r w:rsidR="00335356" w:rsidRPr="0020382E">
        <w:rPr>
          <w:rFonts w:ascii="Palatino Linotype" w:eastAsia="Palatino Linotype" w:hAnsi="Palatino Linotype" w:cs="Palatino Linotype"/>
          <w:b/>
          <w:i/>
          <w:sz w:val="22"/>
          <w:szCs w:val="22"/>
        </w:rPr>
        <w:t>23.</w:t>
      </w:r>
      <w:r w:rsidR="00335356" w:rsidRPr="0020382E">
        <w:rPr>
          <w:rFonts w:ascii="Palatino Linotype" w:eastAsia="Palatino Linotype" w:hAnsi="Palatino Linotype" w:cs="Palatino Linotype"/>
          <w:b/>
          <w:i/>
        </w:rPr>
        <w:t xml:space="preserve"> </w:t>
      </w:r>
      <w:r w:rsidR="00335356" w:rsidRPr="0020382E">
        <w:rPr>
          <w:rFonts w:ascii="Palatino Linotype" w:eastAsia="Palatino Linotype" w:hAnsi="Palatino Linotype" w:cs="Palatino Linotype"/>
          <w:b/>
          <w:i/>
          <w:sz w:val="22"/>
          <w:szCs w:val="22"/>
        </w:rPr>
        <w:t>Son</w:t>
      </w:r>
      <w:r w:rsidR="00335356" w:rsidRPr="0020382E">
        <w:rPr>
          <w:rFonts w:ascii="Palatino Linotype" w:eastAsia="Palatino Linotype" w:hAnsi="Palatino Linotype" w:cs="Palatino Linotype"/>
          <w:b/>
          <w:i/>
        </w:rPr>
        <w:t xml:space="preserve"> </w:t>
      </w:r>
      <w:r w:rsidR="00335356" w:rsidRPr="0020382E">
        <w:rPr>
          <w:rFonts w:ascii="Palatino Linotype" w:eastAsia="Palatino Linotype" w:hAnsi="Palatino Linotype" w:cs="Palatino Linotype"/>
          <w:b/>
          <w:i/>
          <w:sz w:val="22"/>
          <w:szCs w:val="22"/>
        </w:rPr>
        <w:t>sujetos</w:t>
      </w:r>
      <w:r w:rsidR="00335356" w:rsidRPr="0020382E">
        <w:rPr>
          <w:rFonts w:ascii="Palatino Linotype" w:eastAsia="Palatino Linotype" w:hAnsi="Palatino Linotype" w:cs="Palatino Linotype"/>
          <w:b/>
          <w:i/>
        </w:rPr>
        <w:t xml:space="preserve"> </w:t>
      </w:r>
      <w:r w:rsidR="00335356" w:rsidRPr="0020382E">
        <w:rPr>
          <w:rFonts w:ascii="Palatino Linotype" w:eastAsia="Palatino Linotype" w:hAnsi="Palatino Linotype" w:cs="Palatino Linotype"/>
          <w:b/>
          <w:i/>
          <w:sz w:val="22"/>
          <w:szCs w:val="22"/>
        </w:rPr>
        <w:t>obligados</w:t>
      </w:r>
      <w:r w:rsidR="00335356" w:rsidRPr="0020382E">
        <w:rPr>
          <w:rFonts w:ascii="Palatino Linotype" w:eastAsia="Palatino Linotype" w:hAnsi="Palatino Linotype" w:cs="Palatino Linotype"/>
          <w:b/>
          <w:i/>
        </w:rPr>
        <w:t xml:space="preserve"> </w:t>
      </w:r>
      <w:r w:rsidR="00335356" w:rsidRPr="0020382E">
        <w:rPr>
          <w:rFonts w:ascii="Palatino Linotype" w:eastAsia="Palatino Linotype" w:hAnsi="Palatino Linotype" w:cs="Palatino Linotype"/>
          <w:b/>
          <w:i/>
          <w:sz w:val="22"/>
          <w:szCs w:val="22"/>
        </w:rPr>
        <w:t>a</w:t>
      </w:r>
      <w:r w:rsidR="00335356" w:rsidRPr="0020382E">
        <w:rPr>
          <w:rFonts w:ascii="Palatino Linotype" w:eastAsia="Palatino Linotype" w:hAnsi="Palatino Linotype" w:cs="Palatino Linotype"/>
          <w:b/>
          <w:i/>
        </w:rPr>
        <w:t xml:space="preserve"> </w:t>
      </w:r>
      <w:r w:rsidR="00335356" w:rsidRPr="0020382E">
        <w:rPr>
          <w:rFonts w:ascii="Palatino Linotype" w:eastAsia="Palatino Linotype" w:hAnsi="Palatino Linotype" w:cs="Palatino Linotype"/>
          <w:b/>
          <w:i/>
          <w:sz w:val="22"/>
          <w:szCs w:val="22"/>
        </w:rPr>
        <w:t>transparentar</w:t>
      </w:r>
      <w:r w:rsidR="00335356" w:rsidRPr="0020382E">
        <w:rPr>
          <w:rFonts w:ascii="Palatino Linotype" w:eastAsia="Palatino Linotype" w:hAnsi="Palatino Linotype" w:cs="Palatino Linotype"/>
          <w:b/>
          <w:i/>
        </w:rPr>
        <w:t xml:space="preserve"> </w:t>
      </w:r>
      <w:r w:rsidR="00335356" w:rsidRPr="0020382E">
        <w:rPr>
          <w:rFonts w:ascii="Palatino Linotype" w:eastAsia="Palatino Linotype" w:hAnsi="Palatino Linotype" w:cs="Palatino Linotype"/>
          <w:b/>
          <w:i/>
          <w:sz w:val="22"/>
          <w:szCs w:val="22"/>
        </w:rPr>
        <w:t>y</w:t>
      </w:r>
      <w:r w:rsidR="00335356" w:rsidRPr="0020382E">
        <w:rPr>
          <w:rFonts w:ascii="Palatino Linotype" w:eastAsia="Palatino Linotype" w:hAnsi="Palatino Linotype" w:cs="Palatino Linotype"/>
          <w:b/>
          <w:i/>
        </w:rPr>
        <w:t xml:space="preserve"> </w:t>
      </w:r>
      <w:r w:rsidR="00335356" w:rsidRPr="0020382E">
        <w:rPr>
          <w:rFonts w:ascii="Palatino Linotype" w:eastAsia="Palatino Linotype" w:hAnsi="Palatino Linotype" w:cs="Palatino Linotype"/>
          <w:b/>
          <w:i/>
          <w:sz w:val="22"/>
          <w:szCs w:val="22"/>
        </w:rPr>
        <w:t>permitir</w:t>
      </w:r>
      <w:r w:rsidR="00335356" w:rsidRPr="0020382E">
        <w:rPr>
          <w:rFonts w:ascii="Palatino Linotype" w:eastAsia="Palatino Linotype" w:hAnsi="Palatino Linotype" w:cs="Palatino Linotype"/>
          <w:b/>
          <w:i/>
        </w:rPr>
        <w:t xml:space="preserve"> </w:t>
      </w:r>
      <w:r w:rsidR="00335356" w:rsidRPr="0020382E">
        <w:rPr>
          <w:rFonts w:ascii="Palatino Linotype" w:eastAsia="Palatino Linotype" w:hAnsi="Palatino Linotype" w:cs="Palatino Linotype"/>
          <w:b/>
          <w:i/>
          <w:sz w:val="22"/>
          <w:szCs w:val="22"/>
        </w:rPr>
        <w:t>el</w:t>
      </w:r>
      <w:r w:rsidR="00335356" w:rsidRPr="0020382E">
        <w:rPr>
          <w:rFonts w:ascii="Palatino Linotype" w:eastAsia="Palatino Linotype" w:hAnsi="Palatino Linotype" w:cs="Palatino Linotype"/>
          <w:b/>
          <w:i/>
        </w:rPr>
        <w:t xml:space="preserve"> </w:t>
      </w:r>
      <w:r w:rsidR="00335356" w:rsidRPr="0020382E">
        <w:rPr>
          <w:rFonts w:ascii="Palatino Linotype" w:eastAsia="Palatino Linotype" w:hAnsi="Palatino Linotype" w:cs="Palatino Linotype"/>
          <w:b/>
          <w:i/>
          <w:sz w:val="22"/>
          <w:szCs w:val="22"/>
        </w:rPr>
        <w:t>acceso</w:t>
      </w:r>
      <w:r w:rsidR="00335356" w:rsidRPr="0020382E">
        <w:rPr>
          <w:rFonts w:ascii="Palatino Linotype" w:eastAsia="Palatino Linotype" w:hAnsi="Palatino Linotype" w:cs="Palatino Linotype"/>
          <w:b/>
          <w:i/>
        </w:rPr>
        <w:t xml:space="preserve"> </w:t>
      </w:r>
      <w:r w:rsidR="00335356" w:rsidRPr="0020382E">
        <w:rPr>
          <w:rFonts w:ascii="Palatino Linotype" w:eastAsia="Palatino Linotype" w:hAnsi="Palatino Linotype" w:cs="Palatino Linotype"/>
          <w:b/>
          <w:i/>
          <w:sz w:val="22"/>
          <w:szCs w:val="22"/>
        </w:rPr>
        <w:t>a</w:t>
      </w:r>
      <w:r w:rsidR="00335356" w:rsidRPr="0020382E">
        <w:rPr>
          <w:rFonts w:ascii="Palatino Linotype" w:eastAsia="Palatino Linotype" w:hAnsi="Palatino Linotype" w:cs="Palatino Linotype"/>
          <w:b/>
          <w:i/>
        </w:rPr>
        <w:t xml:space="preserve"> </w:t>
      </w:r>
      <w:r w:rsidR="00335356" w:rsidRPr="0020382E">
        <w:rPr>
          <w:rFonts w:ascii="Palatino Linotype" w:eastAsia="Palatino Linotype" w:hAnsi="Palatino Linotype" w:cs="Palatino Linotype"/>
          <w:b/>
          <w:i/>
          <w:sz w:val="22"/>
          <w:szCs w:val="22"/>
        </w:rPr>
        <w:t>su</w:t>
      </w:r>
      <w:r w:rsidR="00335356" w:rsidRPr="0020382E">
        <w:rPr>
          <w:rFonts w:ascii="Palatino Linotype" w:eastAsia="Palatino Linotype" w:hAnsi="Palatino Linotype" w:cs="Palatino Linotype"/>
          <w:b/>
          <w:i/>
        </w:rPr>
        <w:t xml:space="preserve"> </w:t>
      </w:r>
      <w:r w:rsidR="00335356" w:rsidRPr="0020382E">
        <w:rPr>
          <w:rFonts w:ascii="Palatino Linotype" w:eastAsia="Palatino Linotype" w:hAnsi="Palatino Linotype" w:cs="Palatino Linotype"/>
          <w:b/>
          <w:i/>
          <w:sz w:val="22"/>
          <w:szCs w:val="22"/>
        </w:rPr>
        <w:t>información</w:t>
      </w:r>
      <w:r w:rsidR="00335356" w:rsidRPr="0020382E">
        <w:rPr>
          <w:rFonts w:ascii="Palatino Linotype" w:eastAsia="Palatino Linotype" w:hAnsi="Palatino Linotype" w:cs="Palatino Linotype"/>
          <w:b/>
          <w:i/>
        </w:rPr>
        <w:t xml:space="preserve"> </w:t>
      </w:r>
      <w:r w:rsidR="00335356" w:rsidRPr="0020382E">
        <w:rPr>
          <w:rFonts w:ascii="Palatino Linotype" w:eastAsia="Palatino Linotype" w:hAnsi="Palatino Linotype" w:cs="Palatino Linotype"/>
          <w:b/>
          <w:i/>
          <w:sz w:val="22"/>
          <w:szCs w:val="22"/>
        </w:rPr>
        <w:t>y</w:t>
      </w:r>
      <w:r w:rsidR="00335356" w:rsidRPr="0020382E">
        <w:rPr>
          <w:rFonts w:ascii="Palatino Linotype" w:eastAsia="Palatino Linotype" w:hAnsi="Palatino Linotype" w:cs="Palatino Linotype"/>
          <w:b/>
          <w:i/>
        </w:rPr>
        <w:t xml:space="preserve"> </w:t>
      </w:r>
      <w:r w:rsidR="00335356" w:rsidRPr="0020382E">
        <w:rPr>
          <w:rFonts w:ascii="Palatino Linotype" w:eastAsia="Palatino Linotype" w:hAnsi="Palatino Linotype" w:cs="Palatino Linotype"/>
          <w:b/>
          <w:i/>
          <w:sz w:val="22"/>
          <w:szCs w:val="22"/>
        </w:rPr>
        <w:t>proteger</w:t>
      </w:r>
      <w:r w:rsidR="00335356" w:rsidRPr="0020382E">
        <w:rPr>
          <w:rFonts w:ascii="Palatino Linotype" w:eastAsia="Palatino Linotype" w:hAnsi="Palatino Linotype" w:cs="Palatino Linotype"/>
          <w:b/>
          <w:i/>
        </w:rPr>
        <w:t xml:space="preserve"> </w:t>
      </w:r>
      <w:r w:rsidR="00335356" w:rsidRPr="0020382E">
        <w:rPr>
          <w:rFonts w:ascii="Palatino Linotype" w:eastAsia="Palatino Linotype" w:hAnsi="Palatino Linotype" w:cs="Palatino Linotype"/>
          <w:b/>
          <w:i/>
          <w:sz w:val="22"/>
          <w:szCs w:val="22"/>
        </w:rPr>
        <w:t>los</w:t>
      </w:r>
      <w:r w:rsidR="00335356" w:rsidRPr="0020382E">
        <w:rPr>
          <w:rFonts w:ascii="Palatino Linotype" w:eastAsia="Palatino Linotype" w:hAnsi="Palatino Linotype" w:cs="Palatino Linotype"/>
          <w:b/>
          <w:i/>
        </w:rPr>
        <w:t xml:space="preserve"> </w:t>
      </w:r>
      <w:r w:rsidR="00335356" w:rsidRPr="0020382E">
        <w:rPr>
          <w:rFonts w:ascii="Palatino Linotype" w:eastAsia="Palatino Linotype" w:hAnsi="Palatino Linotype" w:cs="Palatino Linotype"/>
          <w:b/>
          <w:i/>
          <w:sz w:val="22"/>
          <w:szCs w:val="22"/>
        </w:rPr>
        <w:t>datos</w:t>
      </w:r>
      <w:r w:rsidR="00335356" w:rsidRPr="0020382E">
        <w:rPr>
          <w:rFonts w:ascii="Palatino Linotype" w:eastAsia="Palatino Linotype" w:hAnsi="Palatino Linotype" w:cs="Palatino Linotype"/>
          <w:b/>
          <w:i/>
        </w:rPr>
        <w:t xml:space="preserve"> </w:t>
      </w:r>
      <w:r w:rsidR="00335356" w:rsidRPr="0020382E">
        <w:rPr>
          <w:rFonts w:ascii="Palatino Linotype" w:eastAsia="Palatino Linotype" w:hAnsi="Palatino Linotype" w:cs="Palatino Linotype"/>
          <w:b/>
          <w:i/>
          <w:sz w:val="22"/>
          <w:szCs w:val="22"/>
        </w:rPr>
        <w:t>personales</w:t>
      </w:r>
      <w:r w:rsidR="00335356" w:rsidRPr="0020382E">
        <w:rPr>
          <w:rFonts w:ascii="Palatino Linotype" w:eastAsia="Palatino Linotype" w:hAnsi="Palatino Linotype" w:cs="Palatino Linotype"/>
          <w:b/>
          <w:i/>
        </w:rPr>
        <w:t xml:space="preserve"> </w:t>
      </w:r>
      <w:r w:rsidR="00335356" w:rsidRPr="0020382E">
        <w:rPr>
          <w:rFonts w:ascii="Palatino Linotype" w:eastAsia="Palatino Linotype" w:hAnsi="Palatino Linotype" w:cs="Palatino Linotype"/>
          <w:b/>
          <w:i/>
          <w:sz w:val="22"/>
          <w:szCs w:val="22"/>
        </w:rPr>
        <w:t>que</w:t>
      </w:r>
      <w:r w:rsidR="00335356" w:rsidRPr="0020382E">
        <w:rPr>
          <w:rFonts w:ascii="Palatino Linotype" w:eastAsia="Palatino Linotype" w:hAnsi="Palatino Linotype" w:cs="Palatino Linotype"/>
          <w:b/>
          <w:i/>
        </w:rPr>
        <w:t xml:space="preserve"> </w:t>
      </w:r>
      <w:r w:rsidR="00335356" w:rsidRPr="0020382E">
        <w:rPr>
          <w:rFonts w:ascii="Palatino Linotype" w:eastAsia="Palatino Linotype" w:hAnsi="Palatino Linotype" w:cs="Palatino Linotype"/>
          <w:b/>
          <w:i/>
          <w:sz w:val="22"/>
          <w:szCs w:val="22"/>
        </w:rPr>
        <w:t>obren</w:t>
      </w:r>
      <w:r w:rsidR="00335356" w:rsidRPr="0020382E">
        <w:rPr>
          <w:rFonts w:ascii="Palatino Linotype" w:eastAsia="Palatino Linotype" w:hAnsi="Palatino Linotype" w:cs="Palatino Linotype"/>
          <w:b/>
          <w:i/>
        </w:rPr>
        <w:t xml:space="preserve"> </w:t>
      </w:r>
      <w:r w:rsidR="00335356" w:rsidRPr="0020382E">
        <w:rPr>
          <w:rFonts w:ascii="Palatino Linotype" w:eastAsia="Palatino Linotype" w:hAnsi="Palatino Linotype" w:cs="Palatino Linotype"/>
          <w:b/>
          <w:i/>
          <w:sz w:val="22"/>
          <w:szCs w:val="22"/>
        </w:rPr>
        <w:t>en</w:t>
      </w:r>
      <w:r w:rsidR="00335356" w:rsidRPr="0020382E">
        <w:rPr>
          <w:rFonts w:ascii="Palatino Linotype" w:eastAsia="Palatino Linotype" w:hAnsi="Palatino Linotype" w:cs="Palatino Linotype"/>
          <w:b/>
          <w:i/>
        </w:rPr>
        <w:t xml:space="preserve"> </w:t>
      </w:r>
      <w:r w:rsidR="00335356" w:rsidRPr="0020382E">
        <w:rPr>
          <w:rFonts w:ascii="Palatino Linotype" w:eastAsia="Palatino Linotype" w:hAnsi="Palatino Linotype" w:cs="Palatino Linotype"/>
          <w:b/>
          <w:i/>
          <w:sz w:val="22"/>
          <w:szCs w:val="22"/>
        </w:rPr>
        <w:t>su</w:t>
      </w:r>
      <w:r w:rsidR="00335356" w:rsidRPr="0020382E">
        <w:rPr>
          <w:rFonts w:ascii="Palatino Linotype" w:eastAsia="Palatino Linotype" w:hAnsi="Palatino Linotype" w:cs="Palatino Linotype"/>
          <w:b/>
          <w:i/>
        </w:rPr>
        <w:t xml:space="preserve"> </w:t>
      </w:r>
      <w:r w:rsidR="00335356" w:rsidRPr="0020382E">
        <w:rPr>
          <w:rFonts w:ascii="Palatino Linotype" w:eastAsia="Palatino Linotype" w:hAnsi="Palatino Linotype" w:cs="Palatino Linotype"/>
          <w:b/>
          <w:i/>
          <w:sz w:val="22"/>
          <w:szCs w:val="22"/>
        </w:rPr>
        <w:t>poder</w:t>
      </w:r>
      <w:r w:rsidR="00335356" w:rsidRPr="0020382E">
        <w:rPr>
          <w:rFonts w:ascii="Palatino Linotype" w:eastAsia="Palatino Linotype" w:hAnsi="Palatino Linotype" w:cs="Palatino Linotype"/>
          <w:i/>
          <w:sz w:val="22"/>
          <w:szCs w:val="22"/>
        </w:rPr>
        <w:t>:</w:t>
      </w:r>
    </w:p>
    <w:p w14:paraId="016C8219"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b/>
          <w:i/>
          <w:sz w:val="22"/>
          <w:szCs w:val="22"/>
        </w:rPr>
      </w:pPr>
      <w:r w:rsidRPr="0020382E">
        <w:rPr>
          <w:rFonts w:ascii="Palatino Linotype" w:eastAsia="Palatino Linotype" w:hAnsi="Palatino Linotype" w:cs="Palatino Linotype"/>
          <w:b/>
          <w:i/>
          <w:sz w:val="22"/>
          <w:szCs w:val="22"/>
        </w:rPr>
        <w:t>I.</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El</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Poder</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Ejecutivo</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del</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Estado</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de</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México,</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las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dependencias,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organismos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auxiliares,</w:t>
      </w:r>
      <w:r w:rsidRPr="0020382E">
        <w:rPr>
          <w:rFonts w:ascii="Palatino Linotype" w:eastAsia="Palatino Linotype" w:hAnsi="Palatino Linotype" w:cs="Palatino Linotype"/>
          <w:b/>
          <w:i/>
        </w:rPr>
        <w:t xml:space="preserve"> </w:t>
      </w:r>
      <w:r w:rsidRPr="0020382E">
        <w:rPr>
          <w:rFonts w:ascii="Palatino Linotype" w:eastAsia="Palatino Linotype" w:hAnsi="Palatino Linotype" w:cs="Palatino Linotype"/>
          <w:i/>
          <w:sz w:val="22"/>
          <w:szCs w:val="22"/>
        </w:rPr>
        <w:t>órganos,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entidades,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fideicomisos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y</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fondos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públicos,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así</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como</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la</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Procuraduría</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General</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de</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Justicia;</w:t>
      </w:r>
    </w:p>
    <w:p w14:paraId="3AC7BA45"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II.</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El</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Poder</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Legislativo</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del</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Estado,</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los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organismos,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órganos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y</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entidades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de</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la</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Legislatura</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y</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sus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dependencias;</w:t>
      </w:r>
    </w:p>
    <w:p w14:paraId="1B41C3F5"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III.</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El</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Poder</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Judicial,</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sus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organismos,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órganos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y</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entidades,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así</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como</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el</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Consejo</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de</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la</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Judicatura</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del</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Estado;</w:t>
      </w:r>
    </w:p>
    <w:p w14:paraId="4507599B"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i/>
          <w:sz w:val="22"/>
          <w:szCs w:val="22"/>
        </w:rPr>
        <w:t>IV.</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Los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ayuntamientos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y</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las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dependencias,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organismos,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órganos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y</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entidades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de</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la</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administración</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municipal;</w:t>
      </w:r>
    </w:p>
    <w:p w14:paraId="460573B6"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V.</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Los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órganos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autónomos;</w:t>
      </w:r>
    </w:p>
    <w:p w14:paraId="5A34F63E"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VI.</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Los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tribunales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administrativos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y</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autoridades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jurisdiccionales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en</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materia</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laboral;</w:t>
      </w:r>
    </w:p>
    <w:p w14:paraId="3CD77C4B"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VII.</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Los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partidos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políticos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y</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agrupaciones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políticas,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en</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los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términos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de</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las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disposiciones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aplicables;</w:t>
      </w:r>
    </w:p>
    <w:p w14:paraId="31C825EF"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VIII.</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Los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fideicomisos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y</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fondos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públicos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que</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cuenten</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con</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financiamiento</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público,</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parcial</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o</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total,</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o</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con</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participación</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de</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entidades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de</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gobierno;</w:t>
      </w:r>
    </w:p>
    <w:p w14:paraId="66640FBF"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IX.</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Los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sindicatos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que</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reciban</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y/o</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ejerzan</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recursos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públicos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en</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el</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ámbito</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estatal</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y</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municipal;</w:t>
      </w:r>
    </w:p>
    <w:p w14:paraId="27BD0EFF"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X.</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Cualquier</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persona</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física</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o</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jurídico</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colectiva</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que</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reciba</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y</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ejerza</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recursos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públicos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en</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el</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ámbito</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estatal</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o</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municipal;</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y</w:t>
      </w:r>
    </w:p>
    <w:p w14:paraId="1AF502BD"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XI.</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Cualquier</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otra</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autoridad,</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entidad,</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órgano</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u</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organismo</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de</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los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poderes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estatal</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o</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municipal,</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que</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reciba</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recursos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públicos.</w:t>
      </w:r>
    </w:p>
    <w:p w14:paraId="4476C5AE" w14:textId="77777777" w:rsidR="00FA7631" w:rsidRPr="0020382E" w:rsidRDefault="00335356" w:rsidP="00940629">
      <w:pPr>
        <w:pBdr>
          <w:top w:val="nil"/>
          <w:left w:val="nil"/>
          <w:bottom w:val="nil"/>
          <w:right w:val="nil"/>
          <w:between w:val="nil"/>
        </w:pBdr>
        <w:spacing w:before="120" w:after="120"/>
        <w:ind w:left="862"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i/>
          <w:sz w:val="22"/>
          <w:szCs w:val="22"/>
        </w:rPr>
        <w:t>Los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sujetos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obligados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deberán</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hacer</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pública</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toda</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aquella</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información</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relativa</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a</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los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montos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y</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las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personas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a</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quienes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entreguen,</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por</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cualquier</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motivo,</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recursos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públicos,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así</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como</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los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informes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que</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dichas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personas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les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entreguen</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sobre</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el</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uso</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y</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destino</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de</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dichos</w:t>
      </w:r>
      <w:r w:rsidRPr="0020382E">
        <w:rPr>
          <w:rFonts w:ascii="Palatino Linotype" w:eastAsia="Palatino Linotype" w:hAnsi="Palatino Linotype" w:cs="Palatino Linotype"/>
          <w:i/>
        </w:rPr>
        <w:t xml:space="preserve"> </w:t>
      </w:r>
      <w:r w:rsidRPr="0020382E">
        <w:rPr>
          <w:rFonts w:ascii="Palatino Linotype" w:eastAsia="Palatino Linotype" w:hAnsi="Palatino Linotype" w:cs="Palatino Linotype"/>
          <w:i/>
          <w:sz w:val="22"/>
          <w:szCs w:val="22"/>
        </w:rPr>
        <w:t>recursos.</w:t>
      </w:r>
    </w:p>
    <w:p w14:paraId="1B8A86D2" w14:textId="77777777" w:rsidR="00FA7631" w:rsidRPr="0020382E" w:rsidRDefault="00335356" w:rsidP="00940629">
      <w:pPr>
        <w:pBdr>
          <w:top w:val="nil"/>
          <w:left w:val="nil"/>
          <w:bottom w:val="nil"/>
          <w:right w:val="nil"/>
          <w:between w:val="nil"/>
        </w:pBdr>
        <w:spacing w:before="120" w:after="120"/>
        <w:ind w:left="862"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Los</w:t>
      </w:r>
      <w:r w:rsidRPr="0020382E">
        <w:rPr>
          <w:rFonts w:ascii="Palatino Linotype" w:eastAsia="Palatino Linotype" w:hAnsi="Palatino Linotype" w:cs="Palatino Linotype"/>
          <w:b/>
          <w:i/>
        </w:rPr>
        <w:t xml:space="preserve"> </w:t>
      </w:r>
      <w:r w:rsidRPr="0020382E">
        <w:rPr>
          <w:rFonts w:ascii="Palatino Linotype" w:eastAsia="Palatino Linotype" w:hAnsi="Palatino Linotype" w:cs="Palatino Linotype"/>
          <w:b/>
          <w:i/>
          <w:sz w:val="22"/>
          <w:szCs w:val="22"/>
        </w:rPr>
        <w:t>servidores</w:t>
      </w:r>
      <w:r w:rsidRPr="0020382E">
        <w:rPr>
          <w:rFonts w:ascii="Palatino Linotype" w:eastAsia="Palatino Linotype" w:hAnsi="Palatino Linotype" w:cs="Palatino Linotype"/>
          <w:b/>
          <w:i/>
        </w:rPr>
        <w:t xml:space="preserve"> </w:t>
      </w:r>
      <w:r w:rsidRPr="0020382E">
        <w:rPr>
          <w:rFonts w:ascii="Palatino Linotype" w:eastAsia="Palatino Linotype" w:hAnsi="Palatino Linotype" w:cs="Palatino Linotype"/>
          <w:b/>
          <w:i/>
          <w:sz w:val="22"/>
          <w:szCs w:val="22"/>
        </w:rPr>
        <w:t>públicos</w:t>
      </w:r>
      <w:r w:rsidRPr="0020382E">
        <w:rPr>
          <w:rFonts w:ascii="Palatino Linotype" w:eastAsia="Palatino Linotype" w:hAnsi="Palatino Linotype" w:cs="Palatino Linotype"/>
          <w:b/>
          <w:i/>
        </w:rPr>
        <w:t xml:space="preserve"> </w:t>
      </w:r>
      <w:r w:rsidRPr="0020382E">
        <w:rPr>
          <w:rFonts w:ascii="Palatino Linotype" w:eastAsia="Palatino Linotype" w:hAnsi="Palatino Linotype" w:cs="Palatino Linotype"/>
          <w:b/>
          <w:i/>
          <w:sz w:val="22"/>
          <w:szCs w:val="22"/>
        </w:rPr>
        <w:t>deberán</w:t>
      </w:r>
      <w:r w:rsidRPr="0020382E">
        <w:rPr>
          <w:rFonts w:ascii="Palatino Linotype" w:eastAsia="Palatino Linotype" w:hAnsi="Palatino Linotype" w:cs="Palatino Linotype"/>
          <w:b/>
          <w:i/>
        </w:rPr>
        <w:t xml:space="preserve"> </w:t>
      </w:r>
      <w:r w:rsidRPr="0020382E">
        <w:rPr>
          <w:rFonts w:ascii="Palatino Linotype" w:eastAsia="Palatino Linotype" w:hAnsi="Palatino Linotype" w:cs="Palatino Linotype"/>
          <w:b/>
          <w:i/>
          <w:sz w:val="22"/>
          <w:szCs w:val="22"/>
        </w:rPr>
        <w:t>transparentar</w:t>
      </w:r>
      <w:r w:rsidRPr="0020382E">
        <w:rPr>
          <w:rFonts w:ascii="Palatino Linotype" w:eastAsia="Palatino Linotype" w:hAnsi="Palatino Linotype" w:cs="Palatino Linotype"/>
          <w:b/>
          <w:i/>
        </w:rPr>
        <w:t xml:space="preserve"> </w:t>
      </w:r>
      <w:r w:rsidRPr="0020382E">
        <w:rPr>
          <w:rFonts w:ascii="Palatino Linotype" w:eastAsia="Palatino Linotype" w:hAnsi="Palatino Linotype" w:cs="Palatino Linotype"/>
          <w:b/>
          <w:i/>
          <w:sz w:val="22"/>
          <w:szCs w:val="22"/>
        </w:rPr>
        <w:t>sus</w:t>
      </w:r>
      <w:r w:rsidRPr="0020382E">
        <w:rPr>
          <w:rFonts w:ascii="Palatino Linotype" w:eastAsia="Palatino Linotype" w:hAnsi="Palatino Linotype" w:cs="Palatino Linotype"/>
          <w:b/>
          <w:i/>
        </w:rPr>
        <w:t xml:space="preserve"> </w:t>
      </w:r>
      <w:r w:rsidRPr="0020382E">
        <w:rPr>
          <w:rFonts w:ascii="Palatino Linotype" w:eastAsia="Palatino Linotype" w:hAnsi="Palatino Linotype" w:cs="Palatino Linotype"/>
          <w:b/>
          <w:i/>
          <w:sz w:val="22"/>
          <w:szCs w:val="22"/>
        </w:rPr>
        <w:t>acciones,</w:t>
      </w:r>
      <w:r w:rsidRPr="0020382E">
        <w:rPr>
          <w:rFonts w:ascii="Palatino Linotype" w:eastAsia="Palatino Linotype" w:hAnsi="Palatino Linotype" w:cs="Palatino Linotype"/>
          <w:b/>
          <w:i/>
        </w:rPr>
        <w:t xml:space="preserve"> </w:t>
      </w:r>
      <w:r w:rsidRPr="0020382E">
        <w:rPr>
          <w:rFonts w:ascii="Palatino Linotype" w:eastAsia="Palatino Linotype" w:hAnsi="Palatino Linotype" w:cs="Palatino Linotype"/>
          <w:b/>
          <w:i/>
          <w:sz w:val="22"/>
          <w:szCs w:val="22"/>
        </w:rPr>
        <w:t>así</w:t>
      </w:r>
      <w:r w:rsidRPr="0020382E">
        <w:rPr>
          <w:rFonts w:ascii="Palatino Linotype" w:eastAsia="Palatino Linotype" w:hAnsi="Palatino Linotype" w:cs="Palatino Linotype"/>
          <w:b/>
          <w:i/>
        </w:rPr>
        <w:t xml:space="preserve"> </w:t>
      </w:r>
      <w:r w:rsidRPr="0020382E">
        <w:rPr>
          <w:rFonts w:ascii="Palatino Linotype" w:eastAsia="Palatino Linotype" w:hAnsi="Palatino Linotype" w:cs="Palatino Linotype"/>
          <w:b/>
          <w:i/>
          <w:sz w:val="22"/>
          <w:szCs w:val="22"/>
        </w:rPr>
        <w:t>como</w:t>
      </w:r>
      <w:r w:rsidRPr="0020382E">
        <w:rPr>
          <w:rFonts w:ascii="Palatino Linotype" w:eastAsia="Palatino Linotype" w:hAnsi="Palatino Linotype" w:cs="Palatino Linotype"/>
          <w:b/>
          <w:i/>
        </w:rPr>
        <w:t xml:space="preserve"> </w:t>
      </w:r>
      <w:r w:rsidRPr="0020382E">
        <w:rPr>
          <w:rFonts w:ascii="Palatino Linotype" w:eastAsia="Palatino Linotype" w:hAnsi="Palatino Linotype" w:cs="Palatino Linotype"/>
          <w:b/>
          <w:i/>
          <w:sz w:val="22"/>
          <w:szCs w:val="22"/>
        </w:rPr>
        <w:t>garantizar</w:t>
      </w:r>
      <w:r w:rsidRPr="0020382E">
        <w:rPr>
          <w:rFonts w:ascii="Palatino Linotype" w:eastAsia="Palatino Linotype" w:hAnsi="Palatino Linotype" w:cs="Palatino Linotype"/>
          <w:b/>
          <w:i/>
        </w:rPr>
        <w:t xml:space="preserve"> </w:t>
      </w:r>
      <w:r w:rsidRPr="0020382E">
        <w:rPr>
          <w:rFonts w:ascii="Palatino Linotype" w:eastAsia="Palatino Linotype" w:hAnsi="Palatino Linotype" w:cs="Palatino Linotype"/>
          <w:b/>
          <w:i/>
          <w:sz w:val="22"/>
          <w:szCs w:val="22"/>
        </w:rPr>
        <w:t>y</w:t>
      </w:r>
      <w:r w:rsidRPr="0020382E">
        <w:rPr>
          <w:rFonts w:ascii="Palatino Linotype" w:eastAsia="Palatino Linotype" w:hAnsi="Palatino Linotype" w:cs="Palatino Linotype"/>
          <w:b/>
          <w:i/>
        </w:rPr>
        <w:t xml:space="preserve"> </w:t>
      </w:r>
      <w:r w:rsidRPr="0020382E">
        <w:rPr>
          <w:rFonts w:ascii="Palatino Linotype" w:eastAsia="Palatino Linotype" w:hAnsi="Palatino Linotype" w:cs="Palatino Linotype"/>
          <w:b/>
          <w:i/>
          <w:sz w:val="22"/>
          <w:szCs w:val="22"/>
        </w:rPr>
        <w:t>respetar</w:t>
      </w:r>
      <w:r w:rsidRPr="0020382E">
        <w:rPr>
          <w:rFonts w:ascii="Palatino Linotype" w:eastAsia="Palatino Linotype" w:hAnsi="Palatino Linotype" w:cs="Palatino Linotype"/>
          <w:b/>
          <w:i/>
        </w:rPr>
        <w:t xml:space="preserve"> </w:t>
      </w:r>
      <w:r w:rsidRPr="0020382E">
        <w:rPr>
          <w:rFonts w:ascii="Palatino Linotype" w:eastAsia="Palatino Linotype" w:hAnsi="Palatino Linotype" w:cs="Palatino Linotype"/>
          <w:b/>
          <w:i/>
          <w:sz w:val="22"/>
          <w:szCs w:val="22"/>
        </w:rPr>
        <w:t>el</w:t>
      </w:r>
      <w:r w:rsidRPr="0020382E">
        <w:rPr>
          <w:rFonts w:ascii="Palatino Linotype" w:eastAsia="Palatino Linotype" w:hAnsi="Palatino Linotype" w:cs="Palatino Linotype"/>
          <w:b/>
          <w:i/>
        </w:rPr>
        <w:t xml:space="preserve"> </w:t>
      </w:r>
      <w:r w:rsidRPr="0020382E">
        <w:rPr>
          <w:rFonts w:ascii="Palatino Linotype" w:eastAsia="Palatino Linotype" w:hAnsi="Palatino Linotype" w:cs="Palatino Linotype"/>
          <w:b/>
          <w:i/>
          <w:sz w:val="22"/>
          <w:szCs w:val="22"/>
        </w:rPr>
        <w:t>derecho</w:t>
      </w:r>
      <w:r w:rsidRPr="0020382E">
        <w:rPr>
          <w:rFonts w:ascii="Palatino Linotype" w:eastAsia="Palatino Linotype" w:hAnsi="Palatino Linotype" w:cs="Palatino Linotype"/>
          <w:b/>
          <w:i/>
        </w:rPr>
        <w:t xml:space="preserve"> </w:t>
      </w:r>
      <w:r w:rsidRPr="0020382E">
        <w:rPr>
          <w:rFonts w:ascii="Palatino Linotype" w:eastAsia="Palatino Linotype" w:hAnsi="Palatino Linotype" w:cs="Palatino Linotype"/>
          <w:b/>
          <w:i/>
          <w:sz w:val="22"/>
          <w:szCs w:val="22"/>
        </w:rPr>
        <w:t>de</w:t>
      </w:r>
      <w:r w:rsidRPr="0020382E">
        <w:rPr>
          <w:rFonts w:ascii="Palatino Linotype" w:eastAsia="Palatino Linotype" w:hAnsi="Palatino Linotype" w:cs="Palatino Linotype"/>
          <w:b/>
          <w:i/>
        </w:rPr>
        <w:t xml:space="preserve"> </w:t>
      </w:r>
      <w:r w:rsidRPr="0020382E">
        <w:rPr>
          <w:rFonts w:ascii="Palatino Linotype" w:eastAsia="Palatino Linotype" w:hAnsi="Palatino Linotype" w:cs="Palatino Linotype"/>
          <w:b/>
          <w:i/>
          <w:sz w:val="22"/>
          <w:szCs w:val="22"/>
        </w:rPr>
        <w:t>acceso</w:t>
      </w:r>
      <w:r w:rsidRPr="0020382E">
        <w:rPr>
          <w:rFonts w:ascii="Palatino Linotype" w:eastAsia="Palatino Linotype" w:hAnsi="Palatino Linotype" w:cs="Palatino Linotype"/>
          <w:b/>
          <w:i/>
        </w:rPr>
        <w:t xml:space="preserve"> </w:t>
      </w:r>
      <w:r w:rsidRPr="0020382E">
        <w:rPr>
          <w:rFonts w:ascii="Palatino Linotype" w:eastAsia="Palatino Linotype" w:hAnsi="Palatino Linotype" w:cs="Palatino Linotype"/>
          <w:b/>
          <w:i/>
          <w:sz w:val="22"/>
          <w:szCs w:val="22"/>
        </w:rPr>
        <w:t>a</w:t>
      </w:r>
      <w:r w:rsidRPr="0020382E">
        <w:rPr>
          <w:rFonts w:ascii="Palatino Linotype" w:eastAsia="Palatino Linotype" w:hAnsi="Palatino Linotype" w:cs="Palatino Linotype"/>
          <w:b/>
          <w:i/>
        </w:rPr>
        <w:t xml:space="preserve"> </w:t>
      </w:r>
      <w:r w:rsidRPr="0020382E">
        <w:rPr>
          <w:rFonts w:ascii="Palatino Linotype" w:eastAsia="Palatino Linotype" w:hAnsi="Palatino Linotype" w:cs="Palatino Linotype"/>
          <w:b/>
          <w:i/>
          <w:sz w:val="22"/>
          <w:szCs w:val="22"/>
        </w:rPr>
        <w:t>la</w:t>
      </w:r>
      <w:r w:rsidRPr="0020382E">
        <w:rPr>
          <w:rFonts w:ascii="Palatino Linotype" w:eastAsia="Palatino Linotype" w:hAnsi="Palatino Linotype" w:cs="Palatino Linotype"/>
          <w:b/>
          <w:i/>
        </w:rPr>
        <w:t xml:space="preserve"> </w:t>
      </w:r>
      <w:r w:rsidRPr="0020382E">
        <w:rPr>
          <w:rFonts w:ascii="Palatino Linotype" w:eastAsia="Palatino Linotype" w:hAnsi="Palatino Linotype" w:cs="Palatino Linotype"/>
          <w:b/>
          <w:i/>
          <w:sz w:val="22"/>
          <w:szCs w:val="22"/>
        </w:rPr>
        <w:t>información</w:t>
      </w:r>
      <w:r w:rsidRPr="0020382E">
        <w:rPr>
          <w:rFonts w:ascii="Palatino Linotype" w:eastAsia="Palatino Linotype" w:hAnsi="Palatino Linotype" w:cs="Palatino Linotype"/>
          <w:b/>
          <w:i/>
        </w:rPr>
        <w:t xml:space="preserve"> </w:t>
      </w:r>
      <w:r w:rsidRPr="0020382E">
        <w:rPr>
          <w:rFonts w:ascii="Palatino Linotype" w:eastAsia="Palatino Linotype" w:hAnsi="Palatino Linotype" w:cs="Palatino Linotype"/>
          <w:b/>
          <w:i/>
          <w:sz w:val="22"/>
          <w:szCs w:val="22"/>
        </w:rPr>
        <w:t>pública</w:t>
      </w:r>
      <w:r w:rsidRPr="0020382E">
        <w:rPr>
          <w:rFonts w:ascii="Palatino Linotype" w:eastAsia="Palatino Linotype" w:hAnsi="Palatino Linotype" w:cs="Palatino Linotype"/>
          <w:i/>
          <w:sz w:val="22"/>
          <w:szCs w:val="22"/>
        </w:rPr>
        <w:t>.</w:t>
      </w:r>
      <w:r w:rsidR="00940629" w:rsidRPr="0020382E">
        <w:rPr>
          <w:rFonts w:ascii="Palatino Linotype" w:eastAsia="Palatino Linotype" w:hAnsi="Palatino Linotype" w:cs="Palatino Linotype"/>
          <w:i/>
          <w:sz w:val="22"/>
          <w:szCs w:val="22"/>
        </w:rPr>
        <w:t>”</w:t>
      </w:r>
    </w:p>
    <w:p w14:paraId="2C62DB44" w14:textId="77777777" w:rsidR="00FA7631" w:rsidRPr="0020382E" w:rsidRDefault="00335356" w:rsidP="00940629">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 xml:space="preserve">Es así que, conforme a los preceptos legales citados, se desprende que el derecho de acceso a la información pública es un derecho individual que puede ser ejercido ante </w:t>
      </w:r>
      <w:r w:rsidRPr="0020382E">
        <w:rPr>
          <w:rFonts w:ascii="Palatino Linotype" w:eastAsia="Palatino Linotype" w:hAnsi="Palatino Linotype" w:cs="Palatino Linotype"/>
        </w:rPr>
        <w:lastRenderedPageBreak/>
        <w:t xml:space="preserve">cualquier autoridad, entidad, órgano u organismo, tanto federales, como estatales, de la Ciudad de México o Municipales, con el fin de que los particulares conozcan toda aquella información que es considerada como pública. </w:t>
      </w:r>
    </w:p>
    <w:p w14:paraId="67828349" w14:textId="77777777" w:rsidR="00FA7631" w:rsidRPr="0020382E" w:rsidRDefault="00335356" w:rsidP="00940629">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 xml:space="preserve">En esa tesitura, este Instituto no omite señalar que los Sujetos Obligados deben contar con un área responsable para la atención de las solicitudes de información, a la que se le denominará Unidad de Transparencia; asimismo, deben designar a un responsable para atender dicha Unidad, quien fungirá como enlace entre éstos y los solicitantes. </w:t>
      </w:r>
    </w:p>
    <w:p w14:paraId="14F38195" w14:textId="77777777" w:rsidR="00FA7631" w:rsidRPr="0020382E" w:rsidRDefault="00335356" w:rsidP="00940629">
      <w:pPr>
        <w:widowControl w:val="0"/>
        <w:tabs>
          <w:tab w:val="left" w:pos="1276"/>
        </w:tabs>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Dicho lo anterior, se precisa que la ya mencionada Unidad de Transparencia es la encargada de tramitar internamente las solicitudes de información y tiene la responsabilidad de verificar, en cada caso, que la información no tenga el carácter de confidencial o reservada, en términos de los artículos 50 y 51 de la Ley de Transparencia y Acceso a la Información Pública del Estado de México y Municipios.</w:t>
      </w:r>
    </w:p>
    <w:p w14:paraId="5CBEE07B" w14:textId="77777777" w:rsidR="00FA7631" w:rsidRPr="0020382E" w:rsidRDefault="00335356" w:rsidP="00940629">
      <w:pPr>
        <w:widowControl w:val="0"/>
        <w:tabs>
          <w:tab w:val="left" w:pos="1276"/>
        </w:tabs>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Por su parte, el artículo 53, fracciones II, IV y V de la Ley antes citada establece que las Unidades de Transparencia tienen, entre otras, las funciones de recibir, tramitar y dar respuesta a las solicitudes de acceso a la información; realizar, con efectividad, los trámites internos necesarios para la atención de las solicitudes de acceso a la información; así como, entregar, en su caso, a los particulares la información solicitada.</w:t>
      </w:r>
    </w:p>
    <w:p w14:paraId="21B6C718" w14:textId="77777777" w:rsidR="00FA7631" w:rsidRPr="0020382E" w:rsidRDefault="00335356" w:rsidP="00940629">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 xml:space="preserve">Por otro lado, el diverso artículo 54 de la Ley de Transparencia y Acceso a la Información Pública del Estado de México y Municipios establece que cuando alguna área de los Sujetos Obligados se negara a colaborar con la Unidad de </w:t>
      </w:r>
      <w:r w:rsidRPr="0020382E">
        <w:rPr>
          <w:rFonts w:ascii="Palatino Linotype" w:eastAsia="Palatino Linotype" w:hAnsi="Palatino Linotype" w:cs="Palatino Linotype"/>
        </w:rPr>
        <w:lastRenderedPageBreak/>
        <w:t>Transparencia, ésta dará aviso al superior jerárquico para que le ordene realizar sin demora las acciones conducentes y en caso de que persista la negativa de colaboración, hará del conocimiento de la autoridad competente para que se inicie, en su caso, el procedimiento de responsabilidad respectivo.</w:t>
      </w:r>
    </w:p>
    <w:p w14:paraId="7C00B995" w14:textId="77777777" w:rsidR="00FA7631" w:rsidRPr="0020382E" w:rsidRDefault="00335356" w:rsidP="00940629">
      <w:pPr>
        <w:widowControl w:val="0"/>
        <w:tabs>
          <w:tab w:val="left" w:pos="1276"/>
        </w:tabs>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De igual forma, el diverso artículo 59, fracciones I, II y III de la multicitada legislación Sustantiva, establece que los Servidores Públicos Habilitados deben localizar la información que le solicite la Unidad de Transparencia; proporcionar la misma y apoyarla en lo que ésta le solicite para el cumplimiento de sus funciones.</w:t>
      </w:r>
    </w:p>
    <w:p w14:paraId="42DC8F7A" w14:textId="77777777" w:rsidR="00FA7631" w:rsidRPr="0020382E" w:rsidRDefault="00335356" w:rsidP="00940629">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 xml:space="preserve">Finalmente, se destaca que de conformidad con el artículo 163 de la legislación en cita, se desprende que la Unidad de Transparencia debe notificar la respuesta a las solicitudes de acceso a la información, en el menor tiempo posible, que no podrá exceder de </w:t>
      </w:r>
      <w:r w:rsidRPr="0020382E">
        <w:rPr>
          <w:rFonts w:ascii="Palatino Linotype" w:eastAsia="Palatino Linotype" w:hAnsi="Palatino Linotype" w:cs="Palatino Linotype"/>
          <w:b/>
        </w:rPr>
        <w:t>quince días hábiles,</w:t>
      </w:r>
      <w:r w:rsidRPr="0020382E">
        <w:rPr>
          <w:rFonts w:ascii="Palatino Linotype" w:eastAsia="Palatino Linotype" w:hAnsi="Palatino Linotype" w:cs="Palatino Linotype"/>
        </w:rPr>
        <w:t xml:space="preserve"> teniendo como excepción al plazo referido, una prórroga de hasta siete días hábiles adicionales, siempre y cuando existan razones fundadas y motivadas, las cuales deberán ser aprobadas por el Comité de Transparencia. Situación que en la especie no aconteció. </w:t>
      </w:r>
    </w:p>
    <w:p w14:paraId="22790906" w14:textId="77777777" w:rsidR="00FA7631" w:rsidRPr="0020382E" w:rsidRDefault="00335356" w:rsidP="00940629">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Sirve de sustento a lo anterior, el precepto legal en cita:</w:t>
      </w:r>
    </w:p>
    <w:p w14:paraId="185BEC85" w14:textId="77777777" w:rsidR="00FA7631" w:rsidRPr="0020382E" w:rsidRDefault="00940629" w:rsidP="00940629">
      <w:pPr>
        <w:pBdr>
          <w:top w:val="nil"/>
          <w:left w:val="nil"/>
          <w:bottom w:val="nil"/>
          <w:right w:val="nil"/>
          <w:between w:val="nil"/>
        </w:pBdr>
        <w:spacing w:before="120" w:after="120"/>
        <w:ind w:left="862"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w:t>
      </w:r>
      <w:r w:rsidR="00335356" w:rsidRPr="0020382E">
        <w:rPr>
          <w:rFonts w:ascii="Palatino Linotype" w:eastAsia="Palatino Linotype" w:hAnsi="Palatino Linotype" w:cs="Palatino Linotype"/>
          <w:b/>
          <w:i/>
          <w:sz w:val="22"/>
          <w:szCs w:val="22"/>
        </w:rPr>
        <w:t>Artículo 163. La Unidad de Transparencia deberá notificar la respuesta a la solicitud al interesado en el menor tiempo posible, que no podrá exceder de quince días hábiles</w:t>
      </w:r>
      <w:r w:rsidR="00335356" w:rsidRPr="0020382E">
        <w:rPr>
          <w:rFonts w:ascii="Palatino Linotype" w:eastAsia="Palatino Linotype" w:hAnsi="Palatino Linotype" w:cs="Palatino Linotype"/>
          <w:i/>
          <w:sz w:val="22"/>
          <w:szCs w:val="22"/>
        </w:rPr>
        <w:t xml:space="preserve">, contados a partir del día siguiente a la presentación de aquélla. </w:t>
      </w:r>
    </w:p>
    <w:p w14:paraId="198D6CC8" w14:textId="77777777" w:rsidR="00FA7631" w:rsidRPr="0020382E" w:rsidRDefault="00335356" w:rsidP="00940629">
      <w:pPr>
        <w:pBdr>
          <w:top w:val="nil"/>
          <w:left w:val="nil"/>
          <w:bottom w:val="nil"/>
          <w:right w:val="nil"/>
          <w:between w:val="nil"/>
        </w:pBdr>
        <w:spacing w:before="120" w:after="120"/>
        <w:ind w:left="862"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i/>
          <w:sz w:val="22"/>
          <w:szCs w:val="22"/>
        </w:rPr>
        <w:t xml:space="preserve">Excepcionalmente, el plazo referido en el párrafo anterior podrá ampliarse hasta por siete días hábiles más, siempre y cuando existan razones fundadas y motivadas, las cuales deberán ser aprobadas por el Comité de Transparencia, mediante la emisión de una resolución que deberá notificarse al solicitante, antes de su vencimiento. No podrán invocarse como causales de ampliación del plazo </w:t>
      </w:r>
      <w:r w:rsidRPr="0020382E">
        <w:rPr>
          <w:rFonts w:ascii="Palatino Linotype" w:eastAsia="Palatino Linotype" w:hAnsi="Palatino Linotype" w:cs="Palatino Linotype"/>
          <w:i/>
          <w:sz w:val="22"/>
          <w:szCs w:val="22"/>
        </w:rPr>
        <w:lastRenderedPageBreak/>
        <w:t>motivos que supongan negligencia o descuido del sujeto obligado en el desahogo de la solicitud.</w:t>
      </w:r>
      <w:r w:rsidR="00940629" w:rsidRPr="0020382E">
        <w:rPr>
          <w:rFonts w:ascii="Palatino Linotype" w:eastAsia="Palatino Linotype" w:hAnsi="Palatino Linotype" w:cs="Palatino Linotype"/>
          <w:i/>
          <w:sz w:val="22"/>
          <w:szCs w:val="22"/>
        </w:rPr>
        <w:t>”</w:t>
      </w:r>
    </w:p>
    <w:p w14:paraId="6192EC8D" w14:textId="77777777" w:rsidR="00FA7631" w:rsidRPr="0020382E" w:rsidRDefault="00335356">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 xml:space="preserve">En mérito de lo expuesto, es claro que en este caso </w:t>
      </w:r>
      <w:r w:rsidRPr="0020382E">
        <w:rPr>
          <w:rFonts w:ascii="Palatino Linotype" w:eastAsia="Palatino Linotype" w:hAnsi="Palatino Linotype" w:cs="Palatino Linotype"/>
          <w:b/>
        </w:rPr>
        <w:t>EL SUJETO OBLIGADO</w:t>
      </w:r>
      <w:r w:rsidRPr="0020382E">
        <w:rPr>
          <w:rFonts w:ascii="Palatino Linotype" w:eastAsia="Palatino Linotype" w:hAnsi="Palatino Linotype" w:cs="Palatino Linotype"/>
        </w:rPr>
        <w:t xml:space="preserve"> incumplió la normativa en la materia, puesto que no dio trámite ni respuesta a la solicitud de acceso a la información, limitando el derecho de acceso a la información, accionado por la persona solicitante.</w:t>
      </w:r>
    </w:p>
    <w:p w14:paraId="5C89CA64" w14:textId="77777777" w:rsidR="00FA7631" w:rsidRPr="0020382E" w:rsidRDefault="00335356">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 xml:space="preserve">Consecuentemente, este Instituto estima necesario reiterar que, de conformidad con el artículo 150 de la Ley de Transparencia y Acceso a la Información Pública del Estado de México y Municipios, el procedimiento de acceso a la información es la garantía primaria del derecho en cuestión y se rige por los principios de simplicidad, rapidez gratuidad del procedimiento, auxilio y orientación a los particulares; así como, atención adecuada a las personas con discapacidad y a los hablantes de lengua indígena con el objeto de otorgar la protección más amplia del derecho de las personas. </w:t>
      </w:r>
    </w:p>
    <w:p w14:paraId="2D26511F" w14:textId="77777777" w:rsidR="00FA7631" w:rsidRPr="0020382E" w:rsidRDefault="00335356">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Aunado a lo anterior, este Instituto estima dable referir lo que dispone el artículo 172, último párrafo de la Ley de Transparencia y Acceso a la Información Pública del Estado de México y Municipios, el cual refiere que los argumentos para justificar cualquier negativa de acceso a la información deben recaer en</w:t>
      </w:r>
      <w:r w:rsidR="00940629" w:rsidRPr="0020382E">
        <w:rPr>
          <w:rFonts w:ascii="Palatino Linotype" w:eastAsia="Palatino Linotype" w:hAnsi="Palatino Linotype" w:cs="Palatino Linotype"/>
        </w:rPr>
        <w:t xml:space="preserve"> el</w:t>
      </w:r>
      <w:r w:rsidRPr="0020382E">
        <w:rPr>
          <w:rFonts w:ascii="Palatino Linotype" w:eastAsia="Palatino Linotype" w:hAnsi="Palatino Linotype" w:cs="Palatino Linotype"/>
          <w:b/>
        </w:rPr>
        <w:t xml:space="preserve"> </w:t>
      </w:r>
      <w:r w:rsidR="00940629" w:rsidRPr="0020382E">
        <w:rPr>
          <w:rFonts w:ascii="Palatino Linotype" w:eastAsia="Palatino Linotype" w:hAnsi="Palatino Linotype" w:cs="Palatino Linotype"/>
          <w:b/>
        </w:rPr>
        <w:t>Sujeto Obligado</w:t>
      </w:r>
      <w:r w:rsidRPr="0020382E">
        <w:rPr>
          <w:rFonts w:ascii="Palatino Linotype" w:eastAsia="Palatino Linotype" w:hAnsi="Palatino Linotype" w:cs="Palatino Linotype"/>
          <w:b/>
        </w:rPr>
        <w:t>;</w:t>
      </w:r>
      <w:r w:rsidRPr="0020382E">
        <w:rPr>
          <w:rFonts w:ascii="Palatino Linotype" w:eastAsia="Palatino Linotype" w:hAnsi="Palatino Linotype" w:cs="Palatino Linotype"/>
        </w:rPr>
        <w:t xml:space="preserve"> por lo que, en caso de no atender de manera positiva</w:t>
      </w:r>
      <w:r w:rsidRPr="0020382E">
        <w:rPr>
          <w:rFonts w:ascii="Palatino Linotype" w:eastAsia="Palatino Linotype" w:hAnsi="Palatino Linotype" w:cs="Palatino Linotype"/>
          <w:vertAlign w:val="superscript"/>
        </w:rPr>
        <w:footnoteReference w:id="1"/>
      </w:r>
      <w:r w:rsidRPr="0020382E">
        <w:rPr>
          <w:rFonts w:ascii="Palatino Linotype" w:eastAsia="Palatino Linotype" w:hAnsi="Palatino Linotype" w:cs="Palatino Linotype"/>
        </w:rPr>
        <w:t>, el requerimiento de información deberá manifestarse al respecto.</w:t>
      </w:r>
    </w:p>
    <w:p w14:paraId="3202D03B" w14:textId="77777777" w:rsidR="00940629" w:rsidRPr="0020382E" w:rsidRDefault="00940629">
      <w:pPr>
        <w:spacing w:before="240" w:after="240" w:line="360" w:lineRule="auto"/>
        <w:jc w:val="both"/>
        <w:rPr>
          <w:rFonts w:ascii="Palatino Linotype" w:eastAsia="Palatino Linotype" w:hAnsi="Palatino Linotype" w:cs="Palatino Linotype"/>
        </w:rPr>
      </w:pPr>
    </w:p>
    <w:p w14:paraId="30FB233A" w14:textId="77777777" w:rsidR="00FA7631" w:rsidRPr="0020382E" w:rsidRDefault="00940629">
      <w:pPr>
        <w:numPr>
          <w:ilvl w:val="0"/>
          <w:numId w:val="2"/>
        </w:numPr>
        <w:pBdr>
          <w:top w:val="nil"/>
          <w:left w:val="nil"/>
          <w:bottom w:val="nil"/>
          <w:right w:val="nil"/>
          <w:between w:val="nil"/>
        </w:pBdr>
        <w:spacing w:line="360" w:lineRule="auto"/>
        <w:jc w:val="both"/>
        <w:rPr>
          <w:rFonts w:ascii="Palatino Linotype" w:eastAsia="Palatino Linotype" w:hAnsi="Palatino Linotype" w:cs="Palatino Linotype"/>
          <w:b/>
        </w:rPr>
      </w:pPr>
      <w:r w:rsidRPr="0020382E">
        <w:rPr>
          <w:rFonts w:ascii="Palatino Linotype" w:eastAsia="Palatino Linotype" w:hAnsi="Palatino Linotype" w:cs="Palatino Linotype"/>
          <w:b/>
        </w:rPr>
        <w:lastRenderedPageBreak/>
        <w:t>De la clasificación de la información</w:t>
      </w:r>
      <w:r w:rsidR="00335356" w:rsidRPr="0020382E">
        <w:rPr>
          <w:rFonts w:ascii="Palatino Linotype" w:eastAsia="Palatino Linotype" w:hAnsi="Palatino Linotype" w:cs="Palatino Linotype"/>
          <w:b/>
        </w:rPr>
        <w:t>.</w:t>
      </w:r>
    </w:p>
    <w:p w14:paraId="2D833FF6" w14:textId="77777777" w:rsidR="00FA7631" w:rsidRPr="0020382E" w:rsidRDefault="00335356">
      <w:pPr>
        <w:spacing w:before="240" w:after="240" w:line="360" w:lineRule="auto"/>
        <w:ind w:right="51"/>
        <w:jc w:val="both"/>
        <w:rPr>
          <w:rFonts w:ascii="Palatino Linotype" w:eastAsia="Palatino Linotype" w:hAnsi="Palatino Linotype" w:cs="Palatino Linotype"/>
        </w:rPr>
      </w:pPr>
      <w:r w:rsidRPr="0020382E">
        <w:rPr>
          <w:rFonts w:ascii="Palatino Linotype" w:eastAsia="Palatino Linotype" w:hAnsi="Palatino Linotype" w:cs="Palatino Linotype"/>
        </w:rPr>
        <w:t>Ahora bien, en atención al sentido en que se resuelve el presente medio de impugnación, este Organismo Garante no omite señalar que, el derecho de acceso a la información puede ser restringido de manera excepcional por razones de interés público, en los términos de las causas legítimas y estrictamente necesarias previstas por la Ley, a través de la clasificación de la información como confidencial o reservada para permitir el acceso, como se desprende del artículo 91 de la ley de la materia que es del tenor literal siguiente:</w:t>
      </w:r>
    </w:p>
    <w:p w14:paraId="1F399CAE" w14:textId="77777777" w:rsidR="00FA7631" w:rsidRPr="0020382E" w:rsidRDefault="00940629">
      <w:pPr>
        <w:pBdr>
          <w:top w:val="nil"/>
          <w:left w:val="nil"/>
          <w:bottom w:val="nil"/>
          <w:right w:val="nil"/>
          <w:between w:val="nil"/>
        </w:pBdr>
        <w:ind w:left="864" w:right="864"/>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w:t>
      </w:r>
      <w:r w:rsidR="00335356" w:rsidRPr="0020382E">
        <w:rPr>
          <w:rFonts w:ascii="Palatino Linotype" w:eastAsia="Palatino Linotype" w:hAnsi="Palatino Linotype" w:cs="Palatino Linotype"/>
          <w:b/>
          <w:i/>
          <w:sz w:val="22"/>
          <w:szCs w:val="22"/>
        </w:rPr>
        <w:t xml:space="preserve">Artículo 91. </w:t>
      </w:r>
      <w:r w:rsidR="00335356" w:rsidRPr="0020382E">
        <w:rPr>
          <w:rFonts w:ascii="Palatino Linotype" w:eastAsia="Palatino Linotype" w:hAnsi="Palatino Linotype" w:cs="Palatino Linotype"/>
          <w:i/>
          <w:sz w:val="22"/>
          <w:szCs w:val="22"/>
        </w:rPr>
        <w:t>El acceso a la información pública será restringido excepcionalmente, cuando ésta sea clasificada como reservada o confidencial.</w:t>
      </w:r>
      <w:r w:rsidRPr="0020382E">
        <w:rPr>
          <w:rFonts w:ascii="Palatino Linotype" w:eastAsia="Palatino Linotype" w:hAnsi="Palatino Linotype" w:cs="Palatino Linotype"/>
          <w:i/>
          <w:sz w:val="22"/>
          <w:szCs w:val="22"/>
        </w:rPr>
        <w:t>”</w:t>
      </w:r>
    </w:p>
    <w:p w14:paraId="003C90AA" w14:textId="77777777" w:rsidR="00FA7631" w:rsidRPr="0020382E" w:rsidRDefault="00FA7631">
      <w:pPr>
        <w:pBdr>
          <w:top w:val="nil"/>
          <w:left w:val="nil"/>
          <w:bottom w:val="nil"/>
          <w:right w:val="nil"/>
          <w:between w:val="nil"/>
        </w:pBdr>
        <w:ind w:left="864" w:right="864"/>
        <w:jc w:val="both"/>
        <w:rPr>
          <w:rFonts w:ascii="Palatino Linotype" w:eastAsia="Palatino Linotype" w:hAnsi="Palatino Linotype" w:cs="Palatino Linotype"/>
          <w:i/>
          <w:sz w:val="22"/>
          <w:szCs w:val="22"/>
        </w:rPr>
      </w:pPr>
    </w:p>
    <w:p w14:paraId="2E8667E1" w14:textId="77777777" w:rsidR="00FA7631" w:rsidRPr="0020382E" w:rsidRDefault="00335356">
      <w:pPr>
        <w:spacing w:before="240" w:after="240" w:line="360" w:lineRule="auto"/>
        <w:jc w:val="both"/>
        <w:rPr>
          <w:rFonts w:ascii="Palatino Linotype" w:eastAsia="Palatino Linotype" w:hAnsi="Palatino Linotype" w:cs="Palatino Linotype"/>
          <w:sz w:val="18"/>
          <w:szCs w:val="18"/>
        </w:rPr>
      </w:pPr>
      <w:r w:rsidRPr="0020382E">
        <w:rPr>
          <w:rFonts w:ascii="Palatino Linotype" w:eastAsia="Palatino Linotype" w:hAnsi="Palatino Linotype" w:cs="Palatino Linotype"/>
        </w:rPr>
        <w:t>Como información reservada se entiende aquella que se clasifica de manera temporal cuya divulgación pueda causar algún daño; y como información confidencial, la relacionada con los secretos bancario, fiduciario, industrial, comercial, fiscal, bursátil y postal, cuya titularidad corresponde a particulares, sujetos de derecho internacional o a Sujetos Obligados cuando no involucren el ejercicio de recursos públicos, así como la información privada contenida en documentos públicos o privados que refiera a la vida privada y/o los datos personales, que no son de acceso público</w:t>
      </w:r>
      <w:r w:rsidRPr="0020382E">
        <w:rPr>
          <w:rFonts w:ascii="Palatino Linotype" w:eastAsia="Palatino Linotype" w:hAnsi="Palatino Linotype" w:cs="Palatino Linotype"/>
          <w:sz w:val="18"/>
          <w:szCs w:val="18"/>
        </w:rPr>
        <w:t xml:space="preserve">. </w:t>
      </w:r>
    </w:p>
    <w:p w14:paraId="754BFD53" w14:textId="77777777" w:rsidR="00FA7631" w:rsidRPr="0020382E" w:rsidRDefault="00335356">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De manera que, la Ley de Transparencia y Acceso a la Información Pública del Estado de México y Municipios, en sus artículos 140 y 143 prevé los siguientes supuestos para clasificar la información como reservada o confidencial:</w:t>
      </w:r>
    </w:p>
    <w:p w14:paraId="7F425887" w14:textId="77777777" w:rsidR="00FA7631" w:rsidRPr="0020382E" w:rsidRDefault="00940629" w:rsidP="00940629">
      <w:pPr>
        <w:pBdr>
          <w:top w:val="nil"/>
          <w:left w:val="nil"/>
          <w:bottom w:val="nil"/>
          <w:right w:val="nil"/>
          <w:between w:val="nil"/>
        </w:pBdr>
        <w:spacing w:before="120" w:after="120"/>
        <w:ind w:left="862"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lastRenderedPageBreak/>
        <w:t>“</w:t>
      </w:r>
      <w:r w:rsidR="00335356" w:rsidRPr="0020382E">
        <w:rPr>
          <w:rFonts w:ascii="Palatino Linotype" w:eastAsia="Palatino Linotype" w:hAnsi="Palatino Linotype" w:cs="Palatino Linotype"/>
          <w:b/>
          <w:i/>
          <w:sz w:val="22"/>
          <w:szCs w:val="22"/>
        </w:rPr>
        <w:t xml:space="preserve">Artículo 140. </w:t>
      </w:r>
      <w:r w:rsidR="00335356" w:rsidRPr="0020382E">
        <w:rPr>
          <w:rFonts w:ascii="Palatino Linotype" w:eastAsia="Palatino Linotype" w:hAnsi="Palatino Linotype" w:cs="Palatino Linotype"/>
          <w:i/>
          <w:sz w:val="22"/>
          <w:szCs w:val="22"/>
        </w:rPr>
        <w:t>El acceso a la información pública será restringido excepcionalmente, cuando por razones de interés público, ésta sea clasificada como reservada, conforme a los criterios siguientes:</w:t>
      </w:r>
    </w:p>
    <w:p w14:paraId="2F4B2B28"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 xml:space="preserve">I. </w:t>
      </w:r>
      <w:r w:rsidRPr="0020382E">
        <w:rPr>
          <w:rFonts w:ascii="Palatino Linotype" w:eastAsia="Palatino Linotype" w:hAnsi="Palatino Linotype" w:cs="Palatino Linotype"/>
          <w:i/>
          <w:sz w:val="22"/>
          <w:szCs w:val="22"/>
        </w:rPr>
        <w:t>Comprometa la seguridad pública y cuente con un propósito genuino y un efecto demostrable;</w:t>
      </w:r>
    </w:p>
    <w:p w14:paraId="71C35799"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 xml:space="preserve">II. </w:t>
      </w:r>
      <w:r w:rsidRPr="0020382E">
        <w:rPr>
          <w:rFonts w:ascii="Palatino Linotype" w:eastAsia="Palatino Linotype" w:hAnsi="Palatino Linotype" w:cs="Palatino Linotype"/>
          <w:i/>
          <w:sz w:val="22"/>
          <w:szCs w:val="22"/>
        </w:rPr>
        <w:t>Pueda menoscabar la conducción de las negociaciones y relaciones internacionales;</w:t>
      </w:r>
    </w:p>
    <w:p w14:paraId="6E048004"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 xml:space="preserve">III. </w:t>
      </w:r>
      <w:r w:rsidRPr="0020382E">
        <w:rPr>
          <w:rFonts w:ascii="Palatino Linotype" w:eastAsia="Palatino Linotype" w:hAnsi="Palatino Linotype" w:cs="Palatino Linotype"/>
          <w:i/>
          <w:sz w:val="22"/>
          <w:szCs w:val="22"/>
        </w:rPr>
        <w:t>Se entregue a la Entidad expresamente con ese carácter o el de confidencialidad por otro u otros sujetos de derecho internacional, excepto cuando se trate de violaciones graves de derechos humanos o delitos de lesa humanidad de conformidad con el derecho internacional;</w:t>
      </w:r>
    </w:p>
    <w:p w14:paraId="3DB007F9"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 xml:space="preserve">IV. </w:t>
      </w:r>
      <w:r w:rsidRPr="0020382E">
        <w:rPr>
          <w:rFonts w:ascii="Palatino Linotype" w:eastAsia="Palatino Linotype" w:hAnsi="Palatino Linotype" w:cs="Palatino Linotype"/>
          <w:i/>
          <w:sz w:val="22"/>
          <w:szCs w:val="22"/>
        </w:rPr>
        <w:t>Ponga en riesgo la vida, la seguridad o la salud de una persona física;</w:t>
      </w:r>
    </w:p>
    <w:p w14:paraId="252EB24D"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 xml:space="preserve">V. </w:t>
      </w:r>
      <w:r w:rsidRPr="0020382E">
        <w:rPr>
          <w:rFonts w:ascii="Palatino Linotype" w:eastAsia="Palatino Linotype" w:hAnsi="Palatino Linotype" w:cs="Palatino Linotype"/>
          <w:i/>
          <w:sz w:val="22"/>
          <w:szCs w:val="22"/>
        </w:rPr>
        <w:t>Aquella cuya divulgación obstruya o pueda causar un serio perjuicio a:</w:t>
      </w:r>
    </w:p>
    <w:p w14:paraId="0B7AFB75" w14:textId="77777777" w:rsidR="00FA7631" w:rsidRPr="0020382E" w:rsidRDefault="00335356" w:rsidP="00940629">
      <w:pPr>
        <w:pBdr>
          <w:top w:val="nil"/>
          <w:left w:val="nil"/>
          <w:bottom w:val="nil"/>
          <w:right w:val="nil"/>
          <w:between w:val="nil"/>
        </w:pBdr>
        <w:spacing w:before="120" w:after="120"/>
        <w:ind w:left="1418"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 xml:space="preserve">1. </w:t>
      </w:r>
      <w:r w:rsidRPr="0020382E">
        <w:rPr>
          <w:rFonts w:ascii="Palatino Linotype" w:eastAsia="Palatino Linotype" w:hAnsi="Palatino Linotype" w:cs="Palatino Linotype"/>
          <w:i/>
          <w:sz w:val="22"/>
          <w:szCs w:val="22"/>
        </w:rPr>
        <w:t xml:space="preserve">Las actividades de fiscalización, verificación, inspección, comprobación y auditoría sobre el cumplimiento de las Leyes; o </w:t>
      </w:r>
    </w:p>
    <w:p w14:paraId="080D75EC" w14:textId="77777777" w:rsidR="00FA7631" w:rsidRPr="0020382E" w:rsidRDefault="00335356" w:rsidP="00940629">
      <w:pPr>
        <w:pBdr>
          <w:top w:val="nil"/>
          <w:left w:val="nil"/>
          <w:bottom w:val="nil"/>
          <w:right w:val="nil"/>
          <w:between w:val="nil"/>
        </w:pBdr>
        <w:spacing w:before="120" w:after="120"/>
        <w:ind w:left="1418"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 xml:space="preserve">2. </w:t>
      </w:r>
      <w:r w:rsidRPr="0020382E">
        <w:rPr>
          <w:rFonts w:ascii="Palatino Linotype" w:eastAsia="Palatino Linotype" w:hAnsi="Palatino Linotype" w:cs="Palatino Linotype"/>
          <w:i/>
          <w:sz w:val="22"/>
          <w:szCs w:val="22"/>
        </w:rPr>
        <w:t>La recaudación de las contribuciones.</w:t>
      </w:r>
    </w:p>
    <w:p w14:paraId="07719DFA"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 xml:space="preserve">VI. </w:t>
      </w:r>
      <w:r w:rsidRPr="0020382E">
        <w:rPr>
          <w:rFonts w:ascii="Palatino Linotype" w:eastAsia="Palatino Linotype" w:hAnsi="Palatino Linotype" w:cs="Palatino Linotype"/>
          <w:i/>
          <w:sz w:val="22"/>
          <w:szCs w:val="22"/>
        </w:rPr>
        <w:t>Pueda causar daño u obstruya la prevención o persecución de los delitos, altere el proceso de investigación de las carpetas de investigación, afecte o vulnere la conducción o los derechos del debido proceso en los procedimientos judiciales o administrativos, incluidos los de quejas, denuncias, inconformidades, responsabilidades administrativas y resarcitorias en tanto no hayan quedado firmes o afecte la administración de justicia o la seguridad de un denunciante, querellante o testigo, así como sus familias, en los términos de las disposiciones jurídicas aplicables;</w:t>
      </w:r>
    </w:p>
    <w:p w14:paraId="2CC63EFD"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 xml:space="preserve">VII. </w:t>
      </w:r>
      <w:r w:rsidRPr="0020382E">
        <w:rPr>
          <w:rFonts w:ascii="Palatino Linotype" w:eastAsia="Palatino Linotype" w:hAnsi="Palatino Linotype" w:cs="Palatino Linotype"/>
          <w:i/>
          <w:sz w:val="22"/>
          <w:szCs w:val="22"/>
        </w:rPr>
        <w:t>La que contengan las opiniones, recomendaciones o puntos de vista que formen parte del proceso deliberativo de los servidores públicos, hasta en tanto sea adoptada la decisión definitiva, la cual deberá estar documentada;</w:t>
      </w:r>
    </w:p>
    <w:p w14:paraId="4C6B281B"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VIII</w:t>
      </w:r>
      <w:r w:rsidRPr="0020382E">
        <w:rPr>
          <w:rFonts w:ascii="Palatino Linotype" w:eastAsia="Palatino Linotype" w:hAnsi="Palatino Linotype" w:cs="Palatino Linotype"/>
          <w:i/>
          <w:sz w:val="22"/>
          <w:szCs w:val="22"/>
        </w:rPr>
        <w:t>. Vulnere la conducción de los expedientes judiciales o de los procedimientos administrativos seguidos en forma de juicio, en tanto no hayan quedado firmes</w:t>
      </w:r>
      <w:r w:rsidRPr="0020382E">
        <w:rPr>
          <w:rFonts w:ascii="Palatino Linotype" w:eastAsia="Palatino Linotype" w:hAnsi="Palatino Linotype" w:cs="Palatino Linotype"/>
          <w:b/>
          <w:i/>
          <w:sz w:val="22"/>
          <w:szCs w:val="22"/>
        </w:rPr>
        <w:t>;</w:t>
      </w:r>
    </w:p>
    <w:p w14:paraId="45EE767D"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 xml:space="preserve">IX. </w:t>
      </w:r>
      <w:r w:rsidRPr="0020382E">
        <w:rPr>
          <w:rFonts w:ascii="Palatino Linotype" w:eastAsia="Palatino Linotype" w:hAnsi="Palatino Linotype" w:cs="Palatino Linotype"/>
          <w:i/>
          <w:sz w:val="22"/>
          <w:szCs w:val="22"/>
        </w:rPr>
        <w:t>Se encuentre contenida dentro de las investigaciones de hechos que la Ley señale como delitos y se tramiten ante el Ministerio Público;</w:t>
      </w:r>
    </w:p>
    <w:p w14:paraId="68447BB7"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 xml:space="preserve">X. </w:t>
      </w:r>
      <w:r w:rsidRPr="0020382E">
        <w:rPr>
          <w:rFonts w:ascii="Palatino Linotype" w:eastAsia="Palatino Linotype" w:hAnsi="Palatino Linotype" w:cs="Palatino Linotype"/>
          <w:i/>
          <w:sz w:val="22"/>
          <w:szCs w:val="22"/>
        </w:rPr>
        <w:t xml:space="preserve">El daño que pueda producirse con la publicación de la información sea mayor que el interés público de conocer la información de referencia, siempre </w:t>
      </w:r>
      <w:r w:rsidRPr="0020382E">
        <w:rPr>
          <w:rFonts w:ascii="Palatino Linotype" w:eastAsia="Palatino Linotype" w:hAnsi="Palatino Linotype" w:cs="Palatino Linotype"/>
          <w:i/>
          <w:sz w:val="22"/>
          <w:szCs w:val="22"/>
        </w:rPr>
        <w:lastRenderedPageBreak/>
        <w:t>que esté directamente relacionado con procesos o procedimientos administrativos o judiciales que no hayan quedado firmes;</w:t>
      </w:r>
    </w:p>
    <w:p w14:paraId="264B014F"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i/>
          <w:sz w:val="22"/>
          <w:szCs w:val="22"/>
        </w:rPr>
        <w:t>Cuando se trate de información sobre estudios y proyectos cuya divulgación pueda causar daños al interés del Estado o suponga un riesgo para su realización, siempre que esté directamente relacionado con procesos o procedimientos administrativos o judiciales que no hayan quedado firmes; y</w:t>
      </w:r>
    </w:p>
    <w:p w14:paraId="267E07C5"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 xml:space="preserve">XI. </w:t>
      </w:r>
      <w:r w:rsidRPr="0020382E">
        <w:rPr>
          <w:rFonts w:ascii="Palatino Linotype" w:eastAsia="Palatino Linotype" w:hAnsi="Palatino Linotype" w:cs="Palatino Linotype"/>
          <w:i/>
          <w:sz w:val="22"/>
          <w:szCs w:val="22"/>
        </w:rPr>
        <w:t>Las que por disposición expresa de una ley tengan tal carácter, siempre que sean acordes con las bases, principios y disposiciones establecidos en esta Ley y no la contravengan; así como las previstas en tratados internacionales.</w:t>
      </w:r>
    </w:p>
    <w:p w14:paraId="4BFCE2C3" w14:textId="77777777" w:rsidR="00FA7631" w:rsidRPr="0020382E" w:rsidRDefault="00335356" w:rsidP="00940629">
      <w:pPr>
        <w:pBdr>
          <w:top w:val="nil"/>
          <w:left w:val="nil"/>
          <w:bottom w:val="nil"/>
          <w:right w:val="nil"/>
          <w:between w:val="nil"/>
        </w:pBdr>
        <w:spacing w:before="120" w:after="120"/>
        <w:ind w:left="862"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 xml:space="preserve">Artículo 143. </w:t>
      </w:r>
      <w:r w:rsidRPr="0020382E">
        <w:rPr>
          <w:rFonts w:ascii="Palatino Linotype" w:eastAsia="Palatino Linotype" w:hAnsi="Palatino Linotype" w:cs="Palatino Linotype"/>
          <w:i/>
          <w:sz w:val="22"/>
          <w:szCs w:val="22"/>
        </w:rPr>
        <w:t>Para los efectos de esta Ley se considera información confidencial, la clasificada como tal, de manera permanente, por su naturaleza, cuando:</w:t>
      </w:r>
    </w:p>
    <w:p w14:paraId="3F9436A5"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 xml:space="preserve">I. </w:t>
      </w:r>
      <w:r w:rsidRPr="0020382E">
        <w:rPr>
          <w:rFonts w:ascii="Palatino Linotype" w:eastAsia="Palatino Linotype" w:hAnsi="Palatino Linotype" w:cs="Palatino Linotype"/>
          <w:i/>
          <w:sz w:val="22"/>
          <w:szCs w:val="22"/>
        </w:rPr>
        <w:t>Se refiera a la información privada y los datos personales concernientes a una persona física o jurídico colectiva identificada o identificable;</w:t>
      </w:r>
    </w:p>
    <w:p w14:paraId="34012FAF"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 xml:space="preserve">II. </w:t>
      </w:r>
      <w:r w:rsidRPr="0020382E">
        <w:rPr>
          <w:rFonts w:ascii="Palatino Linotype" w:eastAsia="Palatino Linotype" w:hAnsi="Palatino Linotype" w:cs="Palatino Linotype"/>
          <w:i/>
          <w:sz w:val="22"/>
          <w:szCs w:val="22"/>
        </w:rPr>
        <w:t>Los secretos bancario, fiduciario, industrial, comercial, fiscal, bursátil y postal, cuya titularidad corresponda a particulares, sujetos de derecho internacional o a sujetos obligados cuando no involucren el ejercicio de recursos públicos; y</w:t>
      </w:r>
    </w:p>
    <w:p w14:paraId="2C8F1AF3"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 xml:space="preserve">III. </w:t>
      </w:r>
      <w:r w:rsidRPr="0020382E">
        <w:rPr>
          <w:rFonts w:ascii="Palatino Linotype" w:eastAsia="Palatino Linotype" w:hAnsi="Palatino Linotype" w:cs="Palatino Linotype"/>
          <w:i/>
          <w:sz w:val="22"/>
          <w:szCs w:val="22"/>
        </w:rPr>
        <w:t>La que presenten los particulares a los sujetos obligados, de conformidad con lo dispuesto por las leyes o los tratados internacionales.</w:t>
      </w:r>
    </w:p>
    <w:p w14:paraId="0909B5F8" w14:textId="77777777" w:rsidR="00FA7631" w:rsidRPr="0020382E" w:rsidRDefault="00335356" w:rsidP="00940629">
      <w:pPr>
        <w:pBdr>
          <w:top w:val="nil"/>
          <w:left w:val="nil"/>
          <w:bottom w:val="nil"/>
          <w:right w:val="nil"/>
          <w:between w:val="nil"/>
        </w:pBdr>
        <w:spacing w:before="120" w:after="120"/>
        <w:ind w:left="862"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i/>
          <w:sz w:val="22"/>
          <w:szCs w:val="22"/>
        </w:rPr>
        <w:t>La información confidencial no estará sujeta a temporalidad alguna y sólo podrán tener acceso a ella los titulares de la misma, sus representantes y los servidores públicos facultados para ello.</w:t>
      </w:r>
    </w:p>
    <w:p w14:paraId="5496AED4" w14:textId="77777777" w:rsidR="00FA7631" w:rsidRPr="0020382E" w:rsidRDefault="00335356" w:rsidP="00940629">
      <w:pPr>
        <w:pBdr>
          <w:top w:val="nil"/>
          <w:left w:val="nil"/>
          <w:bottom w:val="nil"/>
          <w:right w:val="nil"/>
          <w:between w:val="nil"/>
        </w:pBdr>
        <w:spacing w:before="120" w:after="120"/>
        <w:ind w:left="862" w:right="862"/>
        <w:jc w:val="both"/>
        <w:rPr>
          <w:rFonts w:ascii="Palatino Linotype" w:eastAsia="Palatino Linotype" w:hAnsi="Palatino Linotype" w:cs="Palatino Linotype"/>
          <w:i/>
        </w:rPr>
      </w:pPr>
      <w:r w:rsidRPr="0020382E">
        <w:rPr>
          <w:rFonts w:ascii="Palatino Linotype" w:eastAsia="Palatino Linotype" w:hAnsi="Palatino Linotype" w:cs="Palatino Linotype"/>
          <w:i/>
          <w:sz w:val="22"/>
          <w:szCs w:val="22"/>
        </w:rPr>
        <w:t>No se considerará confidencial la información que se encuentre en los registros públicos o en fuentes de acceso público, ni tampoco la que sea considerada por la presente ley como información pública.</w:t>
      </w:r>
      <w:r w:rsidR="00940629" w:rsidRPr="0020382E">
        <w:rPr>
          <w:rFonts w:ascii="Palatino Linotype" w:eastAsia="Palatino Linotype" w:hAnsi="Palatino Linotype" w:cs="Palatino Linotype"/>
          <w:i/>
          <w:sz w:val="22"/>
          <w:szCs w:val="22"/>
        </w:rPr>
        <w:t>”</w:t>
      </w:r>
    </w:p>
    <w:p w14:paraId="33BDDCA6" w14:textId="77777777" w:rsidR="00FA7631" w:rsidRPr="0020382E" w:rsidRDefault="00335356">
      <w:pPr>
        <w:spacing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De este modo, conforme al artículo 132 de la ley en referencia, para clasificar la información se debe de atender a lo dispuesto por la normativa y aplicar, de manera estricta, las excepciones del derecho de acceso a la información y sólo podrán invocarlas cuando acrediten su procedencia, debiendo clasificar la información en el momento en que:</w:t>
      </w:r>
    </w:p>
    <w:p w14:paraId="15C699C9" w14:textId="77777777" w:rsidR="00FA7631" w:rsidRPr="0020382E" w:rsidRDefault="00335356">
      <w:pPr>
        <w:numPr>
          <w:ilvl w:val="0"/>
          <w:numId w:val="3"/>
        </w:numPr>
        <w:pBdr>
          <w:top w:val="nil"/>
          <w:left w:val="nil"/>
          <w:bottom w:val="nil"/>
          <w:right w:val="nil"/>
          <w:between w:val="nil"/>
        </w:pBdr>
        <w:tabs>
          <w:tab w:val="left" w:pos="851"/>
        </w:tabs>
        <w:spacing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Se reciba una solicitud de acceso a la información;</w:t>
      </w:r>
    </w:p>
    <w:p w14:paraId="7F066073" w14:textId="77777777" w:rsidR="00FA7631" w:rsidRPr="0020382E" w:rsidRDefault="00335356">
      <w:pPr>
        <w:numPr>
          <w:ilvl w:val="0"/>
          <w:numId w:val="3"/>
        </w:numPr>
        <w:pBdr>
          <w:top w:val="nil"/>
          <w:left w:val="nil"/>
          <w:bottom w:val="nil"/>
          <w:right w:val="nil"/>
          <w:between w:val="nil"/>
        </w:pBdr>
        <w:tabs>
          <w:tab w:val="left" w:pos="851"/>
        </w:tabs>
        <w:spacing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lastRenderedPageBreak/>
        <w:t>Se determine mediante resolución de autoridad competente; y/o</w:t>
      </w:r>
    </w:p>
    <w:p w14:paraId="32AF10F7" w14:textId="77777777" w:rsidR="00FA7631" w:rsidRPr="0020382E" w:rsidRDefault="00335356">
      <w:pPr>
        <w:numPr>
          <w:ilvl w:val="0"/>
          <w:numId w:val="3"/>
        </w:numPr>
        <w:pBdr>
          <w:top w:val="nil"/>
          <w:left w:val="nil"/>
          <w:bottom w:val="nil"/>
          <w:right w:val="nil"/>
          <w:between w:val="nil"/>
        </w:pBdr>
        <w:tabs>
          <w:tab w:val="left" w:pos="851"/>
        </w:tabs>
        <w:spacing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Se generen versiones públicas para dar cumplimiento a las obligaciones de transparencia previstas en la Ley.</w:t>
      </w:r>
    </w:p>
    <w:p w14:paraId="012AB0DF" w14:textId="77777777" w:rsidR="00FA7631" w:rsidRPr="0020382E" w:rsidRDefault="00335356">
      <w:pPr>
        <w:spacing w:line="360" w:lineRule="auto"/>
        <w:ind w:right="51"/>
        <w:jc w:val="both"/>
        <w:rPr>
          <w:rFonts w:ascii="Palatino Linotype" w:eastAsia="Palatino Linotype" w:hAnsi="Palatino Linotype" w:cs="Palatino Linotype"/>
        </w:rPr>
      </w:pPr>
      <w:r w:rsidRPr="0020382E">
        <w:rPr>
          <w:rFonts w:ascii="Palatino Linotype" w:eastAsia="Palatino Linotype" w:hAnsi="Palatino Linotype" w:cs="Palatino Linotype"/>
        </w:rPr>
        <w:t xml:space="preserve">En ese sentido, es de precisar que la clasificación de la información no se da por el simple mandato de la ley, sino que es necesario que </w:t>
      </w:r>
      <w:r w:rsidRPr="0020382E">
        <w:rPr>
          <w:rFonts w:ascii="Palatino Linotype" w:eastAsia="Palatino Linotype" w:hAnsi="Palatino Linotype" w:cs="Palatino Linotype"/>
          <w:b/>
        </w:rPr>
        <w:t>EL SUJETO OBLIGADO,</w:t>
      </w:r>
      <w:r w:rsidRPr="0020382E">
        <w:rPr>
          <w:rFonts w:ascii="Palatino Linotype" w:eastAsia="Palatino Linotype" w:hAnsi="Palatino Linotype" w:cs="Palatino Linotype"/>
        </w:rPr>
        <w:t xml:space="preserve"> cuando clasifique algún documento o información, ya sea todo o en parte, atienda lo dispuesto por la ley de la materia, siendo que dicha clasificación es un trabajo en conjunto tanto de los Servidores Públicos Habilitados, de las Unidades de Transparencia y del Comité de Transparencia del </w:t>
      </w:r>
      <w:r w:rsidRPr="0020382E">
        <w:rPr>
          <w:rFonts w:ascii="Palatino Linotype" w:eastAsia="Palatino Linotype" w:hAnsi="Palatino Linotype" w:cs="Palatino Linotype"/>
          <w:b/>
        </w:rPr>
        <w:t>SUJETO OBLIGADO</w:t>
      </w:r>
      <w:r w:rsidRPr="0020382E">
        <w:rPr>
          <w:rFonts w:ascii="Palatino Linotype" w:eastAsia="Palatino Linotype" w:hAnsi="Palatino Linotype" w:cs="Palatino Linotype"/>
        </w:rPr>
        <w:t>, teniendo el deber los primeros de ellos de presentar ante la Unidad de Transparencia la propuesta de la clasificación de la información, para que luego esta se presente ante al Comité de Transparencia de así resultar procedente el proyecto de clasificación de la información y que finalmente sea este último quien apruebe, modifique o revoque la misma, como se desprende de los artículos 59 fracción V, 53 fracción X, y 49 fracciones II y VIII de la Ley de Transparencia y Acceso a la Información Pública del Estado de México y Municipios.</w:t>
      </w:r>
    </w:p>
    <w:p w14:paraId="5DD00605" w14:textId="77777777" w:rsidR="00FA7631" w:rsidRPr="0020382E" w:rsidRDefault="00335356" w:rsidP="00940629">
      <w:pPr>
        <w:pBdr>
          <w:top w:val="nil"/>
          <w:left w:val="nil"/>
          <w:bottom w:val="nil"/>
          <w:right w:val="nil"/>
          <w:between w:val="nil"/>
        </w:pBdr>
        <w:spacing w:before="120" w:after="120"/>
        <w:ind w:left="862"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Artículo 59</w:t>
      </w:r>
      <w:r w:rsidRPr="0020382E">
        <w:rPr>
          <w:rFonts w:ascii="Palatino Linotype" w:eastAsia="Palatino Linotype" w:hAnsi="Palatino Linotype" w:cs="Palatino Linotype"/>
          <w:i/>
          <w:sz w:val="22"/>
          <w:szCs w:val="22"/>
        </w:rPr>
        <w:t>. Los servidores públicos habilitados tendrán las funciones siguientes:</w:t>
      </w:r>
    </w:p>
    <w:p w14:paraId="1083D1B3" w14:textId="77777777" w:rsidR="00FA7631" w:rsidRPr="0020382E" w:rsidRDefault="00940629"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i/>
          <w:sz w:val="22"/>
          <w:szCs w:val="22"/>
        </w:rPr>
        <w:t>…</w:t>
      </w:r>
    </w:p>
    <w:p w14:paraId="2C1083D7"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V.</w:t>
      </w:r>
      <w:r w:rsidRPr="0020382E">
        <w:rPr>
          <w:rFonts w:ascii="Palatino Linotype" w:eastAsia="Palatino Linotype" w:hAnsi="Palatino Linotype" w:cs="Palatino Linotype"/>
          <w:i/>
          <w:sz w:val="22"/>
          <w:szCs w:val="22"/>
        </w:rPr>
        <w:t xml:space="preserve"> Integrar y presentar al responsable de la Unidad de Transparencia la propuesta de clasificación de información, la cual tendrá los fundamentos y argumentos en que se basa dicha propuesta;</w:t>
      </w:r>
    </w:p>
    <w:p w14:paraId="109E9158" w14:textId="77777777" w:rsidR="00FA7631" w:rsidRPr="0020382E" w:rsidRDefault="00940629" w:rsidP="00940629">
      <w:pPr>
        <w:pBdr>
          <w:top w:val="nil"/>
          <w:left w:val="nil"/>
          <w:bottom w:val="nil"/>
          <w:right w:val="nil"/>
          <w:between w:val="nil"/>
        </w:pBdr>
        <w:spacing w:before="120" w:after="120"/>
        <w:ind w:left="862" w:right="862"/>
        <w:jc w:val="both"/>
        <w:rPr>
          <w:rFonts w:ascii="Palatino Linotype" w:eastAsia="Palatino Linotype" w:hAnsi="Palatino Linotype" w:cs="Palatino Linotype"/>
          <w:i/>
          <w:sz w:val="22"/>
          <w:szCs w:val="22"/>
          <w:vertAlign w:val="superscript"/>
        </w:rPr>
      </w:pPr>
      <w:r w:rsidRPr="0020382E">
        <w:rPr>
          <w:rFonts w:ascii="Palatino Linotype" w:eastAsia="Palatino Linotype" w:hAnsi="Palatino Linotype" w:cs="Palatino Linotype"/>
          <w:i/>
          <w:sz w:val="22"/>
          <w:szCs w:val="22"/>
        </w:rPr>
        <w:t>…</w:t>
      </w:r>
    </w:p>
    <w:p w14:paraId="2E3AA653" w14:textId="77777777" w:rsidR="00FA7631" w:rsidRPr="0020382E" w:rsidRDefault="00335356" w:rsidP="00940629">
      <w:pPr>
        <w:pBdr>
          <w:top w:val="nil"/>
          <w:left w:val="nil"/>
          <w:bottom w:val="nil"/>
          <w:right w:val="nil"/>
          <w:between w:val="nil"/>
        </w:pBdr>
        <w:spacing w:before="120" w:after="120"/>
        <w:ind w:left="862"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Artículo 53</w:t>
      </w:r>
      <w:r w:rsidRPr="0020382E">
        <w:rPr>
          <w:rFonts w:ascii="Palatino Linotype" w:eastAsia="Palatino Linotype" w:hAnsi="Palatino Linotype" w:cs="Palatino Linotype"/>
          <w:i/>
          <w:sz w:val="22"/>
          <w:szCs w:val="22"/>
        </w:rPr>
        <w:t>. Las Unidades de Transparencia tendrán las siguientes funciones:</w:t>
      </w:r>
    </w:p>
    <w:p w14:paraId="1B0B9153" w14:textId="77777777" w:rsidR="00FA7631" w:rsidRPr="0020382E" w:rsidRDefault="00940629"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i/>
          <w:sz w:val="22"/>
          <w:szCs w:val="22"/>
        </w:rPr>
        <w:t>…</w:t>
      </w:r>
    </w:p>
    <w:p w14:paraId="25D2E875"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X</w:t>
      </w:r>
      <w:r w:rsidRPr="0020382E">
        <w:rPr>
          <w:rFonts w:ascii="Palatino Linotype" w:eastAsia="Palatino Linotype" w:hAnsi="Palatino Linotype" w:cs="Palatino Linotype"/>
          <w:i/>
          <w:sz w:val="22"/>
          <w:szCs w:val="22"/>
        </w:rPr>
        <w:t>. Presentar ante el Comité, el proyecto de clasificación de información;</w:t>
      </w:r>
    </w:p>
    <w:p w14:paraId="272C9909" w14:textId="77777777" w:rsidR="00FA7631" w:rsidRPr="0020382E" w:rsidRDefault="00940629" w:rsidP="00940629">
      <w:pPr>
        <w:pBdr>
          <w:top w:val="nil"/>
          <w:left w:val="nil"/>
          <w:bottom w:val="nil"/>
          <w:right w:val="nil"/>
          <w:between w:val="nil"/>
        </w:pBdr>
        <w:spacing w:before="120" w:after="120"/>
        <w:ind w:left="862"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i/>
          <w:sz w:val="22"/>
          <w:szCs w:val="22"/>
        </w:rPr>
        <w:lastRenderedPageBreak/>
        <w:t>…</w:t>
      </w:r>
    </w:p>
    <w:p w14:paraId="74F7C183" w14:textId="77777777" w:rsidR="00FA7631" w:rsidRPr="0020382E" w:rsidRDefault="00335356" w:rsidP="00940629">
      <w:pPr>
        <w:pBdr>
          <w:top w:val="nil"/>
          <w:left w:val="nil"/>
          <w:bottom w:val="nil"/>
          <w:right w:val="nil"/>
          <w:between w:val="nil"/>
        </w:pBdr>
        <w:spacing w:before="120" w:after="120"/>
        <w:ind w:left="862"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Artículo 49.</w:t>
      </w:r>
      <w:r w:rsidRPr="0020382E">
        <w:rPr>
          <w:rFonts w:ascii="Palatino Linotype" w:eastAsia="Palatino Linotype" w:hAnsi="Palatino Linotype" w:cs="Palatino Linotype"/>
          <w:i/>
          <w:sz w:val="22"/>
          <w:szCs w:val="22"/>
        </w:rPr>
        <w:t xml:space="preserve"> Los Comités de Transparencia tendrán las siguientes atribuciones:</w:t>
      </w:r>
    </w:p>
    <w:p w14:paraId="5FC7B739" w14:textId="77777777" w:rsidR="00FA7631" w:rsidRPr="0020382E" w:rsidRDefault="00940629"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i/>
          <w:sz w:val="22"/>
          <w:szCs w:val="22"/>
        </w:rPr>
        <w:t>…</w:t>
      </w:r>
    </w:p>
    <w:p w14:paraId="0BCCF0A2"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II.</w:t>
      </w:r>
      <w:r w:rsidRPr="0020382E">
        <w:rPr>
          <w:rFonts w:ascii="Palatino Linotype" w:eastAsia="Palatino Linotype" w:hAnsi="Palatino Linotype" w:cs="Palatino Linotype"/>
          <w:i/>
          <w:sz w:val="22"/>
          <w:szCs w:val="22"/>
        </w:rPr>
        <w:t xml:space="preserve"> Confirmar, modificar o revocar las determinaciones </w:t>
      </w:r>
      <w:proofErr w:type="gramStart"/>
      <w:r w:rsidRPr="0020382E">
        <w:rPr>
          <w:rFonts w:ascii="Palatino Linotype" w:eastAsia="Palatino Linotype" w:hAnsi="Palatino Linotype" w:cs="Palatino Linotype"/>
          <w:i/>
          <w:sz w:val="22"/>
          <w:szCs w:val="22"/>
        </w:rPr>
        <w:t>que</w:t>
      </w:r>
      <w:proofErr w:type="gramEnd"/>
      <w:r w:rsidRPr="0020382E">
        <w:rPr>
          <w:rFonts w:ascii="Palatino Linotype" w:eastAsia="Palatino Linotype" w:hAnsi="Palatino Linotype" w:cs="Palatino Linotype"/>
          <w:i/>
          <w:sz w:val="22"/>
          <w:szCs w:val="22"/>
        </w:rPr>
        <w:t xml:space="preserve"> en materia de ampliación del plazo de respuesta, clasificación de la información y declaración de inexistencia o de incompetencia realicen los titulares de las áreas de los sujetos obligados;</w:t>
      </w:r>
    </w:p>
    <w:p w14:paraId="5038320B" w14:textId="77777777" w:rsidR="00FA7631" w:rsidRPr="0020382E" w:rsidRDefault="00940629"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i/>
          <w:sz w:val="22"/>
          <w:szCs w:val="22"/>
        </w:rPr>
        <w:t>…</w:t>
      </w:r>
    </w:p>
    <w:p w14:paraId="16E4BCDF" w14:textId="77777777" w:rsidR="00FA7631" w:rsidRPr="0020382E" w:rsidRDefault="00335356" w:rsidP="00940629">
      <w:pPr>
        <w:pBdr>
          <w:top w:val="nil"/>
          <w:left w:val="nil"/>
          <w:bottom w:val="nil"/>
          <w:right w:val="nil"/>
          <w:between w:val="nil"/>
        </w:pBdr>
        <w:spacing w:before="120" w:after="120"/>
        <w:ind w:left="1134"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VIII.</w:t>
      </w:r>
      <w:r w:rsidRPr="0020382E">
        <w:rPr>
          <w:rFonts w:ascii="Palatino Linotype" w:eastAsia="Palatino Linotype" w:hAnsi="Palatino Linotype" w:cs="Palatino Linotype"/>
          <w:i/>
          <w:sz w:val="22"/>
          <w:szCs w:val="22"/>
        </w:rPr>
        <w:t xml:space="preserve"> Aprobar, modificar o revocar la clasificación de la información;</w:t>
      </w:r>
    </w:p>
    <w:p w14:paraId="602E6790" w14:textId="77777777" w:rsidR="00FA7631" w:rsidRPr="0020382E" w:rsidRDefault="00940629" w:rsidP="00940629">
      <w:pPr>
        <w:pBdr>
          <w:top w:val="nil"/>
          <w:left w:val="nil"/>
          <w:bottom w:val="nil"/>
          <w:right w:val="nil"/>
          <w:between w:val="nil"/>
        </w:pBdr>
        <w:spacing w:before="120" w:after="120"/>
        <w:ind w:left="862" w:right="862"/>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i/>
          <w:sz w:val="22"/>
          <w:szCs w:val="22"/>
        </w:rPr>
        <w:t>…”</w:t>
      </w:r>
    </w:p>
    <w:p w14:paraId="6F47F420" w14:textId="77777777" w:rsidR="00FA7631" w:rsidRPr="0020382E" w:rsidRDefault="00335356">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 xml:space="preserve">Bajo tales consideraciones, este Organismo Garante no omite señalar que, si </w:t>
      </w:r>
      <w:r w:rsidR="00940629" w:rsidRPr="0020382E">
        <w:rPr>
          <w:rFonts w:ascii="Palatino Linotype" w:eastAsia="Palatino Linotype" w:hAnsi="Palatino Linotype" w:cs="Palatino Linotype"/>
        </w:rPr>
        <w:t xml:space="preserve">el </w:t>
      </w:r>
      <w:r w:rsidR="00940629" w:rsidRPr="0020382E">
        <w:rPr>
          <w:rFonts w:ascii="Palatino Linotype" w:eastAsia="Palatino Linotype" w:hAnsi="Palatino Linotype" w:cs="Palatino Linotype"/>
          <w:b/>
        </w:rPr>
        <w:t>Sujeto Obligado</w:t>
      </w:r>
      <w:r w:rsidR="00940629" w:rsidRPr="0020382E">
        <w:rPr>
          <w:rFonts w:ascii="Palatino Linotype" w:eastAsia="Palatino Linotype" w:hAnsi="Palatino Linotype" w:cs="Palatino Linotype"/>
        </w:rPr>
        <w:t xml:space="preserve"> </w:t>
      </w:r>
      <w:r w:rsidRPr="0020382E">
        <w:rPr>
          <w:rFonts w:ascii="Palatino Linotype" w:eastAsia="Palatino Linotype" w:hAnsi="Palatino Linotype" w:cs="Palatino Linotype"/>
        </w:rPr>
        <w:t>advierte que la información solicitada contiene datos personales que sean susceptibles de ser clasificados como confidenciales,</w:t>
      </w:r>
      <w:r w:rsidRPr="0020382E">
        <w:rPr>
          <w:rFonts w:ascii="Palatino Linotype" w:eastAsia="Palatino Linotype" w:hAnsi="Palatino Linotype" w:cs="Palatino Linotype"/>
          <w:b/>
        </w:rPr>
        <w:t xml:space="preserve"> </w:t>
      </w:r>
      <w:r w:rsidRPr="0020382E">
        <w:rPr>
          <w:rFonts w:ascii="Palatino Linotype" w:eastAsia="Palatino Linotype" w:hAnsi="Palatino Linotype" w:cs="Palatino Linotype"/>
        </w:rPr>
        <w:t xml:space="preserve">o, si por otro lado, por su propia y especial naturaleza, encuadra en alguno de los supuestos de reserva o de confidencialidad en su totalidad, deberá emitir, un Acuerdo de Clasificación debidamente fundado y motivado que sustente la clasificación parcial, a través de la versión pública que emita, o bien, la restricción total del derecho de acceso a la información.  </w:t>
      </w:r>
    </w:p>
    <w:p w14:paraId="366D5049" w14:textId="77777777" w:rsidR="00FA7631" w:rsidRPr="0020382E" w:rsidRDefault="00940629">
      <w:pPr>
        <w:numPr>
          <w:ilvl w:val="0"/>
          <w:numId w:val="2"/>
        </w:numPr>
        <w:pBdr>
          <w:top w:val="nil"/>
          <w:left w:val="nil"/>
          <w:bottom w:val="nil"/>
          <w:right w:val="nil"/>
          <w:between w:val="nil"/>
        </w:pBd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b/>
        </w:rPr>
        <w:t>De la clasificación parcial de la información</w:t>
      </w:r>
      <w:r w:rsidR="00335356" w:rsidRPr="0020382E">
        <w:rPr>
          <w:rFonts w:ascii="Palatino Linotype" w:eastAsia="Palatino Linotype" w:hAnsi="Palatino Linotype" w:cs="Palatino Linotype"/>
          <w:b/>
        </w:rPr>
        <w:t>.</w:t>
      </w:r>
    </w:p>
    <w:p w14:paraId="1AADC049" w14:textId="77777777" w:rsidR="00FA7631" w:rsidRPr="0020382E" w:rsidRDefault="00335356">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 xml:space="preserve">Respecto de la elaboración de versiones públicas, debe mencionarse que dentro de los datos personales que pudieran contenerse se destacan los datos personales sensibles, los cuales son aquellos referentes de la esfera de su titular cuya utilización indebida pueda dar origen a discriminación o conlleve un riesgo grave para este. De manera enunciativa más no limitativa, se consideran sensibles los datos personales que puedan revelar aspectos como origen racial o étnico, estado de salud física o </w:t>
      </w:r>
      <w:r w:rsidRPr="0020382E">
        <w:rPr>
          <w:rFonts w:ascii="Palatino Linotype" w:eastAsia="Palatino Linotype" w:hAnsi="Palatino Linotype" w:cs="Palatino Linotype"/>
        </w:rPr>
        <w:lastRenderedPageBreak/>
        <w:t>mental, presente o futura, información genética, creencias religiosas, filosóficas y morales, opiniones políticas y preferencia sexual, de conformidad con el artículo 4, fracción XII de la Ley de Protección de Datos Personales en Posesión de Sujetos Obligados del Estado de México y Municipios.</w:t>
      </w:r>
    </w:p>
    <w:p w14:paraId="16B67A1A" w14:textId="77777777" w:rsidR="00FA7631" w:rsidRPr="0020382E" w:rsidRDefault="00940629">
      <w:pPr>
        <w:numPr>
          <w:ilvl w:val="0"/>
          <w:numId w:val="2"/>
        </w:numPr>
        <w:pBdr>
          <w:top w:val="nil"/>
          <w:left w:val="nil"/>
          <w:bottom w:val="nil"/>
          <w:right w:val="nil"/>
          <w:between w:val="nil"/>
        </w:pBdr>
        <w:spacing w:before="240" w:after="240" w:line="360" w:lineRule="auto"/>
        <w:ind w:right="51"/>
        <w:jc w:val="both"/>
        <w:rPr>
          <w:rFonts w:ascii="Palatino Linotype" w:eastAsia="Palatino Linotype" w:hAnsi="Palatino Linotype" w:cs="Palatino Linotype"/>
          <w:b/>
        </w:rPr>
      </w:pPr>
      <w:r w:rsidRPr="0020382E">
        <w:rPr>
          <w:rFonts w:ascii="Palatino Linotype" w:eastAsia="Palatino Linotype" w:hAnsi="Palatino Linotype" w:cs="Palatino Linotype"/>
          <w:b/>
        </w:rPr>
        <w:t>De la clasificación de información como reservada</w:t>
      </w:r>
      <w:r w:rsidR="00335356" w:rsidRPr="0020382E">
        <w:rPr>
          <w:rFonts w:ascii="Palatino Linotype" w:eastAsia="Palatino Linotype" w:hAnsi="Palatino Linotype" w:cs="Palatino Linotype"/>
          <w:b/>
        </w:rPr>
        <w:t>.</w:t>
      </w:r>
    </w:p>
    <w:p w14:paraId="7176F928" w14:textId="77777777" w:rsidR="00FA7631" w:rsidRPr="0020382E" w:rsidRDefault="00335356">
      <w:pPr>
        <w:spacing w:before="240" w:after="240" w:line="360" w:lineRule="auto"/>
        <w:ind w:right="51"/>
        <w:jc w:val="both"/>
        <w:rPr>
          <w:rFonts w:ascii="Palatino Linotype" w:eastAsia="Palatino Linotype" w:hAnsi="Palatino Linotype" w:cs="Palatino Linotype"/>
        </w:rPr>
      </w:pPr>
      <w:r w:rsidRPr="0020382E">
        <w:rPr>
          <w:rFonts w:ascii="Palatino Linotype" w:eastAsia="Palatino Linotype" w:hAnsi="Palatino Linotype" w:cs="Palatino Linotype"/>
        </w:rPr>
        <w:t xml:space="preserve">Por cuanto hace a la reserva y ampliación del plazo de reserva de la información, para motivar la clasificación se deberán de señalar las razones, motivos o circunstancias especiales que llevaron al </w:t>
      </w:r>
      <w:r w:rsidR="00582B03" w:rsidRPr="0020382E">
        <w:rPr>
          <w:rFonts w:ascii="Palatino Linotype" w:eastAsia="Palatino Linotype" w:hAnsi="Palatino Linotype" w:cs="Palatino Linotype"/>
          <w:b/>
        </w:rPr>
        <w:t>Sujeto Obligado</w:t>
      </w:r>
      <w:r w:rsidR="00582B03" w:rsidRPr="0020382E">
        <w:rPr>
          <w:rFonts w:ascii="Palatino Linotype" w:eastAsia="Palatino Linotype" w:hAnsi="Palatino Linotype" w:cs="Palatino Linotype"/>
        </w:rPr>
        <w:t xml:space="preserve"> </w:t>
      </w:r>
      <w:r w:rsidRPr="0020382E">
        <w:rPr>
          <w:rFonts w:ascii="Palatino Linotype" w:eastAsia="Palatino Linotype" w:hAnsi="Palatino Linotype" w:cs="Palatino Linotype"/>
        </w:rPr>
        <w:t>a concluir que, el caso particular se ajusta al supuesto previsto por la norma legal invocada como fundamento; siendo que, además, en todo momento, se debe aplicar una prueba de daño, entendida esta como la responsabilidad de los Sujetos Obligados de demostrar, de manera fundada y motivada, que la divulgación de la información lesiona el interés debidamente protegido por la ley y que el menoscabo o daño que puede producirse con la publicidad de la información, es mayor que el interés de conocerla; debiendo clasificarse como reservada.</w:t>
      </w:r>
    </w:p>
    <w:p w14:paraId="7C4158D5" w14:textId="77777777" w:rsidR="00FA7631" w:rsidRPr="0020382E" w:rsidRDefault="00335356">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 xml:space="preserve">En otras palabras, para la clasificación de la información como reservada se deben establecer, de manera fundada y motivada, las hipótesis normativas aplicables al caso concreto y se analice la prueba de daño, misma que se encuentra prevista en el artículo 129 de la Ley de Transparencia y Acceso a la Información pública del Estado de México y Municipios, para lo cual, los Sujetos Obligados deberán considerar que: </w:t>
      </w:r>
    </w:p>
    <w:p w14:paraId="71F9D365" w14:textId="77777777" w:rsidR="00FA7631" w:rsidRPr="0020382E" w:rsidRDefault="00335356">
      <w:pPr>
        <w:numPr>
          <w:ilvl w:val="0"/>
          <w:numId w:val="1"/>
        </w:numPr>
        <w:tabs>
          <w:tab w:val="left" w:pos="851"/>
        </w:tabs>
        <w:spacing w:before="240" w:after="240" w:line="360" w:lineRule="auto"/>
        <w:ind w:left="567" w:firstLine="1"/>
        <w:jc w:val="both"/>
        <w:rPr>
          <w:rFonts w:ascii="Palatino Linotype" w:eastAsia="Palatino Linotype" w:hAnsi="Palatino Linotype" w:cs="Palatino Linotype"/>
        </w:rPr>
      </w:pPr>
      <w:r w:rsidRPr="0020382E">
        <w:rPr>
          <w:rFonts w:ascii="Palatino Linotype" w:eastAsia="Palatino Linotype" w:hAnsi="Palatino Linotype" w:cs="Palatino Linotype"/>
        </w:rPr>
        <w:lastRenderedPageBreak/>
        <w:t xml:space="preserve">La divulgación de la información representa un </w:t>
      </w:r>
      <w:r w:rsidRPr="0020382E">
        <w:rPr>
          <w:rFonts w:ascii="Palatino Linotype" w:eastAsia="Palatino Linotype" w:hAnsi="Palatino Linotype" w:cs="Palatino Linotype"/>
          <w:b/>
        </w:rPr>
        <w:t>riesgo real, demostrable e identificable del perjuicio significativo al interés público o a la seguridad pública</w:t>
      </w:r>
      <w:r w:rsidRPr="0020382E">
        <w:rPr>
          <w:rFonts w:ascii="Palatino Linotype" w:eastAsia="Palatino Linotype" w:hAnsi="Palatino Linotype" w:cs="Palatino Linotype"/>
        </w:rPr>
        <w:t>;</w:t>
      </w:r>
    </w:p>
    <w:p w14:paraId="182FB8D0" w14:textId="77777777" w:rsidR="00FA7631" w:rsidRPr="0020382E" w:rsidRDefault="00335356">
      <w:pPr>
        <w:numPr>
          <w:ilvl w:val="0"/>
          <w:numId w:val="1"/>
        </w:numPr>
        <w:tabs>
          <w:tab w:val="left" w:pos="851"/>
        </w:tabs>
        <w:spacing w:before="240" w:after="240" w:line="360" w:lineRule="auto"/>
        <w:ind w:left="567" w:firstLine="1"/>
        <w:jc w:val="both"/>
        <w:rPr>
          <w:rFonts w:ascii="Palatino Linotype" w:eastAsia="Palatino Linotype" w:hAnsi="Palatino Linotype" w:cs="Palatino Linotype"/>
        </w:rPr>
      </w:pPr>
      <w:r w:rsidRPr="0020382E">
        <w:rPr>
          <w:rFonts w:ascii="Palatino Linotype" w:eastAsia="Palatino Linotype" w:hAnsi="Palatino Linotype" w:cs="Palatino Linotype"/>
        </w:rPr>
        <w:t>El riesgo de perjuicio que supondría la divulgación supera el interés público general de que se difunda; y,</w:t>
      </w:r>
    </w:p>
    <w:p w14:paraId="79D1C56C" w14:textId="77777777" w:rsidR="00FA7631" w:rsidRPr="0020382E" w:rsidRDefault="00335356">
      <w:pPr>
        <w:numPr>
          <w:ilvl w:val="0"/>
          <w:numId w:val="1"/>
        </w:numPr>
        <w:tabs>
          <w:tab w:val="left" w:pos="851"/>
        </w:tabs>
        <w:spacing w:before="240" w:after="240" w:line="360" w:lineRule="auto"/>
        <w:ind w:left="567" w:firstLine="1"/>
        <w:jc w:val="both"/>
        <w:rPr>
          <w:rFonts w:ascii="Palatino Linotype" w:eastAsia="Palatino Linotype" w:hAnsi="Palatino Linotype" w:cs="Palatino Linotype"/>
        </w:rPr>
      </w:pPr>
      <w:r w:rsidRPr="0020382E">
        <w:rPr>
          <w:rFonts w:ascii="Palatino Linotype" w:eastAsia="Palatino Linotype" w:hAnsi="Palatino Linotype" w:cs="Palatino Linotype"/>
        </w:rPr>
        <w:t xml:space="preserve">La limitación se adecua al principio de proporcionalidad y representa el medio menos restrictivo disponible para evitar el perjuicio. </w:t>
      </w:r>
    </w:p>
    <w:p w14:paraId="7F8FB378" w14:textId="77777777" w:rsidR="00FA7631" w:rsidRPr="0020382E" w:rsidRDefault="00335356">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Siendo pertinente aclarar que, la información que se clasifica bajo la premisa de reservada, no pierde el carácter de pública, sino que se reserva temporalmente del conocimiento público, es decir, que, por un tiempo determinado, se conservará y custodiará la información de manera especial, y una vez transcurrido el plazo de reserva, el documento podrá divulgarse.</w:t>
      </w:r>
    </w:p>
    <w:p w14:paraId="46E510E2" w14:textId="77777777" w:rsidR="00FA7631" w:rsidRPr="0020382E" w:rsidRDefault="00335356">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 xml:space="preserve">De tal manera, las limitaciones al acceso a la información deben sustentarse en una adecuada clasificación que debe distinguir y tomar en cuenta qué información puede generar un daño desproporcionado o innecesario a valores jurídicamente protegidos. </w:t>
      </w:r>
    </w:p>
    <w:p w14:paraId="5CC5858B" w14:textId="77777777" w:rsidR="00FA7631" w:rsidRPr="0020382E" w:rsidRDefault="005E7572">
      <w:pPr>
        <w:numPr>
          <w:ilvl w:val="0"/>
          <w:numId w:val="2"/>
        </w:numPr>
        <w:pBdr>
          <w:top w:val="nil"/>
          <w:left w:val="nil"/>
          <w:bottom w:val="nil"/>
          <w:right w:val="nil"/>
          <w:between w:val="nil"/>
        </w:pBdr>
        <w:tabs>
          <w:tab w:val="left" w:pos="709"/>
        </w:tabs>
        <w:spacing w:before="240" w:after="240" w:line="360" w:lineRule="auto"/>
        <w:jc w:val="both"/>
        <w:rPr>
          <w:rFonts w:ascii="Palatino Linotype" w:eastAsia="Palatino Linotype" w:hAnsi="Palatino Linotype" w:cs="Palatino Linotype"/>
          <w:b/>
        </w:rPr>
      </w:pPr>
      <w:r w:rsidRPr="0020382E">
        <w:rPr>
          <w:rFonts w:ascii="Palatino Linotype" w:eastAsia="Palatino Linotype" w:hAnsi="Palatino Linotype" w:cs="Palatino Linotype"/>
          <w:b/>
        </w:rPr>
        <w:t>De la clasificación de la información como totalmente confidencial</w:t>
      </w:r>
      <w:r w:rsidR="00335356" w:rsidRPr="0020382E">
        <w:rPr>
          <w:rFonts w:ascii="Palatino Linotype" w:eastAsia="Palatino Linotype" w:hAnsi="Palatino Linotype" w:cs="Palatino Linotype"/>
          <w:b/>
        </w:rPr>
        <w:t>.</w:t>
      </w:r>
    </w:p>
    <w:p w14:paraId="20A0FE5D" w14:textId="77777777" w:rsidR="00FA7631" w:rsidRPr="0020382E" w:rsidRDefault="00335356">
      <w:pPr>
        <w:tabs>
          <w:tab w:val="left" w:pos="709"/>
        </w:tabs>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 xml:space="preserve">Por cuanto hace a los documentos que por su propia y especial naturaleza sean de carácter privado, encuadran en el supuesto de información confidencial en su totalidad, bajo la premisa de que el derecho de acceso a la información pública tiene como limitante el respeto a la intimidad y a la vida privada de las personas, es por </w:t>
      </w:r>
      <w:r w:rsidRPr="0020382E">
        <w:rPr>
          <w:rFonts w:ascii="Palatino Linotype" w:eastAsia="Palatino Linotype" w:hAnsi="Palatino Linotype" w:cs="Palatino Linotype"/>
        </w:rPr>
        <w:lastRenderedPageBreak/>
        <w:t>ello que este Instituto debe cuidar que los datos personales que obren en poder de los Sujetos Obligados estén protegidos, quienes deberán adoptar las medidas de seguridad administrativa, física y técnica necesarias para garantizar la integridad, confidencialidad y disponibilidad de los datos personales, considerando además, que conforme al principio de finalidad todo tratamiento de datos personales que efectúen los Sujetos Obligados deberá estar justificado en la Ley, lo anterior en términos de lo dispuesto por los artículos 6, 22, 38 y 43, de la Ley de Protección de Datos Personales en Posesión de los Sujetos Obligados del Estado de México y Municipios.</w:t>
      </w:r>
    </w:p>
    <w:p w14:paraId="5B4AF998" w14:textId="77777777" w:rsidR="00FA7631" w:rsidRPr="0020382E" w:rsidRDefault="00335356">
      <w:pPr>
        <w:spacing w:before="240" w:after="240" w:line="360" w:lineRule="auto"/>
        <w:ind w:right="51"/>
        <w:jc w:val="both"/>
        <w:rPr>
          <w:rFonts w:ascii="Palatino Linotype" w:eastAsia="Palatino Linotype" w:hAnsi="Palatino Linotype" w:cs="Palatino Linotype"/>
        </w:rPr>
      </w:pPr>
      <w:r w:rsidRPr="0020382E">
        <w:rPr>
          <w:rFonts w:ascii="Palatino Linotype" w:eastAsia="Palatino Linotype" w:hAnsi="Palatino Linotype" w:cs="Palatino Linotype"/>
        </w:rPr>
        <w:t>Asimismo, no obsta mencionar que el Acuerdo del Comité de Transparencia mediante el cual se clasifique la información como reservada o confidencial, de manera total o parcial debe emitirse siguiendo las formalidades previstas en la Ley de Transparencia y Acceso a la Información Pública del Estado de México y en los Lineamientos Generales en Materia de Clasificación y Desclasificación de la Información, así como para la Elaboración de Versiones Públicas, de igual forma en dicho acuerdo se deben exponer de manera clara los fundamentos y razones que llevaron a la autoridad a clasificar la información, de lo contrario, implica dejar al solicitante en estado de incertidumbre, al no conocer o comprender las razones por las que se clasifica la documentación respectiva, es decir, si no se exponen de manera puntual las razones, de ello se estaría violentando el Derecho de Acceso a la Información del solicitante.</w:t>
      </w:r>
    </w:p>
    <w:p w14:paraId="665624D1" w14:textId="77777777" w:rsidR="005E7572" w:rsidRPr="0020382E" w:rsidRDefault="005E7572">
      <w:pPr>
        <w:spacing w:before="240" w:after="240" w:line="360" w:lineRule="auto"/>
        <w:ind w:right="51"/>
        <w:jc w:val="both"/>
        <w:rPr>
          <w:rFonts w:ascii="Palatino Linotype" w:eastAsia="Palatino Linotype" w:hAnsi="Palatino Linotype" w:cs="Palatino Linotype"/>
        </w:rPr>
      </w:pPr>
    </w:p>
    <w:p w14:paraId="11CF55A6" w14:textId="77777777" w:rsidR="00FA7631" w:rsidRPr="0020382E" w:rsidRDefault="005E7572">
      <w:pPr>
        <w:numPr>
          <w:ilvl w:val="0"/>
          <w:numId w:val="2"/>
        </w:numPr>
        <w:pBdr>
          <w:top w:val="nil"/>
          <w:left w:val="nil"/>
          <w:bottom w:val="nil"/>
          <w:right w:val="nil"/>
          <w:between w:val="nil"/>
        </w:pBdr>
        <w:spacing w:before="240" w:after="240" w:line="360" w:lineRule="auto"/>
        <w:ind w:right="51"/>
        <w:jc w:val="both"/>
        <w:rPr>
          <w:rFonts w:ascii="Palatino Linotype" w:eastAsia="Palatino Linotype" w:hAnsi="Palatino Linotype" w:cs="Palatino Linotype"/>
          <w:b/>
        </w:rPr>
      </w:pPr>
      <w:r w:rsidRPr="0020382E">
        <w:rPr>
          <w:rFonts w:ascii="Palatino Linotype" w:eastAsia="Palatino Linotype" w:hAnsi="Palatino Linotype" w:cs="Palatino Linotype"/>
          <w:b/>
        </w:rPr>
        <w:lastRenderedPageBreak/>
        <w:t>De la declaratoria de inexistencia de la información.</w:t>
      </w:r>
    </w:p>
    <w:p w14:paraId="5A156E1C" w14:textId="77777777" w:rsidR="00FA7631" w:rsidRPr="0020382E" w:rsidRDefault="00335356">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 xml:space="preserve">Por otro lado, estima prudente señalar al </w:t>
      </w:r>
      <w:r w:rsidR="005E7572" w:rsidRPr="0020382E">
        <w:rPr>
          <w:rFonts w:ascii="Palatino Linotype" w:eastAsia="Palatino Linotype" w:hAnsi="Palatino Linotype" w:cs="Palatino Linotype"/>
          <w:b/>
        </w:rPr>
        <w:t>Sujeto Obligado</w:t>
      </w:r>
      <w:r w:rsidR="005E7572" w:rsidRPr="0020382E">
        <w:rPr>
          <w:rFonts w:ascii="Palatino Linotype" w:eastAsia="Palatino Linotype" w:hAnsi="Palatino Linotype" w:cs="Palatino Linotype"/>
        </w:rPr>
        <w:t xml:space="preserve"> </w:t>
      </w:r>
      <w:r w:rsidRPr="0020382E">
        <w:rPr>
          <w:rFonts w:ascii="Palatino Linotype" w:eastAsia="Palatino Linotype" w:hAnsi="Palatino Linotype" w:cs="Palatino Linotype"/>
        </w:rPr>
        <w:t>que, en caso de que la información solicitada, debiera obrar en sus archivos y no cuente con ella, deberá entregar el Acuerdo del Comité de Transparencia, en donde conste la declaratoria de inexistencia de la misma.</w:t>
      </w:r>
    </w:p>
    <w:p w14:paraId="032E19D8" w14:textId="77777777" w:rsidR="00FA7631" w:rsidRPr="0020382E" w:rsidRDefault="00335356">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Siendo importante resaltar que los artículos 18 y 19 de la Ley de Transparencia y Acceso a la Información Pública del Estado de México y Municipios establecen que los Sujetos Obligados deben documentar todo acto que derive del ejercicio de sus facultades, competencias o funciones y que se presume que la información debe existir si se refiere a dichas facultades, competencias y/o funciones.</w:t>
      </w:r>
    </w:p>
    <w:p w14:paraId="1AA215A3" w14:textId="77777777" w:rsidR="00FA7631" w:rsidRPr="0020382E" w:rsidRDefault="00335356">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En tal caso, la declaratoria a que se ha hecho referencia deberá realizarse, conforme a lo dispuesto en los artículos 49, fracciones II y XIII, 169 y 170 de la Ley de Transparencia y Acceso a la Información Pública del Estado de México y Municipios, que establecen la forma en que los Sujetos Obligados deben dar curso a las Declaratorias de Inexistencia.</w:t>
      </w:r>
    </w:p>
    <w:p w14:paraId="5724E176" w14:textId="77777777" w:rsidR="00FA7631" w:rsidRPr="0020382E" w:rsidRDefault="00335356">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Resulta aplicable el criterio de interpretación en el orden administrativo número 0008-19 emitido por Acuerdo del Pleno del Instituto de Transparencia y Acceso a la Información Pública del Estado de México y Municipios, que a la letra dice:</w:t>
      </w:r>
    </w:p>
    <w:p w14:paraId="3CEA5524" w14:textId="77777777" w:rsidR="00FA7631" w:rsidRPr="0020382E" w:rsidRDefault="00335356">
      <w:pPr>
        <w:pBdr>
          <w:top w:val="nil"/>
          <w:left w:val="nil"/>
          <w:bottom w:val="nil"/>
          <w:right w:val="nil"/>
          <w:between w:val="nil"/>
        </w:pBdr>
        <w:ind w:left="864" w:right="864"/>
        <w:jc w:val="both"/>
        <w:rPr>
          <w:rFonts w:ascii="Palatino Linotype" w:eastAsia="Palatino Linotype" w:hAnsi="Palatino Linotype" w:cs="Palatino Linotype"/>
          <w:i/>
          <w:sz w:val="22"/>
          <w:szCs w:val="22"/>
        </w:rPr>
      </w:pPr>
      <w:r w:rsidRPr="0020382E">
        <w:rPr>
          <w:rFonts w:ascii="Palatino Linotype" w:eastAsia="Palatino Linotype" w:hAnsi="Palatino Linotype" w:cs="Palatino Linotype"/>
          <w:b/>
          <w:i/>
          <w:sz w:val="22"/>
          <w:szCs w:val="22"/>
        </w:rPr>
        <w:t xml:space="preserve">INEXISTENCIA DE LA INFORMACIÓN. SUPUESTOS PARA EMITIR LA RESOLUCIÓN DE LA. </w:t>
      </w:r>
      <w:r w:rsidRPr="0020382E">
        <w:rPr>
          <w:rFonts w:ascii="Palatino Linotype" w:eastAsia="Palatino Linotype" w:hAnsi="Palatino Linotype" w:cs="Palatino Linotype"/>
          <w:i/>
          <w:sz w:val="22"/>
          <w:szCs w:val="22"/>
        </w:rPr>
        <w:t xml:space="preserve">De conformidad con los artículos 19, párrafo tercero y 170 de la Ley de Transparencia y Acceso a la Información Pública del Estado de México y Municipios, el Comité de Transparencia deberá emitir un acuerdo de inexistencia de información debidamente fundado y motivado, para justificar por </w:t>
      </w:r>
      <w:r w:rsidRPr="0020382E">
        <w:rPr>
          <w:rFonts w:ascii="Palatino Linotype" w:eastAsia="Palatino Linotype" w:hAnsi="Palatino Linotype" w:cs="Palatino Linotype"/>
          <w:i/>
          <w:sz w:val="22"/>
          <w:szCs w:val="22"/>
        </w:rPr>
        <w:lastRenderedPageBreak/>
        <w:t>qué no obra en los archivos del Sujeto Obligado la información que deriva de las facultades, competencias y atribuciones que los ordenamientos jurídicos aplicables le otorgan, la cual debió generar, poseer y administrar. Por tanto, en términos de los numerales previamente citados, el referido acuerdo de inexistencia procede en los siguientes momentos: a) cuando no se generó, poseyó o administró el documento teniendo la obligación conforme a la presunción legal que deriva de las facultades, competencias y atribuciones que los ordenamientos jurídicos aplicables le otorgan; b) que habiendo sido generada, poseída o administrada, por algún motivo ya no se cuenta con la información solicitada; o bien, c) cuando el Sujeto Obligado fue omiso en ejercer una facultad, competencia o atribución inexcusable. Supuestos que, de actualizarse, deberán acreditarse con las exigencias legales contempladas en los numerales 49, fracción II, 169 y 170 de la Ley de Transparencia de la entidad, a través de una resolución del Comité de Transparencia del Sujeto Obligado que confirme la inexistencia de la información, acto jurídico que genera certeza jurídica al particular de que se realizó un criterio de búsqueda exhaustivo y razonable con la debida justificación de la falta de información y en su caso, las consecuencias de ello.</w:t>
      </w:r>
    </w:p>
    <w:p w14:paraId="04D127CA" w14:textId="77777777" w:rsidR="00FA7631" w:rsidRPr="0020382E" w:rsidRDefault="00FA7631">
      <w:pPr>
        <w:pBdr>
          <w:top w:val="nil"/>
          <w:left w:val="nil"/>
          <w:bottom w:val="nil"/>
          <w:right w:val="nil"/>
          <w:between w:val="nil"/>
        </w:pBdr>
        <w:ind w:left="864" w:right="864"/>
        <w:jc w:val="both"/>
        <w:rPr>
          <w:rFonts w:ascii="Palatino Linotype" w:eastAsia="Palatino Linotype" w:hAnsi="Palatino Linotype" w:cs="Palatino Linotype"/>
          <w:i/>
          <w:sz w:val="22"/>
          <w:szCs w:val="22"/>
        </w:rPr>
      </w:pPr>
    </w:p>
    <w:p w14:paraId="66F01E76" w14:textId="77777777" w:rsidR="00FA7631" w:rsidRPr="0020382E" w:rsidRDefault="00335356">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rPr>
        <w:t xml:space="preserve">En mérito de todo lo expuesto, ante lo </w:t>
      </w:r>
      <w:r w:rsidRPr="0020382E">
        <w:rPr>
          <w:rFonts w:ascii="Palatino Linotype" w:eastAsia="Palatino Linotype" w:hAnsi="Palatino Linotype" w:cs="Palatino Linotype"/>
          <w:b/>
        </w:rPr>
        <w:t>FUNDADO</w:t>
      </w:r>
      <w:r w:rsidRPr="0020382E">
        <w:rPr>
          <w:rFonts w:ascii="Palatino Linotype" w:eastAsia="Palatino Linotype" w:hAnsi="Palatino Linotype" w:cs="Palatino Linotype"/>
        </w:rPr>
        <w:t xml:space="preserve"> de las razones o motivos de inconformidad hechos valer por </w:t>
      </w:r>
      <w:r w:rsidR="00EC5A17" w:rsidRPr="0020382E">
        <w:rPr>
          <w:rFonts w:ascii="Palatino Linotype" w:eastAsia="Palatino Linotype" w:hAnsi="Palatino Linotype" w:cs="Palatino Linotype"/>
        </w:rPr>
        <w:t>la parte</w:t>
      </w:r>
      <w:r w:rsidR="00EC5A17" w:rsidRPr="0020382E">
        <w:rPr>
          <w:rFonts w:ascii="Palatino Linotype" w:eastAsia="Palatino Linotype" w:hAnsi="Palatino Linotype" w:cs="Palatino Linotype"/>
          <w:b/>
        </w:rPr>
        <w:t xml:space="preserve"> Recurrente</w:t>
      </w:r>
      <w:r w:rsidRPr="0020382E">
        <w:rPr>
          <w:rFonts w:ascii="Palatino Linotype" w:eastAsia="Palatino Linotype" w:hAnsi="Palatino Linotype" w:cs="Palatino Linotype"/>
          <w:b/>
        </w:rPr>
        <w:t xml:space="preserve">, </w:t>
      </w:r>
      <w:r w:rsidRPr="0020382E">
        <w:rPr>
          <w:rFonts w:ascii="Palatino Linotype" w:eastAsia="Palatino Linotype" w:hAnsi="Palatino Linotype" w:cs="Palatino Linotype"/>
        </w:rPr>
        <w:t xml:space="preserve">este Instituto estima que lo dable es </w:t>
      </w:r>
      <w:r w:rsidR="00EC5A17" w:rsidRPr="0020382E">
        <w:rPr>
          <w:rFonts w:ascii="Palatino Linotype" w:eastAsia="Palatino Linotype" w:hAnsi="Palatino Linotype" w:cs="Palatino Linotype"/>
          <w:i/>
        </w:rPr>
        <w:t>Ordenar</w:t>
      </w:r>
      <w:r w:rsidRPr="0020382E">
        <w:rPr>
          <w:rFonts w:ascii="Palatino Linotype" w:eastAsia="Palatino Linotype" w:hAnsi="Palatino Linotype" w:cs="Palatino Linotype"/>
        </w:rPr>
        <w:t xml:space="preserve"> al </w:t>
      </w:r>
      <w:r w:rsidR="005E7572" w:rsidRPr="0020382E">
        <w:rPr>
          <w:rFonts w:ascii="Palatino Linotype" w:eastAsia="Palatino Linotype" w:hAnsi="Palatino Linotype" w:cs="Palatino Linotype"/>
          <w:b/>
        </w:rPr>
        <w:t>Sujeto Obligado</w:t>
      </w:r>
      <w:r w:rsidRPr="0020382E">
        <w:rPr>
          <w:rFonts w:ascii="Palatino Linotype" w:eastAsia="Palatino Linotype" w:hAnsi="Palatino Linotype" w:cs="Palatino Linotype"/>
        </w:rPr>
        <w:t xml:space="preserve"> atienda la solicitud de acceso a la información, atendiendo lo señalado en el presente Considerando.</w:t>
      </w:r>
    </w:p>
    <w:p w14:paraId="24CD89E8" w14:textId="77777777" w:rsidR="00FA7631" w:rsidRPr="0020382E" w:rsidRDefault="00335356">
      <w:pPr>
        <w:spacing w:before="240" w:after="240" w:line="360" w:lineRule="auto"/>
        <w:ind w:right="49"/>
        <w:jc w:val="both"/>
        <w:rPr>
          <w:rFonts w:ascii="Palatino Linotype" w:eastAsia="Palatino Linotype" w:hAnsi="Palatino Linotype" w:cs="Palatino Linotype"/>
        </w:rPr>
      </w:pPr>
      <w:r w:rsidRPr="0020382E">
        <w:rPr>
          <w:rFonts w:ascii="Palatino Linotype" w:eastAsia="Palatino Linotype" w:hAnsi="Palatino Linotype" w:cs="Palatino Linotype"/>
        </w:rPr>
        <w:t xml:space="preserve">Finalmente, como ya se mencionó </w:t>
      </w:r>
      <w:r w:rsidR="00EC5A17" w:rsidRPr="0020382E">
        <w:rPr>
          <w:rFonts w:ascii="Palatino Linotype" w:eastAsia="Palatino Linotype" w:hAnsi="Palatino Linotype" w:cs="Palatino Linotype"/>
        </w:rPr>
        <w:t>el</w:t>
      </w:r>
      <w:r w:rsidRPr="0020382E">
        <w:rPr>
          <w:rFonts w:ascii="Palatino Linotype" w:eastAsia="Palatino Linotype" w:hAnsi="Palatino Linotype" w:cs="Palatino Linotype"/>
          <w:b/>
        </w:rPr>
        <w:t xml:space="preserve"> </w:t>
      </w:r>
      <w:r w:rsidR="00EC5A17" w:rsidRPr="0020382E">
        <w:rPr>
          <w:rFonts w:ascii="Palatino Linotype" w:eastAsia="Palatino Linotype" w:hAnsi="Palatino Linotype" w:cs="Palatino Linotype"/>
          <w:b/>
        </w:rPr>
        <w:t>Sujeto Obligado</w:t>
      </w:r>
      <w:r w:rsidRPr="0020382E">
        <w:rPr>
          <w:rFonts w:ascii="Palatino Linotype" w:eastAsia="Palatino Linotype" w:hAnsi="Palatino Linotype" w:cs="Palatino Linotype"/>
          <w:b/>
        </w:rPr>
        <w:t>,</w:t>
      </w:r>
      <w:r w:rsidRPr="0020382E">
        <w:rPr>
          <w:rFonts w:ascii="Palatino Linotype" w:eastAsia="Palatino Linotype" w:hAnsi="Palatino Linotype" w:cs="Palatino Linotype"/>
        </w:rPr>
        <w:t xml:space="preserve"> omitió proporcionar la respuesta a la solicitud de acceso a la información pública, en el término contemplado en el ya citado artículo 163 de la ley de la materia, razón por la que, en términos de lo previsto en el artículo 190 de la Ley de Transparencia y Acceso a la Información Pública del Estado de México y Municipios, se </w:t>
      </w:r>
      <w:r w:rsidR="00EC5A17" w:rsidRPr="0020382E">
        <w:rPr>
          <w:rFonts w:ascii="Palatino Linotype" w:eastAsia="Palatino Linotype" w:hAnsi="Palatino Linotype" w:cs="Palatino Linotype"/>
        </w:rPr>
        <w:t>ordena</w:t>
      </w:r>
      <w:r w:rsidRPr="0020382E">
        <w:rPr>
          <w:rFonts w:ascii="Palatino Linotype" w:eastAsia="Palatino Linotype" w:hAnsi="Palatino Linotype" w:cs="Palatino Linotype"/>
          <w:b/>
        </w:rPr>
        <w:t xml:space="preserve"> </w:t>
      </w:r>
      <w:r w:rsidRPr="0020382E">
        <w:rPr>
          <w:rFonts w:ascii="Palatino Linotype" w:eastAsia="Palatino Linotype" w:hAnsi="Palatino Linotype" w:cs="Palatino Linotype"/>
        </w:rPr>
        <w:t xml:space="preserve">dar vista a la </w:t>
      </w:r>
      <w:r w:rsidR="00EC5A17" w:rsidRPr="0020382E">
        <w:rPr>
          <w:rFonts w:ascii="Palatino Linotype" w:eastAsia="Palatino Linotype" w:hAnsi="Palatino Linotype" w:cs="Palatino Linotype"/>
          <w:b/>
        </w:rPr>
        <w:t>Secretaría Técnica del Pleno</w:t>
      </w:r>
      <w:r w:rsidR="00EC5A17" w:rsidRPr="0020382E">
        <w:rPr>
          <w:rFonts w:ascii="Palatino Linotype" w:eastAsia="Palatino Linotype" w:hAnsi="Palatino Linotype" w:cs="Palatino Linotype"/>
        </w:rPr>
        <w:t xml:space="preserve"> </w:t>
      </w:r>
      <w:r w:rsidRPr="0020382E">
        <w:rPr>
          <w:rFonts w:ascii="Palatino Linotype" w:eastAsia="Palatino Linotype" w:hAnsi="Palatino Linotype" w:cs="Palatino Linotype"/>
        </w:rPr>
        <w:t xml:space="preserve">a efecto de que ejerza las atribuciones previstas en la normatividad aplicable y comunique al </w:t>
      </w:r>
      <w:r w:rsidR="00EC5A17" w:rsidRPr="0020382E">
        <w:rPr>
          <w:rFonts w:ascii="Palatino Linotype" w:eastAsia="Palatino Linotype" w:hAnsi="Palatino Linotype" w:cs="Palatino Linotype"/>
          <w:b/>
        </w:rPr>
        <w:t xml:space="preserve">Órgano Interno de Control </w:t>
      </w:r>
      <w:r w:rsidR="00EC5A17" w:rsidRPr="0020382E">
        <w:rPr>
          <w:rFonts w:ascii="Palatino Linotype" w:eastAsia="Palatino Linotype" w:hAnsi="Palatino Linotype" w:cs="Palatino Linotype"/>
        </w:rPr>
        <w:t xml:space="preserve">competente </w:t>
      </w:r>
      <w:r w:rsidRPr="0020382E">
        <w:rPr>
          <w:rFonts w:ascii="Palatino Linotype" w:eastAsia="Palatino Linotype" w:hAnsi="Palatino Linotype" w:cs="Palatino Linotype"/>
        </w:rPr>
        <w:t xml:space="preserve">para que éste último, en ejercicio de sus atribuciones resuelva lo conducente y </w:t>
      </w:r>
      <w:r w:rsidRPr="0020382E">
        <w:rPr>
          <w:rFonts w:ascii="Palatino Linotype" w:eastAsia="Palatino Linotype" w:hAnsi="Palatino Linotype" w:cs="Palatino Linotype"/>
        </w:rPr>
        <w:lastRenderedPageBreak/>
        <w:t xml:space="preserve">determine en su caso el grado de responsabilidad en el incumplimiento de las obligaciones establecidas en la citada ley. </w:t>
      </w:r>
    </w:p>
    <w:p w14:paraId="7C30587A" w14:textId="77777777" w:rsidR="00FA7631" w:rsidRPr="0020382E" w:rsidRDefault="00335356">
      <w:pPr>
        <w:spacing w:before="240" w:after="240" w:line="360" w:lineRule="auto"/>
        <w:jc w:val="both"/>
        <w:rPr>
          <w:rFonts w:ascii="Palatino Linotype" w:eastAsia="Palatino Linotype" w:hAnsi="Palatino Linotype" w:cs="Palatino Linotype"/>
        </w:rPr>
      </w:pPr>
      <w:bookmarkStart w:id="5" w:name="_heading=h.1fob9te" w:colFirst="0" w:colLast="0"/>
      <w:bookmarkEnd w:id="5"/>
      <w:r w:rsidRPr="0020382E">
        <w:rPr>
          <w:rFonts w:ascii="Palatino Linotype" w:eastAsia="Palatino Linotype" w:hAnsi="Palatino Linotype" w:cs="Palatino Linotype"/>
        </w:rPr>
        <w:t>Así, con fundamento en lo prescrito en los</w:t>
      </w:r>
      <w:r w:rsidRPr="0020382E">
        <w:t xml:space="preserve"> </w:t>
      </w:r>
      <w:r w:rsidRPr="0020382E">
        <w:rPr>
          <w:rFonts w:ascii="Palatino Linotype" w:eastAsia="Palatino Linotype" w:hAnsi="Palatino Linotype" w:cs="Palatino Linotype"/>
        </w:rPr>
        <w:t>artículos 5 párrafos trigésimo tercero, trigésimo cuarto y trigésimo quinto, fracciones IV y V de la Constitución Política del Estado Libre y Soberano de México; 2, fracción II; 29, 36 fracciones I y II; 176, 178, 181, 185, fracción I, 186 y 188 de la Ley de Transparencia y Acceso a la Información Pública del Estado de México y Municipios, este Pleno:</w:t>
      </w:r>
    </w:p>
    <w:p w14:paraId="65BF404C" w14:textId="77777777" w:rsidR="00FA7631" w:rsidRPr="0020382E" w:rsidRDefault="00335356">
      <w:pPr>
        <w:pBdr>
          <w:top w:val="nil"/>
          <w:left w:val="nil"/>
          <w:bottom w:val="nil"/>
          <w:right w:val="nil"/>
          <w:between w:val="nil"/>
        </w:pBdr>
        <w:spacing w:before="240" w:after="240" w:line="360" w:lineRule="auto"/>
        <w:jc w:val="center"/>
        <w:rPr>
          <w:rFonts w:ascii="Palatino Linotype" w:eastAsia="Palatino Linotype" w:hAnsi="Palatino Linotype" w:cs="Palatino Linotype"/>
          <w:b/>
        </w:rPr>
      </w:pPr>
      <w:r w:rsidRPr="0020382E">
        <w:rPr>
          <w:rFonts w:ascii="Palatino Linotype" w:eastAsia="Palatino Linotype" w:hAnsi="Palatino Linotype" w:cs="Palatino Linotype"/>
          <w:b/>
        </w:rPr>
        <w:t>III. R E S U E L V E:</w:t>
      </w:r>
    </w:p>
    <w:p w14:paraId="751286BD" w14:textId="77777777" w:rsidR="00FA7631" w:rsidRPr="0020382E" w:rsidRDefault="00EC5A17">
      <w:pPr>
        <w:spacing w:before="240" w:after="240" w:line="360" w:lineRule="auto"/>
        <w:ind w:right="49"/>
        <w:jc w:val="both"/>
        <w:rPr>
          <w:rFonts w:ascii="Palatino Linotype" w:eastAsia="Palatino Linotype" w:hAnsi="Palatino Linotype" w:cs="Palatino Linotype"/>
        </w:rPr>
      </w:pPr>
      <w:r w:rsidRPr="0020382E">
        <w:rPr>
          <w:rFonts w:ascii="Palatino Linotype" w:eastAsia="Palatino Linotype" w:hAnsi="Palatino Linotype" w:cs="Palatino Linotype"/>
          <w:b/>
        </w:rPr>
        <w:t>Primero</w:t>
      </w:r>
      <w:r w:rsidR="00335356" w:rsidRPr="0020382E">
        <w:rPr>
          <w:rFonts w:ascii="Palatino Linotype" w:eastAsia="Palatino Linotype" w:hAnsi="Palatino Linotype" w:cs="Palatino Linotype"/>
          <w:b/>
        </w:rPr>
        <w:t xml:space="preserve">. </w:t>
      </w:r>
      <w:r w:rsidR="00335356" w:rsidRPr="0020382E">
        <w:rPr>
          <w:rFonts w:ascii="Palatino Linotype" w:eastAsia="Palatino Linotype" w:hAnsi="Palatino Linotype" w:cs="Palatino Linotype"/>
        </w:rPr>
        <w:t xml:space="preserve">Resultan </w:t>
      </w:r>
      <w:r w:rsidRPr="0020382E">
        <w:rPr>
          <w:rFonts w:ascii="Palatino Linotype" w:eastAsia="Palatino Linotype" w:hAnsi="Palatino Linotype" w:cs="Palatino Linotype"/>
          <w:b/>
        </w:rPr>
        <w:t>fundados</w:t>
      </w:r>
      <w:r w:rsidR="00335356" w:rsidRPr="0020382E">
        <w:rPr>
          <w:rFonts w:ascii="Palatino Linotype" w:eastAsia="Palatino Linotype" w:hAnsi="Palatino Linotype" w:cs="Palatino Linotype"/>
        </w:rPr>
        <w:t xml:space="preserve"> los motivos de inconformidad de </w:t>
      </w:r>
      <w:r w:rsidRPr="0020382E">
        <w:rPr>
          <w:rFonts w:ascii="Palatino Linotype" w:eastAsia="Palatino Linotype" w:hAnsi="Palatino Linotype" w:cs="Palatino Linotype"/>
        </w:rPr>
        <w:t>la parte</w:t>
      </w:r>
      <w:r w:rsidRPr="0020382E">
        <w:rPr>
          <w:rFonts w:ascii="Palatino Linotype" w:eastAsia="Palatino Linotype" w:hAnsi="Palatino Linotype" w:cs="Palatino Linotype"/>
          <w:b/>
        </w:rPr>
        <w:t xml:space="preserve"> Recurrente</w:t>
      </w:r>
      <w:r w:rsidR="00335356" w:rsidRPr="0020382E">
        <w:rPr>
          <w:rFonts w:ascii="Palatino Linotype" w:eastAsia="Palatino Linotype" w:hAnsi="Palatino Linotype" w:cs="Palatino Linotype"/>
        </w:rPr>
        <w:t xml:space="preserve">, en términos del </w:t>
      </w:r>
      <w:r w:rsidRPr="0020382E">
        <w:rPr>
          <w:rFonts w:ascii="Palatino Linotype" w:eastAsia="Palatino Linotype" w:hAnsi="Palatino Linotype" w:cs="Palatino Linotype"/>
        </w:rPr>
        <w:t xml:space="preserve">Considerando </w:t>
      </w:r>
      <w:r w:rsidRPr="0020382E">
        <w:rPr>
          <w:rFonts w:ascii="Palatino Linotype" w:eastAsia="Palatino Linotype" w:hAnsi="Palatino Linotype" w:cs="Palatino Linotype"/>
          <w:b/>
        </w:rPr>
        <w:t>Cuarto</w:t>
      </w:r>
      <w:r w:rsidR="00335356" w:rsidRPr="0020382E">
        <w:rPr>
          <w:rFonts w:ascii="Palatino Linotype" w:eastAsia="Palatino Linotype" w:hAnsi="Palatino Linotype" w:cs="Palatino Linotype"/>
        </w:rPr>
        <w:t xml:space="preserve"> de la presente resolución.</w:t>
      </w:r>
    </w:p>
    <w:p w14:paraId="62C7E669" w14:textId="77777777" w:rsidR="00FA7631" w:rsidRPr="0020382E" w:rsidRDefault="00EC5A17">
      <w:pPr>
        <w:spacing w:before="240" w:after="240" w:line="360" w:lineRule="auto"/>
        <w:jc w:val="both"/>
        <w:rPr>
          <w:rFonts w:ascii="Palatino Linotype" w:eastAsia="Palatino Linotype" w:hAnsi="Palatino Linotype" w:cs="Palatino Linotype"/>
        </w:rPr>
      </w:pPr>
      <w:bookmarkStart w:id="6" w:name="_heading=h.3dy6vkm" w:colFirst="0" w:colLast="0"/>
      <w:bookmarkEnd w:id="6"/>
      <w:r w:rsidRPr="0020382E">
        <w:rPr>
          <w:rFonts w:ascii="Palatino Linotype" w:eastAsia="Palatino Linotype" w:hAnsi="Palatino Linotype" w:cs="Palatino Linotype"/>
          <w:b/>
        </w:rPr>
        <w:t>Segundo</w:t>
      </w:r>
      <w:r w:rsidR="00335356" w:rsidRPr="0020382E">
        <w:rPr>
          <w:rFonts w:ascii="Palatino Linotype" w:eastAsia="Palatino Linotype" w:hAnsi="Palatino Linotype" w:cs="Palatino Linotype"/>
          <w:b/>
        </w:rPr>
        <w:t>.</w:t>
      </w:r>
      <w:r w:rsidR="00335356" w:rsidRPr="0020382E">
        <w:rPr>
          <w:rFonts w:ascii="Palatino Linotype" w:eastAsia="Palatino Linotype" w:hAnsi="Palatino Linotype" w:cs="Palatino Linotype"/>
        </w:rPr>
        <w:t xml:space="preserve"> Se </w:t>
      </w:r>
      <w:r w:rsidRPr="0020382E">
        <w:rPr>
          <w:rFonts w:ascii="Palatino Linotype" w:eastAsia="Palatino Linotype" w:hAnsi="Palatino Linotype" w:cs="Palatino Linotype"/>
          <w:b/>
        </w:rPr>
        <w:t>Ordena</w:t>
      </w:r>
      <w:r w:rsidR="00335356" w:rsidRPr="0020382E">
        <w:rPr>
          <w:rFonts w:ascii="Palatino Linotype" w:eastAsia="Palatino Linotype" w:hAnsi="Palatino Linotype" w:cs="Palatino Linotype"/>
        </w:rPr>
        <w:t xml:space="preserve"> al </w:t>
      </w:r>
      <w:r w:rsidRPr="0020382E">
        <w:rPr>
          <w:rFonts w:ascii="Palatino Linotype" w:eastAsia="Palatino Linotype" w:hAnsi="Palatino Linotype" w:cs="Palatino Linotype"/>
          <w:b/>
        </w:rPr>
        <w:t>Sujeto Obligado</w:t>
      </w:r>
      <w:r w:rsidRPr="0020382E">
        <w:rPr>
          <w:rFonts w:ascii="Palatino Linotype" w:eastAsia="Palatino Linotype" w:hAnsi="Palatino Linotype" w:cs="Palatino Linotype"/>
        </w:rPr>
        <w:t xml:space="preserve"> </w:t>
      </w:r>
      <w:r w:rsidR="00335356" w:rsidRPr="0020382E">
        <w:rPr>
          <w:rFonts w:ascii="Palatino Linotype" w:eastAsia="Palatino Linotype" w:hAnsi="Palatino Linotype" w:cs="Palatino Linotype"/>
        </w:rPr>
        <w:t xml:space="preserve">atienda, vía </w:t>
      </w:r>
      <w:r w:rsidR="00335356" w:rsidRPr="0020382E">
        <w:rPr>
          <w:rFonts w:ascii="Palatino Linotype" w:eastAsia="Palatino Linotype" w:hAnsi="Palatino Linotype" w:cs="Palatino Linotype"/>
          <w:b/>
        </w:rPr>
        <w:t>SAIMEX</w:t>
      </w:r>
      <w:r w:rsidR="00335356" w:rsidRPr="0020382E">
        <w:rPr>
          <w:rFonts w:ascii="Palatino Linotype" w:eastAsia="Palatino Linotype" w:hAnsi="Palatino Linotype" w:cs="Palatino Linotype"/>
        </w:rPr>
        <w:t xml:space="preserve">, la Solicitud de Acceso a la Información Pública </w:t>
      </w:r>
      <w:r w:rsidRPr="0020382E">
        <w:rPr>
          <w:rFonts w:ascii="Palatino Linotype" w:eastAsia="Palatino Linotype" w:hAnsi="Palatino Linotype" w:cs="Palatino Linotype"/>
          <w:b/>
        </w:rPr>
        <w:t>00136/OCOYOAC/IP/2024</w:t>
      </w:r>
      <w:r w:rsidR="00335356" w:rsidRPr="0020382E">
        <w:rPr>
          <w:rFonts w:ascii="Palatino Linotype" w:eastAsia="Palatino Linotype" w:hAnsi="Palatino Linotype" w:cs="Palatino Linotype"/>
          <w:b/>
        </w:rPr>
        <w:t xml:space="preserve">, </w:t>
      </w:r>
      <w:r w:rsidR="00335356" w:rsidRPr="0020382E">
        <w:rPr>
          <w:rFonts w:ascii="Palatino Linotype" w:eastAsia="Palatino Linotype" w:hAnsi="Palatino Linotype" w:cs="Palatino Linotype"/>
        </w:rPr>
        <w:t xml:space="preserve">que dio origen al recurso de revisión </w:t>
      </w:r>
      <w:r w:rsidR="00DC71FE" w:rsidRPr="0020382E">
        <w:rPr>
          <w:rFonts w:ascii="Palatino Linotype" w:eastAsia="Palatino Linotype" w:hAnsi="Palatino Linotype" w:cs="Palatino Linotype"/>
          <w:b/>
        </w:rPr>
        <w:t>0</w:t>
      </w:r>
      <w:r w:rsidRPr="0020382E">
        <w:rPr>
          <w:rFonts w:ascii="Palatino Linotype" w:eastAsia="Palatino Linotype" w:hAnsi="Palatino Linotype" w:cs="Palatino Linotype"/>
          <w:b/>
        </w:rPr>
        <w:t>7239</w:t>
      </w:r>
      <w:r w:rsidR="00DC71FE" w:rsidRPr="0020382E">
        <w:rPr>
          <w:rFonts w:ascii="Palatino Linotype" w:eastAsia="Palatino Linotype" w:hAnsi="Palatino Linotype" w:cs="Palatino Linotype"/>
          <w:b/>
        </w:rPr>
        <w:t>/INFOEM/IP/RR/2024</w:t>
      </w:r>
      <w:r w:rsidR="00335356" w:rsidRPr="0020382E">
        <w:rPr>
          <w:rFonts w:ascii="Palatino Linotype" w:eastAsia="Palatino Linotype" w:hAnsi="Palatino Linotype" w:cs="Palatino Linotype"/>
          <w:b/>
        </w:rPr>
        <w:t xml:space="preserve">, </w:t>
      </w:r>
      <w:r w:rsidR="00335356" w:rsidRPr="0020382E">
        <w:rPr>
          <w:rFonts w:ascii="Palatino Linotype" w:eastAsia="Palatino Linotype" w:hAnsi="Palatino Linotype" w:cs="Palatino Linotype"/>
        </w:rPr>
        <w:t xml:space="preserve">en términos del </w:t>
      </w:r>
      <w:r w:rsidRPr="0020382E">
        <w:rPr>
          <w:rFonts w:ascii="Palatino Linotype" w:eastAsia="Palatino Linotype" w:hAnsi="Palatino Linotype" w:cs="Palatino Linotype"/>
        </w:rPr>
        <w:t xml:space="preserve">Considerando </w:t>
      </w:r>
      <w:r w:rsidRPr="0020382E">
        <w:rPr>
          <w:rFonts w:ascii="Palatino Linotype" w:eastAsia="Palatino Linotype" w:hAnsi="Palatino Linotype" w:cs="Palatino Linotype"/>
          <w:b/>
        </w:rPr>
        <w:t>Cuarto</w:t>
      </w:r>
      <w:r w:rsidRPr="0020382E">
        <w:rPr>
          <w:rFonts w:ascii="Palatino Linotype" w:eastAsia="Palatino Linotype" w:hAnsi="Palatino Linotype" w:cs="Palatino Linotype"/>
        </w:rPr>
        <w:t xml:space="preserve"> </w:t>
      </w:r>
      <w:r w:rsidR="00335356" w:rsidRPr="0020382E">
        <w:rPr>
          <w:rFonts w:ascii="Palatino Linotype" w:eastAsia="Palatino Linotype" w:hAnsi="Palatino Linotype" w:cs="Palatino Linotype"/>
        </w:rPr>
        <w:t>de esta resolución y emita respuesta, debiendo observar las excepciones contenidas en la Ley de Transparencia y Acceso a la Información Pública del Estado de México y Municipios.</w:t>
      </w:r>
    </w:p>
    <w:p w14:paraId="29DF3DC3" w14:textId="77777777" w:rsidR="00FA7631" w:rsidRPr="0020382E" w:rsidRDefault="00EC5A17">
      <w:pPr>
        <w:spacing w:before="240" w:after="240" w:line="360" w:lineRule="auto"/>
        <w:jc w:val="both"/>
        <w:rPr>
          <w:rFonts w:ascii="Palatino Linotype" w:eastAsia="Palatino Linotype" w:hAnsi="Palatino Linotype" w:cs="Palatino Linotype"/>
        </w:rPr>
      </w:pPr>
      <w:bookmarkStart w:id="7" w:name="_heading=h.3znysh7" w:colFirst="0" w:colLast="0"/>
      <w:bookmarkEnd w:id="7"/>
      <w:r w:rsidRPr="0020382E">
        <w:rPr>
          <w:rFonts w:ascii="Palatino Linotype" w:eastAsia="Palatino Linotype" w:hAnsi="Palatino Linotype" w:cs="Palatino Linotype"/>
          <w:b/>
        </w:rPr>
        <w:t>Tercero</w:t>
      </w:r>
      <w:r w:rsidR="00335356" w:rsidRPr="0020382E">
        <w:rPr>
          <w:rFonts w:ascii="Palatino Linotype" w:eastAsia="Palatino Linotype" w:hAnsi="Palatino Linotype" w:cs="Palatino Linotype"/>
          <w:b/>
          <w:sz w:val="28"/>
          <w:szCs w:val="28"/>
        </w:rPr>
        <w:t xml:space="preserve">. </w:t>
      </w:r>
      <w:r w:rsidRPr="0020382E">
        <w:rPr>
          <w:rFonts w:ascii="Palatino Linotype" w:eastAsia="Palatino Linotype" w:hAnsi="Palatino Linotype" w:cs="Palatino Linotype"/>
          <w:b/>
        </w:rPr>
        <w:t xml:space="preserve">Notifíquese, </w:t>
      </w:r>
      <w:r w:rsidR="00335356" w:rsidRPr="0020382E">
        <w:rPr>
          <w:rFonts w:ascii="Palatino Linotype" w:eastAsia="Palatino Linotype" w:hAnsi="Palatino Linotype" w:cs="Palatino Linotype"/>
        </w:rPr>
        <w:t xml:space="preserve">vía </w:t>
      </w:r>
      <w:r w:rsidR="00335356" w:rsidRPr="0020382E">
        <w:rPr>
          <w:rFonts w:ascii="Palatino Linotype" w:eastAsia="Palatino Linotype" w:hAnsi="Palatino Linotype" w:cs="Palatino Linotype"/>
          <w:b/>
        </w:rPr>
        <w:t>SAIMEX</w:t>
      </w:r>
      <w:r w:rsidR="00335356" w:rsidRPr="0020382E">
        <w:rPr>
          <w:rFonts w:ascii="Palatino Linotype" w:eastAsia="Palatino Linotype" w:hAnsi="Palatino Linotype" w:cs="Palatino Linotype"/>
        </w:rPr>
        <w:t>,</w:t>
      </w:r>
      <w:r w:rsidR="00335356" w:rsidRPr="0020382E">
        <w:rPr>
          <w:rFonts w:ascii="Palatino Linotype" w:eastAsia="Palatino Linotype" w:hAnsi="Palatino Linotype" w:cs="Palatino Linotype"/>
          <w:b/>
          <w:sz w:val="28"/>
          <w:szCs w:val="28"/>
        </w:rPr>
        <w:t xml:space="preserve"> </w:t>
      </w:r>
      <w:r w:rsidR="00335356" w:rsidRPr="0020382E">
        <w:rPr>
          <w:rFonts w:ascii="Palatino Linotype" w:eastAsia="Palatino Linotype" w:hAnsi="Palatino Linotype" w:cs="Palatino Linotype"/>
        </w:rPr>
        <w:t xml:space="preserve">la presente resolución a la persona Titular de la Unidad de Transparencia del Sujeto Obligado, para que conforme al artículo 186 último párrafo, 189 segundo párrafo y 194 de la Ley de Transparencia y Acceso a la Información Pública del Estado de México y Municipios; dé cumplimiento a lo ordenado dentro del plazo de diez días hábiles, e informe a este Instituto en un plazo </w:t>
      </w:r>
      <w:r w:rsidR="00335356" w:rsidRPr="0020382E">
        <w:rPr>
          <w:rFonts w:ascii="Palatino Linotype" w:eastAsia="Palatino Linotype" w:hAnsi="Palatino Linotype" w:cs="Palatino Linotype"/>
        </w:rPr>
        <w:lastRenderedPageBreak/>
        <w:t>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74511FBA" w14:textId="77777777" w:rsidR="00FA7631" w:rsidRPr="0020382E" w:rsidRDefault="00EC5A17">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b/>
        </w:rPr>
        <w:t>Cuarto. Notifíquese</w:t>
      </w:r>
      <w:r w:rsidRPr="0020382E">
        <w:rPr>
          <w:rFonts w:ascii="Palatino Linotype" w:eastAsia="Palatino Linotype" w:hAnsi="Palatino Linotype" w:cs="Palatino Linotype"/>
        </w:rPr>
        <w:t>,</w:t>
      </w:r>
      <w:r w:rsidR="00335356" w:rsidRPr="0020382E">
        <w:rPr>
          <w:rFonts w:ascii="Palatino Linotype" w:eastAsia="Palatino Linotype" w:hAnsi="Palatino Linotype" w:cs="Palatino Linotype"/>
          <w:b/>
        </w:rPr>
        <w:t xml:space="preserve"> </w:t>
      </w:r>
      <w:r w:rsidR="00335356" w:rsidRPr="0020382E">
        <w:rPr>
          <w:rFonts w:ascii="Palatino Linotype" w:eastAsia="Palatino Linotype" w:hAnsi="Palatino Linotype" w:cs="Palatino Linotype"/>
        </w:rPr>
        <w:t xml:space="preserve">vía </w:t>
      </w:r>
      <w:r w:rsidR="00335356" w:rsidRPr="0020382E">
        <w:rPr>
          <w:rFonts w:ascii="Palatino Linotype" w:eastAsia="Palatino Linotype" w:hAnsi="Palatino Linotype" w:cs="Palatino Linotype"/>
          <w:b/>
        </w:rPr>
        <w:t>SAIMEX</w:t>
      </w:r>
      <w:r w:rsidR="00DC71FE" w:rsidRPr="0020382E">
        <w:rPr>
          <w:rFonts w:ascii="Palatino Linotype" w:eastAsia="Palatino Linotype" w:hAnsi="Palatino Linotype" w:cs="Palatino Linotype"/>
          <w:b/>
        </w:rPr>
        <w:t>,</w:t>
      </w:r>
      <w:r w:rsidR="00335356" w:rsidRPr="0020382E">
        <w:rPr>
          <w:rFonts w:ascii="Palatino Linotype" w:eastAsia="Palatino Linotype" w:hAnsi="Palatino Linotype" w:cs="Palatino Linotype"/>
        </w:rPr>
        <w:t xml:space="preserve"> a </w:t>
      </w:r>
      <w:r w:rsidRPr="0020382E">
        <w:rPr>
          <w:rFonts w:ascii="Palatino Linotype" w:eastAsia="Palatino Linotype" w:hAnsi="Palatino Linotype" w:cs="Palatino Linotype"/>
        </w:rPr>
        <w:t>la parte</w:t>
      </w:r>
      <w:r w:rsidRPr="0020382E">
        <w:rPr>
          <w:rFonts w:ascii="Palatino Linotype" w:eastAsia="Palatino Linotype" w:hAnsi="Palatino Linotype" w:cs="Palatino Linotype"/>
          <w:b/>
        </w:rPr>
        <w:t xml:space="preserve"> Recurrente</w:t>
      </w:r>
      <w:r w:rsidRPr="0020382E">
        <w:rPr>
          <w:rFonts w:ascii="Palatino Linotype" w:eastAsia="Palatino Linotype" w:hAnsi="Palatino Linotype" w:cs="Palatino Linotype"/>
        </w:rPr>
        <w:t xml:space="preserve"> </w:t>
      </w:r>
      <w:r w:rsidR="00335356" w:rsidRPr="0020382E">
        <w:rPr>
          <w:rFonts w:ascii="Palatino Linotype" w:eastAsia="Palatino Linotype" w:hAnsi="Palatino Linotype" w:cs="Palatino Linotype"/>
        </w:rPr>
        <w:t>la presente resolución, así como, que de conformidad con lo establecido en el artículo 196 de la Ley de Transparencia y Acceso a la Información Pública del Estado de México y Municipios, en caso de que considere que le causa algún perjuicio podrá impugnarla vía Juicio de Amparo en los términos de las leyes aplicables.</w:t>
      </w:r>
    </w:p>
    <w:p w14:paraId="673B241F" w14:textId="77777777" w:rsidR="00FA7631" w:rsidRPr="0020382E" w:rsidRDefault="00EC5A17">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b/>
        </w:rPr>
        <w:t>Quinto.</w:t>
      </w:r>
      <w:r w:rsidR="00DC71FE" w:rsidRPr="0020382E">
        <w:rPr>
          <w:rFonts w:ascii="Palatino Linotype" w:eastAsia="Palatino Linotype" w:hAnsi="Palatino Linotype" w:cs="Palatino Linotype"/>
          <w:b/>
        </w:rPr>
        <w:t xml:space="preserve"> </w:t>
      </w:r>
      <w:r w:rsidRPr="0020382E">
        <w:rPr>
          <w:rFonts w:ascii="Palatino Linotype" w:eastAsia="Palatino Linotype" w:hAnsi="Palatino Linotype" w:cs="Palatino Linotype"/>
        </w:rPr>
        <w:t>Hágase del conocimiento de</w:t>
      </w:r>
      <w:r w:rsidRPr="0020382E">
        <w:rPr>
          <w:rFonts w:ascii="Palatino Linotype" w:eastAsia="Palatino Linotype" w:hAnsi="Palatino Linotype" w:cs="Palatino Linotype"/>
          <w:b/>
        </w:rPr>
        <w:t xml:space="preserve"> </w:t>
      </w:r>
      <w:r w:rsidRPr="0020382E">
        <w:rPr>
          <w:rFonts w:ascii="Palatino Linotype" w:eastAsia="Palatino Linotype" w:hAnsi="Palatino Linotype" w:cs="Palatino Linotype"/>
        </w:rPr>
        <w:t>la parte</w:t>
      </w:r>
      <w:r w:rsidRPr="0020382E">
        <w:rPr>
          <w:rFonts w:ascii="Palatino Linotype" w:eastAsia="Palatino Linotype" w:hAnsi="Palatino Linotype" w:cs="Palatino Linotype"/>
          <w:b/>
        </w:rPr>
        <w:t xml:space="preserve"> Recurrente</w:t>
      </w:r>
      <w:r w:rsidRPr="0020382E">
        <w:rPr>
          <w:rFonts w:ascii="Palatino Linotype" w:eastAsia="Palatino Linotype" w:hAnsi="Palatino Linotype" w:cs="Palatino Linotype"/>
        </w:rPr>
        <w:t xml:space="preserve"> </w:t>
      </w:r>
      <w:r w:rsidR="00335356" w:rsidRPr="0020382E">
        <w:rPr>
          <w:rFonts w:ascii="Palatino Linotype" w:eastAsia="Palatino Linotype" w:hAnsi="Palatino Linotype" w:cs="Palatino Linotype"/>
        </w:rPr>
        <w:t>que la respuesta que dé</w:t>
      </w:r>
      <w:r w:rsidRPr="0020382E">
        <w:rPr>
          <w:rFonts w:ascii="Palatino Linotype" w:eastAsia="Palatino Linotype" w:hAnsi="Palatino Linotype" w:cs="Palatino Linotype"/>
        </w:rPr>
        <w:t xml:space="preserve"> el </w:t>
      </w:r>
      <w:r w:rsidRPr="0020382E">
        <w:rPr>
          <w:rFonts w:ascii="Palatino Linotype" w:eastAsia="Palatino Linotype" w:hAnsi="Palatino Linotype" w:cs="Palatino Linotype"/>
          <w:b/>
        </w:rPr>
        <w:t>Sujeto Obligado</w:t>
      </w:r>
      <w:r w:rsidRPr="0020382E">
        <w:rPr>
          <w:rFonts w:ascii="Palatino Linotype" w:eastAsia="Palatino Linotype" w:hAnsi="Palatino Linotype" w:cs="Palatino Linotype"/>
        </w:rPr>
        <w:t xml:space="preserve"> </w:t>
      </w:r>
      <w:r w:rsidR="00335356" w:rsidRPr="0020382E">
        <w:rPr>
          <w:rFonts w:ascii="Palatino Linotype" w:eastAsia="Palatino Linotype" w:hAnsi="Palatino Linotype" w:cs="Palatino Linotype"/>
        </w:rPr>
        <w:t>derivada de la presente resolución es susceptible de ser impugnada nuevamente, mediante recurso de revisión, ante el Instituto, en términos del artículo 179, último párrafo de la Ley de Transparencia y Acceso a la Información Pública del Estado de México y Municipios.</w:t>
      </w:r>
    </w:p>
    <w:p w14:paraId="62E59559" w14:textId="77777777" w:rsidR="00FA7631" w:rsidRPr="0020382E" w:rsidRDefault="00EC5A17">
      <w:pPr>
        <w:spacing w:before="240" w:after="240" w:line="360" w:lineRule="auto"/>
        <w:jc w:val="both"/>
        <w:rPr>
          <w:rFonts w:ascii="Palatino Linotype" w:eastAsia="Palatino Linotype" w:hAnsi="Palatino Linotype" w:cs="Palatino Linotype"/>
        </w:rPr>
      </w:pPr>
      <w:r w:rsidRPr="0020382E">
        <w:rPr>
          <w:rFonts w:ascii="Palatino Linotype" w:eastAsia="Palatino Linotype" w:hAnsi="Palatino Linotype" w:cs="Palatino Linotype"/>
          <w:b/>
        </w:rPr>
        <w:t>Sexto.</w:t>
      </w:r>
      <w:r w:rsidR="00335356" w:rsidRPr="0020382E">
        <w:rPr>
          <w:rFonts w:ascii="Palatino Linotype" w:eastAsia="Palatino Linotype" w:hAnsi="Palatino Linotype" w:cs="Palatino Linotype"/>
          <w:b/>
        </w:rPr>
        <w:t xml:space="preserve"> </w:t>
      </w:r>
      <w:r w:rsidRPr="0020382E">
        <w:rPr>
          <w:rFonts w:ascii="Palatino Linotype" w:eastAsia="Palatino Linotype" w:hAnsi="Palatino Linotype" w:cs="Palatino Linotype"/>
          <w:b/>
        </w:rPr>
        <w:t>Gírese</w:t>
      </w:r>
      <w:r w:rsidR="00335356" w:rsidRPr="0020382E">
        <w:rPr>
          <w:rFonts w:ascii="Palatino Linotype" w:eastAsia="Palatino Linotype" w:hAnsi="Palatino Linotype" w:cs="Palatino Linotype"/>
          <w:b/>
        </w:rPr>
        <w:t xml:space="preserve"> </w:t>
      </w:r>
      <w:r w:rsidR="00335356" w:rsidRPr="0020382E">
        <w:rPr>
          <w:rFonts w:ascii="Palatino Linotype" w:eastAsia="Palatino Linotype" w:hAnsi="Palatino Linotype" w:cs="Palatino Linotype"/>
        </w:rPr>
        <w:t>oficio a la</w:t>
      </w:r>
      <w:r w:rsidR="00335356" w:rsidRPr="0020382E">
        <w:rPr>
          <w:rFonts w:ascii="Palatino Linotype" w:eastAsia="Palatino Linotype" w:hAnsi="Palatino Linotype" w:cs="Palatino Linotype"/>
          <w:b/>
        </w:rPr>
        <w:t xml:space="preserve"> </w:t>
      </w:r>
      <w:r w:rsidRPr="0020382E">
        <w:rPr>
          <w:rFonts w:ascii="Palatino Linotype" w:eastAsia="Palatino Linotype" w:hAnsi="Palatino Linotype" w:cs="Palatino Linotype"/>
          <w:b/>
        </w:rPr>
        <w:t>Secretaría Técnica del Pleno</w:t>
      </w:r>
      <w:r w:rsidR="00335356" w:rsidRPr="0020382E">
        <w:rPr>
          <w:rFonts w:ascii="Palatino Linotype" w:eastAsia="Palatino Linotype" w:hAnsi="Palatino Linotype" w:cs="Palatino Linotype"/>
          <w:b/>
        </w:rPr>
        <w:t xml:space="preserve"> </w:t>
      </w:r>
      <w:r w:rsidR="00335356" w:rsidRPr="0020382E">
        <w:rPr>
          <w:rFonts w:ascii="Palatino Linotype" w:eastAsia="Palatino Linotype" w:hAnsi="Palatino Linotype" w:cs="Palatino Linotype"/>
        </w:rPr>
        <w:t xml:space="preserve">de este Instituto a fin de que en ejercicio de sus atribuciones haga del conocimiento del </w:t>
      </w:r>
      <w:r w:rsidRPr="0020382E">
        <w:rPr>
          <w:rFonts w:ascii="Palatino Linotype" w:eastAsia="Palatino Linotype" w:hAnsi="Palatino Linotype" w:cs="Palatino Linotype"/>
          <w:b/>
        </w:rPr>
        <w:t xml:space="preserve">Órgano Interno De Control </w:t>
      </w:r>
      <w:r w:rsidRPr="0020382E">
        <w:rPr>
          <w:rFonts w:ascii="Palatino Linotype" w:eastAsia="Palatino Linotype" w:hAnsi="Palatino Linotype" w:cs="Palatino Linotype"/>
        </w:rPr>
        <w:t xml:space="preserve">competente la </w:t>
      </w:r>
      <w:r w:rsidR="00335356" w:rsidRPr="0020382E">
        <w:rPr>
          <w:rFonts w:ascii="Palatino Linotype" w:eastAsia="Palatino Linotype" w:hAnsi="Palatino Linotype" w:cs="Palatino Linotype"/>
        </w:rPr>
        <w:t xml:space="preserve">presente resolución, para que de conformidad con el artículo 190, de la Ley de Transparencia y Acceso a la Información Pública del Estado de México y Municipios, determine lo conducente, en términos de lo señalado en el </w:t>
      </w:r>
      <w:r w:rsidRPr="0020382E">
        <w:rPr>
          <w:rFonts w:ascii="Palatino Linotype" w:eastAsia="Palatino Linotype" w:hAnsi="Palatino Linotype" w:cs="Palatino Linotype"/>
        </w:rPr>
        <w:t xml:space="preserve">Considerando </w:t>
      </w:r>
      <w:r w:rsidRPr="0020382E">
        <w:rPr>
          <w:rFonts w:ascii="Palatino Linotype" w:eastAsia="Palatino Linotype" w:hAnsi="Palatino Linotype" w:cs="Palatino Linotype"/>
          <w:b/>
        </w:rPr>
        <w:t>Cuarto</w:t>
      </w:r>
      <w:r w:rsidRPr="0020382E">
        <w:rPr>
          <w:rFonts w:ascii="Palatino Linotype" w:eastAsia="Palatino Linotype" w:hAnsi="Palatino Linotype" w:cs="Palatino Linotype"/>
        </w:rPr>
        <w:t xml:space="preserve"> </w:t>
      </w:r>
      <w:r w:rsidR="00335356" w:rsidRPr="0020382E">
        <w:rPr>
          <w:rFonts w:ascii="Palatino Linotype" w:eastAsia="Palatino Linotype" w:hAnsi="Palatino Linotype" w:cs="Palatino Linotype"/>
        </w:rPr>
        <w:t>de este fallo.</w:t>
      </w:r>
    </w:p>
    <w:p w14:paraId="1C9F5A3D" w14:textId="77777777" w:rsidR="00FA7631" w:rsidRPr="0020382E" w:rsidRDefault="00335356">
      <w:pPr>
        <w:spacing w:before="240" w:after="240" w:line="360" w:lineRule="auto"/>
        <w:jc w:val="both"/>
        <w:rPr>
          <w:rFonts w:ascii="Palatino Linotype" w:eastAsia="Palatino Linotype" w:hAnsi="Palatino Linotype" w:cs="Palatino Linotype"/>
        </w:rPr>
      </w:pPr>
      <w:bookmarkStart w:id="8" w:name="_heading=h.1t3h5sf" w:colFirst="0" w:colLast="0"/>
      <w:bookmarkEnd w:id="8"/>
      <w:r w:rsidRPr="0020382E">
        <w:rPr>
          <w:rFonts w:ascii="Palatino Linotype" w:eastAsia="Palatino Linotype" w:hAnsi="Palatino Linotype" w:cs="Palatino Linotype"/>
        </w:rPr>
        <w:lastRenderedPageBreak/>
        <w:t xml:space="preserve">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w:t>
      </w:r>
      <w:r w:rsidR="00EC5A17" w:rsidRPr="0020382E">
        <w:rPr>
          <w:rFonts w:ascii="Palatino Linotype" w:eastAsia="Palatino Linotype" w:hAnsi="Palatino Linotype" w:cs="Palatino Linotype"/>
        </w:rPr>
        <w:t xml:space="preserve">CUADRAGÉSIMA TERCERA </w:t>
      </w:r>
      <w:r w:rsidRPr="0020382E">
        <w:rPr>
          <w:rFonts w:ascii="Palatino Linotype" w:eastAsia="Palatino Linotype" w:hAnsi="Palatino Linotype" w:cs="Palatino Linotype"/>
        </w:rPr>
        <w:t xml:space="preserve">SESIÓN ORDINARIA CELEBRADA EL </w:t>
      </w:r>
      <w:r w:rsidR="00EC5A17" w:rsidRPr="0020382E">
        <w:rPr>
          <w:rFonts w:ascii="Palatino Linotype" w:eastAsia="Palatino Linotype" w:hAnsi="Palatino Linotype" w:cs="Palatino Linotype"/>
        </w:rPr>
        <w:t>ONCE DE DICIEMBRE</w:t>
      </w:r>
      <w:r w:rsidRPr="0020382E">
        <w:rPr>
          <w:rFonts w:ascii="Palatino Linotype" w:eastAsia="Palatino Linotype" w:hAnsi="Palatino Linotype" w:cs="Palatino Linotype"/>
        </w:rPr>
        <w:t xml:space="preserve"> DE DOS MIL VEINTICUATRO, ANTE EL SECRETARIO TÉCNICO DEL PLENO ALEXIS TAPIA RAMÍREZ.</w:t>
      </w:r>
    </w:p>
    <w:p w14:paraId="2855A702" w14:textId="77777777" w:rsidR="00FA7631" w:rsidRPr="0020382E" w:rsidRDefault="00FA7631">
      <w:pPr>
        <w:spacing w:line="360" w:lineRule="auto"/>
        <w:jc w:val="both"/>
        <w:rPr>
          <w:rFonts w:ascii="Palatino Linotype" w:eastAsia="Palatino Linotype" w:hAnsi="Palatino Linotype" w:cs="Palatino Linotype"/>
        </w:rPr>
      </w:pPr>
    </w:p>
    <w:p w14:paraId="78F4D130" w14:textId="77777777" w:rsidR="00FA7631" w:rsidRPr="0020382E" w:rsidRDefault="00FA7631">
      <w:pPr>
        <w:spacing w:line="360" w:lineRule="auto"/>
        <w:jc w:val="both"/>
        <w:rPr>
          <w:rFonts w:ascii="Palatino Linotype" w:eastAsia="Palatino Linotype" w:hAnsi="Palatino Linotype" w:cs="Palatino Linotype"/>
        </w:rPr>
      </w:pPr>
    </w:p>
    <w:p w14:paraId="630A19FE" w14:textId="77777777" w:rsidR="00FA7631" w:rsidRPr="0020382E" w:rsidRDefault="00FA7631">
      <w:pPr>
        <w:spacing w:line="360" w:lineRule="auto"/>
        <w:jc w:val="both"/>
        <w:rPr>
          <w:rFonts w:ascii="Palatino Linotype" w:eastAsia="Palatino Linotype" w:hAnsi="Palatino Linotype" w:cs="Palatino Linotype"/>
        </w:rPr>
      </w:pPr>
    </w:p>
    <w:p w14:paraId="15941359" w14:textId="77777777" w:rsidR="00FA7631" w:rsidRPr="0020382E" w:rsidRDefault="00FA7631">
      <w:pPr>
        <w:spacing w:line="360" w:lineRule="auto"/>
        <w:jc w:val="both"/>
        <w:rPr>
          <w:rFonts w:ascii="Palatino Linotype" w:eastAsia="Palatino Linotype" w:hAnsi="Palatino Linotype" w:cs="Palatino Linotype"/>
        </w:rPr>
      </w:pPr>
    </w:p>
    <w:p w14:paraId="6CB6EA49" w14:textId="77777777" w:rsidR="00FA7631" w:rsidRPr="0020382E" w:rsidRDefault="00FA7631">
      <w:pPr>
        <w:spacing w:line="360" w:lineRule="auto"/>
        <w:jc w:val="both"/>
        <w:rPr>
          <w:rFonts w:ascii="Palatino Linotype" w:eastAsia="Palatino Linotype" w:hAnsi="Palatino Linotype" w:cs="Palatino Linotype"/>
        </w:rPr>
      </w:pPr>
    </w:p>
    <w:p w14:paraId="4046F21F" w14:textId="77777777" w:rsidR="00FA7631" w:rsidRPr="0020382E" w:rsidRDefault="00FA7631">
      <w:pPr>
        <w:spacing w:line="360" w:lineRule="auto"/>
        <w:jc w:val="both"/>
        <w:rPr>
          <w:rFonts w:ascii="Palatino Linotype" w:eastAsia="Palatino Linotype" w:hAnsi="Palatino Linotype" w:cs="Palatino Linotype"/>
        </w:rPr>
      </w:pPr>
    </w:p>
    <w:p w14:paraId="7CC375FC" w14:textId="77777777" w:rsidR="00FA7631" w:rsidRPr="0020382E" w:rsidRDefault="00FA7631">
      <w:pPr>
        <w:spacing w:line="360" w:lineRule="auto"/>
        <w:jc w:val="both"/>
        <w:rPr>
          <w:rFonts w:ascii="Palatino Linotype" w:eastAsia="Palatino Linotype" w:hAnsi="Palatino Linotype" w:cs="Palatino Linotype"/>
        </w:rPr>
      </w:pPr>
    </w:p>
    <w:p w14:paraId="719245DF" w14:textId="77777777" w:rsidR="00FA7631" w:rsidRPr="0020382E" w:rsidRDefault="00FA7631">
      <w:pPr>
        <w:spacing w:line="360" w:lineRule="auto"/>
        <w:jc w:val="both"/>
        <w:rPr>
          <w:rFonts w:ascii="Palatino Linotype" w:eastAsia="Palatino Linotype" w:hAnsi="Palatino Linotype" w:cs="Palatino Linotype"/>
        </w:rPr>
      </w:pPr>
    </w:p>
    <w:p w14:paraId="138F69A3" w14:textId="77777777" w:rsidR="00FA7631" w:rsidRPr="0020382E" w:rsidRDefault="00FA7631">
      <w:pPr>
        <w:spacing w:line="360" w:lineRule="auto"/>
        <w:jc w:val="both"/>
        <w:rPr>
          <w:rFonts w:ascii="Palatino Linotype" w:eastAsia="Palatino Linotype" w:hAnsi="Palatino Linotype" w:cs="Palatino Linotype"/>
        </w:rPr>
      </w:pPr>
    </w:p>
    <w:p w14:paraId="7FD43BCC" w14:textId="77777777" w:rsidR="00FA7631" w:rsidRPr="0020382E" w:rsidRDefault="00FA7631">
      <w:pPr>
        <w:spacing w:line="360" w:lineRule="auto"/>
        <w:jc w:val="both"/>
        <w:rPr>
          <w:rFonts w:ascii="Palatino Linotype" w:eastAsia="Palatino Linotype" w:hAnsi="Palatino Linotype" w:cs="Palatino Linotype"/>
        </w:rPr>
      </w:pPr>
    </w:p>
    <w:p w14:paraId="0C06FA0C" w14:textId="77777777" w:rsidR="00FA7631" w:rsidRPr="0020382E" w:rsidRDefault="00FA7631">
      <w:pPr>
        <w:spacing w:line="360" w:lineRule="auto"/>
        <w:jc w:val="both"/>
        <w:rPr>
          <w:rFonts w:ascii="Palatino Linotype" w:eastAsia="Palatino Linotype" w:hAnsi="Palatino Linotype" w:cs="Palatino Linotype"/>
        </w:rPr>
      </w:pPr>
    </w:p>
    <w:p w14:paraId="02B3586F" w14:textId="77777777" w:rsidR="00FA7631" w:rsidRPr="0020382E" w:rsidRDefault="00FA7631">
      <w:pPr>
        <w:spacing w:line="360" w:lineRule="auto"/>
        <w:jc w:val="both"/>
        <w:rPr>
          <w:rFonts w:ascii="Palatino Linotype" w:eastAsia="Palatino Linotype" w:hAnsi="Palatino Linotype" w:cs="Palatino Linotype"/>
        </w:rPr>
      </w:pPr>
    </w:p>
    <w:p w14:paraId="35544509" w14:textId="77777777" w:rsidR="00FA7631" w:rsidRPr="0020382E" w:rsidRDefault="00FA7631">
      <w:pPr>
        <w:spacing w:line="360" w:lineRule="auto"/>
        <w:jc w:val="both"/>
        <w:rPr>
          <w:rFonts w:ascii="Palatino Linotype" w:eastAsia="Palatino Linotype" w:hAnsi="Palatino Linotype" w:cs="Palatino Linotype"/>
        </w:rPr>
      </w:pPr>
    </w:p>
    <w:p w14:paraId="7CE93246" w14:textId="77777777" w:rsidR="00FA7631" w:rsidRPr="0020382E" w:rsidRDefault="00FA7631">
      <w:pPr>
        <w:spacing w:line="360" w:lineRule="auto"/>
        <w:jc w:val="both"/>
        <w:rPr>
          <w:rFonts w:ascii="Palatino Linotype" w:eastAsia="Palatino Linotype" w:hAnsi="Palatino Linotype" w:cs="Palatino Linotype"/>
        </w:rPr>
      </w:pPr>
    </w:p>
    <w:p w14:paraId="193AADA1" w14:textId="77777777" w:rsidR="00FA7631" w:rsidRPr="0020382E" w:rsidRDefault="00FA7631">
      <w:pPr>
        <w:spacing w:line="360" w:lineRule="auto"/>
        <w:jc w:val="both"/>
        <w:rPr>
          <w:rFonts w:ascii="Palatino Linotype" w:eastAsia="Palatino Linotype" w:hAnsi="Palatino Linotype" w:cs="Palatino Linotype"/>
        </w:rPr>
      </w:pPr>
    </w:p>
    <w:p w14:paraId="7B23B940" w14:textId="77777777" w:rsidR="00FA7631" w:rsidRPr="0020382E" w:rsidRDefault="00FA7631">
      <w:pPr>
        <w:spacing w:line="360" w:lineRule="auto"/>
        <w:jc w:val="both"/>
        <w:rPr>
          <w:rFonts w:ascii="Palatino Linotype" w:eastAsia="Palatino Linotype" w:hAnsi="Palatino Linotype" w:cs="Palatino Linotype"/>
        </w:rPr>
      </w:pPr>
    </w:p>
    <w:p w14:paraId="2486BC32" w14:textId="77777777" w:rsidR="00FA7631" w:rsidRPr="0020382E" w:rsidRDefault="00FA7631">
      <w:pPr>
        <w:spacing w:line="360" w:lineRule="auto"/>
        <w:jc w:val="both"/>
        <w:rPr>
          <w:rFonts w:ascii="Palatino Linotype" w:eastAsia="Palatino Linotype" w:hAnsi="Palatino Linotype" w:cs="Palatino Linotype"/>
        </w:rPr>
      </w:pPr>
    </w:p>
    <w:p w14:paraId="5FEE8C06" w14:textId="77777777" w:rsidR="00FA7631" w:rsidRPr="0020382E" w:rsidRDefault="00FA7631">
      <w:pPr>
        <w:spacing w:line="360" w:lineRule="auto"/>
        <w:jc w:val="both"/>
        <w:rPr>
          <w:rFonts w:ascii="Palatino Linotype" w:eastAsia="Palatino Linotype" w:hAnsi="Palatino Linotype" w:cs="Palatino Linotype"/>
        </w:rPr>
      </w:pPr>
    </w:p>
    <w:p w14:paraId="5D7EB56B" w14:textId="77777777" w:rsidR="00FA7631" w:rsidRPr="0020382E" w:rsidRDefault="00FA7631">
      <w:pPr>
        <w:spacing w:line="360" w:lineRule="auto"/>
        <w:jc w:val="both"/>
        <w:rPr>
          <w:rFonts w:ascii="Palatino Linotype" w:eastAsia="Palatino Linotype" w:hAnsi="Palatino Linotype" w:cs="Palatino Linotype"/>
        </w:rPr>
      </w:pPr>
    </w:p>
    <w:p w14:paraId="6102B1A5" w14:textId="77777777" w:rsidR="00FA7631" w:rsidRPr="0020382E" w:rsidRDefault="00FA7631">
      <w:pPr>
        <w:spacing w:line="360" w:lineRule="auto"/>
        <w:jc w:val="both"/>
        <w:rPr>
          <w:rFonts w:ascii="Palatino Linotype" w:eastAsia="Palatino Linotype" w:hAnsi="Palatino Linotype" w:cs="Palatino Linotype"/>
        </w:rPr>
      </w:pPr>
    </w:p>
    <w:p w14:paraId="3F65F6BC" w14:textId="77777777" w:rsidR="00FA7631" w:rsidRPr="0020382E" w:rsidRDefault="00FA7631">
      <w:pPr>
        <w:spacing w:line="360" w:lineRule="auto"/>
        <w:jc w:val="both"/>
        <w:rPr>
          <w:rFonts w:ascii="Palatino Linotype" w:eastAsia="Palatino Linotype" w:hAnsi="Palatino Linotype" w:cs="Palatino Linotype"/>
        </w:rPr>
      </w:pPr>
    </w:p>
    <w:p w14:paraId="45B76470" w14:textId="77777777" w:rsidR="00FA7631" w:rsidRPr="0020382E" w:rsidRDefault="00FA7631">
      <w:pPr>
        <w:spacing w:line="360" w:lineRule="auto"/>
        <w:jc w:val="both"/>
        <w:rPr>
          <w:rFonts w:ascii="Palatino Linotype" w:eastAsia="Palatino Linotype" w:hAnsi="Palatino Linotype" w:cs="Palatino Linotype"/>
        </w:rPr>
      </w:pPr>
    </w:p>
    <w:p w14:paraId="2794E3DF" w14:textId="77777777" w:rsidR="00FA7631" w:rsidRPr="0020382E" w:rsidRDefault="00FA7631">
      <w:pPr>
        <w:spacing w:line="360" w:lineRule="auto"/>
        <w:jc w:val="both"/>
        <w:rPr>
          <w:rFonts w:ascii="Palatino Linotype" w:eastAsia="Palatino Linotype" w:hAnsi="Palatino Linotype" w:cs="Palatino Linotype"/>
        </w:rPr>
      </w:pPr>
    </w:p>
    <w:sectPr w:rsidR="00FA7631" w:rsidRPr="0020382E">
      <w:headerReference w:type="default" r:id="rId9"/>
      <w:footerReference w:type="default" r:id="rId10"/>
      <w:headerReference w:type="first" r:id="rId11"/>
      <w:footerReference w:type="first" r:id="rId12"/>
      <w:pgSz w:w="12240" w:h="15840"/>
      <w:pgMar w:top="1985" w:right="1701" w:bottom="1701" w:left="1701" w:header="709" w:footer="709"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1811F9" w14:textId="77777777" w:rsidR="00BE2E25" w:rsidRDefault="00BE2E25">
      <w:r>
        <w:separator/>
      </w:r>
    </w:p>
  </w:endnote>
  <w:endnote w:type="continuationSeparator" w:id="0">
    <w:p w14:paraId="68C03C1B" w14:textId="77777777" w:rsidR="00BE2E25" w:rsidRDefault="00BE2E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FD64C4" w14:textId="77777777" w:rsidR="00FA7631" w:rsidRDefault="00335356">
    <w:pPr>
      <w:pBdr>
        <w:top w:val="nil"/>
        <w:left w:val="nil"/>
        <w:bottom w:val="nil"/>
        <w:right w:val="nil"/>
        <w:between w:val="nil"/>
      </w:pBdr>
      <w:tabs>
        <w:tab w:val="center" w:pos="4252"/>
        <w:tab w:val="right" w:pos="8504"/>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b/>
        <w:color w:val="000000"/>
        <w:sz w:val="20"/>
        <w:szCs w:val="20"/>
      </w:rPr>
      <w:t xml:space="preserve">Página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PAGE</w:instrText>
    </w:r>
    <w:r>
      <w:rPr>
        <w:rFonts w:ascii="Palatino Linotype" w:eastAsia="Palatino Linotype" w:hAnsi="Palatino Linotype" w:cs="Palatino Linotype"/>
        <w:b/>
        <w:color w:val="000000"/>
        <w:sz w:val="20"/>
        <w:szCs w:val="20"/>
      </w:rPr>
      <w:fldChar w:fldCharType="separate"/>
    </w:r>
    <w:r w:rsidR="00E21DDE">
      <w:rPr>
        <w:rFonts w:ascii="Palatino Linotype" w:eastAsia="Palatino Linotype" w:hAnsi="Palatino Linotype" w:cs="Palatino Linotype"/>
        <w:b/>
        <w:noProof/>
        <w:color w:val="000000"/>
        <w:sz w:val="20"/>
        <w:szCs w:val="20"/>
      </w:rPr>
      <w:t>29</w:t>
    </w:r>
    <w:r>
      <w:rPr>
        <w:rFonts w:ascii="Palatino Linotype" w:eastAsia="Palatino Linotype" w:hAnsi="Palatino Linotype" w:cs="Palatino Linotype"/>
        <w:b/>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E21DDE">
      <w:rPr>
        <w:rFonts w:ascii="Palatino Linotype" w:eastAsia="Palatino Linotype" w:hAnsi="Palatino Linotype" w:cs="Palatino Linotype"/>
        <w:b/>
        <w:noProof/>
        <w:color w:val="000000"/>
        <w:sz w:val="20"/>
        <w:szCs w:val="20"/>
      </w:rPr>
      <w:t>29</w:t>
    </w:r>
    <w:r>
      <w:rPr>
        <w:rFonts w:ascii="Palatino Linotype" w:eastAsia="Palatino Linotype" w:hAnsi="Palatino Linotype" w:cs="Palatino Linotype"/>
        <w:b/>
        <w:color w:val="000000"/>
        <w:sz w:val="20"/>
        <w:szCs w:val="20"/>
      </w:rPr>
      <w:fldChar w:fldCharType="end"/>
    </w:r>
  </w:p>
  <w:p w14:paraId="700F6C4C" w14:textId="77777777" w:rsidR="00FA7631" w:rsidRDefault="00FA7631">
    <w:pPr>
      <w:pBdr>
        <w:top w:val="nil"/>
        <w:left w:val="nil"/>
        <w:bottom w:val="nil"/>
        <w:right w:val="nil"/>
        <w:between w:val="nil"/>
      </w:pBdr>
      <w:tabs>
        <w:tab w:val="center" w:pos="4252"/>
        <w:tab w:val="right" w:pos="8504"/>
      </w:tabs>
      <w:ind w:firstLine="708"/>
      <w:rPr>
        <w:rFonts w:ascii="Cambria" w:eastAsia="Cambria" w:hAnsi="Cambria" w:cs="Cambria"/>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387D6F" w14:textId="77777777" w:rsidR="00FA7631" w:rsidRDefault="00335356">
    <w:pPr>
      <w:pBdr>
        <w:top w:val="nil"/>
        <w:left w:val="nil"/>
        <w:bottom w:val="nil"/>
        <w:right w:val="nil"/>
        <w:between w:val="nil"/>
      </w:pBdr>
      <w:tabs>
        <w:tab w:val="center" w:pos="4252"/>
        <w:tab w:val="right" w:pos="8504"/>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b/>
        <w:color w:val="000000"/>
        <w:sz w:val="20"/>
        <w:szCs w:val="20"/>
      </w:rPr>
      <w:t xml:space="preserve">Página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PAGE</w:instrText>
    </w:r>
    <w:r>
      <w:rPr>
        <w:rFonts w:ascii="Palatino Linotype" w:eastAsia="Palatino Linotype" w:hAnsi="Palatino Linotype" w:cs="Palatino Linotype"/>
        <w:b/>
        <w:color w:val="000000"/>
        <w:sz w:val="20"/>
        <w:szCs w:val="20"/>
      </w:rPr>
      <w:fldChar w:fldCharType="separate"/>
    </w:r>
    <w:r w:rsidR="00E21DDE">
      <w:rPr>
        <w:rFonts w:ascii="Palatino Linotype" w:eastAsia="Palatino Linotype" w:hAnsi="Palatino Linotype" w:cs="Palatino Linotype"/>
        <w:b/>
        <w:noProof/>
        <w:color w:val="000000"/>
        <w:sz w:val="20"/>
        <w:szCs w:val="20"/>
      </w:rPr>
      <w:t>1</w:t>
    </w:r>
    <w:r>
      <w:rPr>
        <w:rFonts w:ascii="Palatino Linotype" w:eastAsia="Palatino Linotype" w:hAnsi="Palatino Linotype" w:cs="Palatino Linotype"/>
        <w:b/>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E21DDE">
      <w:rPr>
        <w:rFonts w:ascii="Palatino Linotype" w:eastAsia="Palatino Linotype" w:hAnsi="Palatino Linotype" w:cs="Palatino Linotype"/>
        <w:b/>
        <w:noProof/>
        <w:color w:val="000000"/>
        <w:sz w:val="20"/>
        <w:szCs w:val="20"/>
      </w:rPr>
      <w:t>29</w:t>
    </w:r>
    <w:r>
      <w:rPr>
        <w:rFonts w:ascii="Palatino Linotype" w:eastAsia="Palatino Linotype" w:hAnsi="Palatino Linotype" w:cs="Palatino Linotype"/>
        <w:b/>
        <w:color w:val="000000"/>
        <w:sz w:val="20"/>
        <w:szCs w:val="20"/>
      </w:rPr>
      <w:fldChar w:fldCharType="end"/>
    </w:r>
  </w:p>
  <w:p w14:paraId="0E30E132" w14:textId="77777777" w:rsidR="00FA7631" w:rsidRDefault="00FA7631">
    <w:pPr>
      <w:pBdr>
        <w:top w:val="nil"/>
        <w:left w:val="nil"/>
        <w:bottom w:val="nil"/>
        <w:right w:val="nil"/>
        <w:between w:val="nil"/>
      </w:pBdr>
      <w:tabs>
        <w:tab w:val="center" w:pos="4252"/>
        <w:tab w:val="right" w:pos="8504"/>
      </w:tabs>
      <w:rPr>
        <w:rFonts w:ascii="Cambria" w:eastAsia="Cambria" w:hAnsi="Cambria" w:cs="Cambria"/>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DCAE84" w14:textId="77777777" w:rsidR="00BE2E25" w:rsidRDefault="00BE2E25">
      <w:r>
        <w:separator/>
      </w:r>
    </w:p>
  </w:footnote>
  <w:footnote w:type="continuationSeparator" w:id="0">
    <w:p w14:paraId="1F17CF75" w14:textId="77777777" w:rsidR="00BE2E25" w:rsidRDefault="00BE2E25">
      <w:r>
        <w:continuationSeparator/>
      </w:r>
    </w:p>
  </w:footnote>
  <w:footnote w:id="1">
    <w:p w14:paraId="3BF8F6B5" w14:textId="77777777" w:rsidR="00FA7631" w:rsidRDefault="00335356">
      <w:pPr>
        <w:pBdr>
          <w:top w:val="nil"/>
          <w:left w:val="nil"/>
          <w:bottom w:val="nil"/>
          <w:right w:val="nil"/>
          <w:between w:val="nil"/>
        </w:pBdr>
        <w:jc w:val="both"/>
        <w:rPr>
          <w:rFonts w:ascii="Palatino Linotype" w:eastAsia="Palatino Linotype" w:hAnsi="Palatino Linotype" w:cs="Palatino Linotype"/>
          <w:color w:val="000000"/>
          <w:sz w:val="16"/>
          <w:szCs w:val="16"/>
        </w:rPr>
      </w:pPr>
      <w:r>
        <w:rPr>
          <w:vertAlign w:val="superscript"/>
        </w:rPr>
        <w:footnoteRef/>
      </w:r>
      <w:r>
        <w:rPr>
          <w:rFonts w:ascii="Palatino Linotype" w:eastAsia="Palatino Linotype" w:hAnsi="Palatino Linotype" w:cs="Palatino Linotype"/>
          <w:color w:val="000000"/>
          <w:sz w:val="16"/>
          <w:szCs w:val="16"/>
        </w:rPr>
        <w:t xml:space="preserve"> Al encontrarse en algún supuesto restrictivo, previsto en la normatividad aplicable.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F91831" w14:textId="77777777" w:rsidR="00FA7631" w:rsidRDefault="00335356">
    <w:pPr>
      <w:pBdr>
        <w:top w:val="nil"/>
        <w:left w:val="nil"/>
        <w:bottom w:val="nil"/>
        <w:right w:val="nil"/>
        <w:between w:val="nil"/>
      </w:pBdr>
      <w:tabs>
        <w:tab w:val="center" w:pos="4252"/>
        <w:tab w:val="right" w:pos="8504"/>
        <w:tab w:val="left" w:pos="2326"/>
      </w:tabs>
      <w:rPr>
        <w:rFonts w:ascii="Cambria" w:eastAsia="Cambria" w:hAnsi="Cambria" w:cs="Cambria"/>
        <w:color w:val="000000"/>
      </w:rPr>
    </w:pPr>
    <w:r>
      <w:rPr>
        <w:noProof/>
      </w:rPr>
      <w:drawing>
        <wp:anchor distT="0" distB="0" distL="0" distR="0" simplePos="0" relativeHeight="251658240" behindDoc="1" locked="0" layoutInCell="1" hidden="0" allowOverlap="1" wp14:anchorId="7AFBEAAC" wp14:editId="2D66B56E">
          <wp:simplePos x="0" y="0"/>
          <wp:positionH relativeFrom="column">
            <wp:posOffset>-1079497</wp:posOffset>
          </wp:positionH>
          <wp:positionV relativeFrom="paragraph">
            <wp:posOffset>-487677</wp:posOffset>
          </wp:positionV>
          <wp:extent cx="7809865" cy="10165715"/>
          <wp:effectExtent l="0" t="0" r="0" b="0"/>
          <wp:wrapNone/>
          <wp:docPr id="1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7809865" cy="10165715"/>
                  </a:xfrm>
                  <a:prstGeom prst="rect">
                    <a:avLst/>
                  </a:prstGeom>
                  <a:ln/>
                </pic:spPr>
              </pic:pic>
            </a:graphicData>
          </a:graphic>
        </wp:anchor>
      </w:drawing>
    </w:r>
  </w:p>
  <w:tbl>
    <w:tblPr>
      <w:tblStyle w:val="a3"/>
      <w:tblW w:w="5953" w:type="dxa"/>
      <w:tblInd w:w="3261" w:type="dxa"/>
      <w:tblLayout w:type="fixed"/>
      <w:tblLook w:val="0400" w:firstRow="0" w:lastRow="0" w:firstColumn="0" w:lastColumn="0" w:noHBand="0" w:noVBand="1"/>
    </w:tblPr>
    <w:tblGrid>
      <w:gridCol w:w="2489"/>
      <w:gridCol w:w="3464"/>
    </w:tblGrid>
    <w:tr w:rsidR="00FA7631" w14:paraId="52007A5A" w14:textId="77777777">
      <w:tc>
        <w:tcPr>
          <w:tcW w:w="2489" w:type="dxa"/>
          <w:shd w:val="clear" w:color="auto" w:fill="auto"/>
        </w:tcPr>
        <w:p w14:paraId="0621BC9D" w14:textId="77777777" w:rsidR="00FA7631" w:rsidRDefault="00335356">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3464" w:type="dxa"/>
          <w:shd w:val="clear" w:color="auto" w:fill="auto"/>
          <w:vAlign w:val="center"/>
        </w:tcPr>
        <w:p w14:paraId="574D77F9" w14:textId="77777777" w:rsidR="00FA7631" w:rsidRDefault="00335356" w:rsidP="00446A59">
          <w:pPr>
            <w:ind w:right="168"/>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0</w:t>
          </w:r>
          <w:r w:rsidR="00446A59">
            <w:rPr>
              <w:rFonts w:ascii="Palatino Linotype" w:eastAsia="Palatino Linotype" w:hAnsi="Palatino Linotype" w:cs="Palatino Linotype"/>
              <w:b/>
              <w:sz w:val="22"/>
              <w:szCs w:val="22"/>
            </w:rPr>
            <w:t>7239</w:t>
          </w:r>
          <w:r>
            <w:rPr>
              <w:rFonts w:ascii="Palatino Linotype" w:eastAsia="Palatino Linotype" w:hAnsi="Palatino Linotype" w:cs="Palatino Linotype"/>
              <w:b/>
              <w:sz w:val="22"/>
              <w:szCs w:val="22"/>
            </w:rPr>
            <w:t>/INFOEM/IP/RR/2024</w:t>
          </w:r>
        </w:p>
      </w:tc>
    </w:tr>
    <w:tr w:rsidR="00FA7631" w14:paraId="6BBA9F36" w14:textId="77777777">
      <w:trPr>
        <w:trHeight w:val="228"/>
      </w:trPr>
      <w:tc>
        <w:tcPr>
          <w:tcW w:w="2489" w:type="dxa"/>
          <w:shd w:val="clear" w:color="auto" w:fill="auto"/>
          <w:vAlign w:val="center"/>
        </w:tcPr>
        <w:p w14:paraId="7762A1F0" w14:textId="77777777" w:rsidR="00FA7631" w:rsidRDefault="00335356">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3464" w:type="dxa"/>
          <w:shd w:val="clear" w:color="auto" w:fill="auto"/>
          <w:vAlign w:val="center"/>
        </w:tcPr>
        <w:p w14:paraId="1DEB6CD3" w14:textId="77777777" w:rsidR="00FA7631" w:rsidRDefault="00446A59">
          <w:pPr>
            <w:ind w:right="168"/>
            <w:jc w:val="both"/>
            <w:rPr>
              <w:rFonts w:ascii="Palatino Linotype" w:eastAsia="Palatino Linotype" w:hAnsi="Palatino Linotype" w:cs="Palatino Linotype"/>
              <w:b/>
              <w:sz w:val="22"/>
              <w:szCs w:val="22"/>
            </w:rPr>
          </w:pPr>
          <w:r w:rsidRPr="00446A59">
            <w:rPr>
              <w:rFonts w:ascii="Palatino Linotype" w:eastAsia="Palatino Linotype" w:hAnsi="Palatino Linotype" w:cs="Palatino Linotype"/>
              <w:b/>
              <w:sz w:val="22"/>
              <w:szCs w:val="22"/>
            </w:rPr>
            <w:t>Ayuntamiento de Ocoyoacac</w:t>
          </w:r>
        </w:p>
      </w:tc>
    </w:tr>
    <w:tr w:rsidR="00FA7631" w14:paraId="510BF84A" w14:textId="77777777">
      <w:tc>
        <w:tcPr>
          <w:tcW w:w="2489" w:type="dxa"/>
          <w:shd w:val="clear" w:color="auto" w:fill="auto"/>
          <w:vAlign w:val="center"/>
        </w:tcPr>
        <w:p w14:paraId="717ABC2C" w14:textId="77777777" w:rsidR="00FA7631" w:rsidRDefault="00335356">
          <w:pPr>
            <w:ind w:right="-108"/>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3464" w:type="dxa"/>
          <w:shd w:val="clear" w:color="auto" w:fill="auto"/>
          <w:vAlign w:val="center"/>
        </w:tcPr>
        <w:p w14:paraId="0C91D102" w14:textId="77777777" w:rsidR="00FA7631" w:rsidRDefault="00335356">
          <w:pPr>
            <w:ind w:right="168"/>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Guadalupe Ramírez Peña</w:t>
          </w:r>
        </w:p>
      </w:tc>
    </w:tr>
  </w:tbl>
  <w:p w14:paraId="5341226C" w14:textId="77777777" w:rsidR="00FA7631" w:rsidRDefault="00335356">
    <w:pPr>
      <w:pBdr>
        <w:top w:val="nil"/>
        <w:left w:val="nil"/>
        <w:bottom w:val="nil"/>
        <w:right w:val="nil"/>
        <w:between w:val="nil"/>
      </w:pBdr>
      <w:tabs>
        <w:tab w:val="center" w:pos="4252"/>
        <w:tab w:val="right" w:pos="8504"/>
        <w:tab w:val="left" w:pos="2326"/>
      </w:tabs>
      <w:rPr>
        <w:rFonts w:ascii="Cambria" w:eastAsia="Cambria" w:hAnsi="Cambria" w:cs="Cambria"/>
        <w:color w:val="000000"/>
      </w:rPr>
    </w:pPr>
    <w:r>
      <w:rPr>
        <w:rFonts w:ascii="Cambria" w:eastAsia="Cambria" w:hAnsi="Cambria" w:cs="Cambria"/>
        <w:color w:val="000000"/>
      </w:rPr>
      <w:tab/>
    </w:r>
  </w:p>
  <w:p w14:paraId="04D26686" w14:textId="77777777" w:rsidR="00FA7631" w:rsidRDefault="00FA7631">
    <w:pPr>
      <w:pBdr>
        <w:top w:val="nil"/>
        <w:left w:val="nil"/>
        <w:bottom w:val="nil"/>
        <w:right w:val="nil"/>
        <w:between w:val="nil"/>
      </w:pBdr>
      <w:tabs>
        <w:tab w:val="center" w:pos="4252"/>
        <w:tab w:val="right" w:pos="8504"/>
        <w:tab w:val="left" w:pos="2326"/>
      </w:tabs>
      <w:rPr>
        <w:rFonts w:ascii="Cambria" w:eastAsia="Cambria" w:hAnsi="Cambria" w:cs="Cambria"/>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DA75F" w14:textId="4F779620" w:rsidR="00FA7631" w:rsidRDefault="00335356">
    <w:pPr>
      <w:widowControl w:val="0"/>
      <w:pBdr>
        <w:top w:val="nil"/>
        <w:left w:val="nil"/>
        <w:bottom w:val="nil"/>
        <w:right w:val="nil"/>
        <w:between w:val="nil"/>
      </w:pBdr>
      <w:spacing w:line="276" w:lineRule="auto"/>
      <w:ind w:right="1467"/>
      <w:rPr>
        <w:rFonts w:ascii="Palatino Linotype" w:eastAsia="Palatino Linotype" w:hAnsi="Palatino Linotype" w:cs="Palatino Linotype"/>
        <w:color w:val="000000"/>
        <w:sz w:val="16"/>
        <w:szCs w:val="16"/>
      </w:rPr>
    </w:pPr>
    <w:r>
      <w:rPr>
        <w:noProof/>
      </w:rPr>
      <w:drawing>
        <wp:anchor distT="0" distB="0" distL="0" distR="0" simplePos="0" relativeHeight="251659264" behindDoc="1" locked="0" layoutInCell="1" hidden="0" allowOverlap="1" wp14:anchorId="584B1AFF" wp14:editId="2604DC2A">
          <wp:simplePos x="0" y="0"/>
          <wp:positionH relativeFrom="column">
            <wp:posOffset>-1069337</wp:posOffset>
          </wp:positionH>
          <wp:positionV relativeFrom="paragraph">
            <wp:posOffset>-452752</wp:posOffset>
          </wp:positionV>
          <wp:extent cx="7809865" cy="10165715"/>
          <wp:effectExtent l="0" t="0" r="0" b="0"/>
          <wp:wrapNone/>
          <wp:docPr id="10"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7809865" cy="10165715"/>
                  </a:xfrm>
                  <a:prstGeom prst="rect">
                    <a:avLst/>
                  </a:prstGeom>
                  <a:ln/>
                </pic:spPr>
              </pic:pic>
            </a:graphicData>
          </a:graphic>
          <wp14:sizeRelH relativeFrom="margin">
            <wp14:pctWidth>0</wp14:pctWidth>
          </wp14:sizeRelH>
          <wp14:sizeRelV relativeFrom="margin">
            <wp14:pctHeight>0</wp14:pctHeight>
          </wp14:sizeRelV>
        </wp:anchor>
      </w:drawing>
    </w:r>
  </w:p>
  <w:tbl>
    <w:tblPr>
      <w:tblStyle w:val="a4"/>
      <w:tblW w:w="5670" w:type="dxa"/>
      <w:tblInd w:w="3261" w:type="dxa"/>
      <w:tblLayout w:type="fixed"/>
      <w:tblLook w:val="0400" w:firstRow="0" w:lastRow="0" w:firstColumn="0" w:lastColumn="0" w:noHBand="0" w:noVBand="1"/>
    </w:tblPr>
    <w:tblGrid>
      <w:gridCol w:w="2551"/>
      <w:gridCol w:w="3119"/>
    </w:tblGrid>
    <w:tr w:rsidR="00FA7631" w14:paraId="1C8BC1BE" w14:textId="77777777">
      <w:tc>
        <w:tcPr>
          <w:tcW w:w="2551" w:type="dxa"/>
          <w:shd w:val="clear" w:color="auto" w:fill="auto"/>
          <w:vAlign w:val="center"/>
        </w:tcPr>
        <w:p w14:paraId="4F7A8C13" w14:textId="77777777" w:rsidR="00FA7631" w:rsidRDefault="00335356">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3119" w:type="dxa"/>
          <w:shd w:val="clear" w:color="auto" w:fill="auto"/>
          <w:vAlign w:val="center"/>
        </w:tcPr>
        <w:p w14:paraId="2B5CA752" w14:textId="77777777" w:rsidR="00FA7631" w:rsidRDefault="00335356" w:rsidP="00446A59">
          <w:pPr>
            <w:tabs>
              <w:tab w:val="left" w:pos="3153"/>
            </w:tabs>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0</w:t>
          </w:r>
          <w:r w:rsidR="00446A59">
            <w:rPr>
              <w:rFonts w:ascii="Palatino Linotype" w:eastAsia="Palatino Linotype" w:hAnsi="Palatino Linotype" w:cs="Palatino Linotype"/>
              <w:b/>
              <w:sz w:val="22"/>
              <w:szCs w:val="22"/>
            </w:rPr>
            <w:t>7239</w:t>
          </w:r>
          <w:r>
            <w:rPr>
              <w:rFonts w:ascii="Palatino Linotype" w:eastAsia="Palatino Linotype" w:hAnsi="Palatino Linotype" w:cs="Palatino Linotype"/>
              <w:b/>
              <w:sz w:val="22"/>
              <w:szCs w:val="22"/>
            </w:rPr>
            <w:t>/INFOEM/IP/RR/2024</w:t>
          </w:r>
        </w:p>
      </w:tc>
    </w:tr>
    <w:tr w:rsidR="00FA7631" w14:paraId="41C329DE" w14:textId="77777777">
      <w:trPr>
        <w:trHeight w:val="130"/>
      </w:trPr>
      <w:tc>
        <w:tcPr>
          <w:tcW w:w="2551" w:type="dxa"/>
          <w:shd w:val="clear" w:color="auto" w:fill="auto"/>
          <w:vAlign w:val="center"/>
        </w:tcPr>
        <w:p w14:paraId="38945E68" w14:textId="77777777" w:rsidR="00FA7631" w:rsidRDefault="00335356">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Recurrente:</w:t>
          </w:r>
        </w:p>
      </w:tc>
      <w:tc>
        <w:tcPr>
          <w:tcW w:w="3119" w:type="dxa"/>
          <w:shd w:val="clear" w:color="auto" w:fill="auto"/>
          <w:vAlign w:val="center"/>
        </w:tcPr>
        <w:p w14:paraId="2EF68117" w14:textId="0146462D" w:rsidR="00FA7631" w:rsidRDefault="00151E54">
          <w:pPr>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XXXXXXX XXX XXXXXXXXX</w:t>
          </w:r>
        </w:p>
      </w:tc>
    </w:tr>
    <w:tr w:rsidR="00FA7631" w14:paraId="0110EB8E" w14:textId="77777777">
      <w:trPr>
        <w:trHeight w:val="228"/>
      </w:trPr>
      <w:tc>
        <w:tcPr>
          <w:tcW w:w="2551" w:type="dxa"/>
          <w:shd w:val="clear" w:color="auto" w:fill="auto"/>
          <w:vAlign w:val="center"/>
        </w:tcPr>
        <w:p w14:paraId="772A13AB" w14:textId="77777777" w:rsidR="00FA7631" w:rsidRDefault="00335356">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3119" w:type="dxa"/>
          <w:shd w:val="clear" w:color="auto" w:fill="auto"/>
          <w:vAlign w:val="center"/>
        </w:tcPr>
        <w:p w14:paraId="24418826" w14:textId="77777777" w:rsidR="00FA7631" w:rsidRDefault="00446A59">
          <w:pPr>
            <w:ind w:right="-115"/>
            <w:jc w:val="both"/>
            <w:rPr>
              <w:rFonts w:ascii="Palatino Linotype" w:eastAsia="Palatino Linotype" w:hAnsi="Palatino Linotype" w:cs="Palatino Linotype"/>
              <w:b/>
              <w:sz w:val="22"/>
              <w:szCs w:val="22"/>
            </w:rPr>
          </w:pPr>
          <w:r w:rsidRPr="00446A59">
            <w:rPr>
              <w:rFonts w:ascii="Palatino Linotype" w:eastAsia="Palatino Linotype" w:hAnsi="Palatino Linotype" w:cs="Palatino Linotype"/>
              <w:b/>
              <w:sz w:val="22"/>
              <w:szCs w:val="22"/>
            </w:rPr>
            <w:t>Ayuntamiento de Ocoyoacac</w:t>
          </w:r>
        </w:p>
      </w:tc>
    </w:tr>
    <w:tr w:rsidR="00FA7631" w14:paraId="42A81B6C" w14:textId="77777777">
      <w:tc>
        <w:tcPr>
          <w:tcW w:w="2551" w:type="dxa"/>
          <w:shd w:val="clear" w:color="auto" w:fill="auto"/>
          <w:vAlign w:val="center"/>
        </w:tcPr>
        <w:p w14:paraId="01296096" w14:textId="77777777" w:rsidR="00FA7631" w:rsidRDefault="00335356">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3119" w:type="dxa"/>
          <w:shd w:val="clear" w:color="auto" w:fill="auto"/>
          <w:vAlign w:val="center"/>
        </w:tcPr>
        <w:p w14:paraId="2B6AFE3C" w14:textId="77777777" w:rsidR="00FA7631" w:rsidRDefault="00335356">
          <w:pPr>
            <w:ind w:right="-533"/>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Guadalupe Ramírez Peña</w:t>
          </w:r>
        </w:p>
      </w:tc>
    </w:tr>
  </w:tbl>
  <w:p w14:paraId="4630E4B3" w14:textId="77777777" w:rsidR="00FA7631" w:rsidRDefault="00FA7631">
    <w:pPr>
      <w:pBdr>
        <w:top w:val="nil"/>
        <w:left w:val="nil"/>
        <w:bottom w:val="nil"/>
        <w:right w:val="nil"/>
        <w:between w:val="nil"/>
      </w:pBdr>
      <w:tabs>
        <w:tab w:val="center" w:pos="4252"/>
        <w:tab w:val="right" w:pos="8504"/>
      </w:tabs>
      <w:rPr>
        <w:rFonts w:ascii="Cambria" w:eastAsia="Cambria" w:hAnsi="Cambria" w:cs="Cambria"/>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4C67C1"/>
    <w:multiLevelType w:val="multilevel"/>
    <w:tmpl w:val="4B60F438"/>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2D361E29"/>
    <w:multiLevelType w:val="multilevel"/>
    <w:tmpl w:val="9B5E151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352F1478"/>
    <w:multiLevelType w:val="multilevel"/>
    <w:tmpl w:val="E35CC12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61E973FA"/>
    <w:multiLevelType w:val="hybridMultilevel"/>
    <w:tmpl w:val="582A9982"/>
    <w:lvl w:ilvl="0" w:tplc="7570BC68">
      <w:start w:val="1"/>
      <w:numFmt w:val="decimal"/>
      <w:lvlText w:val="%1."/>
      <w:lvlJc w:val="left"/>
      <w:pPr>
        <w:ind w:left="927" w:hanging="360"/>
      </w:pPr>
      <w:rPr>
        <w:rFonts w:hint="default"/>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7631"/>
    <w:rsid w:val="00151E54"/>
    <w:rsid w:val="00167A36"/>
    <w:rsid w:val="0020382E"/>
    <w:rsid w:val="002B6D82"/>
    <w:rsid w:val="00332E87"/>
    <w:rsid w:val="00335356"/>
    <w:rsid w:val="00446A59"/>
    <w:rsid w:val="00582B03"/>
    <w:rsid w:val="005D3FCD"/>
    <w:rsid w:val="005E7572"/>
    <w:rsid w:val="005F7FAA"/>
    <w:rsid w:val="00801D83"/>
    <w:rsid w:val="00940629"/>
    <w:rsid w:val="00B74F49"/>
    <w:rsid w:val="00BE2E25"/>
    <w:rsid w:val="00C1036D"/>
    <w:rsid w:val="00DA1904"/>
    <w:rsid w:val="00DC71FE"/>
    <w:rsid w:val="00DF5DF9"/>
    <w:rsid w:val="00E21DDE"/>
    <w:rsid w:val="00EC5A17"/>
    <w:rsid w:val="00FA763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533F8D"/>
  <w15:docId w15:val="{03924330-56D7-49A7-8AA0-EA869BCB9A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Ttulo1">
    <w:name w:val="heading 1"/>
    <w:basedOn w:val="Normal"/>
    <w:next w:val="Normal"/>
    <w:pPr>
      <w:keepNext/>
      <w:keepLines/>
      <w:spacing w:before="240"/>
      <w:outlineLvl w:val="0"/>
    </w:pPr>
    <w:rPr>
      <w:rFonts w:ascii="Calibri" w:eastAsia="Calibri" w:hAnsi="Calibri" w:cs="Calibri"/>
      <w:color w:val="366091"/>
      <w:sz w:val="32"/>
      <w:szCs w:val="32"/>
    </w:rPr>
  </w:style>
  <w:style w:type="paragraph" w:styleId="Ttulo2">
    <w:name w:val="heading 2"/>
    <w:basedOn w:val="Normal"/>
    <w:next w:val="Normal"/>
    <w:pPr>
      <w:keepNext/>
      <w:keepLines/>
      <w:spacing w:before="40"/>
      <w:outlineLvl w:val="1"/>
    </w:pPr>
    <w:rPr>
      <w:rFonts w:ascii="Calibri" w:eastAsia="Calibri" w:hAnsi="Calibri" w:cs="Calibri"/>
      <w:color w:val="366091"/>
      <w:sz w:val="26"/>
      <w:szCs w:val="26"/>
    </w:rPr>
  </w:style>
  <w:style w:type="paragraph" w:styleId="Ttulo3">
    <w:name w:val="heading 3"/>
    <w:basedOn w:val="Normal"/>
    <w:next w:val="Normal"/>
    <w:pPr>
      <w:keepNext/>
      <w:spacing w:before="240" w:after="60"/>
      <w:ind w:left="2160" w:hanging="720"/>
      <w:outlineLvl w:val="2"/>
    </w:pPr>
    <w:rPr>
      <w:rFonts w:ascii="Calibri" w:eastAsia="Calibri" w:hAnsi="Calibri" w:cs="Calibri"/>
      <w:b/>
      <w:sz w:val="26"/>
      <w:szCs w:val="26"/>
    </w:rPr>
  </w:style>
  <w:style w:type="paragraph" w:styleId="Ttulo4">
    <w:name w:val="heading 4"/>
    <w:basedOn w:val="Normal"/>
    <w:next w:val="Normal"/>
    <w:pPr>
      <w:keepNext/>
      <w:spacing w:before="240" w:after="60"/>
      <w:ind w:left="2880" w:hanging="720"/>
      <w:outlineLvl w:val="3"/>
    </w:pPr>
    <w:rPr>
      <w:rFonts w:ascii="Cambria" w:eastAsia="Cambria" w:hAnsi="Cambria" w:cs="Cambria"/>
      <w:b/>
      <w:sz w:val="28"/>
      <w:szCs w:val="28"/>
    </w:rPr>
  </w:style>
  <w:style w:type="paragraph" w:styleId="Ttulo5">
    <w:name w:val="heading 5"/>
    <w:basedOn w:val="Normal"/>
    <w:next w:val="Normal"/>
    <w:pPr>
      <w:spacing w:before="240" w:after="60"/>
      <w:ind w:left="3600" w:hanging="720"/>
      <w:outlineLvl w:val="4"/>
    </w:pPr>
    <w:rPr>
      <w:rFonts w:ascii="Cambria" w:eastAsia="Cambria" w:hAnsi="Cambria" w:cs="Cambria"/>
      <w:b/>
      <w:i/>
      <w:sz w:val="26"/>
      <w:szCs w:val="26"/>
    </w:rPr>
  </w:style>
  <w:style w:type="paragraph" w:styleId="Ttulo6">
    <w:name w:val="heading 6"/>
    <w:basedOn w:val="Normal"/>
    <w:next w:val="Normal"/>
    <w:pPr>
      <w:spacing w:before="240" w:after="60"/>
      <w:ind w:left="4320" w:hanging="720"/>
      <w:outlineLvl w:val="5"/>
    </w:pPr>
    <w:rPr>
      <w:b/>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1"/>
    <w:tblPr>
      <w:tblStyleRowBandSize w:val="1"/>
      <w:tblStyleColBandSize w:val="1"/>
      <w:tblCellMar>
        <w:left w:w="115" w:type="dxa"/>
        <w:right w:w="115" w:type="dxa"/>
      </w:tblCellMar>
    </w:tblPr>
  </w:style>
  <w:style w:type="table" w:customStyle="1" w:styleId="a0">
    <w:basedOn w:val="TableNormal1"/>
    <w:tblPr>
      <w:tblStyleRowBandSize w:val="1"/>
      <w:tblStyleColBandSize w:val="1"/>
      <w:tblCellMar>
        <w:left w:w="115" w:type="dxa"/>
        <w:right w:w="115" w:type="dxa"/>
      </w:tblCellMar>
    </w:tblPr>
  </w:style>
  <w:style w:type="paragraph" w:styleId="Encabezado">
    <w:name w:val="header"/>
    <w:basedOn w:val="Normal"/>
    <w:link w:val="EncabezadoCar"/>
    <w:uiPriority w:val="99"/>
    <w:unhideWhenUsed/>
    <w:rsid w:val="00040F12"/>
    <w:pPr>
      <w:tabs>
        <w:tab w:val="center" w:pos="4419"/>
        <w:tab w:val="right" w:pos="8838"/>
      </w:tabs>
    </w:pPr>
  </w:style>
  <w:style w:type="character" w:customStyle="1" w:styleId="EncabezadoCar">
    <w:name w:val="Encabezado Car"/>
    <w:basedOn w:val="Fuentedeprrafopredeter"/>
    <w:link w:val="Encabezado"/>
    <w:uiPriority w:val="99"/>
    <w:rsid w:val="00040F12"/>
  </w:style>
  <w:style w:type="paragraph" w:styleId="Piedepgina">
    <w:name w:val="footer"/>
    <w:basedOn w:val="Normal"/>
    <w:link w:val="PiedepginaCar"/>
    <w:uiPriority w:val="99"/>
    <w:unhideWhenUsed/>
    <w:rsid w:val="00040F12"/>
    <w:pPr>
      <w:tabs>
        <w:tab w:val="center" w:pos="4419"/>
        <w:tab w:val="right" w:pos="8838"/>
      </w:tabs>
    </w:pPr>
  </w:style>
  <w:style w:type="character" w:customStyle="1" w:styleId="PiedepginaCar">
    <w:name w:val="Pie de página Car"/>
    <w:basedOn w:val="Fuentedeprrafopredeter"/>
    <w:link w:val="Piedepgina"/>
    <w:uiPriority w:val="99"/>
    <w:rsid w:val="00040F12"/>
  </w:style>
  <w:style w:type="paragraph" w:styleId="Prrafodelista">
    <w:name w:val="List Paragraph"/>
    <w:basedOn w:val="Normal"/>
    <w:uiPriority w:val="34"/>
    <w:qFormat/>
    <w:rsid w:val="0029586A"/>
    <w:pPr>
      <w:ind w:left="720"/>
      <w:contextualSpacing/>
    </w:pPr>
  </w:style>
  <w:style w:type="table" w:customStyle="1" w:styleId="a1">
    <w:basedOn w:val="TableNormal1"/>
    <w:tblPr>
      <w:tblStyleRowBandSize w:val="1"/>
      <w:tblStyleColBandSize w:val="1"/>
      <w:tblCellMar>
        <w:left w:w="115" w:type="dxa"/>
        <w:right w:w="115" w:type="dxa"/>
      </w:tblCellMar>
    </w:tblPr>
  </w:style>
  <w:style w:type="table" w:customStyle="1" w:styleId="a2">
    <w:basedOn w:val="TableNormal1"/>
    <w:tblPr>
      <w:tblStyleRowBandSize w:val="1"/>
      <w:tblStyleColBandSize w:val="1"/>
      <w:tblCellMar>
        <w:left w:w="115" w:type="dxa"/>
        <w:right w:w="115" w:type="dxa"/>
      </w:tblCellMar>
    </w:tblPr>
  </w:style>
  <w:style w:type="table" w:customStyle="1" w:styleId="a3">
    <w:basedOn w:val="TableNormal0"/>
    <w:tblPr>
      <w:tblStyleRowBandSize w:val="1"/>
      <w:tblStyleColBandSize w:val="1"/>
      <w:tblCellMar>
        <w:left w:w="115" w:type="dxa"/>
        <w:right w:w="115" w:type="dxa"/>
      </w:tblCellMar>
    </w:tblPr>
  </w:style>
  <w:style w:type="table" w:customStyle="1" w:styleId="a4">
    <w:basedOn w:val="TableNormal0"/>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O+ZW4otB6YuN6mbkaAHqmEZJdpg==">CgMxLjAyCGguZ2pkZ3hzMgloLjRkMzRvZzgyCWguMzBqMHpsbDINaC5xOWE1cHFzdDZzbzIJaC4yZXQ5MnAwMgloLjFmb2I5dGUyCWguM2R5NnZrbTIJaC4zem55c2g3MgloLjF0M2g1c2Y4AHIhMXJLMUNXcWxYTHdiWGJEYUxhcS11UDhqaWNoX0o1cVBV</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29</Pages>
  <Words>7152</Words>
  <Characters>39340</Characters>
  <Application>Microsoft Office Word</Application>
  <DocSecurity>0</DocSecurity>
  <Lines>327</Lines>
  <Paragraphs>92</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46400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INFOEM619</dc:creator>
  <cp:lastModifiedBy>Maricela Villagómez Martínez</cp:lastModifiedBy>
  <cp:revision>2</cp:revision>
  <cp:lastPrinted>2024-12-13T16:28:00Z</cp:lastPrinted>
  <dcterms:created xsi:type="dcterms:W3CDTF">2025-01-15T20:20:00Z</dcterms:created>
  <dcterms:modified xsi:type="dcterms:W3CDTF">2025-01-15T20:20:00Z</dcterms:modified>
</cp:coreProperties>
</file>