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8604B" w14:textId="77777777" w:rsidR="002942EA" w:rsidRDefault="002942EA" w:rsidP="006922F5">
      <w:pPr>
        <w:pBdr>
          <w:top w:val="nil"/>
          <w:left w:val="nil"/>
          <w:bottom w:val="nil"/>
          <w:right w:val="nil"/>
          <w:between w:val="nil"/>
        </w:pBdr>
        <w:contextualSpacing/>
        <w:rPr>
          <w:rFonts w:eastAsia="Palatino Linotype" w:cs="Palatino Linotype"/>
          <w:color w:val="000000"/>
          <w:szCs w:val="24"/>
        </w:rPr>
      </w:pPr>
    </w:p>
    <w:p w14:paraId="49AF2C0C" w14:textId="48AACB9E"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D10E00">
        <w:t>cuatro de diciembre</w:t>
      </w:r>
      <w:r w:rsidR="0011108B">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6B3B3772" w:rsidR="00A970D5" w:rsidRPr="0022406E" w:rsidRDefault="1B94458F" w:rsidP="1B94458F">
      <w:pPr>
        <w:pBdr>
          <w:top w:val="nil"/>
          <w:left w:val="nil"/>
          <w:bottom w:val="nil"/>
          <w:right w:val="nil"/>
          <w:between w:val="nil"/>
        </w:pBdr>
        <w:contextualSpacing/>
        <w:rPr>
          <w:rFonts w:eastAsia="Palatino Linotype" w:cs="Palatino Linotype"/>
          <w:b/>
          <w:bCs/>
          <w:color w:val="000000"/>
          <w:lang w:val="es-ES"/>
        </w:rPr>
      </w:pPr>
      <w:r w:rsidRPr="1B94458F">
        <w:rPr>
          <w:rFonts w:eastAsia="Palatino Linotype" w:cs="Palatino Linotype"/>
          <w:b/>
          <w:bCs/>
          <w:color w:val="000000" w:themeColor="text1"/>
          <w:lang w:val="es-ES"/>
        </w:rPr>
        <w:t>VISTO</w:t>
      </w:r>
      <w:r w:rsidRPr="1B94458F">
        <w:rPr>
          <w:rFonts w:eastAsia="Palatino Linotype" w:cs="Palatino Linotype"/>
          <w:color w:val="000000" w:themeColor="text1"/>
          <w:lang w:val="es-ES"/>
        </w:rPr>
        <w:t xml:space="preserve"> el expediente electrónico formado con motivo del recurso de revisión número </w:t>
      </w:r>
      <w:r w:rsidR="0064260D">
        <w:rPr>
          <w:rFonts w:eastAsia="Palatino Linotype" w:cs="Palatino Linotype"/>
          <w:b/>
          <w:bCs/>
          <w:color w:val="000000" w:themeColor="text1"/>
          <w:lang w:val="es-ES"/>
        </w:rPr>
        <w:t>06590/INFOEM/IP/RR/2024</w:t>
      </w:r>
      <w:r w:rsidRPr="1B94458F">
        <w:rPr>
          <w:rFonts w:eastAsia="Palatino Linotype" w:cs="Palatino Linotype"/>
          <w:color w:val="000000" w:themeColor="text1"/>
          <w:lang w:val="es-ES"/>
        </w:rPr>
        <w:t xml:space="preserve">, interpuesto por </w:t>
      </w:r>
      <w:r w:rsidR="00296309">
        <w:rPr>
          <w:rFonts w:eastAsia="Palatino Linotype" w:cs="Palatino Linotype"/>
          <w:b/>
          <w:bCs/>
          <w:color w:val="000000" w:themeColor="text1"/>
          <w:lang w:val="es-ES"/>
        </w:rPr>
        <w:t>una persona de manera anónima</w:t>
      </w:r>
      <w:r w:rsidRPr="1B94458F">
        <w:rPr>
          <w:rFonts w:eastAsia="Palatino Linotype" w:cs="Palatino Linotype"/>
          <w:color w:val="000000" w:themeColor="text1"/>
          <w:lang w:val="es-ES"/>
        </w:rPr>
        <w:t xml:space="preserve">, en lo sucesivo el </w:t>
      </w:r>
      <w:r w:rsidRPr="1B94458F">
        <w:rPr>
          <w:rFonts w:eastAsia="Palatino Linotype" w:cs="Palatino Linotype"/>
          <w:b/>
          <w:bCs/>
          <w:color w:val="000000" w:themeColor="text1"/>
          <w:lang w:val="es-ES"/>
        </w:rPr>
        <w:t>Recurrente</w:t>
      </w:r>
      <w:r w:rsidRPr="1B94458F">
        <w:rPr>
          <w:rFonts w:eastAsia="Palatino Linotype" w:cs="Palatino Linotype"/>
          <w:color w:val="000000" w:themeColor="text1"/>
          <w:lang w:val="es-ES"/>
        </w:rPr>
        <w:t xml:space="preserve">, en contra de la respuesta del </w:t>
      </w:r>
      <w:r w:rsidRPr="1B94458F">
        <w:rPr>
          <w:rFonts w:eastAsia="Palatino Linotype" w:cs="Palatino Linotype"/>
          <w:b/>
          <w:bCs/>
          <w:color w:val="000000" w:themeColor="text1"/>
          <w:lang w:val="es-ES"/>
        </w:rPr>
        <w:t xml:space="preserve">Ayuntamiento </w:t>
      </w:r>
      <w:r w:rsidR="00296309" w:rsidRPr="00296309">
        <w:rPr>
          <w:rFonts w:eastAsia="Palatino Linotype" w:cs="Palatino Linotype"/>
          <w:b/>
          <w:bCs/>
          <w:color w:val="000000" w:themeColor="text1"/>
          <w:lang w:val="es-ES"/>
        </w:rPr>
        <w:t>de Temamatla</w:t>
      </w:r>
      <w:r w:rsidRPr="1B94458F">
        <w:rPr>
          <w:rFonts w:eastAsia="Palatino Linotype" w:cs="Palatino Linotype"/>
          <w:color w:val="000000" w:themeColor="text1"/>
          <w:lang w:val="es-ES"/>
        </w:rPr>
        <w:t>, en lo subsecuente</w:t>
      </w:r>
      <w:r w:rsidRPr="1B94458F">
        <w:rPr>
          <w:rFonts w:eastAsia="Palatino Linotype" w:cs="Palatino Linotype"/>
          <w:b/>
          <w:bCs/>
          <w:color w:val="000000" w:themeColor="text1"/>
          <w:lang w:val="es-ES"/>
        </w:rPr>
        <w:t xml:space="preserve"> </w:t>
      </w:r>
      <w:r w:rsidRPr="1B94458F">
        <w:rPr>
          <w:rFonts w:eastAsia="Palatino Linotype" w:cs="Palatino Linotype"/>
          <w:color w:val="000000" w:themeColor="text1"/>
          <w:lang w:val="es-ES"/>
        </w:rPr>
        <w:t>el</w:t>
      </w:r>
      <w:r w:rsidRPr="1B94458F">
        <w:rPr>
          <w:rFonts w:eastAsia="Palatino Linotype" w:cs="Palatino Linotype"/>
          <w:b/>
          <w:bCs/>
          <w:color w:val="000000" w:themeColor="text1"/>
          <w:lang w:val="es-ES"/>
        </w:rPr>
        <w:t xml:space="preserve"> Sujeto Obligado, </w:t>
      </w:r>
      <w:r w:rsidRPr="1B94458F">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6ED4827" w:rsidR="00A970D5" w:rsidRPr="006922F5" w:rsidRDefault="00AB57B1" w:rsidP="006922F5">
      <w:pPr>
        <w:pStyle w:val="Ttulo2"/>
        <w:rPr>
          <w:rFonts w:eastAsia="Palatino Linotype"/>
        </w:rPr>
      </w:pPr>
      <w:r>
        <w:rPr>
          <w:rFonts w:eastAsia="Palatino Linotype"/>
        </w:rPr>
        <w:t>PRIMERO. De la solicitud de i</w:t>
      </w:r>
      <w:r w:rsidR="00A970D5" w:rsidRPr="006922F5">
        <w:rPr>
          <w:rFonts w:eastAsia="Palatino Linotype"/>
        </w:rPr>
        <w:t>nformación.</w:t>
      </w:r>
    </w:p>
    <w:p w14:paraId="0870C154" w14:textId="12F38145"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DB2112">
        <w:rPr>
          <w:rFonts w:eastAsia="Palatino Linotype" w:cs="Palatino Linotype"/>
          <w:color w:val="000000"/>
          <w:szCs w:val="24"/>
        </w:rPr>
        <w:t>veinticinco</w:t>
      </w:r>
      <w:r w:rsidR="00AB57B1">
        <w:rPr>
          <w:rFonts w:eastAsia="Palatino Linotype" w:cs="Palatino Linotype"/>
          <w:color w:val="000000"/>
          <w:szCs w:val="24"/>
        </w:rPr>
        <w:t xml:space="preserve"> de septiembre</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7A6F39">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834E67">
        <w:rPr>
          <w:rFonts w:eastAsia="Palatino Linotype" w:cs="Palatino Linotype"/>
          <w:b/>
          <w:bCs/>
          <w:color w:val="000000"/>
          <w:szCs w:val="24"/>
        </w:rPr>
        <w:t>00308/TEMAMATL/IP/2024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6931D625" w:rsidR="00A970D5" w:rsidRPr="006922F5" w:rsidRDefault="70652167" w:rsidP="009950AD">
      <w:pPr>
        <w:pStyle w:val="Fundamentos"/>
      </w:pPr>
      <w:r w:rsidRPr="70652167">
        <w:rPr>
          <w:lang w:val="es-ES"/>
        </w:rPr>
        <w:t>«</w:t>
      </w:r>
      <w:r w:rsidR="007E22C5" w:rsidRPr="007E22C5">
        <w:rPr>
          <w:lang w:val="es-ES"/>
        </w:rPr>
        <w:t xml:space="preserve">Cual </w:t>
      </w:r>
      <w:proofErr w:type="spellStart"/>
      <w:r w:rsidR="007E22C5" w:rsidRPr="007E22C5">
        <w:rPr>
          <w:lang w:val="es-ES"/>
        </w:rPr>
        <w:t>a</w:t>
      </w:r>
      <w:proofErr w:type="spellEnd"/>
      <w:r w:rsidR="007E22C5" w:rsidRPr="007E22C5">
        <w:rPr>
          <w:lang w:val="es-ES"/>
        </w:rPr>
        <w:t xml:space="preserve"> sido el monto mensual de gasto por concepto de compra de renta de sillas, mesas, lonas, carpas durante la administración 2022 2024, cual ha sido el proveedor proveedores, requiero la información desglosada por </w:t>
      </w:r>
      <w:proofErr w:type="gramStart"/>
      <w:r w:rsidR="007E22C5" w:rsidRPr="007E22C5">
        <w:rPr>
          <w:lang w:val="es-ES"/>
        </w:rPr>
        <w:t>mes ,</w:t>
      </w:r>
      <w:proofErr w:type="gramEnd"/>
      <w:r w:rsidR="007E22C5" w:rsidRPr="007E22C5">
        <w:rPr>
          <w:lang w:val="es-ES"/>
        </w:rPr>
        <w:t xml:space="preserve"> favor de adjuntar las pólizas de egresos por este concepto</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693EF0C9" w:rsidR="00A970D5" w:rsidRPr="006922F5" w:rsidRDefault="008357DD"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6D36B0E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69314A">
        <w:rPr>
          <w:rFonts w:eastAsia="Palatino Linotype" w:cs="Palatino Linotype"/>
          <w:color w:val="000000"/>
          <w:szCs w:val="24"/>
        </w:rPr>
        <w:t>diecisiete</w:t>
      </w:r>
      <w:r w:rsidR="00BD2A1B">
        <w:rPr>
          <w:rFonts w:eastAsia="Palatino Linotype" w:cs="Palatino Linotype"/>
          <w:color w:val="000000"/>
          <w:szCs w:val="24"/>
        </w:rPr>
        <w:t xml:space="preserve"> de octubre</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51F3117F" w14:textId="349FB0B1" w:rsidR="001E71F9" w:rsidRDefault="1B94458F" w:rsidP="001E71F9">
      <w:pPr>
        <w:pStyle w:val="Fundamentos"/>
        <w:rPr>
          <w:lang w:val="es-ES"/>
        </w:rPr>
      </w:pPr>
      <w:r w:rsidRPr="1B94458F">
        <w:rPr>
          <w:lang w:val="es-ES"/>
        </w:rPr>
        <w:t>«</w:t>
      </w:r>
      <w:r w:rsidR="001E71F9" w:rsidRPr="001E71F9">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F2194F6" w14:textId="77777777" w:rsidR="001E71F9" w:rsidRPr="001E71F9" w:rsidRDefault="001E71F9" w:rsidP="001E71F9">
      <w:pPr>
        <w:pStyle w:val="Fundamentos"/>
        <w:rPr>
          <w:lang w:val="es-ES"/>
        </w:rPr>
      </w:pPr>
    </w:p>
    <w:p w14:paraId="3FE4A9EF" w14:textId="5F021929" w:rsidR="00A970D5" w:rsidRPr="00404754" w:rsidRDefault="001E71F9" w:rsidP="001E71F9">
      <w:pPr>
        <w:pStyle w:val="Fundamentos"/>
        <w:rPr>
          <w:lang w:val="es-MX"/>
        </w:rPr>
      </w:pPr>
      <w:r w:rsidRPr="001E71F9">
        <w:rPr>
          <w:lang w:val="es-ES"/>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w:t>
      </w:r>
      <w:r w:rsidRPr="001E71F9">
        <w:rPr>
          <w:lang w:val="es-ES"/>
        </w:rPr>
        <w:lastRenderedPageBreak/>
        <w:t>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0C093325"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1E71F9">
        <w:rPr>
          <w:rFonts w:eastAsia="Palatino Linotype" w:cs="Palatino Linotype"/>
          <w:color w:val="000000" w:themeColor="text1"/>
          <w:lang w:val="es-ES"/>
        </w:rPr>
        <w:t>los</w:t>
      </w:r>
      <w:r w:rsidRPr="70652167">
        <w:rPr>
          <w:rFonts w:eastAsia="Palatino Linotype" w:cs="Palatino Linotype"/>
          <w:color w:val="000000" w:themeColor="text1"/>
          <w:lang w:val="es-ES"/>
        </w:rPr>
        <w:t xml:space="preserve"> documento</w:t>
      </w:r>
      <w:r w:rsidR="001E71F9">
        <w:rPr>
          <w:rFonts w:eastAsia="Palatino Linotype" w:cs="Palatino Linotype"/>
          <w:color w:val="000000" w:themeColor="text1"/>
          <w:lang w:val="es-ES"/>
        </w:rPr>
        <w:t>s</w:t>
      </w:r>
      <w:r w:rsidRPr="70652167">
        <w:rPr>
          <w:rFonts w:eastAsia="Palatino Linotype" w:cs="Palatino Linotype"/>
          <w:color w:val="000000" w:themeColor="text1"/>
          <w:lang w:val="es-ES"/>
        </w:rPr>
        <w:t xml:space="preserve"> denominado</w:t>
      </w:r>
      <w:r w:rsidR="001E71F9">
        <w:rPr>
          <w:rFonts w:eastAsia="Palatino Linotype" w:cs="Palatino Linotype"/>
          <w:color w:val="000000" w:themeColor="text1"/>
          <w:lang w:val="es-ES"/>
        </w:rPr>
        <w:t xml:space="preserve">s </w:t>
      </w:r>
      <w:r w:rsidR="001E71F9" w:rsidRPr="70652167">
        <w:rPr>
          <w:rFonts w:eastAsia="Palatino Linotype" w:cs="Palatino Linotype"/>
          <w:b/>
          <w:bCs/>
          <w:color w:val="000000" w:themeColor="text1"/>
          <w:lang w:val="es-ES"/>
        </w:rPr>
        <w:t>«</w:t>
      </w:r>
      <w:r w:rsidR="001E71F9">
        <w:rPr>
          <w:rFonts w:eastAsia="Palatino Linotype" w:cs="Palatino Linotype"/>
          <w:b/>
          <w:bCs/>
          <w:color w:val="000000" w:themeColor="text1"/>
          <w:lang w:val="es-ES"/>
        </w:rPr>
        <w:t>SOL_</w:t>
      </w:r>
      <w:r w:rsidR="00D17E8F">
        <w:rPr>
          <w:rFonts w:eastAsia="Palatino Linotype" w:cs="Palatino Linotype"/>
          <w:b/>
          <w:bCs/>
          <w:color w:val="000000" w:themeColor="text1"/>
          <w:lang w:val="es-ES"/>
        </w:rPr>
        <w:t>00308</w:t>
      </w:r>
      <w:r w:rsidR="001E71F9" w:rsidRPr="70652167">
        <w:rPr>
          <w:rFonts w:eastAsia="Palatino Linotype" w:cs="Palatino Linotype"/>
          <w:b/>
          <w:bCs/>
          <w:color w:val="000000" w:themeColor="text1"/>
          <w:lang w:val="es-ES"/>
        </w:rPr>
        <w:t>.pdf»</w:t>
      </w:r>
      <w:r w:rsidR="001E71F9" w:rsidRPr="70652167">
        <w:rPr>
          <w:rFonts w:eastAsia="Palatino Linotype" w:cs="Palatino Linotype"/>
          <w:color w:val="000000" w:themeColor="text1"/>
          <w:lang w:val="es-ES"/>
        </w:rPr>
        <w:t xml:space="preserve"> </w:t>
      </w:r>
      <w:r w:rsidR="001E71F9">
        <w:rPr>
          <w:rFonts w:eastAsia="Palatino Linotype" w:cs="Palatino Linotype"/>
          <w:color w:val="000000" w:themeColor="text1"/>
          <w:lang w:val="es-ES"/>
        </w:rPr>
        <w:t>y</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r w:rsidR="00D17E8F">
        <w:rPr>
          <w:rFonts w:eastAsia="Palatino Linotype" w:cs="Palatino Linotype"/>
          <w:b/>
          <w:bCs/>
          <w:color w:val="000000" w:themeColor="text1"/>
          <w:lang w:val="es-ES"/>
        </w:rPr>
        <w:t>ACTA</w:t>
      </w:r>
      <w:r w:rsidR="00B90829" w:rsidRPr="70652167">
        <w:rPr>
          <w:rFonts w:eastAsia="Palatino Linotype" w:cs="Palatino Linotype"/>
          <w:b/>
          <w:bCs/>
          <w:color w:val="000000" w:themeColor="text1"/>
          <w:lang w:val="es-ES"/>
        </w:rPr>
        <w:t>.pdf»</w:t>
      </w:r>
      <w:r w:rsidR="00B90829"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1C0FF4B" w:rsidR="00A970D5" w:rsidRPr="006922F5" w:rsidRDefault="008357DD"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57C3A07B"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314835">
        <w:rPr>
          <w:rFonts w:eastAsia="Palatino Linotype" w:cs="Palatino Linotype"/>
          <w:color w:val="000000"/>
          <w:szCs w:val="24"/>
        </w:rPr>
        <w:t xml:space="preserve">, </w:t>
      </w:r>
      <w:r w:rsidR="00F05E0B">
        <w:rPr>
          <w:rFonts w:eastAsia="Palatino Linotype" w:cs="Palatino Linotype"/>
          <w:color w:val="000000"/>
          <w:szCs w:val="24"/>
        </w:rPr>
        <w:t>el</w:t>
      </w:r>
      <w:r w:rsidRPr="0090115A">
        <w:rPr>
          <w:rFonts w:eastAsia="Palatino Linotype" w:cs="Palatino Linotype"/>
          <w:color w:val="000000"/>
          <w:szCs w:val="24"/>
        </w:rPr>
        <w:t xml:space="preserve"> Recurrente interpuso el presente recurso de revisión el día </w:t>
      </w:r>
      <w:r w:rsidR="000B378A">
        <w:rPr>
          <w:rFonts w:eastAsia="Palatino Linotype" w:cs="Palatino Linotype"/>
          <w:color w:val="000000"/>
          <w:szCs w:val="24"/>
        </w:rPr>
        <w:t>veintitrés</w:t>
      </w:r>
      <w:r w:rsidR="00BD2A1B">
        <w:rPr>
          <w:rFonts w:eastAsia="Palatino Linotype" w:cs="Palatino Linotype"/>
          <w:color w:val="000000"/>
          <w:szCs w:val="24"/>
        </w:rPr>
        <w:t xml:space="preserve"> de octubre</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w:t>
      </w:r>
      <w:r w:rsidRPr="00BD2A1B">
        <w:rPr>
          <w:rFonts w:eastAsia="Palatino Linotype" w:cs="Palatino Linotype"/>
          <w:color w:val="000000"/>
          <w:szCs w:val="24"/>
        </w:rPr>
        <w:t>e</w:t>
      </w:r>
      <w:r w:rsidR="00FB26D9" w:rsidRPr="00BD2A1B">
        <w:rPr>
          <w:rFonts w:eastAsia="Palatino Linotype" w:cs="Palatino Linotype"/>
          <w:color w:val="000000"/>
          <w:szCs w:val="24"/>
        </w:rPr>
        <w:t xml:space="preserve"> </w:t>
      </w:r>
      <w:r w:rsidR="0064260D">
        <w:rPr>
          <w:rFonts w:eastAsia="Palatino Linotype" w:cs="Palatino Linotype"/>
          <w:b/>
          <w:color w:val="000000"/>
          <w:szCs w:val="24"/>
        </w:rPr>
        <w:t>06590/INFOEM/IP/RR/2024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29BFF736" w:rsidR="00A970D5" w:rsidRPr="006922F5" w:rsidRDefault="5C35490E" w:rsidP="5C35490E">
      <w:pPr>
        <w:pStyle w:val="Fundamentos"/>
        <w:rPr>
          <w:b/>
          <w:bCs/>
          <w:lang w:val="es-ES"/>
        </w:rPr>
      </w:pPr>
      <w:r w:rsidRPr="5C35490E">
        <w:rPr>
          <w:lang w:val="es-ES"/>
        </w:rPr>
        <w:t>«</w:t>
      </w:r>
      <w:r w:rsidR="004E4A28" w:rsidRPr="004E4A28">
        <w:rPr>
          <w:lang w:val="es-ES"/>
        </w:rPr>
        <w:t>RESPUESTA DE SOLICITUD</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lastRenderedPageBreak/>
        <w:t>Razones o motivos de inconformidad</w:t>
      </w:r>
      <w:r w:rsidR="00300EA0" w:rsidRPr="006922F5">
        <w:rPr>
          <w:rFonts w:eastAsia="Palatino Linotype" w:cs="Palatino Linotype"/>
          <w:b/>
        </w:rPr>
        <w:t xml:space="preserve">: </w:t>
      </w:r>
    </w:p>
    <w:p w14:paraId="636038ED" w14:textId="4D31277F" w:rsidR="00300EA0" w:rsidRPr="006922F5" w:rsidRDefault="1B94458F" w:rsidP="00300EA0">
      <w:pPr>
        <w:pStyle w:val="Fundamentos"/>
        <w:rPr>
          <w:b/>
          <w:bCs/>
          <w:lang w:val="es-ES"/>
        </w:rPr>
      </w:pPr>
      <w:r w:rsidRPr="1B94458F">
        <w:rPr>
          <w:lang w:val="es-ES"/>
        </w:rPr>
        <w:t>«</w:t>
      </w:r>
      <w:r w:rsidR="004E4A28" w:rsidRPr="004E4A28">
        <w:t>EL SUJETO OBLIGADO REFIERE EN SU RESPUESTA UNA LIGA PARA LA CONSULTA DE LA INFORMACION SIN EMBARGO EN SU PLATAFORMA NO SE ENCUENTRA LA INFORMACION DE MANERA ESPECIFICA DEACUERDO A MI SOLICITUD LA INFORMACION ES GLOBAL Y GENERALIZADA, NI TAMPOCO SE ENCUENTRAN LAS POLIZAS DE LA INFORMACION SOLICITADA</w:t>
      </w:r>
      <w:r w:rsidRPr="1B94458F">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2438C783" w:rsidR="00A970D5" w:rsidRPr="006922F5" w:rsidRDefault="008357DD" w:rsidP="006922F5">
      <w:pPr>
        <w:pStyle w:val="Ttulo2"/>
        <w:rPr>
          <w:rFonts w:eastAsia="Palatino Linotype"/>
        </w:rPr>
      </w:pPr>
      <w:r>
        <w:rPr>
          <w:rFonts w:eastAsia="Palatino Linotype"/>
        </w:rPr>
        <w:t>CUAR</w:t>
      </w:r>
      <w:r w:rsidR="00AB57B1">
        <w:rPr>
          <w:rFonts w:eastAsia="Palatino Linotype"/>
        </w:rPr>
        <w:t>T</w:t>
      </w:r>
      <w:r w:rsidR="002942EA">
        <w:rPr>
          <w:rFonts w:eastAsia="Palatino Linotype"/>
        </w:rPr>
        <w:t>O</w:t>
      </w:r>
      <w:r w:rsidR="00A970D5" w:rsidRPr="006922F5">
        <w:rPr>
          <w:rFonts w:eastAsia="Palatino Linotype"/>
        </w:rPr>
        <w:t>. Del turno y admisión del recurso de revisión.</w:t>
      </w:r>
    </w:p>
    <w:p w14:paraId="2459DEBA" w14:textId="72D4E662" w:rsidR="00A970D5" w:rsidRPr="006922F5" w:rsidRDefault="1B94458F" w:rsidP="1B94458F">
      <w:pPr>
        <w:pBdr>
          <w:top w:val="nil"/>
          <w:left w:val="nil"/>
          <w:bottom w:val="nil"/>
          <w:right w:val="nil"/>
          <w:between w:val="nil"/>
        </w:pBdr>
        <w:contextualSpacing/>
        <w:rPr>
          <w:rFonts w:eastAsia="Palatino Linotype" w:cs="Palatino Linotype"/>
          <w:color w:val="000000"/>
          <w:lang w:val="es-ES"/>
        </w:rPr>
      </w:pPr>
      <w:r w:rsidRPr="1B94458F">
        <w:rPr>
          <w:rFonts w:eastAsia="Palatino Linotype" w:cs="Palatino Linotype"/>
          <w:color w:val="000000" w:themeColor="text1"/>
          <w:lang w:val="es-ES"/>
        </w:rPr>
        <w:t xml:space="preserve">Medio de impugnación que le fue turnado al </w:t>
      </w:r>
      <w:r w:rsidRPr="1B94458F">
        <w:rPr>
          <w:rFonts w:eastAsia="Palatino Linotype" w:cs="Palatino Linotype"/>
          <w:b/>
          <w:bCs/>
          <w:color w:val="000000" w:themeColor="text1"/>
          <w:lang w:val="es-ES"/>
        </w:rPr>
        <w:t xml:space="preserve">Comisionado </w:t>
      </w:r>
      <w:proofErr w:type="gramStart"/>
      <w:r w:rsidRPr="1B94458F">
        <w:rPr>
          <w:rFonts w:eastAsia="Palatino Linotype" w:cs="Palatino Linotype"/>
          <w:b/>
          <w:bCs/>
          <w:color w:val="000000" w:themeColor="text1"/>
          <w:lang w:val="es-ES"/>
        </w:rPr>
        <w:t>Presidente</w:t>
      </w:r>
      <w:proofErr w:type="gramEnd"/>
      <w:r w:rsidRPr="1B94458F">
        <w:rPr>
          <w:rFonts w:eastAsia="Palatino Linotype" w:cs="Palatino Linotype"/>
          <w:b/>
          <w:bCs/>
          <w:color w:val="000000" w:themeColor="text1"/>
          <w:lang w:val="es-ES"/>
        </w:rPr>
        <w:t xml:space="preserve"> José Martínez Vilchis</w:t>
      </w:r>
      <w:r w:rsidRPr="1B94458F">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 veinti</w:t>
      </w:r>
      <w:r w:rsidR="009129DF">
        <w:rPr>
          <w:rFonts w:eastAsia="Palatino Linotype" w:cs="Palatino Linotype"/>
          <w:color w:val="000000" w:themeColor="text1"/>
          <w:lang w:val="es-ES"/>
        </w:rPr>
        <w:t>ocho</w:t>
      </w:r>
      <w:r w:rsidRPr="1B94458F">
        <w:rPr>
          <w:rFonts w:eastAsia="Palatino Linotype" w:cs="Palatino Linotype"/>
          <w:color w:val="000000" w:themeColor="text1"/>
          <w:lang w:val="es-ES"/>
        </w:rPr>
        <w:t xml:space="preserve"> de octubre de dos mil veinticuatro, </w:t>
      </w:r>
      <w:r w:rsidRPr="1B94458F">
        <w:rPr>
          <w:rFonts w:eastAsia="Palatino Linotype" w:cs="Palatino Linotype"/>
          <w:lang w:val="es-ES"/>
        </w:rPr>
        <w:t>otorgándose</w:t>
      </w:r>
      <w:r w:rsidRPr="1B94458F">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CB8A34D" w:rsidR="00A970D5" w:rsidRPr="006922F5" w:rsidRDefault="008357DD" w:rsidP="006922F5">
      <w:pPr>
        <w:pStyle w:val="Ttulo2"/>
        <w:rPr>
          <w:rFonts w:eastAsia="Palatino Linotype"/>
        </w:rPr>
      </w:pPr>
      <w:r>
        <w:rPr>
          <w:rFonts w:eastAsia="Palatino Linotype"/>
        </w:rPr>
        <w:t>QUIN</w:t>
      </w:r>
      <w:r w:rsidR="002942EA">
        <w:rPr>
          <w:rFonts w:eastAsia="Palatino Linotype"/>
        </w:rPr>
        <w:t>TO</w:t>
      </w:r>
      <w:r w:rsidR="00A970D5" w:rsidRPr="006922F5">
        <w:rPr>
          <w:rFonts w:eastAsia="Palatino Linotype"/>
        </w:rPr>
        <w:t>. De la etapa de instrucción.</w:t>
      </w:r>
    </w:p>
    <w:p w14:paraId="54278511" w14:textId="653C9FCC" w:rsidR="002942EA" w:rsidRPr="009D62BC" w:rsidRDefault="1B94458F" w:rsidP="1B94458F">
      <w:pPr>
        <w:pBdr>
          <w:top w:val="nil"/>
          <w:left w:val="nil"/>
          <w:bottom w:val="nil"/>
          <w:right w:val="nil"/>
          <w:between w:val="nil"/>
        </w:pBdr>
        <w:contextualSpacing/>
        <w:rPr>
          <w:rFonts w:eastAsia="Palatino Linotype" w:cs="Palatino Linotype"/>
          <w:color w:val="000000"/>
        </w:rPr>
      </w:pPr>
      <w:r w:rsidRPr="1B94458F">
        <w:rPr>
          <w:rFonts w:eastAsia="Palatino Linotype" w:cs="Palatino Linotype"/>
          <w:color w:val="000000" w:themeColor="text1"/>
        </w:rPr>
        <w:t>Una vez abierta la etapa de instrucción, se observa que el Sujeto Obligado omitió rendir el Informe Justificado. Por su parte, el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68CC673C" w:rsidR="00A970D5" w:rsidRPr="006922F5" w:rsidRDefault="009B56A2" w:rsidP="006922F5">
      <w:pPr>
        <w:pStyle w:val="Ttulo2"/>
        <w:rPr>
          <w:rFonts w:eastAsia="Palatino Linotype"/>
        </w:rPr>
      </w:pPr>
      <w:r>
        <w:rPr>
          <w:rFonts w:eastAsia="Palatino Linotype"/>
        </w:rPr>
        <w:t>S</w:t>
      </w:r>
      <w:r w:rsidR="008357DD">
        <w:rPr>
          <w:rFonts w:eastAsia="Palatino Linotype"/>
        </w:rPr>
        <w:t>EXT</w:t>
      </w:r>
      <w:r w:rsidR="00AB57B1">
        <w:rPr>
          <w:rFonts w:eastAsia="Palatino Linotype"/>
        </w:rPr>
        <w:t>O</w:t>
      </w:r>
      <w:r w:rsidR="00A970D5" w:rsidRPr="006922F5">
        <w:rPr>
          <w:rFonts w:eastAsia="Palatino Linotype"/>
        </w:rPr>
        <w:t>. Del cierre de instrucción.</w:t>
      </w:r>
    </w:p>
    <w:p w14:paraId="2456F4BD" w14:textId="63A729E2"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6B372E">
        <w:rPr>
          <w:rFonts w:eastAsia="Palatino Linotype" w:cs="Palatino Linotype"/>
          <w:color w:val="000000"/>
          <w:szCs w:val="24"/>
        </w:rPr>
        <w:t>ocho</w:t>
      </w:r>
      <w:r w:rsidR="00BD2A1B">
        <w:rPr>
          <w:rFonts w:eastAsia="Palatino Linotype" w:cs="Palatino Linotype"/>
          <w:color w:val="000000"/>
          <w:szCs w:val="24"/>
        </w:rPr>
        <w:t xml:space="preserve"> de noviembre </w:t>
      </w:r>
      <w:r w:rsidR="000C2661">
        <w:rPr>
          <w:rFonts w:eastAsia="Palatino Linotype" w:cs="Palatino Linotype"/>
          <w:color w:val="000000"/>
          <w:szCs w:val="24"/>
        </w:rPr>
        <w:t>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lastRenderedPageBreak/>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5CAA12CF" w14:textId="77777777" w:rsidR="00BD78C4" w:rsidRPr="007E5F2B" w:rsidRDefault="00BD78C4" w:rsidP="00BD78C4">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lastRenderedPageBreak/>
        <w:t>TERCERO. Cuestiones de previo y especial pronunciamiento.</w:t>
      </w:r>
    </w:p>
    <w:p w14:paraId="03A07794" w14:textId="77777777" w:rsidR="00BD78C4" w:rsidRPr="007E5F2B" w:rsidRDefault="00BD78C4" w:rsidP="00BD78C4">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3E181D37" w14:textId="77777777" w:rsidR="00BD78C4" w:rsidRPr="007E5F2B" w:rsidRDefault="00BD78C4" w:rsidP="00BD78C4">
      <w:pPr>
        <w:contextualSpacing/>
        <w:rPr>
          <w:rFonts w:eastAsia="Palatino Linotype" w:cs="Palatino Linotype"/>
          <w:szCs w:val="24"/>
        </w:rPr>
      </w:pPr>
    </w:p>
    <w:p w14:paraId="3E25A684"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4571E022" w14:textId="77777777" w:rsidR="00BD78C4" w:rsidRPr="007E5F2B" w:rsidRDefault="00BD78C4" w:rsidP="00BD78C4">
      <w:pPr>
        <w:spacing w:line="240" w:lineRule="auto"/>
        <w:ind w:left="567" w:right="567"/>
        <w:contextualSpacing/>
        <w:rPr>
          <w:rFonts w:eastAsia="Palatino Linotype" w:cs="Palatino Linotype"/>
          <w:i/>
          <w:sz w:val="22"/>
        </w:rPr>
      </w:pPr>
    </w:p>
    <w:p w14:paraId="3CB04B73"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524B3F1C"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2BC10830"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2763EC4F"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3F6D687E"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634E82C9"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55FC5121"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4BC13F58"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4FA8036F" w14:textId="77777777" w:rsidR="00BD78C4" w:rsidRPr="007E5F2B" w:rsidRDefault="00BD78C4" w:rsidP="00BD78C4">
      <w:pPr>
        <w:spacing w:line="240" w:lineRule="auto"/>
        <w:ind w:left="567" w:right="567"/>
        <w:contextualSpacing/>
        <w:rPr>
          <w:rFonts w:eastAsia="Palatino Linotype" w:cs="Palatino Linotype"/>
          <w:i/>
          <w:sz w:val="22"/>
        </w:rPr>
      </w:pPr>
    </w:p>
    <w:p w14:paraId="7B98ABD0"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2B043962" w14:textId="77777777" w:rsidR="00BD78C4" w:rsidRPr="007E5F2B" w:rsidRDefault="00BD78C4" w:rsidP="00BD78C4">
      <w:pPr>
        <w:spacing w:line="240" w:lineRule="auto"/>
        <w:ind w:left="567" w:right="567"/>
        <w:contextualSpacing/>
        <w:rPr>
          <w:rFonts w:eastAsia="Palatino Linotype" w:cs="Palatino Linotype"/>
          <w:i/>
          <w:sz w:val="22"/>
        </w:rPr>
      </w:pPr>
    </w:p>
    <w:p w14:paraId="5C1A30F4"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73D4DE00" w14:textId="77777777" w:rsidR="00BD78C4" w:rsidRPr="007E5F2B" w:rsidRDefault="00BD78C4" w:rsidP="00BD78C4">
      <w:pPr>
        <w:spacing w:line="240" w:lineRule="auto"/>
        <w:ind w:left="567" w:right="567"/>
        <w:contextualSpacing/>
        <w:rPr>
          <w:rFonts w:eastAsia="Palatino Linotype" w:cs="Palatino Linotype"/>
          <w:i/>
          <w:sz w:val="22"/>
        </w:rPr>
      </w:pPr>
    </w:p>
    <w:p w14:paraId="48558C47"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14F35763" w14:textId="77777777" w:rsidR="00BD78C4" w:rsidRPr="007E5F2B" w:rsidRDefault="00BD78C4" w:rsidP="00BD78C4">
      <w:pPr>
        <w:contextualSpacing/>
        <w:rPr>
          <w:rFonts w:eastAsia="Palatino Linotype" w:cs="Palatino Linotype"/>
          <w:b/>
          <w:i/>
          <w:szCs w:val="24"/>
        </w:rPr>
      </w:pPr>
    </w:p>
    <w:p w14:paraId="566C3167" w14:textId="77777777" w:rsidR="00BD78C4" w:rsidRPr="007E5F2B" w:rsidRDefault="00BD78C4" w:rsidP="00BD78C4">
      <w:pPr>
        <w:contextualSpacing/>
        <w:rPr>
          <w:rFonts w:eastAsia="Palatino Linotype" w:cs="Palatino Linotype"/>
          <w:szCs w:val="24"/>
        </w:rPr>
      </w:pPr>
      <w:r w:rsidRPr="007E5F2B">
        <w:rPr>
          <w:rFonts w:eastAsia="Palatino Linotype" w:cs="Palatino Linotype"/>
          <w:szCs w:val="24"/>
        </w:rPr>
        <w:t xml:space="preserve">Cabe señalar que </w:t>
      </w:r>
      <w:r>
        <w:rPr>
          <w:rFonts w:eastAsia="Palatino Linotype" w:cs="Palatino Linotype"/>
          <w:szCs w:val="24"/>
        </w:rPr>
        <w:t>la parte</w:t>
      </w:r>
      <w:r w:rsidRPr="007E5F2B">
        <w:rPr>
          <w:rFonts w:eastAsia="Palatino Linotype" w:cs="Palatino Linotype"/>
          <w:szCs w:val="24"/>
        </w:rPr>
        <w:t xml:space="preserve"> Recurrente </w:t>
      </w:r>
      <w:r>
        <w:rPr>
          <w:rFonts w:eastAsia="Palatino Linotype" w:cs="Palatino Linotype"/>
          <w:szCs w:val="24"/>
        </w:rPr>
        <w:t>no proporcionó nombre o seudónimo</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 xml:space="preserve">no obstante, proporcionar el nombre incompleto, seudónimo o, como en el presente caso, realizar la solicitud de manera anónima, no es motivo para desechar las solicitudes de acceso a la información pública conforme a lo previsto en el artículo 155, penúltimo párrafo de la </w:t>
      </w:r>
      <w:r w:rsidRPr="007E5F2B">
        <w:rPr>
          <w:rFonts w:eastAsia="Palatino Linotype" w:cs="Palatino Linotype"/>
          <w:szCs w:val="24"/>
        </w:rPr>
        <w:lastRenderedPageBreak/>
        <w:t>Ley de Transparencia y Acceso a la Información Pública del Estado de México y Municipios que señala lo siguiente:</w:t>
      </w:r>
    </w:p>
    <w:p w14:paraId="0FB01E5A" w14:textId="77777777" w:rsidR="00BD78C4" w:rsidRPr="007E5F2B" w:rsidRDefault="00BD78C4" w:rsidP="00BD78C4">
      <w:pPr>
        <w:contextualSpacing/>
        <w:rPr>
          <w:rFonts w:eastAsia="Palatino Linotype" w:cs="Palatino Linotype"/>
          <w:szCs w:val="24"/>
        </w:rPr>
      </w:pPr>
    </w:p>
    <w:p w14:paraId="728925AE"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12776CE4" w14:textId="77777777" w:rsidR="00BD78C4" w:rsidRPr="007E5F2B" w:rsidRDefault="00BD78C4" w:rsidP="00BD78C4">
      <w:pPr>
        <w:spacing w:line="240" w:lineRule="auto"/>
        <w:ind w:left="567" w:right="567"/>
        <w:contextualSpacing/>
        <w:rPr>
          <w:rFonts w:eastAsia="Palatino Linotype" w:cs="Palatino Linotype"/>
          <w:i/>
          <w:sz w:val="22"/>
        </w:rPr>
      </w:pPr>
    </w:p>
    <w:p w14:paraId="0A9910DE"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2D28C44E" w14:textId="77777777" w:rsidR="00BD78C4" w:rsidRPr="007E5F2B" w:rsidRDefault="00BD78C4" w:rsidP="00BD78C4">
      <w:pPr>
        <w:contextualSpacing/>
        <w:rPr>
          <w:rFonts w:eastAsia="Palatino Linotype" w:cs="Palatino Linotype"/>
          <w:szCs w:val="24"/>
        </w:rPr>
      </w:pPr>
    </w:p>
    <w:p w14:paraId="0FFFABE5" w14:textId="77777777" w:rsidR="00BD78C4" w:rsidRPr="007E5F2B" w:rsidRDefault="00BD78C4" w:rsidP="00BD78C4">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5E723593" w14:textId="77777777" w:rsidR="00BD78C4" w:rsidRPr="007E5F2B" w:rsidRDefault="00BD78C4" w:rsidP="00BD78C4">
      <w:pPr>
        <w:contextualSpacing/>
        <w:rPr>
          <w:rFonts w:eastAsia="Palatino Linotype" w:cs="Palatino Linotype"/>
          <w:szCs w:val="24"/>
        </w:rPr>
      </w:pPr>
    </w:p>
    <w:p w14:paraId="5E7E29E2" w14:textId="77777777" w:rsidR="00BD78C4" w:rsidRPr="007E5F2B" w:rsidRDefault="00BD78C4" w:rsidP="00BD78C4">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2919A901"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proofErr w:type="gramStart"/>
      <w:r w:rsidRPr="007E5F2B">
        <w:rPr>
          <w:rFonts w:eastAsia="Palatino Linotype" w:cs="Palatino Linotype"/>
          <w:i/>
          <w:iCs/>
          <w:sz w:val="22"/>
          <w:lang w:val="es-ES"/>
        </w:rPr>
        <w:t>°.-</w:t>
      </w:r>
      <w:proofErr w:type="gramEnd"/>
      <w:r w:rsidRPr="007E5F2B">
        <w:rPr>
          <w:rFonts w:eastAsia="Palatino Linotype" w:cs="Palatino Linotype"/>
          <w:i/>
          <w:iCs/>
          <w:sz w:val="22"/>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8756666"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AE64B7F"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5FEB04F3" w14:textId="77777777" w:rsidR="00BD78C4" w:rsidRPr="007E5F2B" w:rsidRDefault="00BD78C4" w:rsidP="00BD78C4">
      <w:pPr>
        <w:spacing w:line="240" w:lineRule="auto"/>
        <w:ind w:left="567" w:right="567"/>
        <w:contextualSpacing/>
        <w:rPr>
          <w:rFonts w:eastAsia="Palatino Linotype" w:cs="Palatino Linotype"/>
          <w:i/>
          <w:sz w:val="22"/>
        </w:rPr>
      </w:pPr>
    </w:p>
    <w:p w14:paraId="5629D8DC"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1E71500F"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7C1904A5"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66D42CCB"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74C75583" w14:textId="77777777" w:rsidR="00BD78C4" w:rsidRPr="007E5F2B" w:rsidRDefault="00BD78C4" w:rsidP="00BD78C4">
      <w:pPr>
        <w:spacing w:line="240" w:lineRule="auto"/>
        <w:ind w:left="567" w:right="567"/>
        <w:contextualSpacing/>
        <w:rPr>
          <w:rFonts w:eastAsia="Palatino Linotype" w:cs="Palatino Linotype"/>
          <w:i/>
          <w:sz w:val="22"/>
        </w:rPr>
      </w:pPr>
    </w:p>
    <w:p w14:paraId="1E2886C4" w14:textId="77777777" w:rsidR="00BD78C4" w:rsidRPr="007E5F2B" w:rsidRDefault="00BD78C4" w:rsidP="00BD78C4">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lastRenderedPageBreak/>
        <w:t>Constitución Política del Estado Libre y Soberano de México</w:t>
      </w:r>
    </w:p>
    <w:p w14:paraId="13C6D091"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D3C0977"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343FC51"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323359FC"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770FF8FA"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3ACF8642" w14:textId="77777777" w:rsidR="00BD78C4" w:rsidRPr="007E5F2B" w:rsidRDefault="00BD78C4" w:rsidP="00BD78C4">
      <w:pPr>
        <w:spacing w:line="240" w:lineRule="auto"/>
        <w:ind w:left="567" w:right="567"/>
        <w:contextualSpacing/>
        <w:rPr>
          <w:rFonts w:eastAsia="Palatino Linotype" w:cs="Palatino Linotype"/>
          <w:i/>
          <w:sz w:val="22"/>
        </w:rPr>
      </w:pPr>
    </w:p>
    <w:p w14:paraId="465E59FC"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CAEE161" w14:textId="77777777" w:rsidR="00BD78C4" w:rsidRPr="007E5F2B" w:rsidRDefault="00BD78C4" w:rsidP="00BD78C4">
      <w:pPr>
        <w:spacing w:line="240" w:lineRule="auto"/>
        <w:ind w:left="567" w:right="567"/>
        <w:contextualSpacing/>
        <w:rPr>
          <w:rFonts w:eastAsia="Palatino Linotype" w:cs="Palatino Linotype"/>
          <w:i/>
          <w:sz w:val="22"/>
        </w:rPr>
      </w:pPr>
    </w:p>
    <w:p w14:paraId="4C090EFE"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12910E6D"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61E33181"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3EF0DC2"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4EFBAE5"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BE1C0DA"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EB046FB"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B9FF894" w14:textId="77777777" w:rsidR="00BD78C4" w:rsidRPr="007E5F2B" w:rsidRDefault="00BD78C4" w:rsidP="00BD78C4">
      <w:pPr>
        <w:ind w:left="567" w:right="567"/>
        <w:contextualSpacing/>
        <w:rPr>
          <w:rFonts w:eastAsia="Palatino Linotype" w:cs="Palatino Linotype"/>
          <w:szCs w:val="24"/>
        </w:rPr>
      </w:pPr>
    </w:p>
    <w:p w14:paraId="53102719" w14:textId="77777777" w:rsidR="00BD78C4" w:rsidRPr="007E5F2B" w:rsidRDefault="00BD78C4" w:rsidP="00BD78C4">
      <w:pPr>
        <w:ind w:right="49"/>
        <w:contextualSpacing/>
        <w:rPr>
          <w:rFonts w:eastAsia="Palatino Linotype" w:cs="Palatino Linotype"/>
          <w:szCs w:val="24"/>
        </w:rPr>
      </w:pPr>
      <w:r w:rsidRPr="007E5F2B">
        <w:rPr>
          <w:rFonts w:eastAsia="Palatino Linotype" w:cs="Palatino Linotype"/>
          <w:szCs w:val="24"/>
        </w:rPr>
        <w:lastRenderedPageBreak/>
        <w:t>Por otra parte, del contenido del artículo 1 de la Constitución Política de los Estados Unidos Mexicanos, se destaca lo siguiente:</w:t>
      </w:r>
    </w:p>
    <w:p w14:paraId="2DB8C20D" w14:textId="77777777" w:rsidR="00BD78C4" w:rsidRPr="007E5F2B" w:rsidRDefault="00BD78C4" w:rsidP="00BD78C4">
      <w:pPr>
        <w:ind w:right="49"/>
        <w:contextualSpacing/>
        <w:rPr>
          <w:rFonts w:eastAsia="Palatino Linotype" w:cs="Palatino Linotype"/>
          <w:szCs w:val="24"/>
        </w:rPr>
      </w:pPr>
    </w:p>
    <w:p w14:paraId="23F929A4"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8BF45E8" w14:textId="77777777" w:rsidR="00BD78C4" w:rsidRPr="007E5F2B" w:rsidRDefault="00BD78C4" w:rsidP="00BD78C4">
      <w:pPr>
        <w:spacing w:line="240" w:lineRule="auto"/>
        <w:ind w:left="567" w:right="567"/>
        <w:contextualSpacing/>
        <w:rPr>
          <w:rFonts w:eastAsia="Palatino Linotype" w:cs="Palatino Linotype"/>
          <w:i/>
          <w:sz w:val="22"/>
        </w:rPr>
      </w:pPr>
    </w:p>
    <w:p w14:paraId="4CE99A24"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38CB2E25" w14:textId="77777777" w:rsidR="00BD78C4" w:rsidRPr="007E5F2B" w:rsidRDefault="00BD78C4" w:rsidP="00BD78C4">
      <w:pPr>
        <w:spacing w:line="240" w:lineRule="auto"/>
        <w:ind w:left="567" w:right="567"/>
        <w:contextualSpacing/>
        <w:rPr>
          <w:rFonts w:eastAsia="Palatino Linotype" w:cs="Palatino Linotype"/>
          <w:i/>
          <w:sz w:val="22"/>
        </w:rPr>
      </w:pPr>
    </w:p>
    <w:p w14:paraId="65B61DD3"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6A3266F" w14:textId="77777777" w:rsidR="00BD78C4" w:rsidRPr="007E5F2B" w:rsidRDefault="00BD78C4" w:rsidP="00BD78C4"/>
    <w:p w14:paraId="0C0630B1" w14:textId="77777777" w:rsidR="00BD78C4" w:rsidRPr="007E5F2B" w:rsidRDefault="00BD78C4" w:rsidP="00BD78C4">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486AAE6" w14:textId="77777777" w:rsidR="00BD78C4" w:rsidRPr="007E5F2B" w:rsidRDefault="00BD78C4" w:rsidP="00BD78C4">
      <w:pPr>
        <w:rPr>
          <w:rFonts w:eastAsia="Palatino Linotype" w:cs="Palatino Linotype"/>
          <w:szCs w:val="24"/>
        </w:rPr>
      </w:pPr>
    </w:p>
    <w:p w14:paraId="1D572707" w14:textId="77777777" w:rsidR="00BD78C4" w:rsidRPr="007E5F2B" w:rsidRDefault="00BD78C4" w:rsidP="00BD78C4">
      <w:pPr>
        <w:rPr>
          <w:rFonts w:eastAsia="Palatino Linotype" w:cs="Palatino Linotype"/>
          <w:color w:val="000000"/>
          <w:szCs w:val="24"/>
        </w:rPr>
      </w:pPr>
      <w:r w:rsidRPr="007E5F2B">
        <w:rPr>
          <w:rFonts w:eastAsia="Palatino Linotype" w:cs="Palatino Linotype"/>
          <w:color w:val="000000"/>
          <w:szCs w:val="24"/>
        </w:rPr>
        <w:t>En conclusión, se cubrieron los requisitos de procedencia y procedibilidad y conforme a las constancias que obran en el expediente.</w:t>
      </w:r>
    </w:p>
    <w:p w14:paraId="7B17D743" w14:textId="77777777" w:rsidR="00BD78C4" w:rsidRDefault="00BD78C4" w:rsidP="006922F5"/>
    <w:p w14:paraId="7E828C31" w14:textId="7A28343F" w:rsidR="00454915" w:rsidRPr="006922F5" w:rsidRDefault="008357DD" w:rsidP="00454915">
      <w:pPr>
        <w:pStyle w:val="Ttulo2"/>
        <w:rPr>
          <w:rFonts w:eastAsia="Palatino Linotype"/>
        </w:rPr>
      </w:pPr>
      <w:r>
        <w:rPr>
          <w:rFonts w:eastAsia="Palatino Linotype"/>
        </w:rPr>
        <w:lastRenderedPageBreak/>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w:t>
      </w:r>
      <w:r w:rsidRPr="44E9108F">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24A7231F" w:rsidR="00454915" w:rsidRPr="006922F5" w:rsidRDefault="008357DD" w:rsidP="00454915">
      <w:pPr>
        <w:pStyle w:val="Ttulo2"/>
        <w:rPr>
          <w:rFonts w:eastAsia="Palatino Linotype"/>
        </w:rPr>
      </w:pPr>
      <w:r>
        <w:rPr>
          <w:rFonts w:eastAsia="Palatino Linotype"/>
        </w:rPr>
        <w:t>QUIN</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216E59E" w14:textId="5995ADE5" w:rsidR="00814760" w:rsidRDefault="004A3367" w:rsidP="006B372E">
      <w:pPr>
        <w:rPr>
          <w:rFonts w:eastAsiaTheme="minorHAnsi" w:cstheme="minorBidi"/>
          <w:szCs w:val="24"/>
          <w:lang w:eastAsia="en-US"/>
        </w:rPr>
      </w:pPr>
      <w:r w:rsidRPr="00D42552">
        <w:rPr>
          <w:rFonts w:eastAsiaTheme="minorHAnsi" w:cstheme="minorBidi"/>
          <w:szCs w:val="24"/>
          <w:lang w:eastAsia="en-US"/>
        </w:rPr>
        <w:lastRenderedPageBreak/>
        <w:t xml:space="preserve">En virtud de lo anterior, es conveniente recordar que </w:t>
      </w:r>
      <w:r w:rsidR="00745087">
        <w:rPr>
          <w:rFonts w:eastAsiaTheme="minorHAnsi" w:cstheme="minorBidi"/>
          <w:szCs w:val="24"/>
          <w:lang w:eastAsia="en-US"/>
        </w:rPr>
        <w:t>el</w:t>
      </w:r>
      <w:r>
        <w:rPr>
          <w:rFonts w:eastAsiaTheme="minorHAnsi" w:cstheme="minorBidi"/>
          <w:szCs w:val="24"/>
          <w:lang w:eastAsia="en-US"/>
        </w:rPr>
        <w:t xml:space="preserve"> Recurrente</w:t>
      </w:r>
      <w:r w:rsidRPr="00D42552">
        <w:rPr>
          <w:rFonts w:eastAsiaTheme="minorHAnsi" w:cstheme="minorBidi"/>
          <w:szCs w:val="24"/>
          <w:lang w:eastAsia="en-US"/>
        </w:rPr>
        <w:t xml:space="preserve"> requirió </w:t>
      </w:r>
      <w:r w:rsidR="004E7898">
        <w:rPr>
          <w:rFonts w:eastAsiaTheme="minorHAnsi" w:cstheme="minorBidi"/>
          <w:szCs w:val="24"/>
          <w:lang w:eastAsia="en-US"/>
        </w:rPr>
        <w:t>que</w:t>
      </w:r>
      <w:r w:rsidR="00651EDD">
        <w:rPr>
          <w:rFonts w:eastAsiaTheme="minorHAnsi" w:cstheme="minorBidi"/>
          <w:szCs w:val="24"/>
          <w:lang w:eastAsia="en-US"/>
        </w:rPr>
        <w:t xml:space="preserve"> se le </w:t>
      </w:r>
      <w:r w:rsidR="00673D6E">
        <w:rPr>
          <w:rFonts w:eastAsiaTheme="minorHAnsi" w:cstheme="minorBidi"/>
          <w:szCs w:val="24"/>
          <w:lang w:eastAsia="en-US"/>
        </w:rPr>
        <w:t>proporcionara lo siguiente</w:t>
      </w:r>
      <w:r w:rsidR="00FB1C30">
        <w:rPr>
          <w:rFonts w:eastAsiaTheme="minorHAnsi" w:cstheme="minorBidi"/>
          <w:szCs w:val="24"/>
          <w:lang w:eastAsia="en-US"/>
        </w:rPr>
        <w:t>, correspondiente al periodo del primero de enero de dos mil veintidós al veinticinco de septiembre de dos mil veinticuatro</w:t>
      </w:r>
      <w:r w:rsidR="003141DF">
        <w:rPr>
          <w:rFonts w:eastAsiaTheme="minorHAnsi" w:cstheme="minorBidi"/>
          <w:szCs w:val="24"/>
          <w:lang w:eastAsia="en-US"/>
        </w:rPr>
        <w:t xml:space="preserve">, desglosada </w:t>
      </w:r>
      <w:r w:rsidR="001C4D99">
        <w:rPr>
          <w:rFonts w:eastAsiaTheme="minorHAnsi" w:cstheme="minorBidi"/>
          <w:szCs w:val="24"/>
          <w:lang w:eastAsia="en-US"/>
        </w:rPr>
        <w:t>mensualmente</w:t>
      </w:r>
      <w:r w:rsidR="006B372E">
        <w:rPr>
          <w:rFonts w:eastAsiaTheme="minorHAnsi" w:cstheme="minorBidi"/>
          <w:szCs w:val="24"/>
          <w:lang w:eastAsia="en-US"/>
        </w:rPr>
        <w:t>:</w:t>
      </w:r>
    </w:p>
    <w:p w14:paraId="4DFEB5CC" w14:textId="77777777" w:rsidR="00B32F64" w:rsidRDefault="00B32F64" w:rsidP="006B372E">
      <w:pPr>
        <w:rPr>
          <w:rFonts w:eastAsiaTheme="minorHAnsi" w:cstheme="minorBidi"/>
          <w:szCs w:val="24"/>
          <w:lang w:eastAsia="en-US"/>
        </w:rPr>
      </w:pPr>
    </w:p>
    <w:p w14:paraId="40C688D1" w14:textId="725CFA00" w:rsidR="00B32F64" w:rsidRPr="001C4D99" w:rsidRDefault="00B32F64" w:rsidP="00105685">
      <w:pPr>
        <w:pStyle w:val="Prrafodelista"/>
        <w:numPr>
          <w:ilvl w:val="0"/>
          <w:numId w:val="48"/>
        </w:numPr>
        <w:rPr>
          <w:rFonts w:eastAsiaTheme="minorHAnsi" w:cstheme="minorBidi"/>
          <w:lang w:eastAsia="en-US"/>
        </w:rPr>
      </w:pPr>
      <w:r w:rsidRPr="001C4D99">
        <w:rPr>
          <w:rFonts w:eastAsiaTheme="minorHAnsi" w:cstheme="minorBidi"/>
          <w:lang w:eastAsia="en-US"/>
        </w:rPr>
        <w:t xml:space="preserve">Monto mensual </w:t>
      </w:r>
      <w:r w:rsidR="00FB1C30" w:rsidRPr="001C4D99">
        <w:rPr>
          <w:rFonts w:eastAsiaTheme="minorHAnsi" w:cstheme="minorBidi"/>
          <w:lang w:eastAsia="en-US"/>
        </w:rPr>
        <w:t>del gasto por concepto de rentas de sillas, mesas, lonas</w:t>
      </w:r>
      <w:r w:rsidR="003141DF" w:rsidRPr="001C4D99">
        <w:rPr>
          <w:rFonts w:eastAsiaTheme="minorHAnsi" w:cstheme="minorBidi"/>
          <w:lang w:eastAsia="en-US"/>
        </w:rPr>
        <w:t xml:space="preserve"> y carpas.</w:t>
      </w:r>
    </w:p>
    <w:p w14:paraId="50493EB1" w14:textId="61ECCDD8" w:rsidR="003141DF" w:rsidRPr="001C4D99" w:rsidRDefault="003141DF" w:rsidP="00105685">
      <w:pPr>
        <w:pStyle w:val="Prrafodelista"/>
        <w:numPr>
          <w:ilvl w:val="0"/>
          <w:numId w:val="48"/>
        </w:numPr>
        <w:rPr>
          <w:rFonts w:eastAsiaTheme="minorHAnsi" w:cstheme="minorBidi"/>
          <w:lang w:eastAsia="en-US"/>
        </w:rPr>
      </w:pPr>
      <w:r w:rsidRPr="001C4D99">
        <w:rPr>
          <w:rFonts w:eastAsiaTheme="minorHAnsi" w:cstheme="minorBidi"/>
          <w:lang w:eastAsia="en-US"/>
        </w:rPr>
        <w:t>Nombre de los proveedores.</w:t>
      </w:r>
    </w:p>
    <w:p w14:paraId="68BEB6D2" w14:textId="14CAB975" w:rsidR="001C4D99" w:rsidRPr="001C4D99" w:rsidRDefault="001C4D99" w:rsidP="00105685">
      <w:pPr>
        <w:pStyle w:val="Prrafodelista"/>
        <w:numPr>
          <w:ilvl w:val="0"/>
          <w:numId w:val="48"/>
        </w:numPr>
        <w:rPr>
          <w:rFonts w:eastAsiaTheme="minorHAnsi" w:cstheme="minorBidi"/>
          <w:lang w:eastAsia="en-US"/>
        </w:rPr>
      </w:pPr>
      <w:r w:rsidRPr="001C4D99">
        <w:rPr>
          <w:rFonts w:eastAsiaTheme="minorHAnsi" w:cstheme="minorBidi"/>
          <w:lang w:eastAsia="en-US"/>
        </w:rPr>
        <w:t>Las pólizas de egresos generadas por dichos conceptos.</w:t>
      </w:r>
    </w:p>
    <w:p w14:paraId="2CF85CE5" w14:textId="77777777" w:rsidR="00BE4ADD" w:rsidRDefault="00BE4ADD" w:rsidP="00B62DEC">
      <w:pPr>
        <w:pBdr>
          <w:top w:val="nil"/>
          <w:left w:val="nil"/>
          <w:bottom w:val="nil"/>
          <w:right w:val="nil"/>
          <w:between w:val="nil"/>
        </w:pBdr>
        <w:contextualSpacing/>
        <w:rPr>
          <w:rFonts w:eastAsia="Palatino Linotype" w:cs="Palatino Linotype"/>
          <w:color w:val="000000"/>
          <w:szCs w:val="24"/>
        </w:rPr>
      </w:pPr>
    </w:p>
    <w:p w14:paraId="494F2E41" w14:textId="2AC8C991"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795D6C">
        <w:rPr>
          <w:rFonts w:eastAsia="Palatino Linotype" w:cs="Palatino Linotype"/>
          <w:color w:val="000000"/>
          <w:szCs w:val="24"/>
        </w:rPr>
        <w:t xml:space="preserve"> </w:t>
      </w:r>
      <w:r w:rsidR="00E25725">
        <w:rPr>
          <w:rFonts w:eastAsia="Palatino Linotype" w:cs="Palatino Linotype"/>
          <w:color w:val="000000"/>
          <w:szCs w:val="24"/>
        </w:rPr>
        <w:t>l</w:t>
      </w:r>
      <w:r w:rsidR="00795D6C">
        <w:rPr>
          <w:rFonts w:eastAsia="Palatino Linotype" w:cs="Palatino Linotype"/>
          <w:color w:val="000000"/>
          <w:szCs w:val="24"/>
        </w:rPr>
        <w:t>os</w:t>
      </w:r>
      <w:r w:rsidR="001F2F39">
        <w:rPr>
          <w:rFonts w:eastAsia="Palatino Linotype" w:cs="Palatino Linotype"/>
          <w:color w:val="000000"/>
          <w:szCs w:val="24"/>
        </w:rPr>
        <w:t xml:space="preserve"> siguiente</w:t>
      </w:r>
      <w:r w:rsidR="00795D6C">
        <w:rPr>
          <w:rFonts w:eastAsia="Palatino Linotype" w:cs="Palatino Linotype"/>
          <w:color w:val="000000"/>
          <w:szCs w:val="24"/>
        </w:rPr>
        <w:t>s</w:t>
      </w:r>
      <w:r w:rsidR="001F2F39">
        <w:rPr>
          <w:rFonts w:eastAsia="Palatino Linotype" w:cs="Palatino Linotype"/>
          <w:color w:val="000000"/>
          <w:szCs w:val="24"/>
        </w:rPr>
        <w:t xml:space="preserve"> documento</w:t>
      </w:r>
      <w:r w:rsidR="00795D6C">
        <w:rPr>
          <w:rFonts w:eastAsia="Palatino Linotype" w:cs="Palatino Linotype"/>
          <w:color w:val="000000"/>
          <w:szCs w:val="24"/>
        </w:rPr>
        <w:t>s</w:t>
      </w:r>
      <w:r w:rsidR="00E43CD1">
        <w:rPr>
          <w:rFonts w:eastAsia="Palatino Linotype" w:cs="Palatino Linotype"/>
          <w:color w:val="000000"/>
          <w:szCs w:val="24"/>
        </w:rPr>
        <w:t>:</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61D7C787" w14:textId="49F79F8D" w:rsidR="00E25725" w:rsidRDefault="00795D6C" w:rsidP="00105685">
      <w:pPr>
        <w:pStyle w:val="Prrafodelista"/>
        <w:numPr>
          <w:ilvl w:val="0"/>
          <w:numId w:val="27"/>
        </w:numPr>
        <w:rPr>
          <w:rFonts w:eastAsia="Palatino Linotype" w:cs="Palatino Linotype"/>
          <w:color w:val="000000" w:themeColor="text1"/>
        </w:rPr>
      </w:pPr>
      <w:r w:rsidRPr="00795D6C">
        <w:rPr>
          <w:rFonts w:eastAsia="Palatino Linotype" w:cs="Palatino Linotype"/>
          <w:b/>
          <w:bCs/>
          <w:color w:val="000000" w:themeColor="text1"/>
        </w:rPr>
        <w:t>SOL_00308.pdf</w:t>
      </w:r>
      <w:r w:rsidR="00D86103">
        <w:rPr>
          <w:rFonts w:eastAsia="Palatino Linotype" w:cs="Palatino Linotype"/>
          <w:bCs/>
          <w:color w:val="000000"/>
          <w:lang w:val="es-ES_tradnl"/>
        </w:rPr>
        <w:t>.</w:t>
      </w:r>
      <w:r w:rsidR="00BE4ADD">
        <w:rPr>
          <w:rFonts w:eastAsia="Palatino Linotype" w:cs="Palatino Linotype"/>
          <w:bCs/>
          <w:color w:val="000000"/>
          <w:lang w:val="es-ES_tradnl"/>
        </w:rPr>
        <w:t xml:space="preserve"> </w:t>
      </w:r>
      <w:r w:rsidR="00814760">
        <w:rPr>
          <w:rFonts w:eastAsia="Palatino Linotype" w:cs="Palatino Linotype"/>
          <w:bCs/>
          <w:color w:val="000000"/>
          <w:lang w:val="es-ES_tradnl"/>
        </w:rPr>
        <w:t>Oficio número</w:t>
      </w:r>
      <w:r w:rsidR="004322A0">
        <w:rPr>
          <w:rFonts w:eastAsia="Palatino Linotype" w:cs="Palatino Linotype"/>
          <w:color w:val="000000" w:themeColor="text1"/>
        </w:rPr>
        <w:t xml:space="preserve"> MT/TESORERIAMPAL/OI/4</w:t>
      </w:r>
      <w:r w:rsidR="00514994">
        <w:rPr>
          <w:rFonts w:eastAsia="Palatino Linotype" w:cs="Palatino Linotype"/>
          <w:color w:val="000000" w:themeColor="text1"/>
        </w:rPr>
        <w:t>1</w:t>
      </w:r>
      <w:r w:rsidR="004322A0">
        <w:rPr>
          <w:rFonts w:eastAsia="Palatino Linotype" w:cs="Palatino Linotype"/>
          <w:color w:val="000000" w:themeColor="text1"/>
        </w:rPr>
        <w:t>0/2024</w:t>
      </w:r>
      <w:r w:rsidR="00B41A83">
        <w:rPr>
          <w:rFonts w:eastAsia="Palatino Linotype" w:cs="Palatino Linotype"/>
          <w:color w:val="000000" w:themeColor="text1"/>
        </w:rPr>
        <w:t xml:space="preserve"> suscrito por la Tesorera Municipal, mediante el cual se informó que la información puede consultarse en la liga </w:t>
      </w:r>
      <w:bookmarkStart w:id="0" w:name="OLE_LINK2"/>
      <w:r w:rsidR="00B41A83">
        <w:rPr>
          <w:rFonts w:eastAsia="Palatino Linotype" w:cs="Palatino Linotype"/>
          <w:color w:val="000000" w:themeColor="text1"/>
        </w:rPr>
        <w:fldChar w:fldCharType="begin"/>
      </w:r>
      <w:r w:rsidR="00B41A83">
        <w:rPr>
          <w:rFonts w:eastAsia="Palatino Linotype" w:cs="Palatino Linotype"/>
          <w:color w:val="000000" w:themeColor="text1"/>
        </w:rPr>
        <w:instrText>HYPERLINK "https://temamatla-digital.com/conac2024.php"</w:instrText>
      </w:r>
      <w:r w:rsidR="00B41A83">
        <w:rPr>
          <w:rFonts w:eastAsia="Palatino Linotype" w:cs="Palatino Linotype"/>
          <w:color w:val="000000" w:themeColor="text1"/>
        </w:rPr>
      </w:r>
      <w:r w:rsidR="00B41A83">
        <w:rPr>
          <w:rFonts w:eastAsia="Palatino Linotype" w:cs="Palatino Linotype"/>
          <w:color w:val="000000" w:themeColor="text1"/>
        </w:rPr>
        <w:fldChar w:fldCharType="separate"/>
      </w:r>
      <w:r w:rsidR="00B41A83" w:rsidRPr="00056EC5">
        <w:rPr>
          <w:rStyle w:val="Hipervnculo"/>
          <w:rFonts w:eastAsia="Palatino Linotype" w:cs="Palatino Linotype"/>
        </w:rPr>
        <w:t>https://temamatla-digital.com/conac2024.php</w:t>
      </w:r>
      <w:r w:rsidR="00B41A83">
        <w:rPr>
          <w:rFonts w:eastAsia="Palatino Linotype" w:cs="Palatino Linotype"/>
          <w:color w:val="000000" w:themeColor="text1"/>
        </w:rPr>
        <w:fldChar w:fldCharType="end"/>
      </w:r>
      <w:bookmarkEnd w:id="0"/>
      <w:r w:rsidR="008543D6">
        <w:rPr>
          <w:rFonts w:eastAsia="Palatino Linotype" w:cs="Palatino Linotype"/>
          <w:color w:val="000000" w:themeColor="text1"/>
        </w:rPr>
        <w:t>.</w:t>
      </w:r>
    </w:p>
    <w:p w14:paraId="5EDF263C" w14:textId="449FFE67" w:rsidR="00795D6C" w:rsidRDefault="00795D6C" w:rsidP="00105685">
      <w:pPr>
        <w:pStyle w:val="Prrafodelista"/>
        <w:numPr>
          <w:ilvl w:val="0"/>
          <w:numId w:val="27"/>
        </w:numPr>
        <w:rPr>
          <w:rFonts w:eastAsia="Palatino Linotype" w:cs="Palatino Linotype"/>
          <w:color w:val="000000" w:themeColor="text1"/>
        </w:rPr>
      </w:pPr>
      <w:r>
        <w:rPr>
          <w:rFonts w:eastAsia="Palatino Linotype" w:cs="Palatino Linotype"/>
          <w:b/>
          <w:bCs/>
          <w:color w:val="000000" w:themeColor="text1"/>
        </w:rPr>
        <w:t>ACTA</w:t>
      </w:r>
      <w:r w:rsidRPr="70652167">
        <w:rPr>
          <w:rFonts w:eastAsia="Palatino Linotype" w:cs="Palatino Linotype"/>
          <w:b/>
          <w:bCs/>
          <w:color w:val="000000" w:themeColor="text1"/>
        </w:rPr>
        <w:t>.pdf</w:t>
      </w:r>
      <w:r>
        <w:rPr>
          <w:rFonts w:eastAsia="Palatino Linotype" w:cs="Palatino Linotype"/>
          <w:color w:val="000000" w:themeColor="text1"/>
        </w:rPr>
        <w:t xml:space="preserve">. </w:t>
      </w:r>
      <w:r w:rsidR="00502812">
        <w:rPr>
          <w:rFonts w:eastAsia="Palatino Linotype" w:cs="Palatino Linotype"/>
          <w:color w:val="000000" w:themeColor="text1"/>
        </w:rPr>
        <w:t>Acta de la Octogésima Tercera Sesión Ordinaria del Comité de Transparencia en la que</w:t>
      </w:r>
      <w:r w:rsidR="00533902">
        <w:rPr>
          <w:rFonts w:eastAsia="Palatino Linotype" w:cs="Palatino Linotype"/>
          <w:color w:val="000000" w:themeColor="text1"/>
        </w:rPr>
        <w:t xml:space="preserve"> se </w:t>
      </w:r>
      <w:r w:rsidR="00D35A8D">
        <w:rPr>
          <w:rFonts w:eastAsia="Palatino Linotype" w:cs="Palatino Linotype"/>
          <w:color w:val="000000" w:themeColor="text1"/>
        </w:rPr>
        <w:t>aprobó el cambio de modalidad de entrega de las respuestas a diversas solicitudes</w:t>
      </w:r>
      <w:r w:rsidR="00533902">
        <w:rPr>
          <w:rFonts w:eastAsia="Palatino Linotype" w:cs="Palatino Linotype"/>
          <w:color w:val="000000" w:themeColor="text1"/>
        </w:rPr>
        <w:t>, entre ellas la que es materia</w:t>
      </w:r>
      <w:r w:rsidR="00596817">
        <w:rPr>
          <w:rFonts w:eastAsia="Palatino Linotype" w:cs="Palatino Linotype"/>
          <w:color w:val="000000" w:themeColor="text1"/>
        </w:rPr>
        <w:t xml:space="preserve"> del presente recurso de revisión, para su consulta directa </w:t>
      </w:r>
      <w:r w:rsidR="00423A07">
        <w:rPr>
          <w:rFonts w:eastAsia="Palatino Linotype" w:cs="Palatino Linotype"/>
          <w:color w:val="000000" w:themeColor="text1"/>
        </w:rPr>
        <w:t>como se observa a continuación:</w:t>
      </w:r>
    </w:p>
    <w:p w14:paraId="0302EE96" w14:textId="67F6638E" w:rsidR="00423A07" w:rsidRPr="004E2DF5" w:rsidRDefault="000F0DE1" w:rsidP="00423A07">
      <w:pPr>
        <w:pStyle w:val="Prrafodelista"/>
        <w:rPr>
          <w:rFonts w:eastAsia="Palatino Linotype" w:cs="Palatino Linotype"/>
          <w:color w:val="000000" w:themeColor="text1"/>
        </w:rPr>
      </w:pPr>
      <w:r>
        <w:rPr>
          <w:rFonts w:eastAsia="Palatino Linotype" w:cs="Palatino Linotype"/>
          <w:noProof/>
          <w:color w:val="000000" w:themeColor="text1"/>
        </w:rPr>
        <w:drawing>
          <wp:inline distT="0" distB="0" distL="0" distR="0" wp14:anchorId="72562409" wp14:editId="65BB5317">
            <wp:extent cx="5381625" cy="1422213"/>
            <wp:effectExtent l="0" t="0" r="3175" b="635"/>
            <wp:docPr id="35258706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87060" name="Imagen 352587060"/>
                    <pic:cNvPicPr/>
                  </pic:nvPicPr>
                  <pic:blipFill>
                    <a:blip r:embed="rId8">
                      <a:extLst>
                        <a:ext uri="{28A0092B-C50C-407E-A947-70E740481C1C}">
                          <a14:useLocalDpi xmlns:a14="http://schemas.microsoft.com/office/drawing/2010/main" val="0"/>
                        </a:ext>
                      </a:extLst>
                    </a:blip>
                    <a:stretch>
                      <a:fillRect/>
                    </a:stretch>
                  </pic:blipFill>
                  <pic:spPr>
                    <a:xfrm>
                      <a:off x="0" y="0"/>
                      <a:ext cx="5440617" cy="1437803"/>
                    </a:xfrm>
                    <a:prstGeom prst="rect">
                      <a:avLst/>
                    </a:prstGeom>
                  </pic:spPr>
                </pic:pic>
              </a:graphicData>
            </a:graphic>
          </wp:inline>
        </w:drawing>
      </w:r>
    </w:p>
    <w:p w14:paraId="13F85530" w14:textId="77777777" w:rsidR="004E2DF5" w:rsidRPr="004E2DF5" w:rsidRDefault="004E2DF5" w:rsidP="004E2DF5">
      <w:pPr>
        <w:rPr>
          <w:rFonts w:eastAsia="Palatino Linotype" w:cs="Palatino Linotype"/>
          <w:color w:val="000000" w:themeColor="text1"/>
        </w:rPr>
      </w:pPr>
    </w:p>
    <w:p w14:paraId="6128DFF4" w14:textId="22ADD863"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5D1DD0">
        <w:rPr>
          <w:rFonts w:eastAsia="Palatino Linotype" w:cs="Palatino Linotype"/>
          <w:color w:val="000000" w:themeColor="text1"/>
          <w:lang w:val="es-ES"/>
        </w:rPr>
        <w:t xml:space="preserve">itida por el Sujeto Obligado, </w:t>
      </w:r>
      <w:r w:rsidR="00C143EE">
        <w:rPr>
          <w:rFonts w:eastAsia="Palatino Linotype" w:cs="Palatino Linotype"/>
          <w:color w:val="000000" w:themeColor="text1"/>
          <w:lang w:val="es-ES"/>
        </w:rPr>
        <w:t>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4E32F9">
        <w:rPr>
          <w:rFonts w:eastAsia="Palatino Linotype" w:cs="Palatino Linotype"/>
          <w:color w:val="000000" w:themeColor="text1"/>
          <w:lang w:val="es-ES"/>
        </w:rPr>
        <w:t xml:space="preserve">la respuesta a la solicitud y </w:t>
      </w:r>
      <w:r w:rsidR="00B57FD2">
        <w:rPr>
          <w:rFonts w:eastAsia="Palatino Linotype" w:cs="Palatino Linotype"/>
          <w:color w:val="000000" w:themeColor="text1"/>
          <w:lang w:val="es-ES"/>
        </w:rPr>
        <w:t>dando</w:t>
      </w:r>
      <w:r w:rsidR="0049738F">
        <w:rPr>
          <w:rFonts w:eastAsia="Palatino Linotype" w:cs="Palatino Linotype"/>
          <w:color w:val="000000" w:themeColor="text1"/>
          <w:lang w:val="es-ES"/>
        </w:rPr>
        <w:t xml:space="preserve"> </w:t>
      </w:r>
      <w:r w:rsidR="005740E5">
        <w:rPr>
          <w:rFonts w:eastAsia="Palatino Linotype" w:cs="Palatino Linotype"/>
          <w:color w:val="000000" w:themeColor="text1"/>
          <w:lang w:val="es-ES"/>
        </w:rPr>
        <w:t xml:space="preserve">como razones o motivos de inconformidad que </w:t>
      </w:r>
      <w:r w:rsidR="00142266">
        <w:rPr>
          <w:rFonts w:eastAsia="Palatino Linotype" w:cs="Palatino Linotype"/>
          <w:color w:val="000000" w:themeColor="text1"/>
          <w:lang w:val="es-ES"/>
        </w:rPr>
        <w:t>se le proporcionó una l</w:t>
      </w:r>
      <w:r w:rsidR="002B0912">
        <w:rPr>
          <w:rFonts w:eastAsia="Palatino Linotype" w:cs="Palatino Linotype"/>
          <w:color w:val="000000" w:themeColor="text1"/>
          <w:lang w:val="es-ES"/>
        </w:rPr>
        <w:t xml:space="preserve">iga para consultar la información, sin </w:t>
      </w:r>
      <w:proofErr w:type="gramStart"/>
      <w:r w:rsidR="002B0912">
        <w:rPr>
          <w:rFonts w:eastAsia="Palatino Linotype" w:cs="Palatino Linotype"/>
          <w:color w:val="000000" w:themeColor="text1"/>
          <w:lang w:val="es-ES"/>
        </w:rPr>
        <w:t>embargo</w:t>
      </w:r>
      <w:proofErr w:type="gramEnd"/>
      <w:r w:rsidR="002B0912">
        <w:rPr>
          <w:rFonts w:eastAsia="Palatino Linotype" w:cs="Palatino Linotype"/>
          <w:color w:val="000000" w:themeColor="text1"/>
          <w:lang w:val="es-ES"/>
        </w:rPr>
        <w:t xml:space="preserve"> no contiene la información de manera específica </w:t>
      </w:r>
      <w:r w:rsidR="00031E66">
        <w:rPr>
          <w:rFonts w:eastAsia="Palatino Linotype" w:cs="Palatino Linotype"/>
          <w:color w:val="000000" w:themeColor="text1"/>
          <w:lang w:val="es-ES"/>
        </w:rPr>
        <w:t>ni se encuentran las pólizas solicitadas.</w:t>
      </w:r>
    </w:p>
    <w:p w14:paraId="4A6500B8" w14:textId="77777777" w:rsidR="008F50E6" w:rsidRDefault="008F50E6" w:rsidP="00A04222"/>
    <w:p w14:paraId="3A2C1098" w14:textId="77E902D1" w:rsidR="00A830A7" w:rsidRDefault="00A830A7" w:rsidP="00A830A7">
      <w:r w:rsidRPr="00E41C8A">
        <w:t xml:space="preserve">Se debe resaltar que ninguna de las partes realizó manifestaciones durante la etapa de instrucción en el presente procedimiento. En consecuencia, es necesario precisar que, toda vez que el Sujeto Obligado fue omiso de enviar el Informe Justificado ante este </w:t>
      </w:r>
      <w:r>
        <w:t>Instituto</w:t>
      </w:r>
      <w:r w:rsidRPr="00E41C8A">
        <w:t xml:space="preserv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4449BF6E" w14:textId="77777777" w:rsidR="00FD314B" w:rsidRPr="00FB09A6" w:rsidRDefault="00FD314B"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lastRenderedPageBreak/>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lastRenderedPageBreak/>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w:t>
      </w:r>
      <w:r w:rsidRPr="006922F5">
        <w:lastRenderedPageBreak/>
        <w:t>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lastRenderedPageBreak/>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382FF057" w14:textId="77777777" w:rsidR="00B57FD2" w:rsidRPr="00012AFA" w:rsidRDefault="00B57FD2" w:rsidP="00B57FD2">
      <w:pPr>
        <w:pBdr>
          <w:top w:val="nil"/>
          <w:left w:val="nil"/>
          <w:bottom w:val="nil"/>
          <w:right w:val="nil"/>
          <w:between w:val="nil"/>
        </w:pBdr>
        <w:contextualSpacing/>
        <w:rPr>
          <w:szCs w:val="24"/>
        </w:rPr>
      </w:pPr>
      <w:r>
        <w:rPr>
          <w:rFonts w:eastAsia="Palatino Linotype" w:cs="Palatino Linotype"/>
          <w:color w:val="000000"/>
          <w:szCs w:val="24"/>
        </w:rPr>
        <w:t xml:space="preserve">En ese sentido, también </w:t>
      </w:r>
      <w:r w:rsidRPr="00012AFA">
        <w:rPr>
          <w:bCs/>
          <w:szCs w:val="24"/>
        </w:rPr>
        <w:t xml:space="preserve">es importante señalar que </w:t>
      </w:r>
      <w:r w:rsidRPr="00012AFA">
        <w:rPr>
          <w:szCs w:val="24"/>
        </w:rPr>
        <w:t>el artículo 4, párrafo segundo, de la Ley de Transparencia y Acceso a la Información Pública del Estado de México y Municipios, dispone:</w:t>
      </w:r>
    </w:p>
    <w:p w14:paraId="22241E29" w14:textId="77777777" w:rsidR="00B57FD2" w:rsidRPr="00012AFA" w:rsidRDefault="00B57FD2" w:rsidP="00B57FD2">
      <w:pPr>
        <w:pBdr>
          <w:top w:val="nil"/>
          <w:left w:val="nil"/>
          <w:bottom w:val="nil"/>
          <w:right w:val="nil"/>
          <w:between w:val="nil"/>
        </w:pBdr>
        <w:contextualSpacing/>
        <w:rPr>
          <w:szCs w:val="24"/>
        </w:rPr>
      </w:pPr>
    </w:p>
    <w:p w14:paraId="5EA5DB97" w14:textId="2BF42533"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b/>
          <w:i/>
          <w:sz w:val="22"/>
        </w:rPr>
        <w:t xml:space="preserve">Artículo 4. </w:t>
      </w:r>
      <w:r>
        <w:rPr>
          <w:i/>
          <w:sz w:val="22"/>
        </w:rPr>
        <w:t>[…]</w:t>
      </w:r>
    </w:p>
    <w:p w14:paraId="1BE621C0"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i/>
          <w:sz w:val="22"/>
        </w:rPr>
        <w:t xml:space="preserve"> </w:t>
      </w:r>
    </w:p>
    <w:p w14:paraId="66A979D2"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0EB35A8A"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p>
    <w:p w14:paraId="11A50D2B"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i/>
          <w:sz w:val="22"/>
        </w:rPr>
        <w:t>Solo podrá ser clasificada excepcionalmente como reservada temporalmente por razones de interés público, en los términos de las causas legítimas y estrictamente necesarias previstas por esta Ley.</w:t>
      </w:r>
    </w:p>
    <w:p w14:paraId="03F6E478" w14:textId="77777777" w:rsidR="00B57FD2" w:rsidRPr="00012AFA" w:rsidRDefault="00B57FD2" w:rsidP="00B57FD2">
      <w:pPr>
        <w:pBdr>
          <w:top w:val="nil"/>
          <w:left w:val="nil"/>
          <w:bottom w:val="nil"/>
          <w:right w:val="nil"/>
          <w:between w:val="nil"/>
        </w:pBdr>
        <w:contextualSpacing/>
        <w:rPr>
          <w:szCs w:val="24"/>
        </w:rPr>
      </w:pPr>
    </w:p>
    <w:p w14:paraId="7979CB22" w14:textId="77777777" w:rsidR="00B57FD2" w:rsidRPr="00012AFA" w:rsidRDefault="00B57FD2" w:rsidP="00B57FD2">
      <w:pPr>
        <w:rPr>
          <w:rFonts w:cs="Arial"/>
          <w:i/>
        </w:rPr>
      </w:pPr>
      <w:r w:rsidRPr="00012AFA">
        <w:rPr>
          <w:rFonts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5072C9C4" w14:textId="77777777" w:rsidR="00B57FD2" w:rsidRPr="00012AFA" w:rsidRDefault="00B57FD2" w:rsidP="00B57FD2">
      <w:pPr>
        <w:rPr>
          <w:rFonts w:cs="Arial"/>
          <w:iCs/>
        </w:rPr>
      </w:pPr>
    </w:p>
    <w:p w14:paraId="5EB34C21" w14:textId="77777777" w:rsidR="00B57FD2" w:rsidRPr="00012AFA" w:rsidRDefault="00B57FD2" w:rsidP="00B57FD2">
      <w:pPr>
        <w:rPr>
          <w:rFonts w:cs="Arial"/>
          <w:szCs w:val="24"/>
        </w:rPr>
      </w:pPr>
      <w:r w:rsidRPr="00012AFA">
        <w:rPr>
          <w:rFonts w:cs="Arial"/>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F7C655B" w14:textId="77777777" w:rsidR="00B57FD2" w:rsidRPr="00012AFA" w:rsidRDefault="00B57FD2" w:rsidP="00B57FD2">
      <w:pPr>
        <w:spacing w:line="259" w:lineRule="auto"/>
        <w:ind w:right="567"/>
        <w:rPr>
          <w:rFonts w:cs="Arial"/>
          <w:szCs w:val="24"/>
        </w:rPr>
      </w:pPr>
    </w:p>
    <w:p w14:paraId="024925F6" w14:textId="77777777" w:rsidR="00B57FD2" w:rsidRPr="00012AFA" w:rsidRDefault="00B57FD2" w:rsidP="00B57FD2">
      <w:pPr>
        <w:spacing w:line="240" w:lineRule="auto"/>
        <w:ind w:left="567" w:right="567"/>
        <w:rPr>
          <w:rFonts w:cs="Arial"/>
          <w:i/>
          <w:color w:val="000000"/>
          <w:sz w:val="22"/>
        </w:rPr>
      </w:pPr>
      <w:r w:rsidRPr="00012AFA">
        <w:rPr>
          <w:rFonts w:cs="Arial"/>
          <w:b/>
          <w:i/>
          <w:color w:val="000000"/>
          <w:sz w:val="22"/>
        </w:rPr>
        <w:t>Artículo 12.</w:t>
      </w:r>
      <w:r w:rsidRPr="00012AFA">
        <w:rPr>
          <w:rFonts w:cs="Arial"/>
          <w:i/>
          <w:color w:val="000000"/>
          <w:sz w:val="22"/>
        </w:rPr>
        <w:t xml:space="preserve"> Quienes generen, recopilen, administren, manejen, procesen, archiven o conserven información pública serán responsables de la misma en los términos de las disposiciones jurídicas aplicables.</w:t>
      </w:r>
    </w:p>
    <w:p w14:paraId="4B41EFEF" w14:textId="77777777" w:rsidR="00B57FD2" w:rsidRPr="00012AFA" w:rsidRDefault="00B57FD2" w:rsidP="00B57FD2">
      <w:pPr>
        <w:spacing w:line="240" w:lineRule="auto"/>
        <w:ind w:left="567" w:right="567"/>
        <w:rPr>
          <w:rFonts w:cs="Arial"/>
          <w:i/>
          <w:sz w:val="22"/>
        </w:rPr>
      </w:pPr>
    </w:p>
    <w:p w14:paraId="3B9E8C0D" w14:textId="77777777" w:rsidR="00B57FD2" w:rsidRPr="00012AFA" w:rsidRDefault="00B57FD2" w:rsidP="00B57FD2">
      <w:pPr>
        <w:spacing w:line="240" w:lineRule="auto"/>
        <w:ind w:left="567" w:right="567"/>
        <w:rPr>
          <w:rFonts w:cs="Arial"/>
          <w:i/>
          <w:sz w:val="22"/>
        </w:rPr>
      </w:pPr>
      <w:r w:rsidRPr="00012AFA">
        <w:rPr>
          <w:rFonts w:cs="Arial"/>
          <w:b/>
          <w:i/>
          <w:color w:val="000000"/>
          <w:sz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C6FB29A" w14:textId="77777777" w:rsidR="00B57FD2" w:rsidRPr="00012AFA" w:rsidRDefault="00B57FD2" w:rsidP="00B57FD2">
      <w:pPr>
        <w:rPr>
          <w:rFonts w:cs="Arial"/>
          <w:color w:val="000000"/>
        </w:rPr>
      </w:pPr>
    </w:p>
    <w:p w14:paraId="74239CA7" w14:textId="77777777" w:rsidR="00B57FD2" w:rsidRPr="00012AFA" w:rsidRDefault="00B57FD2" w:rsidP="00B57FD2">
      <w:pPr>
        <w:rPr>
          <w:rFonts w:cs="Arial"/>
          <w:color w:val="000000"/>
        </w:rPr>
      </w:pPr>
      <w:r w:rsidRPr="00012AFA">
        <w:rPr>
          <w:rFonts w:cs="Arial"/>
          <w:color w:val="000000"/>
        </w:rPr>
        <w:t>En síntesis, el derecho de acceso a la información pública se satisface en aquellos casos en que se entregue el soporte documental en que conste la información pública, toda vez que, los Sujetos Obligados</w:t>
      </w:r>
      <w:r w:rsidRPr="00012AFA">
        <w:rPr>
          <w:rFonts w:cs="Arial"/>
          <w:b/>
          <w:color w:val="000000"/>
        </w:rPr>
        <w:t xml:space="preserve"> </w:t>
      </w:r>
      <w:r w:rsidRPr="00012AFA">
        <w:rPr>
          <w:rFonts w:cs="Arial"/>
          <w:color w:val="000000"/>
        </w:rPr>
        <w:t xml:space="preserve">no tienen el deber de generar, poseer o administrar la información pública con el grado de detalle solicitado; esto es, que no tienen el deber de generar un documento </w:t>
      </w:r>
      <w:r w:rsidRPr="00012AFA">
        <w:rPr>
          <w:rFonts w:cs="Arial"/>
          <w:i/>
          <w:color w:val="000000"/>
        </w:rPr>
        <w:t>ad hoc</w:t>
      </w:r>
      <w:r w:rsidRPr="00012AFA">
        <w:rPr>
          <w:rFonts w:cs="Arial"/>
          <w:color w:val="000000"/>
        </w:rPr>
        <w:t>, para satisfacer el derecho de acceso a la información pública.</w:t>
      </w:r>
    </w:p>
    <w:p w14:paraId="153DA34A" w14:textId="77777777" w:rsidR="00B57FD2" w:rsidRPr="00012AFA" w:rsidRDefault="00B57FD2" w:rsidP="00B57FD2">
      <w:pPr>
        <w:rPr>
          <w:rFonts w:cs="Arial"/>
          <w:color w:val="000000"/>
        </w:rPr>
      </w:pPr>
    </w:p>
    <w:p w14:paraId="78AE01A8" w14:textId="77777777" w:rsidR="00B57FD2" w:rsidRPr="00012AFA" w:rsidRDefault="00B57FD2" w:rsidP="00B57FD2">
      <w:pPr>
        <w:rPr>
          <w:b/>
          <w:bCs/>
          <w:color w:val="000000"/>
        </w:rPr>
      </w:pPr>
      <w:r w:rsidRPr="00012AFA">
        <w:rPr>
          <w:rFonts w:cs="Arial"/>
          <w:color w:val="000000"/>
        </w:rPr>
        <w:t xml:space="preserve">Como apoyo a lo anterior, es aplicable el Criterio 03-17, emitido por </w:t>
      </w:r>
      <w:r w:rsidRPr="00012AFA">
        <w:rPr>
          <w:rFonts w:eastAsia="Arial Unicode MS" w:cs="Arial"/>
          <w:color w:val="000000"/>
        </w:rPr>
        <w:t>el Instituto Nacional de Transparencia, Acceso a la Información y Protección de Datos Personales,</w:t>
      </w:r>
      <w:r w:rsidRPr="00012AFA">
        <w:rPr>
          <w:bCs/>
          <w:color w:val="000000"/>
        </w:rPr>
        <w:t xml:space="preserve"> que dice:</w:t>
      </w:r>
      <w:r w:rsidRPr="00012AFA">
        <w:rPr>
          <w:b/>
          <w:bCs/>
          <w:color w:val="000000"/>
        </w:rPr>
        <w:t xml:space="preserve"> </w:t>
      </w:r>
    </w:p>
    <w:p w14:paraId="46827794" w14:textId="77777777" w:rsidR="00B57FD2" w:rsidRPr="00012AFA" w:rsidRDefault="00B57FD2" w:rsidP="00B57FD2">
      <w:pPr>
        <w:jc w:val="left"/>
        <w:rPr>
          <w:rFonts w:eastAsia="Times New Roman" w:cs="Times New Roman"/>
          <w:szCs w:val="24"/>
          <w:lang w:eastAsia="es-ES"/>
        </w:rPr>
      </w:pPr>
    </w:p>
    <w:p w14:paraId="163231D3" w14:textId="77777777" w:rsidR="00B57FD2" w:rsidRPr="00012AFA" w:rsidRDefault="00B57FD2" w:rsidP="00B57FD2">
      <w:pPr>
        <w:spacing w:line="259" w:lineRule="auto"/>
        <w:ind w:left="851" w:right="850"/>
        <w:rPr>
          <w:rFonts w:cs="Arial"/>
          <w:color w:val="000000"/>
          <w:sz w:val="2"/>
        </w:rPr>
      </w:pPr>
    </w:p>
    <w:p w14:paraId="1EAE22F4" w14:textId="77777777" w:rsidR="00B57FD2" w:rsidRPr="00012AFA" w:rsidRDefault="00B57FD2" w:rsidP="00B57FD2">
      <w:pPr>
        <w:spacing w:line="240" w:lineRule="auto"/>
        <w:ind w:left="567" w:right="567"/>
        <w:rPr>
          <w:rFonts w:cs="Arial"/>
          <w:i/>
          <w:color w:val="000000"/>
          <w:sz w:val="22"/>
        </w:rPr>
      </w:pPr>
      <w:r w:rsidRPr="00012AFA">
        <w:rPr>
          <w:rFonts w:cs="Arial"/>
          <w:b/>
          <w:i/>
          <w:color w:val="000000"/>
          <w:sz w:val="22"/>
        </w:rPr>
        <w:t>No existe obligación de elaborar documentos ad hoc para atender las solicitudes de acceso a la información.</w:t>
      </w:r>
      <w:r w:rsidRPr="00012AFA">
        <w:rPr>
          <w:rFonts w:cs="Arial"/>
          <w:i/>
          <w:color w:val="000000"/>
          <w:sz w:val="22"/>
        </w:rPr>
        <w:t xml:space="preserve"> Los artículos 129 de la Ley General de Transparencia y Acceso a </w:t>
      </w:r>
      <w:r w:rsidRPr="00012AFA">
        <w:rPr>
          <w:rFonts w:cs="Arial"/>
          <w:i/>
          <w:color w:val="000000"/>
          <w:sz w:val="22"/>
        </w:rPr>
        <w:lastRenderedPageBreak/>
        <w:t>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97FA011" w14:textId="77777777" w:rsidR="00B57FD2" w:rsidRPr="00012AFA" w:rsidRDefault="00B57FD2" w:rsidP="00B57FD2">
      <w:pPr>
        <w:spacing w:line="240" w:lineRule="auto"/>
        <w:ind w:left="567" w:right="567"/>
        <w:rPr>
          <w:rFonts w:cs="Arial"/>
          <w:i/>
          <w:color w:val="000000"/>
          <w:sz w:val="2"/>
        </w:rPr>
      </w:pPr>
    </w:p>
    <w:p w14:paraId="502C7335" w14:textId="77777777" w:rsidR="00B57FD2" w:rsidRPr="00012AFA" w:rsidRDefault="00B57FD2" w:rsidP="00B57FD2">
      <w:pPr>
        <w:rPr>
          <w:rFonts w:cs="Arial"/>
          <w:color w:val="000000" w:themeColor="text1"/>
        </w:rPr>
      </w:pPr>
    </w:p>
    <w:p w14:paraId="544C9996" w14:textId="77777777" w:rsidR="00B57FD2" w:rsidRPr="00012AFA" w:rsidRDefault="00B57FD2" w:rsidP="00B57FD2">
      <w:pPr>
        <w:rPr>
          <w:rFonts w:cs="Arial"/>
          <w:color w:val="000000" w:themeColor="text1"/>
        </w:rPr>
      </w:pPr>
      <w:r w:rsidRPr="00012AFA">
        <w:rPr>
          <w:rFonts w:cs="Arial"/>
          <w:color w:val="000000" w:themeColor="text1"/>
        </w:rPr>
        <w:t xml:space="preserve">Asimismo, el artículo 24, de la Ley de la materia, dispone que los Sujetos Obligados sólo proporcionarán la información pública que </w:t>
      </w:r>
      <w:r w:rsidRPr="00012AFA">
        <w:rPr>
          <w:rFonts w:cs="Arial"/>
        </w:rPr>
        <w:t>generen</w:t>
      </w:r>
      <w:r w:rsidRPr="00012AFA">
        <w:rPr>
          <w:rFonts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9ACE776" w14:textId="77777777" w:rsidR="00B57FD2" w:rsidRPr="00012AFA" w:rsidRDefault="00B57FD2" w:rsidP="00B57FD2">
      <w:pPr>
        <w:rPr>
          <w:rFonts w:cs="Arial"/>
          <w:color w:val="000000" w:themeColor="text1"/>
        </w:rPr>
      </w:pPr>
    </w:p>
    <w:p w14:paraId="193856C9" w14:textId="77777777" w:rsidR="00B57FD2" w:rsidRPr="00012AFA" w:rsidRDefault="00B57FD2" w:rsidP="00B57FD2">
      <w:pPr>
        <w:rPr>
          <w:rFonts w:cs="Arial"/>
          <w:color w:val="000000" w:themeColor="text1"/>
        </w:rPr>
      </w:pPr>
      <w:r w:rsidRPr="00012AFA">
        <w:rPr>
          <w:rFonts w:cs="Arial"/>
          <w:color w:val="000000" w:themeColor="text1"/>
        </w:rPr>
        <w:t xml:space="preserve">En esta misma tesitura, es de subrayar que el derecho de acceso a la información pública, consiste en que la información solicitada conste en un soporte documental en cualquiera de sus formas, a saber: </w:t>
      </w:r>
      <w:r w:rsidRPr="00012AFA">
        <w:rPr>
          <w:rFonts w:cs="Arial"/>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012AFA">
        <w:rPr>
          <w:rFonts w:cs="Arial"/>
          <w:color w:val="000000" w:themeColor="text1"/>
        </w:rPr>
        <w:t xml:space="preserve">; los que, </w:t>
      </w:r>
      <w:r w:rsidRPr="00012AFA">
        <w:rPr>
          <w:rFonts w:cs="Arial"/>
        </w:rPr>
        <w:t>podrán estar en cualquier medio, sea escrito, impreso, sonoro, visual, electrónico, informático u holográfico</w:t>
      </w:r>
      <w:r w:rsidRPr="00012AFA">
        <w:rPr>
          <w:rFonts w:cs="Arial"/>
          <w:color w:val="000000" w:themeColor="text1"/>
        </w:rPr>
        <w:t xml:space="preserve">, de conformidad con el artículo 3, fracción XI, de la Ley de la materia, el cual dispone lo siguiente: </w:t>
      </w:r>
    </w:p>
    <w:p w14:paraId="21662A59" w14:textId="77777777" w:rsidR="00B57FD2" w:rsidRPr="00012AFA" w:rsidRDefault="00B57FD2" w:rsidP="00B57FD2">
      <w:pPr>
        <w:pBdr>
          <w:top w:val="nil"/>
          <w:left w:val="nil"/>
          <w:bottom w:val="nil"/>
          <w:right w:val="nil"/>
          <w:between w:val="nil"/>
        </w:pBdr>
        <w:contextualSpacing/>
        <w:rPr>
          <w:szCs w:val="24"/>
        </w:rPr>
      </w:pPr>
    </w:p>
    <w:p w14:paraId="5506C34B" w14:textId="77777777" w:rsidR="00724FCA" w:rsidRPr="00012AFA" w:rsidRDefault="00724FCA" w:rsidP="00724FCA">
      <w:pPr>
        <w:pStyle w:val="Fundamentos"/>
      </w:pPr>
      <w:r w:rsidRPr="00012AFA">
        <w:rPr>
          <w:b/>
        </w:rPr>
        <w:t xml:space="preserve">Artículo 3. </w:t>
      </w:r>
      <w:r w:rsidRPr="00012AFA">
        <w:t>Para los efectos de la presente Ley se entenderá por:</w:t>
      </w:r>
    </w:p>
    <w:p w14:paraId="7F7EFC8B" w14:textId="320AB501" w:rsidR="00724FCA" w:rsidRPr="00012AFA" w:rsidRDefault="00724FCA" w:rsidP="00724FCA">
      <w:pPr>
        <w:pStyle w:val="Fundamentos"/>
      </w:pPr>
      <w:r>
        <w:t>[…]</w:t>
      </w:r>
    </w:p>
    <w:p w14:paraId="45AB662B" w14:textId="77777777" w:rsidR="00724FCA" w:rsidRPr="00012AFA" w:rsidRDefault="00724FCA" w:rsidP="00724FCA">
      <w:pPr>
        <w:pStyle w:val="Fundamentos"/>
      </w:pPr>
      <w:r w:rsidRPr="00012AFA">
        <w:rPr>
          <w:b/>
        </w:rPr>
        <w:lastRenderedPageBreak/>
        <w:t>XI. Documento:</w:t>
      </w:r>
      <w:r w:rsidRPr="00012AFA">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012AFA">
        <w:rPr>
          <w:b/>
          <w:u w:val="single"/>
        </w:rPr>
        <w:t>Los documentos podrán estar en cualquier medio, sea escrito, impreso, sonoro, visual, electrónico, informático u holográfico</w:t>
      </w:r>
      <w:r w:rsidRPr="00012AFA">
        <w:t>;</w:t>
      </w:r>
    </w:p>
    <w:p w14:paraId="5B7B5B42" w14:textId="1D065663" w:rsidR="00724FCA" w:rsidRPr="00012AFA" w:rsidRDefault="00724FCA" w:rsidP="00724FCA">
      <w:pPr>
        <w:pStyle w:val="Fundamentos"/>
      </w:pPr>
      <w:r>
        <w:t>[…]</w:t>
      </w:r>
    </w:p>
    <w:p w14:paraId="3FD132BF" w14:textId="77777777" w:rsidR="00B57FD2" w:rsidRDefault="00B57FD2" w:rsidP="006100FC"/>
    <w:p w14:paraId="2ACB7BF7" w14:textId="77777777" w:rsidR="00724FCA" w:rsidRPr="00012AFA" w:rsidRDefault="00724FCA" w:rsidP="00724FCA">
      <w:pPr>
        <w:autoSpaceDE w:val="0"/>
        <w:autoSpaceDN w:val="0"/>
        <w:adjustRightInd w:val="0"/>
        <w:rPr>
          <w:rFonts w:cs="Arial"/>
          <w:szCs w:val="24"/>
        </w:rPr>
      </w:pPr>
      <w:r w:rsidRPr="00012AFA">
        <w:rPr>
          <w:rFonts w:cs="Arial"/>
          <w:szCs w:val="24"/>
        </w:rPr>
        <w:t xml:space="preserve">Siendo aplicable el Criterio </w:t>
      </w:r>
      <w:r w:rsidRPr="00012AFA">
        <w:rPr>
          <w:rFonts w:cs="Arial"/>
          <w:bCs/>
          <w:szCs w:val="24"/>
        </w:rPr>
        <w:t xml:space="preserve">de interpretación en el orden administrativo número 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012AFA">
        <w:rPr>
          <w:rFonts w:cs="Arial"/>
          <w:szCs w:val="24"/>
        </w:rPr>
        <w:t>cuyo rubro y texto dispone:</w:t>
      </w:r>
    </w:p>
    <w:p w14:paraId="5B5F830D" w14:textId="77777777" w:rsidR="00724FCA" w:rsidRPr="00012AFA" w:rsidRDefault="00724FCA" w:rsidP="00724FCA">
      <w:pPr>
        <w:jc w:val="left"/>
        <w:rPr>
          <w:rFonts w:eastAsia="Times New Roman" w:cs="Times New Roman"/>
          <w:szCs w:val="24"/>
          <w:lang w:eastAsia="es-ES"/>
        </w:rPr>
      </w:pPr>
    </w:p>
    <w:p w14:paraId="7A337F22" w14:textId="77777777" w:rsidR="00724FCA" w:rsidRPr="00012AFA" w:rsidRDefault="00724FCA" w:rsidP="00724FCA">
      <w:pPr>
        <w:spacing w:line="259" w:lineRule="auto"/>
        <w:ind w:left="567" w:right="567"/>
        <w:rPr>
          <w:rFonts w:cs="Arial"/>
          <w:sz w:val="2"/>
        </w:rPr>
      </w:pPr>
    </w:p>
    <w:p w14:paraId="24A12D65" w14:textId="77777777" w:rsidR="00724FCA" w:rsidRPr="00012AFA" w:rsidRDefault="00724FCA" w:rsidP="00724FCA">
      <w:pPr>
        <w:spacing w:line="240" w:lineRule="auto"/>
        <w:ind w:left="567" w:right="567"/>
        <w:rPr>
          <w:rFonts w:cs="Arial"/>
          <w:i/>
          <w:sz w:val="22"/>
        </w:rPr>
      </w:pPr>
      <w:r w:rsidRPr="00012AFA">
        <w:rPr>
          <w:rFonts w:cs="Arial"/>
          <w:b/>
          <w:i/>
          <w:sz w:val="22"/>
        </w:rPr>
        <w:t xml:space="preserve">INFORMACIÓN PÚBLICA, CONCEPTO DE, EN MATERIA DE TRANSPARENCIA. INTERPRETACIÓN SISTEMÁTICA DE LOS ARTÍCULOS 2°, FRACCIÓN </w:t>
      </w:r>
      <w:r w:rsidRPr="00012AFA">
        <w:rPr>
          <w:rFonts w:cs="Arial"/>
          <w:b/>
          <w:bCs/>
          <w:i/>
          <w:sz w:val="22"/>
        </w:rPr>
        <w:t xml:space="preserve">V, XV, Y XVI, </w:t>
      </w:r>
      <w:r w:rsidRPr="00012AFA">
        <w:rPr>
          <w:rFonts w:cs="Arial"/>
          <w:b/>
          <w:i/>
          <w:sz w:val="22"/>
        </w:rPr>
        <w:t>3°, 4°, 11 Y 41.</w:t>
      </w:r>
      <w:r w:rsidRPr="00012AFA">
        <w:rPr>
          <w:rFonts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65740D9" w14:textId="77777777" w:rsidR="00724FCA" w:rsidRPr="00012AFA" w:rsidRDefault="00724FCA" w:rsidP="00724FCA">
      <w:pPr>
        <w:spacing w:line="240" w:lineRule="auto"/>
        <w:ind w:left="567" w:right="567"/>
        <w:rPr>
          <w:rFonts w:cs="Arial"/>
          <w:i/>
          <w:sz w:val="22"/>
        </w:rPr>
      </w:pPr>
      <w:r w:rsidRPr="00012AFA">
        <w:rPr>
          <w:rFonts w:cs="Arial"/>
          <w:i/>
          <w:sz w:val="22"/>
        </w:rPr>
        <w:t xml:space="preserve">En </w:t>
      </w:r>
      <w:proofErr w:type="gramStart"/>
      <w:r w:rsidRPr="00012AFA">
        <w:rPr>
          <w:rFonts w:cs="Arial"/>
          <w:i/>
          <w:sz w:val="22"/>
        </w:rPr>
        <w:t>consecuencia</w:t>
      </w:r>
      <w:proofErr w:type="gramEnd"/>
      <w:r w:rsidRPr="00012AFA">
        <w:rPr>
          <w:rFonts w:cs="Arial"/>
          <w:i/>
          <w:sz w:val="22"/>
        </w:rPr>
        <w:t xml:space="preserve"> el acceso a la información se refiere a que se cumplan cualquiera de los siguientes tres supuestos:</w:t>
      </w:r>
    </w:p>
    <w:p w14:paraId="6C5FB7C5" w14:textId="77777777" w:rsidR="00724FCA" w:rsidRPr="00012AFA" w:rsidRDefault="00724FCA" w:rsidP="00724FCA">
      <w:pPr>
        <w:spacing w:line="240" w:lineRule="auto"/>
        <w:ind w:left="567" w:right="567"/>
        <w:rPr>
          <w:rFonts w:cs="Arial"/>
          <w:b/>
          <w:i/>
          <w:sz w:val="22"/>
        </w:rPr>
      </w:pPr>
    </w:p>
    <w:p w14:paraId="2F19F2D5" w14:textId="77777777" w:rsidR="00724FCA" w:rsidRPr="00012AFA" w:rsidRDefault="00724FCA" w:rsidP="00724FCA">
      <w:pPr>
        <w:spacing w:line="240" w:lineRule="auto"/>
        <w:ind w:left="567" w:right="567"/>
        <w:rPr>
          <w:rFonts w:cs="Arial"/>
          <w:b/>
          <w:i/>
          <w:sz w:val="22"/>
        </w:rPr>
      </w:pPr>
      <w:r w:rsidRPr="00012AFA">
        <w:rPr>
          <w:rFonts w:cs="Arial"/>
          <w:b/>
          <w:i/>
          <w:sz w:val="22"/>
        </w:rPr>
        <w:t xml:space="preserve">1) </w:t>
      </w:r>
      <w:r w:rsidRPr="00012AFA">
        <w:rPr>
          <w:rFonts w:cs="Arial"/>
          <w:b/>
          <w:i/>
          <w:sz w:val="22"/>
          <w:u w:val="single"/>
        </w:rPr>
        <w:t xml:space="preserve">Que se trate de información registrada en cualquier soporte documental, </w:t>
      </w:r>
      <w:proofErr w:type="gramStart"/>
      <w:r w:rsidRPr="00012AFA">
        <w:rPr>
          <w:rFonts w:cs="Arial"/>
          <w:b/>
          <w:i/>
          <w:sz w:val="22"/>
          <w:u w:val="single"/>
        </w:rPr>
        <w:t>que</w:t>
      </w:r>
      <w:proofErr w:type="gramEnd"/>
      <w:r w:rsidRPr="00012AFA">
        <w:rPr>
          <w:rFonts w:cs="Arial"/>
          <w:b/>
          <w:i/>
          <w:sz w:val="22"/>
          <w:u w:val="single"/>
        </w:rPr>
        <w:t xml:space="preserve"> en ejercicio de las atribuciones conferidas, sea generada por los Sujetos Obligados;</w:t>
      </w:r>
    </w:p>
    <w:p w14:paraId="1185AF5F" w14:textId="77777777" w:rsidR="00724FCA" w:rsidRPr="00012AFA" w:rsidRDefault="00724FCA" w:rsidP="00724FCA">
      <w:pPr>
        <w:spacing w:line="240" w:lineRule="auto"/>
        <w:ind w:left="567" w:right="567"/>
        <w:rPr>
          <w:rFonts w:cs="Arial"/>
          <w:i/>
          <w:sz w:val="22"/>
        </w:rPr>
      </w:pPr>
      <w:r w:rsidRPr="00012AFA">
        <w:rPr>
          <w:rFonts w:cs="Arial"/>
          <w:i/>
          <w:sz w:val="22"/>
        </w:rPr>
        <w:t xml:space="preserve">2) Que se trate de información registrada en cualquier soporte documental, </w:t>
      </w:r>
      <w:proofErr w:type="gramStart"/>
      <w:r w:rsidRPr="00012AFA">
        <w:rPr>
          <w:rFonts w:cs="Arial"/>
          <w:i/>
          <w:sz w:val="22"/>
        </w:rPr>
        <w:t>que</w:t>
      </w:r>
      <w:proofErr w:type="gramEnd"/>
      <w:r w:rsidRPr="00012AFA">
        <w:rPr>
          <w:rFonts w:cs="Arial"/>
          <w:i/>
          <w:sz w:val="22"/>
        </w:rPr>
        <w:t xml:space="preserve"> en ejercicio de las atribuciones conferidas, sea administrada por los Sujetos Obligados, y</w:t>
      </w:r>
    </w:p>
    <w:p w14:paraId="50A588C2" w14:textId="77777777" w:rsidR="00724FCA" w:rsidRPr="00012AFA" w:rsidRDefault="00724FCA" w:rsidP="00724FCA">
      <w:pPr>
        <w:spacing w:line="240" w:lineRule="auto"/>
        <w:ind w:left="567" w:right="567"/>
        <w:rPr>
          <w:rFonts w:cs="Arial"/>
          <w:i/>
          <w:sz w:val="18"/>
        </w:rPr>
      </w:pPr>
      <w:r w:rsidRPr="00012AFA">
        <w:rPr>
          <w:rFonts w:cs="Arial"/>
          <w:i/>
          <w:sz w:val="22"/>
        </w:rPr>
        <w:t xml:space="preserve">3) Que se trate de información registrada en cualquier soporte documental, </w:t>
      </w:r>
      <w:proofErr w:type="gramStart"/>
      <w:r w:rsidRPr="00012AFA">
        <w:rPr>
          <w:rFonts w:cs="Arial"/>
          <w:i/>
          <w:sz w:val="22"/>
        </w:rPr>
        <w:t>que</w:t>
      </w:r>
      <w:proofErr w:type="gramEnd"/>
      <w:r w:rsidRPr="00012AFA">
        <w:rPr>
          <w:rFonts w:cs="Arial"/>
          <w:i/>
          <w:sz w:val="22"/>
        </w:rPr>
        <w:t xml:space="preserve"> en ejercicio de las atribuciones conferidas, se encuentre en posesión de los Sujetos Obligados.</w:t>
      </w:r>
    </w:p>
    <w:p w14:paraId="797C4B9F" w14:textId="77777777" w:rsidR="00724FCA" w:rsidRDefault="00724FCA" w:rsidP="00724FCA">
      <w:pPr>
        <w:pBdr>
          <w:top w:val="nil"/>
          <w:left w:val="nil"/>
          <w:bottom w:val="nil"/>
          <w:right w:val="nil"/>
          <w:between w:val="nil"/>
        </w:pBdr>
        <w:contextualSpacing/>
        <w:rPr>
          <w:rFonts w:eastAsia="Palatino Linotype" w:cs="Palatino Linotype"/>
          <w:color w:val="000000"/>
          <w:szCs w:val="24"/>
        </w:rPr>
      </w:pPr>
    </w:p>
    <w:p w14:paraId="306E081A" w14:textId="6782AE6C" w:rsidR="00724FCA" w:rsidRDefault="00724FCA" w:rsidP="00724FCA">
      <w:pPr>
        <w:pBdr>
          <w:top w:val="nil"/>
          <w:left w:val="nil"/>
          <w:bottom w:val="nil"/>
          <w:right w:val="nil"/>
          <w:between w:val="nil"/>
        </w:pBdr>
        <w:contextualSpacing/>
        <w:rPr>
          <w:rFonts w:eastAsia="Palatino Linotype" w:cs="Palatino Linotype"/>
          <w:color w:val="000000"/>
          <w:szCs w:val="24"/>
        </w:rPr>
      </w:pPr>
      <w:r w:rsidRPr="00502DAB">
        <w:rPr>
          <w:rFonts w:eastAsia="Palatino Linotype" w:cs="Palatino Linotype"/>
          <w:color w:val="000000"/>
          <w:szCs w:val="24"/>
          <w:lang w:val="es-ES"/>
        </w:rPr>
        <w:lastRenderedPageBreak/>
        <w:t xml:space="preserve">En segundo término, tomando en cuenta la respuesta proporcionada por parte del Sujeto Obligado, </w:t>
      </w:r>
      <w:r w:rsidRPr="00502DAB">
        <w:rPr>
          <w:rFonts w:eastAsia="Palatino Linotype" w:cs="Palatino Linotype"/>
          <w:color w:val="000000"/>
          <w:szCs w:val="24"/>
        </w:rPr>
        <w:t xml:space="preserve">toda vez que el Sujeto Obligado en su respuesta manifestó que la información solicitada puede </w:t>
      </w:r>
      <w:r>
        <w:rPr>
          <w:rFonts w:eastAsia="Palatino Linotype" w:cs="Palatino Linotype"/>
          <w:color w:val="000000"/>
          <w:szCs w:val="24"/>
        </w:rPr>
        <w:t>ser consultada</w:t>
      </w:r>
      <w:r w:rsidR="00594CB4">
        <w:rPr>
          <w:rFonts w:eastAsia="Palatino Linotype" w:cs="Palatino Linotype"/>
          <w:color w:val="000000"/>
          <w:szCs w:val="24"/>
        </w:rPr>
        <w:t xml:space="preserve">, tanto en la liga electrónica proporcionada, como </w:t>
      </w:r>
      <w:r>
        <w:rPr>
          <w:rFonts w:eastAsia="Palatino Linotype" w:cs="Palatino Linotype"/>
          <w:color w:val="000000"/>
          <w:szCs w:val="24"/>
        </w:rPr>
        <w:t xml:space="preserve">en sus instalaciones, </w:t>
      </w:r>
      <w:r w:rsidRPr="00502DAB">
        <w:rPr>
          <w:rFonts w:eastAsia="Palatino Linotype" w:cs="Palatino Linotype"/>
          <w:b/>
          <w:color w:val="000000"/>
          <w:szCs w:val="24"/>
        </w:rPr>
        <w:t>se deduce que existe una aceptación por parte del Sujeto Obligado que genera, administra o posee dicha información, derivada del ejercicio de sus funciones de derecho público</w:t>
      </w:r>
      <w:r w:rsidRPr="00502DAB">
        <w:rPr>
          <w:rFonts w:eastAsia="Palatino Linotype" w:cs="Palatino Linotype"/>
          <w:color w:val="000000"/>
          <w:szCs w:val="24"/>
        </w:rPr>
        <w:t>.</w:t>
      </w:r>
    </w:p>
    <w:p w14:paraId="299B38FD" w14:textId="77777777" w:rsidR="004B2269" w:rsidRDefault="004B2269" w:rsidP="00724FCA">
      <w:pPr>
        <w:pBdr>
          <w:top w:val="nil"/>
          <w:left w:val="nil"/>
          <w:bottom w:val="nil"/>
          <w:right w:val="nil"/>
          <w:between w:val="nil"/>
        </w:pBdr>
        <w:contextualSpacing/>
        <w:rPr>
          <w:rFonts w:eastAsia="Palatino Linotype" w:cs="Palatino Linotype"/>
          <w:color w:val="000000"/>
          <w:szCs w:val="24"/>
        </w:rPr>
      </w:pPr>
    </w:p>
    <w:p w14:paraId="0E3CA386" w14:textId="5859CA46" w:rsidR="004B2269" w:rsidRPr="00502DAB" w:rsidRDefault="006C51EE" w:rsidP="00724FC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En este punto es </w:t>
      </w:r>
      <w:r w:rsidR="00196873">
        <w:rPr>
          <w:rFonts w:eastAsia="Palatino Linotype" w:cs="Palatino Linotype"/>
          <w:color w:val="000000"/>
          <w:szCs w:val="24"/>
        </w:rPr>
        <w:t xml:space="preserve">necesario señalar que el Sujeto Obligado manifestó </w:t>
      </w:r>
      <w:r w:rsidR="00324FF9">
        <w:rPr>
          <w:rFonts w:eastAsia="Palatino Linotype" w:cs="Palatino Linotype"/>
          <w:color w:val="000000"/>
          <w:szCs w:val="24"/>
        </w:rPr>
        <w:t xml:space="preserve">que la información podía ser consultada en </w:t>
      </w:r>
      <w:r w:rsidR="00694BAB">
        <w:rPr>
          <w:rFonts w:eastAsia="Palatino Linotype" w:cs="Palatino Linotype"/>
          <w:color w:val="000000"/>
          <w:szCs w:val="24"/>
        </w:rPr>
        <w:t xml:space="preserve">la liga </w:t>
      </w:r>
      <w:hyperlink r:id="rId9" w:history="1">
        <w:r w:rsidR="00567C1C" w:rsidRPr="00056EC5">
          <w:rPr>
            <w:rStyle w:val="Hipervnculo"/>
            <w:rFonts w:eastAsia="Palatino Linotype" w:cs="Palatino Linotype"/>
            <w:szCs w:val="24"/>
          </w:rPr>
          <w:t>https://temamatla-digital.com/conac2024.php</w:t>
        </w:r>
      </w:hyperlink>
      <w:r w:rsidR="00567C1C">
        <w:rPr>
          <w:rFonts w:eastAsia="Palatino Linotype" w:cs="Palatino Linotype"/>
          <w:color w:val="000000"/>
          <w:szCs w:val="24"/>
        </w:rPr>
        <w:t>, por lo que se consideró procedente verificar el contenido de dicho enlace</w:t>
      </w:r>
      <w:r w:rsidR="00E854A9">
        <w:rPr>
          <w:rFonts w:eastAsia="Palatino Linotype" w:cs="Palatino Linotype"/>
          <w:color w:val="000000"/>
          <w:szCs w:val="24"/>
        </w:rPr>
        <w:t>. Así, al dirigirse a la página referida se observó lo siguiente:</w:t>
      </w:r>
    </w:p>
    <w:p w14:paraId="5794AF4A" w14:textId="3281BDE8" w:rsidR="00B57FD2" w:rsidRDefault="00B00BE5" w:rsidP="003D2F8A">
      <w:pPr>
        <w:jc w:val="center"/>
      </w:pPr>
      <w:r>
        <w:rPr>
          <w:noProof/>
        </w:rPr>
        <w:drawing>
          <wp:inline distT="0" distB="0" distL="0" distR="0" wp14:anchorId="365F3810" wp14:editId="16524E9D">
            <wp:extent cx="2916820" cy="3914581"/>
            <wp:effectExtent l="0" t="0" r="4445" b="0"/>
            <wp:docPr id="16838987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98757" name="Imagen 168389875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2312" cy="3975634"/>
                    </a:xfrm>
                    <a:prstGeom prst="rect">
                      <a:avLst/>
                    </a:prstGeom>
                  </pic:spPr>
                </pic:pic>
              </a:graphicData>
            </a:graphic>
          </wp:inline>
        </w:drawing>
      </w:r>
    </w:p>
    <w:p w14:paraId="039C01DD" w14:textId="77777777" w:rsidR="00602C19" w:rsidRDefault="00602C19" w:rsidP="006100FC"/>
    <w:p w14:paraId="44ADDD3F" w14:textId="77777777" w:rsidR="001F2C89" w:rsidRDefault="003D2F8A" w:rsidP="001F2C89">
      <w:pPr>
        <w:contextualSpacing/>
        <w:rPr>
          <w:rFonts w:eastAsia="Palatino Linotype" w:cs="Palatino Linotype"/>
          <w:szCs w:val="24"/>
        </w:rPr>
      </w:pPr>
      <w:r>
        <w:t xml:space="preserve">Como se observa, </w:t>
      </w:r>
      <w:r w:rsidR="001B76A1">
        <w:t>la página referida contiene un cúmulo de información re</w:t>
      </w:r>
      <w:r w:rsidR="00D04009">
        <w:t xml:space="preserve">lativa a la cuenta pública y estados financieros </w:t>
      </w:r>
      <w:r w:rsidR="00F97229">
        <w:t xml:space="preserve">del Sujeto Obligado </w:t>
      </w:r>
      <w:r w:rsidR="00D04009">
        <w:t xml:space="preserve">en diversos ejercicios </w:t>
      </w:r>
      <w:r w:rsidR="00F97229">
        <w:t xml:space="preserve">fiscales, </w:t>
      </w:r>
      <w:r w:rsidR="00B969AD">
        <w:t xml:space="preserve">sin que la información solicitada </w:t>
      </w:r>
      <w:r w:rsidR="00F836B4">
        <w:t xml:space="preserve">pueda ser </w:t>
      </w:r>
      <w:r w:rsidR="00320BC2">
        <w:t xml:space="preserve">consultada </w:t>
      </w:r>
      <w:r w:rsidR="001F2C89">
        <w:rPr>
          <w:rFonts w:eastAsia="Palatino Linotype" w:cs="Palatino Linotype"/>
          <w:szCs w:val="24"/>
        </w:rPr>
        <w:t xml:space="preserve">de manera directa, sino que se encuentra inmersa en información relativa a otros datos que no fueron requeridos por el particular al momento de realizar su solicitud de información. </w:t>
      </w:r>
    </w:p>
    <w:p w14:paraId="5D0D9932" w14:textId="77777777" w:rsidR="001F2C89" w:rsidRDefault="001F2C89" w:rsidP="001F2C89">
      <w:pPr>
        <w:contextualSpacing/>
        <w:rPr>
          <w:rFonts w:eastAsia="Times New Roman" w:cs="Times New Roman"/>
          <w:szCs w:val="24"/>
          <w:lang w:val="es-MX" w:eastAsia="es-ES"/>
        </w:rPr>
      </w:pPr>
    </w:p>
    <w:p w14:paraId="6DBAEECD" w14:textId="25D2FCF0" w:rsidR="001F2C89" w:rsidRPr="003B63CA" w:rsidRDefault="001F2C89" w:rsidP="001F2C89">
      <w:pPr>
        <w:rPr>
          <w:rFonts w:cs="Arial"/>
        </w:rPr>
      </w:pPr>
      <w:r>
        <w:rPr>
          <w:szCs w:val="24"/>
        </w:rPr>
        <w:t xml:space="preserve">Lo anterior es así debido a que en la página referida se puede acceder a </w:t>
      </w:r>
      <w:r w:rsidRPr="003B63CA">
        <w:rPr>
          <w:rFonts w:cs="Arial"/>
        </w:rPr>
        <w:t xml:space="preserve">un cúmulo de información sin que se advierta a simple vista cuál es la opción </w:t>
      </w:r>
      <w:r>
        <w:rPr>
          <w:rFonts w:cs="Arial"/>
        </w:rPr>
        <w:t xml:space="preserve">o el registro preciso </w:t>
      </w:r>
      <w:r w:rsidRPr="003B63CA">
        <w:rPr>
          <w:rFonts w:cs="Arial"/>
        </w:rPr>
        <w:t>para realizar la consulta de la información</w:t>
      </w:r>
      <w:r w:rsidR="00796092">
        <w:rPr>
          <w:rFonts w:cs="Arial"/>
        </w:rPr>
        <w:t xml:space="preserve"> que es del interés del hoy Recurrente</w:t>
      </w:r>
      <w:r w:rsidRPr="003B63CA">
        <w:rPr>
          <w:rFonts w:cs="Arial"/>
        </w:rPr>
        <w:t xml:space="preserve">; por tanto, </w:t>
      </w:r>
      <w:r>
        <w:rPr>
          <w:rFonts w:cs="Arial"/>
        </w:rPr>
        <w:t xml:space="preserve">el Sujeto Obligado </w:t>
      </w:r>
      <w:r w:rsidRPr="003B63CA">
        <w:rPr>
          <w:rFonts w:cs="Arial"/>
        </w:rPr>
        <w:t xml:space="preserve">dejó de observar lo estipulado en los artículos 11 y 161 de la Ley de Transparencia estatal, en los que se señalan las características que debe tener toda información entregada por los sujetos obligados desde el momento de su generación, publicación y entrega, así como la forma en que se deberá consultar la información, señalando una fuente precisa y concreta, </w:t>
      </w:r>
      <w:r>
        <w:rPr>
          <w:rFonts w:cs="Arial"/>
        </w:rPr>
        <w:t>como se establece a continuación</w:t>
      </w:r>
      <w:r w:rsidRPr="003B63CA">
        <w:rPr>
          <w:rFonts w:cs="Arial"/>
        </w:rPr>
        <w:t>:</w:t>
      </w:r>
    </w:p>
    <w:p w14:paraId="37680DEF" w14:textId="77777777" w:rsidR="001F2C89" w:rsidRPr="003B63CA" w:rsidRDefault="001F2C89" w:rsidP="001F2C89">
      <w:pPr>
        <w:rPr>
          <w:rFonts w:cs="Arial"/>
        </w:rPr>
      </w:pPr>
    </w:p>
    <w:p w14:paraId="2DEB4D09" w14:textId="77777777" w:rsidR="001F2C89" w:rsidRPr="003B63CA" w:rsidRDefault="001F2C89" w:rsidP="001F2C89">
      <w:pPr>
        <w:spacing w:line="240" w:lineRule="auto"/>
        <w:ind w:left="567" w:right="567"/>
        <w:rPr>
          <w:rFonts w:eastAsia="Times New Roman" w:cs="Times New Roman"/>
          <w:i/>
          <w:sz w:val="22"/>
          <w:szCs w:val="24"/>
          <w:lang w:eastAsia="es-ES"/>
        </w:rPr>
      </w:pPr>
      <w:r w:rsidRPr="003B63CA">
        <w:rPr>
          <w:rFonts w:eastAsia="Times New Roman" w:cs="Times New Roman"/>
          <w:b/>
          <w:bCs/>
          <w:i/>
          <w:sz w:val="22"/>
          <w:szCs w:val="24"/>
          <w:lang w:eastAsia="es-ES"/>
        </w:rPr>
        <w:t>Artículo 11.</w:t>
      </w:r>
      <w:r w:rsidRPr="003B63CA">
        <w:rPr>
          <w:rFonts w:eastAsia="Times New Roman" w:cs="Times New Roman"/>
          <w:i/>
          <w:sz w:val="22"/>
          <w:szCs w:val="24"/>
          <w:lang w:eastAsia="es-ES"/>
        </w:rPr>
        <w:t xml:space="preserve"> </w:t>
      </w:r>
      <w:r w:rsidRPr="003B63CA">
        <w:rPr>
          <w:rFonts w:eastAsia="Times New Roman" w:cs="Times New Roman"/>
          <w:b/>
          <w:i/>
          <w:sz w:val="22"/>
          <w:szCs w:val="24"/>
          <w:u w:val="single"/>
          <w:lang w:eastAsia="es-ES"/>
        </w:rPr>
        <w:t>En la generación, publicación y entrega de información se deberá garantizar que ésta sea accesible</w:t>
      </w:r>
      <w:r w:rsidRPr="003B63CA">
        <w:rPr>
          <w:rFonts w:eastAsia="Times New Roman" w:cs="Times New Roman"/>
          <w:i/>
          <w:sz w:val="22"/>
          <w:szCs w:val="24"/>
          <w:lang w:eastAsia="es-ES"/>
        </w:rPr>
        <w:t>,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36F7297D" w14:textId="77777777" w:rsidR="001F2C89" w:rsidRPr="003B63CA" w:rsidRDefault="001F2C89" w:rsidP="001F2C89">
      <w:pPr>
        <w:spacing w:line="240" w:lineRule="auto"/>
        <w:ind w:left="567" w:right="567"/>
        <w:rPr>
          <w:rFonts w:eastAsia="Times New Roman" w:cs="Times New Roman"/>
          <w:i/>
          <w:sz w:val="22"/>
          <w:szCs w:val="24"/>
          <w:lang w:eastAsia="es-ES"/>
        </w:rPr>
      </w:pPr>
      <w:r>
        <w:rPr>
          <w:rFonts w:eastAsia="Times New Roman" w:cs="Times New Roman"/>
          <w:i/>
          <w:sz w:val="22"/>
          <w:szCs w:val="24"/>
          <w:lang w:eastAsia="es-ES"/>
        </w:rPr>
        <w:t>[…]</w:t>
      </w:r>
    </w:p>
    <w:p w14:paraId="42FF645F" w14:textId="77777777" w:rsidR="001F2C89" w:rsidRPr="003B63CA" w:rsidRDefault="001F2C89" w:rsidP="001F2C89">
      <w:pPr>
        <w:spacing w:line="240" w:lineRule="auto"/>
        <w:ind w:left="567" w:right="567"/>
        <w:rPr>
          <w:rFonts w:eastAsia="Times New Roman" w:cs="Times New Roman"/>
          <w:i/>
          <w:sz w:val="22"/>
          <w:szCs w:val="24"/>
          <w:lang w:eastAsia="es-ES"/>
        </w:rPr>
      </w:pPr>
    </w:p>
    <w:p w14:paraId="5ABA60AF" w14:textId="77777777" w:rsidR="001F2C89" w:rsidRPr="003B63CA" w:rsidRDefault="001F2C89" w:rsidP="001F2C89">
      <w:pPr>
        <w:spacing w:line="240" w:lineRule="auto"/>
        <w:ind w:left="567" w:right="567"/>
        <w:rPr>
          <w:rFonts w:eastAsia="Times New Roman" w:cs="Times New Roman"/>
          <w:i/>
          <w:iCs/>
          <w:sz w:val="22"/>
          <w:lang w:val="es-ES" w:eastAsia="es-ES"/>
        </w:rPr>
      </w:pPr>
      <w:r w:rsidRPr="191C1B50">
        <w:rPr>
          <w:rFonts w:eastAsia="Times New Roman" w:cs="Times New Roman"/>
          <w:b/>
          <w:bCs/>
          <w:i/>
          <w:iCs/>
          <w:sz w:val="22"/>
          <w:lang w:val="es-ES" w:eastAsia="es-ES"/>
        </w:rPr>
        <w:t>Artículo 161.</w:t>
      </w:r>
      <w:r w:rsidRPr="191C1B50">
        <w:rPr>
          <w:rFonts w:eastAsia="Times New Roman" w:cs="Times New Roman"/>
          <w:i/>
          <w:iCs/>
          <w:sz w:val="22"/>
          <w:lang w:val="es-ES" w:eastAsia="es-ES"/>
        </w:rPr>
        <w:t xml:space="preserve"> </w:t>
      </w:r>
      <w:r w:rsidRPr="191C1B50">
        <w:rPr>
          <w:rFonts w:eastAsia="Times New Roman" w:cs="Times New Roman"/>
          <w:b/>
          <w:bCs/>
          <w:i/>
          <w:iCs/>
          <w:sz w:val="22"/>
          <w:u w:val="single"/>
          <w:lang w:val="es-ES" w:eastAsia="es-ES"/>
        </w:rPr>
        <w:t>Cuando la información requerida por el solicitante ya esté</w:t>
      </w:r>
      <w:r w:rsidRPr="191C1B50">
        <w:rPr>
          <w:rFonts w:eastAsia="Times New Roman" w:cs="Times New Roman"/>
          <w:i/>
          <w:iCs/>
          <w:sz w:val="22"/>
          <w:lang w:val="es-ES" w:eastAsia="es-ES"/>
        </w:rPr>
        <w:t xml:space="preserve"> disponible al público en medios impresos, tales como libros, compendios, trípticos, registros públicos, en formatos electrónicos </w:t>
      </w:r>
      <w:r w:rsidRPr="191C1B50">
        <w:rPr>
          <w:rFonts w:eastAsia="Times New Roman" w:cs="Times New Roman"/>
          <w:b/>
          <w:bCs/>
          <w:i/>
          <w:iCs/>
          <w:sz w:val="22"/>
          <w:u w:val="single"/>
          <w:lang w:val="es-ES" w:eastAsia="es-ES"/>
        </w:rPr>
        <w:t>disponibles en Internet</w:t>
      </w:r>
      <w:r w:rsidRPr="191C1B50">
        <w:rPr>
          <w:rFonts w:eastAsia="Times New Roman" w:cs="Times New Roman"/>
          <w:i/>
          <w:iCs/>
          <w:sz w:val="22"/>
          <w:lang w:val="es-ES" w:eastAsia="es-ES"/>
        </w:rPr>
        <w:t xml:space="preserve"> o en cualquier otro medio, </w:t>
      </w:r>
      <w:r w:rsidRPr="191C1B50">
        <w:rPr>
          <w:rFonts w:eastAsia="Times New Roman" w:cs="Times New Roman"/>
          <w:b/>
          <w:bCs/>
          <w:i/>
          <w:iCs/>
          <w:sz w:val="22"/>
          <w:u w:val="single"/>
          <w:lang w:val="es-ES" w:eastAsia="es-ES"/>
        </w:rPr>
        <w:t xml:space="preserve">se le hará saber por el medio requerido por el solicitante la fuente, el lugar y la forma en que puede consultar, reproducir o adquirir dicha información en un plazo no mayor a cinco días </w:t>
      </w:r>
      <w:r w:rsidRPr="191C1B50">
        <w:rPr>
          <w:rFonts w:eastAsia="Times New Roman" w:cs="Times New Roman"/>
          <w:b/>
          <w:bCs/>
          <w:i/>
          <w:iCs/>
          <w:sz w:val="22"/>
          <w:u w:val="single"/>
          <w:lang w:val="es-ES" w:eastAsia="es-ES"/>
        </w:rPr>
        <w:lastRenderedPageBreak/>
        <w:t>hábiles. La fuente deberá ser precisa y concreta y no debe implicar que el solicitante realice una búsqueda en toda la información que se encuentre disponible.</w:t>
      </w:r>
    </w:p>
    <w:p w14:paraId="3B1C010D" w14:textId="77777777" w:rsidR="001F2C89" w:rsidRPr="003B63CA" w:rsidRDefault="001F2C89" w:rsidP="001F2C89">
      <w:pPr>
        <w:rPr>
          <w:rFonts w:cs="Arial"/>
        </w:rPr>
      </w:pPr>
    </w:p>
    <w:p w14:paraId="3C6123A5" w14:textId="77777777" w:rsidR="001F2C89" w:rsidRPr="003B63CA" w:rsidRDefault="001F2C89" w:rsidP="001F2C89">
      <w:pPr>
        <w:rPr>
          <w:rFonts w:cs="Arial"/>
        </w:rPr>
      </w:pPr>
      <w:r w:rsidRPr="003B63CA">
        <w:rPr>
          <w:rFonts w:cs="Arial"/>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75A13533" w14:textId="77777777" w:rsidR="001F2C89" w:rsidRPr="003B63CA" w:rsidRDefault="001F2C89" w:rsidP="001F2C89">
      <w:pPr>
        <w:rPr>
          <w:rFonts w:cs="Arial"/>
        </w:rPr>
      </w:pPr>
    </w:p>
    <w:p w14:paraId="4482D193" w14:textId="77777777" w:rsidR="001F2C89" w:rsidRPr="003B63CA" w:rsidRDefault="001F2C89" w:rsidP="00105685">
      <w:pPr>
        <w:numPr>
          <w:ilvl w:val="0"/>
          <w:numId w:val="23"/>
        </w:numPr>
        <w:rPr>
          <w:rFonts w:eastAsia="Times New Roman" w:cs="Arial"/>
          <w:szCs w:val="24"/>
          <w:lang w:eastAsia="es-ES"/>
        </w:rPr>
      </w:pPr>
      <w:r w:rsidRPr="003B63CA">
        <w:rPr>
          <w:rFonts w:eastAsia="Times New Roman" w:cs="Arial"/>
          <w:szCs w:val="24"/>
          <w:lang w:eastAsia="es-ES"/>
        </w:rPr>
        <w:t>La fuente,</w:t>
      </w:r>
    </w:p>
    <w:p w14:paraId="69AECB64" w14:textId="77777777" w:rsidR="001F2C89" w:rsidRPr="003B63CA" w:rsidRDefault="001F2C89" w:rsidP="00105685">
      <w:pPr>
        <w:numPr>
          <w:ilvl w:val="0"/>
          <w:numId w:val="23"/>
        </w:numPr>
        <w:rPr>
          <w:rFonts w:eastAsia="Times New Roman" w:cs="Arial"/>
          <w:szCs w:val="24"/>
          <w:lang w:eastAsia="es-ES"/>
        </w:rPr>
      </w:pPr>
      <w:r w:rsidRPr="003B63CA">
        <w:rPr>
          <w:rFonts w:eastAsia="Times New Roman" w:cs="Arial"/>
          <w:szCs w:val="24"/>
          <w:lang w:eastAsia="es-ES"/>
        </w:rPr>
        <w:t>El lugar, y</w:t>
      </w:r>
    </w:p>
    <w:p w14:paraId="71BDB71B" w14:textId="77777777" w:rsidR="001F2C89" w:rsidRPr="003B63CA" w:rsidRDefault="001F2C89" w:rsidP="00105685">
      <w:pPr>
        <w:numPr>
          <w:ilvl w:val="0"/>
          <w:numId w:val="23"/>
        </w:numPr>
        <w:rPr>
          <w:rFonts w:eastAsia="Times New Roman" w:cs="Arial"/>
          <w:szCs w:val="24"/>
          <w:lang w:eastAsia="es-ES"/>
        </w:rPr>
      </w:pPr>
      <w:r w:rsidRPr="003B63CA">
        <w:rPr>
          <w:rFonts w:eastAsia="Times New Roman" w:cs="Arial"/>
          <w:szCs w:val="24"/>
          <w:lang w:eastAsia="es-ES"/>
        </w:rPr>
        <w:t xml:space="preserve">La forma. </w:t>
      </w:r>
    </w:p>
    <w:p w14:paraId="162689B6" w14:textId="77777777" w:rsidR="001F2C89" w:rsidRPr="003B63CA" w:rsidRDefault="001F2C89" w:rsidP="001F2C89">
      <w:pPr>
        <w:rPr>
          <w:rFonts w:cs="Arial"/>
        </w:rPr>
      </w:pPr>
    </w:p>
    <w:p w14:paraId="5F7DCB2E" w14:textId="77777777" w:rsidR="001F2C89" w:rsidRPr="003B63CA" w:rsidRDefault="001F2C89" w:rsidP="001F2C89">
      <w:pPr>
        <w:rPr>
          <w:rFonts w:cs="Arial"/>
        </w:rPr>
      </w:pPr>
      <w:r w:rsidRPr="003B63CA">
        <w:rPr>
          <w:rFonts w:cs="Arial"/>
        </w:rPr>
        <w:t>Asimismo, se establece que la fuente de la información deberá ser:</w:t>
      </w:r>
    </w:p>
    <w:p w14:paraId="77E88929" w14:textId="77777777" w:rsidR="001F2C89" w:rsidRPr="003B63CA" w:rsidRDefault="001F2C89" w:rsidP="001F2C89">
      <w:pPr>
        <w:rPr>
          <w:rFonts w:cs="Arial"/>
        </w:rPr>
      </w:pPr>
    </w:p>
    <w:p w14:paraId="2EE2E7DA" w14:textId="77777777" w:rsidR="001F2C89" w:rsidRPr="003B63CA" w:rsidRDefault="001F2C89" w:rsidP="00105685">
      <w:pPr>
        <w:numPr>
          <w:ilvl w:val="0"/>
          <w:numId w:val="24"/>
        </w:numPr>
        <w:rPr>
          <w:rFonts w:eastAsia="Times New Roman" w:cs="Arial"/>
          <w:szCs w:val="24"/>
          <w:lang w:eastAsia="es-ES"/>
        </w:rPr>
      </w:pPr>
      <w:r w:rsidRPr="003B63CA">
        <w:rPr>
          <w:rFonts w:eastAsia="Times New Roman" w:cs="Arial"/>
          <w:szCs w:val="24"/>
          <w:lang w:eastAsia="es-ES"/>
        </w:rPr>
        <w:t>Precisa,</w:t>
      </w:r>
    </w:p>
    <w:p w14:paraId="51E556B5" w14:textId="77777777" w:rsidR="001F2C89" w:rsidRPr="003B63CA" w:rsidRDefault="001F2C89" w:rsidP="00105685">
      <w:pPr>
        <w:numPr>
          <w:ilvl w:val="0"/>
          <w:numId w:val="24"/>
        </w:numPr>
        <w:rPr>
          <w:rFonts w:eastAsia="Times New Roman" w:cs="Arial"/>
          <w:szCs w:val="24"/>
          <w:lang w:eastAsia="es-ES"/>
        </w:rPr>
      </w:pPr>
      <w:r w:rsidRPr="003B63CA">
        <w:rPr>
          <w:rFonts w:eastAsia="Times New Roman" w:cs="Arial"/>
          <w:szCs w:val="24"/>
          <w:lang w:eastAsia="es-ES"/>
        </w:rPr>
        <w:t>Concreta,</w:t>
      </w:r>
    </w:p>
    <w:p w14:paraId="663C46A7" w14:textId="77777777" w:rsidR="001F2C89" w:rsidRPr="003B63CA" w:rsidRDefault="001F2C89" w:rsidP="00105685">
      <w:pPr>
        <w:numPr>
          <w:ilvl w:val="0"/>
          <w:numId w:val="24"/>
        </w:numPr>
        <w:rPr>
          <w:rFonts w:eastAsia="Times New Roman" w:cs="Arial"/>
          <w:szCs w:val="24"/>
          <w:lang w:eastAsia="es-ES"/>
        </w:rPr>
      </w:pPr>
      <w:r w:rsidRPr="003B63CA">
        <w:rPr>
          <w:rFonts w:eastAsia="Times New Roman" w:cs="Arial"/>
          <w:szCs w:val="24"/>
          <w:lang w:eastAsia="es-ES"/>
        </w:rPr>
        <w:t>Y no debe implicar que el solicitante realice una búsqueda en toda la información que se encuentre disponible.</w:t>
      </w:r>
    </w:p>
    <w:p w14:paraId="316F59E6" w14:textId="77777777" w:rsidR="001F2C89" w:rsidRPr="003B63CA" w:rsidRDefault="001F2C89" w:rsidP="001F2C89">
      <w:pPr>
        <w:rPr>
          <w:rFonts w:cs="Arial"/>
        </w:rPr>
      </w:pPr>
    </w:p>
    <w:p w14:paraId="17D88F3E" w14:textId="77777777" w:rsidR="001F2C89" w:rsidRPr="00C84070" w:rsidRDefault="001F2C89" w:rsidP="001F2C89">
      <w:pPr>
        <w:rPr>
          <w:rFonts w:cs="Arial"/>
          <w:lang w:val="es-ES"/>
        </w:rPr>
      </w:pPr>
      <w:r w:rsidRPr="191C1B50">
        <w:rPr>
          <w:rFonts w:cs="Arial"/>
          <w:lang w:val="es-ES"/>
        </w:rPr>
        <w:t xml:space="preserve">Imperativos legales que establecen el procedimiento que debe seguir el Sujeto Obligado para que pueda tomarse como válida su orientación sobre la forma en que puede consultar la información requerida, y que, en el caso en concreto, no acontece; ello porque el Sujeto Obligado no hizo del conocimiento del Recurrente la fuente de la información </w:t>
      </w:r>
      <w:r w:rsidRPr="191C1B50">
        <w:rPr>
          <w:rFonts w:cs="Arial"/>
          <w:lang w:val="es-ES"/>
        </w:rPr>
        <w:lastRenderedPageBreak/>
        <w:t>dentro del término establecido, así como únicamente se limitó a indicar la dirección electrónica en la que manifestó que consta lo solicitado, sin que señalara puntualmente el procedimiento que el particular debe seguir para acceder a la información requerida, lo que implica que la fuente no sea precisa; asimismo, no se estima que sea concreta debido a que ésta resulta abstracta y genera incertidumbre entre el cúmulo de información que se observa en el contenido de las carpetas referidas; y por último, la fuente implica que el solicitante realice una búsqueda en toda la información que se encuentra disponible, lo que a todas luces transgrede el numeral citado; y por ende, no se puede considerar que lo manifestado por el Sujeto Obligado colme la pretensión del Recurrente.</w:t>
      </w:r>
    </w:p>
    <w:p w14:paraId="09F4B62B" w14:textId="69FC0A53" w:rsidR="00602C19" w:rsidRPr="001F2C89" w:rsidRDefault="00602C19" w:rsidP="006100FC">
      <w:pPr>
        <w:rPr>
          <w:lang w:val="es-ES"/>
        </w:rPr>
      </w:pPr>
    </w:p>
    <w:p w14:paraId="0DA54AEE" w14:textId="3DFE39FD" w:rsidR="00724FCA" w:rsidRDefault="0016692B" w:rsidP="00724FCA">
      <w:r>
        <w:t xml:space="preserve">Ahora bien, </w:t>
      </w:r>
      <w:r w:rsidR="006671AE">
        <w:t xml:space="preserve">debido a que también se hizo referencia a que la información estaba puesta a disposición del Recurrente en las instalaciones de la Tesorería Municipal, se </w:t>
      </w:r>
      <w:r w:rsidR="00724FCA" w:rsidRPr="00191E53">
        <w:t xml:space="preserve">estima conveniente </w:t>
      </w:r>
      <w:r w:rsidR="00230B47">
        <w:t>delimitar</w:t>
      </w:r>
      <w:r w:rsidR="00724FCA" w:rsidRPr="00191E53">
        <w:t xml:space="preserve"> el estudio de la presente resolución al cambio en la modalidad a consulta directa, propuesto por el Sujeto Obligado, pues son estos actos los que, a consideración del Recurrente, le causan agravio a su derecho de acceso a la información.</w:t>
      </w:r>
    </w:p>
    <w:p w14:paraId="193839F2" w14:textId="77777777" w:rsidR="00724FCA" w:rsidRDefault="00724FCA" w:rsidP="00724FCA"/>
    <w:p w14:paraId="1D13B635" w14:textId="5BAE2E92" w:rsidR="00724FCA" w:rsidRDefault="00724FCA" w:rsidP="00724FCA">
      <w:r w:rsidRPr="00992A0D">
        <w:t>As</w:t>
      </w:r>
      <w:r w:rsidR="00230B47">
        <w:t>í</w:t>
      </w:r>
      <w:r w:rsidRPr="00992A0D">
        <w:t xml:space="preserve">, es de destacar que la información fue requerida a través del SAIMEX; sin embargo, mediante respuesta a la solicitud de información, el Sujeto Obligado </w:t>
      </w:r>
      <w:r>
        <w:t xml:space="preserve">de manera unilateral realizó un cambio en la modalidad de entrega y puso </w:t>
      </w:r>
      <w:r w:rsidRPr="00992A0D">
        <w:t>a disposición de</w:t>
      </w:r>
      <w:r w:rsidR="00230B47">
        <w:t>l</w:t>
      </w:r>
      <w:r w:rsidRPr="00992A0D">
        <w:t xml:space="preserve"> Recurrente la información</w:t>
      </w:r>
      <w:r>
        <w:t xml:space="preserve"> mediante consulta directa en las instalaciones de la Tesorería Municipal, sin que se motivara o fundara dicho cambio en la modalidad de entrega, pues únicamente se adujo que </w:t>
      </w:r>
      <w:r w:rsidR="003C7B00">
        <w:t xml:space="preserve">dicho cambio deriva de la carga de trabajo de las áreas, la falta de capacidad </w:t>
      </w:r>
      <w:r w:rsidR="003C7B00">
        <w:lastRenderedPageBreak/>
        <w:t>técnica, humana, material y por las más de mil ciento sesenta y cuatro solicitudes</w:t>
      </w:r>
      <w:r w:rsidR="00331040">
        <w:t xml:space="preserve"> que se plantearon a las distintas áreas de la administración pública municipal.</w:t>
      </w:r>
    </w:p>
    <w:p w14:paraId="5DA9C197" w14:textId="77777777" w:rsidR="00724FCA" w:rsidRDefault="00724FCA" w:rsidP="00724FCA"/>
    <w:p w14:paraId="18201703" w14:textId="026C2412" w:rsidR="00724FCA" w:rsidRDefault="00724FCA" w:rsidP="00724FCA">
      <w:pPr>
        <w:contextualSpacing/>
        <w:rPr>
          <w:rFonts w:eastAsia="Palatino Linotype" w:cs="Palatino Linotype"/>
          <w:szCs w:val="24"/>
        </w:rPr>
      </w:pPr>
      <w:r>
        <w:rPr>
          <w:rFonts w:eastAsia="Palatino Linotype" w:cs="Palatino Linotype"/>
          <w:szCs w:val="24"/>
        </w:rPr>
        <w:t xml:space="preserve">Al respecto, el día </w:t>
      </w:r>
      <w:r w:rsidR="00577DF3">
        <w:rPr>
          <w:rFonts w:eastAsia="Palatino Linotype" w:cs="Palatino Linotype"/>
          <w:szCs w:val="24"/>
        </w:rPr>
        <w:t>trece</w:t>
      </w:r>
      <w:r>
        <w:rPr>
          <w:rFonts w:eastAsia="Palatino Linotype" w:cs="Palatino Linotype"/>
          <w:szCs w:val="24"/>
        </w:rPr>
        <w:t xml:space="preserve"> de noviembre de dos mil veinticuatro se remitió un correo al Sujeto Obligado con la finalidad de que, para acreditar la necesidad del cambio de modalidad, manifestara </w:t>
      </w:r>
      <w:r w:rsidRPr="00571CA3">
        <w:rPr>
          <w:rFonts w:eastAsia="Palatino Linotype" w:cs="Palatino Linotype"/>
          <w:szCs w:val="24"/>
        </w:rPr>
        <w:t>las razones y fundamentos que sustenten el cambio de modalidad mediante el reporte de incidencias ante la Dirección General de Informática de este Instituto, señalando con la mayor precisión el volumen de la información solicitada a fin de que el área competente confirme que se sobrep</w:t>
      </w:r>
      <w:r>
        <w:rPr>
          <w:rFonts w:eastAsia="Palatino Linotype" w:cs="Palatino Linotype"/>
          <w:szCs w:val="24"/>
        </w:rPr>
        <w:t>asan las capacidades del SAIMEX. Empero, el Sujeto Obligado no dio contestación al mencionado correo electrónico.</w:t>
      </w:r>
    </w:p>
    <w:p w14:paraId="5474990B" w14:textId="77777777" w:rsidR="00724FCA" w:rsidRDefault="00724FCA" w:rsidP="00724FCA"/>
    <w:p w14:paraId="5E6D7DD5" w14:textId="222EC17B" w:rsidR="00B47E9A" w:rsidRDefault="00B47E9A" w:rsidP="00B47E9A">
      <w:r>
        <w:t>Por lo anterior</w:t>
      </w:r>
      <w:r w:rsidRPr="00992A0D">
        <w:t>, se solicitó mediante correo electrónico oficial a la Dirección General de Informática de este Instituto, el informe respecto a si existió reporte de incidencias realizado por el S</w:t>
      </w:r>
      <w:r>
        <w:t xml:space="preserve">ujeto Obligado en el presente </w:t>
      </w:r>
      <w:r w:rsidRPr="00A64201">
        <w:t xml:space="preserve">recurso de revisión, por lo que mediante correo electrónico de fecha </w:t>
      </w:r>
      <w:r>
        <w:t>veinte de noviembre</w:t>
      </w:r>
      <w:r w:rsidRPr="00A64201">
        <w:t xml:space="preserve"> de dos mil veinticuatro, la Dirección General de Informática de este Instituto de Transparencia, Acceso a la Información</w:t>
      </w:r>
      <w:r w:rsidRPr="00992A0D">
        <w:t xml:space="preserve"> Pública y Protección de Datos Personales del Estado de México y Municipios, notificó a esta Ponencia que no se tiene reporte de llamada alguna, ni tampoco se tiene registro de incidencia por parte del Sujeto Obligado </w:t>
      </w:r>
      <w:r>
        <w:t>al respecto.</w:t>
      </w:r>
    </w:p>
    <w:p w14:paraId="7E1584EB" w14:textId="77777777" w:rsidR="00B57FD2" w:rsidRDefault="00B57FD2" w:rsidP="006100FC"/>
    <w:p w14:paraId="3EA89497" w14:textId="77777777" w:rsidR="004F7B93" w:rsidRPr="00992A0D" w:rsidRDefault="004F7B93" w:rsidP="004F7B93">
      <w:r w:rsidRPr="00992A0D">
        <w:t xml:space="preserve">Asimismo informó que en relación al peso máximo de archivos que soporta el SAIMEX para adjuntar como respuesta a las solicitudes de información, se puedan adjuntar archivos con un peso aproximado de hasta 500 Mb o un equivalente de hasta 8,000 hojas, </w:t>
      </w:r>
      <w:r w:rsidRPr="00992A0D">
        <w:lastRenderedPageBreak/>
        <w:t xml:space="preserve">garantizando que el ciudadano no tenga problemas en la descarga de la información usando conexiones a internet convencionales bajo parámetros de escaneo en resolución máxima de 150Dpi's, escala de grises y formato </w:t>
      </w:r>
      <w:r>
        <w:t>«</w:t>
      </w:r>
      <w:r w:rsidRPr="00992A0D">
        <w:t>PDF</w:t>
      </w:r>
      <w:r>
        <w:t>»</w:t>
      </w:r>
      <w:r w:rsidRPr="00992A0D">
        <w:t xml:space="preserve"> extraído directamente del escáner.</w:t>
      </w:r>
    </w:p>
    <w:p w14:paraId="64592957" w14:textId="77777777" w:rsidR="004F7B93" w:rsidRDefault="004F7B93" w:rsidP="004F7B93">
      <w:pPr>
        <w:contextualSpacing/>
        <w:rPr>
          <w:rFonts w:eastAsia="Palatino Linotype" w:cs="Palatino Linotype"/>
          <w:szCs w:val="24"/>
        </w:rPr>
      </w:pPr>
    </w:p>
    <w:p w14:paraId="4B93C932" w14:textId="77777777" w:rsidR="004F7B93" w:rsidRDefault="004F7B93" w:rsidP="004F7B93">
      <w:r w:rsidRPr="00992A0D">
        <w:t>Por lo anterior, es de concluirse en este punto, que el Sujeto Obligado no acredita la necesidad del cambio de modalidad de la entrega de información, en consecuencia, es dable ordenar la entrega de la información en la vía peticionada, es decir a través del SAIMEX, al no tenerse por cumplidos los requisitos de procedencia.</w:t>
      </w:r>
    </w:p>
    <w:p w14:paraId="2AE98177" w14:textId="77777777" w:rsidR="004157F1" w:rsidRDefault="004157F1" w:rsidP="004F7B93"/>
    <w:p w14:paraId="1C16A59A" w14:textId="2FEEE842" w:rsidR="004157F1" w:rsidRPr="004157F1" w:rsidRDefault="004157F1" w:rsidP="004157F1">
      <w:pPr>
        <w:rPr>
          <w:lang w:val="es-MX"/>
        </w:rPr>
      </w:pPr>
      <w:r w:rsidRPr="004157F1">
        <w:rPr>
          <w:lang w:val="es-MX"/>
        </w:rPr>
        <w:t xml:space="preserve">En ese tenor, </w:t>
      </w:r>
      <w:r>
        <w:rPr>
          <w:lang w:val="es-MX"/>
        </w:rPr>
        <w:t xml:space="preserve">se debe resaltar que </w:t>
      </w:r>
      <w:r w:rsidRPr="004157F1">
        <w:rPr>
          <w:lang w:val="es-MX"/>
        </w:rPr>
        <w:t>las tesorerías municipales tienen atribuciones para generar la información relativa a las erogaciones de los ayuntamientos, como está establecido en los artículos 93 y 95 fracción XXII de la Ley Orgánica Municipal del Estado de México, como se observa a continuación:</w:t>
      </w:r>
    </w:p>
    <w:p w14:paraId="2BDBD0ED" w14:textId="56B97416" w:rsidR="004157F1" w:rsidRPr="004157F1" w:rsidRDefault="004157F1" w:rsidP="004157F1">
      <w:pPr>
        <w:pStyle w:val="NormalINFOEM"/>
        <w:rPr>
          <w:lang w:val="es-MX"/>
        </w:rPr>
      </w:pPr>
    </w:p>
    <w:p w14:paraId="2AEACE9E" w14:textId="43C5545D" w:rsidR="004157F1" w:rsidRPr="004157F1" w:rsidRDefault="004157F1" w:rsidP="004157F1">
      <w:pPr>
        <w:pStyle w:val="Fundamentos"/>
      </w:pPr>
      <w:r w:rsidRPr="004157F1">
        <w:rPr>
          <w:b/>
          <w:bCs/>
        </w:rPr>
        <w:t>Artículo 93.-</w:t>
      </w:r>
      <w:r>
        <w:t xml:space="preserve"> </w:t>
      </w:r>
      <w:r w:rsidRPr="004157F1">
        <w:t>La tesorería municipal es</w:t>
      </w:r>
      <w:r>
        <w:t xml:space="preserve"> </w:t>
      </w:r>
      <w:r w:rsidRPr="004157F1">
        <w:t>el órgano encargado de la recaudación de los ingresos municipales y</w:t>
      </w:r>
      <w:r>
        <w:t xml:space="preserve"> </w:t>
      </w:r>
      <w:r w:rsidRPr="004157F1">
        <w:t>responsable de realizar las erogaciones que haga el ayuntamiento.</w:t>
      </w:r>
    </w:p>
    <w:p w14:paraId="0D0557EC" w14:textId="117CE81E" w:rsidR="004157F1" w:rsidRPr="004157F1" w:rsidRDefault="004157F1" w:rsidP="004157F1">
      <w:pPr>
        <w:pStyle w:val="Fundamentos"/>
      </w:pPr>
    </w:p>
    <w:p w14:paraId="210AA804" w14:textId="0146BAE7" w:rsidR="004157F1" w:rsidRPr="004157F1" w:rsidRDefault="004157F1" w:rsidP="004157F1">
      <w:pPr>
        <w:pStyle w:val="Fundamentos"/>
      </w:pPr>
      <w:r w:rsidRPr="004157F1">
        <w:rPr>
          <w:b/>
          <w:bCs/>
        </w:rPr>
        <w:t>Artículo 95.-</w:t>
      </w:r>
      <w:r>
        <w:t xml:space="preserve"> </w:t>
      </w:r>
      <w:r w:rsidRPr="004157F1">
        <w:t>Son atribuciones del tesorero municipal:</w:t>
      </w:r>
    </w:p>
    <w:p w14:paraId="30DC6C88" w14:textId="53CC5A6B" w:rsidR="004157F1" w:rsidRPr="004157F1" w:rsidRDefault="004157F1" w:rsidP="004157F1">
      <w:pPr>
        <w:pStyle w:val="Fundamentos"/>
      </w:pPr>
      <w:r>
        <w:t>[…]</w:t>
      </w:r>
    </w:p>
    <w:p w14:paraId="133C7766" w14:textId="7DA33090" w:rsidR="004157F1" w:rsidRPr="004157F1" w:rsidRDefault="004157F1" w:rsidP="004157F1">
      <w:pPr>
        <w:pStyle w:val="Fundamentos"/>
      </w:pPr>
      <w:r w:rsidRPr="004157F1">
        <w:t>XXII.</w:t>
      </w:r>
      <w:r>
        <w:t xml:space="preserve"> </w:t>
      </w:r>
      <w:r w:rsidRPr="004157F1">
        <w:t>Las que les señalen las demás disposiciones legales y el ayuntamiento.</w:t>
      </w:r>
    </w:p>
    <w:p w14:paraId="54640702" w14:textId="77777777" w:rsidR="004157F1" w:rsidRDefault="004157F1" w:rsidP="004157F1">
      <w:pPr>
        <w:pStyle w:val="NormalINFOEM"/>
        <w:rPr>
          <w:lang w:val="es-MX"/>
        </w:rPr>
      </w:pPr>
    </w:p>
    <w:p w14:paraId="2FA503C1" w14:textId="09213227" w:rsidR="00AC2417" w:rsidRDefault="00AC2417" w:rsidP="004157F1">
      <w:pPr>
        <w:pStyle w:val="NormalINFOEM"/>
        <w:rPr>
          <w:lang w:val="es-MX"/>
        </w:rPr>
      </w:pPr>
      <w:r>
        <w:rPr>
          <w:lang w:val="es-MX"/>
        </w:rPr>
        <w:t xml:space="preserve">En ese mismo sentido, se tiene que la </w:t>
      </w:r>
      <w:r w:rsidR="007677D3">
        <w:rPr>
          <w:lang w:val="es-MX"/>
        </w:rPr>
        <w:t xml:space="preserve">publicación de la </w:t>
      </w:r>
      <w:r>
        <w:rPr>
          <w:lang w:val="es-MX"/>
        </w:rPr>
        <w:t xml:space="preserve">información relativa a los proveedores se considera como una </w:t>
      </w:r>
      <w:r w:rsidR="00446D2E">
        <w:rPr>
          <w:lang w:val="es-MX"/>
        </w:rPr>
        <w:t xml:space="preserve">de las obligaciones de transparencia comunes, como lo establece el artículo 92 fracción </w:t>
      </w:r>
      <w:r w:rsidR="00801463">
        <w:rPr>
          <w:lang w:val="es-MX"/>
        </w:rPr>
        <w:t>XXXVI</w:t>
      </w:r>
      <w:r w:rsidR="00FE0B31">
        <w:rPr>
          <w:lang w:val="es-MX"/>
        </w:rPr>
        <w:t xml:space="preserve"> de la Ley de Transparencia estatal, que a la letra dispone lo siguiente:</w:t>
      </w:r>
    </w:p>
    <w:p w14:paraId="2E589747" w14:textId="77777777" w:rsidR="00FE0B31" w:rsidRDefault="00FE0B31" w:rsidP="004157F1">
      <w:pPr>
        <w:pStyle w:val="NormalINFOEM"/>
        <w:rPr>
          <w:lang w:val="es-MX"/>
        </w:rPr>
      </w:pPr>
    </w:p>
    <w:p w14:paraId="259F70D9" w14:textId="77777777" w:rsidR="00F821C1" w:rsidRPr="00F821C1" w:rsidRDefault="00F821C1" w:rsidP="009E1CAE">
      <w:pPr>
        <w:pStyle w:val="Fundamentos"/>
        <w:rPr>
          <w:lang w:val="es-MX"/>
        </w:rPr>
      </w:pPr>
      <w:r w:rsidRPr="00F821C1">
        <w:rPr>
          <w:b/>
          <w:lang w:val="es-MX"/>
        </w:rPr>
        <w:lastRenderedPageBreak/>
        <w:t xml:space="preserve">Artículo 92. </w:t>
      </w:r>
      <w:r w:rsidRPr="00F821C1">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C016A52" w14:textId="24005319" w:rsidR="00FE0B31" w:rsidRDefault="00F821C1" w:rsidP="009E1CAE">
      <w:pPr>
        <w:pStyle w:val="Fundamentos"/>
        <w:rPr>
          <w:lang w:val="es-MX"/>
        </w:rPr>
      </w:pPr>
      <w:r>
        <w:rPr>
          <w:lang w:val="es-MX"/>
        </w:rPr>
        <w:t>[…]</w:t>
      </w:r>
    </w:p>
    <w:p w14:paraId="0E387342" w14:textId="2E420484" w:rsidR="00FE0B31" w:rsidRDefault="00D21CEF" w:rsidP="009E1CAE">
      <w:pPr>
        <w:pStyle w:val="Fundamentos"/>
        <w:rPr>
          <w:lang w:val="es-MX"/>
        </w:rPr>
      </w:pPr>
      <w:r w:rsidRPr="00F821C1">
        <w:rPr>
          <w:b/>
          <w:bCs/>
          <w:lang w:val="es-MX"/>
        </w:rPr>
        <w:t>XXXVI.</w:t>
      </w:r>
      <w:r w:rsidRPr="00D21CEF">
        <w:rPr>
          <w:lang w:val="es-MX"/>
        </w:rPr>
        <w:tab/>
        <w:t>Padrón de proveedores y contratistas;</w:t>
      </w:r>
    </w:p>
    <w:p w14:paraId="6FABC8AF" w14:textId="3E085303" w:rsidR="00FE0B31" w:rsidRDefault="00F821C1" w:rsidP="009E1CAE">
      <w:pPr>
        <w:pStyle w:val="Fundamentos"/>
        <w:rPr>
          <w:lang w:val="es-MX"/>
        </w:rPr>
      </w:pPr>
      <w:r>
        <w:rPr>
          <w:lang w:val="es-MX"/>
        </w:rPr>
        <w:t>[…]</w:t>
      </w:r>
    </w:p>
    <w:p w14:paraId="7F9FAC8B" w14:textId="77777777" w:rsidR="00FE0B31" w:rsidRDefault="00FE0B31" w:rsidP="004157F1">
      <w:pPr>
        <w:pStyle w:val="NormalINFOEM"/>
        <w:rPr>
          <w:lang w:val="es-MX"/>
        </w:rPr>
      </w:pPr>
    </w:p>
    <w:p w14:paraId="2BD56681" w14:textId="77777777" w:rsidR="0057113B" w:rsidRPr="007D72D8" w:rsidRDefault="00BA43D5" w:rsidP="0057113B">
      <w:pPr>
        <w:rPr>
          <w:rFonts w:eastAsia="Times New Roman" w:cs="Times New Roman"/>
          <w:color w:val="000000"/>
          <w:szCs w:val="24"/>
          <w:lang w:val="es-ES"/>
        </w:rPr>
      </w:pPr>
      <w:r>
        <w:rPr>
          <w:lang w:val="es-MX"/>
        </w:rPr>
        <w:t xml:space="preserve">En ese mismo orden de ideas, respecto de las pólizas de egresos, </w:t>
      </w:r>
      <w:r w:rsidR="0057113B">
        <w:t xml:space="preserve">no se omite referir que, respecto de los procedimientos adquisitivos de bienes y servicios, </w:t>
      </w:r>
      <w:r w:rsidR="0057113B">
        <w:rPr>
          <w:rFonts w:eastAsia="Times New Roman" w:cs="Times New Roman"/>
          <w:color w:val="000000"/>
          <w:szCs w:val="24"/>
        </w:rPr>
        <w:t xml:space="preserve">las facturas y las pólizas contables se deben considerar como </w:t>
      </w:r>
      <w:r w:rsidR="0057113B" w:rsidRPr="007D72D8">
        <w:rPr>
          <w:rFonts w:eastAsia="Times New Roman" w:cs="Times New Roman"/>
          <w:color w:val="000000"/>
          <w:szCs w:val="24"/>
          <w:lang w:val="es-ES"/>
        </w:rPr>
        <w:t xml:space="preserve">la documentación comprobatoria de las erogaciones realizadas en ejercicio del presupuesto municipal, entendido éste como </w:t>
      </w:r>
      <w:r w:rsidR="0057113B" w:rsidRPr="007D72D8">
        <w:rPr>
          <w:rFonts w:eastAsia="Times New Roman" w:cs="Times New Roman"/>
          <w:b/>
          <w:color w:val="000000"/>
          <w:szCs w:val="24"/>
          <w:lang w:val="es-ES"/>
        </w:rPr>
        <w:t>Presupuesto ejercido</w:t>
      </w:r>
      <w:r w:rsidR="0057113B" w:rsidRPr="007D72D8">
        <w:rPr>
          <w:rFonts w:eastAsia="Times New Roman" w:cs="Times New Roman"/>
          <w:color w:val="000000"/>
          <w:szCs w:val="24"/>
          <w:lang w:val="es-ES"/>
        </w:rPr>
        <w:t xml:space="preserve">, que según el Glosario de Términos más Usuales en la Administración Pública Federal de la Secretaría de Hacienda y Crédito Público se define como: </w:t>
      </w:r>
    </w:p>
    <w:p w14:paraId="34CA2806" w14:textId="77777777" w:rsidR="0057113B" w:rsidRPr="007D72D8" w:rsidRDefault="0057113B" w:rsidP="0057113B">
      <w:pPr>
        <w:rPr>
          <w:rFonts w:eastAsia="Times New Roman" w:cs="Times New Roman"/>
          <w:i/>
          <w:color w:val="000000"/>
          <w:szCs w:val="24"/>
          <w:lang w:val="es-ES"/>
        </w:rPr>
      </w:pPr>
    </w:p>
    <w:p w14:paraId="4A6E3AC2" w14:textId="77777777" w:rsidR="0057113B" w:rsidRPr="007D72D8" w:rsidRDefault="0057113B" w:rsidP="0057113B">
      <w:pPr>
        <w:pStyle w:val="Fundamentos"/>
        <w:rPr>
          <w:b/>
          <w:lang w:val="es-ES"/>
        </w:rPr>
      </w:pPr>
      <w:r w:rsidRPr="007D72D8">
        <w:rPr>
          <w:b/>
          <w:lang w:val="es-ES"/>
        </w:rPr>
        <w:t>PRESUPUESTO EJERCIDO.</w:t>
      </w:r>
    </w:p>
    <w:p w14:paraId="01D0F062" w14:textId="77777777" w:rsidR="0057113B" w:rsidRPr="007D72D8" w:rsidRDefault="0057113B" w:rsidP="0057113B">
      <w:pPr>
        <w:pStyle w:val="Fundamentos"/>
        <w:rPr>
          <w:lang w:val="es-ES"/>
        </w:rPr>
      </w:pPr>
      <w:r w:rsidRPr="007D72D8">
        <w:rPr>
          <w:lang w:val="es-ES"/>
        </w:rPr>
        <w:t>Importe de las erogaciones realizadas respaldado por los documentos comprobatorios (</w:t>
      </w:r>
      <w:r w:rsidRPr="007D72D8">
        <w:rPr>
          <w:u w:val="single"/>
          <w:lang w:val="es-ES"/>
        </w:rPr>
        <w:t>facturas</w:t>
      </w:r>
      <w:r w:rsidRPr="007D72D8">
        <w:rPr>
          <w:lang w:val="es-ES"/>
        </w:rPr>
        <w:t>, notas, nominas, etc.) presentados a la dependencia o entidad una vez autorizadas para su pago, con c</w:t>
      </w:r>
      <w:r>
        <w:rPr>
          <w:lang w:val="es-ES"/>
        </w:rPr>
        <w:t>argo al presupuesto autorizado.</w:t>
      </w:r>
    </w:p>
    <w:p w14:paraId="47A29327" w14:textId="77777777" w:rsidR="0057113B" w:rsidRPr="007D72D8" w:rsidRDefault="0057113B" w:rsidP="0057113B">
      <w:pPr>
        <w:rPr>
          <w:rFonts w:eastAsia="Times New Roman" w:cs="Times New Roman"/>
          <w:color w:val="000000"/>
          <w:szCs w:val="24"/>
          <w:lang w:val="es-ES"/>
        </w:rPr>
      </w:pPr>
    </w:p>
    <w:p w14:paraId="42F417D0" w14:textId="77777777" w:rsidR="0057113B" w:rsidRPr="007D72D8" w:rsidRDefault="0057113B" w:rsidP="0057113B">
      <w:pPr>
        <w:rPr>
          <w:rFonts w:eastAsia="Times New Roman" w:cs="Times New Roman"/>
          <w:color w:val="000000"/>
          <w:szCs w:val="24"/>
          <w:lang w:val="es-ES"/>
        </w:rPr>
      </w:pPr>
      <w:r w:rsidRPr="007D72D8">
        <w:rPr>
          <w:rFonts w:eastAsia="Times New Roman" w:cs="Times New Roman"/>
          <w:color w:val="000000"/>
          <w:szCs w:val="24"/>
          <w:lang w:val="es-ES"/>
        </w:rPr>
        <w:t xml:space="preserve">Cabe señalar que, en términos del artículo 129, de la Constitución Política del Estado Libre y Soberano de México, los recursos económicos del Estado, de los Municipios, así como de los Organismos Autónomos, se administrarán con eficiencia, eficacia y honradez, para cumplir con los objetivos y programas a los que estén destinados, ello en el cumplimiento a los principios que rigen la función pública. </w:t>
      </w:r>
    </w:p>
    <w:p w14:paraId="29424C79" w14:textId="77777777" w:rsidR="0057113B" w:rsidRPr="007D72D8" w:rsidRDefault="0057113B" w:rsidP="0057113B">
      <w:pPr>
        <w:rPr>
          <w:rFonts w:eastAsia="Times New Roman" w:cs="Times New Roman"/>
          <w:color w:val="000000"/>
          <w:szCs w:val="24"/>
          <w:lang w:val="es-ES"/>
        </w:rPr>
      </w:pPr>
    </w:p>
    <w:p w14:paraId="6F7C837D" w14:textId="77777777" w:rsidR="0057113B" w:rsidRPr="007D72D8" w:rsidRDefault="0057113B" w:rsidP="0057113B">
      <w:pPr>
        <w:rPr>
          <w:rFonts w:eastAsia="Times New Roman" w:cs="Times New Roman"/>
          <w:color w:val="000000"/>
          <w:szCs w:val="24"/>
          <w:lang w:val="es-ES"/>
        </w:rPr>
      </w:pPr>
      <w:r w:rsidRPr="007D72D8">
        <w:rPr>
          <w:rFonts w:eastAsia="Times New Roman" w:cs="Times New Roman"/>
          <w:color w:val="000000"/>
          <w:szCs w:val="24"/>
          <w:lang w:val="es-ES"/>
        </w:rPr>
        <w:lastRenderedPageBreak/>
        <w:t>Asimismo, dispone que todos los pagos se harán mediante orden escrita en la que se expresará la partida del presupuesto a cargo de la cual se realizan.</w:t>
      </w:r>
    </w:p>
    <w:p w14:paraId="16CD41D5" w14:textId="77777777" w:rsidR="0057113B" w:rsidRPr="007D72D8" w:rsidRDefault="0057113B" w:rsidP="0057113B">
      <w:pPr>
        <w:rPr>
          <w:rFonts w:eastAsia="Times New Roman" w:cs="Times New Roman"/>
          <w:color w:val="000000"/>
          <w:szCs w:val="24"/>
          <w:lang w:val="es-ES"/>
        </w:rPr>
      </w:pPr>
    </w:p>
    <w:p w14:paraId="5B633FC0" w14:textId="77777777" w:rsidR="0057113B" w:rsidRPr="007D72D8" w:rsidRDefault="0057113B" w:rsidP="0057113B">
      <w:pPr>
        <w:rPr>
          <w:rFonts w:eastAsia="Times New Roman" w:cs="Times New Roman"/>
          <w:color w:val="000000"/>
          <w:szCs w:val="24"/>
          <w:lang w:val="es-ES"/>
        </w:rPr>
      </w:pPr>
      <w:r w:rsidRPr="007D72D8">
        <w:rPr>
          <w:rFonts w:eastAsia="Times New Roman" w:cs="Times New Roman"/>
          <w:color w:val="000000"/>
          <w:szCs w:val="24"/>
          <w:lang w:val="es-ES"/>
        </w:rPr>
        <w:t>Al respecto, los artículos 31 fracciones XVIII y 95 fracciones I y IV, de la</w:t>
      </w:r>
      <w:r w:rsidRPr="007D72D8">
        <w:rPr>
          <w:rFonts w:eastAsia="Times New Roman" w:cs="Times New Roman"/>
          <w:b/>
          <w:i/>
          <w:color w:val="000000"/>
          <w:szCs w:val="24"/>
          <w:lang w:val="es-ES"/>
        </w:rPr>
        <w:t xml:space="preserve"> </w:t>
      </w:r>
      <w:r w:rsidRPr="007D72D8">
        <w:rPr>
          <w:rFonts w:eastAsia="Times New Roman" w:cs="Times New Roman"/>
          <w:color w:val="000000"/>
          <w:szCs w:val="24"/>
          <w:lang w:val="es-ES"/>
        </w:rPr>
        <w:t xml:space="preserve">Ley Orgánica Municipal del Estado de México prevén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 </w:t>
      </w:r>
    </w:p>
    <w:p w14:paraId="09918B82" w14:textId="77777777" w:rsidR="0057113B" w:rsidRPr="007D72D8" w:rsidRDefault="0057113B" w:rsidP="0057113B">
      <w:pPr>
        <w:rPr>
          <w:rFonts w:eastAsia="Times New Roman" w:cs="Times New Roman"/>
          <w:color w:val="000000"/>
          <w:szCs w:val="24"/>
          <w:lang w:val="es-ES"/>
        </w:rPr>
      </w:pPr>
    </w:p>
    <w:p w14:paraId="2FA1BD24" w14:textId="77777777" w:rsidR="0057113B" w:rsidRPr="007D72D8" w:rsidRDefault="0057113B" w:rsidP="0057113B">
      <w:pPr>
        <w:rPr>
          <w:rFonts w:eastAsia="Times New Roman" w:cs="Times New Roman"/>
          <w:color w:val="000000"/>
          <w:szCs w:val="24"/>
          <w:lang w:val="es-ES"/>
        </w:rPr>
      </w:pPr>
      <w:r w:rsidRPr="007D72D8">
        <w:rPr>
          <w:rFonts w:eastAsia="Times New Roman" w:cs="Times New Roman"/>
          <w:color w:val="000000"/>
          <w:szCs w:val="24"/>
          <w:lang w:val="es-ES"/>
        </w:rPr>
        <w:t>Adicional a lo expuesto, es pertinente considerar lo dispuesto en los artículos 342, 343, 344 y 345, del Código Financiero del Estado de México y Municipios, los cuales disponen, concretamente el sistema y las políticas que deben seguirse para llevar el registro contable y presupuestal de las operaciones financieras que llevan a cabo los Municipios del Estado de México</w:t>
      </w:r>
      <w:r>
        <w:rPr>
          <w:rFonts w:eastAsia="Times New Roman" w:cs="Times New Roman"/>
          <w:color w:val="000000"/>
          <w:szCs w:val="24"/>
          <w:lang w:val="es-ES"/>
        </w:rPr>
        <w:t xml:space="preserve"> (entendiéndose que también se hace referencia a sus organismos descentralizados)</w:t>
      </w:r>
      <w:r w:rsidRPr="007D72D8">
        <w:rPr>
          <w:rFonts w:eastAsia="Times New Roman" w:cs="Times New Roman"/>
          <w:color w:val="000000"/>
          <w:szCs w:val="24"/>
          <w:lang w:val="es-ES"/>
        </w:rPr>
        <w:t>; que el registro contable del efecto patrimonial y presupuestal de las operaciones financieras que realice el Municipio se realizará conforme al sistema y a las disposiciones que se aprueben en materia de planeación, programación, presupuestación, evaluación y contabilidad gubernamental.</w:t>
      </w:r>
    </w:p>
    <w:p w14:paraId="6AE1C96B" w14:textId="77777777" w:rsidR="0057113B" w:rsidRPr="007D72D8" w:rsidRDefault="0057113B" w:rsidP="0057113B">
      <w:pPr>
        <w:rPr>
          <w:rFonts w:eastAsia="Times New Roman" w:cs="Times New Roman"/>
          <w:color w:val="000000"/>
          <w:szCs w:val="24"/>
          <w:lang w:val="es-ES"/>
        </w:rPr>
      </w:pPr>
    </w:p>
    <w:p w14:paraId="72F908AD" w14:textId="77777777" w:rsidR="0057113B" w:rsidRPr="007D72D8" w:rsidRDefault="0057113B" w:rsidP="0057113B">
      <w:pPr>
        <w:rPr>
          <w:rFonts w:eastAsia="Times New Roman" w:cs="Times New Roman"/>
          <w:color w:val="000000"/>
          <w:szCs w:val="24"/>
          <w:lang w:val="es-ES"/>
        </w:rPr>
      </w:pPr>
      <w:r w:rsidRPr="007D72D8">
        <w:rPr>
          <w:rFonts w:eastAsia="Times New Roman" w:cs="Times New Roman"/>
          <w:color w:val="000000"/>
          <w:szCs w:val="24"/>
          <w:lang w:val="es-ES"/>
        </w:rPr>
        <w:t xml:space="preserve">Asimismo, los preceptos legales citados señalan </w:t>
      </w:r>
      <w:proofErr w:type="gramStart"/>
      <w:r w:rsidRPr="007D72D8">
        <w:rPr>
          <w:rFonts w:eastAsia="Times New Roman" w:cs="Times New Roman"/>
          <w:color w:val="000000"/>
          <w:szCs w:val="24"/>
          <w:lang w:val="es-ES"/>
        </w:rPr>
        <w:t>que</w:t>
      </w:r>
      <w:proofErr w:type="gramEnd"/>
      <w:r w:rsidRPr="007D72D8">
        <w:rPr>
          <w:rFonts w:eastAsia="Times New Roman" w:cs="Times New Roman"/>
          <w:color w:val="000000"/>
          <w:szCs w:val="24"/>
          <w:lang w:val="es-ES"/>
        </w:rPr>
        <w:t xml:space="preserve"> en el caso de los Municipios</w:t>
      </w:r>
      <w:r>
        <w:rPr>
          <w:rFonts w:eastAsia="Times New Roman" w:cs="Times New Roman"/>
          <w:color w:val="000000"/>
          <w:szCs w:val="24"/>
          <w:lang w:val="es-ES"/>
        </w:rPr>
        <w:t xml:space="preserve"> y organismos municipales</w:t>
      </w:r>
      <w:r w:rsidRPr="007D72D8">
        <w:rPr>
          <w:rFonts w:eastAsia="Times New Roman" w:cs="Times New Roman"/>
          <w:color w:val="000000"/>
          <w:szCs w:val="24"/>
          <w:lang w:val="es-ES"/>
        </w:rPr>
        <w:t xml:space="preserve">, es la Tesorería Municipal </w:t>
      </w:r>
      <w:r>
        <w:rPr>
          <w:rFonts w:eastAsia="Times New Roman" w:cs="Times New Roman"/>
          <w:color w:val="000000"/>
          <w:szCs w:val="24"/>
          <w:lang w:val="es-ES"/>
        </w:rPr>
        <w:t xml:space="preserve">o área equivalente, </w:t>
      </w:r>
      <w:r w:rsidRPr="007D72D8">
        <w:rPr>
          <w:rFonts w:eastAsia="Times New Roman" w:cs="Times New Roman"/>
          <w:color w:val="000000"/>
          <w:szCs w:val="24"/>
          <w:lang w:val="es-ES"/>
        </w:rPr>
        <w:t xml:space="preserve">la unidad administrativa que registra contablemente el efecto patrimonial y presupuestal de las </w:t>
      </w:r>
      <w:r w:rsidRPr="007D72D8">
        <w:rPr>
          <w:rFonts w:eastAsia="Times New Roman" w:cs="Times New Roman"/>
          <w:color w:val="000000"/>
          <w:szCs w:val="24"/>
          <w:lang w:val="es-ES"/>
        </w:rPr>
        <w:lastRenderedPageBreak/>
        <w:t>operaciones financieras que realizan, en el momento en que ocurran, con base en el sistema y políticas de registro establecidas.</w:t>
      </w:r>
    </w:p>
    <w:p w14:paraId="56CEC9F6" w14:textId="77777777" w:rsidR="0057113B" w:rsidRPr="007D72D8" w:rsidRDefault="0057113B" w:rsidP="0057113B">
      <w:pPr>
        <w:rPr>
          <w:rFonts w:eastAsia="Times New Roman" w:cs="Times New Roman"/>
          <w:color w:val="000000"/>
          <w:szCs w:val="24"/>
          <w:lang w:val="es-ES"/>
        </w:rPr>
      </w:pPr>
    </w:p>
    <w:p w14:paraId="5626B89C" w14:textId="77777777" w:rsidR="0057113B" w:rsidRPr="007D72D8" w:rsidRDefault="0057113B" w:rsidP="0057113B">
      <w:pPr>
        <w:rPr>
          <w:rFonts w:eastAsia="Times New Roman" w:cs="Times New Roman"/>
          <w:color w:val="000000"/>
          <w:szCs w:val="24"/>
          <w:lang w:val="es-ES"/>
        </w:rPr>
      </w:pPr>
      <w:r w:rsidRPr="007D72D8">
        <w:rPr>
          <w:rFonts w:eastAsia="Times New Roman" w:cs="Times New Roman"/>
          <w:color w:val="000000"/>
          <w:szCs w:val="24"/>
          <w:lang w:val="es-ES"/>
        </w:rPr>
        <w:t>Cabe destacar, que el ordenamiento legal en cita establece que todo registro contable y presupuestal deberá estar soportado con los documentos comprobatorios originales, como son las facturas y pólizas solicitadas, documentos que deberán permanecer en custodia y conservación de la Tesorería Municipal</w:t>
      </w:r>
      <w:r>
        <w:rPr>
          <w:rFonts w:eastAsia="Times New Roman" w:cs="Times New Roman"/>
          <w:color w:val="000000"/>
          <w:szCs w:val="24"/>
          <w:lang w:val="es-ES"/>
        </w:rPr>
        <w:t xml:space="preserve"> o área equivalente</w:t>
      </w:r>
      <w:r w:rsidRPr="007D72D8">
        <w:rPr>
          <w:rFonts w:eastAsia="Times New Roman" w:cs="Times New Roman"/>
          <w:color w:val="000000"/>
          <w:szCs w:val="24"/>
          <w:lang w:val="es-ES"/>
        </w:rPr>
        <w:t xml:space="preserve"> y a disposición del Órgano Superior de Fiscalización del Estado de México y de los órganos de control interno, en el caso de los municipios; por un término de cinco años contados a partir del ejercicio presupuestal siguiente al que corresponda.</w:t>
      </w:r>
    </w:p>
    <w:p w14:paraId="46CE38AD" w14:textId="26851523" w:rsidR="009E1CAE" w:rsidRDefault="009E1CAE" w:rsidP="004157F1">
      <w:pPr>
        <w:pStyle w:val="NormalINFOEM"/>
        <w:rPr>
          <w:lang w:val="es-ES"/>
        </w:rPr>
      </w:pPr>
    </w:p>
    <w:p w14:paraId="32422C0F" w14:textId="7C963225" w:rsidR="00626C1B" w:rsidRPr="0057113B" w:rsidRDefault="00626C1B" w:rsidP="004157F1">
      <w:pPr>
        <w:pStyle w:val="NormalINFOEM"/>
        <w:rPr>
          <w:lang w:val="es-ES"/>
        </w:rPr>
      </w:pPr>
      <w:r>
        <w:rPr>
          <w:lang w:val="es-ES"/>
        </w:rPr>
        <w:t xml:space="preserve">Por tanto, todos los gastos efectuados bajo los conceptos referidos deberán constar en facturas y </w:t>
      </w:r>
      <w:r w:rsidR="00052A8E">
        <w:rPr>
          <w:lang w:val="es-ES"/>
        </w:rPr>
        <w:t>éstas deberán</w:t>
      </w:r>
      <w:r w:rsidR="00CC4BCF">
        <w:rPr>
          <w:lang w:val="es-ES"/>
        </w:rPr>
        <w:t xml:space="preserve"> adjuntarse a las pólizas de egresos</w:t>
      </w:r>
      <w:r w:rsidR="00052303">
        <w:rPr>
          <w:lang w:val="es-ES"/>
        </w:rPr>
        <w:t xml:space="preserve"> remitidas al Órgano de Fiscalización estatal, por lo que es dable colegir que el Sujeto Obligado cuenta </w:t>
      </w:r>
      <w:r w:rsidR="004F0839">
        <w:rPr>
          <w:lang w:val="es-ES"/>
        </w:rPr>
        <w:t>con los documentos referidos.</w:t>
      </w:r>
    </w:p>
    <w:p w14:paraId="2276EFF0" w14:textId="77777777" w:rsidR="00AC2417" w:rsidRPr="004157F1" w:rsidRDefault="00AC2417" w:rsidP="004157F1">
      <w:pPr>
        <w:pStyle w:val="NormalINFOEM"/>
        <w:rPr>
          <w:lang w:val="es-MX"/>
        </w:rPr>
      </w:pPr>
    </w:p>
    <w:p w14:paraId="6AD059B4" w14:textId="333BD99F" w:rsidR="004F7B93" w:rsidRPr="00992A0D" w:rsidRDefault="004F7B93" w:rsidP="004F7B93">
      <w:pPr>
        <w:rPr>
          <w:rFonts w:cs="Arial"/>
          <w:szCs w:val="24"/>
        </w:rPr>
      </w:pPr>
      <w:r>
        <w:rPr>
          <w:szCs w:val="24"/>
        </w:rPr>
        <w:t>Consecuentemente</w:t>
      </w:r>
      <w:r w:rsidRPr="00992A0D">
        <w:rPr>
          <w:szCs w:val="24"/>
        </w:rPr>
        <w:t xml:space="preserve">, la actuación del Sujeto Obligado </w:t>
      </w:r>
      <w:r w:rsidRPr="00992A0D">
        <w:rPr>
          <w:rFonts w:eastAsia="MS Mincho" w:cs="Arial"/>
          <w:szCs w:val="24"/>
        </w:rPr>
        <w:t xml:space="preserve">constituye una afectación al derecho humano de acceso a la información pública del particular, toda vez que pretendió cambiar la modalidad de entrega de la información; </w:t>
      </w:r>
      <w:r w:rsidRPr="00992A0D">
        <w:rPr>
          <w:rFonts w:cs="Arial"/>
          <w:szCs w:val="24"/>
        </w:rPr>
        <w:t xml:space="preserve">de esta forma, solamente intenta realizar el cambio de modalidad ya que como se ha dicho, el particular mencionó que la manera de entrega de la información sería a través del SAIMEX, adicionalmente, en la actualidad existen medios electrónicos que facilita la entrega de información, que a decir de </w:t>
      </w:r>
      <w:r w:rsidR="004F0839">
        <w:rPr>
          <w:rFonts w:cs="Arial"/>
          <w:szCs w:val="24"/>
        </w:rPr>
        <w:t>e</w:t>
      </w:r>
      <w:r w:rsidRPr="00992A0D">
        <w:rPr>
          <w:rFonts w:cs="Arial"/>
          <w:szCs w:val="24"/>
        </w:rPr>
        <w:t xml:space="preserve">ste Órgano Garante, el cambio de modalidad no es procedente, en virtud de lo </w:t>
      </w:r>
      <w:r w:rsidRPr="00992A0D">
        <w:rPr>
          <w:rFonts w:cs="Arial"/>
          <w:szCs w:val="24"/>
        </w:rPr>
        <w:lastRenderedPageBreak/>
        <w:t>establecido por el artículo 164, de la Ley de Transparencia y Acceso a la Información Pública del Estado de México y Municipios que contempla los siguiente:</w:t>
      </w:r>
    </w:p>
    <w:p w14:paraId="560E4C7E" w14:textId="77777777" w:rsidR="004F7B93" w:rsidRPr="00992A0D" w:rsidRDefault="004F7B93" w:rsidP="004F7B93">
      <w:pPr>
        <w:jc w:val="left"/>
        <w:rPr>
          <w:szCs w:val="24"/>
        </w:rPr>
      </w:pPr>
    </w:p>
    <w:p w14:paraId="7D997295" w14:textId="77777777" w:rsidR="004F7B93" w:rsidRPr="00992A0D" w:rsidRDefault="004F7B93" w:rsidP="004F7B93">
      <w:pPr>
        <w:tabs>
          <w:tab w:val="left" w:pos="709"/>
        </w:tabs>
        <w:spacing w:line="240" w:lineRule="auto"/>
        <w:ind w:left="567" w:right="567"/>
        <w:rPr>
          <w:rFonts w:cs="Arial"/>
          <w:i/>
          <w:sz w:val="22"/>
        </w:rPr>
      </w:pPr>
      <w:r w:rsidRPr="00992A0D">
        <w:rPr>
          <w:rFonts w:cs="Arial"/>
          <w:b/>
          <w:i/>
          <w:sz w:val="22"/>
        </w:rPr>
        <w:t>Artículo 164.</w:t>
      </w:r>
      <w:r w:rsidRPr="00992A0D">
        <w:rPr>
          <w:rFonts w:cs="Arial"/>
          <w:i/>
          <w:sz w:val="22"/>
        </w:rPr>
        <w:t xml:space="preserve"> </w:t>
      </w:r>
      <w:r w:rsidRPr="00992A0D">
        <w:rPr>
          <w:rFonts w:cs="Arial"/>
          <w:b/>
          <w:i/>
          <w:sz w:val="22"/>
          <w:u w:val="single"/>
        </w:rPr>
        <w:t>El acceso se dará en la modalidad de entrega y, en su caso, de envío elegidos por el solicitante.</w:t>
      </w:r>
      <w:r w:rsidRPr="00992A0D">
        <w:rPr>
          <w:rFonts w:cs="Arial"/>
          <w:i/>
          <w:sz w:val="22"/>
        </w:rPr>
        <w:t xml:space="preserve"> Cuando la información no pueda entregarse o enviarse en la modalidad solicitada, el sujeto obligado deberá ofrecer otra u otras modalidades de entrega. </w:t>
      </w:r>
    </w:p>
    <w:p w14:paraId="02CDC527" w14:textId="77777777" w:rsidR="004F7B93" w:rsidRPr="00992A0D" w:rsidRDefault="004F7B93" w:rsidP="004F7B93">
      <w:pPr>
        <w:tabs>
          <w:tab w:val="left" w:pos="709"/>
        </w:tabs>
        <w:spacing w:line="240" w:lineRule="auto"/>
        <w:ind w:left="567" w:right="567"/>
        <w:rPr>
          <w:rFonts w:cs="Arial"/>
          <w:b/>
          <w:i/>
          <w:sz w:val="22"/>
          <w:u w:val="single"/>
        </w:rPr>
      </w:pPr>
    </w:p>
    <w:p w14:paraId="2B1128EF" w14:textId="77777777" w:rsidR="004F7B93" w:rsidRPr="00992A0D" w:rsidRDefault="004F7B93" w:rsidP="004F7B93">
      <w:pPr>
        <w:tabs>
          <w:tab w:val="left" w:pos="709"/>
        </w:tabs>
        <w:spacing w:line="240" w:lineRule="auto"/>
        <w:ind w:left="567" w:right="567"/>
        <w:rPr>
          <w:rFonts w:cs="Arial"/>
          <w:i/>
          <w:sz w:val="22"/>
        </w:rPr>
      </w:pPr>
      <w:r w:rsidRPr="00992A0D">
        <w:rPr>
          <w:rFonts w:cs="Arial"/>
          <w:b/>
          <w:i/>
          <w:sz w:val="22"/>
          <w:u w:val="single"/>
        </w:rPr>
        <w:t>En cualquier caso, se deberá fundar y motivar la necesidad de ofrecer otras modalidades.</w:t>
      </w:r>
    </w:p>
    <w:p w14:paraId="4C5C2268" w14:textId="77777777" w:rsidR="004F7B93" w:rsidRPr="00992A0D" w:rsidRDefault="004F7B93" w:rsidP="004F7B93">
      <w:pPr>
        <w:contextualSpacing/>
        <w:rPr>
          <w:szCs w:val="24"/>
        </w:rPr>
      </w:pPr>
    </w:p>
    <w:p w14:paraId="3E7705F6" w14:textId="77777777" w:rsidR="004F7B93" w:rsidRDefault="004F7B93" w:rsidP="004F7B93">
      <w:pPr>
        <w:pStyle w:val="NormalINFOEM"/>
      </w:pPr>
      <w:r w:rsidRPr="004F7B93">
        <w:t xml:space="preserve">Asimismo, se dejó de observar lo dispuesto </w:t>
      </w:r>
      <w:r>
        <w:t xml:space="preserve">en </w:t>
      </w:r>
      <w:r w:rsidRPr="004F7B93">
        <w:t>los numerales Vigésimo Cuarto, Vigésimo Quinto y Vigésimo Sexto de los Lineamientos para la operación del Sistema de Acceso a la Información Mexiquense (SAIMEX) y del Sistema de Acceso, Rectificación, Cancelación y Oposición de Datos Personales del Estado de México (SARCOEM).</w:t>
      </w:r>
    </w:p>
    <w:p w14:paraId="772C8FFF" w14:textId="77777777" w:rsidR="004F7B93" w:rsidRPr="004F7B93" w:rsidRDefault="004F7B93" w:rsidP="004F7B93">
      <w:pPr>
        <w:pStyle w:val="NormalINFOEM"/>
      </w:pPr>
    </w:p>
    <w:p w14:paraId="05A0C880" w14:textId="55AAE1BE" w:rsidR="004F7B93" w:rsidRPr="00992A0D" w:rsidRDefault="004F7B93" w:rsidP="004F7B93">
      <w:pPr>
        <w:contextualSpacing/>
        <w:rPr>
          <w:b/>
          <w:szCs w:val="24"/>
        </w:rPr>
      </w:pPr>
      <w:r>
        <w:rPr>
          <w:szCs w:val="24"/>
        </w:rPr>
        <w:t>Así, se tiene que la Ley de Transparencia local</w:t>
      </w:r>
      <w:r w:rsidRPr="00992A0D">
        <w:rPr>
          <w:szCs w:val="24"/>
        </w:rPr>
        <w:t xml:space="preserve"> busca privilegiar la entrega de la información solicitada en la modalidad </w:t>
      </w:r>
      <w:r>
        <w:rPr>
          <w:szCs w:val="24"/>
        </w:rPr>
        <w:t>requerida por el particular; en ese sentido,</w:t>
      </w:r>
      <w:r w:rsidRPr="00992A0D">
        <w:rPr>
          <w:szCs w:val="24"/>
        </w:rPr>
        <w:t xml:space="preserve"> el artículo establece que tanto la modalidad de entrega como la forma de envío de la información se hará preferentemente como lo haya señalado el requirente. En los casos en que esto no sea posible, el Sujeto Obligado podrá garantizar la entrega a través de cualquier otro medio, siempre y cuando funde y motive la razón para hacerlo. </w:t>
      </w:r>
    </w:p>
    <w:p w14:paraId="7F662C86" w14:textId="77777777" w:rsidR="00B57FD2" w:rsidRPr="004F7B93" w:rsidRDefault="00B57FD2" w:rsidP="004F7B93">
      <w:pPr>
        <w:pStyle w:val="NormalINFOEM"/>
      </w:pPr>
    </w:p>
    <w:p w14:paraId="69C67C48" w14:textId="77777777" w:rsidR="006009DE" w:rsidRPr="00992A0D" w:rsidRDefault="006009DE" w:rsidP="006009DE">
      <w:pPr>
        <w:contextualSpacing/>
        <w:rPr>
          <w:szCs w:val="24"/>
        </w:rPr>
      </w:pPr>
      <w:r w:rsidRPr="00992A0D">
        <w:rPr>
          <w:szCs w:val="24"/>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7E9AC905" w14:textId="77777777" w:rsidR="006009DE" w:rsidRPr="00992A0D" w:rsidRDefault="006009DE" w:rsidP="006009DE">
      <w:pPr>
        <w:contextualSpacing/>
        <w:rPr>
          <w:szCs w:val="24"/>
        </w:rPr>
      </w:pPr>
    </w:p>
    <w:p w14:paraId="131EB01E" w14:textId="77777777" w:rsidR="006009DE" w:rsidRPr="00992A0D" w:rsidRDefault="006009DE" w:rsidP="006009DE">
      <w:pPr>
        <w:contextualSpacing/>
        <w:rPr>
          <w:rFonts w:cs="Arial"/>
          <w:color w:val="222222"/>
          <w:szCs w:val="24"/>
        </w:rPr>
      </w:pPr>
      <w:r w:rsidRPr="00992A0D">
        <w:rPr>
          <w:rFonts w:cs="Arial"/>
          <w:color w:val="222222"/>
          <w:szCs w:val="24"/>
        </w:rPr>
        <w:t xml:space="preserve">Han sido vastos los estudios doctrinarios relativos a estos derechos fundamentales y al principio de legalidad en ellos contenidos; como ejemplo, el procesalista José Ovalle Fabela, en su obra </w:t>
      </w:r>
      <w:r>
        <w:rPr>
          <w:rFonts w:cs="Arial"/>
          <w:color w:val="222222"/>
          <w:szCs w:val="24"/>
        </w:rPr>
        <w:t>«</w:t>
      </w:r>
      <w:r w:rsidRPr="00992A0D">
        <w:rPr>
          <w:rFonts w:cs="Arial"/>
          <w:color w:val="222222"/>
          <w:szCs w:val="24"/>
        </w:rPr>
        <w:t>Garantías Constitucionales del Proceso</w:t>
      </w:r>
      <w:r>
        <w:rPr>
          <w:rFonts w:cs="Arial"/>
          <w:color w:val="222222"/>
          <w:szCs w:val="24"/>
        </w:rPr>
        <w:t>»</w:t>
      </w:r>
      <w:r w:rsidRPr="00992A0D">
        <w:rPr>
          <w:rFonts w:cs="Arial"/>
          <w:color w:val="222222"/>
          <w:szCs w:val="24"/>
        </w:rPr>
        <w:t xml:space="preserve">, refiere que </w:t>
      </w:r>
      <w:r>
        <w:rPr>
          <w:rFonts w:cs="Arial"/>
          <w:i/>
          <w:color w:val="222222"/>
          <w:szCs w:val="24"/>
        </w:rPr>
        <w:t>«</w:t>
      </w:r>
      <w:r w:rsidRPr="00992A0D">
        <w:rPr>
          <w:rFonts w:cs="Arial"/>
          <w:i/>
          <w:color w:val="222222"/>
          <w:szCs w:val="24"/>
        </w:rPr>
        <w:t>...</w:t>
      </w:r>
      <w:r>
        <w:rPr>
          <w:rFonts w:cs="Arial"/>
          <w:i/>
          <w:color w:val="222222"/>
          <w:szCs w:val="24"/>
        </w:rPr>
        <w:t xml:space="preserve"> </w:t>
      </w:r>
      <w:r w:rsidRPr="00992A0D">
        <w:rPr>
          <w:rFonts w:cs="Arial"/>
          <w:i/>
          <w:color w:val="222222"/>
          <w:szCs w:val="24"/>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Pr>
          <w:rFonts w:cs="Arial"/>
          <w:i/>
          <w:color w:val="222222"/>
          <w:szCs w:val="24"/>
        </w:rPr>
        <w:t>»</w:t>
      </w:r>
      <w:r w:rsidRPr="00992A0D">
        <w:rPr>
          <w:rFonts w:ascii="Calibri" w:hAnsi="Calibri"/>
          <w:szCs w:val="24"/>
          <w:vertAlign w:val="superscript"/>
        </w:rPr>
        <w:footnoteReference w:id="3"/>
      </w:r>
    </w:p>
    <w:p w14:paraId="1B572693" w14:textId="77777777" w:rsidR="006009DE" w:rsidRPr="00992A0D" w:rsidRDefault="006009DE" w:rsidP="006009DE">
      <w:pPr>
        <w:contextualSpacing/>
        <w:rPr>
          <w:rFonts w:cs="Arial"/>
          <w:color w:val="222222"/>
          <w:szCs w:val="24"/>
        </w:rPr>
      </w:pPr>
    </w:p>
    <w:p w14:paraId="796F874D" w14:textId="77777777" w:rsidR="006009DE" w:rsidRPr="00992A0D" w:rsidRDefault="006009DE" w:rsidP="006009DE">
      <w:pPr>
        <w:contextualSpacing/>
        <w:rPr>
          <w:rFonts w:cs="Arial"/>
          <w:color w:val="222222"/>
          <w:szCs w:val="24"/>
        </w:rPr>
      </w:pPr>
      <w:r w:rsidRPr="00992A0D">
        <w:rPr>
          <w:rFonts w:cs="Arial"/>
          <w:color w:val="222222"/>
          <w:szCs w:val="24"/>
        </w:rPr>
        <w:t>Por su parte, el intérprete judicial del país ha establecido una jurisprudencia respecto a qué debe entenderse por fundamentación y motivación, en los siguientes términos:</w:t>
      </w:r>
    </w:p>
    <w:p w14:paraId="46A69420" w14:textId="77777777" w:rsidR="006009DE" w:rsidRPr="00992A0D" w:rsidRDefault="006009DE" w:rsidP="006009DE">
      <w:pPr>
        <w:jc w:val="left"/>
        <w:rPr>
          <w:szCs w:val="24"/>
        </w:rPr>
      </w:pPr>
    </w:p>
    <w:p w14:paraId="7F8D72E7" w14:textId="77777777" w:rsidR="006009DE" w:rsidRPr="00992A0D" w:rsidRDefault="006009DE" w:rsidP="006009DE">
      <w:pPr>
        <w:spacing w:line="240" w:lineRule="auto"/>
        <w:ind w:left="851" w:right="618"/>
        <w:contextualSpacing/>
        <w:rPr>
          <w:rFonts w:cs="Arial"/>
          <w:i/>
          <w:color w:val="000000"/>
          <w:sz w:val="22"/>
        </w:rPr>
      </w:pPr>
      <w:r w:rsidRPr="00992A0D">
        <w:rPr>
          <w:rFonts w:cs="Arial"/>
          <w:b/>
          <w:i/>
          <w:color w:val="000000"/>
          <w:sz w:val="22"/>
        </w:rPr>
        <w:t>FUNDAMENTACIÓN Y MOTIVACIÓN.</w:t>
      </w:r>
      <w:r w:rsidRPr="00992A0D">
        <w:rPr>
          <w:rFonts w:cs="Arial"/>
          <w:i/>
          <w:color w:val="000000"/>
          <w:sz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07DFB9B" w14:textId="77777777" w:rsidR="006009DE" w:rsidRPr="00992A0D" w:rsidRDefault="006009DE" w:rsidP="006009DE">
      <w:pPr>
        <w:ind w:right="618"/>
        <w:contextualSpacing/>
        <w:rPr>
          <w:rFonts w:cs="Arial"/>
          <w:color w:val="000000"/>
          <w:szCs w:val="24"/>
        </w:rPr>
      </w:pPr>
    </w:p>
    <w:p w14:paraId="2C2A5488" w14:textId="77777777" w:rsidR="006009DE" w:rsidRPr="00992A0D" w:rsidRDefault="006009DE" w:rsidP="006009DE">
      <w:pPr>
        <w:contextualSpacing/>
        <w:rPr>
          <w:rFonts w:cs="Arial"/>
          <w:color w:val="222222"/>
          <w:szCs w:val="24"/>
        </w:rPr>
      </w:pPr>
      <w:r w:rsidRPr="00992A0D">
        <w:rPr>
          <w:rFonts w:cs="Arial"/>
          <w:color w:val="222222"/>
          <w:szCs w:val="24"/>
        </w:rPr>
        <w:t xml:space="preserve">Así, en un acto de autoridad se cumple con la debida fundamentación cuando se cita el precepto legal aplicable al caso concreto y la debida motivación cuando se expresan las </w:t>
      </w:r>
      <w:r w:rsidRPr="00992A0D">
        <w:rPr>
          <w:rFonts w:cs="Arial"/>
          <w:color w:val="222222"/>
          <w:szCs w:val="24"/>
        </w:rPr>
        <w:lastRenderedPageBreak/>
        <w:t>razones, motivos o circunstancias que tomó en cuenta la autoridad para adecuar el hecho a los fundamentos de derecho.</w:t>
      </w:r>
    </w:p>
    <w:p w14:paraId="6EF9BC8C" w14:textId="77777777" w:rsidR="006009DE" w:rsidRPr="00992A0D" w:rsidRDefault="006009DE" w:rsidP="006009DE">
      <w:pPr>
        <w:contextualSpacing/>
        <w:rPr>
          <w:rFonts w:cs="Arial"/>
          <w:color w:val="222222"/>
          <w:szCs w:val="24"/>
        </w:rPr>
      </w:pPr>
    </w:p>
    <w:p w14:paraId="7DC32A36" w14:textId="77777777" w:rsidR="006009DE" w:rsidRPr="00992A0D" w:rsidRDefault="006009DE" w:rsidP="006009DE">
      <w:pPr>
        <w:contextualSpacing/>
        <w:rPr>
          <w:rFonts w:cs="Arial"/>
          <w:color w:val="222222"/>
          <w:szCs w:val="24"/>
        </w:rPr>
      </w:pPr>
      <w:r w:rsidRPr="00992A0D">
        <w:rPr>
          <w:rFonts w:cs="Arial"/>
          <w:color w:val="222222"/>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4337546D" w14:textId="77777777" w:rsidR="006009DE" w:rsidRPr="00992A0D" w:rsidRDefault="006009DE" w:rsidP="006009DE">
      <w:pPr>
        <w:contextualSpacing/>
        <w:rPr>
          <w:rFonts w:cs="Arial"/>
          <w:color w:val="222222"/>
          <w:szCs w:val="24"/>
        </w:rPr>
      </w:pPr>
    </w:p>
    <w:p w14:paraId="3CAEA859" w14:textId="77777777" w:rsidR="006009DE" w:rsidRPr="00992A0D" w:rsidRDefault="006009DE" w:rsidP="006009DE">
      <w:pPr>
        <w:rPr>
          <w:i/>
          <w:szCs w:val="24"/>
        </w:rPr>
      </w:pPr>
      <w:r w:rsidRPr="00992A0D">
        <w:rPr>
          <w:szCs w:val="24"/>
        </w:rPr>
        <w:t>En vista de las consideraciones señaladas, se advierte que el Sujeto Obligado, no justifica en ningún momento de forma fundada y motiva su cambio de modalidad</w:t>
      </w:r>
      <w:r>
        <w:rPr>
          <w:szCs w:val="24"/>
        </w:rPr>
        <w:t xml:space="preserve"> de entrega de la información.</w:t>
      </w:r>
      <w:r w:rsidRPr="00992A0D">
        <w:rPr>
          <w:szCs w:val="24"/>
        </w:rPr>
        <w:t xml:space="preserve"> </w:t>
      </w:r>
    </w:p>
    <w:p w14:paraId="137D3481" w14:textId="77777777" w:rsidR="006009DE" w:rsidRDefault="006009DE" w:rsidP="006009DE"/>
    <w:p w14:paraId="4553E7FE" w14:textId="77777777" w:rsidR="006009DE" w:rsidRPr="00992A0D" w:rsidRDefault="006009DE" w:rsidP="006009DE">
      <w:r>
        <w:t>No se omite resaltar que l</w:t>
      </w:r>
      <w:r w:rsidRPr="00992A0D">
        <w:t xml:space="preserve">a necesidad de fundar y motivar es imperante en todos los actos que emite cualquier autoridad, por lo que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3EF7DEC7" w14:textId="77777777" w:rsidR="006009DE" w:rsidRPr="00992A0D" w:rsidRDefault="006009DE" w:rsidP="006009DE"/>
    <w:p w14:paraId="462A5A86" w14:textId="77777777" w:rsidR="006009DE" w:rsidRPr="00992A0D" w:rsidRDefault="006009DE" w:rsidP="006009DE">
      <w:r w:rsidRPr="00992A0D">
        <w:t xml:space="preserve">Ahora bien, la ley de la materia señala en su artículo 158, los casos en que de manera excepcional se puede proceder al cambio de modalidad: </w:t>
      </w:r>
    </w:p>
    <w:p w14:paraId="61DFA58A" w14:textId="77777777" w:rsidR="006009DE" w:rsidRPr="00992A0D" w:rsidRDefault="006009DE" w:rsidP="006009DE"/>
    <w:p w14:paraId="5BDE7752" w14:textId="77777777" w:rsidR="006009DE" w:rsidRPr="00992A0D" w:rsidRDefault="006009DE" w:rsidP="006009DE">
      <w:pPr>
        <w:pStyle w:val="Fundamentos"/>
      </w:pPr>
      <w:r w:rsidRPr="00775C90">
        <w:rPr>
          <w:b/>
        </w:rPr>
        <w:t>Artículo 158.</w:t>
      </w:r>
      <w:r w:rsidRPr="00992A0D">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w:t>
      </w:r>
      <w:r w:rsidRPr="00992A0D">
        <w:lastRenderedPageBreak/>
        <w:t>para cumplir con la solicitud, en los plazos establecidos para dichos efectos, se podrá poner a disposición del solicitante los documentos en consulta directa, salvo la información clasificada.</w:t>
      </w:r>
    </w:p>
    <w:p w14:paraId="00947CFA" w14:textId="77777777" w:rsidR="006009DE" w:rsidRPr="00992A0D" w:rsidRDefault="006009DE" w:rsidP="006009DE"/>
    <w:p w14:paraId="5B8B43C8" w14:textId="77777777" w:rsidR="006009DE" w:rsidRPr="00992A0D" w:rsidRDefault="006009DE" w:rsidP="006009DE">
      <w:r w:rsidRPr="00992A0D">
        <w:t>En todo caso, se facilitará su copia simple o certificada, así como su reproducción por cualquier medio disponible en las instalaciones del sujeto obligado o que, en su caso, aporte el solicitante.</w:t>
      </w:r>
      <w:r>
        <w:t xml:space="preserve"> </w:t>
      </w:r>
      <w:r w:rsidRPr="00992A0D">
        <w:t>Sobre lo anterior,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deben de buscar la posibilidad de proporcionarla en las otras formas que establecen en la Ley, ya sean electrónicas o físicas.</w:t>
      </w:r>
    </w:p>
    <w:p w14:paraId="08B43C02" w14:textId="77777777" w:rsidR="006009DE" w:rsidRPr="00992A0D" w:rsidRDefault="006009DE" w:rsidP="006009DE"/>
    <w:p w14:paraId="056ECA55" w14:textId="77777777" w:rsidR="006009DE" w:rsidRPr="00992A0D" w:rsidRDefault="006009DE" w:rsidP="006009DE">
      <w:r w:rsidRPr="00992A0D">
        <w:t xml:space="preserve">De lo anterior, se desprende que, el Sujeto Obligado no procedió al cambio de modalidad de manera fundada y motivada, y además que el cambio de vía </w:t>
      </w:r>
      <w:r>
        <w:t xml:space="preserve">propuesto por la autoridad </w:t>
      </w:r>
      <w:r w:rsidRPr="00992A0D">
        <w:t>está fuera de la legalidad que establece la Ley en la materia y es por ello que, en el presente asunto no se justifica el cambio de modalidad, y con el objeto de reparar la afectación al derecho humano de acceso a la información tutelado por este Órgano Garante, deberá remitir la información solicitada por el ahora Recurrente</w:t>
      </w:r>
    </w:p>
    <w:p w14:paraId="0654DBCD" w14:textId="77777777" w:rsidR="006009DE" w:rsidRDefault="006009DE" w:rsidP="006009DE">
      <w:pPr>
        <w:pBdr>
          <w:top w:val="nil"/>
          <w:left w:val="nil"/>
          <w:bottom w:val="nil"/>
          <w:right w:val="nil"/>
          <w:between w:val="nil"/>
        </w:pBdr>
        <w:contextualSpacing/>
        <w:rPr>
          <w:rFonts w:eastAsia="Palatino Linotype" w:cs="Palatino Linotype"/>
          <w:color w:val="000000"/>
          <w:szCs w:val="24"/>
        </w:rPr>
      </w:pPr>
    </w:p>
    <w:p w14:paraId="0080EE71" w14:textId="77777777" w:rsidR="006009DE" w:rsidRPr="00992A0D" w:rsidRDefault="006009DE" w:rsidP="006009DE">
      <w:r w:rsidRPr="00992A0D">
        <w:lastRenderedPageBreak/>
        <w:t xml:space="preserve">Por tal razón, este Órgano Garante en uso de las facultades que la propia legislación le otorga deberá ordenar la entrega de la información solicitada, dada la aceptación del Sujeto Obligado de generar, poseer o administrarla, es decir, de tener conocimiento de lo requerido. </w:t>
      </w:r>
    </w:p>
    <w:p w14:paraId="0DC71934" w14:textId="77777777" w:rsidR="00B57FD2" w:rsidRPr="004F7B93" w:rsidRDefault="00B57FD2" w:rsidP="004F7B93">
      <w:pPr>
        <w:pStyle w:val="NormalINFOEM"/>
      </w:pPr>
    </w:p>
    <w:p w14:paraId="52DC29C1" w14:textId="39206EED" w:rsidR="00DC053B" w:rsidRDefault="00DC053B" w:rsidP="00DC053B">
      <w:pPr>
        <w:pBdr>
          <w:top w:val="nil"/>
          <w:left w:val="nil"/>
          <w:bottom w:val="nil"/>
          <w:right w:val="nil"/>
          <w:between w:val="nil"/>
        </w:pBdr>
        <w:contextualSpacing/>
      </w:pPr>
      <w:r w:rsidRPr="00FC0957">
        <w:rPr>
          <w:rFonts w:eastAsia="Palatino Linotype" w:cs="Palatino Linotype"/>
          <w:color w:val="000000"/>
          <w:szCs w:val="24"/>
        </w:rPr>
        <w:t xml:space="preserve">Por lo señalado anteriormente, este Órgano Garante estima que las razones o motivos de inconformidad planteados en el recurso de revisión devienen fundados, por </w:t>
      </w:r>
      <w:r>
        <w:rPr>
          <w:rFonts w:eastAsia="Palatino Linotype" w:cs="Palatino Linotype"/>
          <w:color w:val="000000"/>
          <w:szCs w:val="24"/>
        </w:rPr>
        <w:t>lo que es procedente revocar la respuesta</w:t>
      </w:r>
      <w:r w:rsidRPr="00FC0957">
        <w:rPr>
          <w:rFonts w:eastAsia="Palatino Linotype" w:cs="Palatino Linotype"/>
          <w:color w:val="000000"/>
          <w:szCs w:val="24"/>
        </w:rPr>
        <w:t xml:space="preserve"> proporcionad</w:t>
      </w:r>
      <w:r>
        <w:rPr>
          <w:rFonts w:eastAsia="Palatino Linotype" w:cs="Palatino Linotype"/>
          <w:color w:val="000000"/>
          <w:szCs w:val="24"/>
        </w:rPr>
        <w:t>a a la solicitud de información que es</w:t>
      </w:r>
      <w:r w:rsidRPr="00FC0957">
        <w:rPr>
          <w:rFonts w:eastAsia="Palatino Linotype" w:cs="Palatino Linotype"/>
          <w:color w:val="000000"/>
          <w:szCs w:val="24"/>
        </w:rPr>
        <w:t xml:space="preserve"> materia de esta resolución y ordenar la entrega de </w:t>
      </w:r>
      <w:r w:rsidRPr="002F1C3D">
        <w:t>l</w:t>
      </w:r>
      <w:r>
        <w:t xml:space="preserve">os documentos </w:t>
      </w:r>
      <w:r w:rsidR="009B413B">
        <w:t xml:space="preserve">generados durante el periodo comprendido del </w:t>
      </w:r>
      <w:r w:rsidR="009B413B" w:rsidRPr="009B413B">
        <w:t>primero de enero de dos mil veintidós al veinticinco de septiembre de dos mil veinticuatro</w:t>
      </w:r>
      <w:r w:rsidR="0046444E">
        <w:t xml:space="preserve">, en donde conste lo siguiente, </w:t>
      </w:r>
      <w:r w:rsidR="009B413B">
        <w:t xml:space="preserve"> </w:t>
      </w:r>
      <w:r>
        <w:t>en versión pública</w:t>
      </w:r>
      <w:r w:rsidR="00640353">
        <w:t xml:space="preserve"> de ser procedente</w:t>
      </w:r>
      <w:r w:rsidR="0046444E">
        <w:t>:</w:t>
      </w:r>
    </w:p>
    <w:p w14:paraId="0611FD50" w14:textId="77777777" w:rsidR="0046444E" w:rsidRDefault="0046444E" w:rsidP="00DC053B">
      <w:pPr>
        <w:pBdr>
          <w:top w:val="nil"/>
          <w:left w:val="nil"/>
          <w:bottom w:val="nil"/>
          <w:right w:val="nil"/>
          <w:between w:val="nil"/>
        </w:pBdr>
        <w:contextualSpacing/>
      </w:pPr>
    </w:p>
    <w:p w14:paraId="020C6B39" w14:textId="77777777" w:rsidR="0046444E" w:rsidRPr="001C4D99" w:rsidRDefault="0046444E" w:rsidP="00105685">
      <w:pPr>
        <w:pStyle w:val="Prrafodelista"/>
        <w:numPr>
          <w:ilvl w:val="0"/>
          <w:numId w:val="50"/>
        </w:numPr>
        <w:rPr>
          <w:rFonts w:eastAsiaTheme="minorHAnsi" w:cstheme="minorBidi"/>
          <w:lang w:eastAsia="en-US"/>
        </w:rPr>
      </w:pPr>
      <w:r w:rsidRPr="001C4D99">
        <w:rPr>
          <w:rFonts w:eastAsiaTheme="minorHAnsi" w:cstheme="minorBidi"/>
          <w:lang w:eastAsia="en-US"/>
        </w:rPr>
        <w:t>Monto mensual del gasto por concepto de rentas de sillas, mesas, lonas y carpas.</w:t>
      </w:r>
    </w:p>
    <w:p w14:paraId="317A2953" w14:textId="77777777" w:rsidR="0046444E" w:rsidRPr="001C4D99" w:rsidRDefault="0046444E" w:rsidP="00105685">
      <w:pPr>
        <w:pStyle w:val="Prrafodelista"/>
        <w:numPr>
          <w:ilvl w:val="0"/>
          <w:numId w:val="50"/>
        </w:numPr>
        <w:rPr>
          <w:rFonts w:eastAsiaTheme="minorHAnsi" w:cstheme="minorBidi"/>
          <w:lang w:eastAsia="en-US"/>
        </w:rPr>
      </w:pPr>
      <w:r w:rsidRPr="001C4D99">
        <w:rPr>
          <w:rFonts w:eastAsiaTheme="minorHAnsi" w:cstheme="minorBidi"/>
          <w:lang w:eastAsia="en-US"/>
        </w:rPr>
        <w:t>Nombre de los proveedores.</w:t>
      </w:r>
    </w:p>
    <w:p w14:paraId="369010CC" w14:textId="77777777" w:rsidR="0046444E" w:rsidRPr="001C4D99" w:rsidRDefault="0046444E" w:rsidP="00105685">
      <w:pPr>
        <w:pStyle w:val="Prrafodelista"/>
        <w:numPr>
          <w:ilvl w:val="0"/>
          <w:numId w:val="50"/>
        </w:numPr>
        <w:rPr>
          <w:rFonts w:eastAsiaTheme="minorHAnsi" w:cstheme="minorBidi"/>
          <w:lang w:eastAsia="en-US"/>
        </w:rPr>
      </w:pPr>
      <w:r w:rsidRPr="001C4D99">
        <w:rPr>
          <w:rFonts w:eastAsiaTheme="minorHAnsi" w:cstheme="minorBidi"/>
          <w:lang w:eastAsia="en-US"/>
        </w:rPr>
        <w:t>Las pólizas de egresos generadas por dichos conceptos.</w:t>
      </w:r>
    </w:p>
    <w:p w14:paraId="633ABE35" w14:textId="77777777" w:rsidR="00DC053B" w:rsidRDefault="00DC053B" w:rsidP="00DC053B">
      <w:pPr>
        <w:pBdr>
          <w:top w:val="nil"/>
          <w:left w:val="nil"/>
          <w:bottom w:val="nil"/>
          <w:right w:val="nil"/>
          <w:between w:val="nil"/>
        </w:pBdr>
        <w:contextualSpacing/>
      </w:pPr>
    </w:p>
    <w:p w14:paraId="5F9FE313" w14:textId="77777777" w:rsidR="00DC053B" w:rsidRDefault="00DC053B" w:rsidP="00DC053B">
      <w:pPr>
        <w:pStyle w:val="Ttulo3"/>
        <w:rPr>
          <w:rFonts w:eastAsia="Palatino Linotype"/>
        </w:rPr>
      </w:pPr>
      <w:r>
        <w:rPr>
          <w:rFonts w:eastAsia="Palatino Linotype"/>
        </w:rPr>
        <w:t>DE LA VERSIÓN PÚBLICA</w:t>
      </w:r>
    </w:p>
    <w:p w14:paraId="53293ED6" w14:textId="77777777" w:rsidR="007C047A" w:rsidRPr="00F42CE0" w:rsidRDefault="007C047A" w:rsidP="007C047A">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w:t>
      </w:r>
      <w:r>
        <w:rPr>
          <w:rFonts w:eastAsia="Palatino Linotype" w:cs="Palatino Linotype"/>
          <w:szCs w:val="24"/>
        </w:rPr>
        <w:t>acciones IX, XX, XXI y XLV, 91,</w:t>
      </w:r>
      <w:r w:rsidRPr="00F42CE0">
        <w:rPr>
          <w:rFonts w:eastAsia="Palatino Linotype" w:cs="Palatino Linotype"/>
          <w:szCs w:val="24"/>
        </w:rPr>
        <w:t xml:space="preserve"> 132 fracciones II y III </w:t>
      </w:r>
      <w:r>
        <w:rPr>
          <w:rFonts w:eastAsia="Palatino Linotype" w:cs="Palatino Linotype"/>
          <w:szCs w:val="24"/>
        </w:rPr>
        <w:t xml:space="preserve">y 143 </w:t>
      </w:r>
      <w:r w:rsidRPr="00F42CE0">
        <w:rPr>
          <w:rFonts w:eastAsia="Palatino Linotype" w:cs="Palatino Linotype"/>
          <w:szCs w:val="24"/>
        </w:rPr>
        <w:t>de la Ley de Transparencia y Acceso a la Información Pública del Estado de México y Municipios que establecen lo siguiente:</w:t>
      </w:r>
    </w:p>
    <w:p w14:paraId="705C7B9E" w14:textId="77777777" w:rsidR="007C047A" w:rsidRPr="00F42CE0" w:rsidRDefault="007C047A" w:rsidP="007C047A">
      <w:pPr>
        <w:rPr>
          <w:rFonts w:eastAsia="Palatino Linotype" w:cs="Palatino Linotype"/>
          <w:szCs w:val="24"/>
        </w:rPr>
      </w:pPr>
    </w:p>
    <w:p w14:paraId="26FF6179"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3.</w:t>
      </w:r>
      <w:r w:rsidRPr="00F42CE0">
        <w:rPr>
          <w:rFonts w:eastAsia="Palatino Linotype" w:cs="Palatino Linotype"/>
          <w:i/>
          <w:color w:val="000000"/>
          <w:sz w:val="22"/>
          <w:szCs w:val="24"/>
        </w:rPr>
        <w:t xml:space="preserve"> Para los efectos de la presente Ley se entenderá por:</w:t>
      </w:r>
    </w:p>
    <w:p w14:paraId="2E4B2936"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lastRenderedPageBreak/>
        <w:t>[…]</w:t>
      </w:r>
    </w:p>
    <w:p w14:paraId="1478D6AF"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7AD0B7C9"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34278D69"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C68C47E"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b/>
          <w:i/>
          <w:color w:val="000000"/>
          <w:sz w:val="22"/>
          <w:szCs w:val="24"/>
        </w:rPr>
        <w:t>[</w:t>
      </w:r>
      <w:r w:rsidRPr="00F42CE0">
        <w:rPr>
          <w:rFonts w:eastAsia="Palatino Linotype" w:cs="Palatino Linotype"/>
          <w:b/>
          <w:i/>
          <w:color w:val="000000"/>
          <w:sz w:val="22"/>
          <w:szCs w:val="24"/>
        </w:rPr>
        <w:t>…</w:t>
      </w:r>
      <w:r>
        <w:rPr>
          <w:rFonts w:eastAsia="Palatino Linotype" w:cs="Palatino Linotype"/>
          <w:b/>
          <w:i/>
          <w:color w:val="000000"/>
          <w:sz w:val="22"/>
          <w:szCs w:val="24"/>
        </w:rPr>
        <w:t>]</w:t>
      </w:r>
    </w:p>
    <w:p w14:paraId="0A46FD54"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6071340A"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71E64A22"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AB6E6C6"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45C00D7A"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3D1C919"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521CC4BC"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34B4357E"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0074EA69"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20516423" w14:textId="77777777" w:rsidR="007C047A"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6D7B49B6" w14:textId="77777777" w:rsidR="007C047A"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DC7BCE6" w14:textId="77777777" w:rsidR="007C047A" w:rsidRPr="00754B8E"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Artículo 143.</w:t>
      </w:r>
      <w:r w:rsidRPr="00754B8E">
        <w:rPr>
          <w:rFonts w:eastAsia="Palatino Linotype" w:cs="Palatino Linotype"/>
          <w:i/>
          <w:color w:val="000000"/>
          <w:sz w:val="22"/>
          <w:szCs w:val="24"/>
        </w:rPr>
        <w:t xml:space="preserve"> </w:t>
      </w:r>
      <w:r w:rsidRPr="00754B8E">
        <w:rPr>
          <w:rFonts w:eastAsia="Palatino Linotype" w:cs="Palatino Linotype"/>
          <w:i/>
          <w:color w:val="000000"/>
          <w:sz w:val="22"/>
          <w:szCs w:val="24"/>
          <w:u w:val="single"/>
        </w:rPr>
        <w:t>Para los efectos de esta Ley se considera información confidencial, la clasificada como tal, de manera permanente, por su naturaleza, cuando</w:t>
      </w:r>
      <w:r w:rsidRPr="00754B8E">
        <w:rPr>
          <w:rFonts w:eastAsia="Palatino Linotype" w:cs="Palatino Linotype"/>
          <w:i/>
          <w:color w:val="000000"/>
          <w:sz w:val="22"/>
          <w:szCs w:val="24"/>
        </w:rPr>
        <w:t>:</w:t>
      </w:r>
    </w:p>
    <w:p w14:paraId="62A68351" w14:textId="77777777" w:rsidR="007C047A" w:rsidRPr="00754B8E"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w:t>
      </w:r>
      <w:r w:rsidRPr="00754B8E">
        <w:rPr>
          <w:rFonts w:eastAsia="Palatino Linotype" w:cs="Palatino Linotype"/>
          <w:i/>
          <w:color w:val="000000"/>
          <w:sz w:val="22"/>
          <w:szCs w:val="24"/>
        </w:rPr>
        <w:t xml:space="preserve"> </w:t>
      </w:r>
      <w:r w:rsidRPr="00754B8E">
        <w:rPr>
          <w:rFonts w:eastAsia="Palatino Linotype" w:cs="Palatino Linotype"/>
          <w:i/>
          <w:color w:val="000000"/>
          <w:sz w:val="22"/>
          <w:szCs w:val="24"/>
          <w:u w:val="single"/>
        </w:rPr>
        <w:t>Se refiera a la información privada y los datos personales concernientes a una persona física o jurídico colectiva identificada o identificable</w:t>
      </w:r>
      <w:r w:rsidRPr="00754B8E">
        <w:rPr>
          <w:rFonts w:eastAsia="Palatino Linotype" w:cs="Palatino Linotype"/>
          <w:i/>
          <w:color w:val="000000"/>
          <w:sz w:val="22"/>
          <w:szCs w:val="24"/>
        </w:rPr>
        <w:t>;</w:t>
      </w:r>
    </w:p>
    <w:p w14:paraId="2908AA5F" w14:textId="77777777" w:rsidR="007C047A" w:rsidRPr="00754B8E"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II.</w:t>
      </w:r>
      <w:r w:rsidRPr="00754B8E">
        <w:rPr>
          <w:rFonts w:eastAsia="Palatino Linotype" w:cs="Palatino Linotype"/>
          <w:i/>
          <w:color w:val="000000"/>
          <w:sz w:val="22"/>
          <w:szCs w:val="24"/>
          <w:u w:val="single"/>
        </w:rPr>
        <w:t xml:space="preserve"> Los secretos bancario, fiduciario, industrial, comercial, fiscal, bursátil y postal, cuya titularidad corresponda a particulares, sujetos de derecho internacional o a sujetos obligados cuando no involucren el ejercicio de recursos públicos</w:t>
      </w:r>
      <w:r w:rsidRPr="00754B8E">
        <w:rPr>
          <w:rFonts w:eastAsia="Palatino Linotype" w:cs="Palatino Linotype"/>
          <w:i/>
          <w:color w:val="000000"/>
          <w:sz w:val="22"/>
          <w:szCs w:val="24"/>
        </w:rPr>
        <w:t>; y</w:t>
      </w:r>
    </w:p>
    <w:p w14:paraId="4C7CC039" w14:textId="77777777" w:rsidR="007C047A" w:rsidRPr="00754B8E"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III.</w:t>
      </w:r>
      <w:r w:rsidRPr="00754B8E">
        <w:rPr>
          <w:rFonts w:eastAsia="Palatino Linotype" w:cs="Palatino Linotype"/>
          <w:i/>
          <w:color w:val="000000"/>
          <w:sz w:val="22"/>
          <w:szCs w:val="24"/>
        </w:rPr>
        <w:t xml:space="preserve"> La que presenten los particulares a los sujetos obligados, de conformidad con lo dispuesto por las leyes o los tratados internacionales.</w:t>
      </w:r>
    </w:p>
    <w:p w14:paraId="68E73002" w14:textId="77777777" w:rsidR="007C047A" w:rsidRPr="00754B8E" w:rsidRDefault="007C047A" w:rsidP="007C047A">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47BF072">
        <w:rPr>
          <w:rFonts w:eastAsia="Palatino Linotype" w:cs="Palatino Linotype"/>
          <w:i/>
          <w:iCs/>
          <w:color w:val="000000" w:themeColor="text1"/>
          <w:sz w:val="22"/>
          <w:lang w:val="es-ES"/>
        </w:rPr>
        <w:t>La información confidencial no estará sujeta a temporalidad alguna y sólo podrán tener acceso a ella los titulares de la misma, sus representantes y los servidores públicos facultados para ello.</w:t>
      </w:r>
    </w:p>
    <w:p w14:paraId="0829ACC0"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47BF072">
        <w:rPr>
          <w:rFonts w:eastAsia="Palatino Linotype" w:cs="Palatino Linotype"/>
          <w:i/>
          <w:iCs/>
          <w:color w:val="000000" w:themeColor="text1"/>
          <w:sz w:val="22"/>
          <w:lang w:val="es-ES"/>
        </w:rPr>
        <w:lastRenderedPageBreak/>
        <w:t>No se considerará confidencial la información que se encuentre en los registros públicos o en fuentes de acceso público, ni tampoco la que sea considerada por la presente ley como información pública.</w:t>
      </w:r>
    </w:p>
    <w:p w14:paraId="41D4E411" w14:textId="77777777" w:rsidR="007C047A" w:rsidRPr="00F42CE0" w:rsidRDefault="007C047A" w:rsidP="007C047A">
      <w:pPr>
        <w:rPr>
          <w:rFonts w:eastAsia="Palatino Linotype" w:cs="Palatino Linotype"/>
          <w:i/>
          <w:szCs w:val="24"/>
        </w:rPr>
      </w:pPr>
    </w:p>
    <w:p w14:paraId="1F3E415C" w14:textId="77777777" w:rsidR="007C047A" w:rsidRPr="00F42CE0" w:rsidRDefault="007C047A" w:rsidP="007C047A">
      <w:pPr>
        <w:rPr>
          <w:rFonts w:eastAsia="Palatino Linotype" w:cs="Palatino Linotype"/>
          <w:lang w:val="es-ES"/>
        </w:rPr>
      </w:pPr>
      <w:r w:rsidRPr="347BF072">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25E3074" w14:textId="77777777" w:rsidR="007C047A" w:rsidRPr="00F42CE0" w:rsidRDefault="007C047A" w:rsidP="007C047A">
      <w:pPr>
        <w:rPr>
          <w:rFonts w:eastAsia="Palatino Linotype" w:cs="Palatino Linotype"/>
          <w:szCs w:val="24"/>
        </w:rPr>
      </w:pPr>
    </w:p>
    <w:p w14:paraId="6275974C" w14:textId="77777777" w:rsidR="007C047A" w:rsidRPr="00F42CE0" w:rsidRDefault="007C047A" w:rsidP="007C047A">
      <w:pPr>
        <w:rPr>
          <w:rFonts w:eastAsia="Palatino Linotype" w:cs="Palatino Linotype"/>
          <w:szCs w:val="24"/>
        </w:rPr>
      </w:pPr>
      <w:r w:rsidRPr="00F42CE0">
        <w:rPr>
          <w:rFonts w:eastAsia="Palatino Linotype" w:cs="Palatino Linotype"/>
          <w:szCs w:val="24"/>
        </w:rPr>
        <w:t xml:space="preserve">Por otro </w:t>
      </w:r>
      <w:r w:rsidRPr="00381BAB">
        <w:rPr>
          <w:rFonts w:eastAsia="Palatino Linotype" w:cs="Palatino Linotype"/>
          <w:szCs w:val="24"/>
        </w:rPr>
        <w:t>lado, los Lineamientos Generales en Materia de Clasificación y Desclasificación de la Información, así como para la elaboración de Versiones Públicas, emitidos por el Consejo</w:t>
      </w:r>
      <w:r w:rsidRPr="00F42CE0">
        <w:rPr>
          <w:rFonts w:eastAsia="Palatino Linotype" w:cs="Palatino Linotype"/>
          <w:szCs w:val="24"/>
        </w:rPr>
        <w:t xml:space="preserve">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43A318C" w14:textId="77777777" w:rsidR="007C047A" w:rsidRPr="00F42CE0" w:rsidRDefault="007C047A" w:rsidP="007C047A">
      <w:pPr>
        <w:rPr>
          <w:rFonts w:eastAsia="Palatino Linotype" w:cs="Palatino Linotype"/>
          <w:szCs w:val="24"/>
        </w:rPr>
      </w:pPr>
    </w:p>
    <w:p w14:paraId="578BBA20" w14:textId="77777777" w:rsidR="007C047A" w:rsidRPr="00F42CE0" w:rsidRDefault="007C047A" w:rsidP="007C047A">
      <w:pPr>
        <w:rPr>
          <w:rFonts w:eastAsia="Palatino Linotype" w:cs="Palatino Linotype"/>
          <w:szCs w:val="24"/>
        </w:rPr>
      </w:pPr>
      <w:r>
        <w:rPr>
          <w:rFonts w:eastAsia="Palatino Linotype" w:cs="Palatino Linotype"/>
          <w:szCs w:val="24"/>
        </w:rPr>
        <w:t>Asimismo</w:t>
      </w:r>
      <w:r w:rsidRPr="00F42CE0">
        <w:rPr>
          <w:rFonts w:eastAsia="Palatino Linotype" w:cs="Palatino Linotype"/>
          <w:szCs w:val="24"/>
        </w:rPr>
        <w:t>, los Lineamientos Quincuagésimo sexto, Quincuagésimo séptimo y Quincuagésimo octavo, establecen lo siguiente:</w:t>
      </w:r>
    </w:p>
    <w:p w14:paraId="2670378A" w14:textId="77777777" w:rsidR="007C047A" w:rsidRPr="00F42CE0" w:rsidRDefault="007C047A" w:rsidP="007C047A">
      <w:pPr>
        <w:rPr>
          <w:rFonts w:eastAsia="Palatino Linotype" w:cs="Palatino Linotype"/>
        </w:rPr>
      </w:pPr>
    </w:p>
    <w:p w14:paraId="3A0F81C6" w14:textId="77777777" w:rsidR="007C047A"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7FF25E32"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0149921"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lastRenderedPageBreak/>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01434F4C"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E45D4F4"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28074CEA"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3B1E7BCC"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72A4F5BC">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B800795"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9AF9F6C"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01839FDF"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198D2E1"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4EDEC34D" w14:textId="77777777" w:rsidR="007C047A" w:rsidRPr="00F42CE0" w:rsidRDefault="007C047A" w:rsidP="007C047A">
      <w:pPr>
        <w:rPr>
          <w:rFonts w:eastAsia="Palatino Linotype" w:cs="Palatino Linotype"/>
          <w:i/>
          <w:szCs w:val="24"/>
        </w:rPr>
      </w:pPr>
    </w:p>
    <w:p w14:paraId="52F743D7" w14:textId="77777777" w:rsidR="007C047A" w:rsidRPr="00F42CE0" w:rsidRDefault="007C047A" w:rsidP="007C047A">
      <w:pPr>
        <w:rPr>
          <w:rFonts w:eastAsia="Palatino Linotype" w:cs="Palatino Linotype"/>
          <w:szCs w:val="24"/>
        </w:rPr>
      </w:pPr>
      <w:r w:rsidRPr="00F42CE0">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72F26FAF" w14:textId="77777777" w:rsidR="007C047A" w:rsidRDefault="007C047A" w:rsidP="007C047A">
      <w:pPr>
        <w:rPr>
          <w:rFonts w:eastAsia="Palatino Linotype" w:cs="Palatino Linotype"/>
          <w:szCs w:val="24"/>
        </w:rPr>
      </w:pPr>
    </w:p>
    <w:p w14:paraId="59B391F2" w14:textId="1786E0BA" w:rsidR="007C047A" w:rsidRPr="00754B8E" w:rsidRDefault="007C047A" w:rsidP="007C047A">
      <w:pPr>
        <w:rPr>
          <w:rFonts w:eastAsia="Palatino Linotype" w:cs="Palatino Linotype"/>
          <w:szCs w:val="24"/>
        </w:rPr>
      </w:pPr>
      <w:r w:rsidRPr="00754B8E">
        <w:rPr>
          <w:rFonts w:eastAsia="Palatino Linotype" w:cs="Palatino Linotype"/>
          <w:szCs w:val="24"/>
        </w:rPr>
        <w:lastRenderedPageBreak/>
        <w:t xml:space="preserve">Debe agregarse, que el Sujeto Obligado al entregar la referida documentación, debe dejar visible los datos del proveedor o contratistas, el registro federal de contribuyentes y el domicilio fiscal; es decir, no debe testarse dato alguno relacionado con el </w:t>
      </w:r>
      <w:r w:rsidR="00E81814" w:rsidRPr="00754B8E">
        <w:rPr>
          <w:rFonts w:eastAsia="Palatino Linotype" w:cs="Palatino Linotype"/>
          <w:szCs w:val="24"/>
        </w:rPr>
        <w:t>contribuyente,</w:t>
      </w:r>
      <w:r w:rsidRPr="00754B8E">
        <w:rPr>
          <w:rFonts w:eastAsia="Palatino Linotype" w:cs="Palatino Linotype"/>
          <w:szCs w:val="24"/>
        </w:rPr>
        <w:t xml:space="preserve"> aunque el proveedor o contratista sea una persona física. </w:t>
      </w:r>
    </w:p>
    <w:p w14:paraId="58F2D70A" w14:textId="77777777" w:rsidR="007C047A" w:rsidRPr="00754B8E" w:rsidRDefault="007C047A" w:rsidP="007C047A">
      <w:pPr>
        <w:rPr>
          <w:rFonts w:eastAsia="Palatino Linotype" w:cs="Palatino Linotype"/>
          <w:szCs w:val="24"/>
        </w:rPr>
      </w:pPr>
    </w:p>
    <w:p w14:paraId="77308A93" w14:textId="5013EA9A" w:rsidR="007C047A" w:rsidRPr="00754B8E" w:rsidRDefault="007C047A" w:rsidP="007C047A">
      <w:pPr>
        <w:rPr>
          <w:rFonts w:eastAsia="Palatino Linotype" w:cs="Palatino Linotype"/>
          <w:szCs w:val="24"/>
        </w:rPr>
      </w:pPr>
      <w:r w:rsidRPr="00754B8E">
        <w:rPr>
          <w:rFonts w:eastAsia="Palatino Linotype" w:cs="Palatino Linotype"/>
          <w:szCs w:val="24"/>
        </w:rPr>
        <w:t xml:space="preserve">Lo anterior se debe a </w:t>
      </w:r>
      <w:r w:rsidR="00E81814" w:rsidRPr="00754B8E">
        <w:rPr>
          <w:rFonts w:eastAsia="Palatino Linotype" w:cs="Palatino Linotype"/>
          <w:szCs w:val="24"/>
        </w:rPr>
        <w:t>que,</w:t>
      </w:r>
      <w:r w:rsidRPr="00754B8E">
        <w:rPr>
          <w:rFonts w:eastAsia="Palatino Linotype" w:cs="Palatino Linotype"/>
          <w:szCs w:val="24"/>
        </w:rPr>
        <w:t xml:space="preserve"> del ejercicio de ponderación entre el derecho a la protección de datos personales y el derecho de acceso a la información pública, es de mayor trascendencia el que cualquier persona pueda conocer en qué se gastan los recursos públicos, puesto que se trata de erogaciones de recursos públicos, por lo que se debe transparentar su ejercicio. </w:t>
      </w:r>
    </w:p>
    <w:p w14:paraId="1C41117B" w14:textId="77777777" w:rsidR="007C047A" w:rsidRPr="00754B8E" w:rsidRDefault="007C047A" w:rsidP="007C047A">
      <w:pPr>
        <w:rPr>
          <w:rFonts w:eastAsia="Palatino Linotype" w:cs="Palatino Linotype"/>
          <w:szCs w:val="24"/>
        </w:rPr>
      </w:pPr>
    </w:p>
    <w:p w14:paraId="07485AB4" w14:textId="77777777" w:rsidR="007C047A" w:rsidRPr="00754B8E" w:rsidRDefault="007C047A" w:rsidP="007C047A">
      <w:pPr>
        <w:rPr>
          <w:rFonts w:eastAsia="Palatino Linotype" w:cs="Palatino Linotype"/>
          <w:szCs w:val="24"/>
        </w:rPr>
      </w:pPr>
      <w:r w:rsidRPr="00754B8E">
        <w:rPr>
          <w:rFonts w:eastAsia="Palatino Linotype" w:cs="Palatino Linotype"/>
          <w:szCs w:val="24"/>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 esto es, se están realizando pagos a una persona que realiza una obra o presta un servicio, por la que se hizo un pago con dinero del erario público.</w:t>
      </w:r>
    </w:p>
    <w:p w14:paraId="7DCC55A6" w14:textId="77777777" w:rsidR="007C047A" w:rsidRPr="00754B8E" w:rsidRDefault="007C047A" w:rsidP="007C047A">
      <w:pPr>
        <w:rPr>
          <w:rFonts w:eastAsia="Palatino Linotype" w:cs="Palatino Linotype"/>
          <w:szCs w:val="24"/>
        </w:rPr>
      </w:pPr>
    </w:p>
    <w:p w14:paraId="22FEAC3B" w14:textId="77777777" w:rsidR="007C047A" w:rsidRPr="00754B8E" w:rsidRDefault="007C047A" w:rsidP="007C047A">
      <w:pPr>
        <w:rPr>
          <w:rFonts w:eastAsia="Palatino Linotype" w:cs="Palatino Linotype"/>
          <w:szCs w:val="24"/>
        </w:rPr>
      </w:pPr>
      <w:r w:rsidRPr="00754B8E">
        <w:rPr>
          <w:rFonts w:eastAsia="Palatino Linotype" w:cs="Palatino Linotype"/>
          <w:szCs w:val="24"/>
        </w:rPr>
        <w:t>Ahora bien, respecto de los números de cuentas bancarias, claves</w:t>
      </w:r>
      <w:r>
        <w:rPr>
          <w:rFonts w:eastAsia="Palatino Linotype" w:cs="Palatino Linotype"/>
          <w:szCs w:val="24"/>
        </w:rPr>
        <w:t xml:space="preserve"> estandarizadas interbancarias</w:t>
      </w:r>
      <w:r w:rsidRPr="00754B8E">
        <w:rPr>
          <w:rFonts w:eastAsia="Palatino Linotype" w:cs="Palatino Linotype"/>
          <w:szCs w:val="24"/>
        </w:rPr>
        <w:t xml:space="preserve"> (CLABES) y de tarjetas de los proveedores, este Pleno considera que es información que debe clasificarse como confidencial y por lo tanto debe elaborarse una versión en que ésta se teste. </w:t>
      </w:r>
    </w:p>
    <w:p w14:paraId="1F220EB4" w14:textId="77777777" w:rsidR="007C047A" w:rsidRPr="00754B8E" w:rsidRDefault="007C047A" w:rsidP="007C047A">
      <w:pPr>
        <w:rPr>
          <w:rFonts w:eastAsia="Palatino Linotype" w:cs="Palatino Linotype"/>
          <w:szCs w:val="24"/>
        </w:rPr>
      </w:pPr>
    </w:p>
    <w:p w14:paraId="789ADCDD" w14:textId="77777777" w:rsidR="007C047A" w:rsidRPr="00754B8E" w:rsidRDefault="007C047A" w:rsidP="007C047A">
      <w:pPr>
        <w:rPr>
          <w:rFonts w:eastAsia="Palatino Linotype" w:cs="Palatino Linotype"/>
          <w:lang w:val="es-ES"/>
        </w:rPr>
      </w:pPr>
      <w:r w:rsidRPr="72A4F5BC">
        <w:rPr>
          <w:rFonts w:eastAsia="Palatino Linotype" w:cs="Palatino Linotype"/>
          <w:lang w:val="es-ES"/>
        </w:rPr>
        <w:t>Esto es así, ya que el número de cuenta bancaria se trata de información que sólo su titular o personas autorizadas poseen, entre otros elementos, para el acceso o consulta de información patrimonial, así como para la realización de operaciones bancarias de diversa índole, por lo que la difusión pública de dicha información facilitaría a cualquier persona interesada en afectar el patrimonio del titular de la cuenta; realice conductas tendientes a tal fin y tipificadas como delitos, con lo que se ocasionaría un serio perjuicio a su titular.</w:t>
      </w:r>
    </w:p>
    <w:p w14:paraId="68180371" w14:textId="77777777" w:rsidR="007C047A" w:rsidRPr="00754B8E" w:rsidRDefault="007C047A" w:rsidP="007C047A">
      <w:pPr>
        <w:rPr>
          <w:rFonts w:eastAsia="Palatino Linotype" w:cs="Palatino Linotype"/>
          <w:szCs w:val="24"/>
        </w:rPr>
      </w:pPr>
    </w:p>
    <w:p w14:paraId="7C48FB4F" w14:textId="77777777" w:rsidR="007C047A" w:rsidRPr="00754B8E" w:rsidRDefault="007C047A" w:rsidP="007C047A">
      <w:pPr>
        <w:rPr>
          <w:rFonts w:eastAsia="Palatino Linotype" w:cs="Palatino Linotype"/>
          <w:lang w:val="es-ES"/>
        </w:rPr>
      </w:pPr>
      <w:r w:rsidRPr="72A4F5BC">
        <w:rPr>
          <w:rFonts w:eastAsia="Palatino Linotype" w:cs="Palatino Linotype"/>
          <w:lang w:val="es-ES"/>
        </w:rPr>
        <w:t>Por lo anterior, el número de cuenta bancaria debe ser información confidencial en términos del artículo 143, de la Ley de Transparencia y Acceso a la Información Pública del Estado de México y Municipios, debido a que con su difusión se estaría revelando información de una persona física o jurídica colectiva.</w:t>
      </w:r>
    </w:p>
    <w:p w14:paraId="16DE102B" w14:textId="77777777" w:rsidR="007C047A" w:rsidRPr="00754B8E" w:rsidRDefault="007C047A" w:rsidP="007C047A">
      <w:pPr>
        <w:rPr>
          <w:rFonts w:eastAsia="Palatino Linotype" w:cs="Palatino Linotype"/>
          <w:szCs w:val="24"/>
        </w:rPr>
      </w:pPr>
    </w:p>
    <w:p w14:paraId="601F0EDF" w14:textId="77777777" w:rsidR="007C047A" w:rsidRPr="00754B8E" w:rsidRDefault="007C047A" w:rsidP="007C047A">
      <w:pPr>
        <w:rPr>
          <w:rFonts w:eastAsia="Palatino Linotype" w:cs="Palatino Linotype"/>
          <w:szCs w:val="24"/>
        </w:rPr>
      </w:pPr>
      <w:r w:rsidRPr="00754B8E">
        <w:rPr>
          <w:rFonts w:eastAsia="Palatino Linotype" w:cs="Palatino Linotype"/>
          <w:szCs w:val="24"/>
        </w:rPr>
        <w:t xml:space="preserve">Adicional a lo anterior, la publicidad de los números de cuenta bancarios en nada contribuye a la rendición de cuentas o a la transparencia de la gestión gubernamental, sino por el contrario, dar a conocerlos hace vulnerable a su titular, en caso específico de la persona prestadora de bienes o servicios, al abrir la posibilidad de que terceros que cuenten con las posibilidades tecnológicas y/o económicas puedan realizar actos ilícitos mediante operaciones cibernéticas. </w:t>
      </w:r>
    </w:p>
    <w:p w14:paraId="228A6545" w14:textId="77777777" w:rsidR="007C047A" w:rsidRPr="00754B8E" w:rsidRDefault="007C047A" w:rsidP="007C047A">
      <w:pPr>
        <w:rPr>
          <w:rFonts w:eastAsia="Palatino Linotype" w:cs="Palatino Linotype"/>
          <w:szCs w:val="24"/>
        </w:rPr>
      </w:pPr>
    </w:p>
    <w:p w14:paraId="325BBCE4" w14:textId="77777777" w:rsidR="007C047A" w:rsidRPr="00754B8E" w:rsidRDefault="007C047A" w:rsidP="007C047A">
      <w:pPr>
        <w:rPr>
          <w:rFonts w:eastAsia="Palatino Linotype" w:cs="Palatino Linotype"/>
          <w:szCs w:val="24"/>
        </w:rPr>
      </w:pPr>
      <w:r w:rsidRPr="00754B8E">
        <w:rPr>
          <w:rFonts w:eastAsia="Palatino Linotype" w:cs="Palatino Linotype"/>
          <w:szCs w:val="24"/>
        </w:rPr>
        <w:t>En esa virtud, este Pleno determina que dicha información no puede ser del dominio público, toda vez que se podría dar un uso inadecuado a la misma o cometer algún ilícito o fraude en contra de su patrimonio.</w:t>
      </w:r>
    </w:p>
    <w:p w14:paraId="046A52D8" w14:textId="77777777" w:rsidR="007C047A" w:rsidRPr="00754B8E" w:rsidRDefault="007C047A" w:rsidP="007C047A">
      <w:pPr>
        <w:rPr>
          <w:rFonts w:eastAsia="Palatino Linotype" w:cs="Palatino Linotype"/>
          <w:szCs w:val="24"/>
        </w:rPr>
      </w:pPr>
    </w:p>
    <w:p w14:paraId="7DF8DE0A" w14:textId="77777777" w:rsidR="007C047A" w:rsidRPr="00754B8E" w:rsidRDefault="007C047A" w:rsidP="007C047A">
      <w:pPr>
        <w:rPr>
          <w:rFonts w:eastAsia="Palatino Linotype" w:cs="Palatino Linotype"/>
          <w:szCs w:val="24"/>
        </w:rPr>
      </w:pPr>
      <w:r w:rsidRPr="00754B8E">
        <w:rPr>
          <w:rFonts w:eastAsia="Palatino Linotype" w:cs="Palatino Linotype"/>
          <w:szCs w:val="24"/>
        </w:rPr>
        <w:t>De este modo, en las versiones públicas se deben testar únicamente los números de las cuentas bancarias, CLABES; si es que esta información se advierte en los documentos a otorgar; en caso contrario, se deben entregar en forma íntegra.</w:t>
      </w:r>
    </w:p>
    <w:p w14:paraId="4F6B20F7" w14:textId="77777777" w:rsidR="007C047A" w:rsidRPr="00754B8E" w:rsidRDefault="007C047A" w:rsidP="007C047A">
      <w:pPr>
        <w:rPr>
          <w:rFonts w:eastAsia="Palatino Linotype" w:cs="Palatino Linotype"/>
          <w:szCs w:val="24"/>
        </w:rPr>
      </w:pPr>
    </w:p>
    <w:p w14:paraId="5BDC7CD2" w14:textId="77777777" w:rsidR="007C047A" w:rsidRDefault="007C047A" w:rsidP="007C047A">
      <w:pPr>
        <w:rPr>
          <w:rFonts w:eastAsia="Palatino Linotype" w:cs="Palatino Linotype"/>
          <w:szCs w:val="24"/>
        </w:rPr>
      </w:pPr>
      <w:r w:rsidRPr="00754B8E">
        <w:rPr>
          <w:rFonts w:eastAsia="Palatino Linotype" w:cs="Palatino Linotype"/>
          <w:szCs w:val="24"/>
        </w:rPr>
        <w:t>Además de ello, se considera que se deberá testar el sello digital del contribuyente que lo expide y la cadena original de éste, en virtud de que estos se pueden vincular con la identidad de un sujeto o entidad, su clave pública y la clave pública del titular del certificado; datos que, se insiste, no son de acceso público, de ahí que deben protegerse mediante la versión pública correspondiente.</w:t>
      </w:r>
    </w:p>
    <w:p w14:paraId="34AD5D01" w14:textId="77777777" w:rsidR="007C047A" w:rsidRPr="00F42CE0" w:rsidRDefault="007C047A" w:rsidP="007C047A">
      <w:pPr>
        <w:rPr>
          <w:rFonts w:eastAsia="Palatino Linotype" w:cs="Palatino Linotype"/>
          <w:szCs w:val="24"/>
        </w:rPr>
      </w:pPr>
    </w:p>
    <w:p w14:paraId="79D5CB99" w14:textId="77777777" w:rsidR="007C047A" w:rsidRPr="00F42CE0" w:rsidRDefault="007C047A" w:rsidP="007C047A">
      <w:pPr>
        <w:rPr>
          <w:rFonts w:eastAsia="Palatino Linotype" w:cs="Palatino Linotype"/>
          <w:szCs w:val="24"/>
        </w:rPr>
      </w:pPr>
      <w:r w:rsidRPr="00F42CE0">
        <w:rPr>
          <w:rFonts w:eastAsia="Palatino Linotype" w:cs="Palatino Linotype"/>
          <w:szCs w:val="24"/>
        </w:rPr>
        <w:t>Por lo que respecta al Acuerdo del Comité de Transparencia que sustente la versión pública de la documentación a entregar, deberá ser notificado mediante el SAIMEX.</w:t>
      </w:r>
    </w:p>
    <w:p w14:paraId="19F09D6D" w14:textId="77777777" w:rsidR="007C047A" w:rsidRPr="00F42CE0" w:rsidRDefault="007C047A" w:rsidP="007C047A">
      <w:pPr>
        <w:rPr>
          <w:rFonts w:eastAsia="Palatino Linotype" w:cs="Palatino Linotype"/>
          <w:szCs w:val="24"/>
        </w:rPr>
      </w:pPr>
    </w:p>
    <w:p w14:paraId="3ED42734" w14:textId="77777777" w:rsidR="007C047A" w:rsidRDefault="007C047A" w:rsidP="007C047A">
      <w:pPr>
        <w:pBdr>
          <w:top w:val="nil"/>
          <w:left w:val="nil"/>
          <w:bottom w:val="nil"/>
          <w:right w:val="nil"/>
          <w:between w:val="nil"/>
        </w:pBdr>
        <w:rPr>
          <w:rFonts w:eastAsia="Palatino Linotype" w:cs="Palatino Linotype"/>
          <w:color w:val="000000"/>
          <w:szCs w:val="24"/>
        </w:rPr>
      </w:pPr>
      <w:r w:rsidRPr="00F42CE0">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 xml:space="preserve"> </w:t>
      </w:r>
      <w:r w:rsidRPr="00F42CE0">
        <w:rPr>
          <w:rFonts w:eastAsia="Palatino Linotype" w:cs="Palatino Linotype"/>
          <w:color w:val="000000"/>
          <w:szCs w:val="24"/>
        </w:rPr>
        <w:t>l</w:t>
      </w:r>
      <w:r>
        <w:rPr>
          <w:rFonts w:eastAsia="Palatino Linotype" w:cs="Palatino Linotype"/>
          <w:color w:val="000000"/>
          <w:szCs w:val="24"/>
        </w:rPr>
        <w:t>a</w:t>
      </w:r>
      <w:r w:rsidRPr="00F42CE0">
        <w:rPr>
          <w:rFonts w:eastAsia="Palatino Linotype" w:cs="Palatino Linotype"/>
          <w:color w:val="000000"/>
          <w:szCs w:val="24"/>
        </w:rPr>
        <w:t xml:space="preserve"> Recurrente.</w:t>
      </w:r>
    </w:p>
    <w:p w14:paraId="6D2ABA4D" w14:textId="77777777" w:rsidR="00B57FD2" w:rsidRPr="004F7B93" w:rsidRDefault="00B57FD2" w:rsidP="004F7B93">
      <w:pPr>
        <w:pStyle w:val="NormalINFOEM"/>
      </w:pPr>
    </w:p>
    <w:p w14:paraId="07B920B4" w14:textId="5522AAA9"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4B645E">
        <w:rPr>
          <w:rFonts w:eastAsia="Palatino Linotype" w:cs="Palatino Linotype"/>
          <w:color w:val="000000" w:themeColor="text1"/>
        </w:rPr>
        <w:t>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6451AD">
        <w:rPr>
          <w:rFonts w:eastAsia="Palatino Linotype" w:cs="Palatino Linotype"/>
          <w:b/>
          <w:bCs/>
          <w:color w:val="000000" w:themeColor="text1"/>
        </w:rPr>
        <w:t>n fundamento en la primera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w:t>
      </w:r>
      <w:r w:rsidRPr="0CEC3CE0">
        <w:rPr>
          <w:rFonts w:eastAsia="Palatino Linotype" w:cs="Palatino Linotype"/>
          <w:color w:val="000000" w:themeColor="text1"/>
        </w:rPr>
        <w:lastRenderedPageBreak/>
        <w:t xml:space="preserve">Pública del Estado de México y Municipios, se </w:t>
      </w:r>
      <w:r w:rsidR="006451AD">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834E67">
        <w:rPr>
          <w:rFonts w:eastAsia="Palatino Linotype" w:cs="Palatino Linotype"/>
          <w:b/>
          <w:bCs/>
          <w:color w:val="000000"/>
          <w:szCs w:val="24"/>
        </w:rPr>
        <w:t>00308/TEMAMATL/IP/2024</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Default="00454915" w:rsidP="008F50E6"/>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5D406130" w:rsidR="00581587" w:rsidRPr="00BB7F90" w:rsidRDefault="7A2C2CA2" w:rsidP="7A2C2CA2">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sidRPr="7A2C2CA2">
        <w:rPr>
          <w:rFonts w:eastAsia="Palatino Linotype" w:cs="Palatino Linotype"/>
          <w:b/>
          <w:bCs/>
          <w:color w:val="000000" w:themeColor="text1"/>
        </w:rPr>
        <w:t>REVOCA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w:t>
      </w:r>
      <w:r w:rsidR="00834E67">
        <w:rPr>
          <w:rFonts w:eastAsia="Palatino Linotype" w:cs="Palatino Linotype"/>
          <w:b/>
          <w:bCs/>
          <w:color w:val="000000" w:themeColor="text1"/>
        </w:rPr>
        <w:t>00308/TEMAMATL/IP/2024</w:t>
      </w:r>
      <w:r w:rsidRPr="7A2C2CA2">
        <w:rPr>
          <w:rFonts w:eastAsia="Palatino Linotype" w:cs="Palatino Linotype"/>
          <w:color w:val="000000" w:themeColor="text1"/>
        </w:rPr>
        <w:t>, por resultar fundados los motivos de inconformidad argüidos por la Recurrente, en términos del</w:t>
      </w:r>
      <w:r w:rsidR="00C4710B">
        <w:rPr>
          <w:rFonts w:eastAsia="Palatino Linotype" w:cs="Palatino Linotype"/>
          <w:b/>
          <w:bCs/>
          <w:color w:val="000000" w:themeColor="text1"/>
        </w:rPr>
        <w:t xml:space="preserve"> Considerando </w:t>
      </w:r>
      <w:r w:rsidR="00D07FCE">
        <w:rPr>
          <w:rFonts w:eastAsia="Palatino Linotype" w:cs="Palatino Linotype"/>
          <w:b/>
          <w:bCs/>
          <w:color w:val="000000" w:themeColor="text1"/>
        </w:rPr>
        <w:t>QUIN</w:t>
      </w:r>
      <w:r w:rsidRPr="7A2C2CA2">
        <w:rPr>
          <w:rFonts w:eastAsia="Palatino Linotype" w:cs="Palatino Linotype"/>
          <w:b/>
          <w:bCs/>
          <w:color w:val="000000" w:themeColor="text1"/>
        </w:rPr>
        <w:t xml:space="preserve">TO </w:t>
      </w:r>
      <w:r w:rsidRPr="7A2C2CA2">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61941082"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al Sujeto Obligado que haga entrega a</w:t>
      </w:r>
      <w:r w:rsidR="00CF4E0C">
        <w:rPr>
          <w:rFonts w:eastAsia="Palatino Linotype" w:cs="Palatino Linotype"/>
          <w:color w:val="000000"/>
          <w:szCs w:val="24"/>
        </w:rPr>
        <w:t>l</w:t>
      </w:r>
      <w:r w:rsidR="007501B9" w:rsidRPr="003F3F63">
        <w:rPr>
          <w:rFonts w:eastAsia="Palatino Linotype" w:cs="Palatino Linotype"/>
          <w:color w:val="000000"/>
          <w:szCs w:val="24"/>
        </w:rPr>
        <w:t xml:space="preserve"> Recurrente mediante el Sistema de Acceso a la Información Mexiquense (SAIMEX)</w:t>
      </w:r>
      <w:r w:rsidR="004B645E">
        <w:rPr>
          <w:rFonts w:eastAsia="Palatino Linotype" w:cs="Palatino Linotype"/>
          <w:color w:val="000000"/>
          <w:szCs w:val="24"/>
        </w:rPr>
        <w:t>, en versión pública</w:t>
      </w:r>
      <w:r w:rsidR="006451AD">
        <w:rPr>
          <w:rFonts w:eastAsia="Palatino Linotype" w:cs="Palatino Linotype"/>
          <w:color w:val="000000"/>
          <w:szCs w:val="24"/>
        </w:rPr>
        <w:t xml:space="preserve"> </w:t>
      </w:r>
      <w:r w:rsidR="0034683A">
        <w:rPr>
          <w:rFonts w:eastAsia="Palatino Linotype" w:cs="Palatino Linotype"/>
          <w:color w:val="000000"/>
          <w:szCs w:val="24"/>
        </w:rPr>
        <w:t xml:space="preserve">de ser procedente </w:t>
      </w:r>
      <w:r w:rsidR="00376C54">
        <w:rPr>
          <w:rFonts w:eastAsia="Palatino Linotype" w:cs="Palatino Linotype"/>
          <w:color w:val="000000"/>
          <w:szCs w:val="24"/>
        </w:rPr>
        <w:t>y</w:t>
      </w:r>
      <w:r w:rsidR="007501B9" w:rsidRPr="003F3F63">
        <w:rPr>
          <w:rFonts w:eastAsia="Palatino Linotype" w:cs="Palatino Linotype"/>
          <w:color w:val="000000"/>
          <w:szCs w:val="24"/>
        </w:rPr>
        <w:t xml:space="preserve"> en términos del </w:t>
      </w:r>
      <w:r w:rsidR="007501B9" w:rsidRPr="003F3F63">
        <w:rPr>
          <w:rFonts w:eastAsia="Palatino Linotype" w:cs="Palatino Linotype"/>
          <w:b/>
          <w:color w:val="000000"/>
          <w:szCs w:val="24"/>
        </w:rPr>
        <w:t xml:space="preserve">Considerando </w:t>
      </w:r>
      <w:r w:rsidR="008F3C6D">
        <w:rPr>
          <w:rFonts w:eastAsia="Palatino Linotype" w:cs="Palatino Linotype"/>
          <w:b/>
          <w:color w:val="000000"/>
          <w:szCs w:val="24"/>
        </w:rPr>
        <w:t>QUIN</w:t>
      </w:r>
      <w:r w:rsidR="007501B9" w:rsidRPr="003F3F63">
        <w:rPr>
          <w:rFonts w:eastAsia="Palatino Linotype" w:cs="Palatino Linotype"/>
          <w:b/>
          <w:color w:val="000000"/>
          <w:szCs w:val="24"/>
        </w:rPr>
        <w:t>TO</w:t>
      </w:r>
      <w:r w:rsidR="007501B9" w:rsidRPr="003F3F63">
        <w:rPr>
          <w:rFonts w:eastAsia="Palatino Linotype" w:cs="Palatino Linotype"/>
          <w:color w:val="000000"/>
          <w:szCs w:val="24"/>
        </w:rPr>
        <w:t>, de</w:t>
      </w:r>
      <w:r w:rsidR="007501B9">
        <w:rPr>
          <w:rFonts w:eastAsia="Palatino Linotype" w:cs="Palatino Linotype"/>
          <w:color w:val="000000"/>
          <w:szCs w:val="24"/>
        </w:rPr>
        <w:t xml:space="preserve"> </w:t>
      </w:r>
      <w:r w:rsidR="00884919">
        <w:rPr>
          <w:rFonts w:eastAsia="Palatino Linotype" w:cs="Palatino Linotype"/>
          <w:color w:val="000000"/>
          <w:szCs w:val="24"/>
        </w:rPr>
        <w:t>lo</w:t>
      </w:r>
      <w:r w:rsidR="00C4710B">
        <w:rPr>
          <w:rFonts w:eastAsia="Palatino Linotype" w:cs="Palatino Linotype"/>
          <w:color w:val="000000"/>
          <w:szCs w:val="24"/>
        </w:rPr>
        <w:t xml:space="preserve">s documentos </w:t>
      </w:r>
      <w:r w:rsidR="00492C42">
        <w:t xml:space="preserve">generados durante el periodo comprendido del </w:t>
      </w:r>
      <w:r w:rsidR="00492C42" w:rsidRPr="009B413B">
        <w:t>primero de enero de dos mil veintidós al veinticinco de septiembre de dos mil veinticuatro</w:t>
      </w:r>
      <w:r w:rsidR="00492C42">
        <w:rPr>
          <w:rFonts w:eastAsia="Palatino Linotype" w:cs="Palatino Linotype"/>
          <w:color w:val="000000"/>
          <w:szCs w:val="24"/>
        </w:rPr>
        <w:t xml:space="preserve"> </w:t>
      </w:r>
      <w:r w:rsidR="00C4710B">
        <w:rPr>
          <w:rFonts w:eastAsia="Palatino Linotype" w:cs="Palatino Linotype"/>
          <w:color w:val="000000"/>
          <w:szCs w:val="24"/>
        </w:rPr>
        <w:t>en donde conste lo</w:t>
      </w:r>
      <w:r w:rsidR="0032659A">
        <w:rPr>
          <w:rFonts w:eastAsia="Palatino Linotype" w:cs="Palatino Linotype"/>
          <w:color w:val="000000"/>
          <w:szCs w:val="24"/>
        </w:rPr>
        <w:t xml:space="preserve"> </w:t>
      </w:r>
      <w:r w:rsidRPr="00BB7F90">
        <w:rPr>
          <w:rFonts w:eastAsia="Palatino Linotype" w:cs="Palatino Linotype"/>
          <w:color w:val="000000"/>
          <w:szCs w:val="24"/>
        </w:rPr>
        <w:t xml:space="preserve">siguiente: </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7D00DF93" w14:textId="77777777" w:rsidR="00D87C87" w:rsidRPr="00D87C87" w:rsidRDefault="00D87C87" w:rsidP="00105685">
      <w:pPr>
        <w:pStyle w:val="Prrafodelista"/>
        <w:numPr>
          <w:ilvl w:val="0"/>
          <w:numId w:val="51"/>
        </w:numPr>
        <w:spacing w:line="240" w:lineRule="auto"/>
        <w:rPr>
          <w:rFonts w:eastAsiaTheme="minorHAnsi" w:cstheme="minorBidi"/>
          <w:i/>
          <w:iCs/>
          <w:lang w:eastAsia="en-US"/>
        </w:rPr>
      </w:pPr>
      <w:r w:rsidRPr="00D87C87">
        <w:rPr>
          <w:rFonts w:eastAsiaTheme="minorHAnsi" w:cstheme="minorBidi"/>
          <w:i/>
          <w:iCs/>
          <w:lang w:eastAsia="en-US"/>
        </w:rPr>
        <w:t>Monto mensual del gasto por concepto de rentas de sillas, mesas, lonas y carpas.</w:t>
      </w:r>
    </w:p>
    <w:p w14:paraId="258DFA0C" w14:textId="77777777" w:rsidR="00D87C87" w:rsidRPr="00D87C87" w:rsidRDefault="00D87C87" w:rsidP="00105685">
      <w:pPr>
        <w:pStyle w:val="Prrafodelista"/>
        <w:numPr>
          <w:ilvl w:val="0"/>
          <w:numId w:val="51"/>
        </w:numPr>
        <w:spacing w:line="240" w:lineRule="auto"/>
        <w:rPr>
          <w:rFonts w:eastAsiaTheme="minorHAnsi" w:cstheme="minorBidi"/>
          <w:i/>
          <w:iCs/>
          <w:lang w:eastAsia="en-US"/>
        </w:rPr>
      </w:pPr>
      <w:r w:rsidRPr="00D87C87">
        <w:rPr>
          <w:rFonts w:eastAsiaTheme="minorHAnsi" w:cstheme="minorBidi"/>
          <w:i/>
          <w:iCs/>
          <w:lang w:eastAsia="en-US"/>
        </w:rPr>
        <w:t>Nombre de los proveedores.</w:t>
      </w:r>
    </w:p>
    <w:p w14:paraId="52BE6A90" w14:textId="77777777" w:rsidR="00D87C87" w:rsidRPr="00D87C87" w:rsidRDefault="00D87C87" w:rsidP="00105685">
      <w:pPr>
        <w:pStyle w:val="Prrafodelista"/>
        <w:numPr>
          <w:ilvl w:val="0"/>
          <w:numId w:val="51"/>
        </w:numPr>
        <w:spacing w:line="240" w:lineRule="auto"/>
        <w:rPr>
          <w:rFonts w:eastAsiaTheme="minorHAnsi" w:cstheme="minorBidi"/>
          <w:i/>
          <w:iCs/>
          <w:lang w:eastAsia="en-US"/>
        </w:rPr>
      </w:pPr>
      <w:r w:rsidRPr="00D87C87">
        <w:rPr>
          <w:rFonts w:eastAsiaTheme="minorHAnsi" w:cstheme="minorBidi"/>
          <w:i/>
          <w:iCs/>
          <w:lang w:eastAsia="en-US"/>
        </w:rPr>
        <w:t>Las pólizas de egresos generadas por dichos conceptos.</w:t>
      </w:r>
    </w:p>
    <w:p w14:paraId="4B3083CF" w14:textId="77777777" w:rsidR="00581587" w:rsidRPr="00D87C87" w:rsidRDefault="00581587" w:rsidP="00581587">
      <w:pPr>
        <w:pBdr>
          <w:top w:val="nil"/>
          <w:left w:val="nil"/>
          <w:bottom w:val="nil"/>
          <w:right w:val="nil"/>
          <w:between w:val="nil"/>
        </w:pBdr>
        <w:rPr>
          <w:rFonts w:eastAsia="Palatino Linotype" w:cs="Palatino Linotype"/>
          <w:color w:val="000000"/>
          <w:szCs w:val="24"/>
          <w:lang w:val="es-ES"/>
        </w:rPr>
      </w:pPr>
    </w:p>
    <w:p w14:paraId="62472026" w14:textId="35B369C1" w:rsidR="004161DA" w:rsidRPr="006A7396" w:rsidRDefault="008F3C6D" w:rsidP="004161DA">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C</w:t>
      </w:r>
      <w:r w:rsidR="004161DA" w:rsidRPr="006A7396">
        <w:rPr>
          <w:rFonts w:eastAsia="Palatino Linotype" w:cs="Palatino Linotype"/>
          <w:color w:val="000000"/>
          <w:szCs w:val="24"/>
        </w:rPr>
        <w:t xml:space="preserve">omo sustento de la versión pública se deberá emitir Acuerdo del Comité de Transparencia correspondiente, en términos del artículo 49 fracción VIII y 132 fracción II </w:t>
      </w:r>
      <w:r w:rsidR="004161DA" w:rsidRPr="006A7396">
        <w:rPr>
          <w:rFonts w:eastAsia="Palatino Linotype" w:cs="Palatino Linotype"/>
          <w:color w:val="000000"/>
          <w:szCs w:val="24"/>
        </w:rPr>
        <w:lastRenderedPageBreak/>
        <w:t>de la Ley de Transparencia y Acceso a la Información Pública del Estado de México y Municipios, en el que funde y motive las razones sobre los datos que se supriman o eliminen dentro del soporte documental respectivo.</w:t>
      </w:r>
    </w:p>
    <w:p w14:paraId="455A0062" w14:textId="77777777" w:rsidR="004161DA" w:rsidRDefault="004161DA" w:rsidP="00581587">
      <w:pPr>
        <w:pBdr>
          <w:top w:val="nil"/>
          <w:left w:val="nil"/>
          <w:bottom w:val="nil"/>
          <w:right w:val="nil"/>
          <w:between w:val="nil"/>
        </w:pBdr>
        <w:rPr>
          <w:rFonts w:eastAsia="Palatino Linotype" w:cs="Palatino Linotype"/>
          <w:color w:val="000000"/>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0DB49AA1" w14:textId="26E88051" w:rsidR="00581587"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CF4E0C">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sidR="00FB5BF2">
        <w:rPr>
          <w:rFonts w:eastAsia="Palatino Linotype" w:cs="Palatino Linotype"/>
          <w:color w:val="000000"/>
          <w:szCs w:val="24"/>
        </w:rPr>
        <w:t xml:space="preserve">, </w:t>
      </w:r>
      <w:r w:rsidRPr="00325BCB">
        <w:rPr>
          <w:rFonts w:eastAsia="Palatino Linotype" w:cs="Palatino Linotype"/>
          <w:color w:val="000000"/>
          <w:szCs w:val="24"/>
        </w:rPr>
        <w:t xml:space="preserve">y hágase de su conocimiento que, en caso de considerar que la presente resolución le cause algún perjuicio, podrá promover el Juicio de Amparo en los términos de las leyes aplicables, de conformidad con lo </w:t>
      </w:r>
      <w:r w:rsidRPr="00325BCB">
        <w:rPr>
          <w:rFonts w:eastAsia="Palatino Linotype" w:cs="Palatino Linotype"/>
          <w:color w:val="000000"/>
          <w:szCs w:val="24"/>
        </w:rPr>
        <w:lastRenderedPageBreak/>
        <w:t>establecido en el artículo 196 de la Ley de Transparencia y Acceso a la Información Pública del Estado de México y Municipios.</w:t>
      </w:r>
    </w:p>
    <w:p w14:paraId="4289605E" w14:textId="77777777" w:rsidR="00454915" w:rsidRDefault="00454915" w:rsidP="008F50E6"/>
    <w:p w14:paraId="20573BFF" w14:textId="5DD1489E"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D10E00">
        <w:rPr>
          <w:rFonts w:eastAsia="Palatino Linotype" w:cs="Palatino Linotype"/>
          <w:color w:val="000000"/>
          <w:szCs w:val="24"/>
        </w:rPr>
        <w:t>CUADRAGÉSIMA SEGUNDA</w:t>
      </w:r>
      <w:r w:rsidR="00A6680C">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D10E00">
        <w:rPr>
          <w:rFonts w:eastAsia="Palatino Linotype" w:cs="Palatino Linotype"/>
          <w:color w:val="000000"/>
          <w:szCs w:val="24"/>
        </w:rPr>
        <w:t>CUATRO DE DICIEMBRE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C4710B">
        <w:rPr>
          <w:rFonts w:eastAsia="Palatino Linotype" w:cs="Palatino Linotype"/>
          <w:color w:val="000000"/>
          <w:szCs w:val="24"/>
        </w:rPr>
        <w:t>---------------------------------------------------------------------------------------------------------------------------------------------------------------------------------------------------------------------------------------------------------------------------------------------------------------------------------------------------------------</w:t>
      </w:r>
      <w:r w:rsidR="000C0BFE">
        <w:rPr>
          <w:rFonts w:eastAsia="Palatino Linotype" w:cs="Palatino Linotype"/>
          <w:color w:val="000000"/>
          <w:szCs w:val="24"/>
        </w:rPr>
        <w:t>---------------------------------------------------------------------------------------------------------------------------------------------------------------------------------------------------------------------------------------------------------------------------------------------------------------------------------------------------------------------------------------------------------------------------------------------------------------------------------------------------------------------------------------------------------------------------------------------------------------------------------------------------------------------------------------------------------------------------------------------------------------------------------------------------------------------------------------------------</w:t>
      </w:r>
      <w:r w:rsidR="00337FA1">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proofErr w:type="spellStart"/>
      <w:r w:rsidRPr="44E9108F">
        <w:rPr>
          <w:rFonts w:eastAsia="Palatino Linotype" w:cs="Palatino Linotype"/>
          <w:color w:val="000000" w:themeColor="text1"/>
          <w:sz w:val="20"/>
          <w:szCs w:val="20"/>
          <w:lang w:val="es-ES"/>
        </w:rPr>
        <w:t>JMV</w:t>
      </w:r>
      <w:proofErr w:type="spellEnd"/>
      <w:r w:rsidRPr="44E9108F">
        <w:rPr>
          <w:rFonts w:eastAsia="Palatino Linotype" w:cs="Palatino Linotype"/>
          <w:color w:val="000000" w:themeColor="text1"/>
          <w:sz w:val="20"/>
          <w:szCs w:val="20"/>
          <w:lang w:val="es-ES"/>
        </w:rPr>
        <w:t>/</w:t>
      </w:r>
      <w:proofErr w:type="spellStart"/>
      <w:r w:rsidRPr="44E9108F">
        <w:rPr>
          <w:rFonts w:eastAsia="Palatino Linotype" w:cs="Palatino Linotype"/>
          <w:color w:val="000000" w:themeColor="text1"/>
          <w:sz w:val="20"/>
          <w:szCs w:val="20"/>
          <w:lang w:val="es-ES"/>
        </w:rPr>
        <w:t>CCR</w:t>
      </w:r>
      <w:proofErr w:type="spellEnd"/>
      <w:r w:rsidRPr="44E9108F">
        <w:rPr>
          <w:rFonts w:eastAsia="Palatino Linotype" w:cs="Palatino Linotype"/>
          <w:color w:val="000000" w:themeColor="text1"/>
          <w:sz w:val="20"/>
          <w:szCs w:val="20"/>
          <w:lang w:val="es-ES"/>
        </w:rPr>
        <w:t>/</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1"/>
      <w:headerReference w:type="default" r:id="rId12"/>
      <w:footerReference w:type="default" r:id="rId13"/>
      <w:headerReference w:type="first" r:id="rId14"/>
      <w:footerReference w:type="first" r:id="rId15"/>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7C81C" w14:textId="77777777" w:rsidR="00CD1EEE" w:rsidRDefault="00CD1EEE" w:rsidP="00F2498E">
      <w:pPr>
        <w:spacing w:line="240" w:lineRule="auto"/>
      </w:pPr>
      <w:r>
        <w:separator/>
      </w:r>
    </w:p>
  </w:endnote>
  <w:endnote w:type="continuationSeparator" w:id="0">
    <w:p w14:paraId="67D7D34B" w14:textId="77777777" w:rsidR="00CD1EEE" w:rsidRDefault="00CD1EEE" w:rsidP="00F2498E">
      <w:pPr>
        <w:spacing w:line="240" w:lineRule="auto"/>
      </w:pPr>
      <w:r>
        <w:continuationSeparator/>
      </w:r>
    </w:p>
  </w:endnote>
  <w:endnote w:type="continuationNotice" w:id="1">
    <w:p w14:paraId="535C1951" w14:textId="77777777" w:rsidR="00CD1EEE" w:rsidRDefault="00CD1E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4C4E6" w14:textId="0E505436" w:rsidR="00DC053B" w:rsidRPr="00871A91" w:rsidRDefault="00DC053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4710B">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4710B">
      <w:rPr>
        <w:rFonts w:ascii="Palatino Linotype" w:hAnsi="Palatino Linotype"/>
        <w:b/>
        <w:bCs/>
        <w:noProof/>
        <w:sz w:val="20"/>
      </w:rPr>
      <w:t>46</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82FE6" w14:textId="78E8995C" w:rsidR="00DC053B" w:rsidRPr="00871A91" w:rsidRDefault="00DC053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4710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4710B">
      <w:rPr>
        <w:rFonts w:ascii="Palatino Linotype" w:hAnsi="Palatino Linotype"/>
        <w:b/>
        <w:bCs/>
        <w:noProof/>
        <w:sz w:val="20"/>
      </w:rPr>
      <w:t>46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21364" w14:textId="77777777" w:rsidR="00CD1EEE" w:rsidRDefault="00CD1EEE" w:rsidP="00F2498E">
      <w:pPr>
        <w:spacing w:line="240" w:lineRule="auto"/>
      </w:pPr>
      <w:r>
        <w:separator/>
      </w:r>
    </w:p>
  </w:footnote>
  <w:footnote w:type="continuationSeparator" w:id="0">
    <w:p w14:paraId="14E13C43" w14:textId="77777777" w:rsidR="00CD1EEE" w:rsidRDefault="00CD1EEE" w:rsidP="00F2498E">
      <w:pPr>
        <w:spacing w:line="240" w:lineRule="auto"/>
      </w:pPr>
      <w:r>
        <w:continuationSeparator/>
      </w:r>
    </w:p>
  </w:footnote>
  <w:footnote w:type="continuationNotice" w:id="1">
    <w:p w14:paraId="43EEB09E" w14:textId="77777777" w:rsidR="00CD1EEE" w:rsidRDefault="00CD1EEE">
      <w:pPr>
        <w:spacing w:line="240" w:lineRule="auto"/>
      </w:pPr>
    </w:p>
  </w:footnote>
  <w:footnote w:id="2">
    <w:p w14:paraId="2BCE50A0" w14:textId="77777777" w:rsidR="00DC053B" w:rsidRPr="0031280C" w:rsidRDefault="00DC053B"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DC053B" w:rsidRPr="0031280C" w:rsidRDefault="00DC053B"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DC053B" w:rsidRPr="0031280C" w:rsidRDefault="00DC053B"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DC053B" w:rsidRPr="0031280C" w:rsidRDefault="00DC053B"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6D48038B" w14:textId="77777777" w:rsidR="00DC053B" w:rsidRPr="007C3435" w:rsidRDefault="00DC053B" w:rsidP="006009DE">
      <w:pPr>
        <w:pStyle w:val="Textonotapie"/>
        <w:rPr>
          <w:i/>
          <w:sz w:val="18"/>
        </w:rPr>
      </w:pPr>
      <w:r w:rsidRPr="00034B44">
        <w:rPr>
          <w:rStyle w:val="Refdenotaalpie"/>
          <w:sz w:val="18"/>
        </w:rPr>
        <w:footnoteRef/>
      </w:r>
      <w:r w:rsidRPr="00034B44">
        <w:rPr>
          <w:sz w:val="18"/>
        </w:rPr>
        <w:t xml:space="preserve"> </w:t>
      </w:r>
      <w:r w:rsidRPr="007C3435">
        <w:rPr>
          <w:i/>
          <w:sz w:val="18"/>
        </w:rPr>
        <w:t>Tribunales Colegiados de Circuito. Novena Epoca. Semanario Judicial de la Federación y su Gaceta. Tomo III, marzo de 1996. Pág 769. Consultado en http://sjf.scjn.gob.mx/sjfsist/Documentos/Tesis/203/203143.pdf  el viernes 16 de junio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7F37" w14:textId="093ED20F" w:rsidR="00DC053B" w:rsidRDefault="005C7DCE">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C053B" w:rsidRPr="00B17577" w14:paraId="37B9EBDE" w14:textId="77777777" w:rsidTr="003938ED">
      <w:trPr>
        <w:trHeight w:val="227"/>
      </w:trPr>
      <w:tc>
        <w:tcPr>
          <w:tcW w:w="5103" w:type="dxa"/>
          <w:hideMark/>
        </w:tcPr>
        <w:p w14:paraId="4964FBC5" w14:textId="54CDA645" w:rsidR="00DC053B" w:rsidRPr="00096248" w:rsidRDefault="00DC053B"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2D548BE" w:rsidR="00DC053B" w:rsidRPr="00096248" w:rsidRDefault="0064260D" w:rsidP="00011C4D">
          <w:pPr>
            <w:spacing w:after="120" w:line="240" w:lineRule="auto"/>
            <w:ind w:right="71"/>
            <w:jc w:val="right"/>
            <w:rPr>
              <w:rFonts w:cs="Arial"/>
              <w:b/>
              <w:szCs w:val="24"/>
            </w:rPr>
          </w:pPr>
          <w:r>
            <w:rPr>
              <w:rFonts w:cs="Arial"/>
              <w:b/>
              <w:bCs/>
              <w:szCs w:val="24"/>
            </w:rPr>
            <w:t>06590/INFOEM/IP/RR/2024</w:t>
          </w:r>
        </w:p>
      </w:tc>
    </w:tr>
    <w:tr w:rsidR="00DC053B" w14:paraId="7591D3C9" w14:textId="77777777" w:rsidTr="003938ED">
      <w:trPr>
        <w:trHeight w:val="242"/>
      </w:trPr>
      <w:tc>
        <w:tcPr>
          <w:tcW w:w="5103" w:type="dxa"/>
          <w:hideMark/>
        </w:tcPr>
        <w:p w14:paraId="729A65A8" w14:textId="77777777" w:rsidR="00DC053B" w:rsidRPr="00096248" w:rsidRDefault="00DC053B"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DB4DF27" w:rsidR="00DC053B" w:rsidRPr="00096248" w:rsidRDefault="00DC053B" w:rsidP="00011C4D">
          <w:pPr>
            <w:spacing w:after="120" w:line="240" w:lineRule="auto"/>
            <w:ind w:left="-81" w:right="71"/>
            <w:jc w:val="right"/>
            <w:rPr>
              <w:rFonts w:cs="Arial"/>
              <w:szCs w:val="24"/>
            </w:rPr>
          </w:pPr>
          <w:r w:rsidRPr="00FB26D9">
            <w:rPr>
              <w:rFonts w:cs="Arial"/>
              <w:szCs w:val="24"/>
            </w:rPr>
            <w:t xml:space="preserve">Ayuntamiento </w:t>
          </w:r>
          <w:r w:rsidR="00296309" w:rsidRPr="00FB26D9">
            <w:rPr>
              <w:rFonts w:cs="Arial"/>
              <w:szCs w:val="24"/>
            </w:rPr>
            <w:t xml:space="preserve">de </w:t>
          </w:r>
          <w:r w:rsidR="00296309">
            <w:rPr>
              <w:rFonts w:cs="Arial"/>
              <w:szCs w:val="24"/>
            </w:rPr>
            <w:t>Temamatla</w:t>
          </w:r>
        </w:p>
      </w:tc>
    </w:tr>
    <w:tr w:rsidR="00DC053B" w:rsidRPr="00F63239" w14:paraId="037E914D" w14:textId="77777777" w:rsidTr="003938ED">
      <w:trPr>
        <w:trHeight w:val="342"/>
      </w:trPr>
      <w:tc>
        <w:tcPr>
          <w:tcW w:w="5103" w:type="dxa"/>
          <w:hideMark/>
        </w:tcPr>
        <w:p w14:paraId="7676B68F" w14:textId="64D69EAF" w:rsidR="00DC053B" w:rsidRPr="00096248" w:rsidRDefault="00DC053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DC053B" w:rsidRDefault="00DC053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DC053B" w:rsidRPr="00711916" w:rsidRDefault="00DC053B" w:rsidP="00011C4D">
          <w:pPr>
            <w:spacing w:after="120" w:line="240" w:lineRule="auto"/>
            <w:ind w:left="-486" w:right="71" w:firstLine="567"/>
            <w:jc w:val="right"/>
            <w:rPr>
              <w:rFonts w:cs="Arial"/>
              <w:sz w:val="2"/>
              <w:szCs w:val="2"/>
            </w:rPr>
          </w:pPr>
        </w:p>
      </w:tc>
    </w:tr>
  </w:tbl>
  <w:p w14:paraId="2998DBFD" w14:textId="25A9F426" w:rsidR="00DC053B" w:rsidRPr="00871A91" w:rsidRDefault="005C7DCE">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2pt;margin-top:-145.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DC053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C053B" w14:paraId="0F9FE9B6" w14:textId="77777777" w:rsidTr="70652167">
      <w:trPr>
        <w:trHeight w:val="227"/>
      </w:trPr>
      <w:tc>
        <w:tcPr>
          <w:tcW w:w="5103" w:type="dxa"/>
          <w:hideMark/>
        </w:tcPr>
        <w:p w14:paraId="6D1D9D71" w14:textId="4D6D7B43" w:rsidR="00DC053B" w:rsidRPr="00663A37" w:rsidRDefault="00DC053B" w:rsidP="00313752">
          <w:pPr>
            <w:spacing w:after="120" w:line="240" w:lineRule="auto"/>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0623FD5" w:rsidR="00DC053B" w:rsidRPr="00C81ECD" w:rsidRDefault="0064260D" w:rsidP="00313752">
          <w:pPr>
            <w:spacing w:after="120" w:line="240" w:lineRule="auto"/>
            <w:ind w:left="-486" w:firstLine="558"/>
            <w:jc w:val="right"/>
            <w:rPr>
              <w:rFonts w:cs="Arial"/>
              <w:b/>
              <w:szCs w:val="24"/>
            </w:rPr>
          </w:pPr>
          <w:r>
            <w:rPr>
              <w:rFonts w:cs="Arial"/>
              <w:b/>
              <w:bCs/>
              <w:szCs w:val="24"/>
            </w:rPr>
            <w:t>06590/INFOEM/IP/RR/2024</w:t>
          </w:r>
        </w:p>
      </w:tc>
    </w:tr>
    <w:tr w:rsidR="00DC053B" w:rsidRPr="001F57CD" w14:paraId="1377D264" w14:textId="77777777" w:rsidTr="70652167">
      <w:trPr>
        <w:trHeight w:val="196"/>
      </w:trPr>
      <w:tc>
        <w:tcPr>
          <w:tcW w:w="5103" w:type="dxa"/>
          <w:hideMark/>
        </w:tcPr>
        <w:p w14:paraId="04D597A1" w14:textId="77777777" w:rsidR="00DC053B" w:rsidRPr="00663A37" w:rsidRDefault="00DC053B" w:rsidP="00313752">
          <w:pPr>
            <w:spacing w:after="120" w:line="240" w:lineRule="auto"/>
            <w:jc w:val="right"/>
            <w:rPr>
              <w:rFonts w:cs="Arial"/>
              <w:b/>
              <w:szCs w:val="24"/>
            </w:rPr>
          </w:pPr>
          <w:r w:rsidRPr="00663A37">
            <w:rPr>
              <w:rFonts w:cs="Arial"/>
              <w:b/>
              <w:szCs w:val="24"/>
            </w:rPr>
            <w:t>Recurrente:</w:t>
          </w:r>
        </w:p>
      </w:tc>
      <w:tc>
        <w:tcPr>
          <w:tcW w:w="4395" w:type="dxa"/>
          <w:hideMark/>
        </w:tcPr>
        <w:p w14:paraId="1126AAEC" w14:textId="739739AD" w:rsidR="00DC053B" w:rsidRPr="00663A37" w:rsidRDefault="005C7DCE" w:rsidP="00313752">
          <w:pPr>
            <w:spacing w:after="120" w:line="240" w:lineRule="auto"/>
            <w:jc w:val="right"/>
            <w:rPr>
              <w:rFonts w:cs="Arial"/>
              <w:lang w:val="es-ES"/>
            </w:rPr>
          </w:pPr>
          <w:proofErr w:type="spellStart"/>
          <w:r>
            <w:rPr>
              <w:rFonts w:cs="Arial"/>
              <w:lang w:val="es-ES"/>
            </w:rPr>
            <w:t>XXXX</w:t>
          </w:r>
          <w:proofErr w:type="spellEnd"/>
        </w:p>
      </w:tc>
    </w:tr>
    <w:tr w:rsidR="00DC053B" w14:paraId="4DC11993" w14:textId="77777777" w:rsidTr="70652167">
      <w:trPr>
        <w:trHeight w:val="242"/>
      </w:trPr>
      <w:tc>
        <w:tcPr>
          <w:tcW w:w="5103" w:type="dxa"/>
          <w:hideMark/>
        </w:tcPr>
        <w:p w14:paraId="76CEF1B5" w14:textId="77777777" w:rsidR="00DC053B" w:rsidRPr="00663A37" w:rsidRDefault="00DC053B" w:rsidP="00313752">
          <w:pPr>
            <w:spacing w:after="120" w:line="240" w:lineRule="auto"/>
            <w:jc w:val="right"/>
            <w:rPr>
              <w:rFonts w:cs="Arial"/>
              <w:b/>
              <w:szCs w:val="24"/>
            </w:rPr>
          </w:pPr>
          <w:r w:rsidRPr="00663A37">
            <w:rPr>
              <w:rFonts w:cs="Arial"/>
              <w:b/>
              <w:szCs w:val="24"/>
            </w:rPr>
            <w:t>Sujeto Obligado:</w:t>
          </w:r>
        </w:p>
      </w:tc>
      <w:tc>
        <w:tcPr>
          <w:tcW w:w="4395" w:type="dxa"/>
          <w:hideMark/>
        </w:tcPr>
        <w:p w14:paraId="7C1BB379" w14:textId="0F308ECA" w:rsidR="00DC053B" w:rsidRPr="00663A37" w:rsidRDefault="00DC053B" w:rsidP="00313752">
          <w:pPr>
            <w:spacing w:after="120" w:line="240" w:lineRule="auto"/>
            <w:ind w:left="-70"/>
            <w:jc w:val="right"/>
            <w:rPr>
              <w:rFonts w:cs="Arial"/>
              <w:szCs w:val="24"/>
            </w:rPr>
          </w:pPr>
          <w:r w:rsidRPr="00FB26D9">
            <w:rPr>
              <w:rFonts w:cs="Arial"/>
              <w:szCs w:val="24"/>
            </w:rPr>
            <w:t xml:space="preserve">Ayuntamiento de </w:t>
          </w:r>
          <w:r w:rsidR="00834E67">
            <w:rPr>
              <w:rFonts w:cs="Arial"/>
              <w:szCs w:val="24"/>
            </w:rPr>
            <w:t>Temamatla</w:t>
          </w:r>
        </w:p>
      </w:tc>
    </w:tr>
    <w:tr w:rsidR="00DC053B" w14:paraId="5C2B511D" w14:textId="77777777" w:rsidTr="70652167">
      <w:trPr>
        <w:trHeight w:val="342"/>
      </w:trPr>
      <w:tc>
        <w:tcPr>
          <w:tcW w:w="5103" w:type="dxa"/>
          <w:hideMark/>
        </w:tcPr>
        <w:p w14:paraId="03FEF68C" w14:textId="45E91CF4" w:rsidR="00DC053B" w:rsidRPr="00663A37" w:rsidRDefault="00DC053B" w:rsidP="00313752">
          <w:pPr>
            <w:tabs>
              <w:tab w:val="left" w:pos="4892"/>
            </w:tabs>
            <w:spacing w:after="120" w:line="240" w:lineRule="auto"/>
            <w:jc w:val="right"/>
            <w:rPr>
              <w:rFonts w:cs="Arial"/>
              <w:b/>
              <w:szCs w:val="24"/>
            </w:rPr>
          </w:pPr>
          <w:r w:rsidRPr="00663A37">
            <w:rPr>
              <w:rFonts w:cs="Arial"/>
              <w:b/>
              <w:szCs w:val="24"/>
            </w:rPr>
            <w:t>Comisionado Ponente:</w:t>
          </w:r>
        </w:p>
      </w:tc>
      <w:tc>
        <w:tcPr>
          <w:tcW w:w="4395" w:type="dxa"/>
          <w:hideMark/>
        </w:tcPr>
        <w:p w14:paraId="6744F9AD" w14:textId="1AF88FD3" w:rsidR="00DC053B" w:rsidRPr="00663A37" w:rsidRDefault="00DC053B" w:rsidP="00313752">
          <w:pPr>
            <w:spacing w:after="120" w:line="240" w:lineRule="auto"/>
            <w:ind w:left="-486" w:firstLine="567"/>
            <w:jc w:val="right"/>
            <w:rPr>
              <w:rFonts w:cs="Arial"/>
              <w:szCs w:val="24"/>
            </w:rPr>
          </w:pPr>
          <w:r w:rsidRPr="00663A37">
            <w:rPr>
              <w:rFonts w:cs="Arial"/>
              <w:szCs w:val="24"/>
            </w:rPr>
            <w:t>José Martínez Vilchis</w:t>
          </w:r>
        </w:p>
      </w:tc>
    </w:tr>
  </w:tbl>
  <w:p w14:paraId="04D3BBA0" w14:textId="1BA89CC1" w:rsidR="00DC053B" w:rsidRPr="00871A91" w:rsidRDefault="005C7DCE">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2pt;margin-top:-14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DC053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8C5AFB6E"/>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AE5198"/>
    <w:multiLevelType w:val="hybridMultilevel"/>
    <w:tmpl w:val="63BCA49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3908EF"/>
    <w:multiLevelType w:val="hybridMultilevel"/>
    <w:tmpl w:val="63BCA49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271FEC"/>
    <w:multiLevelType w:val="hybridMultilevel"/>
    <w:tmpl w:val="63BCA490"/>
    <w:lvl w:ilvl="0" w:tplc="75FA8E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6A2963D3"/>
    <w:multiLevelType w:val="multilevel"/>
    <w:tmpl w:val="D5F84CD2"/>
    <w:styleLink w:val="Listaactual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7F13033"/>
    <w:multiLevelType w:val="multilevel"/>
    <w:tmpl w:val="94B0B43E"/>
    <w:styleLink w:val="Listaactual28"/>
    <w:lvl w:ilvl="0">
      <w:start w:val="1"/>
      <w:numFmt w:val="decimal"/>
      <w:lvlText w:val="%1."/>
      <w:lvlJc w:val="left"/>
      <w:pPr>
        <w:ind w:left="644" w:hanging="360"/>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0"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7763839">
    <w:abstractNumId w:val="30"/>
  </w:num>
  <w:num w:numId="2" w16cid:durableId="1513565461">
    <w:abstractNumId w:val="34"/>
  </w:num>
  <w:num w:numId="3" w16cid:durableId="1539199944">
    <w:abstractNumId w:val="14"/>
  </w:num>
  <w:num w:numId="4" w16cid:durableId="1102841074">
    <w:abstractNumId w:val="45"/>
  </w:num>
  <w:num w:numId="5" w16cid:durableId="256836815">
    <w:abstractNumId w:val="4"/>
  </w:num>
  <w:num w:numId="6" w16cid:durableId="497231028">
    <w:abstractNumId w:val="37"/>
  </w:num>
  <w:num w:numId="7" w16cid:durableId="889728560">
    <w:abstractNumId w:val="11"/>
  </w:num>
  <w:num w:numId="8" w16cid:durableId="399644889">
    <w:abstractNumId w:val="3"/>
  </w:num>
  <w:num w:numId="9" w16cid:durableId="1868635454">
    <w:abstractNumId w:val="21"/>
  </w:num>
  <w:num w:numId="10" w16cid:durableId="132255517">
    <w:abstractNumId w:val="22"/>
  </w:num>
  <w:num w:numId="11" w16cid:durableId="2104447650">
    <w:abstractNumId w:val="48"/>
  </w:num>
  <w:num w:numId="12" w16cid:durableId="224680977">
    <w:abstractNumId w:val="43"/>
  </w:num>
  <w:num w:numId="13" w16cid:durableId="1219827422">
    <w:abstractNumId w:val="29"/>
  </w:num>
  <w:num w:numId="14" w16cid:durableId="142504144">
    <w:abstractNumId w:val="33"/>
  </w:num>
  <w:num w:numId="15" w16cid:durableId="1673602498">
    <w:abstractNumId w:val="18"/>
  </w:num>
  <w:num w:numId="16" w16cid:durableId="1714033912">
    <w:abstractNumId w:val="28"/>
  </w:num>
  <w:num w:numId="17" w16cid:durableId="1515732240">
    <w:abstractNumId w:val="16"/>
  </w:num>
  <w:num w:numId="18" w16cid:durableId="307439861">
    <w:abstractNumId w:val="6"/>
  </w:num>
  <w:num w:numId="19" w16cid:durableId="1298416747">
    <w:abstractNumId w:val="7"/>
  </w:num>
  <w:num w:numId="20" w16cid:durableId="1483155527">
    <w:abstractNumId w:val="15"/>
  </w:num>
  <w:num w:numId="21" w16cid:durableId="2075735961">
    <w:abstractNumId w:val="24"/>
  </w:num>
  <w:num w:numId="22" w16cid:durableId="366681852">
    <w:abstractNumId w:val="2"/>
  </w:num>
  <w:num w:numId="23" w16cid:durableId="1043869092">
    <w:abstractNumId w:val="31"/>
  </w:num>
  <w:num w:numId="24" w16cid:durableId="286664800">
    <w:abstractNumId w:val="36"/>
  </w:num>
  <w:num w:numId="25" w16cid:durableId="1645507570">
    <w:abstractNumId w:val="44"/>
  </w:num>
  <w:num w:numId="26" w16cid:durableId="1635258176">
    <w:abstractNumId w:val="20"/>
  </w:num>
  <w:num w:numId="27" w16cid:durableId="461115325">
    <w:abstractNumId w:val="8"/>
  </w:num>
  <w:num w:numId="28" w16cid:durableId="1542749219">
    <w:abstractNumId w:val="39"/>
  </w:num>
  <w:num w:numId="29" w16cid:durableId="2093701032">
    <w:abstractNumId w:val="25"/>
  </w:num>
  <w:num w:numId="30" w16cid:durableId="407306394">
    <w:abstractNumId w:val="23"/>
  </w:num>
  <w:num w:numId="31" w16cid:durableId="2047178450">
    <w:abstractNumId w:val="17"/>
  </w:num>
  <w:num w:numId="32" w16cid:durableId="1132283519">
    <w:abstractNumId w:val="32"/>
  </w:num>
  <w:num w:numId="33" w16cid:durableId="328335451">
    <w:abstractNumId w:val="35"/>
  </w:num>
  <w:num w:numId="34" w16cid:durableId="690685653">
    <w:abstractNumId w:val="5"/>
  </w:num>
  <w:num w:numId="35" w16cid:durableId="509098743">
    <w:abstractNumId w:val="47"/>
  </w:num>
  <w:num w:numId="36" w16cid:durableId="344550690">
    <w:abstractNumId w:val="50"/>
  </w:num>
  <w:num w:numId="37" w16cid:durableId="727999229">
    <w:abstractNumId w:val="41"/>
  </w:num>
  <w:num w:numId="38" w16cid:durableId="1279140296">
    <w:abstractNumId w:val="9"/>
  </w:num>
  <w:num w:numId="39" w16cid:durableId="2074887349">
    <w:abstractNumId w:val="40"/>
  </w:num>
  <w:num w:numId="40" w16cid:durableId="2126145847">
    <w:abstractNumId w:val="10"/>
  </w:num>
  <w:num w:numId="41" w16cid:durableId="1098989183">
    <w:abstractNumId w:val="38"/>
  </w:num>
  <w:num w:numId="42" w16cid:durableId="1520970701">
    <w:abstractNumId w:val="46"/>
  </w:num>
  <w:num w:numId="43" w16cid:durableId="2071998687">
    <w:abstractNumId w:val="0"/>
  </w:num>
  <w:num w:numId="44" w16cid:durableId="330529617">
    <w:abstractNumId w:val="1"/>
  </w:num>
  <w:num w:numId="45" w16cid:durableId="153230721">
    <w:abstractNumId w:val="26"/>
  </w:num>
  <w:num w:numId="46" w16cid:durableId="555316139">
    <w:abstractNumId w:val="19"/>
  </w:num>
  <w:num w:numId="47" w16cid:durableId="1767268366">
    <w:abstractNumId w:val="49"/>
  </w:num>
  <w:num w:numId="48" w16cid:durableId="1080056055">
    <w:abstractNumId w:val="27"/>
  </w:num>
  <w:num w:numId="49" w16cid:durableId="1807700965">
    <w:abstractNumId w:val="42"/>
  </w:num>
  <w:num w:numId="50" w16cid:durableId="1695155094">
    <w:abstractNumId w:val="13"/>
  </w:num>
  <w:num w:numId="51" w16cid:durableId="1796486090">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8E"/>
    <w:rsid w:val="000002F3"/>
    <w:rsid w:val="00002C6A"/>
    <w:rsid w:val="00003412"/>
    <w:rsid w:val="000034AA"/>
    <w:rsid w:val="000037B8"/>
    <w:rsid w:val="00003E1E"/>
    <w:rsid w:val="00003F45"/>
    <w:rsid w:val="00004014"/>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5487"/>
    <w:rsid w:val="000154CA"/>
    <w:rsid w:val="0001572F"/>
    <w:rsid w:val="000171BE"/>
    <w:rsid w:val="00020325"/>
    <w:rsid w:val="00021122"/>
    <w:rsid w:val="00021165"/>
    <w:rsid w:val="00021A08"/>
    <w:rsid w:val="000221D0"/>
    <w:rsid w:val="0002287F"/>
    <w:rsid w:val="0002356F"/>
    <w:rsid w:val="00024A6D"/>
    <w:rsid w:val="00025560"/>
    <w:rsid w:val="00025773"/>
    <w:rsid w:val="00026385"/>
    <w:rsid w:val="00026582"/>
    <w:rsid w:val="00027DA8"/>
    <w:rsid w:val="00030AB0"/>
    <w:rsid w:val="00031BA3"/>
    <w:rsid w:val="00031E66"/>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2AA"/>
    <w:rsid w:val="00045F86"/>
    <w:rsid w:val="00046717"/>
    <w:rsid w:val="00046A15"/>
    <w:rsid w:val="00047890"/>
    <w:rsid w:val="00050D85"/>
    <w:rsid w:val="00050FF1"/>
    <w:rsid w:val="00051732"/>
    <w:rsid w:val="00051F5E"/>
    <w:rsid w:val="0005219F"/>
    <w:rsid w:val="00052303"/>
    <w:rsid w:val="0005241C"/>
    <w:rsid w:val="00052A8E"/>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E15"/>
    <w:rsid w:val="00065463"/>
    <w:rsid w:val="000658E9"/>
    <w:rsid w:val="000666B3"/>
    <w:rsid w:val="000672FA"/>
    <w:rsid w:val="000676A2"/>
    <w:rsid w:val="0007107B"/>
    <w:rsid w:val="00071159"/>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B23"/>
    <w:rsid w:val="00094FD7"/>
    <w:rsid w:val="000951B9"/>
    <w:rsid w:val="00095F45"/>
    <w:rsid w:val="0009609D"/>
    <w:rsid w:val="00096248"/>
    <w:rsid w:val="000970B5"/>
    <w:rsid w:val="00097898"/>
    <w:rsid w:val="00097BFD"/>
    <w:rsid w:val="000A00BB"/>
    <w:rsid w:val="000A02E0"/>
    <w:rsid w:val="000A110B"/>
    <w:rsid w:val="000A1377"/>
    <w:rsid w:val="000A194E"/>
    <w:rsid w:val="000A1D0D"/>
    <w:rsid w:val="000A1D2C"/>
    <w:rsid w:val="000A2323"/>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378A"/>
    <w:rsid w:val="000B4159"/>
    <w:rsid w:val="000B491D"/>
    <w:rsid w:val="000B503C"/>
    <w:rsid w:val="000B51CE"/>
    <w:rsid w:val="000B5296"/>
    <w:rsid w:val="000B5608"/>
    <w:rsid w:val="000B5690"/>
    <w:rsid w:val="000B65C3"/>
    <w:rsid w:val="000C0203"/>
    <w:rsid w:val="000C066A"/>
    <w:rsid w:val="000C0BFE"/>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D7808"/>
    <w:rsid w:val="000E06A3"/>
    <w:rsid w:val="000E0D32"/>
    <w:rsid w:val="000E195F"/>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0DE1"/>
    <w:rsid w:val="000F114E"/>
    <w:rsid w:val="000F146C"/>
    <w:rsid w:val="000F152C"/>
    <w:rsid w:val="000F196A"/>
    <w:rsid w:val="000F2668"/>
    <w:rsid w:val="000F367A"/>
    <w:rsid w:val="000F547D"/>
    <w:rsid w:val="000F54F6"/>
    <w:rsid w:val="000F7D93"/>
    <w:rsid w:val="0010147E"/>
    <w:rsid w:val="0010149D"/>
    <w:rsid w:val="00102165"/>
    <w:rsid w:val="0010239B"/>
    <w:rsid w:val="0010303E"/>
    <w:rsid w:val="00103271"/>
    <w:rsid w:val="00103A9A"/>
    <w:rsid w:val="00103C89"/>
    <w:rsid w:val="00103D8C"/>
    <w:rsid w:val="00104BE3"/>
    <w:rsid w:val="001050A9"/>
    <w:rsid w:val="00105685"/>
    <w:rsid w:val="001059AF"/>
    <w:rsid w:val="001059DF"/>
    <w:rsid w:val="001065C3"/>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26C2D"/>
    <w:rsid w:val="00130C18"/>
    <w:rsid w:val="00131C40"/>
    <w:rsid w:val="00131C6C"/>
    <w:rsid w:val="00131F2D"/>
    <w:rsid w:val="001321ED"/>
    <w:rsid w:val="00133F26"/>
    <w:rsid w:val="0013462D"/>
    <w:rsid w:val="001360B8"/>
    <w:rsid w:val="0013657B"/>
    <w:rsid w:val="00136A94"/>
    <w:rsid w:val="00140181"/>
    <w:rsid w:val="0014092A"/>
    <w:rsid w:val="00140A63"/>
    <w:rsid w:val="00142266"/>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92B"/>
    <w:rsid w:val="00166D47"/>
    <w:rsid w:val="00167291"/>
    <w:rsid w:val="00167DF0"/>
    <w:rsid w:val="00170498"/>
    <w:rsid w:val="00170C32"/>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6DFD"/>
    <w:rsid w:val="00177325"/>
    <w:rsid w:val="00177C5F"/>
    <w:rsid w:val="00177F85"/>
    <w:rsid w:val="001809A8"/>
    <w:rsid w:val="00180C5F"/>
    <w:rsid w:val="00181A06"/>
    <w:rsid w:val="00181A9D"/>
    <w:rsid w:val="001823E3"/>
    <w:rsid w:val="00182FC0"/>
    <w:rsid w:val="001834D9"/>
    <w:rsid w:val="00183990"/>
    <w:rsid w:val="00183F45"/>
    <w:rsid w:val="00184AEA"/>
    <w:rsid w:val="0018577B"/>
    <w:rsid w:val="00185C61"/>
    <w:rsid w:val="0018697B"/>
    <w:rsid w:val="00187CCE"/>
    <w:rsid w:val="00190030"/>
    <w:rsid w:val="0019086A"/>
    <w:rsid w:val="00190B5A"/>
    <w:rsid w:val="00190D0F"/>
    <w:rsid w:val="00190F59"/>
    <w:rsid w:val="00192D02"/>
    <w:rsid w:val="0019495B"/>
    <w:rsid w:val="00194C85"/>
    <w:rsid w:val="0019539C"/>
    <w:rsid w:val="00195560"/>
    <w:rsid w:val="001957CF"/>
    <w:rsid w:val="001957E6"/>
    <w:rsid w:val="00195845"/>
    <w:rsid w:val="0019584A"/>
    <w:rsid w:val="001960AD"/>
    <w:rsid w:val="0019662A"/>
    <w:rsid w:val="00196873"/>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4AE9"/>
    <w:rsid w:val="001B5693"/>
    <w:rsid w:val="001B5959"/>
    <w:rsid w:val="001B6C2D"/>
    <w:rsid w:val="001B7147"/>
    <w:rsid w:val="001B7214"/>
    <w:rsid w:val="001B76A1"/>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4D99"/>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0D6B"/>
    <w:rsid w:val="001E0E25"/>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78B"/>
    <w:rsid w:val="001E71F9"/>
    <w:rsid w:val="001E7C62"/>
    <w:rsid w:val="001F0525"/>
    <w:rsid w:val="001F2B26"/>
    <w:rsid w:val="001F2BC9"/>
    <w:rsid w:val="001F2C89"/>
    <w:rsid w:val="001F2F3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7028"/>
    <w:rsid w:val="0020763C"/>
    <w:rsid w:val="00207E11"/>
    <w:rsid w:val="0021063D"/>
    <w:rsid w:val="00210714"/>
    <w:rsid w:val="002123A0"/>
    <w:rsid w:val="0021327B"/>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B47"/>
    <w:rsid w:val="00230E13"/>
    <w:rsid w:val="0023118D"/>
    <w:rsid w:val="00232621"/>
    <w:rsid w:val="0023293E"/>
    <w:rsid w:val="00232A7A"/>
    <w:rsid w:val="00232DA5"/>
    <w:rsid w:val="00232F2F"/>
    <w:rsid w:val="00232F87"/>
    <w:rsid w:val="002338B9"/>
    <w:rsid w:val="00233B52"/>
    <w:rsid w:val="00233FF9"/>
    <w:rsid w:val="00234061"/>
    <w:rsid w:val="002349A9"/>
    <w:rsid w:val="00234E3C"/>
    <w:rsid w:val="00234F61"/>
    <w:rsid w:val="0023573F"/>
    <w:rsid w:val="002361D0"/>
    <w:rsid w:val="00236B9A"/>
    <w:rsid w:val="002372F0"/>
    <w:rsid w:val="00240046"/>
    <w:rsid w:val="00241201"/>
    <w:rsid w:val="002423EA"/>
    <w:rsid w:val="002432E1"/>
    <w:rsid w:val="00243315"/>
    <w:rsid w:val="00243B44"/>
    <w:rsid w:val="00243D7F"/>
    <w:rsid w:val="002454DC"/>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599"/>
    <w:rsid w:val="00275719"/>
    <w:rsid w:val="00275727"/>
    <w:rsid w:val="00275BE9"/>
    <w:rsid w:val="00275F2C"/>
    <w:rsid w:val="00277BEF"/>
    <w:rsid w:val="00280398"/>
    <w:rsid w:val="002811E3"/>
    <w:rsid w:val="002813B2"/>
    <w:rsid w:val="00282431"/>
    <w:rsid w:val="00282E9E"/>
    <w:rsid w:val="00283965"/>
    <w:rsid w:val="00283BBD"/>
    <w:rsid w:val="00283D5E"/>
    <w:rsid w:val="00284245"/>
    <w:rsid w:val="00285034"/>
    <w:rsid w:val="00285A94"/>
    <w:rsid w:val="002902FE"/>
    <w:rsid w:val="00290544"/>
    <w:rsid w:val="00290614"/>
    <w:rsid w:val="002913C5"/>
    <w:rsid w:val="00291DE2"/>
    <w:rsid w:val="0029208D"/>
    <w:rsid w:val="00292258"/>
    <w:rsid w:val="0029225E"/>
    <w:rsid w:val="002926F9"/>
    <w:rsid w:val="00293A4E"/>
    <w:rsid w:val="00293B95"/>
    <w:rsid w:val="00293F85"/>
    <w:rsid w:val="002942EA"/>
    <w:rsid w:val="0029482F"/>
    <w:rsid w:val="00294892"/>
    <w:rsid w:val="00296073"/>
    <w:rsid w:val="00296309"/>
    <w:rsid w:val="00296626"/>
    <w:rsid w:val="00296DB8"/>
    <w:rsid w:val="00296E92"/>
    <w:rsid w:val="00297212"/>
    <w:rsid w:val="002972E8"/>
    <w:rsid w:val="00297791"/>
    <w:rsid w:val="002A02E8"/>
    <w:rsid w:val="002A0A88"/>
    <w:rsid w:val="002A1797"/>
    <w:rsid w:val="002A1DA3"/>
    <w:rsid w:val="002A3211"/>
    <w:rsid w:val="002A3CE3"/>
    <w:rsid w:val="002A51B8"/>
    <w:rsid w:val="002A564E"/>
    <w:rsid w:val="002A5ADD"/>
    <w:rsid w:val="002A5FDF"/>
    <w:rsid w:val="002A6FCE"/>
    <w:rsid w:val="002A7172"/>
    <w:rsid w:val="002A7501"/>
    <w:rsid w:val="002B042B"/>
    <w:rsid w:val="002B0912"/>
    <w:rsid w:val="002B0EA1"/>
    <w:rsid w:val="002B1DAC"/>
    <w:rsid w:val="002B317E"/>
    <w:rsid w:val="002B3983"/>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4C06"/>
    <w:rsid w:val="002F5101"/>
    <w:rsid w:val="002F5C83"/>
    <w:rsid w:val="002F713F"/>
    <w:rsid w:val="002F799E"/>
    <w:rsid w:val="002F7A64"/>
    <w:rsid w:val="002F7D3E"/>
    <w:rsid w:val="002F7ED4"/>
    <w:rsid w:val="00300919"/>
    <w:rsid w:val="00300EA0"/>
    <w:rsid w:val="003012FD"/>
    <w:rsid w:val="00301EE8"/>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752"/>
    <w:rsid w:val="00313B18"/>
    <w:rsid w:val="003141DF"/>
    <w:rsid w:val="00314324"/>
    <w:rsid w:val="0031447F"/>
    <w:rsid w:val="00314835"/>
    <w:rsid w:val="00315AE3"/>
    <w:rsid w:val="00315BEB"/>
    <w:rsid w:val="00315CA2"/>
    <w:rsid w:val="0031667E"/>
    <w:rsid w:val="00316A7B"/>
    <w:rsid w:val="003176D1"/>
    <w:rsid w:val="003207ED"/>
    <w:rsid w:val="00320BC2"/>
    <w:rsid w:val="00320E35"/>
    <w:rsid w:val="0032116B"/>
    <w:rsid w:val="00321923"/>
    <w:rsid w:val="00321B9A"/>
    <w:rsid w:val="0032250C"/>
    <w:rsid w:val="0032390D"/>
    <w:rsid w:val="00324709"/>
    <w:rsid w:val="00324F09"/>
    <w:rsid w:val="00324FF9"/>
    <w:rsid w:val="00325487"/>
    <w:rsid w:val="0032597C"/>
    <w:rsid w:val="00325BCB"/>
    <w:rsid w:val="00325C6E"/>
    <w:rsid w:val="0032659A"/>
    <w:rsid w:val="003265D6"/>
    <w:rsid w:val="003275F8"/>
    <w:rsid w:val="0033070B"/>
    <w:rsid w:val="00330C73"/>
    <w:rsid w:val="00331040"/>
    <w:rsid w:val="00331513"/>
    <w:rsid w:val="00331ECA"/>
    <w:rsid w:val="0033204C"/>
    <w:rsid w:val="003331ED"/>
    <w:rsid w:val="0033491A"/>
    <w:rsid w:val="00334F21"/>
    <w:rsid w:val="00335A61"/>
    <w:rsid w:val="0033687B"/>
    <w:rsid w:val="00337088"/>
    <w:rsid w:val="00337638"/>
    <w:rsid w:val="00337F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683A"/>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4985"/>
    <w:rsid w:val="003960C8"/>
    <w:rsid w:val="003961DA"/>
    <w:rsid w:val="00396394"/>
    <w:rsid w:val="00397677"/>
    <w:rsid w:val="003A0095"/>
    <w:rsid w:val="003A0B24"/>
    <w:rsid w:val="003A0BF2"/>
    <w:rsid w:val="003A0F14"/>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C7B00"/>
    <w:rsid w:val="003C7E71"/>
    <w:rsid w:val="003D0AE2"/>
    <w:rsid w:val="003D17AF"/>
    <w:rsid w:val="003D2681"/>
    <w:rsid w:val="003D2F8A"/>
    <w:rsid w:val="003D3477"/>
    <w:rsid w:val="003D372B"/>
    <w:rsid w:val="003D5450"/>
    <w:rsid w:val="003D58CE"/>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3F716E"/>
    <w:rsid w:val="00400915"/>
    <w:rsid w:val="0040187C"/>
    <w:rsid w:val="00402353"/>
    <w:rsid w:val="00402CBA"/>
    <w:rsid w:val="00403319"/>
    <w:rsid w:val="00404754"/>
    <w:rsid w:val="004049C4"/>
    <w:rsid w:val="00404AF8"/>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7F1"/>
    <w:rsid w:val="00415CF1"/>
    <w:rsid w:val="00415ED8"/>
    <w:rsid w:val="004161DA"/>
    <w:rsid w:val="00417379"/>
    <w:rsid w:val="004176BF"/>
    <w:rsid w:val="00417D6D"/>
    <w:rsid w:val="004204D0"/>
    <w:rsid w:val="00420AC4"/>
    <w:rsid w:val="00421DD1"/>
    <w:rsid w:val="004232C6"/>
    <w:rsid w:val="00423696"/>
    <w:rsid w:val="004236B2"/>
    <w:rsid w:val="00423A07"/>
    <w:rsid w:val="00426124"/>
    <w:rsid w:val="00426222"/>
    <w:rsid w:val="00426F24"/>
    <w:rsid w:val="004300F9"/>
    <w:rsid w:val="00430C63"/>
    <w:rsid w:val="004310BB"/>
    <w:rsid w:val="004322A0"/>
    <w:rsid w:val="004325EA"/>
    <w:rsid w:val="004338C7"/>
    <w:rsid w:val="00433E65"/>
    <w:rsid w:val="00434C3F"/>
    <w:rsid w:val="00434EAD"/>
    <w:rsid w:val="0043556C"/>
    <w:rsid w:val="00435C5D"/>
    <w:rsid w:val="00436725"/>
    <w:rsid w:val="00437085"/>
    <w:rsid w:val="004406B5"/>
    <w:rsid w:val="00441804"/>
    <w:rsid w:val="00441DAF"/>
    <w:rsid w:val="00442E5E"/>
    <w:rsid w:val="004431D5"/>
    <w:rsid w:val="004434CE"/>
    <w:rsid w:val="004436C5"/>
    <w:rsid w:val="00444DD3"/>
    <w:rsid w:val="00444E7F"/>
    <w:rsid w:val="00445514"/>
    <w:rsid w:val="00445853"/>
    <w:rsid w:val="00446CC4"/>
    <w:rsid w:val="00446D2E"/>
    <w:rsid w:val="00447748"/>
    <w:rsid w:val="00447A90"/>
    <w:rsid w:val="00450D3E"/>
    <w:rsid w:val="00451C0A"/>
    <w:rsid w:val="0045354B"/>
    <w:rsid w:val="00453687"/>
    <w:rsid w:val="004536F3"/>
    <w:rsid w:val="00453BC4"/>
    <w:rsid w:val="00454915"/>
    <w:rsid w:val="004558BD"/>
    <w:rsid w:val="004569FF"/>
    <w:rsid w:val="004579DC"/>
    <w:rsid w:val="00457A56"/>
    <w:rsid w:val="00460C5B"/>
    <w:rsid w:val="004610DA"/>
    <w:rsid w:val="004615D3"/>
    <w:rsid w:val="0046281E"/>
    <w:rsid w:val="00463909"/>
    <w:rsid w:val="004639C1"/>
    <w:rsid w:val="0046444E"/>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ABA"/>
    <w:rsid w:val="00474C35"/>
    <w:rsid w:val="004750A1"/>
    <w:rsid w:val="00475320"/>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2C42"/>
    <w:rsid w:val="004933FC"/>
    <w:rsid w:val="00493545"/>
    <w:rsid w:val="0049385F"/>
    <w:rsid w:val="00493B5B"/>
    <w:rsid w:val="00494029"/>
    <w:rsid w:val="0049591A"/>
    <w:rsid w:val="004962CD"/>
    <w:rsid w:val="0049738F"/>
    <w:rsid w:val="00497395"/>
    <w:rsid w:val="004A0AF8"/>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104F"/>
    <w:rsid w:val="004B1A74"/>
    <w:rsid w:val="004B2269"/>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2DF5"/>
    <w:rsid w:val="004E32F9"/>
    <w:rsid w:val="004E34A8"/>
    <w:rsid w:val="004E3959"/>
    <w:rsid w:val="004E3F86"/>
    <w:rsid w:val="004E4252"/>
    <w:rsid w:val="004E4A28"/>
    <w:rsid w:val="004E4AD1"/>
    <w:rsid w:val="004E5659"/>
    <w:rsid w:val="004E655C"/>
    <w:rsid w:val="004E6A11"/>
    <w:rsid w:val="004E6E5F"/>
    <w:rsid w:val="004E77E1"/>
    <w:rsid w:val="004E7898"/>
    <w:rsid w:val="004E7C8B"/>
    <w:rsid w:val="004F0839"/>
    <w:rsid w:val="004F0AB7"/>
    <w:rsid w:val="004F15D9"/>
    <w:rsid w:val="004F1B07"/>
    <w:rsid w:val="004F23DB"/>
    <w:rsid w:val="004F271C"/>
    <w:rsid w:val="004F3291"/>
    <w:rsid w:val="004F32D0"/>
    <w:rsid w:val="004F342E"/>
    <w:rsid w:val="004F483D"/>
    <w:rsid w:val="004F4929"/>
    <w:rsid w:val="004F5285"/>
    <w:rsid w:val="004F60C9"/>
    <w:rsid w:val="004F662C"/>
    <w:rsid w:val="004F6671"/>
    <w:rsid w:val="004F78C4"/>
    <w:rsid w:val="004F7B79"/>
    <w:rsid w:val="004F7B93"/>
    <w:rsid w:val="00500E29"/>
    <w:rsid w:val="00501E92"/>
    <w:rsid w:val="005025C7"/>
    <w:rsid w:val="00502812"/>
    <w:rsid w:val="005039C0"/>
    <w:rsid w:val="00504B42"/>
    <w:rsid w:val="00506436"/>
    <w:rsid w:val="00506DB2"/>
    <w:rsid w:val="00507EFE"/>
    <w:rsid w:val="0051074E"/>
    <w:rsid w:val="00510856"/>
    <w:rsid w:val="00510870"/>
    <w:rsid w:val="0051177C"/>
    <w:rsid w:val="00511AE4"/>
    <w:rsid w:val="0051262E"/>
    <w:rsid w:val="00512A53"/>
    <w:rsid w:val="00513D8C"/>
    <w:rsid w:val="0051421A"/>
    <w:rsid w:val="005142CE"/>
    <w:rsid w:val="0051495F"/>
    <w:rsid w:val="00514994"/>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3849"/>
    <w:rsid w:val="00533902"/>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620"/>
    <w:rsid w:val="0055572B"/>
    <w:rsid w:val="00555CE3"/>
    <w:rsid w:val="0055603D"/>
    <w:rsid w:val="00556978"/>
    <w:rsid w:val="00557080"/>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1C"/>
    <w:rsid w:val="00567C36"/>
    <w:rsid w:val="00567D41"/>
    <w:rsid w:val="005701EF"/>
    <w:rsid w:val="00570551"/>
    <w:rsid w:val="005705C6"/>
    <w:rsid w:val="0057113B"/>
    <w:rsid w:val="00571527"/>
    <w:rsid w:val="00571CCC"/>
    <w:rsid w:val="005724D3"/>
    <w:rsid w:val="005727FC"/>
    <w:rsid w:val="00572C2A"/>
    <w:rsid w:val="00572F6A"/>
    <w:rsid w:val="005737B6"/>
    <w:rsid w:val="00573B2C"/>
    <w:rsid w:val="00573B96"/>
    <w:rsid w:val="005740E5"/>
    <w:rsid w:val="005742BF"/>
    <w:rsid w:val="00574D31"/>
    <w:rsid w:val="00576366"/>
    <w:rsid w:val="0057697F"/>
    <w:rsid w:val="00577DF3"/>
    <w:rsid w:val="005807A8"/>
    <w:rsid w:val="00580D15"/>
    <w:rsid w:val="00581587"/>
    <w:rsid w:val="00581A2E"/>
    <w:rsid w:val="00582613"/>
    <w:rsid w:val="0058344E"/>
    <w:rsid w:val="00584C51"/>
    <w:rsid w:val="00585165"/>
    <w:rsid w:val="005856B3"/>
    <w:rsid w:val="00585AA7"/>
    <w:rsid w:val="00587662"/>
    <w:rsid w:val="00587B1E"/>
    <w:rsid w:val="00587E84"/>
    <w:rsid w:val="00587FBA"/>
    <w:rsid w:val="005913E6"/>
    <w:rsid w:val="005944ED"/>
    <w:rsid w:val="00594CB4"/>
    <w:rsid w:val="0059574D"/>
    <w:rsid w:val="005964D7"/>
    <w:rsid w:val="0059681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4E14"/>
    <w:rsid w:val="005B52A0"/>
    <w:rsid w:val="005B538B"/>
    <w:rsid w:val="005B5434"/>
    <w:rsid w:val="005B5555"/>
    <w:rsid w:val="005B643F"/>
    <w:rsid w:val="005B6FFD"/>
    <w:rsid w:val="005B72D5"/>
    <w:rsid w:val="005C0894"/>
    <w:rsid w:val="005C16A8"/>
    <w:rsid w:val="005C16D1"/>
    <w:rsid w:val="005C196C"/>
    <w:rsid w:val="005C32BE"/>
    <w:rsid w:val="005C3DF3"/>
    <w:rsid w:val="005C5501"/>
    <w:rsid w:val="005C5AEA"/>
    <w:rsid w:val="005C629E"/>
    <w:rsid w:val="005C75AF"/>
    <w:rsid w:val="005C7AA6"/>
    <w:rsid w:val="005C7AFE"/>
    <w:rsid w:val="005C7DC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918"/>
    <w:rsid w:val="005E0835"/>
    <w:rsid w:val="005E10A5"/>
    <w:rsid w:val="005E1AEC"/>
    <w:rsid w:val="005E21DE"/>
    <w:rsid w:val="005E24C2"/>
    <w:rsid w:val="005E34E9"/>
    <w:rsid w:val="005E35AB"/>
    <w:rsid w:val="005E3E29"/>
    <w:rsid w:val="005E40B7"/>
    <w:rsid w:val="005E5A8E"/>
    <w:rsid w:val="005E625F"/>
    <w:rsid w:val="005E68C5"/>
    <w:rsid w:val="005E7E9F"/>
    <w:rsid w:val="005F06CD"/>
    <w:rsid w:val="005F1439"/>
    <w:rsid w:val="005F1AB4"/>
    <w:rsid w:val="005F21B0"/>
    <w:rsid w:val="005F30F1"/>
    <w:rsid w:val="005F3103"/>
    <w:rsid w:val="005F3144"/>
    <w:rsid w:val="005F33B2"/>
    <w:rsid w:val="005F4D3D"/>
    <w:rsid w:val="005F514E"/>
    <w:rsid w:val="005F5B10"/>
    <w:rsid w:val="005F6CAB"/>
    <w:rsid w:val="005F760D"/>
    <w:rsid w:val="0060049C"/>
    <w:rsid w:val="006009DE"/>
    <w:rsid w:val="0060129A"/>
    <w:rsid w:val="0060244C"/>
    <w:rsid w:val="00602C19"/>
    <w:rsid w:val="00603988"/>
    <w:rsid w:val="0060429C"/>
    <w:rsid w:val="006055AB"/>
    <w:rsid w:val="0060623B"/>
    <w:rsid w:val="00606D46"/>
    <w:rsid w:val="006100FC"/>
    <w:rsid w:val="00610274"/>
    <w:rsid w:val="00610A95"/>
    <w:rsid w:val="006115F0"/>
    <w:rsid w:val="00611CEF"/>
    <w:rsid w:val="006124C2"/>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26C1B"/>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353"/>
    <w:rsid w:val="00640E61"/>
    <w:rsid w:val="0064180A"/>
    <w:rsid w:val="006424D3"/>
    <w:rsid w:val="0064260D"/>
    <w:rsid w:val="00642669"/>
    <w:rsid w:val="00642A8B"/>
    <w:rsid w:val="006439D3"/>
    <w:rsid w:val="00644D02"/>
    <w:rsid w:val="006451AD"/>
    <w:rsid w:val="0064523C"/>
    <w:rsid w:val="0064573B"/>
    <w:rsid w:val="006468ED"/>
    <w:rsid w:val="00647DF7"/>
    <w:rsid w:val="00650569"/>
    <w:rsid w:val="006512F6"/>
    <w:rsid w:val="00651E3E"/>
    <w:rsid w:val="00651EDD"/>
    <w:rsid w:val="0065378D"/>
    <w:rsid w:val="006537F1"/>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7A5"/>
    <w:rsid w:val="00664BB4"/>
    <w:rsid w:val="00665A8F"/>
    <w:rsid w:val="00666458"/>
    <w:rsid w:val="00666B9D"/>
    <w:rsid w:val="00666D1B"/>
    <w:rsid w:val="006671AE"/>
    <w:rsid w:val="00667860"/>
    <w:rsid w:val="00670A8F"/>
    <w:rsid w:val="0067157E"/>
    <w:rsid w:val="00672247"/>
    <w:rsid w:val="006723F9"/>
    <w:rsid w:val="006728CE"/>
    <w:rsid w:val="00672989"/>
    <w:rsid w:val="00673D6E"/>
    <w:rsid w:val="00673EAA"/>
    <w:rsid w:val="0067405E"/>
    <w:rsid w:val="006748F5"/>
    <w:rsid w:val="00674ABA"/>
    <w:rsid w:val="00675B61"/>
    <w:rsid w:val="00675D66"/>
    <w:rsid w:val="006761F3"/>
    <w:rsid w:val="00676D1D"/>
    <w:rsid w:val="0068011D"/>
    <w:rsid w:val="00680659"/>
    <w:rsid w:val="00680D15"/>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2F05"/>
    <w:rsid w:val="006930D6"/>
    <w:rsid w:val="0069314A"/>
    <w:rsid w:val="00693C6F"/>
    <w:rsid w:val="0069448A"/>
    <w:rsid w:val="00694BAB"/>
    <w:rsid w:val="006950D6"/>
    <w:rsid w:val="00696A11"/>
    <w:rsid w:val="00696FD6"/>
    <w:rsid w:val="00697B3A"/>
    <w:rsid w:val="00697E9D"/>
    <w:rsid w:val="006A04A9"/>
    <w:rsid w:val="006A281D"/>
    <w:rsid w:val="006A3246"/>
    <w:rsid w:val="006A334A"/>
    <w:rsid w:val="006A3A42"/>
    <w:rsid w:val="006A4224"/>
    <w:rsid w:val="006A53BF"/>
    <w:rsid w:val="006A56F0"/>
    <w:rsid w:val="006A585F"/>
    <w:rsid w:val="006A67C2"/>
    <w:rsid w:val="006A6ACE"/>
    <w:rsid w:val="006A721D"/>
    <w:rsid w:val="006A777E"/>
    <w:rsid w:val="006A7BEE"/>
    <w:rsid w:val="006A7CE2"/>
    <w:rsid w:val="006A7E3C"/>
    <w:rsid w:val="006B11C6"/>
    <w:rsid w:val="006B14BE"/>
    <w:rsid w:val="006B279D"/>
    <w:rsid w:val="006B372E"/>
    <w:rsid w:val="006B3A5C"/>
    <w:rsid w:val="006B4CA4"/>
    <w:rsid w:val="006B6498"/>
    <w:rsid w:val="006B64AA"/>
    <w:rsid w:val="006B6868"/>
    <w:rsid w:val="006B6F5F"/>
    <w:rsid w:val="006B7074"/>
    <w:rsid w:val="006B7A23"/>
    <w:rsid w:val="006B7E1D"/>
    <w:rsid w:val="006C14E5"/>
    <w:rsid w:val="006C1705"/>
    <w:rsid w:val="006C2214"/>
    <w:rsid w:val="006C2E7C"/>
    <w:rsid w:val="006C372D"/>
    <w:rsid w:val="006C410C"/>
    <w:rsid w:val="006C41F6"/>
    <w:rsid w:val="006C48DE"/>
    <w:rsid w:val="006C5074"/>
    <w:rsid w:val="006C51EE"/>
    <w:rsid w:val="006C52D3"/>
    <w:rsid w:val="006C55C2"/>
    <w:rsid w:val="006C55D7"/>
    <w:rsid w:val="006C6C41"/>
    <w:rsid w:val="006C746A"/>
    <w:rsid w:val="006C7E69"/>
    <w:rsid w:val="006D0A02"/>
    <w:rsid w:val="006D1335"/>
    <w:rsid w:val="006D1470"/>
    <w:rsid w:val="006D1BA8"/>
    <w:rsid w:val="006D1EC8"/>
    <w:rsid w:val="006D2466"/>
    <w:rsid w:val="006D2D2B"/>
    <w:rsid w:val="006D33D6"/>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FF"/>
    <w:rsid w:val="006E2C7A"/>
    <w:rsid w:val="006E3088"/>
    <w:rsid w:val="006E3497"/>
    <w:rsid w:val="006E3F38"/>
    <w:rsid w:val="006E412C"/>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2411"/>
    <w:rsid w:val="006F3394"/>
    <w:rsid w:val="006F428B"/>
    <w:rsid w:val="006F48A5"/>
    <w:rsid w:val="006F4C9E"/>
    <w:rsid w:val="006F52DF"/>
    <w:rsid w:val="006F676C"/>
    <w:rsid w:val="006F6AB6"/>
    <w:rsid w:val="00700BAA"/>
    <w:rsid w:val="00700C90"/>
    <w:rsid w:val="00701F34"/>
    <w:rsid w:val="007031A2"/>
    <w:rsid w:val="00703D4D"/>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4FCA"/>
    <w:rsid w:val="0072514D"/>
    <w:rsid w:val="00725C5A"/>
    <w:rsid w:val="00725CE9"/>
    <w:rsid w:val="007263E6"/>
    <w:rsid w:val="00726486"/>
    <w:rsid w:val="007264EA"/>
    <w:rsid w:val="00726D09"/>
    <w:rsid w:val="00726F49"/>
    <w:rsid w:val="00727214"/>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0B7"/>
    <w:rsid w:val="00744A98"/>
    <w:rsid w:val="00745087"/>
    <w:rsid w:val="007465DF"/>
    <w:rsid w:val="00746DD6"/>
    <w:rsid w:val="00746E60"/>
    <w:rsid w:val="00746FA8"/>
    <w:rsid w:val="007479B5"/>
    <w:rsid w:val="007501B9"/>
    <w:rsid w:val="007502BD"/>
    <w:rsid w:val="007514FB"/>
    <w:rsid w:val="00752886"/>
    <w:rsid w:val="007529D0"/>
    <w:rsid w:val="00753070"/>
    <w:rsid w:val="0075340F"/>
    <w:rsid w:val="00753A5C"/>
    <w:rsid w:val="00753ACF"/>
    <w:rsid w:val="00753BB6"/>
    <w:rsid w:val="00754023"/>
    <w:rsid w:val="007542EB"/>
    <w:rsid w:val="00754A30"/>
    <w:rsid w:val="00754B8E"/>
    <w:rsid w:val="007550BD"/>
    <w:rsid w:val="007551E4"/>
    <w:rsid w:val="007552B0"/>
    <w:rsid w:val="0075702C"/>
    <w:rsid w:val="0075799A"/>
    <w:rsid w:val="00757CF8"/>
    <w:rsid w:val="0076064B"/>
    <w:rsid w:val="00760F14"/>
    <w:rsid w:val="007616A0"/>
    <w:rsid w:val="007619CE"/>
    <w:rsid w:val="00761C38"/>
    <w:rsid w:val="00761EE8"/>
    <w:rsid w:val="00762151"/>
    <w:rsid w:val="0076215F"/>
    <w:rsid w:val="00762871"/>
    <w:rsid w:val="00762885"/>
    <w:rsid w:val="00762D4B"/>
    <w:rsid w:val="007639A5"/>
    <w:rsid w:val="00764010"/>
    <w:rsid w:val="00764368"/>
    <w:rsid w:val="0076491F"/>
    <w:rsid w:val="00764A05"/>
    <w:rsid w:val="00764AFB"/>
    <w:rsid w:val="00764B5B"/>
    <w:rsid w:val="007651DD"/>
    <w:rsid w:val="00765287"/>
    <w:rsid w:val="007657CF"/>
    <w:rsid w:val="00765C81"/>
    <w:rsid w:val="00766A73"/>
    <w:rsid w:val="00766F19"/>
    <w:rsid w:val="007677D3"/>
    <w:rsid w:val="0077047B"/>
    <w:rsid w:val="007712C7"/>
    <w:rsid w:val="0077211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5D6C"/>
    <w:rsid w:val="00796092"/>
    <w:rsid w:val="00797413"/>
    <w:rsid w:val="007A04DD"/>
    <w:rsid w:val="007A09FD"/>
    <w:rsid w:val="007A0DC1"/>
    <w:rsid w:val="007A1512"/>
    <w:rsid w:val="007A19E0"/>
    <w:rsid w:val="007A1AB6"/>
    <w:rsid w:val="007A23F8"/>
    <w:rsid w:val="007A2D52"/>
    <w:rsid w:val="007A31AE"/>
    <w:rsid w:val="007A3FFF"/>
    <w:rsid w:val="007A414E"/>
    <w:rsid w:val="007A4C43"/>
    <w:rsid w:val="007A5010"/>
    <w:rsid w:val="007A5145"/>
    <w:rsid w:val="007A550A"/>
    <w:rsid w:val="007A582C"/>
    <w:rsid w:val="007A5B2E"/>
    <w:rsid w:val="007A5C18"/>
    <w:rsid w:val="007A6D6F"/>
    <w:rsid w:val="007A6F39"/>
    <w:rsid w:val="007A7493"/>
    <w:rsid w:val="007B13B0"/>
    <w:rsid w:val="007B24C4"/>
    <w:rsid w:val="007B2759"/>
    <w:rsid w:val="007B28CF"/>
    <w:rsid w:val="007B363B"/>
    <w:rsid w:val="007B3F26"/>
    <w:rsid w:val="007B4263"/>
    <w:rsid w:val="007B4416"/>
    <w:rsid w:val="007B46BF"/>
    <w:rsid w:val="007B5C04"/>
    <w:rsid w:val="007B6263"/>
    <w:rsid w:val="007B6DD8"/>
    <w:rsid w:val="007C009D"/>
    <w:rsid w:val="007C047A"/>
    <w:rsid w:val="007C05DC"/>
    <w:rsid w:val="007C0FF7"/>
    <w:rsid w:val="007C14EE"/>
    <w:rsid w:val="007C17F1"/>
    <w:rsid w:val="007C2C98"/>
    <w:rsid w:val="007C3040"/>
    <w:rsid w:val="007C354C"/>
    <w:rsid w:val="007C35DF"/>
    <w:rsid w:val="007C3BA4"/>
    <w:rsid w:val="007C3BBF"/>
    <w:rsid w:val="007C4790"/>
    <w:rsid w:val="007C4E4F"/>
    <w:rsid w:val="007C5BB3"/>
    <w:rsid w:val="007C6783"/>
    <w:rsid w:val="007D0042"/>
    <w:rsid w:val="007D07B3"/>
    <w:rsid w:val="007D141E"/>
    <w:rsid w:val="007D1B1E"/>
    <w:rsid w:val="007D1D80"/>
    <w:rsid w:val="007D1F12"/>
    <w:rsid w:val="007D2550"/>
    <w:rsid w:val="007D2646"/>
    <w:rsid w:val="007D31AD"/>
    <w:rsid w:val="007D4712"/>
    <w:rsid w:val="007D4AFF"/>
    <w:rsid w:val="007D5CDD"/>
    <w:rsid w:val="007D5D30"/>
    <w:rsid w:val="007D6CF0"/>
    <w:rsid w:val="007D72D8"/>
    <w:rsid w:val="007D79C8"/>
    <w:rsid w:val="007E0B5E"/>
    <w:rsid w:val="007E0C9C"/>
    <w:rsid w:val="007E0FE3"/>
    <w:rsid w:val="007E18F8"/>
    <w:rsid w:val="007E205A"/>
    <w:rsid w:val="007E22C5"/>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134"/>
    <w:rsid w:val="007F28C6"/>
    <w:rsid w:val="007F2A29"/>
    <w:rsid w:val="007F2A92"/>
    <w:rsid w:val="007F3189"/>
    <w:rsid w:val="007F3D8B"/>
    <w:rsid w:val="007F3F9F"/>
    <w:rsid w:val="007F44CF"/>
    <w:rsid w:val="007F4E1E"/>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463"/>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21E2"/>
    <w:rsid w:val="008140CE"/>
    <w:rsid w:val="00814760"/>
    <w:rsid w:val="008147D1"/>
    <w:rsid w:val="008148F3"/>
    <w:rsid w:val="008151D2"/>
    <w:rsid w:val="00815716"/>
    <w:rsid w:val="00816C5A"/>
    <w:rsid w:val="00817344"/>
    <w:rsid w:val="00817678"/>
    <w:rsid w:val="008200BC"/>
    <w:rsid w:val="0082049D"/>
    <w:rsid w:val="008217BC"/>
    <w:rsid w:val="00822680"/>
    <w:rsid w:val="00822BA1"/>
    <w:rsid w:val="00822DED"/>
    <w:rsid w:val="00822F57"/>
    <w:rsid w:val="008233DB"/>
    <w:rsid w:val="008235F4"/>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4E67"/>
    <w:rsid w:val="008357D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3B3E"/>
    <w:rsid w:val="008542A4"/>
    <w:rsid w:val="008543D6"/>
    <w:rsid w:val="0085493E"/>
    <w:rsid w:val="00855DCD"/>
    <w:rsid w:val="00855E11"/>
    <w:rsid w:val="008562D6"/>
    <w:rsid w:val="0085719C"/>
    <w:rsid w:val="008575E1"/>
    <w:rsid w:val="0085760A"/>
    <w:rsid w:val="008576D9"/>
    <w:rsid w:val="00857F5B"/>
    <w:rsid w:val="0086045A"/>
    <w:rsid w:val="00860476"/>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4919"/>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16E"/>
    <w:rsid w:val="008B2951"/>
    <w:rsid w:val="008B2BB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E05B1"/>
    <w:rsid w:val="008E19F2"/>
    <w:rsid w:val="008E2254"/>
    <w:rsid w:val="008E2654"/>
    <w:rsid w:val="008E2AF5"/>
    <w:rsid w:val="008E2C34"/>
    <w:rsid w:val="008E35F3"/>
    <w:rsid w:val="008E4808"/>
    <w:rsid w:val="008E4929"/>
    <w:rsid w:val="008E4FF4"/>
    <w:rsid w:val="008E5682"/>
    <w:rsid w:val="008E5C69"/>
    <w:rsid w:val="008E6DB1"/>
    <w:rsid w:val="008E7242"/>
    <w:rsid w:val="008F0FB4"/>
    <w:rsid w:val="008F1C22"/>
    <w:rsid w:val="008F2554"/>
    <w:rsid w:val="008F2C23"/>
    <w:rsid w:val="008F3C6D"/>
    <w:rsid w:val="008F47DC"/>
    <w:rsid w:val="008F50E6"/>
    <w:rsid w:val="008F52B5"/>
    <w:rsid w:val="008F635E"/>
    <w:rsid w:val="008F69A1"/>
    <w:rsid w:val="008F738E"/>
    <w:rsid w:val="008F73F9"/>
    <w:rsid w:val="008F7ACB"/>
    <w:rsid w:val="009002CE"/>
    <w:rsid w:val="0090115A"/>
    <w:rsid w:val="0090120A"/>
    <w:rsid w:val="009025FB"/>
    <w:rsid w:val="009029DB"/>
    <w:rsid w:val="0090348A"/>
    <w:rsid w:val="009038A8"/>
    <w:rsid w:val="00903D1B"/>
    <w:rsid w:val="00904109"/>
    <w:rsid w:val="009042E8"/>
    <w:rsid w:val="0090484A"/>
    <w:rsid w:val="00905C6E"/>
    <w:rsid w:val="0090753F"/>
    <w:rsid w:val="00907591"/>
    <w:rsid w:val="00907913"/>
    <w:rsid w:val="00907D17"/>
    <w:rsid w:val="00910529"/>
    <w:rsid w:val="009118BA"/>
    <w:rsid w:val="009129DF"/>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5D59"/>
    <w:rsid w:val="00926716"/>
    <w:rsid w:val="009308DA"/>
    <w:rsid w:val="009312D5"/>
    <w:rsid w:val="00932101"/>
    <w:rsid w:val="00932A82"/>
    <w:rsid w:val="0093319A"/>
    <w:rsid w:val="00933540"/>
    <w:rsid w:val="0093396C"/>
    <w:rsid w:val="00933E6E"/>
    <w:rsid w:val="0093425F"/>
    <w:rsid w:val="00934877"/>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4AD"/>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4F6"/>
    <w:rsid w:val="009676E3"/>
    <w:rsid w:val="00967E6A"/>
    <w:rsid w:val="00970143"/>
    <w:rsid w:val="00970B7F"/>
    <w:rsid w:val="00970C38"/>
    <w:rsid w:val="00971614"/>
    <w:rsid w:val="00972340"/>
    <w:rsid w:val="00974A7A"/>
    <w:rsid w:val="00975014"/>
    <w:rsid w:val="009752FA"/>
    <w:rsid w:val="009754C3"/>
    <w:rsid w:val="009755CD"/>
    <w:rsid w:val="009758B1"/>
    <w:rsid w:val="00976262"/>
    <w:rsid w:val="00977693"/>
    <w:rsid w:val="00977A7D"/>
    <w:rsid w:val="00977AC6"/>
    <w:rsid w:val="00977BB1"/>
    <w:rsid w:val="00980C24"/>
    <w:rsid w:val="009818E4"/>
    <w:rsid w:val="00982494"/>
    <w:rsid w:val="00983C60"/>
    <w:rsid w:val="009845F3"/>
    <w:rsid w:val="009845FD"/>
    <w:rsid w:val="00986E0B"/>
    <w:rsid w:val="009874C8"/>
    <w:rsid w:val="00987C19"/>
    <w:rsid w:val="00990935"/>
    <w:rsid w:val="00990A99"/>
    <w:rsid w:val="00990AFD"/>
    <w:rsid w:val="00991001"/>
    <w:rsid w:val="00991069"/>
    <w:rsid w:val="00992771"/>
    <w:rsid w:val="0099397C"/>
    <w:rsid w:val="00994A07"/>
    <w:rsid w:val="00994A4C"/>
    <w:rsid w:val="009950AD"/>
    <w:rsid w:val="0099625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0D00"/>
    <w:rsid w:val="009B139E"/>
    <w:rsid w:val="009B1548"/>
    <w:rsid w:val="009B321A"/>
    <w:rsid w:val="009B3A1D"/>
    <w:rsid w:val="009B413B"/>
    <w:rsid w:val="009B41F0"/>
    <w:rsid w:val="009B44F0"/>
    <w:rsid w:val="009B4620"/>
    <w:rsid w:val="009B55BC"/>
    <w:rsid w:val="009B56A2"/>
    <w:rsid w:val="009B58D1"/>
    <w:rsid w:val="009B59F0"/>
    <w:rsid w:val="009B69E9"/>
    <w:rsid w:val="009B7FFD"/>
    <w:rsid w:val="009C0279"/>
    <w:rsid w:val="009C0C1F"/>
    <w:rsid w:val="009C147F"/>
    <w:rsid w:val="009C21B4"/>
    <w:rsid w:val="009C2E41"/>
    <w:rsid w:val="009C3225"/>
    <w:rsid w:val="009C3CB8"/>
    <w:rsid w:val="009C3E2A"/>
    <w:rsid w:val="009C4284"/>
    <w:rsid w:val="009C42DE"/>
    <w:rsid w:val="009C5DC4"/>
    <w:rsid w:val="009C61A3"/>
    <w:rsid w:val="009C6658"/>
    <w:rsid w:val="009C66AA"/>
    <w:rsid w:val="009C6A9B"/>
    <w:rsid w:val="009C6B84"/>
    <w:rsid w:val="009C6EE8"/>
    <w:rsid w:val="009C7B1F"/>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CAE"/>
    <w:rsid w:val="009E1D3C"/>
    <w:rsid w:val="009E2429"/>
    <w:rsid w:val="009E3DAE"/>
    <w:rsid w:val="009E426E"/>
    <w:rsid w:val="009E4339"/>
    <w:rsid w:val="009E439C"/>
    <w:rsid w:val="009E46F2"/>
    <w:rsid w:val="009E620D"/>
    <w:rsid w:val="009E7192"/>
    <w:rsid w:val="009E7E28"/>
    <w:rsid w:val="009E7F49"/>
    <w:rsid w:val="009F0B98"/>
    <w:rsid w:val="009F1641"/>
    <w:rsid w:val="009F1C46"/>
    <w:rsid w:val="009F1E25"/>
    <w:rsid w:val="009F2079"/>
    <w:rsid w:val="009F2592"/>
    <w:rsid w:val="009F2AB7"/>
    <w:rsid w:val="009F4BE1"/>
    <w:rsid w:val="009F4FF4"/>
    <w:rsid w:val="009F5541"/>
    <w:rsid w:val="009F5C19"/>
    <w:rsid w:val="009F6493"/>
    <w:rsid w:val="009F69B5"/>
    <w:rsid w:val="009F6EA2"/>
    <w:rsid w:val="009F79AE"/>
    <w:rsid w:val="009F7F22"/>
    <w:rsid w:val="00A004D3"/>
    <w:rsid w:val="00A00BD1"/>
    <w:rsid w:val="00A00FFB"/>
    <w:rsid w:val="00A027DE"/>
    <w:rsid w:val="00A031FC"/>
    <w:rsid w:val="00A04222"/>
    <w:rsid w:val="00A046BB"/>
    <w:rsid w:val="00A04C7E"/>
    <w:rsid w:val="00A0616C"/>
    <w:rsid w:val="00A06896"/>
    <w:rsid w:val="00A07CA6"/>
    <w:rsid w:val="00A10FD5"/>
    <w:rsid w:val="00A12981"/>
    <w:rsid w:val="00A12D9D"/>
    <w:rsid w:val="00A14320"/>
    <w:rsid w:val="00A14E83"/>
    <w:rsid w:val="00A14EA4"/>
    <w:rsid w:val="00A15071"/>
    <w:rsid w:val="00A151A5"/>
    <w:rsid w:val="00A15263"/>
    <w:rsid w:val="00A159DE"/>
    <w:rsid w:val="00A15E74"/>
    <w:rsid w:val="00A15FB5"/>
    <w:rsid w:val="00A161E0"/>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235"/>
    <w:rsid w:val="00A32460"/>
    <w:rsid w:val="00A34451"/>
    <w:rsid w:val="00A34742"/>
    <w:rsid w:val="00A3520E"/>
    <w:rsid w:val="00A35811"/>
    <w:rsid w:val="00A35C97"/>
    <w:rsid w:val="00A35D0A"/>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BC0"/>
    <w:rsid w:val="00A51D25"/>
    <w:rsid w:val="00A521D4"/>
    <w:rsid w:val="00A53511"/>
    <w:rsid w:val="00A53B80"/>
    <w:rsid w:val="00A541FE"/>
    <w:rsid w:val="00A55395"/>
    <w:rsid w:val="00A55724"/>
    <w:rsid w:val="00A55ABE"/>
    <w:rsid w:val="00A56041"/>
    <w:rsid w:val="00A60841"/>
    <w:rsid w:val="00A61A4E"/>
    <w:rsid w:val="00A63700"/>
    <w:rsid w:val="00A63958"/>
    <w:rsid w:val="00A64575"/>
    <w:rsid w:val="00A64C36"/>
    <w:rsid w:val="00A651C0"/>
    <w:rsid w:val="00A65800"/>
    <w:rsid w:val="00A65A26"/>
    <w:rsid w:val="00A6680C"/>
    <w:rsid w:val="00A66FCC"/>
    <w:rsid w:val="00A671E7"/>
    <w:rsid w:val="00A67625"/>
    <w:rsid w:val="00A67EF4"/>
    <w:rsid w:val="00A71E89"/>
    <w:rsid w:val="00A72970"/>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B8"/>
    <w:rsid w:val="00A849C8"/>
    <w:rsid w:val="00A855BE"/>
    <w:rsid w:val="00A86406"/>
    <w:rsid w:val="00A87067"/>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A6C"/>
    <w:rsid w:val="00A96DBD"/>
    <w:rsid w:val="00A970D5"/>
    <w:rsid w:val="00A97638"/>
    <w:rsid w:val="00A978AF"/>
    <w:rsid w:val="00AA0B4E"/>
    <w:rsid w:val="00AA1BBB"/>
    <w:rsid w:val="00AA1E74"/>
    <w:rsid w:val="00AA216B"/>
    <w:rsid w:val="00AA24D2"/>
    <w:rsid w:val="00AA3388"/>
    <w:rsid w:val="00AA423E"/>
    <w:rsid w:val="00AA66F5"/>
    <w:rsid w:val="00AA6C98"/>
    <w:rsid w:val="00AA7316"/>
    <w:rsid w:val="00AA78CE"/>
    <w:rsid w:val="00AA7F42"/>
    <w:rsid w:val="00AB0C12"/>
    <w:rsid w:val="00AB0FA7"/>
    <w:rsid w:val="00AB2605"/>
    <w:rsid w:val="00AB26D5"/>
    <w:rsid w:val="00AB2FF9"/>
    <w:rsid w:val="00AB3885"/>
    <w:rsid w:val="00AB39A6"/>
    <w:rsid w:val="00AB45DB"/>
    <w:rsid w:val="00AB49EA"/>
    <w:rsid w:val="00AB4F00"/>
    <w:rsid w:val="00AB57B1"/>
    <w:rsid w:val="00AB5C26"/>
    <w:rsid w:val="00AB5F3B"/>
    <w:rsid w:val="00AC004D"/>
    <w:rsid w:val="00AC09F1"/>
    <w:rsid w:val="00AC2417"/>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E19D1"/>
    <w:rsid w:val="00AE2666"/>
    <w:rsid w:val="00AE29DB"/>
    <w:rsid w:val="00AE2C80"/>
    <w:rsid w:val="00AE2E9B"/>
    <w:rsid w:val="00AE31C2"/>
    <w:rsid w:val="00AE3719"/>
    <w:rsid w:val="00AE3BE0"/>
    <w:rsid w:val="00AE4A02"/>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BE5"/>
    <w:rsid w:val="00B00C8E"/>
    <w:rsid w:val="00B02674"/>
    <w:rsid w:val="00B02AA5"/>
    <w:rsid w:val="00B045EC"/>
    <w:rsid w:val="00B04A54"/>
    <w:rsid w:val="00B04F50"/>
    <w:rsid w:val="00B04FED"/>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CD1"/>
    <w:rsid w:val="00B23256"/>
    <w:rsid w:val="00B244AA"/>
    <w:rsid w:val="00B24CF5"/>
    <w:rsid w:val="00B25441"/>
    <w:rsid w:val="00B26507"/>
    <w:rsid w:val="00B269CE"/>
    <w:rsid w:val="00B3055A"/>
    <w:rsid w:val="00B31920"/>
    <w:rsid w:val="00B31CD8"/>
    <w:rsid w:val="00B32535"/>
    <w:rsid w:val="00B3277B"/>
    <w:rsid w:val="00B32A9E"/>
    <w:rsid w:val="00B32B21"/>
    <w:rsid w:val="00B32F64"/>
    <w:rsid w:val="00B367AA"/>
    <w:rsid w:val="00B36B86"/>
    <w:rsid w:val="00B37176"/>
    <w:rsid w:val="00B373AA"/>
    <w:rsid w:val="00B37787"/>
    <w:rsid w:val="00B401F0"/>
    <w:rsid w:val="00B40823"/>
    <w:rsid w:val="00B40DF9"/>
    <w:rsid w:val="00B41A83"/>
    <w:rsid w:val="00B42083"/>
    <w:rsid w:val="00B42270"/>
    <w:rsid w:val="00B427A9"/>
    <w:rsid w:val="00B42A26"/>
    <w:rsid w:val="00B433A2"/>
    <w:rsid w:val="00B43455"/>
    <w:rsid w:val="00B435F8"/>
    <w:rsid w:val="00B4373C"/>
    <w:rsid w:val="00B4620E"/>
    <w:rsid w:val="00B46CB0"/>
    <w:rsid w:val="00B4725D"/>
    <w:rsid w:val="00B47408"/>
    <w:rsid w:val="00B47E9A"/>
    <w:rsid w:val="00B511BC"/>
    <w:rsid w:val="00B52A3F"/>
    <w:rsid w:val="00B539AD"/>
    <w:rsid w:val="00B53BEF"/>
    <w:rsid w:val="00B5462A"/>
    <w:rsid w:val="00B54BC7"/>
    <w:rsid w:val="00B54E24"/>
    <w:rsid w:val="00B565AE"/>
    <w:rsid w:val="00B568C7"/>
    <w:rsid w:val="00B56C15"/>
    <w:rsid w:val="00B57348"/>
    <w:rsid w:val="00B576BF"/>
    <w:rsid w:val="00B57FD2"/>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2F01"/>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0829"/>
    <w:rsid w:val="00B91A82"/>
    <w:rsid w:val="00B9279C"/>
    <w:rsid w:val="00B934BE"/>
    <w:rsid w:val="00B93569"/>
    <w:rsid w:val="00B94B37"/>
    <w:rsid w:val="00B95178"/>
    <w:rsid w:val="00B9576A"/>
    <w:rsid w:val="00B962BB"/>
    <w:rsid w:val="00B967A7"/>
    <w:rsid w:val="00B969AD"/>
    <w:rsid w:val="00BA088E"/>
    <w:rsid w:val="00BA0A2D"/>
    <w:rsid w:val="00BA152C"/>
    <w:rsid w:val="00BA21B2"/>
    <w:rsid w:val="00BA2861"/>
    <w:rsid w:val="00BA3873"/>
    <w:rsid w:val="00BA43D5"/>
    <w:rsid w:val="00BA636A"/>
    <w:rsid w:val="00BA6707"/>
    <w:rsid w:val="00BA7C0B"/>
    <w:rsid w:val="00BA7C85"/>
    <w:rsid w:val="00BB0F85"/>
    <w:rsid w:val="00BB1497"/>
    <w:rsid w:val="00BB16D5"/>
    <w:rsid w:val="00BB1940"/>
    <w:rsid w:val="00BB2A3A"/>
    <w:rsid w:val="00BB2E4D"/>
    <w:rsid w:val="00BB3445"/>
    <w:rsid w:val="00BB36D5"/>
    <w:rsid w:val="00BB404F"/>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2BE"/>
    <w:rsid w:val="00BC7535"/>
    <w:rsid w:val="00BC7F3C"/>
    <w:rsid w:val="00BC7FFB"/>
    <w:rsid w:val="00BD034D"/>
    <w:rsid w:val="00BD0C09"/>
    <w:rsid w:val="00BD1211"/>
    <w:rsid w:val="00BD2A1B"/>
    <w:rsid w:val="00BD3209"/>
    <w:rsid w:val="00BD323A"/>
    <w:rsid w:val="00BD3692"/>
    <w:rsid w:val="00BD3E45"/>
    <w:rsid w:val="00BD3ECE"/>
    <w:rsid w:val="00BD4316"/>
    <w:rsid w:val="00BD5782"/>
    <w:rsid w:val="00BD578A"/>
    <w:rsid w:val="00BD5EFA"/>
    <w:rsid w:val="00BD6C6F"/>
    <w:rsid w:val="00BD6DCD"/>
    <w:rsid w:val="00BD780A"/>
    <w:rsid w:val="00BD78C4"/>
    <w:rsid w:val="00BE0194"/>
    <w:rsid w:val="00BE092B"/>
    <w:rsid w:val="00BE0CEB"/>
    <w:rsid w:val="00BE1CF2"/>
    <w:rsid w:val="00BE1E12"/>
    <w:rsid w:val="00BE27FB"/>
    <w:rsid w:val="00BE2D09"/>
    <w:rsid w:val="00BE346A"/>
    <w:rsid w:val="00BE46DF"/>
    <w:rsid w:val="00BE4ADD"/>
    <w:rsid w:val="00BE635E"/>
    <w:rsid w:val="00BE6364"/>
    <w:rsid w:val="00BE6D71"/>
    <w:rsid w:val="00BE6DC4"/>
    <w:rsid w:val="00BE718D"/>
    <w:rsid w:val="00BE7A12"/>
    <w:rsid w:val="00BE7ADF"/>
    <w:rsid w:val="00BE7CAE"/>
    <w:rsid w:val="00BE7D4F"/>
    <w:rsid w:val="00BF0862"/>
    <w:rsid w:val="00BF26EE"/>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07FB1"/>
    <w:rsid w:val="00C10243"/>
    <w:rsid w:val="00C10601"/>
    <w:rsid w:val="00C11E89"/>
    <w:rsid w:val="00C134F6"/>
    <w:rsid w:val="00C138AA"/>
    <w:rsid w:val="00C13C38"/>
    <w:rsid w:val="00C1424F"/>
    <w:rsid w:val="00C143EE"/>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0EF1"/>
    <w:rsid w:val="00C31080"/>
    <w:rsid w:val="00C3227B"/>
    <w:rsid w:val="00C32ACE"/>
    <w:rsid w:val="00C32F37"/>
    <w:rsid w:val="00C33352"/>
    <w:rsid w:val="00C346DD"/>
    <w:rsid w:val="00C34DB4"/>
    <w:rsid w:val="00C35A64"/>
    <w:rsid w:val="00C35E7C"/>
    <w:rsid w:val="00C35F81"/>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3D9A"/>
    <w:rsid w:val="00C4452E"/>
    <w:rsid w:val="00C4710B"/>
    <w:rsid w:val="00C5042D"/>
    <w:rsid w:val="00C510A7"/>
    <w:rsid w:val="00C52AC3"/>
    <w:rsid w:val="00C52FE5"/>
    <w:rsid w:val="00C536D2"/>
    <w:rsid w:val="00C54558"/>
    <w:rsid w:val="00C558A4"/>
    <w:rsid w:val="00C559CD"/>
    <w:rsid w:val="00C57E04"/>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1A87"/>
    <w:rsid w:val="00C72BDC"/>
    <w:rsid w:val="00C72F35"/>
    <w:rsid w:val="00C73ED0"/>
    <w:rsid w:val="00C749E0"/>
    <w:rsid w:val="00C74ACA"/>
    <w:rsid w:val="00C74F2A"/>
    <w:rsid w:val="00C755F6"/>
    <w:rsid w:val="00C76946"/>
    <w:rsid w:val="00C76CD4"/>
    <w:rsid w:val="00C77686"/>
    <w:rsid w:val="00C809F1"/>
    <w:rsid w:val="00C80B05"/>
    <w:rsid w:val="00C80D5B"/>
    <w:rsid w:val="00C8138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640"/>
    <w:rsid w:val="00CA076C"/>
    <w:rsid w:val="00CA0E7A"/>
    <w:rsid w:val="00CA1AD6"/>
    <w:rsid w:val="00CA22F9"/>
    <w:rsid w:val="00CA2CFC"/>
    <w:rsid w:val="00CA39B7"/>
    <w:rsid w:val="00CA43EA"/>
    <w:rsid w:val="00CA45E8"/>
    <w:rsid w:val="00CA59E3"/>
    <w:rsid w:val="00CA5AF6"/>
    <w:rsid w:val="00CA5B91"/>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BCF"/>
    <w:rsid w:val="00CC4F1E"/>
    <w:rsid w:val="00CC5FBE"/>
    <w:rsid w:val="00CC6778"/>
    <w:rsid w:val="00CC6BC0"/>
    <w:rsid w:val="00CC7706"/>
    <w:rsid w:val="00CD0915"/>
    <w:rsid w:val="00CD135D"/>
    <w:rsid w:val="00CD19A8"/>
    <w:rsid w:val="00CD19DB"/>
    <w:rsid w:val="00CD1A48"/>
    <w:rsid w:val="00CD1EEE"/>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606"/>
    <w:rsid w:val="00CF4CEF"/>
    <w:rsid w:val="00CF4E0C"/>
    <w:rsid w:val="00CF610C"/>
    <w:rsid w:val="00CF6431"/>
    <w:rsid w:val="00CF6491"/>
    <w:rsid w:val="00CF6592"/>
    <w:rsid w:val="00CF6E52"/>
    <w:rsid w:val="00CF777F"/>
    <w:rsid w:val="00D00206"/>
    <w:rsid w:val="00D003F7"/>
    <w:rsid w:val="00D00B10"/>
    <w:rsid w:val="00D01DCF"/>
    <w:rsid w:val="00D01F15"/>
    <w:rsid w:val="00D02606"/>
    <w:rsid w:val="00D02A6F"/>
    <w:rsid w:val="00D04009"/>
    <w:rsid w:val="00D04514"/>
    <w:rsid w:val="00D05D6D"/>
    <w:rsid w:val="00D062B1"/>
    <w:rsid w:val="00D06465"/>
    <w:rsid w:val="00D067C4"/>
    <w:rsid w:val="00D076D9"/>
    <w:rsid w:val="00D07FCE"/>
    <w:rsid w:val="00D10489"/>
    <w:rsid w:val="00D10E00"/>
    <w:rsid w:val="00D11A35"/>
    <w:rsid w:val="00D11E06"/>
    <w:rsid w:val="00D1224D"/>
    <w:rsid w:val="00D1259C"/>
    <w:rsid w:val="00D13710"/>
    <w:rsid w:val="00D13846"/>
    <w:rsid w:val="00D146EB"/>
    <w:rsid w:val="00D15656"/>
    <w:rsid w:val="00D1622E"/>
    <w:rsid w:val="00D16456"/>
    <w:rsid w:val="00D17E8F"/>
    <w:rsid w:val="00D20835"/>
    <w:rsid w:val="00D20D52"/>
    <w:rsid w:val="00D20EF6"/>
    <w:rsid w:val="00D219AA"/>
    <w:rsid w:val="00D21CEF"/>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32986"/>
    <w:rsid w:val="00D334AD"/>
    <w:rsid w:val="00D338DB"/>
    <w:rsid w:val="00D3511F"/>
    <w:rsid w:val="00D35511"/>
    <w:rsid w:val="00D35A8D"/>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BE1"/>
    <w:rsid w:val="00D50F44"/>
    <w:rsid w:val="00D52933"/>
    <w:rsid w:val="00D52C36"/>
    <w:rsid w:val="00D52FF0"/>
    <w:rsid w:val="00D53395"/>
    <w:rsid w:val="00D537E5"/>
    <w:rsid w:val="00D538C9"/>
    <w:rsid w:val="00D54121"/>
    <w:rsid w:val="00D549DF"/>
    <w:rsid w:val="00D55721"/>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26E"/>
    <w:rsid w:val="00D738D2"/>
    <w:rsid w:val="00D73CDD"/>
    <w:rsid w:val="00D741C8"/>
    <w:rsid w:val="00D7495B"/>
    <w:rsid w:val="00D74E94"/>
    <w:rsid w:val="00D75395"/>
    <w:rsid w:val="00D76565"/>
    <w:rsid w:val="00D766B4"/>
    <w:rsid w:val="00D77242"/>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5B19"/>
    <w:rsid w:val="00D86103"/>
    <w:rsid w:val="00D8663B"/>
    <w:rsid w:val="00D86696"/>
    <w:rsid w:val="00D875BA"/>
    <w:rsid w:val="00D878B6"/>
    <w:rsid w:val="00D87C87"/>
    <w:rsid w:val="00D87FC0"/>
    <w:rsid w:val="00D90C1B"/>
    <w:rsid w:val="00D90FB3"/>
    <w:rsid w:val="00D910B9"/>
    <w:rsid w:val="00D91E87"/>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112"/>
    <w:rsid w:val="00DB2950"/>
    <w:rsid w:val="00DB2F12"/>
    <w:rsid w:val="00DB447B"/>
    <w:rsid w:val="00DB44A1"/>
    <w:rsid w:val="00DB5CD7"/>
    <w:rsid w:val="00DB6647"/>
    <w:rsid w:val="00DC053B"/>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E0F"/>
    <w:rsid w:val="00DE0F3E"/>
    <w:rsid w:val="00DE1DEE"/>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6D4C"/>
    <w:rsid w:val="00DF7B01"/>
    <w:rsid w:val="00DF7E4B"/>
    <w:rsid w:val="00E00957"/>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701F"/>
    <w:rsid w:val="00E1736D"/>
    <w:rsid w:val="00E1746A"/>
    <w:rsid w:val="00E207AC"/>
    <w:rsid w:val="00E2095F"/>
    <w:rsid w:val="00E2168A"/>
    <w:rsid w:val="00E224FF"/>
    <w:rsid w:val="00E22FD4"/>
    <w:rsid w:val="00E23A0E"/>
    <w:rsid w:val="00E23EE3"/>
    <w:rsid w:val="00E245A1"/>
    <w:rsid w:val="00E24831"/>
    <w:rsid w:val="00E25228"/>
    <w:rsid w:val="00E25361"/>
    <w:rsid w:val="00E25725"/>
    <w:rsid w:val="00E258F1"/>
    <w:rsid w:val="00E27953"/>
    <w:rsid w:val="00E27A9D"/>
    <w:rsid w:val="00E30F56"/>
    <w:rsid w:val="00E31001"/>
    <w:rsid w:val="00E313DB"/>
    <w:rsid w:val="00E314BF"/>
    <w:rsid w:val="00E318E5"/>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14"/>
    <w:rsid w:val="00E818B2"/>
    <w:rsid w:val="00E81DE3"/>
    <w:rsid w:val="00E8267D"/>
    <w:rsid w:val="00E82B57"/>
    <w:rsid w:val="00E82FDB"/>
    <w:rsid w:val="00E83572"/>
    <w:rsid w:val="00E83C17"/>
    <w:rsid w:val="00E84410"/>
    <w:rsid w:val="00E844ED"/>
    <w:rsid w:val="00E84AB8"/>
    <w:rsid w:val="00E854A9"/>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219A"/>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A58"/>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E7818"/>
    <w:rsid w:val="00EF0B59"/>
    <w:rsid w:val="00EF0F59"/>
    <w:rsid w:val="00EF1196"/>
    <w:rsid w:val="00EF1A5A"/>
    <w:rsid w:val="00EF2B23"/>
    <w:rsid w:val="00EF3A01"/>
    <w:rsid w:val="00EF4D0F"/>
    <w:rsid w:val="00EF52F1"/>
    <w:rsid w:val="00EF5791"/>
    <w:rsid w:val="00EF5FF8"/>
    <w:rsid w:val="00EF6F58"/>
    <w:rsid w:val="00EF6FA1"/>
    <w:rsid w:val="00EF71A3"/>
    <w:rsid w:val="00EF7935"/>
    <w:rsid w:val="00F01526"/>
    <w:rsid w:val="00F023A7"/>
    <w:rsid w:val="00F02EDC"/>
    <w:rsid w:val="00F039E2"/>
    <w:rsid w:val="00F041B8"/>
    <w:rsid w:val="00F04A95"/>
    <w:rsid w:val="00F058D3"/>
    <w:rsid w:val="00F05E0B"/>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37B"/>
    <w:rsid w:val="00F638E7"/>
    <w:rsid w:val="00F63C65"/>
    <w:rsid w:val="00F6499A"/>
    <w:rsid w:val="00F64F0D"/>
    <w:rsid w:val="00F6554B"/>
    <w:rsid w:val="00F656E5"/>
    <w:rsid w:val="00F66279"/>
    <w:rsid w:val="00F67500"/>
    <w:rsid w:val="00F70652"/>
    <w:rsid w:val="00F70B12"/>
    <w:rsid w:val="00F70F10"/>
    <w:rsid w:val="00F716BE"/>
    <w:rsid w:val="00F71849"/>
    <w:rsid w:val="00F724AB"/>
    <w:rsid w:val="00F72E1A"/>
    <w:rsid w:val="00F73053"/>
    <w:rsid w:val="00F73B22"/>
    <w:rsid w:val="00F7474D"/>
    <w:rsid w:val="00F74A3D"/>
    <w:rsid w:val="00F74A8F"/>
    <w:rsid w:val="00F74FB9"/>
    <w:rsid w:val="00F764E0"/>
    <w:rsid w:val="00F775A3"/>
    <w:rsid w:val="00F77D38"/>
    <w:rsid w:val="00F77F4D"/>
    <w:rsid w:val="00F809C6"/>
    <w:rsid w:val="00F80C31"/>
    <w:rsid w:val="00F81408"/>
    <w:rsid w:val="00F815F4"/>
    <w:rsid w:val="00F81B42"/>
    <w:rsid w:val="00F8209A"/>
    <w:rsid w:val="00F821C1"/>
    <w:rsid w:val="00F832E4"/>
    <w:rsid w:val="00F836B4"/>
    <w:rsid w:val="00F86C5F"/>
    <w:rsid w:val="00F86D62"/>
    <w:rsid w:val="00F874BB"/>
    <w:rsid w:val="00F90DA5"/>
    <w:rsid w:val="00F9118F"/>
    <w:rsid w:val="00F914C6"/>
    <w:rsid w:val="00F92B59"/>
    <w:rsid w:val="00F931A2"/>
    <w:rsid w:val="00F93236"/>
    <w:rsid w:val="00F95F2A"/>
    <w:rsid w:val="00F96F86"/>
    <w:rsid w:val="00F97115"/>
    <w:rsid w:val="00F97229"/>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5E5F"/>
    <w:rsid w:val="00FA7A6F"/>
    <w:rsid w:val="00FB09A6"/>
    <w:rsid w:val="00FB1C30"/>
    <w:rsid w:val="00FB1DEB"/>
    <w:rsid w:val="00FB26D9"/>
    <w:rsid w:val="00FB3254"/>
    <w:rsid w:val="00FB3596"/>
    <w:rsid w:val="00FB3D5B"/>
    <w:rsid w:val="00FB41FD"/>
    <w:rsid w:val="00FB4353"/>
    <w:rsid w:val="00FB4E64"/>
    <w:rsid w:val="00FB4F83"/>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314B"/>
    <w:rsid w:val="00FD3825"/>
    <w:rsid w:val="00FD39C9"/>
    <w:rsid w:val="00FD3CDC"/>
    <w:rsid w:val="00FD3E5D"/>
    <w:rsid w:val="00FD4378"/>
    <w:rsid w:val="00FD4B51"/>
    <w:rsid w:val="00FD508D"/>
    <w:rsid w:val="00FD57A1"/>
    <w:rsid w:val="00FD5C86"/>
    <w:rsid w:val="00FD72C2"/>
    <w:rsid w:val="00FD7D51"/>
    <w:rsid w:val="00FE0B3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0EB"/>
    <w:rsid w:val="00FF47CD"/>
    <w:rsid w:val="00FF4859"/>
    <w:rsid w:val="00FF48BE"/>
    <w:rsid w:val="00FF4CA5"/>
    <w:rsid w:val="00FF5344"/>
    <w:rsid w:val="00FF5532"/>
    <w:rsid w:val="00FF5DBD"/>
    <w:rsid w:val="00FF6225"/>
    <w:rsid w:val="00FF67D7"/>
    <w:rsid w:val="1B94458F"/>
    <w:rsid w:val="23740614"/>
    <w:rsid w:val="44E9108F"/>
    <w:rsid w:val="5C35490E"/>
    <w:rsid w:val="63E72531"/>
    <w:rsid w:val="70652167"/>
    <w:rsid w:val="7A2C2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8"/>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9"/>
      </w:numPr>
    </w:pPr>
  </w:style>
  <w:style w:type="numbering" w:customStyle="1" w:styleId="Listaactual91">
    <w:name w:val="Lista actual91"/>
    <w:uiPriority w:val="99"/>
    <w:rsid w:val="00F37E44"/>
    <w:pPr>
      <w:numPr>
        <w:numId w:val="30"/>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1"/>
      </w:numPr>
    </w:pPr>
  </w:style>
  <w:style w:type="numbering" w:customStyle="1" w:styleId="Listaactual211">
    <w:name w:val="Lista actual211"/>
    <w:uiPriority w:val="99"/>
    <w:rsid w:val="00F37E44"/>
    <w:pPr>
      <w:numPr>
        <w:numId w:val="32"/>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3"/>
      </w:numPr>
    </w:pPr>
  </w:style>
  <w:style w:type="numbering" w:customStyle="1" w:styleId="Listaactual121">
    <w:name w:val="Lista actual121"/>
    <w:uiPriority w:val="99"/>
    <w:rsid w:val="00F37E44"/>
    <w:pPr>
      <w:numPr>
        <w:numId w:val="34"/>
      </w:numPr>
    </w:pPr>
  </w:style>
  <w:style w:type="numbering" w:customStyle="1" w:styleId="Listaactual131">
    <w:name w:val="Lista actual131"/>
    <w:uiPriority w:val="99"/>
    <w:rsid w:val="00F37E44"/>
    <w:pPr>
      <w:numPr>
        <w:numId w:val="35"/>
      </w:numPr>
    </w:pPr>
  </w:style>
  <w:style w:type="numbering" w:customStyle="1" w:styleId="Listaactual221">
    <w:name w:val="Lista actual221"/>
    <w:uiPriority w:val="99"/>
    <w:rsid w:val="00F37E44"/>
    <w:pPr>
      <w:numPr>
        <w:numId w:val="36"/>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7"/>
      </w:numPr>
    </w:pPr>
  </w:style>
  <w:style w:type="numbering" w:customStyle="1" w:styleId="Listaactual51">
    <w:name w:val="Lista actual51"/>
    <w:uiPriority w:val="99"/>
    <w:rsid w:val="00F37E44"/>
    <w:pPr>
      <w:numPr>
        <w:numId w:val="38"/>
      </w:numPr>
    </w:pPr>
  </w:style>
  <w:style w:type="numbering" w:customStyle="1" w:styleId="Listaactual61">
    <w:name w:val="Lista actual61"/>
    <w:uiPriority w:val="99"/>
    <w:rsid w:val="00F37E44"/>
    <w:pPr>
      <w:numPr>
        <w:numId w:val="39"/>
      </w:numPr>
    </w:pPr>
  </w:style>
  <w:style w:type="numbering" w:customStyle="1" w:styleId="Listaactual71">
    <w:name w:val="Lista actual71"/>
    <w:uiPriority w:val="99"/>
    <w:rsid w:val="00F37E44"/>
    <w:pPr>
      <w:numPr>
        <w:numId w:val="40"/>
      </w:numPr>
    </w:pPr>
  </w:style>
  <w:style w:type="numbering" w:customStyle="1" w:styleId="Listaactual811">
    <w:name w:val="Lista actual811"/>
    <w:uiPriority w:val="99"/>
    <w:rsid w:val="00F37E44"/>
    <w:pPr>
      <w:numPr>
        <w:numId w:val="41"/>
      </w:numPr>
    </w:pPr>
  </w:style>
  <w:style w:type="numbering" w:customStyle="1" w:styleId="Listaactual911">
    <w:name w:val="Lista actual911"/>
    <w:uiPriority w:val="99"/>
    <w:rsid w:val="00F37E44"/>
    <w:pPr>
      <w:numPr>
        <w:numId w:val="42"/>
      </w:numPr>
    </w:pPr>
  </w:style>
  <w:style w:type="numbering" w:customStyle="1" w:styleId="Listaactual1011">
    <w:name w:val="Lista actual1011"/>
    <w:uiPriority w:val="99"/>
    <w:rsid w:val="00F37E44"/>
    <w:pPr>
      <w:numPr>
        <w:numId w:val="43"/>
      </w:numPr>
    </w:pPr>
  </w:style>
  <w:style w:type="numbering" w:customStyle="1" w:styleId="Listaactual1111">
    <w:name w:val="Lista actual1111"/>
    <w:uiPriority w:val="99"/>
    <w:rsid w:val="00F37E44"/>
    <w:pPr>
      <w:numPr>
        <w:numId w:val="44"/>
      </w:numPr>
    </w:pPr>
  </w:style>
  <w:style w:type="numbering" w:customStyle="1" w:styleId="Listaactual1211">
    <w:name w:val="Lista actual1211"/>
    <w:uiPriority w:val="99"/>
    <w:rsid w:val="00F37E44"/>
    <w:pPr>
      <w:numPr>
        <w:numId w:val="45"/>
      </w:numPr>
    </w:pPr>
  </w:style>
  <w:style w:type="numbering" w:customStyle="1" w:styleId="Listaactual1311">
    <w:name w:val="Lista actual1311"/>
    <w:uiPriority w:val="99"/>
    <w:rsid w:val="00F37E44"/>
    <w:pPr>
      <w:numPr>
        <w:numId w:val="46"/>
      </w:numPr>
    </w:pPr>
  </w:style>
  <w:style w:type="numbering" w:customStyle="1" w:styleId="Listaactual28">
    <w:name w:val="Lista actual28"/>
    <w:uiPriority w:val="99"/>
    <w:rsid w:val="00C07FB1"/>
    <w:pPr>
      <w:numPr>
        <w:numId w:val="47"/>
      </w:numPr>
    </w:pPr>
  </w:style>
  <w:style w:type="character" w:customStyle="1" w:styleId="Mencinsinresolver5">
    <w:name w:val="Mención sin resolver5"/>
    <w:basedOn w:val="Fuentedeprrafopredeter"/>
    <w:uiPriority w:val="99"/>
    <w:semiHidden/>
    <w:unhideWhenUsed/>
    <w:rsid w:val="006124C2"/>
    <w:rPr>
      <w:color w:val="605E5C"/>
      <w:shd w:val="clear" w:color="auto" w:fill="E1DFDD"/>
    </w:rPr>
  </w:style>
  <w:style w:type="numbering" w:customStyle="1" w:styleId="Listaactual29">
    <w:name w:val="Lista actual29"/>
    <w:uiPriority w:val="99"/>
    <w:rsid w:val="001C4D99"/>
    <w:pPr>
      <w:numPr>
        <w:numId w:val="49"/>
      </w:numPr>
    </w:pPr>
  </w:style>
  <w:style w:type="character" w:styleId="Mencinsinresolver">
    <w:name w:val="Unresolved Mention"/>
    <w:basedOn w:val="Fuentedeprrafopredeter"/>
    <w:uiPriority w:val="99"/>
    <w:semiHidden/>
    <w:unhideWhenUsed/>
    <w:rsid w:val="00B41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50977369">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48759527">
      <w:bodyDiv w:val="1"/>
      <w:marLeft w:val="0"/>
      <w:marRight w:val="0"/>
      <w:marTop w:val="0"/>
      <w:marBottom w:val="0"/>
      <w:divBdr>
        <w:top w:val="none" w:sz="0" w:space="0" w:color="auto"/>
        <w:left w:val="none" w:sz="0" w:space="0" w:color="auto"/>
        <w:bottom w:val="none" w:sz="0" w:space="0" w:color="auto"/>
        <w:right w:val="none" w:sz="0" w:space="0" w:color="auto"/>
      </w:divBdr>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27741100">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emamatla-digital.com/conac2024.php"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1529-B9FF-48A0-AA33-BD3446DE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44</Pages>
  <Words>11173</Words>
  <Characters>61453</Characters>
  <Application>Microsoft Office Word</Application>
  <DocSecurity>0</DocSecurity>
  <Lines>512</Lines>
  <Paragraphs>144</Paragraphs>
  <ScaleCrop>false</ScaleCrop>
  <Company/>
  <LinksUpToDate>false</LinksUpToDate>
  <CharactersWithSpaces>72482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Arturo Macedo Albarrán</cp:lastModifiedBy>
  <cp:revision>296</cp:revision>
  <cp:lastPrinted>2024-09-12T23:03:00Z</cp:lastPrinted>
  <dcterms:created xsi:type="dcterms:W3CDTF">2024-08-12T18:21:00Z</dcterms:created>
  <dcterms:modified xsi:type="dcterms:W3CDTF">2024-12-12T19:20:00Z</dcterms:modified>
</cp:coreProperties>
</file>