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4F93F6A4"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16371" w:rsidRPr="009F5460">
        <w:rPr>
          <w:rFonts w:ascii="Palatino Linotype" w:eastAsia="Palatino Linotype" w:hAnsi="Palatino Linotype" w:cs="Palatino Linotype"/>
          <w:sz w:val="22"/>
          <w:szCs w:val="22"/>
        </w:rPr>
        <w:t>cuatro</w:t>
      </w:r>
      <w:r w:rsidRPr="009F5460">
        <w:rPr>
          <w:rFonts w:ascii="Palatino Linotype" w:eastAsia="Palatino Linotype" w:hAnsi="Palatino Linotype" w:cs="Palatino Linotype"/>
          <w:sz w:val="22"/>
          <w:szCs w:val="22"/>
        </w:rPr>
        <w:t xml:space="preserve"> de </w:t>
      </w:r>
      <w:r w:rsidR="00716371" w:rsidRPr="009F5460">
        <w:rPr>
          <w:rFonts w:ascii="Palatino Linotype" w:eastAsia="Palatino Linotype" w:hAnsi="Palatino Linotype" w:cs="Palatino Linotype"/>
          <w:sz w:val="22"/>
          <w:szCs w:val="22"/>
        </w:rPr>
        <w:t>diciembre</w:t>
      </w:r>
      <w:r w:rsidR="00A556C9" w:rsidRPr="009F5460">
        <w:rPr>
          <w:rFonts w:ascii="Palatino Linotype" w:eastAsia="Palatino Linotype" w:hAnsi="Palatino Linotype" w:cs="Palatino Linotype"/>
          <w:sz w:val="22"/>
          <w:szCs w:val="22"/>
        </w:rPr>
        <w:t xml:space="preserve"> de dos mil veinticuatro.</w:t>
      </w:r>
    </w:p>
    <w:p w14:paraId="31F692CA" w14:textId="77777777" w:rsidR="003A5BF3" w:rsidRPr="009F5460" w:rsidRDefault="003A5BF3" w:rsidP="00C9447F">
      <w:pPr>
        <w:spacing w:line="360" w:lineRule="auto"/>
        <w:jc w:val="both"/>
        <w:rPr>
          <w:rFonts w:ascii="Palatino Linotype" w:eastAsia="Palatino Linotype" w:hAnsi="Palatino Linotype" w:cs="Palatino Linotype"/>
          <w:color w:val="FF0000"/>
          <w:sz w:val="22"/>
          <w:szCs w:val="22"/>
        </w:rPr>
      </w:pPr>
    </w:p>
    <w:p w14:paraId="5B6A1B35" w14:textId="7208EB45" w:rsidR="003A5BF3" w:rsidRPr="009F5460" w:rsidRDefault="00B830DD" w:rsidP="00C9447F">
      <w:pPr>
        <w:spacing w:line="360" w:lineRule="auto"/>
        <w:jc w:val="both"/>
        <w:rPr>
          <w:rFonts w:ascii="Palatino Linotype" w:eastAsia="Palatino Linotype" w:hAnsi="Palatino Linotype" w:cs="Palatino Linotype"/>
          <w:b/>
          <w:sz w:val="22"/>
          <w:szCs w:val="22"/>
        </w:rPr>
      </w:pPr>
      <w:r w:rsidRPr="009F5460">
        <w:rPr>
          <w:rFonts w:ascii="Palatino Linotype" w:eastAsia="Palatino Linotype" w:hAnsi="Palatino Linotype" w:cs="Palatino Linotype"/>
          <w:b/>
          <w:sz w:val="22"/>
          <w:szCs w:val="22"/>
        </w:rPr>
        <w:t>Visto</w:t>
      </w:r>
      <w:r w:rsidRPr="009F5460">
        <w:rPr>
          <w:rFonts w:ascii="Palatino Linotype" w:eastAsia="Palatino Linotype" w:hAnsi="Palatino Linotype" w:cs="Palatino Linotype"/>
          <w:sz w:val="22"/>
          <w:szCs w:val="22"/>
        </w:rPr>
        <w:t xml:space="preserve"> el expediente relativo al recurso de revisión </w:t>
      </w:r>
      <w:r w:rsidR="00CB5EBE" w:rsidRPr="009F5460">
        <w:rPr>
          <w:rFonts w:ascii="Palatino Linotype" w:eastAsia="Palatino Linotype" w:hAnsi="Palatino Linotype" w:cs="Palatino Linotype"/>
          <w:b/>
          <w:sz w:val="22"/>
          <w:szCs w:val="22"/>
        </w:rPr>
        <w:t>06594/INFOEM/IP/RR/2024</w:t>
      </w:r>
      <w:r w:rsidRPr="009F5460">
        <w:rPr>
          <w:rFonts w:ascii="Palatino Linotype" w:eastAsia="Palatino Linotype" w:hAnsi="Palatino Linotype" w:cs="Palatino Linotype"/>
          <w:sz w:val="22"/>
          <w:szCs w:val="22"/>
        </w:rPr>
        <w:t xml:space="preserve">, interpuesto por </w:t>
      </w:r>
      <w:r w:rsidR="00934FFB" w:rsidRPr="009F5460">
        <w:rPr>
          <w:rFonts w:ascii="Palatino Linotype" w:eastAsia="Palatino Linotype" w:hAnsi="Palatino Linotype" w:cs="Palatino Linotype"/>
          <w:b/>
          <w:sz w:val="22"/>
          <w:szCs w:val="22"/>
        </w:rPr>
        <w:t>Un Usuario</w:t>
      </w:r>
      <w:r w:rsidR="00934FFB" w:rsidRPr="009F5460">
        <w:rPr>
          <w:rFonts w:ascii="Palatino Linotype" w:eastAsia="Palatino Linotype" w:hAnsi="Palatino Linotype" w:cs="Palatino Linotype"/>
          <w:sz w:val="22"/>
          <w:szCs w:val="22"/>
        </w:rPr>
        <w:t xml:space="preserve"> que no proporcionó su nombre</w:t>
      </w:r>
      <w:r w:rsidRPr="009F5460">
        <w:rPr>
          <w:rFonts w:ascii="Palatino Linotype" w:eastAsia="Palatino Linotype" w:hAnsi="Palatino Linotype" w:cs="Palatino Linotype"/>
          <w:sz w:val="22"/>
          <w:szCs w:val="22"/>
        </w:rPr>
        <w:t>, en lo sucesivo se le denominará la parte</w:t>
      </w:r>
      <w:r w:rsidRPr="009F5460">
        <w:rPr>
          <w:rFonts w:ascii="Palatino Linotype" w:eastAsia="Palatino Linotype" w:hAnsi="Palatino Linotype" w:cs="Palatino Linotype"/>
          <w:b/>
          <w:sz w:val="22"/>
          <w:szCs w:val="22"/>
        </w:rPr>
        <w:t xml:space="preserve"> RECURRENTE</w:t>
      </w:r>
      <w:r w:rsidRPr="009F5460">
        <w:rPr>
          <w:rFonts w:ascii="Palatino Linotype" w:eastAsia="Palatino Linotype" w:hAnsi="Palatino Linotype" w:cs="Palatino Linotype"/>
          <w:sz w:val="22"/>
          <w:szCs w:val="22"/>
        </w:rPr>
        <w:t>, en contra de la respuesta a su solicitud de información con número de folio</w:t>
      </w:r>
      <w:r w:rsidRPr="009F5460">
        <w:rPr>
          <w:rFonts w:ascii="Palatino Linotype" w:eastAsia="Palatino Linotype" w:hAnsi="Palatino Linotype" w:cs="Palatino Linotype"/>
          <w:b/>
          <w:sz w:val="22"/>
          <w:szCs w:val="22"/>
        </w:rPr>
        <w:t xml:space="preserve"> </w:t>
      </w:r>
      <w:r w:rsidR="00CB5EBE" w:rsidRPr="009F5460">
        <w:rPr>
          <w:rFonts w:ascii="Palatino Linotype" w:eastAsia="Palatino Linotype" w:hAnsi="Palatino Linotype" w:cs="Palatino Linotype"/>
          <w:b/>
          <w:sz w:val="22"/>
          <w:szCs w:val="22"/>
        </w:rPr>
        <w:t>00312/TEMAMATL/IP/2024</w:t>
      </w:r>
      <w:r w:rsidRPr="009F5460">
        <w:rPr>
          <w:rFonts w:ascii="Palatino Linotype" w:eastAsia="Palatino Linotype" w:hAnsi="Palatino Linotype" w:cs="Palatino Linotype"/>
          <w:sz w:val="22"/>
          <w:szCs w:val="22"/>
        </w:rPr>
        <w:t>, por parte</w:t>
      </w:r>
      <w:r w:rsidR="00934FFB" w:rsidRPr="009F5460">
        <w:rPr>
          <w:rFonts w:ascii="Palatino Linotype" w:eastAsia="Palatino Linotype" w:hAnsi="Palatino Linotype" w:cs="Palatino Linotype"/>
          <w:sz w:val="22"/>
          <w:szCs w:val="22"/>
        </w:rPr>
        <w:t xml:space="preserve"> del</w:t>
      </w:r>
      <w:r w:rsidRPr="009F5460">
        <w:rPr>
          <w:rFonts w:ascii="Palatino Linotype" w:eastAsia="Palatino Linotype" w:hAnsi="Palatino Linotype" w:cs="Palatino Linotype"/>
          <w:sz w:val="22"/>
          <w:szCs w:val="22"/>
        </w:rPr>
        <w:t xml:space="preserve"> </w:t>
      </w:r>
      <w:r w:rsidR="00934FFB" w:rsidRPr="009F5460">
        <w:rPr>
          <w:rFonts w:ascii="Palatino Linotype" w:eastAsia="Palatino Linotype" w:hAnsi="Palatino Linotype" w:cs="Palatino Linotype"/>
          <w:b/>
          <w:sz w:val="22"/>
          <w:szCs w:val="22"/>
        </w:rPr>
        <w:t>Ayuntamiento de Temamatla</w:t>
      </w:r>
      <w:r w:rsidRPr="009F5460">
        <w:rPr>
          <w:rFonts w:ascii="Palatino Linotype" w:eastAsia="Palatino Linotype" w:hAnsi="Palatino Linotype" w:cs="Palatino Linotype"/>
          <w:b/>
          <w:sz w:val="22"/>
          <w:szCs w:val="22"/>
        </w:rPr>
        <w:t xml:space="preserve"> </w:t>
      </w:r>
      <w:r w:rsidRPr="009F5460">
        <w:rPr>
          <w:rFonts w:ascii="Palatino Linotype" w:eastAsia="Palatino Linotype" w:hAnsi="Palatino Linotype" w:cs="Palatino Linotype"/>
          <w:sz w:val="22"/>
          <w:szCs w:val="22"/>
        </w:rPr>
        <w:t xml:space="preserve">en lo sucesivo el </w:t>
      </w:r>
      <w:r w:rsidRPr="009F5460">
        <w:rPr>
          <w:rFonts w:ascii="Palatino Linotype" w:eastAsia="Palatino Linotype" w:hAnsi="Palatino Linotype" w:cs="Palatino Linotype"/>
          <w:b/>
          <w:sz w:val="22"/>
          <w:szCs w:val="22"/>
        </w:rPr>
        <w:t>SUJETO OBLIGADO</w:t>
      </w:r>
      <w:r w:rsidRPr="009F5460">
        <w:rPr>
          <w:rFonts w:ascii="Palatino Linotype" w:eastAsia="Palatino Linotype" w:hAnsi="Palatino Linotype" w:cs="Palatino Linotype"/>
          <w:sz w:val="22"/>
          <w:szCs w:val="22"/>
        </w:rPr>
        <w:t>;</w:t>
      </w:r>
      <w:r w:rsidRPr="009F5460">
        <w:rPr>
          <w:rFonts w:ascii="Palatino Linotype" w:eastAsia="Palatino Linotype" w:hAnsi="Palatino Linotype" w:cs="Palatino Linotype"/>
          <w:b/>
          <w:sz w:val="22"/>
          <w:szCs w:val="22"/>
        </w:rPr>
        <w:t xml:space="preserve"> </w:t>
      </w:r>
      <w:r w:rsidRPr="009F5460">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9F5460" w:rsidRDefault="003A5BF3" w:rsidP="00934FFB">
      <w:pPr>
        <w:spacing w:line="360" w:lineRule="auto"/>
        <w:jc w:val="center"/>
        <w:rPr>
          <w:rFonts w:ascii="Palatino Linotype" w:eastAsia="Palatino Linotype" w:hAnsi="Palatino Linotype" w:cs="Palatino Linotype"/>
          <w:sz w:val="22"/>
          <w:szCs w:val="22"/>
        </w:rPr>
      </w:pPr>
    </w:p>
    <w:p w14:paraId="4DB5A613" w14:textId="77777777" w:rsidR="003A5BF3" w:rsidRPr="009F5460" w:rsidRDefault="00B830DD" w:rsidP="00934F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A N T E C E D E N T E S:</w:t>
      </w:r>
    </w:p>
    <w:p w14:paraId="4CB0FBCC" w14:textId="77777777" w:rsidR="003A5BF3" w:rsidRPr="009F5460"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3CB8933B" w14:textId="5B31C9A1" w:rsidR="003A5BF3" w:rsidRPr="009F5460" w:rsidRDefault="00B830DD" w:rsidP="00C9447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 xml:space="preserve">Solicitud de acceso a la información. </w:t>
      </w:r>
      <w:r w:rsidRPr="009F5460">
        <w:rPr>
          <w:rFonts w:ascii="Palatino Linotype" w:eastAsia="Palatino Linotype" w:hAnsi="Palatino Linotype" w:cs="Palatino Linotype"/>
          <w:color w:val="000000"/>
          <w:sz w:val="22"/>
          <w:szCs w:val="22"/>
        </w:rPr>
        <w:t xml:space="preserve">Con fecha </w:t>
      </w:r>
      <w:r w:rsidR="00CB5EBE" w:rsidRPr="009F5460">
        <w:rPr>
          <w:rFonts w:ascii="Palatino Linotype" w:eastAsia="Palatino Linotype" w:hAnsi="Palatino Linotype" w:cs="Palatino Linotype"/>
          <w:b/>
          <w:color w:val="000000"/>
          <w:sz w:val="22"/>
          <w:szCs w:val="22"/>
        </w:rPr>
        <w:t>veinticinco</w:t>
      </w:r>
      <w:r w:rsidR="00934FFB" w:rsidRPr="009F5460">
        <w:rPr>
          <w:rFonts w:ascii="Palatino Linotype" w:eastAsia="Palatino Linotype" w:hAnsi="Palatino Linotype" w:cs="Palatino Linotype"/>
          <w:b/>
          <w:color w:val="000000"/>
          <w:sz w:val="22"/>
          <w:szCs w:val="22"/>
        </w:rPr>
        <w:t xml:space="preserve"> </w:t>
      </w:r>
      <w:r w:rsidRPr="009F5460">
        <w:rPr>
          <w:rFonts w:ascii="Palatino Linotype" w:eastAsia="Palatino Linotype" w:hAnsi="Palatino Linotype" w:cs="Palatino Linotype"/>
          <w:b/>
          <w:color w:val="000000"/>
          <w:sz w:val="22"/>
          <w:szCs w:val="22"/>
        </w:rPr>
        <w:t xml:space="preserve">de </w:t>
      </w:r>
      <w:r w:rsidR="00CB5EBE" w:rsidRPr="009F5460">
        <w:rPr>
          <w:rFonts w:ascii="Palatino Linotype" w:eastAsia="Palatino Linotype" w:hAnsi="Palatino Linotype" w:cs="Palatino Linotype"/>
          <w:b/>
          <w:color w:val="000000"/>
          <w:sz w:val="22"/>
          <w:szCs w:val="22"/>
        </w:rPr>
        <w:t>septiembre</w:t>
      </w:r>
      <w:r w:rsidRPr="009F5460">
        <w:rPr>
          <w:rFonts w:ascii="Palatino Linotype" w:eastAsia="Palatino Linotype" w:hAnsi="Palatino Linotype" w:cs="Palatino Linotype"/>
          <w:b/>
          <w:color w:val="000000"/>
          <w:sz w:val="22"/>
          <w:szCs w:val="22"/>
        </w:rPr>
        <w:t xml:space="preserve"> de dos mil veinticuatro</w:t>
      </w:r>
      <w:r w:rsidRPr="009F5460">
        <w:rPr>
          <w:rFonts w:ascii="Palatino Linotype" w:eastAsia="Palatino Linotype" w:hAnsi="Palatino Linotype" w:cs="Palatino Linotype"/>
          <w:color w:val="000000"/>
          <w:sz w:val="22"/>
          <w:szCs w:val="22"/>
        </w:rPr>
        <w:t xml:space="preserve">, la parte </w:t>
      </w:r>
      <w:r w:rsidRPr="009F5460">
        <w:rPr>
          <w:rFonts w:ascii="Palatino Linotype" w:eastAsia="Palatino Linotype" w:hAnsi="Palatino Linotype" w:cs="Palatino Linotype"/>
          <w:b/>
          <w:color w:val="000000"/>
          <w:sz w:val="22"/>
          <w:szCs w:val="22"/>
        </w:rPr>
        <w:t>RECURRENTE</w:t>
      </w:r>
      <w:r w:rsidRPr="009F5460">
        <w:rPr>
          <w:rFonts w:ascii="Palatino Linotype" w:eastAsia="Palatino Linotype" w:hAnsi="Palatino Linotype" w:cs="Palatino Linotype"/>
          <w:color w:val="000000"/>
          <w:sz w:val="22"/>
          <w:szCs w:val="22"/>
        </w:rPr>
        <w:t xml:space="preserve"> formuló solicitud de acceso a información pública al </w:t>
      </w:r>
      <w:r w:rsidRPr="009F5460">
        <w:rPr>
          <w:rFonts w:ascii="Palatino Linotype" w:eastAsia="Palatino Linotype" w:hAnsi="Palatino Linotype" w:cs="Palatino Linotype"/>
          <w:b/>
          <w:color w:val="000000"/>
          <w:sz w:val="22"/>
          <w:szCs w:val="22"/>
        </w:rPr>
        <w:t>SUJETO OBLIGADO</w:t>
      </w:r>
      <w:r w:rsidRPr="009F5460">
        <w:rPr>
          <w:rFonts w:ascii="Palatino Linotype" w:eastAsia="Palatino Linotype" w:hAnsi="Palatino Linotype" w:cs="Palatino Linotype"/>
          <w:color w:val="000000"/>
          <w:sz w:val="22"/>
          <w:szCs w:val="22"/>
        </w:rPr>
        <w:t xml:space="preserve"> a través del Sistema de Acceso a la Información Mexiquense, en adelante </w:t>
      </w:r>
      <w:r w:rsidRPr="009F5460">
        <w:rPr>
          <w:rFonts w:ascii="Palatino Linotype" w:eastAsia="Palatino Linotype" w:hAnsi="Palatino Linotype" w:cs="Palatino Linotype"/>
          <w:b/>
          <w:color w:val="000000"/>
          <w:sz w:val="22"/>
          <w:szCs w:val="22"/>
        </w:rPr>
        <w:t>SAIMEX</w:t>
      </w:r>
      <w:r w:rsidRPr="009F5460">
        <w:rPr>
          <w:rFonts w:ascii="Palatino Linotype" w:eastAsia="Palatino Linotype" w:hAnsi="Palatino Linotype" w:cs="Palatino Linotype"/>
          <w:color w:val="000000"/>
          <w:sz w:val="22"/>
          <w:szCs w:val="22"/>
        </w:rPr>
        <w:t>; en la que requirió lo siguiente:</w:t>
      </w:r>
    </w:p>
    <w:p w14:paraId="0FF51B46" w14:textId="77777777" w:rsidR="003A5BF3" w:rsidRPr="009F5460"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92401EE" w14:textId="147102C1"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00CB5EBE" w:rsidRPr="009F5460">
        <w:rPr>
          <w:rFonts w:ascii="Palatino Linotype" w:eastAsia="Palatino Linotype" w:hAnsi="Palatino Linotype" w:cs="Palatino Linotype"/>
          <w:i/>
          <w:sz w:val="22"/>
          <w:szCs w:val="22"/>
        </w:rPr>
        <w:t xml:space="preserve">Cual </w:t>
      </w:r>
      <w:proofErr w:type="spellStart"/>
      <w:r w:rsidR="00CB5EBE" w:rsidRPr="009F5460">
        <w:rPr>
          <w:rFonts w:ascii="Palatino Linotype" w:eastAsia="Palatino Linotype" w:hAnsi="Palatino Linotype" w:cs="Palatino Linotype"/>
          <w:i/>
          <w:sz w:val="22"/>
          <w:szCs w:val="22"/>
        </w:rPr>
        <w:t>a</w:t>
      </w:r>
      <w:proofErr w:type="spellEnd"/>
      <w:r w:rsidR="00CB5EBE" w:rsidRPr="009F5460">
        <w:rPr>
          <w:rFonts w:ascii="Palatino Linotype" w:eastAsia="Palatino Linotype" w:hAnsi="Palatino Linotype" w:cs="Palatino Linotype"/>
          <w:i/>
          <w:sz w:val="22"/>
          <w:szCs w:val="22"/>
        </w:rPr>
        <w:t xml:space="preserve"> sido el monto mensual de gasto por concepto de logística en las diversas reuniones de trabajo de los servidores </w:t>
      </w:r>
      <w:proofErr w:type="spellStart"/>
      <w:proofErr w:type="gramStart"/>
      <w:r w:rsidR="00CB5EBE" w:rsidRPr="009F5460">
        <w:rPr>
          <w:rFonts w:ascii="Palatino Linotype" w:eastAsia="Palatino Linotype" w:hAnsi="Palatino Linotype" w:cs="Palatino Linotype"/>
          <w:i/>
          <w:sz w:val="22"/>
          <w:szCs w:val="22"/>
        </w:rPr>
        <w:t>publicos</w:t>
      </w:r>
      <w:proofErr w:type="spellEnd"/>
      <w:r w:rsidR="00CB5EBE" w:rsidRPr="009F5460">
        <w:rPr>
          <w:rFonts w:ascii="Palatino Linotype" w:eastAsia="Palatino Linotype" w:hAnsi="Palatino Linotype" w:cs="Palatino Linotype"/>
          <w:i/>
          <w:sz w:val="22"/>
          <w:szCs w:val="22"/>
        </w:rPr>
        <w:t xml:space="preserve"> ,</w:t>
      </w:r>
      <w:proofErr w:type="gramEnd"/>
      <w:r w:rsidR="00CB5EBE" w:rsidRPr="009F5460">
        <w:rPr>
          <w:rFonts w:ascii="Palatino Linotype" w:eastAsia="Palatino Linotype" w:hAnsi="Palatino Linotype" w:cs="Palatino Linotype"/>
          <w:i/>
          <w:sz w:val="22"/>
          <w:szCs w:val="22"/>
        </w:rPr>
        <w:t xml:space="preserve"> durante la administración 2022 2024, cual ha sido el proveedor o proveedores, requiero la información desglosada por mes , favor de adjuntar las pólizas de egresos por este concepto</w:t>
      </w:r>
      <w:r w:rsidRPr="009F5460">
        <w:rPr>
          <w:rFonts w:ascii="Palatino Linotype" w:eastAsia="Palatino Linotype" w:hAnsi="Palatino Linotype" w:cs="Palatino Linotype"/>
          <w:i/>
          <w:sz w:val="22"/>
          <w:szCs w:val="22"/>
        </w:rPr>
        <w:t>”</w:t>
      </w:r>
    </w:p>
    <w:p w14:paraId="056AD577" w14:textId="77777777" w:rsidR="003A5BF3" w:rsidRPr="009F5460" w:rsidRDefault="003A5BF3" w:rsidP="00C9447F">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Modalidad elegida para la entrega de la información: </w:t>
      </w:r>
      <w:r w:rsidRPr="009F5460">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36A54A25" w14:textId="4EC8B8D7" w:rsidR="003A5BF3" w:rsidRPr="009F5460" w:rsidRDefault="00B830DD" w:rsidP="00C9447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lastRenderedPageBreak/>
        <w:t xml:space="preserve">Respuesta. </w:t>
      </w:r>
      <w:r w:rsidRPr="009F5460">
        <w:rPr>
          <w:rFonts w:ascii="Palatino Linotype" w:eastAsia="Palatino Linotype" w:hAnsi="Palatino Linotype" w:cs="Palatino Linotype"/>
          <w:sz w:val="22"/>
          <w:szCs w:val="22"/>
        </w:rPr>
        <w:t xml:space="preserve">En fecha </w:t>
      </w:r>
      <w:r w:rsidR="00CB5EBE" w:rsidRPr="009F5460">
        <w:rPr>
          <w:rFonts w:ascii="Palatino Linotype" w:eastAsia="Palatino Linotype" w:hAnsi="Palatino Linotype" w:cs="Palatino Linotype"/>
          <w:b/>
          <w:sz w:val="22"/>
          <w:szCs w:val="22"/>
        </w:rPr>
        <w:t>diecisiete</w:t>
      </w:r>
      <w:r w:rsidRPr="009F5460">
        <w:rPr>
          <w:rFonts w:ascii="Palatino Linotype" w:eastAsia="Palatino Linotype" w:hAnsi="Palatino Linotype" w:cs="Palatino Linotype"/>
          <w:b/>
          <w:sz w:val="22"/>
          <w:szCs w:val="22"/>
        </w:rPr>
        <w:t xml:space="preserve"> de </w:t>
      </w:r>
      <w:r w:rsidR="00934FFB" w:rsidRPr="009F5460">
        <w:rPr>
          <w:rFonts w:ascii="Palatino Linotype" w:eastAsia="Palatino Linotype" w:hAnsi="Palatino Linotype" w:cs="Palatino Linotype"/>
          <w:b/>
          <w:sz w:val="22"/>
          <w:szCs w:val="22"/>
        </w:rPr>
        <w:t>octubre</w:t>
      </w:r>
      <w:r w:rsidRPr="009F5460">
        <w:rPr>
          <w:rFonts w:ascii="Palatino Linotype" w:eastAsia="Palatino Linotype" w:hAnsi="Palatino Linotype" w:cs="Palatino Linotype"/>
          <w:b/>
          <w:sz w:val="22"/>
          <w:szCs w:val="22"/>
        </w:rPr>
        <w:t xml:space="preserve"> de dos mil veinticuatro</w:t>
      </w:r>
      <w:r w:rsidRPr="009F5460">
        <w:rPr>
          <w:rFonts w:ascii="Palatino Linotype" w:eastAsia="Palatino Linotype" w:hAnsi="Palatino Linotype" w:cs="Palatino Linotype"/>
          <w:sz w:val="22"/>
          <w:szCs w:val="22"/>
        </w:rPr>
        <w:t xml:space="preserve"> se tuvo por presentada la respuesta,</w:t>
      </w:r>
      <w:r w:rsidRPr="009F5460">
        <w:rPr>
          <w:rFonts w:ascii="Palatino Linotype" w:eastAsia="Palatino Linotype" w:hAnsi="Palatino Linotype" w:cs="Palatino Linotype"/>
          <w:b/>
          <w:sz w:val="22"/>
          <w:szCs w:val="22"/>
        </w:rPr>
        <w:t xml:space="preserve"> </w:t>
      </w:r>
      <w:r w:rsidRPr="009F5460">
        <w:rPr>
          <w:rFonts w:ascii="Palatino Linotype" w:eastAsia="Palatino Linotype" w:hAnsi="Palatino Linotype" w:cs="Palatino Linotype"/>
          <w:sz w:val="22"/>
          <w:szCs w:val="22"/>
        </w:rPr>
        <w:t xml:space="preserve">mediante la cual el </w:t>
      </w:r>
      <w:r w:rsidRPr="009F5460">
        <w:rPr>
          <w:rFonts w:ascii="Palatino Linotype" w:eastAsia="Palatino Linotype" w:hAnsi="Palatino Linotype" w:cs="Palatino Linotype"/>
          <w:b/>
          <w:sz w:val="22"/>
          <w:szCs w:val="22"/>
        </w:rPr>
        <w:t xml:space="preserve">SUJETO OBLIGADO </w:t>
      </w:r>
      <w:r w:rsidRPr="009F5460">
        <w:rPr>
          <w:rFonts w:ascii="Palatino Linotype" w:eastAsia="Palatino Linotype" w:hAnsi="Palatino Linotype" w:cs="Palatino Linotype"/>
          <w:sz w:val="22"/>
          <w:szCs w:val="22"/>
        </w:rPr>
        <w:t>señaló de lo siguiente:</w:t>
      </w:r>
    </w:p>
    <w:p w14:paraId="7E1A2D21" w14:textId="77777777" w:rsidR="003A5BF3" w:rsidRPr="009F5460"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3340457A" w14:textId="77777777" w:rsidR="00716371" w:rsidRPr="009F5460" w:rsidRDefault="00716371" w:rsidP="0071637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B639C1" w14:textId="77777777" w:rsidR="00716371" w:rsidRPr="009F5460" w:rsidRDefault="00716371" w:rsidP="0071637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w:t>
      </w:r>
      <w:r w:rsidRPr="009F5460">
        <w:rPr>
          <w:rFonts w:ascii="Palatino Linotype" w:eastAsia="Palatino Linotype" w:hAnsi="Palatino Linotype" w:cs="Palatino Linotype"/>
          <w:i/>
          <w:color w:val="000000"/>
          <w:sz w:val="22"/>
          <w:szCs w:val="22"/>
        </w:rPr>
        <w:lastRenderedPageBreak/>
        <w:t xml:space="preserve">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9F5460">
        <w:rPr>
          <w:rFonts w:ascii="Palatino Linotype" w:eastAsia="Palatino Linotype" w:hAnsi="Palatino Linotype" w:cs="Palatino Linotype"/>
          <w:i/>
          <w:color w:val="000000"/>
          <w:sz w:val="22"/>
          <w:szCs w:val="22"/>
        </w:rPr>
        <w:t>MÉXICO .</w:t>
      </w:r>
      <w:proofErr w:type="gramEnd"/>
    </w:p>
    <w:p w14:paraId="40D27230" w14:textId="77777777" w:rsidR="00716371" w:rsidRPr="009F5460" w:rsidRDefault="00716371" w:rsidP="00716371">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lastRenderedPageBreak/>
        <w:t>ATENTAMENTE</w:t>
      </w:r>
    </w:p>
    <w:p w14:paraId="73AAEC8D" w14:textId="64736371" w:rsidR="00934FFB" w:rsidRPr="009F5460" w:rsidRDefault="00716371" w:rsidP="00716371">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i/>
          <w:color w:val="000000"/>
          <w:sz w:val="22"/>
          <w:szCs w:val="22"/>
        </w:rPr>
        <w:t xml:space="preserve">Lic. Derecho Claudia </w:t>
      </w:r>
      <w:proofErr w:type="spellStart"/>
      <w:r w:rsidRPr="009F5460">
        <w:rPr>
          <w:rFonts w:ascii="Palatino Linotype" w:eastAsia="Palatino Linotype" w:hAnsi="Palatino Linotype" w:cs="Palatino Linotype"/>
          <w:i/>
          <w:color w:val="000000"/>
          <w:sz w:val="22"/>
          <w:szCs w:val="22"/>
        </w:rPr>
        <w:t>Jimenéz</w:t>
      </w:r>
      <w:proofErr w:type="spellEnd"/>
      <w:r w:rsidRPr="009F5460">
        <w:rPr>
          <w:rFonts w:ascii="Palatino Linotype" w:eastAsia="Palatino Linotype" w:hAnsi="Palatino Linotype" w:cs="Palatino Linotype"/>
          <w:i/>
          <w:color w:val="000000"/>
          <w:sz w:val="22"/>
          <w:szCs w:val="22"/>
        </w:rPr>
        <w:t xml:space="preserve"> Maldonado</w:t>
      </w:r>
    </w:p>
    <w:p w14:paraId="008D24EF" w14:textId="77777777" w:rsidR="00DD299C" w:rsidRPr="009F5460" w:rsidRDefault="00DD299C" w:rsidP="00C9447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7A103F9C" w14:textId="09208EF4" w:rsidR="003A5BF3" w:rsidRPr="009F5460" w:rsidRDefault="00934FFB" w:rsidP="00C9447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Asimismo, adjuntó los</w:t>
      </w:r>
      <w:r w:rsidR="00B830DD" w:rsidRPr="009F5460">
        <w:rPr>
          <w:rFonts w:ascii="Palatino Linotype" w:eastAsia="Palatino Linotype" w:hAnsi="Palatino Linotype" w:cs="Palatino Linotype"/>
          <w:color w:val="000000"/>
          <w:sz w:val="22"/>
          <w:szCs w:val="22"/>
        </w:rPr>
        <w:t xml:space="preserve"> documento</w:t>
      </w:r>
      <w:r w:rsidRPr="009F5460">
        <w:rPr>
          <w:rFonts w:ascii="Palatino Linotype" w:eastAsia="Palatino Linotype" w:hAnsi="Palatino Linotype" w:cs="Palatino Linotype"/>
          <w:color w:val="000000"/>
          <w:sz w:val="22"/>
          <w:szCs w:val="22"/>
        </w:rPr>
        <w:t>s</w:t>
      </w:r>
      <w:r w:rsidR="00B830DD" w:rsidRPr="009F5460">
        <w:rPr>
          <w:rFonts w:ascii="Palatino Linotype" w:eastAsia="Palatino Linotype" w:hAnsi="Palatino Linotype" w:cs="Palatino Linotype"/>
          <w:color w:val="000000"/>
          <w:sz w:val="22"/>
          <w:szCs w:val="22"/>
        </w:rPr>
        <w:t xml:space="preserve"> electrónico</w:t>
      </w:r>
      <w:r w:rsidRPr="009F5460">
        <w:rPr>
          <w:rFonts w:ascii="Palatino Linotype" w:eastAsia="Palatino Linotype" w:hAnsi="Palatino Linotype" w:cs="Palatino Linotype"/>
          <w:color w:val="000000"/>
          <w:sz w:val="22"/>
          <w:szCs w:val="22"/>
        </w:rPr>
        <w:t>s siguientes:</w:t>
      </w:r>
    </w:p>
    <w:p w14:paraId="5C652D18" w14:textId="77777777" w:rsidR="003A5BF3" w:rsidRPr="009F5460" w:rsidRDefault="003A5BF3" w:rsidP="00C9447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39BAD53F" w14:textId="126C9209" w:rsidR="00716371" w:rsidRPr="009F5460" w:rsidRDefault="00716371" w:rsidP="00934FFB">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 xml:space="preserve">SOL_00312.pdf: </w:t>
      </w:r>
      <w:r w:rsidRPr="009F5460">
        <w:rPr>
          <w:rFonts w:ascii="Palatino Linotype" w:eastAsia="Palatino Linotype" w:hAnsi="Palatino Linotype" w:cs="Palatino Linotype"/>
          <w:color w:val="000000"/>
          <w:sz w:val="22"/>
          <w:szCs w:val="22"/>
        </w:rPr>
        <w:t>Oficio signado por la Tesorera Municipal, mediante el cual entregó una dirección electrónica que dirige a la página oficial, donde se localizan los estados comparativos de egresos.</w:t>
      </w:r>
    </w:p>
    <w:p w14:paraId="750BB20F" w14:textId="5462FD18" w:rsidR="00716371" w:rsidRPr="009F5460" w:rsidRDefault="00716371" w:rsidP="00934FFB">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FF0000"/>
          <w:sz w:val="22"/>
          <w:szCs w:val="22"/>
        </w:rPr>
      </w:pPr>
      <w:r w:rsidRPr="009F5460">
        <w:rPr>
          <w:rFonts w:ascii="Palatino Linotype" w:eastAsia="Palatino Linotype" w:hAnsi="Palatino Linotype" w:cs="Palatino Linotype"/>
          <w:b/>
          <w:color w:val="000000"/>
          <w:sz w:val="22"/>
          <w:szCs w:val="22"/>
        </w:rPr>
        <w:t xml:space="preserve">ACTA.pdf: </w:t>
      </w:r>
      <w:r w:rsidR="00286304" w:rsidRPr="009F5460">
        <w:rPr>
          <w:rFonts w:ascii="Palatino Linotype" w:eastAsia="Palatino Linotype" w:hAnsi="Palatino Linotype" w:cs="Palatino Linotype"/>
          <w:color w:val="000000"/>
          <w:sz w:val="22"/>
          <w:szCs w:val="22"/>
        </w:rPr>
        <w:t>Documento que se adjuntó dos veces que contiene el A</w:t>
      </w:r>
      <w:r w:rsidRPr="009F5460">
        <w:rPr>
          <w:rFonts w:ascii="Palatino Linotype" w:eastAsia="Palatino Linotype" w:hAnsi="Palatino Linotype" w:cs="Palatino Linotype"/>
          <w:color w:val="000000"/>
          <w:sz w:val="22"/>
          <w:szCs w:val="22"/>
        </w:rPr>
        <w:t>cta del Comité de Transparencia de la Octogésima Tercera Sesión Ordinaria en el que se enlistan diversas solicitudes de acceso a la información</w:t>
      </w:r>
      <w:r w:rsidR="00286304" w:rsidRPr="009F5460">
        <w:rPr>
          <w:rFonts w:ascii="Palatino Linotype" w:eastAsia="Palatino Linotype" w:hAnsi="Palatino Linotype" w:cs="Palatino Linotype"/>
          <w:color w:val="000000"/>
          <w:sz w:val="22"/>
          <w:szCs w:val="22"/>
        </w:rPr>
        <w:t xml:space="preserve">, entre las que se encuentra la solicitud </w:t>
      </w:r>
      <w:r w:rsidR="00286304" w:rsidRPr="009F5460">
        <w:rPr>
          <w:rFonts w:ascii="Palatino Linotype" w:eastAsia="Palatino Linotype" w:hAnsi="Palatino Linotype" w:cs="Palatino Linotype"/>
          <w:b/>
          <w:color w:val="000000"/>
          <w:sz w:val="22"/>
          <w:szCs w:val="22"/>
        </w:rPr>
        <w:t>00312/TEMAMATL/IP/2024</w:t>
      </w:r>
      <w:r w:rsidR="00286304" w:rsidRPr="009F5460">
        <w:rPr>
          <w:rFonts w:ascii="Palatino Linotype" w:eastAsia="Palatino Linotype" w:hAnsi="Palatino Linotype" w:cs="Palatino Linotype"/>
          <w:color w:val="000000"/>
          <w:sz w:val="22"/>
          <w:szCs w:val="22"/>
        </w:rPr>
        <w:t xml:space="preserve">, donde </w:t>
      </w:r>
      <w:r w:rsidRPr="009F5460">
        <w:rPr>
          <w:rFonts w:ascii="Palatino Linotype" w:eastAsia="Palatino Linotype" w:hAnsi="Palatino Linotype" w:cs="Palatino Linotype"/>
          <w:color w:val="000000"/>
          <w:sz w:val="22"/>
          <w:szCs w:val="22"/>
        </w:rPr>
        <w:t>se aprobó el cambio de modalidad</w:t>
      </w:r>
      <w:r w:rsidRPr="009F5460">
        <w:rPr>
          <w:rFonts w:ascii="Palatino Linotype" w:eastAsia="Palatino Linotype" w:hAnsi="Palatino Linotype" w:cs="Palatino Linotype"/>
          <w:b/>
          <w:color w:val="000000"/>
          <w:sz w:val="22"/>
          <w:szCs w:val="22"/>
        </w:rPr>
        <w:t xml:space="preserve"> </w:t>
      </w:r>
      <w:r w:rsidRPr="009F5460">
        <w:rPr>
          <w:rFonts w:ascii="Palatino Linotype" w:eastAsia="Palatino Linotype" w:hAnsi="Palatino Linotype" w:cs="Palatino Linotype"/>
          <w:color w:val="000000"/>
          <w:sz w:val="22"/>
          <w:szCs w:val="22"/>
        </w:rPr>
        <w:t>a consulta directa.</w:t>
      </w:r>
      <w:r w:rsidR="00BB1B0B" w:rsidRPr="009F5460">
        <w:rPr>
          <w:rFonts w:ascii="Palatino Linotype" w:eastAsia="Palatino Linotype" w:hAnsi="Palatino Linotype" w:cs="Palatino Linotype"/>
          <w:color w:val="000000"/>
          <w:sz w:val="22"/>
          <w:szCs w:val="22"/>
        </w:rPr>
        <w:t xml:space="preserve"> </w:t>
      </w:r>
    </w:p>
    <w:p w14:paraId="34F858DC" w14:textId="77777777" w:rsidR="003A5BF3" w:rsidRPr="009F5460" w:rsidRDefault="003A5BF3" w:rsidP="00C9447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675BB3A" w14:textId="6C93BB32" w:rsidR="003A5BF3" w:rsidRPr="009F5460" w:rsidRDefault="00B830DD" w:rsidP="00C9447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rPr>
        <w:t xml:space="preserve">Interposición del recurso de revisión. </w:t>
      </w:r>
      <w:r w:rsidRPr="009F5460">
        <w:rPr>
          <w:rFonts w:ascii="Palatino Linotype" w:eastAsia="Palatino Linotype" w:hAnsi="Palatino Linotype" w:cs="Palatino Linotype"/>
          <w:color w:val="000000"/>
          <w:sz w:val="22"/>
          <w:szCs w:val="22"/>
        </w:rPr>
        <w:t xml:space="preserve">Inconforme con la respuesta del </w:t>
      </w:r>
      <w:r w:rsidRPr="009F5460">
        <w:rPr>
          <w:rFonts w:ascii="Palatino Linotype" w:eastAsia="Palatino Linotype" w:hAnsi="Palatino Linotype" w:cs="Palatino Linotype"/>
          <w:b/>
          <w:color w:val="000000"/>
          <w:sz w:val="22"/>
          <w:szCs w:val="22"/>
        </w:rPr>
        <w:t>SUJETO OBLIGADO el ahora RECURRENTE</w:t>
      </w:r>
      <w:r w:rsidRPr="009F5460">
        <w:rPr>
          <w:rFonts w:ascii="Palatino Linotype" w:eastAsia="Palatino Linotype" w:hAnsi="Palatino Linotype" w:cs="Palatino Linotype"/>
          <w:color w:val="000000"/>
          <w:sz w:val="22"/>
          <w:szCs w:val="22"/>
        </w:rPr>
        <w:t xml:space="preserve"> interpuso recurso de revisión a través del SAIMEX en fecha </w:t>
      </w:r>
      <w:r w:rsidR="00337389" w:rsidRPr="009F5460">
        <w:rPr>
          <w:rFonts w:ascii="Palatino Linotype" w:eastAsia="Palatino Linotype" w:hAnsi="Palatino Linotype" w:cs="Palatino Linotype"/>
          <w:b/>
          <w:color w:val="000000"/>
          <w:sz w:val="22"/>
          <w:szCs w:val="22"/>
        </w:rPr>
        <w:t>veinti</w:t>
      </w:r>
      <w:r w:rsidR="00716371" w:rsidRPr="009F5460">
        <w:rPr>
          <w:rFonts w:ascii="Palatino Linotype" w:eastAsia="Palatino Linotype" w:hAnsi="Palatino Linotype" w:cs="Palatino Linotype"/>
          <w:b/>
          <w:color w:val="000000"/>
          <w:sz w:val="22"/>
          <w:szCs w:val="22"/>
        </w:rPr>
        <w:t>trés</w:t>
      </w:r>
      <w:r w:rsidRPr="009F5460">
        <w:rPr>
          <w:rFonts w:ascii="Palatino Linotype" w:eastAsia="Palatino Linotype" w:hAnsi="Palatino Linotype" w:cs="Palatino Linotype"/>
          <w:color w:val="000000"/>
          <w:sz w:val="22"/>
          <w:szCs w:val="22"/>
        </w:rPr>
        <w:t xml:space="preserve"> </w:t>
      </w:r>
      <w:r w:rsidRPr="009F5460">
        <w:rPr>
          <w:rFonts w:ascii="Palatino Linotype" w:eastAsia="Palatino Linotype" w:hAnsi="Palatino Linotype" w:cs="Palatino Linotype"/>
          <w:b/>
          <w:color w:val="000000"/>
          <w:sz w:val="22"/>
          <w:szCs w:val="22"/>
        </w:rPr>
        <w:t xml:space="preserve">de </w:t>
      </w:r>
      <w:r w:rsidR="00337389" w:rsidRPr="009F5460">
        <w:rPr>
          <w:rFonts w:ascii="Palatino Linotype" w:eastAsia="Palatino Linotype" w:hAnsi="Palatino Linotype" w:cs="Palatino Linotype"/>
          <w:b/>
          <w:color w:val="000000"/>
          <w:sz w:val="22"/>
          <w:szCs w:val="22"/>
        </w:rPr>
        <w:t>octubre</w:t>
      </w:r>
      <w:r w:rsidRPr="009F5460">
        <w:rPr>
          <w:rFonts w:ascii="Palatino Linotype" w:eastAsia="Palatino Linotype" w:hAnsi="Palatino Linotype" w:cs="Palatino Linotype"/>
          <w:b/>
          <w:color w:val="000000"/>
          <w:sz w:val="22"/>
          <w:szCs w:val="22"/>
        </w:rPr>
        <w:t xml:space="preserve"> de dos mil veinticuatro;</w:t>
      </w:r>
      <w:r w:rsidRPr="009F5460">
        <w:rPr>
          <w:rFonts w:ascii="Palatino Linotype" w:eastAsia="Palatino Linotype" w:hAnsi="Palatino Linotype" w:cs="Palatino Linotype"/>
          <w:color w:val="000000"/>
          <w:sz w:val="22"/>
          <w:szCs w:val="22"/>
        </w:rPr>
        <w:t xml:space="preserve"> a través del cual expresó lo siguiente:</w:t>
      </w:r>
    </w:p>
    <w:p w14:paraId="5D9C6899" w14:textId="77777777" w:rsidR="003A5BF3" w:rsidRPr="009F5460" w:rsidRDefault="003A5BF3" w:rsidP="00C9447F">
      <w:pPr>
        <w:spacing w:line="360" w:lineRule="auto"/>
        <w:ind w:right="49"/>
        <w:jc w:val="both"/>
        <w:rPr>
          <w:rFonts w:ascii="Palatino Linotype" w:eastAsia="Palatino Linotype" w:hAnsi="Palatino Linotype" w:cs="Palatino Linotype"/>
          <w:sz w:val="22"/>
          <w:szCs w:val="22"/>
        </w:rPr>
      </w:pPr>
    </w:p>
    <w:p w14:paraId="5465AF31" w14:textId="0A1385AD" w:rsidR="003A5BF3" w:rsidRPr="009F5460" w:rsidRDefault="00B830DD" w:rsidP="00C9447F">
      <w:pPr>
        <w:spacing w:line="360" w:lineRule="auto"/>
        <w:ind w:left="567" w:right="90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color w:val="000000"/>
          <w:sz w:val="22"/>
          <w:szCs w:val="22"/>
        </w:rPr>
        <w:t xml:space="preserve">Acto impugnado. </w:t>
      </w:r>
      <w:r w:rsidRPr="009F5460">
        <w:rPr>
          <w:rFonts w:ascii="Palatino Linotype" w:eastAsia="Palatino Linotype" w:hAnsi="Palatino Linotype" w:cs="Palatino Linotype"/>
          <w:i/>
          <w:color w:val="000000"/>
          <w:sz w:val="22"/>
          <w:szCs w:val="22"/>
        </w:rPr>
        <w:t>“</w:t>
      </w:r>
      <w:r w:rsidR="00804D7B" w:rsidRPr="009F5460">
        <w:rPr>
          <w:rFonts w:ascii="Palatino Linotype" w:eastAsia="Palatino Linotype" w:hAnsi="Palatino Linotype" w:cs="Palatino Linotype"/>
          <w:i/>
          <w:color w:val="000000"/>
          <w:sz w:val="22"/>
          <w:szCs w:val="22"/>
        </w:rPr>
        <w:t>RESPUESTA OTORGADA</w:t>
      </w:r>
      <w:r w:rsidRPr="009F5460">
        <w:rPr>
          <w:rFonts w:ascii="Palatino Linotype" w:eastAsia="Palatino Linotype" w:hAnsi="Palatino Linotype" w:cs="Palatino Linotype"/>
          <w:i/>
          <w:color w:val="000000"/>
          <w:sz w:val="22"/>
          <w:szCs w:val="22"/>
        </w:rPr>
        <w:t xml:space="preserve">”. </w:t>
      </w:r>
    </w:p>
    <w:p w14:paraId="5BFEBD12" w14:textId="77777777" w:rsidR="003A5BF3" w:rsidRPr="009F5460" w:rsidRDefault="003A5BF3" w:rsidP="00C9447F">
      <w:pPr>
        <w:spacing w:line="360" w:lineRule="auto"/>
        <w:ind w:left="567" w:right="900"/>
        <w:jc w:val="both"/>
        <w:rPr>
          <w:rFonts w:ascii="Palatino Linotype" w:eastAsia="Palatino Linotype" w:hAnsi="Palatino Linotype" w:cs="Palatino Linotype"/>
          <w:b/>
          <w:color w:val="000000"/>
          <w:sz w:val="22"/>
          <w:szCs w:val="22"/>
        </w:rPr>
      </w:pPr>
    </w:p>
    <w:p w14:paraId="56A84650" w14:textId="05D95059" w:rsidR="003A5BF3" w:rsidRPr="009F5460" w:rsidRDefault="00B830DD" w:rsidP="00804D7B">
      <w:pPr>
        <w:ind w:left="567" w:right="616"/>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color w:val="000000"/>
          <w:sz w:val="22"/>
          <w:szCs w:val="22"/>
        </w:rPr>
        <w:t xml:space="preserve">Motivos de inconformidad. </w:t>
      </w:r>
      <w:r w:rsidRPr="009F5460">
        <w:rPr>
          <w:rFonts w:ascii="Palatino Linotype" w:eastAsia="Palatino Linotype" w:hAnsi="Palatino Linotype" w:cs="Palatino Linotype"/>
          <w:b/>
          <w:i/>
          <w:color w:val="000000"/>
          <w:sz w:val="22"/>
          <w:szCs w:val="22"/>
        </w:rPr>
        <w:t>“</w:t>
      </w:r>
      <w:r w:rsidR="00804D7B" w:rsidRPr="009F5460">
        <w:rPr>
          <w:rFonts w:ascii="Palatino Linotype" w:hAnsi="Palatino Linotype"/>
          <w:i/>
          <w:sz w:val="22"/>
          <w:szCs w:val="14"/>
        </w:rPr>
        <w:t>EL SUJETO OBLIGADO REFIERE EN SU RESPUESTA UNA LIGA PARA LA CONSULTA DE LA INFORMACION SIN EMBARGO EN SU PLATAFORMA NO SE ENCUENTRA LA INFORMACION DE MANERA ESPECIFICA DEACUERDO A MI SOLICITUD LA INFORMACION ES GLOBAL Y GENERALIZADA, NI TAMPOCO SE ENCUENTRAN LAS POLIZAS DE LA INFORMACION SOLICITADA</w:t>
      </w:r>
      <w:r w:rsidRPr="009F5460">
        <w:rPr>
          <w:rFonts w:ascii="Palatino Linotype" w:eastAsia="Palatino Linotype" w:hAnsi="Palatino Linotype" w:cs="Palatino Linotype"/>
          <w:b/>
          <w:i/>
          <w:color w:val="000000"/>
          <w:sz w:val="22"/>
          <w:szCs w:val="22"/>
        </w:rPr>
        <w:t>”</w:t>
      </w:r>
      <w:r w:rsidRPr="009F5460">
        <w:rPr>
          <w:rFonts w:ascii="Palatino Linotype" w:eastAsia="Palatino Linotype" w:hAnsi="Palatino Linotype" w:cs="Palatino Linotype"/>
          <w:i/>
          <w:color w:val="000000"/>
          <w:sz w:val="22"/>
          <w:szCs w:val="22"/>
        </w:rPr>
        <w:t>.</w:t>
      </w:r>
    </w:p>
    <w:p w14:paraId="109E3EB0" w14:textId="77777777" w:rsidR="003A5BF3" w:rsidRPr="009F5460" w:rsidRDefault="003A5BF3" w:rsidP="00C9447F">
      <w:pPr>
        <w:spacing w:line="360" w:lineRule="auto"/>
        <w:ind w:left="567" w:right="900"/>
        <w:jc w:val="both"/>
        <w:rPr>
          <w:rFonts w:ascii="Palatino Linotype" w:eastAsia="Palatino Linotype" w:hAnsi="Palatino Linotype" w:cs="Palatino Linotype"/>
          <w:i/>
          <w:color w:val="000000"/>
          <w:sz w:val="22"/>
          <w:szCs w:val="22"/>
        </w:rPr>
      </w:pPr>
    </w:p>
    <w:p w14:paraId="21D78E53" w14:textId="70DB149A" w:rsidR="003A5BF3" w:rsidRPr="009F5460"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rPr>
        <w:lastRenderedPageBreak/>
        <w:t xml:space="preserve">Turno. </w:t>
      </w:r>
      <w:r w:rsidRPr="009F5460">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00CB5EBE" w:rsidRPr="009F5460">
        <w:rPr>
          <w:rFonts w:ascii="Palatino Linotype" w:eastAsia="Palatino Linotype" w:hAnsi="Palatino Linotype" w:cs="Palatino Linotype"/>
          <w:b/>
          <w:sz w:val="22"/>
          <w:szCs w:val="22"/>
        </w:rPr>
        <w:t>06594/INFOEM/IP/RR/2024</w:t>
      </w:r>
      <w:r w:rsidRPr="009F5460">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9F5460">
        <w:rPr>
          <w:rFonts w:ascii="Palatino Linotype" w:eastAsia="Palatino Linotype" w:hAnsi="Palatino Linotype" w:cs="Palatino Linotype"/>
          <w:b/>
          <w:color w:val="000000"/>
          <w:sz w:val="22"/>
          <w:szCs w:val="22"/>
        </w:rPr>
        <w:t>Guadalupe Ramírez Peña</w:t>
      </w:r>
      <w:r w:rsidRPr="009F5460">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657BDC51" w14:textId="77777777" w:rsidR="003A5BF3" w:rsidRPr="009F5460"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BC00B48" w14:textId="65CA47DA" w:rsidR="00064692" w:rsidRPr="009F5460"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0" w:name="_heading=h.gjdgxs" w:colFirst="0" w:colLast="0"/>
      <w:bookmarkEnd w:id="0"/>
      <w:r w:rsidRPr="009F5460">
        <w:rPr>
          <w:rFonts w:ascii="Palatino Linotype" w:eastAsia="Palatino Linotype" w:hAnsi="Palatino Linotype" w:cs="Palatino Linotype"/>
          <w:b/>
          <w:color w:val="000000"/>
          <w:sz w:val="22"/>
          <w:szCs w:val="22"/>
        </w:rPr>
        <w:t xml:space="preserve">Admisión del recurso de revisión: </w:t>
      </w:r>
      <w:r w:rsidRPr="009F5460">
        <w:rPr>
          <w:rFonts w:ascii="Palatino Linotype" w:eastAsia="Palatino Linotype" w:hAnsi="Palatino Linotype" w:cs="Palatino Linotype"/>
          <w:color w:val="000000"/>
          <w:sz w:val="22"/>
          <w:szCs w:val="22"/>
        </w:rPr>
        <w:t xml:space="preserve">En fecha </w:t>
      </w:r>
      <w:r w:rsidR="00A744F2" w:rsidRPr="009F5460">
        <w:rPr>
          <w:rFonts w:ascii="Palatino Linotype" w:eastAsia="Palatino Linotype" w:hAnsi="Palatino Linotype" w:cs="Palatino Linotype"/>
          <w:b/>
          <w:color w:val="000000"/>
          <w:sz w:val="22"/>
          <w:szCs w:val="22"/>
        </w:rPr>
        <w:t>veintiocho de octubre</w:t>
      </w:r>
      <w:r w:rsidRPr="009F5460">
        <w:rPr>
          <w:rFonts w:ascii="Palatino Linotype" w:eastAsia="Palatino Linotype" w:hAnsi="Palatino Linotype" w:cs="Palatino Linotype"/>
          <w:b/>
          <w:color w:val="000000"/>
          <w:sz w:val="22"/>
          <w:szCs w:val="22"/>
        </w:rPr>
        <w:t xml:space="preserve"> de dos mil veinticuatro</w:t>
      </w:r>
      <w:r w:rsidRPr="009F5460">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F5460">
        <w:rPr>
          <w:rFonts w:ascii="Palatino Linotype" w:eastAsia="Palatino Linotype" w:hAnsi="Palatino Linotype" w:cs="Palatino Linotype"/>
          <w:b/>
          <w:color w:val="000000"/>
          <w:sz w:val="22"/>
          <w:szCs w:val="22"/>
        </w:rPr>
        <w:t>SUJETO OBLIGADO</w:t>
      </w:r>
      <w:r w:rsidRPr="009F5460">
        <w:rPr>
          <w:rFonts w:ascii="Palatino Linotype" w:eastAsia="Palatino Linotype" w:hAnsi="Palatino Linotype" w:cs="Palatino Linotype"/>
          <w:color w:val="000000"/>
          <w:sz w:val="22"/>
          <w:szCs w:val="22"/>
        </w:rPr>
        <w:t xml:space="preserve"> presentara su informe justificado.</w:t>
      </w:r>
    </w:p>
    <w:p w14:paraId="5A37FBF9" w14:textId="77777777" w:rsidR="005D281C" w:rsidRPr="009F5460" w:rsidRDefault="005D281C" w:rsidP="005D281C">
      <w:pPr>
        <w:pStyle w:val="Prrafodelista"/>
        <w:rPr>
          <w:rFonts w:ascii="Palatino Linotype" w:eastAsia="Palatino Linotype" w:hAnsi="Palatino Linotype" w:cs="Palatino Linotype"/>
          <w:color w:val="000000"/>
        </w:rPr>
      </w:pPr>
    </w:p>
    <w:p w14:paraId="18401F38" w14:textId="39514A29" w:rsidR="004E3676" w:rsidRPr="009F5460" w:rsidRDefault="004E3676"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 xml:space="preserve">Requerimiento de Información Adicional: </w:t>
      </w:r>
      <w:r w:rsidR="00F37855" w:rsidRPr="009F5460">
        <w:rPr>
          <w:rFonts w:ascii="Palatino Linotype" w:eastAsia="Palatino Linotype" w:hAnsi="Palatino Linotype" w:cs="Palatino Linotype"/>
          <w:color w:val="000000"/>
          <w:sz w:val="22"/>
          <w:szCs w:val="22"/>
        </w:rPr>
        <w:t>El veinte de noviembre de dos mil veinticuatro vía correo electrónico se envió un requerimiento de información adicional a efecto de que el Sujeto Obligado aporte mayores elementos para determinar si es procedente el cambio de modalidad referido en respuesta</w:t>
      </w:r>
      <w:r w:rsidR="00BA3BE9" w:rsidRPr="009F5460">
        <w:rPr>
          <w:rFonts w:ascii="Palatino Linotype" w:eastAsia="Palatino Linotype" w:hAnsi="Palatino Linotype" w:cs="Palatino Linotype"/>
          <w:color w:val="000000"/>
          <w:sz w:val="22"/>
          <w:szCs w:val="22"/>
        </w:rPr>
        <w:t>, por el Comité de Transparencia.</w:t>
      </w:r>
    </w:p>
    <w:p w14:paraId="7D9739B3" w14:textId="77777777" w:rsidR="00BA3BE9" w:rsidRPr="009F5460" w:rsidRDefault="00BA3BE9" w:rsidP="00BA3BE9">
      <w:pPr>
        <w:pStyle w:val="Prrafodelista"/>
        <w:rPr>
          <w:rFonts w:ascii="Palatino Linotype" w:eastAsia="Palatino Linotype" w:hAnsi="Palatino Linotype" w:cs="Palatino Linotype"/>
          <w:b/>
          <w:color w:val="000000"/>
        </w:rPr>
      </w:pPr>
    </w:p>
    <w:p w14:paraId="7E96E334" w14:textId="090F105F" w:rsidR="00BA3BE9" w:rsidRPr="009F5460" w:rsidRDefault="00BA3BE9" w:rsidP="00BA3BE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El Sujeto Obligado fue omiso en dar respuesta al Requerimiento de Información Adicional.</w:t>
      </w:r>
    </w:p>
    <w:p w14:paraId="6EFA6994" w14:textId="77777777" w:rsidR="004E3676" w:rsidRPr="009F5460" w:rsidRDefault="004E3676" w:rsidP="004E3676">
      <w:pPr>
        <w:pStyle w:val="Prrafodelista"/>
        <w:rPr>
          <w:rFonts w:ascii="Palatino Linotype" w:eastAsia="Palatino Linotype" w:hAnsi="Palatino Linotype" w:cs="Palatino Linotype"/>
          <w:b/>
          <w:color w:val="000000"/>
        </w:rPr>
      </w:pPr>
    </w:p>
    <w:p w14:paraId="1851D48B" w14:textId="5790DC51" w:rsidR="00F54CB6" w:rsidRPr="009F5460"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Manifestaciones</w:t>
      </w:r>
      <w:r w:rsidR="00337389" w:rsidRPr="009F5460">
        <w:rPr>
          <w:rFonts w:ascii="Palatino Linotype" w:eastAsia="Palatino Linotype" w:hAnsi="Palatino Linotype" w:cs="Palatino Linotype"/>
          <w:color w:val="000000"/>
          <w:sz w:val="22"/>
          <w:szCs w:val="22"/>
        </w:rPr>
        <w:t xml:space="preserve">: </w:t>
      </w:r>
      <w:r w:rsidR="00F54CB6" w:rsidRPr="009F5460">
        <w:rPr>
          <w:rFonts w:ascii="Palatino Linotype" w:eastAsia="Palatino Linotype" w:hAnsi="Palatino Linotype" w:cs="Palatino Linotype"/>
          <w:color w:val="000000"/>
          <w:sz w:val="22"/>
          <w:szCs w:val="22"/>
        </w:rPr>
        <w:t>De las constancias que obran en el expediente electrónico del SAIMEX, se aprecia que tanto el Sujeto Obligado como el Recurrente fueron omisos en realizar manifestaciones, se inserta imagen de referencia:</w:t>
      </w:r>
    </w:p>
    <w:p w14:paraId="003223C2" w14:textId="77777777" w:rsidR="00F54CB6" w:rsidRPr="009F5460" w:rsidRDefault="00F54CB6" w:rsidP="00F54CB6">
      <w:pPr>
        <w:pStyle w:val="Prrafodelista"/>
        <w:rPr>
          <w:rFonts w:ascii="Palatino Linotype" w:eastAsia="Palatino Linotype" w:hAnsi="Palatino Linotype" w:cs="Palatino Linotype"/>
          <w:b/>
          <w:color w:val="000000"/>
        </w:rPr>
      </w:pPr>
    </w:p>
    <w:p w14:paraId="6B60EB5C" w14:textId="786161D2" w:rsidR="00F54CB6" w:rsidRPr="009F5460" w:rsidRDefault="00804D7B" w:rsidP="00F54CB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noProof/>
          <w:color w:val="000000"/>
          <w:sz w:val="22"/>
          <w:szCs w:val="22"/>
          <w:lang w:val="es-MX" w:eastAsia="es-MX"/>
        </w:rPr>
        <w:lastRenderedPageBreak/>
        <w:drawing>
          <wp:inline distT="0" distB="0" distL="0" distR="0" wp14:anchorId="4AF2A648" wp14:editId="74B564A8">
            <wp:extent cx="5612130" cy="15900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0040"/>
                    </a:xfrm>
                    <a:prstGeom prst="rect">
                      <a:avLst/>
                    </a:prstGeom>
                  </pic:spPr>
                </pic:pic>
              </a:graphicData>
            </a:graphic>
          </wp:inline>
        </w:drawing>
      </w:r>
    </w:p>
    <w:p w14:paraId="1D41EBBC" w14:textId="77777777" w:rsidR="00F54CB6" w:rsidRPr="009F5460" w:rsidRDefault="00F54CB6" w:rsidP="00F54CB6">
      <w:pPr>
        <w:pStyle w:val="Prrafodelista"/>
        <w:rPr>
          <w:rFonts w:ascii="Palatino Linotype" w:eastAsia="Palatino Linotype" w:hAnsi="Palatino Linotype" w:cs="Palatino Linotype"/>
          <w:color w:val="000000"/>
        </w:rPr>
      </w:pPr>
    </w:p>
    <w:p w14:paraId="09F2E0C8" w14:textId="0AD20DD3" w:rsidR="00B830DD" w:rsidRPr="009F5460"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rPr>
        <w:t xml:space="preserve">Cierre de instrucción. </w:t>
      </w:r>
      <w:r w:rsidRPr="009F5460">
        <w:rPr>
          <w:rFonts w:ascii="Palatino Linotype" w:eastAsia="Palatino Linotype" w:hAnsi="Palatino Linotype" w:cs="Palatino Linotype"/>
          <w:color w:val="000000"/>
          <w:sz w:val="22"/>
          <w:szCs w:val="22"/>
        </w:rPr>
        <w:t xml:space="preserve">El </w:t>
      </w:r>
      <w:r w:rsidR="00804D7B" w:rsidRPr="009F5460">
        <w:rPr>
          <w:rFonts w:ascii="Palatino Linotype" w:eastAsia="Palatino Linotype" w:hAnsi="Palatino Linotype" w:cs="Palatino Linotype"/>
          <w:b/>
          <w:color w:val="000000"/>
          <w:sz w:val="22"/>
          <w:szCs w:val="22"/>
        </w:rPr>
        <w:t>veintiséis</w:t>
      </w:r>
      <w:r w:rsidRPr="009F5460">
        <w:rPr>
          <w:rFonts w:ascii="Palatino Linotype" w:eastAsia="Palatino Linotype" w:hAnsi="Palatino Linotype" w:cs="Palatino Linotype"/>
          <w:b/>
          <w:color w:val="000000"/>
          <w:sz w:val="22"/>
          <w:szCs w:val="22"/>
        </w:rPr>
        <w:t xml:space="preserve"> de </w:t>
      </w:r>
      <w:r w:rsidR="00DA716F" w:rsidRPr="009F5460">
        <w:rPr>
          <w:rFonts w:ascii="Palatino Linotype" w:eastAsia="Palatino Linotype" w:hAnsi="Palatino Linotype" w:cs="Palatino Linotype"/>
          <w:b/>
          <w:color w:val="000000"/>
          <w:sz w:val="22"/>
          <w:szCs w:val="22"/>
        </w:rPr>
        <w:t>noviembre</w:t>
      </w:r>
      <w:r w:rsidRPr="009F5460">
        <w:rPr>
          <w:rFonts w:ascii="Palatino Linotype" w:eastAsia="Palatino Linotype" w:hAnsi="Palatino Linotype" w:cs="Palatino Linotype"/>
          <w:b/>
          <w:color w:val="000000"/>
          <w:sz w:val="22"/>
          <w:szCs w:val="22"/>
        </w:rPr>
        <w:t xml:space="preserve"> de dos mil veinticuatro</w:t>
      </w:r>
      <w:r w:rsidRPr="009F5460">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9F5460" w:rsidRDefault="003A5BF3" w:rsidP="00C944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color w:val="000000"/>
          <w:sz w:val="22"/>
          <w:szCs w:val="22"/>
        </w:rPr>
      </w:pPr>
    </w:p>
    <w:p w14:paraId="114E41F2"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1C1770D7" w14:textId="77777777" w:rsidR="003A5BF3" w:rsidRPr="009F5460" w:rsidRDefault="00B830DD" w:rsidP="00DA716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1" w:name="_heading=h.30j0zll" w:colFirst="0" w:colLast="0"/>
      <w:bookmarkEnd w:id="1"/>
      <w:r w:rsidRPr="009F5460">
        <w:rPr>
          <w:rFonts w:ascii="Palatino Linotype" w:eastAsia="Palatino Linotype" w:hAnsi="Palatino Linotype" w:cs="Palatino Linotype"/>
          <w:b/>
          <w:color w:val="000000"/>
          <w:sz w:val="22"/>
          <w:szCs w:val="22"/>
        </w:rPr>
        <w:t>C O N S I D E R A N D O:</w:t>
      </w:r>
    </w:p>
    <w:p w14:paraId="4A509C68" w14:textId="77777777" w:rsidR="003A5BF3" w:rsidRPr="009F5460"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118D2A62"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Primero. Competencia. </w:t>
      </w:r>
      <w:r w:rsidRPr="009F5460">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9F5460">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F9FBAF4" w14:textId="77777777" w:rsidR="003A5BF3" w:rsidRPr="009F5460" w:rsidRDefault="003A5BF3" w:rsidP="00C9447F">
      <w:pPr>
        <w:spacing w:line="360" w:lineRule="auto"/>
        <w:jc w:val="both"/>
        <w:rPr>
          <w:rFonts w:ascii="Palatino Linotype" w:eastAsia="Palatino Linotype" w:hAnsi="Palatino Linotype" w:cs="Palatino Linotype"/>
          <w:b/>
          <w:sz w:val="22"/>
          <w:szCs w:val="22"/>
        </w:rPr>
      </w:pPr>
    </w:p>
    <w:p w14:paraId="5DD41C2C"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Segundo. Oportunidad y Procedibilidad del Recurso de Revisión</w:t>
      </w:r>
      <w:r w:rsidRPr="009F546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7FD04FF0" w14:textId="4389BDC6" w:rsidR="003A5BF3" w:rsidRPr="009F5460" w:rsidRDefault="00B830DD" w:rsidP="00C9447F">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9F546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9F5460">
        <w:rPr>
          <w:rFonts w:ascii="Palatino Linotype" w:eastAsia="Palatino Linotype" w:hAnsi="Palatino Linotype" w:cs="Palatino Linotype"/>
          <w:b/>
          <w:sz w:val="22"/>
          <w:szCs w:val="22"/>
        </w:rPr>
        <w:t>SUJETO OBLIGADO</w:t>
      </w:r>
      <w:r w:rsidRPr="009F5460">
        <w:rPr>
          <w:rFonts w:ascii="Palatino Linotype" w:eastAsia="Palatino Linotype" w:hAnsi="Palatino Linotype" w:cs="Palatino Linotype"/>
          <w:sz w:val="22"/>
          <w:szCs w:val="22"/>
        </w:rPr>
        <w:t xml:space="preserve"> proporcionó su respuesta a la solicitud de información el </w:t>
      </w:r>
      <w:r w:rsidR="00804D7B" w:rsidRPr="009F5460">
        <w:rPr>
          <w:rFonts w:ascii="Palatino Linotype" w:eastAsia="Palatino Linotype" w:hAnsi="Palatino Linotype" w:cs="Palatino Linotype"/>
          <w:b/>
          <w:sz w:val="22"/>
          <w:szCs w:val="22"/>
        </w:rPr>
        <w:t>diecisiete</w:t>
      </w:r>
      <w:r w:rsidRPr="009F5460">
        <w:rPr>
          <w:rFonts w:ascii="Palatino Linotype" w:eastAsia="Palatino Linotype" w:hAnsi="Palatino Linotype" w:cs="Palatino Linotype"/>
          <w:b/>
          <w:sz w:val="22"/>
          <w:szCs w:val="22"/>
        </w:rPr>
        <w:t xml:space="preserve"> de </w:t>
      </w:r>
      <w:r w:rsidR="00DA716F" w:rsidRPr="009F5460">
        <w:rPr>
          <w:rFonts w:ascii="Palatino Linotype" w:eastAsia="Palatino Linotype" w:hAnsi="Palatino Linotype" w:cs="Palatino Linotype"/>
          <w:b/>
          <w:sz w:val="22"/>
          <w:szCs w:val="22"/>
        </w:rPr>
        <w:t>octubre</w:t>
      </w:r>
      <w:r w:rsidRPr="009F5460">
        <w:rPr>
          <w:rFonts w:ascii="Palatino Linotype" w:eastAsia="Palatino Linotype" w:hAnsi="Palatino Linotype" w:cs="Palatino Linotype"/>
          <w:b/>
          <w:sz w:val="22"/>
          <w:szCs w:val="22"/>
        </w:rPr>
        <w:t xml:space="preserve"> de dos mil veinticuatro</w:t>
      </w:r>
      <w:r w:rsidRPr="009F5460">
        <w:rPr>
          <w:rFonts w:ascii="Palatino Linotype" w:eastAsia="Palatino Linotype" w:hAnsi="Palatino Linotype" w:cs="Palatino Linotype"/>
          <w:sz w:val="22"/>
          <w:szCs w:val="22"/>
        </w:rPr>
        <w:t xml:space="preserve">, y la parte </w:t>
      </w:r>
      <w:r w:rsidRPr="009F5460">
        <w:rPr>
          <w:rFonts w:ascii="Palatino Linotype" w:eastAsia="Palatino Linotype" w:hAnsi="Palatino Linotype" w:cs="Palatino Linotype"/>
          <w:b/>
          <w:sz w:val="22"/>
          <w:szCs w:val="22"/>
        </w:rPr>
        <w:t>RECURRENTE</w:t>
      </w:r>
      <w:r w:rsidRPr="009F5460">
        <w:rPr>
          <w:rFonts w:ascii="Palatino Linotype" w:eastAsia="Palatino Linotype" w:hAnsi="Palatino Linotype" w:cs="Palatino Linotype"/>
          <w:sz w:val="22"/>
          <w:szCs w:val="22"/>
        </w:rPr>
        <w:t xml:space="preserve"> presentó su recurso de revisión el </w:t>
      </w:r>
      <w:r w:rsidR="00DA716F" w:rsidRPr="009F5460">
        <w:rPr>
          <w:rFonts w:ascii="Palatino Linotype" w:eastAsia="Palatino Linotype" w:hAnsi="Palatino Linotype" w:cs="Palatino Linotype"/>
          <w:b/>
          <w:sz w:val="22"/>
          <w:szCs w:val="22"/>
        </w:rPr>
        <w:t>veinti</w:t>
      </w:r>
      <w:r w:rsidR="00804D7B" w:rsidRPr="009F5460">
        <w:rPr>
          <w:rFonts w:ascii="Palatino Linotype" w:eastAsia="Palatino Linotype" w:hAnsi="Palatino Linotype" w:cs="Palatino Linotype"/>
          <w:b/>
          <w:sz w:val="22"/>
          <w:szCs w:val="22"/>
        </w:rPr>
        <w:t>trés</w:t>
      </w:r>
      <w:r w:rsidR="00DA716F" w:rsidRPr="009F5460">
        <w:rPr>
          <w:rFonts w:ascii="Palatino Linotype" w:eastAsia="Palatino Linotype" w:hAnsi="Palatino Linotype" w:cs="Palatino Linotype"/>
          <w:b/>
          <w:sz w:val="22"/>
          <w:szCs w:val="22"/>
        </w:rPr>
        <w:t xml:space="preserve"> de octubre</w:t>
      </w:r>
      <w:r w:rsidRPr="009F5460">
        <w:rPr>
          <w:rFonts w:ascii="Palatino Linotype" w:eastAsia="Palatino Linotype" w:hAnsi="Palatino Linotype" w:cs="Palatino Linotype"/>
          <w:b/>
          <w:sz w:val="22"/>
          <w:szCs w:val="22"/>
        </w:rPr>
        <w:t xml:space="preserve"> de dos mil veinticuatro</w:t>
      </w:r>
      <w:r w:rsidR="00F54CB6" w:rsidRPr="009F5460">
        <w:rPr>
          <w:rFonts w:ascii="Palatino Linotype" w:eastAsia="Palatino Linotype" w:hAnsi="Palatino Linotype" w:cs="Palatino Linotype"/>
          <w:sz w:val="22"/>
          <w:szCs w:val="22"/>
        </w:rPr>
        <w:t>, es decir, al cuarto</w:t>
      </w:r>
      <w:r w:rsidRPr="009F5460">
        <w:rPr>
          <w:rFonts w:ascii="Palatino Linotype" w:eastAsia="Palatino Linotype" w:hAnsi="Palatino Linotype" w:cs="Palatino Linotype"/>
          <w:sz w:val="22"/>
          <w:szCs w:val="22"/>
        </w:rPr>
        <w:t xml:space="preserve"> día </w:t>
      </w:r>
      <w:r w:rsidR="00F54CB6" w:rsidRPr="009F5460">
        <w:rPr>
          <w:rFonts w:ascii="Palatino Linotype" w:eastAsia="Palatino Linotype" w:hAnsi="Palatino Linotype" w:cs="Palatino Linotype"/>
          <w:sz w:val="22"/>
          <w:szCs w:val="22"/>
        </w:rPr>
        <w:t xml:space="preserve">hábil </w:t>
      </w:r>
      <w:r w:rsidRPr="009F5460">
        <w:rPr>
          <w:rFonts w:ascii="Palatino Linotype" w:eastAsia="Palatino Linotype" w:hAnsi="Palatino Linotype" w:cs="Palatino Linotype"/>
          <w:sz w:val="22"/>
          <w:szCs w:val="22"/>
        </w:rPr>
        <w:t xml:space="preserve">que se tuvo por presentada, por lo que se encuentra dentro de los márgenes temporales previstos para tal efecto. </w:t>
      </w:r>
    </w:p>
    <w:p w14:paraId="75979B8D" w14:textId="77777777" w:rsidR="003A5BF3" w:rsidRPr="009F5460" w:rsidRDefault="003A5BF3" w:rsidP="00C9447F">
      <w:pPr>
        <w:spacing w:line="360" w:lineRule="auto"/>
        <w:ind w:right="49"/>
        <w:jc w:val="both"/>
        <w:rPr>
          <w:rFonts w:ascii="Palatino Linotype" w:eastAsia="Palatino Linotype" w:hAnsi="Palatino Linotype" w:cs="Palatino Linotype"/>
          <w:sz w:val="22"/>
          <w:szCs w:val="22"/>
        </w:rPr>
      </w:pPr>
    </w:p>
    <w:p w14:paraId="15D79010" w14:textId="77777777" w:rsidR="00657820" w:rsidRPr="009F5460" w:rsidRDefault="00657820" w:rsidP="00C9447F">
      <w:pP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BE60C0" w14:textId="358986E2" w:rsidR="00657820" w:rsidRPr="009F5460" w:rsidRDefault="00657820" w:rsidP="00C9447F">
      <w:pPr>
        <w:spacing w:before="240"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A efecto de sustentar lo anterior, es de suma importancia mencionar que si bien la persona solicitante</w:t>
      </w:r>
      <w:r w:rsidR="00AB2C8B" w:rsidRPr="009F5460">
        <w:rPr>
          <w:rFonts w:ascii="Palatino Linotype" w:eastAsia="Palatino Linotype" w:hAnsi="Palatino Linotype" w:cs="Palatino Linotype"/>
          <w:b/>
          <w:sz w:val="22"/>
          <w:szCs w:val="22"/>
        </w:rPr>
        <w:t xml:space="preserve"> no proporcionó nombre completo</w:t>
      </w:r>
      <w:r w:rsidRPr="009F5460">
        <w:rPr>
          <w:rFonts w:ascii="Palatino Linotype" w:eastAsia="Palatino Linotype" w:hAnsi="Palatino Linotype" w:cs="Palatino Linotype"/>
          <w:b/>
          <w:sz w:val="22"/>
          <w:szCs w:val="22"/>
        </w:rPr>
        <w:t xml:space="preserve"> </w:t>
      </w:r>
      <w:r w:rsidRPr="009F5460">
        <w:rPr>
          <w:rFonts w:ascii="Palatino Linotype" w:eastAsia="Palatino Linotype" w:hAnsi="Palatino Linotype" w:cs="Palatino Linotype"/>
          <w:sz w:val="22"/>
          <w:szCs w:val="22"/>
        </w:rPr>
        <w:t xml:space="preserve">como se advierte en el detalle de seguimiento del SAIMEX, sin embargo, el no proporcionar un nombre no es motivo para archivar la solicitud de acceso a la información pública como concluida, conforme a lo previsto en el </w:t>
      </w:r>
      <w:r w:rsidRPr="009F5460">
        <w:rPr>
          <w:rFonts w:ascii="Palatino Linotype" w:eastAsia="Palatino Linotype" w:hAnsi="Palatino Linotype" w:cs="Palatino Linotype"/>
          <w:sz w:val="22"/>
          <w:szCs w:val="22"/>
        </w:rPr>
        <w:lastRenderedPageBreak/>
        <w:t>artículo 155, penúltimo párrafo de la Ley de Transparencia y Acceso a la Información Pública del Estado de México y Municipios que establece lo siguiente:</w:t>
      </w:r>
    </w:p>
    <w:p w14:paraId="67925C4C" w14:textId="77777777" w:rsidR="00657820" w:rsidRPr="009F5460" w:rsidRDefault="00657820" w:rsidP="00C9447F">
      <w:pPr>
        <w:spacing w:before="120" w:after="120" w:line="360" w:lineRule="auto"/>
        <w:ind w:left="851" w:right="902"/>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Las solicitudes anónimas</w:t>
      </w:r>
      <w:r w:rsidRPr="009F5460">
        <w:rPr>
          <w:rFonts w:ascii="Palatino Linotype" w:eastAsia="Palatino Linotype" w:hAnsi="Palatino Linotype" w:cs="Palatino Linotype"/>
          <w:i/>
          <w:sz w:val="22"/>
          <w:szCs w:val="22"/>
        </w:rPr>
        <w:t xml:space="preserve">, con nombre incompleto o seudónimo </w:t>
      </w:r>
      <w:r w:rsidRPr="009F5460">
        <w:rPr>
          <w:rFonts w:ascii="Palatino Linotype" w:eastAsia="Palatino Linotype" w:hAnsi="Palatino Linotype" w:cs="Palatino Linotype"/>
          <w:b/>
          <w:i/>
          <w:sz w:val="22"/>
          <w:szCs w:val="22"/>
        </w:rPr>
        <w:t>serán procedentes para su trámite por parte del sujeto obligado ante quien se presente</w:t>
      </w:r>
      <w:r w:rsidRPr="009F5460">
        <w:rPr>
          <w:rFonts w:ascii="Palatino Linotype" w:eastAsia="Palatino Linotype" w:hAnsi="Palatino Linotype" w:cs="Palatino Linotype"/>
          <w:i/>
          <w:sz w:val="22"/>
          <w:szCs w:val="22"/>
        </w:rPr>
        <w:t>. No podrá requerirse información adicional con motivo del nombre proporcionado por el solicitante."</w:t>
      </w:r>
    </w:p>
    <w:p w14:paraId="74EBB270" w14:textId="0D980EE9" w:rsidR="00657820" w:rsidRPr="009F5460" w:rsidRDefault="00657820" w:rsidP="00C9447F">
      <w:pPr>
        <w:spacing w:before="240"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AB2C8B" w:rsidRPr="009F5460">
        <w:rPr>
          <w:rFonts w:ascii="Palatino Linotype" w:eastAsia="Palatino Linotype" w:hAnsi="Palatino Linotype" w:cs="Palatino Linotype"/>
          <w:sz w:val="22"/>
          <w:szCs w:val="22"/>
        </w:rPr>
        <w:t xml:space="preserve">completo </w:t>
      </w:r>
      <w:r w:rsidRPr="009F5460">
        <w:rPr>
          <w:rFonts w:ascii="Palatino Linotype" w:eastAsia="Palatino Linotype" w:hAnsi="Palatino Linotype" w:cs="Palatino Linotype"/>
          <w:sz w:val="22"/>
          <w:szCs w:val="22"/>
        </w:rPr>
        <w:t xml:space="preserve">de la parte </w:t>
      </w:r>
      <w:r w:rsidRPr="009F5460">
        <w:rPr>
          <w:rFonts w:ascii="Palatino Linotype" w:eastAsia="Palatino Linotype" w:hAnsi="Palatino Linotype" w:cs="Palatino Linotype"/>
          <w:b/>
          <w:sz w:val="22"/>
          <w:szCs w:val="22"/>
        </w:rPr>
        <w:t>Recurrente</w:t>
      </w:r>
      <w:r w:rsidRPr="009F5460">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20F0F12B" w14:textId="2D30D730" w:rsidR="003A5BF3" w:rsidRPr="009F5460" w:rsidRDefault="00F67C5A" w:rsidP="00C9447F">
      <w:pP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Entonces</w:t>
      </w:r>
      <w:r w:rsidR="00B830DD" w:rsidRPr="009F5460">
        <w:rPr>
          <w:rFonts w:ascii="Palatino Linotype" w:eastAsia="Palatino Linotype" w:hAnsi="Palatino Linotype" w:cs="Palatino Linotype"/>
          <w:color w:val="000000"/>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9F5460" w:rsidRDefault="003A5BF3" w:rsidP="00C9447F">
      <w:pPr>
        <w:spacing w:line="360" w:lineRule="auto"/>
        <w:jc w:val="both"/>
        <w:rPr>
          <w:rFonts w:ascii="Palatino Linotype" w:eastAsia="Palatino Linotype" w:hAnsi="Palatino Linotype" w:cs="Palatino Linotype"/>
          <w:color w:val="000000"/>
          <w:sz w:val="22"/>
          <w:szCs w:val="22"/>
        </w:rPr>
      </w:pPr>
    </w:p>
    <w:p w14:paraId="5AB38BAE" w14:textId="6D2FCF78"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w:t>
      </w:r>
      <w:r w:rsidR="00804D7B" w:rsidRPr="009F5460">
        <w:rPr>
          <w:rFonts w:ascii="Palatino Linotype" w:eastAsia="Palatino Linotype" w:hAnsi="Palatino Linotype" w:cs="Palatino Linotype"/>
          <w:sz w:val="22"/>
          <w:szCs w:val="22"/>
        </w:rPr>
        <w:t>a en el artículo 179, fracción V</w:t>
      </w:r>
      <w:r w:rsidRPr="009F5460">
        <w:rPr>
          <w:rFonts w:ascii="Palatino Linotype" w:eastAsia="Palatino Linotype" w:hAnsi="Palatino Linotype" w:cs="Palatino Linotype"/>
          <w:sz w:val="22"/>
          <w:szCs w:val="22"/>
        </w:rPr>
        <w:t xml:space="preserve"> de la ley de la materia, que a la letra dice:</w:t>
      </w:r>
    </w:p>
    <w:p w14:paraId="350267B5"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385147E5"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 xml:space="preserve">Artículo 179. </w:t>
      </w:r>
      <w:r w:rsidRPr="009F546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3FFE6D"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2F105418" w14:textId="71E4D7EC" w:rsidR="003A5BF3" w:rsidRPr="009F5460" w:rsidRDefault="00804D7B"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lastRenderedPageBreak/>
        <w:t>V</w:t>
      </w:r>
      <w:r w:rsidR="00E26A2C" w:rsidRPr="009F5460">
        <w:rPr>
          <w:rFonts w:ascii="Palatino Linotype" w:eastAsia="Palatino Linotype" w:hAnsi="Palatino Linotype" w:cs="Palatino Linotype"/>
          <w:i/>
          <w:sz w:val="22"/>
          <w:szCs w:val="22"/>
        </w:rPr>
        <w:t xml:space="preserve">. La </w:t>
      </w:r>
      <w:r w:rsidRPr="009F5460">
        <w:rPr>
          <w:rFonts w:ascii="Palatino Linotype" w:eastAsia="Palatino Linotype" w:hAnsi="Palatino Linotype" w:cs="Palatino Linotype"/>
          <w:i/>
          <w:sz w:val="22"/>
          <w:szCs w:val="22"/>
        </w:rPr>
        <w:t>entrega de información incompleta</w:t>
      </w:r>
      <w:r w:rsidR="00B830DD" w:rsidRPr="009F5460">
        <w:rPr>
          <w:rFonts w:ascii="Palatino Linotype" w:eastAsia="Palatino Linotype" w:hAnsi="Palatino Linotype" w:cs="Palatino Linotype"/>
          <w:i/>
          <w:sz w:val="22"/>
          <w:szCs w:val="22"/>
        </w:rPr>
        <w:t xml:space="preserve"> </w:t>
      </w:r>
    </w:p>
    <w:p w14:paraId="2076F4E9"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0E9E6078" w14:textId="77777777" w:rsidR="003A5BF3" w:rsidRPr="009F5460" w:rsidRDefault="00B830DD" w:rsidP="00C9447F">
      <w:pPr>
        <w:spacing w:before="240"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Tercero. Materia de la revisión. </w:t>
      </w:r>
      <w:r w:rsidRPr="009F546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F5460">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F5460">
        <w:rPr>
          <w:rFonts w:ascii="Palatino Linotype" w:eastAsia="Palatino Linotype" w:hAnsi="Palatino Linotype" w:cs="Palatino Linotype"/>
          <w:sz w:val="22"/>
          <w:szCs w:val="22"/>
        </w:rPr>
        <w:t xml:space="preserve">de la parte </w:t>
      </w:r>
      <w:r w:rsidRPr="009F5460">
        <w:rPr>
          <w:rFonts w:ascii="Palatino Linotype" w:eastAsia="Palatino Linotype" w:hAnsi="Palatino Linotype" w:cs="Palatino Linotype"/>
          <w:b/>
          <w:sz w:val="22"/>
          <w:szCs w:val="22"/>
        </w:rPr>
        <w:t>Recurrente</w:t>
      </w:r>
      <w:r w:rsidRPr="009F5460">
        <w:rPr>
          <w:rFonts w:ascii="Palatino Linotype" w:eastAsia="Palatino Linotype" w:hAnsi="Palatino Linotype" w:cs="Palatino Linotype"/>
          <w:sz w:val="22"/>
          <w:szCs w:val="22"/>
        </w:rPr>
        <w:t>, o en su defecto, en caso de ser procedente, ordenar la entrega de información.</w:t>
      </w:r>
    </w:p>
    <w:p w14:paraId="6CE79C8E" w14:textId="6757BF64"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Cuarto. Estudio del asunto. </w:t>
      </w:r>
      <w:r w:rsidRPr="009F5460">
        <w:rPr>
          <w:rFonts w:ascii="Palatino Linotype" w:eastAsia="Palatino Linotype" w:hAnsi="Palatino Linotype" w:cs="Palatino Linotype"/>
          <w:sz w:val="22"/>
          <w:szCs w:val="22"/>
        </w:rPr>
        <w:t>En principio, es conve</w:t>
      </w:r>
      <w:r w:rsidR="00DA716F" w:rsidRPr="009F5460">
        <w:rPr>
          <w:rFonts w:ascii="Palatino Linotype" w:eastAsia="Palatino Linotype" w:hAnsi="Palatino Linotype" w:cs="Palatino Linotype"/>
          <w:sz w:val="22"/>
          <w:szCs w:val="22"/>
        </w:rPr>
        <w:t xml:space="preserve">niente analizar si la respuesta </w:t>
      </w:r>
      <w:r w:rsidRPr="009F5460">
        <w:rPr>
          <w:rFonts w:ascii="Palatino Linotype" w:eastAsia="Palatino Linotype" w:hAnsi="Palatino Linotype" w:cs="Palatino Linotype"/>
          <w:sz w:val="22"/>
          <w:szCs w:val="22"/>
        </w:rPr>
        <w:t xml:space="preserve">del </w:t>
      </w:r>
      <w:r w:rsidRPr="009F5460">
        <w:rPr>
          <w:rFonts w:ascii="Palatino Linotype" w:eastAsia="Palatino Linotype" w:hAnsi="Palatino Linotype" w:cs="Palatino Linotype"/>
          <w:b/>
          <w:sz w:val="22"/>
          <w:szCs w:val="22"/>
        </w:rPr>
        <w:t>SUJETO OBLIGADO</w:t>
      </w:r>
      <w:r w:rsidRPr="009F5460">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6E34A079"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Artículo 4</w:t>
      </w:r>
      <w:r w:rsidRPr="009F546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F5460">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w:t>
      </w:r>
      <w:r w:rsidRPr="009F5460">
        <w:rPr>
          <w:rFonts w:ascii="Palatino Linotype" w:eastAsia="Palatino Linotype" w:hAnsi="Palatino Linotype" w:cs="Palatino Linotype"/>
          <w:i/>
          <w:sz w:val="22"/>
          <w:szCs w:val="22"/>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F5460">
        <w:rPr>
          <w:rFonts w:ascii="Palatino Linotype" w:eastAsia="Palatino Linotype" w:hAnsi="Palatino Linotype" w:cs="Palatino Linotype"/>
          <w:i/>
          <w:sz w:val="22"/>
          <w:szCs w:val="22"/>
        </w:rPr>
        <w:t>.”</w:t>
      </w:r>
    </w:p>
    <w:p w14:paraId="7B8E0C0C"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13711F33"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5FB3C158"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“Artículo 12.-</w:t>
      </w:r>
      <w:r w:rsidRPr="009F546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9F5460" w:rsidRDefault="003A5BF3" w:rsidP="00C9447F">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9F5460" w:rsidRDefault="003A5BF3" w:rsidP="00C9447F">
      <w:pPr>
        <w:spacing w:line="360" w:lineRule="auto"/>
        <w:ind w:right="-93"/>
        <w:jc w:val="both"/>
        <w:rPr>
          <w:rFonts w:ascii="Palatino Linotype" w:eastAsia="Palatino Linotype" w:hAnsi="Palatino Linotype" w:cs="Palatino Linotype"/>
          <w:sz w:val="22"/>
          <w:szCs w:val="22"/>
        </w:rPr>
      </w:pPr>
    </w:p>
    <w:p w14:paraId="53E85138" w14:textId="77777777" w:rsidR="003A5BF3" w:rsidRPr="009F5460" w:rsidRDefault="00B830DD" w:rsidP="00C9447F">
      <w:pPr>
        <w:spacing w:line="360" w:lineRule="auto"/>
        <w:ind w:right="-93"/>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9F5460" w:rsidRDefault="003A5BF3" w:rsidP="00C9447F">
      <w:pPr>
        <w:spacing w:line="360" w:lineRule="auto"/>
        <w:ind w:right="-93"/>
        <w:jc w:val="both"/>
        <w:rPr>
          <w:rFonts w:ascii="Palatino Linotype" w:eastAsia="Palatino Linotype" w:hAnsi="Palatino Linotype" w:cs="Palatino Linotype"/>
          <w:sz w:val="22"/>
          <w:szCs w:val="22"/>
        </w:rPr>
      </w:pPr>
    </w:p>
    <w:p w14:paraId="6E0E71EA" w14:textId="77777777" w:rsidR="003A5BF3" w:rsidRPr="009F5460" w:rsidRDefault="00B830DD" w:rsidP="00C9447F">
      <w:pPr>
        <w:spacing w:line="360" w:lineRule="auto"/>
        <w:ind w:right="-93"/>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F5460">
        <w:rPr>
          <w:rFonts w:ascii="Palatino Linotype" w:eastAsia="Palatino Linotype" w:hAnsi="Palatino Linotype" w:cs="Palatino Linotype"/>
          <w:b/>
          <w:sz w:val="22"/>
          <w:szCs w:val="22"/>
        </w:rPr>
        <w:t xml:space="preserve"> </w:t>
      </w:r>
    </w:p>
    <w:p w14:paraId="3B351778" w14:textId="77777777" w:rsidR="003A5BF3" w:rsidRPr="009F5460" w:rsidRDefault="003A5BF3" w:rsidP="00C9447F">
      <w:pPr>
        <w:spacing w:line="360" w:lineRule="auto"/>
        <w:jc w:val="both"/>
        <w:rPr>
          <w:rFonts w:ascii="Palatino Linotype" w:eastAsia="Palatino Linotype" w:hAnsi="Palatino Linotype" w:cs="Palatino Linotype"/>
          <w:b/>
          <w:sz w:val="22"/>
          <w:szCs w:val="22"/>
        </w:rPr>
      </w:pPr>
    </w:p>
    <w:p w14:paraId="7ED21B00"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No existe obligación de elaborar documentos ad hoc para atender las solicitudes de acceso a la información.</w:t>
      </w:r>
      <w:r w:rsidRPr="009F546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9F5460" w:rsidRDefault="003A5BF3" w:rsidP="00C9447F">
      <w:pPr>
        <w:spacing w:line="360" w:lineRule="auto"/>
        <w:ind w:right="-93"/>
        <w:jc w:val="both"/>
        <w:rPr>
          <w:rFonts w:ascii="Palatino Linotype" w:eastAsia="Palatino Linotype" w:hAnsi="Palatino Linotype" w:cs="Palatino Linotype"/>
          <w:sz w:val="22"/>
          <w:szCs w:val="22"/>
        </w:rPr>
      </w:pPr>
    </w:p>
    <w:p w14:paraId="31C53A4C"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9F5460">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765A4BC6"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0119E6CA" w14:textId="77777777" w:rsidR="003A5BF3" w:rsidRPr="009F5460" w:rsidRDefault="00B830DD" w:rsidP="00C9447F">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9F5460" w:rsidRDefault="003A5BF3" w:rsidP="00C9447F">
      <w:pPr>
        <w:spacing w:line="360" w:lineRule="auto"/>
        <w:ind w:right="49"/>
        <w:jc w:val="both"/>
        <w:rPr>
          <w:rFonts w:ascii="Palatino Linotype" w:eastAsia="Palatino Linotype" w:hAnsi="Palatino Linotype" w:cs="Palatino Linotype"/>
          <w:sz w:val="22"/>
          <w:szCs w:val="22"/>
        </w:rPr>
      </w:pPr>
    </w:p>
    <w:p w14:paraId="723326C8"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9F5460" w:rsidRDefault="003A5BF3" w:rsidP="00C9447F">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 xml:space="preserve">Artículo 3. </w:t>
      </w:r>
      <w:r w:rsidRPr="009F5460">
        <w:rPr>
          <w:rFonts w:ascii="Palatino Linotype" w:eastAsia="Palatino Linotype" w:hAnsi="Palatino Linotype" w:cs="Palatino Linotype"/>
          <w:i/>
          <w:sz w:val="22"/>
          <w:szCs w:val="22"/>
        </w:rPr>
        <w:t>Para los efectos de la presente Ley se entenderá por:</w:t>
      </w:r>
    </w:p>
    <w:p w14:paraId="65AE938C"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755F4789"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XI. Documento:</w:t>
      </w:r>
      <w:r w:rsidRPr="009F5460">
        <w:rPr>
          <w:rFonts w:ascii="Palatino Linotype" w:eastAsia="Palatino Linotype" w:hAnsi="Palatino Linotype" w:cs="Palatino Linotype"/>
          <w:i/>
          <w:sz w:val="22"/>
          <w:szCs w:val="22"/>
        </w:rPr>
        <w:t xml:space="preserve"> Los expedientes, reportes, estudios, actas</w:t>
      </w:r>
      <w:r w:rsidRPr="009F5460">
        <w:rPr>
          <w:rFonts w:ascii="Palatino Linotype" w:eastAsia="Palatino Linotype" w:hAnsi="Palatino Linotype" w:cs="Palatino Linotype"/>
          <w:b/>
          <w:i/>
          <w:sz w:val="22"/>
          <w:szCs w:val="22"/>
        </w:rPr>
        <w:t>,</w:t>
      </w:r>
      <w:r w:rsidRPr="009F546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9F5460">
        <w:rPr>
          <w:rFonts w:ascii="Palatino Linotype" w:eastAsia="Palatino Linotype" w:hAnsi="Palatino Linotype" w:cs="Palatino Linotype"/>
          <w:i/>
          <w:sz w:val="22"/>
          <w:szCs w:val="22"/>
        </w:rPr>
        <w:lastRenderedPageBreak/>
        <w:t xml:space="preserve">obligados, sus servidores públicos e integrantes, sin importar su fuente o fecha de elaboración. Los documentos podrán estar en cualquier medio, sea escrito, impreso, sonoro, visual, electrónico, informático u holográfico…” </w:t>
      </w:r>
    </w:p>
    <w:p w14:paraId="63483F44" w14:textId="77777777" w:rsidR="003A5BF3" w:rsidRPr="009F5460" w:rsidRDefault="003A5BF3" w:rsidP="00C9447F">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733DFD22" w14:textId="77777777" w:rsidR="003A5BF3" w:rsidRPr="009F5460" w:rsidRDefault="00B830DD" w:rsidP="00C9447F">
      <w:pPr>
        <w:spacing w:line="360" w:lineRule="auto"/>
        <w:ind w:left="567" w:right="616"/>
        <w:jc w:val="both"/>
        <w:rPr>
          <w:rFonts w:ascii="Palatino Linotype" w:eastAsia="Palatino Linotype" w:hAnsi="Palatino Linotype" w:cs="Palatino Linotype"/>
          <w:b/>
          <w:i/>
          <w:sz w:val="22"/>
          <w:szCs w:val="22"/>
        </w:rPr>
      </w:pPr>
      <w:r w:rsidRPr="009F5460">
        <w:rPr>
          <w:rFonts w:ascii="Palatino Linotype" w:eastAsia="Palatino Linotype" w:hAnsi="Palatino Linotype" w:cs="Palatino Linotype"/>
          <w:b/>
          <w:sz w:val="22"/>
          <w:szCs w:val="22"/>
        </w:rPr>
        <w:t>“</w:t>
      </w:r>
      <w:r w:rsidRPr="009F546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F546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En </w:t>
      </w:r>
      <w:proofErr w:type="gramStart"/>
      <w:r w:rsidRPr="009F5460">
        <w:rPr>
          <w:rFonts w:ascii="Palatino Linotype" w:eastAsia="Palatino Linotype" w:hAnsi="Palatino Linotype" w:cs="Palatino Linotype"/>
          <w:i/>
          <w:sz w:val="22"/>
          <w:szCs w:val="22"/>
        </w:rPr>
        <w:t>consecuencia</w:t>
      </w:r>
      <w:proofErr w:type="gramEnd"/>
      <w:r w:rsidRPr="009F546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6EE522" w14:textId="77777777" w:rsidR="003A5BF3" w:rsidRPr="009F5460" w:rsidRDefault="00B830DD" w:rsidP="00C9447F">
      <w:pP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F5460">
        <w:rPr>
          <w:rFonts w:ascii="Palatino Linotype" w:eastAsia="Palatino Linotype" w:hAnsi="Palatino Linotype" w:cs="Palatino Linotype"/>
          <w:i/>
          <w:sz w:val="22"/>
          <w:szCs w:val="22"/>
        </w:rPr>
        <w:t>que</w:t>
      </w:r>
      <w:proofErr w:type="gramEnd"/>
      <w:r w:rsidRPr="009F5460">
        <w:rPr>
          <w:rFonts w:ascii="Palatino Linotype" w:eastAsia="Palatino Linotype" w:hAnsi="Palatino Linotype" w:cs="Palatino Linotype"/>
          <w:i/>
          <w:sz w:val="22"/>
          <w:szCs w:val="22"/>
        </w:rPr>
        <w:t xml:space="preserve"> en ejercicio de las atribuciones conferidas, sea generada por los Sujetos Obligados;</w:t>
      </w:r>
    </w:p>
    <w:p w14:paraId="365909F1" w14:textId="77777777" w:rsidR="003A5BF3" w:rsidRPr="009F5460" w:rsidRDefault="00B830DD" w:rsidP="00C9447F">
      <w:pPr>
        <w:spacing w:line="360" w:lineRule="auto"/>
        <w:ind w:left="567" w:right="616"/>
        <w:jc w:val="both"/>
        <w:rPr>
          <w:rFonts w:ascii="Palatino Linotype" w:eastAsia="Palatino Linotype" w:hAnsi="Palatino Linotype" w:cs="Palatino Linotype"/>
          <w:b/>
          <w:i/>
          <w:sz w:val="22"/>
          <w:szCs w:val="22"/>
        </w:rPr>
      </w:pPr>
      <w:r w:rsidRPr="009F5460">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F5460">
        <w:rPr>
          <w:rFonts w:ascii="Palatino Linotype" w:eastAsia="Palatino Linotype" w:hAnsi="Palatino Linotype" w:cs="Palatino Linotype"/>
          <w:b/>
          <w:i/>
          <w:sz w:val="22"/>
          <w:szCs w:val="22"/>
        </w:rPr>
        <w:t>que</w:t>
      </w:r>
      <w:proofErr w:type="gramEnd"/>
      <w:r w:rsidRPr="009F5460">
        <w:rPr>
          <w:rFonts w:ascii="Palatino Linotype" w:eastAsia="Palatino Linotype" w:hAnsi="Palatino Linotype" w:cs="Palatino Linotype"/>
          <w:b/>
          <w:i/>
          <w:sz w:val="22"/>
          <w:szCs w:val="22"/>
        </w:rPr>
        <w:t xml:space="preserve"> en ejercicio de las atribuciones conferidas, sea administrada por los Sujetos Obligados, y</w:t>
      </w:r>
    </w:p>
    <w:p w14:paraId="10DF2C0F" w14:textId="77777777" w:rsidR="003A5BF3" w:rsidRPr="009F5460" w:rsidRDefault="00B830DD" w:rsidP="00C9447F">
      <w:pPr>
        <w:spacing w:line="360" w:lineRule="auto"/>
        <w:ind w:left="567" w:right="616"/>
        <w:jc w:val="both"/>
        <w:rPr>
          <w:rFonts w:ascii="Palatino Linotype" w:eastAsia="Palatino Linotype" w:hAnsi="Palatino Linotype" w:cs="Palatino Linotype"/>
          <w:b/>
          <w:i/>
          <w:sz w:val="22"/>
          <w:szCs w:val="22"/>
        </w:rPr>
      </w:pPr>
      <w:r w:rsidRPr="009F5460">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9F5460">
        <w:rPr>
          <w:rFonts w:ascii="Palatino Linotype" w:eastAsia="Palatino Linotype" w:hAnsi="Palatino Linotype" w:cs="Palatino Linotype"/>
          <w:b/>
          <w:i/>
          <w:sz w:val="22"/>
          <w:szCs w:val="22"/>
        </w:rPr>
        <w:t>que</w:t>
      </w:r>
      <w:proofErr w:type="gramEnd"/>
      <w:r w:rsidRPr="009F5460">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CA9F631" w14:textId="77777777" w:rsidR="003A5BF3" w:rsidRPr="009F5460" w:rsidRDefault="003A5BF3" w:rsidP="00C9447F">
      <w:pPr>
        <w:spacing w:line="360" w:lineRule="auto"/>
        <w:ind w:right="-93"/>
        <w:jc w:val="both"/>
        <w:rPr>
          <w:rFonts w:ascii="Palatino Linotype" w:eastAsia="Palatino Linotype" w:hAnsi="Palatino Linotype" w:cs="Palatino Linotype"/>
          <w:sz w:val="22"/>
          <w:szCs w:val="22"/>
        </w:rPr>
      </w:pPr>
    </w:p>
    <w:p w14:paraId="7F569F39" w14:textId="62535D81" w:rsidR="00CE608F" w:rsidRPr="009F5460"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Dicho lo anterior, se procede al análisis de los agravios hechos valer por la parte Recurrente que actualizan la causal de proce</w:t>
      </w:r>
      <w:r w:rsidR="00804D7B" w:rsidRPr="009F5460">
        <w:rPr>
          <w:rFonts w:ascii="Palatino Linotype" w:eastAsia="Palatino Linotype" w:hAnsi="Palatino Linotype" w:cs="Palatino Linotype"/>
          <w:sz w:val="22"/>
          <w:szCs w:val="22"/>
        </w:rPr>
        <w:t>dencia prevista en la fracción V</w:t>
      </w:r>
      <w:r w:rsidRPr="009F5460">
        <w:rPr>
          <w:rFonts w:ascii="Palatino Linotype" w:eastAsia="Palatino Linotype" w:hAnsi="Palatino Linotype" w:cs="Palatino Linotype"/>
          <w:sz w:val="22"/>
          <w:szCs w:val="22"/>
        </w:rPr>
        <w:t xml:space="preserve"> del artículo 179 de la Ley de Transparencia y Acceso a la Información del Estado de México y Municipios, relativa a la entrega de información</w:t>
      </w:r>
      <w:r w:rsidR="00804D7B" w:rsidRPr="009F5460">
        <w:rPr>
          <w:rFonts w:ascii="Palatino Linotype" w:eastAsia="Palatino Linotype" w:hAnsi="Palatino Linotype" w:cs="Palatino Linotype"/>
          <w:sz w:val="22"/>
          <w:szCs w:val="22"/>
        </w:rPr>
        <w:t xml:space="preserve"> incompleta</w:t>
      </w:r>
      <w:r w:rsidRPr="009F5460">
        <w:rPr>
          <w:rFonts w:ascii="Palatino Linotype" w:eastAsia="Palatino Linotype" w:hAnsi="Palatino Linotype" w:cs="Palatino Linotype"/>
          <w:sz w:val="22"/>
          <w:szCs w:val="22"/>
        </w:rPr>
        <w:t>.</w:t>
      </w:r>
    </w:p>
    <w:p w14:paraId="21F3BD38" w14:textId="77777777" w:rsidR="00BA3BE9" w:rsidRPr="009F5460" w:rsidRDefault="00BA3BE9"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69720C" w14:textId="30853B74" w:rsidR="003A5BF3" w:rsidRPr="009F5460" w:rsidRDefault="00B830DD" w:rsidP="00C9447F">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De la</w:t>
      </w:r>
      <w:r w:rsidR="00C80D61" w:rsidRPr="009F5460">
        <w:rPr>
          <w:rFonts w:ascii="Palatino Linotype" w:eastAsia="Palatino Linotype" w:hAnsi="Palatino Linotype" w:cs="Palatino Linotype"/>
          <w:b/>
          <w:color w:val="000000"/>
          <w:sz w:val="22"/>
          <w:szCs w:val="22"/>
        </w:rPr>
        <w:t>s direcciones electrónicas</w:t>
      </w:r>
      <w:r w:rsidRPr="009F5460">
        <w:rPr>
          <w:rFonts w:ascii="Palatino Linotype" w:eastAsia="Palatino Linotype" w:hAnsi="Palatino Linotype" w:cs="Palatino Linotype"/>
          <w:b/>
          <w:color w:val="000000"/>
          <w:sz w:val="22"/>
          <w:szCs w:val="22"/>
        </w:rPr>
        <w:t>.</w:t>
      </w:r>
    </w:p>
    <w:p w14:paraId="354913B9" w14:textId="77777777" w:rsidR="003A5BF3" w:rsidRPr="009F5460" w:rsidRDefault="003A5BF3" w:rsidP="00C9447F">
      <w:pPr>
        <w:pBdr>
          <w:top w:val="nil"/>
          <w:left w:val="nil"/>
          <w:bottom w:val="nil"/>
          <w:right w:val="nil"/>
          <w:between w:val="nil"/>
        </w:pBdr>
        <w:spacing w:line="360" w:lineRule="auto"/>
        <w:ind w:left="720" w:right="-150"/>
        <w:jc w:val="both"/>
        <w:rPr>
          <w:rFonts w:ascii="Palatino Linotype" w:eastAsia="Palatino Linotype" w:hAnsi="Palatino Linotype" w:cs="Palatino Linotype"/>
          <w:color w:val="000000"/>
          <w:sz w:val="22"/>
          <w:szCs w:val="22"/>
        </w:rPr>
      </w:pPr>
    </w:p>
    <w:p w14:paraId="0246A01E" w14:textId="434134D0" w:rsidR="00C80D61" w:rsidRPr="009F5460" w:rsidRDefault="00C80D61"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El Recurrente solicitó, </w:t>
      </w:r>
      <w:r w:rsidR="001B6747" w:rsidRPr="009F5460">
        <w:rPr>
          <w:rFonts w:ascii="Palatino Linotype" w:eastAsia="Palatino Linotype" w:hAnsi="Palatino Linotype" w:cs="Palatino Linotype"/>
          <w:sz w:val="22"/>
          <w:szCs w:val="22"/>
        </w:rPr>
        <w:t>de las diversas reuniones de trabajo de servidores públicos de la administración 2022 – 2024,</w:t>
      </w:r>
      <w:r w:rsidRPr="009F5460">
        <w:rPr>
          <w:rFonts w:ascii="Palatino Linotype" w:eastAsia="Palatino Linotype" w:hAnsi="Palatino Linotype" w:cs="Palatino Linotype"/>
          <w:sz w:val="22"/>
          <w:szCs w:val="22"/>
        </w:rPr>
        <w:t xml:space="preserve"> lo siguiente:</w:t>
      </w:r>
    </w:p>
    <w:p w14:paraId="41287286" w14:textId="77777777" w:rsidR="00C80D61" w:rsidRPr="009F5460" w:rsidRDefault="00C80D61"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7BE4543" w14:textId="7819D23D" w:rsidR="00C80D61" w:rsidRPr="009F5460" w:rsidRDefault="00C80D61" w:rsidP="001B6747">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Monto mensual por concepto de logística;</w:t>
      </w:r>
    </w:p>
    <w:p w14:paraId="71F82984" w14:textId="36B159F3" w:rsidR="00C80D61" w:rsidRPr="009F5460" w:rsidRDefault="00C80D61" w:rsidP="001B6747">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Proveedores;</w:t>
      </w:r>
    </w:p>
    <w:p w14:paraId="4CD48F9A" w14:textId="602A37A9" w:rsidR="00C80D61" w:rsidRPr="009F5460" w:rsidRDefault="00C80D61" w:rsidP="001B6747">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Pólizas de egresos</w:t>
      </w:r>
    </w:p>
    <w:p w14:paraId="5ADB9D0B" w14:textId="77777777" w:rsidR="00C80D61" w:rsidRPr="009F5460" w:rsidRDefault="00C80D61"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4FC2A0D" w14:textId="77777777" w:rsidR="001B6747" w:rsidRPr="009F5460" w:rsidRDefault="001B6747"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El Sujeto Obligado brindó su respuesta en los que refirió:</w:t>
      </w:r>
    </w:p>
    <w:p w14:paraId="27B63671" w14:textId="77777777" w:rsidR="001B6747" w:rsidRPr="009F5460" w:rsidRDefault="001B6747"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F67C8A6" w14:textId="4119234D" w:rsidR="001B6747" w:rsidRPr="009F5460" w:rsidRDefault="001B6747" w:rsidP="001B674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sz w:val="22"/>
          <w:szCs w:val="22"/>
        </w:rPr>
        <w:t xml:space="preserve">La información se encuentra en </w:t>
      </w:r>
      <w:r w:rsidRPr="009F5460">
        <w:rPr>
          <w:rFonts w:ascii="Palatino Linotype" w:eastAsia="Palatino Linotype" w:hAnsi="Palatino Linotype" w:cs="Palatino Linotype"/>
          <w:color w:val="000000"/>
          <w:sz w:val="22"/>
          <w:szCs w:val="22"/>
        </w:rPr>
        <w:t xml:space="preserve">los estados comparativos de egresos, disponibles en la página oficial en la dirección electrónica: </w:t>
      </w:r>
      <w:r w:rsidRPr="009F5460">
        <w:rPr>
          <w:rFonts w:ascii="Palatino Linotype" w:eastAsia="Palatino Linotype" w:hAnsi="Palatino Linotype" w:cs="Palatino Linotype"/>
          <w:noProof/>
          <w:color w:val="000000"/>
          <w:sz w:val="22"/>
          <w:szCs w:val="22"/>
          <w:lang w:val="es-MX" w:eastAsia="es-MX"/>
        </w:rPr>
        <w:drawing>
          <wp:inline distT="0" distB="0" distL="0" distR="0" wp14:anchorId="06AE62FA" wp14:editId="6B17D3CE">
            <wp:extent cx="1181265" cy="18100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1265" cy="181000"/>
                    </a:xfrm>
                    <a:prstGeom prst="rect">
                      <a:avLst/>
                    </a:prstGeom>
                  </pic:spPr>
                </pic:pic>
              </a:graphicData>
            </a:graphic>
          </wp:inline>
        </w:drawing>
      </w:r>
      <w:r w:rsidRPr="009F5460">
        <w:rPr>
          <w:noProof/>
          <w:lang w:val="es-MX" w:eastAsia="es-MX"/>
        </w:rPr>
        <w:t xml:space="preserve"> </w:t>
      </w:r>
      <w:r w:rsidRPr="009F5460">
        <w:rPr>
          <w:rFonts w:ascii="Palatino Linotype" w:eastAsia="Palatino Linotype" w:hAnsi="Palatino Linotype" w:cs="Palatino Linotype"/>
          <w:noProof/>
          <w:color w:val="000000"/>
          <w:sz w:val="22"/>
          <w:szCs w:val="22"/>
          <w:lang w:val="es-MX" w:eastAsia="es-MX"/>
        </w:rPr>
        <w:drawing>
          <wp:inline distT="0" distB="0" distL="0" distR="0" wp14:anchorId="7354511E" wp14:editId="04B8D03B">
            <wp:extent cx="1638529" cy="181000"/>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529" cy="181000"/>
                    </a:xfrm>
                    <a:prstGeom prst="rect">
                      <a:avLst/>
                    </a:prstGeom>
                  </pic:spPr>
                </pic:pic>
              </a:graphicData>
            </a:graphic>
          </wp:inline>
        </w:drawing>
      </w:r>
    </w:p>
    <w:p w14:paraId="3425815E" w14:textId="77777777" w:rsidR="001B6747" w:rsidRPr="009F5460" w:rsidRDefault="001B6747" w:rsidP="001B6747">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sz w:val="22"/>
          <w:szCs w:val="22"/>
        </w:rPr>
      </w:pPr>
    </w:p>
    <w:p w14:paraId="29DB23AB" w14:textId="18512DA1" w:rsidR="001B6747" w:rsidRPr="009F5460" w:rsidRDefault="001B6747" w:rsidP="001B674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sz w:val="22"/>
          <w:szCs w:val="22"/>
        </w:rPr>
        <w:t>La información será proporcionada en consulta directa en la Tesorería Municipal el dieciocho de octubre de dos mil veinticuatro.</w:t>
      </w:r>
    </w:p>
    <w:p w14:paraId="0C6048CA" w14:textId="77777777" w:rsidR="001B6747" w:rsidRPr="009F5460" w:rsidRDefault="001B6747" w:rsidP="001B6747">
      <w:pPr>
        <w:pStyle w:val="Prrafodelista"/>
        <w:rPr>
          <w:rFonts w:ascii="Palatino Linotype" w:eastAsia="Palatino Linotype" w:hAnsi="Palatino Linotype" w:cs="Palatino Linotype"/>
          <w:b/>
          <w:color w:val="000000"/>
        </w:rPr>
      </w:pPr>
    </w:p>
    <w:p w14:paraId="7D504B28" w14:textId="5F222239" w:rsidR="001B6747" w:rsidRPr="009F5460" w:rsidRDefault="001B6747" w:rsidP="001B6747">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noProof/>
          <w:color w:val="000000"/>
          <w:sz w:val="22"/>
          <w:szCs w:val="22"/>
          <w:lang w:val="es-MX" w:eastAsia="es-MX"/>
        </w:rPr>
        <w:drawing>
          <wp:inline distT="0" distB="0" distL="0" distR="0" wp14:anchorId="3B87C24B" wp14:editId="62358C10">
            <wp:extent cx="5572903" cy="142894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903" cy="1428949"/>
                    </a:xfrm>
                    <a:prstGeom prst="rect">
                      <a:avLst/>
                    </a:prstGeom>
                  </pic:spPr>
                </pic:pic>
              </a:graphicData>
            </a:graphic>
          </wp:inline>
        </w:drawing>
      </w:r>
    </w:p>
    <w:p w14:paraId="14535582" w14:textId="6B3C32C0" w:rsidR="001B6747" w:rsidRPr="009F5460" w:rsidRDefault="001B6747"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EAEC35F" w14:textId="18121B44" w:rsidR="00BA3BE9" w:rsidRPr="009F5460" w:rsidRDefault="00B830DD"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En principio, resulta conveniente</w:t>
      </w:r>
      <w:r w:rsidR="009461C0" w:rsidRPr="009F5460">
        <w:rPr>
          <w:rFonts w:ascii="Palatino Linotype" w:eastAsia="Palatino Linotype" w:hAnsi="Palatino Linotype" w:cs="Palatino Linotype"/>
          <w:sz w:val="22"/>
          <w:szCs w:val="22"/>
        </w:rPr>
        <w:t xml:space="preserve"> indicar que el Titular de la Unidad de Transparencia turnó la solicitud a la Tesorería Municipal, por tal razón, es necesario</w:t>
      </w:r>
      <w:r w:rsidRPr="009F5460">
        <w:rPr>
          <w:rFonts w:ascii="Palatino Linotype" w:eastAsia="Palatino Linotype" w:hAnsi="Palatino Linotype" w:cs="Palatino Linotype"/>
          <w:sz w:val="22"/>
          <w:szCs w:val="22"/>
        </w:rPr>
        <w:t xml:space="preserve"> </w:t>
      </w:r>
      <w:r w:rsidR="00BA3BE9" w:rsidRPr="009F5460">
        <w:rPr>
          <w:rFonts w:ascii="Palatino Linotype" w:eastAsia="Palatino Linotype" w:hAnsi="Palatino Linotype" w:cs="Palatino Linotype"/>
          <w:sz w:val="22"/>
          <w:szCs w:val="22"/>
        </w:rPr>
        <w:t>traer a contexto la Ley Orgánica Municipal del Estado de México y el Bando Municipal del Sujeto Obligado, normatividades que contienen lo siguiente:</w:t>
      </w:r>
    </w:p>
    <w:p w14:paraId="63A10F79" w14:textId="77777777" w:rsidR="00BA3BE9" w:rsidRPr="009F5460" w:rsidRDefault="00BA3BE9"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0EAB94B" w14:textId="77777777" w:rsidR="00BA3BE9" w:rsidRPr="009F5460" w:rsidRDefault="00BA3BE9" w:rsidP="00BA3BE9">
      <w:pPr>
        <w:pBdr>
          <w:top w:val="nil"/>
          <w:left w:val="nil"/>
          <w:bottom w:val="nil"/>
          <w:right w:val="nil"/>
          <w:between w:val="nil"/>
        </w:pBdr>
        <w:spacing w:line="360" w:lineRule="auto"/>
        <w:ind w:left="567" w:right="616"/>
        <w:jc w:val="center"/>
        <w:rPr>
          <w:rFonts w:ascii="Palatino Linotype" w:hAnsi="Palatino Linotype"/>
          <w:b/>
          <w:i/>
          <w:sz w:val="22"/>
          <w:szCs w:val="22"/>
        </w:rPr>
      </w:pPr>
      <w:r w:rsidRPr="009F5460">
        <w:rPr>
          <w:rFonts w:ascii="Palatino Linotype" w:hAnsi="Palatino Linotype"/>
          <w:b/>
          <w:i/>
          <w:sz w:val="22"/>
          <w:szCs w:val="22"/>
        </w:rPr>
        <w:t>CAPITULO SEGUNDO</w:t>
      </w:r>
    </w:p>
    <w:p w14:paraId="7B146676" w14:textId="40669CAB" w:rsidR="00BA3BE9" w:rsidRPr="009F5460" w:rsidRDefault="00BA3BE9" w:rsidP="00BA3BE9">
      <w:pPr>
        <w:pBdr>
          <w:top w:val="nil"/>
          <w:left w:val="nil"/>
          <w:bottom w:val="nil"/>
          <w:right w:val="nil"/>
          <w:between w:val="nil"/>
        </w:pBdr>
        <w:spacing w:line="360" w:lineRule="auto"/>
        <w:ind w:left="567" w:right="616"/>
        <w:jc w:val="center"/>
        <w:rPr>
          <w:rFonts w:ascii="Palatino Linotype" w:hAnsi="Palatino Linotype"/>
          <w:b/>
          <w:i/>
          <w:sz w:val="22"/>
          <w:szCs w:val="22"/>
        </w:rPr>
      </w:pPr>
      <w:r w:rsidRPr="009F5460">
        <w:rPr>
          <w:rFonts w:ascii="Palatino Linotype" w:hAnsi="Palatino Linotype"/>
          <w:b/>
          <w:i/>
          <w:sz w:val="22"/>
          <w:szCs w:val="22"/>
        </w:rPr>
        <w:t>De la Tesorería Municipal</w:t>
      </w:r>
    </w:p>
    <w:p w14:paraId="355ABC7A"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 xml:space="preserve">Artículo 93.- La tesorería municipal es el órgano encargado de la recaudación de los ingresos municipales y responsable de realizar las erogaciones que haga el ayuntamiento. </w:t>
      </w:r>
    </w:p>
    <w:p w14:paraId="36309255"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p>
    <w:p w14:paraId="006A8825"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 xml:space="preserve">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 </w:t>
      </w:r>
    </w:p>
    <w:p w14:paraId="1944E935"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p>
    <w:p w14:paraId="34DB76BD" w14:textId="11F5AEF0" w:rsidR="00BA3BE9" w:rsidRPr="009F5460" w:rsidRDefault="00BA3BE9" w:rsidP="00BA3BE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F5460">
        <w:rPr>
          <w:rFonts w:ascii="Palatino Linotype" w:hAnsi="Palatino Linotype"/>
          <w:i/>
          <w:sz w:val="22"/>
          <w:szCs w:val="22"/>
        </w:rPr>
        <w:t>Artículo 95.- Son atribuciones del tesorero municipal:</w:t>
      </w:r>
    </w:p>
    <w:p w14:paraId="62670C12" w14:textId="2DFA8CF4"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I. Administrar la hacienda pública municipal, de conformidad con las disposiciones legales aplicables;</w:t>
      </w:r>
    </w:p>
    <w:p w14:paraId="7FFE346C" w14:textId="3B4E812C" w:rsidR="00BA3BE9" w:rsidRPr="009F5460" w:rsidRDefault="00BA3BE9" w:rsidP="00BA3BE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lastRenderedPageBreak/>
        <w:t>...</w:t>
      </w:r>
    </w:p>
    <w:p w14:paraId="4DBE53C5" w14:textId="036A56A5"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IV. Llevar los registros contables, financieros y administrativos de los ingresos, egresos, e inventarios;</w:t>
      </w:r>
    </w:p>
    <w:p w14:paraId="218A9DC8" w14:textId="592798D4" w:rsidR="00BA3BE9" w:rsidRPr="009F5460" w:rsidRDefault="00BA3BE9" w:rsidP="00BA3BE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5F1EE371"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E82E7C0" w14:textId="5A7B1F24" w:rsidR="00BA3BE9" w:rsidRPr="009F5460" w:rsidRDefault="00BA3BE9" w:rsidP="00BA3BE9">
      <w:pPr>
        <w:pBdr>
          <w:top w:val="nil"/>
          <w:left w:val="nil"/>
          <w:bottom w:val="nil"/>
          <w:right w:val="nil"/>
          <w:between w:val="nil"/>
        </w:pBdr>
        <w:spacing w:line="360" w:lineRule="auto"/>
        <w:ind w:left="567" w:right="616"/>
        <w:jc w:val="center"/>
        <w:rPr>
          <w:rFonts w:ascii="Palatino Linotype" w:hAnsi="Palatino Linotype"/>
          <w:b/>
          <w:i/>
          <w:sz w:val="22"/>
          <w:szCs w:val="22"/>
        </w:rPr>
      </w:pPr>
      <w:r w:rsidRPr="009F5460">
        <w:rPr>
          <w:rFonts w:ascii="Palatino Linotype" w:hAnsi="Palatino Linotype"/>
          <w:b/>
          <w:i/>
          <w:sz w:val="22"/>
          <w:szCs w:val="22"/>
        </w:rPr>
        <w:t>De la Hacienda Pública Municipal</w:t>
      </w:r>
    </w:p>
    <w:p w14:paraId="05F2B9C7"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 xml:space="preserve">Artículo 57.- La Tesorería Municipal se encargará de la recaudación de los ingresos municipales y es responsable de realizar las erogaciones que haga el Ayuntamiento. </w:t>
      </w:r>
    </w:p>
    <w:p w14:paraId="2E15AE27"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p>
    <w:p w14:paraId="10C6EAB5"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 xml:space="preserve">Artículo 58.- La Tesorería Municipal aplicará las disposiciones financieras, de disciplina y de contabilidad del gasto público inherentes a su encargo, acorde a la legislación aplicable y vigente. </w:t>
      </w:r>
    </w:p>
    <w:p w14:paraId="00AF1483"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p>
    <w:p w14:paraId="57B29AF0"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 xml:space="preserve">Artículo 59.- La Tesorería Municipal, administra la hacienda pública de acuerdo a las disposiciones normativas aplicables. </w:t>
      </w:r>
    </w:p>
    <w:p w14:paraId="599FAAF3" w14:textId="77777777"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p>
    <w:p w14:paraId="0D6D0C0B" w14:textId="79EECF9D" w:rsidR="00BA3BE9" w:rsidRPr="009F5460" w:rsidRDefault="00BA3BE9" w:rsidP="00BA3BE9">
      <w:pPr>
        <w:pBdr>
          <w:top w:val="nil"/>
          <w:left w:val="nil"/>
          <w:bottom w:val="nil"/>
          <w:right w:val="nil"/>
          <w:between w:val="nil"/>
        </w:pBdr>
        <w:spacing w:line="360" w:lineRule="auto"/>
        <w:ind w:left="567" w:right="616"/>
        <w:jc w:val="both"/>
        <w:rPr>
          <w:rFonts w:ascii="Palatino Linotype" w:hAnsi="Palatino Linotype"/>
          <w:i/>
          <w:sz w:val="22"/>
          <w:szCs w:val="22"/>
        </w:rPr>
      </w:pPr>
      <w:r w:rsidRPr="009F5460">
        <w:rPr>
          <w:rFonts w:ascii="Palatino Linotype" w:hAnsi="Palatino Linotype"/>
          <w:i/>
          <w:sz w:val="22"/>
          <w:szCs w:val="22"/>
        </w:rPr>
        <w:t>Artículo 60.- Las demás que el Ayuntamiento le encomiende y aquellas que se encuentren contenidas en las leyes y disposiciones normativas.</w:t>
      </w:r>
    </w:p>
    <w:p w14:paraId="5D6E224A" w14:textId="77777777" w:rsidR="00BA3BE9" w:rsidRPr="009F5460" w:rsidRDefault="00BA3BE9" w:rsidP="00DA716F">
      <w:pPr>
        <w:pBdr>
          <w:top w:val="nil"/>
          <w:left w:val="nil"/>
          <w:bottom w:val="nil"/>
          <w:right w:val="nil"/>
          <w:between w:val="nil"/>
        </w:pBdr>
        <w:spacing w:line="360" w:lineRule="auto"/>
        <w:ind w:right="-150"/>
        <w:jc w:val="both"/>
      </w:pPr>
    </w:p>
    <w:p w14:paraId="0CE12F74" w14:textId="77777777" w:rsidR="009461C0" w:rsidRPr="009F5460" w:rsidRDefault="009461C0" w:rsidP="009461C0">
      <w:pPr>
        <w:spacing w:before="240"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5E61BA8"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w:t>
      </w:r>
      <w:r w:rsidRPr="009F5460">
        <w:rPr>
          <w:rFonts w:ascii="Palatino Linotype" w:eastAsia="Palatino Linotype" w:hAnsi="Palatino Linotype" w:cs="Palatino Linotype"/>
          <w:sz w:val="22"/>
          <w:szCs w:val="22"/>
        </w:rPr>
        <w:lastRenderedPageBreak/>
        <w:t xml:space="preserve">además de llevar a cabo todas las gestiones necesarias para facilitar el acceso de la información; </w:t>
      </w:r>
    </w:p>
    <w:p w14:paraId="57BFBD71"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1D387D7"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B0F439B"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3A17EED"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58F4056" w14:textId="77777777" w:rsidR="009461C0" w:rsidRPr="009F5460" w:rsidRDefault="009461C0" w:rsidP="009461C0">
      <w:pPr>
        <w:spacing w:after="240"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3A3EEFF" w14:textId="50EA30D5" w:rsidR="009461C0" w:rsidRPr="009F5460" w:rsidRDefault="009461C0" w:rsidP="009461C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lastRenderedPageBreak/>
        <w:t xml:space="preserve">En este orden de ideas, se reitera que la Unidad de Transparencia turnó la solicitud de información a la Tesorería Municipal, la cual cuenta con atribuciones para generar, administrar o poseer la información requerida; conforme a la Ley Orgánica Municipal y el Bando Municipal vigentes, con lo que se acreditó que se realizó una correcta búsqueda exhaustiva y razonable de la información. </w:t>
      </w:r>
    </w:p>
    <w:p w14:paraId="7572874C" w14:textId="77777777" w:rsidR="009461C0" w:rsidRPr="009F5460" w:rsidRDefault="009461C0" w:rsidP="00BA3BE9">
      <w:pPr>
        <w:spacing w:line="360" w:lineRule="auto"/>
        <w:jc w:val="both"/>
        <w:rPr>
          <w:rFonts w:ascii="Palatino Linotype" w:hAnsi="Palatino Linotype" w:cs="Tahoma"/>
          <w:bCs/>
          <w:iCs/>
          <w:sz w:val="22"/>
          <w:szCs w:val="22"/>
        </w:rPr>
      </w:pPr>
    </w:p>
    <w:p w14:paraId="113E1E28" w14:textId="45D60183" w:rsidR="009461C0" w:rsidRPr="009F5460" w:rsidRDefault="009461C0" w:rsidP="009461C0">
      <w:pPr>
        <w:spacing w:line="360" w:lineRule="auto"/>
        <w:jc w:val="both"/>
        <w:rPr>
          <w:rFonts w:ascii="Palatino Linotype" w:hAnsi="Palatino Linotype" w:cs="Tahoma"/>
          <w:bCs/>
          <w:iCs/>
          <w:sz w:val="22"/>
          <w:szCs w:val="22"/>
        </w:rPr>
      </w:pPr>
      <w:r w:rsidRPr="009F5460">
        <w:rPr>
          <w:rFonts w:ascii="Palatino Linotype" w:hAnsi="Palatino Linotype" w:cs="Tahoma"/>
          <w:bCs/>
          <w:iCs/>
          <w:sz w:val="22"/>
          <w:szCs w:val="22"/>
        </w:rPr>
        <w:t xml:space="preserve">Ahora bien, de la respuesta se advierten dos elementos de suma importancia, el primero de ellos es que el Tesorero Municipal indicó que la información requerida se encuentra en los Estados Comparativos de Egresos, los cuales se pueden consultar en la dirección electrónica </w:t>
      </w:r>
      <w:r w:rsidRPr="009F5460">
        <w:rPr>
          <w:rFonts w:ascii="Palatino Linotype" w:eastAsia="Palatino Linotype" w:hAnsi="Palatino Linotype" w:cs="Palatino Linotype"/>
          <w:noProof/>
          <w:color w:val="000000"/>
          <w:sz w:val="22"/>
          <w:szCs w:val="22"/>
          <w:lang w:val="es-MX" w:eastAsia="es-MX"/>
        </w:rPr>
        <w:drawing>
          <wp:inline distT="0" distB="0" distL="0" distR="0" wp14:anchorId="1717A559" wp14:editId="012EFF62">
            <wp:extent cx="1181265" cy="181000"/>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1265" cy="181000"/>
                    </a:xfrm>
                    <a:prstGeom prst="rect">
                      <a:avLst/>
                    </a:prstGeom>
                  </pic:spPr>
                </pic:pic>
              </a:graphicData>
            </a:graphic>
          </wp:inline>
        </w:drawing>
      </w:r>
      <w:r w:rsidRPr="009F5460">
        <w:rPr>
          <w:noProof/>
          <w:lang w:val="es-MX" w:eastAsia="es-MX"/>
        </w:rPr>
        <w:t xml:space="preserve"> </w:t>
      </w:r>
      <w:r w:rsidRPr="009F5460">
        <w:rPr>
          <w:rFonts w:ascii="Palatino Linotype" w:eastAsia="Palatino Linotype" w:hAnsi="Palatino Linotype" w:cs="Palatino Linotype"/>
          <w:noProof/>
          <w:color w:val="000000"/>
          <w:sz w:val="22"/>
          <w:szCs w:val="22"/>
          <w:lang w:val="es-MX" w:eastAsia="es-MX"/>
        </w:rPr>
        <w:drawing>
          <wp:inline distT="0" distB="0" distL="0" distR="0" wp14:anchorId="030800FC" wp14:editId="651A87BB">
            <wp:extent cx="1638529" cy="181000"/>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529" cy="181000"/>
                    </a:xfrm>
                    <a:prstGeom prst="rect">
                      <a:avLst/>
                    </a:prstGeom>
                  </pic:spPr>
                </pic:pic>
              </a:graphicData>
            </a:graphic>
          </wp:inline>
        </w:drawing>
      </w:r>
    </w:p>
    <w:p w14:paraId="0B748C7C" w14:textId="77777777" w:rsidR="009461C0" w:rsidRPr="009F5460" w:rsidRDefault="009461C0" w:rsidP="00BA3BE9">
      <w:pPr>
        <w:spacing w:line="360" w:lineRule="auto"/>
        <w:jc w:val="both"/>
        <w:rPr>
          <w:rFonts w:ascii="Palatino Linotype" w:hAnsi="Palatino Linotype" w:cs="Tahoma"/>
          <w:bCs/>
          <w:iCs/>
          <w:sz w:val="22"/>
          <w:szCs w:val="22"/>
        </w:rPr>
      </w:pPr>
    </w:p>
    <w:p w14:paraId="6CFA8B2D" w14:textId="3E04D163" w:rsidR="00BA3BE9" w:rsidRPr="009F5460" w:rsidRDefault="00BA3BE9" w:rsidP="00BA3BE9">
      <w:pPr>
        <w:pStyle w:val="Prrafodelista"/>
        <w:spacing w:line="360" w:lineRule="auto"/>
        <w:ind w:left="0"/>
        <w:contextualSpacing/>
        <w:jc w:val="both"/>
        <w:rPr>
          <w:rFonts w:ascii="Palatino Linotype" w:eastAsia="MS Mincho" w:hAnsi="Palatino Linotype"/>
        </w:rPr>
      </w:pPr>
      <w:r w:rsidRPr="009F5460">
        <w:rPr>
          <w:rFonts w:ascii="Palatino Linotype" w:eastAsia="Palatino Linotype" w:hAnsi="Palatino Linotype" w:cs="Palatino Linotype"/>
          <w:color w:val="000000"/>
        </w:rPr>
        <w:t xml:space="preserve">Al respecto es necesario precisar que la Ley de Transparencia y Acceso a la Información Pública del Estado de México y Municipios establece en su artículo 11 que en </w:t>
      </w:r>
      <w:r w:rsidRPr="009F5460">
        <w:rPr>
          <w:rFonts w:ascii="Palatino Linotype" w:eastAsia="Palatino Linotype" w:hAnsi="Palatino Linotype" w:cs="Palatino Linotype"/>
          <w:i/>
          <w:color w:val="000000"/>
        </w:rPr>
        <w:t xml:space="preserve">la entrega de la información se deberá garantizar que ésta sea </w:t>
      </w:r>
      <w:r w:rsidRPr="009F5460">
        <w:rPr>
          <w:rFonts w:ascii="Palatino Linotype" w:eastAsia="Palatino Linotype" w:hAnsi="Palatino Linotype" w:cs="Palatino Linotype"/>
          <w:b/>
          <w:i/>
          <w:color w:val="000000"/>
        </w:rPr>
        <w:t>accesible</w:t>
      </w:r>
      <w:r w:rsidRPr="009F5460">
        <w:rPr>
          <w:rFonts w:ascii="Palatino Linotype" w:eastAsia="Palatino Linotype" w:hAnsi="Palatino Linotype" w:cs="Palatino Linotype"/>
          <w:i/>
          <w:color w:val="000000"/>
        </w:rPr>
        <w:t xml:space="preserve">, </w:t>
      </w:r>
      <w:r w:rsidRPr="009F5460">
        <w:rPr>
          <w:rFonts w:ascii="Palatino Linotype" w:eastAsia="Palatino Linotype" w:hAnsi="Palatino Linotype" w:cs="Palatino Linotype"/>
          <w:b/>
          <w:i/>
          <w:color w:val="000000"/>
        </w:rPr>
        <w:t>actualizada, completa,</w:t>
      </w:r>
      <w:r w:rsidRPr="009F5460">
        <w:rPr>
          <w:rFonts w:ascii="Palatino Linotype" w:eastAsia="Palatino Linotype" w:hAnsi="Palatino Linotype" w:cs="Palatino Linotype"/>
          <w:i/>
          <w:color w:val="000000"/>
        </w:rPr>
        <w:t xml:space="preserve"> congruente, confiable, </w:t>
      </w:r>
      <w:r w:rsidRPr="009F5460">
        <w:rPr>
          <w:rFonts w:ascii="Palatino Linotype" w:eastAsia="Palatino Linotype" w:hAnsi="Palatino Linotype" w:cs="Palatino Linotype"/>
          <w:b/>
          <w:i/>
          <w:color w:val="000000"/>
        </w:rPr>
        <w:t>verificable</w:t>
      </w:r>
      <w:r w:rsidRPr="009F5460">
        <w:rPr>
          <w:rFonts w:ascii="Palatino Linotype" w:eastAsia="Palatino Linotype" w:hAnsi="Palatino Linotype" w:cs="Palatino Linotype"/>
          <w:i/>
          <w:color w:val="000000"/>
        </w:rPr>
        <w:t xml:space="preserve">, veraz, integral, oportuna y expedita. </w:t>
      </w:r>
      <w:r w:rsidRPr="009F5460">
        <w:rPr>
          <w:rFonts w:ascii="Palatino Linotype" w:eastAsia="Palatino Linotype" w:hAnsi="Palatino Linotype" w:cs="Palatino Linotype"/>
          <w:color w:val="000000"/>
        </w:rPr>
        <w:t>Asimismo, el artículo 161 de la Ley en comento, refiere lo siguiente:</w:t>
      </w:r>
    </w:p>
    <w:p w14:paraId="62BA1DB4" w14:textId="77777777" w:rsidR="00BA3BE9" w:rsidRPr="009F5460" w:rsidRDefault="00BA3BE9" w:rsidP="00BA3BE9">
      <w:pPr>
        <w:pBdr>
          <w:top w:val="nil"/>
          <w:left w:val="nil"/>
          <w:bottom w:val="nil"/>
          <w:right w:val="nil"/>
          <w:between w:val="nil"/>
        </w:pBdr>
        <w:ind w:left="708"/>
        <w:jc w:val="both"/>
        <w:rPr>
          <w:rFonts w:ascii="Palatino Linotype" w:eastAsia="Palatino Linotype" w:hAnsi="Palatino Linotype" w:cs="Palatino Linotype"/>
          <w:color w:val="000000"/>
          <w:sz w:val="22"/>
          <w:szCs w:val="22"/>
        </w:rPr>
      </w:pPr>
    </w:p>
    <w:p w14:paraId="19127303" w14:textId="77777777" w:rsidR="00BA3BE9" w:rsidRPr="009F5460" w:rsidRDefault="00BA3BE9" w:rsidP="00BA3BE9">
      <w:pPr>
        <w:spacing w:line="360" w:lineRule="auto"/>
        <w:ind w:left="567" w:right="567"/>
        <w:jc w:val="both"/>
        <w:rPr>
          <w:rFonts w:ascii="Palatino Linotype" w:eastAsia="Palatino Linotype" w:hAnsi="Palatino Linotype" w:cs="Palatino Linotype"/>
          <w:b/>
          <w:i/>
          <w:sz w:val="22"/>
          <w:szCs w:val="22"/>
        </w:rPr>
      </w:pPr>
      <w:r w:rsidRPr="009F5460">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9F5460">
        <w:rPr>
          <w:rFonts w:ascii="Palatino Linotype" w:eastAsia="Palatino Linotype" w:hAnsi="Palatino Linotype" w:cs="Palatino Linotype"/>
          <w:i/>
          <w:sz w:val="22"/>
          <w:szCs w:val="22"/>
        </w:rPr>
        <w:t xml:space="preserve">en medios impresos, tales como libros, compendios, trípticos, registros públicos, </w:t>
      </w:r>
      <w:r w:rsidRPr="009F5460">
        <w:rPr>
          <w:rFonts w:ascii="Palatino Linotype" w:eastAsia="Palatino Linotype" w:hAnsi="Palatino Linotype" w:cs="Palatino Linotype"/>
          <w:b/>
          <w:i/>
          <w:sz w:val="22"/>
          <w:szCs w:val="22"/>
        </w:rPr>
        <w:t>en formatos electrónicos</w:t>
      </w:r>
      <w:r w:rsidRPr="009F5460">
        <w:rPr>
          <w:rFonts w:ascii="Palatino Linotype" w:eastAsia="Palatino Linotype" w:hAnsi="Palatino Linotype" w:cs="Palatino Linotype"/>
          <w:i/>
          <w:sz w:val="22"/>
          <w:szCs w:val="22"/>
        </w:rPr>
        <w:t xml:space="preserve"> disponibles en Internet o en cualquier otro medio, </w:t>
      </w:r>
      <w:r w:rsidRPr="009F5460">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3D2EDCA" w14:textId="77777777" w:rsidR="00BA3BE9" w:rsidRPr="009F5460" w:rsidRDefault="00BA3BE9" w:rsidP="00BA3BE9">
      <w:pPr>
        <w:spacing w:line="360" w:lineRule="auto"/>
        <w:ind w:left="567" w:right="567"/>
        <w:jc w:val="both"/>
        <w:rPr>
          <w:rFonts w:ascii="Palatino Linotype" w:eastAsia="Palatino Linotype" w:hAnsi="Palatino Linotype" w:cs="Palatino Linotype"/>
          <w:b/>
          <w:i/>
          <w:sz w:val="22"/>
          <w:szCs w:val="22"/>
        </w:rPr>
      </w:pPr>
      <w:r w:rsidRPr="009F5460">
        <w:rPr>
          <w:rFonts w:ascii="Palatino Linotype" w:eastAsia="Palatino Linotype" w:hAnsi="Palatino Linotype" w:cs="Palatino Linotype"/>
          <w:b/>
          <w:i/>
          <w:sz w:val="22"/>
          <w:szCs w:val="22"/>
        </w:rPr>
        <w:t>(Énfasis añadido)</w:t>
      </w:r>
    </w:p>
    <w:p w14:paraId="7DF944F5" w14:textId="77777777" w:rsidR="00BA3BE9" w:rsidRPr="009F5460" w:rsidRDefault="00BA3BE9" w:rsidP="00BA3BE9">
      <w:pPr>
        <w:spacing w:line="360" w:lineRule="auto"/>
        <w:ind w:left="567" w:right="567"/>
        <w:jc w:val="both"/>
        <w:rPr>
          <w:rFonts w:ascii="Palatino Linotype" w:eastAsia="Palatino Linotype" w:hAnsi="Palatino Linotype" w:cs="Palatino Linotype"/>
          <w:b/>
          <w:i/>
          <w:sz w:val="22"/>
          <w:szCs w:val="22"/>
        </w:rPr>
      </w:pPr>
    </w:p>
    <w:p w14:paraId="5ED75E78" w14:textId="77777777" w:rsidR="00BA3BE9" w:rsidRPr="009F5460" w:rsidRDefault="00BA3BE9" w:rsidP="00BA3BE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w:t>
      </w:r>
      <w:r w:rsidRPr="009F5460">
        <w:rPr>
          <w:rFonts w:ascii="Palatino Linotype" w:eastAsia="Palatino Linotype" w:hAnsi="Palatino Linotype" w:cs="Palatino Linotype"/>
          <w:b/>
          <w:color w:val="000000"/>
          <w:sz w:val="22"/>
          <w:szCs w:val="22"/>
        </w:rPr>
        <w:t>Esta dirección electrónica debe ser precisa, de tal modo que no implique realizar una búsqueda en toda la información que ahí se encuentre, debiendo cumplir</w:t>
      </w:r>
      <w:r w:rsidRPr="009F5460">
        <w:rPr>
          <w:rFonts w:ascii="Palatino Linotype" w:eastAsia="Palatino Linotype" w:hAnsi="Palatino Linotype" w:cs="Palatino Linotype"/>
          <w:color w:val="000000"/>
          <w:sz w:val="22"/>
          <w:szCs w:val="22"/>
        </w:rPr>
        <w:t xml:space="preserve"> una serie de requisitos, a saber:</w:t>
      </w:r>
    </w:p>
    <w:p w14:paraId="074FF7FD" w14:textId="77777777" w:rsidR="00BA3BE9" w:rsidRPr="009F5460" w:rsidRDefault="00BA3BE9" w:rsidP="00BA3BE9">
      <w:pPr>
        <w:pBdr>
          <w:top w:val="nil"/>
          <w:left w:val="nil"/>
          <w:bottom w:val="nil"/>
          <w:right w:val="nil"/>
          <w:between w:val="nil"/>
        </w:pBdr>
        <w:spacing w:line="360" w:lineRule="auto"/>
        <w:ind w:left="720" w:right="48"/>
        <w:jc w:val="both"/>
        <w:rPr>
          <w:rFonts w:ascii="Palatino Linotype" w:eastAsia="Palatino Linotype" w:hAnsi="Palatino Linotype" w:cs="Palatino Linotype"/>
          <w:b/>
          <w:color w:val="000000"/>
          <w:sz w:val="22"/>
          <w:szCs w:val="22"/>
        </w:rPr>
      </w:pPr>
    </w:p>
    <w:p w14:paraId="21E968F2" w14:textId="77777777" w:rsidR="00BA3BE9" w:rsidRPr="009F5460" w:rsidRDefault="00BA3BE9" w:rsidP="00BA3BE9">
      <w:pPr>
        <w:numPr>
          <w:ilvl w:val="0"/>
          <w:numId w:val="13"/>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La dirección electrónica debe señalarse en un plazo no mayor a cinco días hábiles;</w:t>
      </w:r>
    </w:p>
    <w:p w14:paraId="126BE30F" w14:textId="77777777" w:rsidR="00BA3BE9" w:rsidRPr="009F5460" w:rsidRDefault="00BA3BE9" w:rsidP="00BA3BE9">
      <w:pPr>
        <w:numPr>
          <w:ilvl w:val="0"/>
          <w:numId w:val="13"/>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La dirección electrónica debe ser precisa, de tal modo que no implique realizar una búsqueda en toda la información que ahí se encuentre; y,</w:t>
      </w:r>
    </w:p>
    <w:p w14:paraId="4FF27371" w14:textId="77777777" w:rsidR="00BA3BE9" w:rsidRPr="009F5460" w:rsidRDefault="00BA3BE9" w:rsidP="00BA3BE9">
      <w:pPr>
        <w:numPr>
          <w:ilvl w:val="0"/>
          <w:numId w:val="13"/>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rPr>
        <w:t>La dirección electrónica debe ir acompañada del procedimiento a seguir, en caso de que la información se encuentre en distintos puntos del sitio electrónico referido; y,</w:t>
      </w:r>
    </w:p>
    <w:p w14:paraId="23438A59" w14:textId="77777777" w:rsidR="00BA3BE9" w:rsidRPr="009F5460" w:rsidRDefault="00BA3BE9" w:rsidP="00BA3BE9">
      <w:pPr>
        <w:numPr>
          <w:ilvl w:val="0"/>
          <w:numId w:val="13"/>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u w:val="single"/>
        </w:rPr>
        <w:t>La dirección electrónica se debe entregar en formato abierto,</w:t>
      </w:r>
      <w:r w:rsidRPr="009F5460">
        <w:rPr>
          <w:rFonts w:ascii="Palatino Linotype" w:eastAsia="Palatino Linotype" w:hAnsi="Palatino Linotype" w:cs="Palatino Linotype"/>
          <w:b/>
          <w:color w:val="000000"/>
          <w:sz w:val="22"/>
          <w:szCs w:val="22"/>
        </w:rPr>
        <w:t xml:space="preserve"> para que el Recurrente pueda copiar y pegar sin la necesidad de transcribir la liga electrónica.</w:t>
      </w:r>
    </w:p>
    <w:p w14:paraId="711F3911" w14:textId="77777777" w:rsidR="00BA3BE9" w:rsidRPr="009F5460" w:rsidRDefault="00BA3BE9"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A56681" w14:textId="78CB3CF0" w:rsidR="000E64FB" w:rsidRPr="009F5460" w:rsidRDefault="00BA3BE9"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En el presente asunto, la </w:t>
      </w:r>
      <w:r w:rsidR="009461C0" w:rsidRPr="009F5460">
        <w:rPr>
          <w:rFonts w:ascii="Palatino Linotype" w:eastAsia="Palatino Linotype" w:hAnsi="Palatino Linotype" w:cs="Palatino Linotype"/>
          <w:sz w:val="22"/>
          <w:szCs w:val="22"/>
        </w:rPr>
        <w:t xml:space="preserve">Tesorería Municipal </w:t>
      </w:r>
      <w:r w:rsidRPr="009F5460">
        <w:rPr>
          <w:rFonts w:ascii="Palatino Linotype" w:eastAsia="Palatino Linotype" w:hAnsi="Palatino Linotype" w:cs="Palatino Linotype"/>
          <w:sz w:val="22"/>
          <w:szCs w:val="22"/>
        </w:rPr>
        <w:t xml:space="preserve">entregó la </w:t>
      </w:r>
      <w:r w:rsidR="009461C0" w:rsidRPr="009F5460">
        <w:rPr>
          <w:rFonts w:ascii="Palatino Linotype" w:eastAsia="Palatino Linotype" w:hAnsi="Palatino Linotype" w:cs="Palatino Linotype"/>
          <w:sz w:val="22"/>
          <w:szCs w:val="22"/>
        </w:rPr>
        <w:t xml:space="preserve">dirección electrónica en formato cerrado, lo que propicia que el Recurrente deba transcribir cada uno de los caracteres, lo que facilita a errores y con ello la imposibilidad de acceder a la información. Pese a lo anterior, el Recurrente señaló </w:t>
      </w:r>
      <w:r w:rsidR="00BA6B6D" w:rsidRPr="009F5460">
        <w:rPr>
          <w:rFonts w:ascii="Palatino Linotype" w:eastAsia="Palatino Linotype" w:hAnsi="Palatino Linotype" w:cs="Palatino Linotype"/>
          <w:sz w:val="22"/>
          <w:szCs w:val="22"/>
        </w:rPr>
        <w:t>que la dirección electrónica no contiene la información específica a su solicitud, siendo información global y generalizada, así como tampoco se encuentran las pólizas correspondientes</w:t>
      </w:r>
      <w:r w:rsidR="002D1DCF" w:rsidRPr="009F5460">
        <w:rPr>
          <w:rFonts w:ascii="Palatino Linotype" w:eastAsia="Palatino Linotype" w:hAnsi="Palatino Linotype" w:cs="Palatino Linotype"/>
          <w:sz w:val="22"/>
          <w:szCs w:val="22"/>
        </w:rPr>
        <w:t>, por lo que se</w:t>
      </w:r>
      <w:r w:rsidR="000E64FB" w:rsidRPr="009F5460">
        <w:rPr>
          <w:rFonts w:ascii="Palatino Linotype" w:eastAsia="Palatino Linotype" w:hAnsi="Palatino Linotype" w:cs="Palatino Linotype"/>
          <w:sz w:val="22"/>
          <w:szCs w:val="22"/>
        </w:rPr>
        <w:t xml:space="preserve"> procedió a verificar el contenido de la dirección electrónica, la cual contiene lo siguiente:</w:t>
      </w:r>
    </w:p>
    <w:p w14:paraId="621871F4" w14:textId="78FCA8E2" w:rsidR="000E64FB" w:rsidRPr="009F5460" w:rsidRDefault="000E64FB"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noProof/>
          <w:sz w:val="22"/>
          <w:szCs w:val="22"/>
          <w:lang w:val="es-MX" w:eastAsia="es-MX"/>
        </w:rPr>
        <w:lastRenderedPageBreak/>
        <w:drawing>
          <wp:inline distT="0" distB="0" distL="0" distR="0" wp14:anchorId="0FE7D021" wp14:editId="0464015D">
            <wp:extent cx="5612130" cy="438912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389120"/>
                    </a:xfrm>
                    <a:prstGeom prst="rect">
                      <a:avLst/>
                    </a:prstGeom>
                  </pic:spPr>
                </pic:pic>
              </a:graphicData>
            </a:graphic>
          </wp:inline>
        </w:drawing>
      </w:r>
    </w:p>
    <w:p w14:paraId="23C5FC20" w14:textId="77777777" w:rsidR="00BA3BE9" w:rsidRPr="009F5460" w:rsidRDefault="00BA3BE9"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C475DD9" w14:textId="2B959F15" w:rsidR="00BA3BE9" w:rsidRPr="009F5460" w:rsidRDefault="000E64FB"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Tal y como se aprecia, la dirección electrónica no contiene de manera precisa la información que requiere el particular, incumpliendo con ello, l</w:t>
      </w:r>
      <w:r w:rsidR="00BA3BE9" w:rsidRPr="009F5460">
        <w:rPr>
          <w:rFonts w:ascii="Palatino Linotype" w:eastAsia="Palatino Linotype" w:hAnsi="Palatino Linotype" w:cs="Palatino Linotype"/>
          <w:sz w:val="22"/>
          <w:szCs w:val="22"/>
        </w:rPr>
        <w:t>o que estipula el artículo 161 antes ci</w:t>
      </w:r>
      <w:r w:rsidRPr="009F5460">
        <w:rPr>
          <w:rFonts w:ascii="Palatino Linotype" w:eastAsia="Palatino Linotype" w:hAnsi="Palatino Linotype" w:cs="Palatino Linotype"/>
          <w:sz w:val="22"/>
          <w:szCs w:val="22"/>
        </w:rPr>
        <w:t xml:space="preserve">tado, </w:t>
      </w:r>
      <w:r w:rsidR="00BA3BE9" w:rsidRPr="009F5460">
        <w:rPr>
          <w:rFonts w:ascii="Palatino Linotype" w:eastAsia="Palatino Linotype" w:hAnsi="Palatino Linotype" w:cs="Palatino Linotype"/>
          <w:sz w:val="22"/>
          <w:szCs w:val="22"/>
        </w:rPr>
        <w:t>en razón de lo siguiente:</w:t>
      </w:r>
    </w:p>
    <w:p w14:paraId="58E83861" w14:textId="77777777" w:rsidR="00BA3BE9" w:rsidRPr="009F5460" w:rsidRDefault="00BA3BE9" w:rsidP="00BA3BE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FC7C677" w14:textId="77777777" w:rsidR="00BA3BE9" w:rsidRPr="009F5460" w:rsidRDefault="00BA3BE9" w:rsidP="00BA3BE9">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La dirección electrónica se presentó fuera del plazo que establece de cinco días hábiles, al presentarse al décimo día hábil;</w:t>
      </w:r>
    </w:p>
    <w:p w14:paraId="0E15AC49" w14:textId="11B8813A" w:rsidR="00BA3BE9" w:rsidRPr="009F5460" w:rsidRDefault="00BA3BE9" w:rsidP="00BA3BE9">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La dirección electrónica no es precisa, pues implica que el Recurrente tenga que realizar la búsqueda de la información entre toda la que se encuentra disponible;</w:t>
      </w:r>
      <w:r w:rsidR="000E64FB" w:rsidRPr="009F5460">
        <w:rPr>
          <w:rFonts w:ascii="Palatino Linotype" w:eastAsia="Palatino Linotype" w:hAnsi="Palatino Linotype" w:cs="Palatino Linotype"/>
        </w:rPr>
        <w:t xml:space="preserve"> y,</w:t>
      </w:r>
    </w:p>
    <w:p w14:paraId="2604A9E5" w14:textId="725A2B1A" w:rsidR="000E64FB" w:rsidRPr="009F5460" w:rsidRDefault="000E64FB" w:rsidP="00BA3BE9">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La dirección electrónica se encuentra en formato cerrado.</w:t>
      </w:r>
    </w:p>
    <w:p w14:paraId="61A62BC7" w14:textId="4F04CD82" w:rsidR="00C87E9A" w:rsidRPr="009F5460" w:rsidRDefault="00C87E9A" w:rsidP="00C87E9A">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r w:rsidRPr="009F5460">
        <w:rPr>
          <w:rFonts w:ascii="Palatino Linotype" w:eastAsia="Palatino Linotype" w:hAnsi="Palatino Linotype" w:cs="Palatino Linotype"/>
          <w:sz w:val="22"/>
        </w:rPr>
        <w:lastRenderedPageBreak/>
        <w:t xml:space="preserve">En conclusión, se determina que la información proporcionada por el Sujeto Obligado a través del Tesorero Municipal no colma el derecho accionado por el Recurrente. </w:t>
      </w:r>
    </w:p>
    <w:p w14:paraId="064CD616" w14:textId="77777777" w:rsidR="00C87E9A" w:rsidRPr="009F5460" w:rsidRDefault="00C87E9A" w:rsidP="00C87E9A">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p>
    <w:p w14:paraId="32D726F7" w14:textId="1B3F2CCB" w:rsidR="00C87E9A" w:rsidRPr="009F5460" w:rsidRDefault="00C87E9A" w:rsidP="00C87E9A">
      <w:pPr>
        <w:pStyle w:val="Prrafodelista"/>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rPr>
      </w:pPr>
      <w:r w:rsidRPr="009F5460">
        <w:rPr>
          <w:rFonts w:ascii="Palatino Linotype" w:eastAsia="Palatino Linotype" w:hAnsi="Palatino Linotype" w:cs="Palatino Linotype"/>
          <w:b/>
        </w:rPr>
        <w:t>De la modalidad de entrega.</w:t>
      </w:r>
    </w:p>
    <w:p w14:paraId="4CBDC602" w14:textId="77777777" w:rsidR="00C87E9A" w:rsidRPr="009F5460" w:rsidRDefault="00C87E9A" w:rsidP="00C87E9A">
      <w:pPr>
        <w:pStyle w:val="Prrafodelista"/>
        <w:pBdr>
          <w:top w:val="nil"/>
          <w:left w:val="nil"/>
          <w:bottom w:val="nil"/>
          <w:right w:val="nil"/>
          <w:between w:val="nil"/>
        </w:pBdr>
        <w:spacing w:line="360" w:lineRule="auto"/>
        <w:ind w:left="720" w:right="-150"/>
        <w:jc w:val="both"/>
        <w:rPr>
          <w:rFonts w:ascii="Palatino Linotype" w:eastAsia="Palatino Linotype" w:hAnsi="Palatino Linotype" w:cs="Palatino Linotype"/>
          <w:b/>
        </w:rPr>
      </w:pPr>
    </w:p>
    <w:p w14:paraId="2B73B699" w14:textId="4BC0A6BC" w:rsidR="00BA3BE9" w:rsidRPr="009F5460" w:rsidRDefault="00417FC4"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Ahora bien, no escapa de la óptica de este Organismo Garante que el Sujeto Obligado mediante su respuesta refirió de igual forma que la información sería proporcionada a través de consulta directa</w:t>
      </w:r>
      <w:r w:rsidR="00992E41" w:rsidRPr="009F5460">
        <w:rPr>
          <w:rFonts w:ascii="Palatino Linotype" w:eastAsia="Palatino Linotype" w:hAnsi="Palatino Linotype" w:cs="Palatino Linotype"/>
          <w:sz w:val="22"/>
          <w:szCs w:val="22"/>
        </w:rPr>
        <w:t xml:space="preserve">. </w:t>
      </w:r>
    </w:p>
    <w:p w14:paraId="1ADC3903" w14:textId="77777777" w:rsidR="00AD4560" w:rsidRPr="009F5460" w:rsidRDefault="00AD4560"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D5D7D95" w14:textId="53CB660F" w:rsidR="00AD4560" w:rsidRPr="009F5460" w:rsidRDefault="00C87E9A"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b/>
          <w:color w:val="000000"/>
          <w:sz w:val="22"/>
          <w:szCs w:val="22"/>
        </w:rPr>
        <w:t>R</w:t>
      </w:r>
      <w:r w:rsidR="00AD4560" w:rsidRPr="009F5460">
        <w:rPr>
          <w:rFonts w:ascii="Palatino Linotype" w:eastAsia="Palatino Linotype" w:hAnsi="Palatino Linotype" w:cs="Palatino Linotype"/>
          <w:b/>
          <w:color w:val="000000"/>
          <w:sz w:val="22"/>
          <w:szCs w:val="22"/>
        </w:rPr>
        <w:t xml:space="preserve">esulta necesario señalar que </w:t>
      </w:r>
      <w:r w:rsidR="00AD4560" w:rsidRPr="009F5460">
        <w:rPr>
          <w:rFonts w:ascii="Palatino Linotype" w:eastAsia="Palatino Linotype" w:hAnsi="Palatino Linotype" w:cs="Palatino Linotype"/>
          <w:color w:val="000000"/>
          <w:sz w:val="22"/>
          <w:szCs w:val="22"/>
        </w:rPr>
        <w:t xml:space="preserve">el </w:t>
      </w:r>
      <w:r w:rsidR="00AD4560" w:rsidRPr="009F5460">
        <w:rPr>
          <w:rFonts w:ascii="Palatino Linotype" w:eastAsia="Palatino Linotype" w:hAnsi="Palatino Linotype" w:cs="Palatino Linotype"/>
          <w:b/>
          <w:color w:val="000000"/>
          <w:sz w:val="22"/>
          <w:szCs w:val="22"/>
        </w:rPr>
        <w:t>Recurrente</w:t>
      </w:r>
      <w:r w:rsidR="00AD4560" w:rsidRPr="009F5460">
        <w:rPr>
          <w:rFonts w:ascii="Palatino Linotype" w:eastAsia="Palatino Linotype" w:hAnsi="Palatino Linotype" w:cs="Palatino Linotype"/>
          <w:color w:val="000000"/>
          <w:sz w:val="22"/>
          <w:szCs w:val="22"/>
        </w:rPr>
        <w:t xml:space="preserve"> al momento de presentar la solicitud de información que dio origen al Recurso de Revisión que nos ocupa, eligió como modalidad de entrega </w:t>
      </w:r>
      <w:r w:rsidR="00AD4560" w:rsidRPr="009F5460">
        <w:rPr>
          <w:rFonts w:ascii="Palatino Linotype" w:eastAsia="Palatino Linotype" w:hAnsi="Palatino Linotype" w:cs="Palatino Linotype"/>
          <w:i/>
          <w:color w:val="000000"/>
          <w:sz w:val="22"/>
          <w:szCs w:val="22"/>
        </w:rPr>
        <w:t>“Sistema de Acceso a la Información Pública Mexiquense”</w:t>
      </w:r>
      <w:r w:rsidR="00AD4560" w:rsidRPr="009F5460">
        <w:rPr>
          <w:rFonts w:ascii="Palatino Linotype" w:eastAsia="Palatino Linotype" w:hAnsi="Palatino Linotype" w:cs="Palatino Linotype"/>
          <w:color w:val="000000"/>
          <w:sz w:val="22"/>
          <w:szCs w:val="22"/>
        </w:rPr>
        <w:t>, tal como se aprecia a continuación:</w:t>
      </w:r>
    </w:p>
    <w:p w14:paraId="56A76D02"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noProof/>
          <w:color w:val="000000"/>
          <w:sz w:val="22"/>
          <w:szCs w:val="22"/>
          <w:lang w:val="es-MX" w:eastAsia="es-MX"/>
        </w:rPr>
        <w:drawing>
          <wp:inline distT="0" distB="0" distL="0" distR="0" wp14:anchorId="7D67CB67" wp14:editId="11F32AA7">
            <wp:extent cx="5612130" cy="64960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649605"/>
                    </a:xfrm>
                    <a:prstGeom prst="rect">
                      <a:avLst/>
                    </a:prstGeom>
                  </pic:spPr>
                </pic:pic>
              </a:graphicData>
            </a:graphic>
          </wp:inline>
        </w:drawing>
      </w:r>
    </w:p>
    <w:p w14:paraId="700DC22F" w14:textId="77777777" w:rsidR="00AD4560" w:rsidRPr="009F5460" w:rsidRDefault="00AD4560"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El Sujeto Obligado en su respuesta manifestó que existe una imposibilidad técnica administrativa y humana para enviar la información a través del SAIMEX, por lo que se ponen a su disposición en consulta directa, señalando dirección, día y horario de atención.</w:t>
      </w:r>
    </w:p>
    <w:p w14:paraId="5ADF8AD2" w14:textId="77777777" w:rsidR="00AD4560" w:rsidRPr="009F5460" w:rsidRDefault="00AD4560"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4CDD7CF8" w14:textId="77777777" w:rsidR="00AD4560" w:rsidRPr="009F5460" w:rsidRDefault="00AD4560" w:rsidP="00AD4560">
      <w:pPr>
        <w:pBdr>
          <w:top w:val="nil"/>
          <w:left w:val="nil"/>
          <w:bottom w:val="nil"/>
          <w:right w:val="nil"/>
          <w:between w:val="nil"/>
        </w:pBdr>
        <w:spacing w:after="80"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Dicho lo anterior, es necesario señalar que, la Ley de Transparencia y Acceso a la Información Pública del Estado de México y Municipios establece en los artículos 155 fracción V, 158 y 164 lo siguiente:</w:t>
      </w:r>
    </w:p>
    <w:p w14:paraId="68101866" w14:textId="77777777" w:rsidR="00AD4560" w:rsidRPr="009F5460" w:rsidRDefault="00AD4560" w:rsidP="00AD4560">
      <w:pPr>
        <w:pBdr>
          <w:top w:val="nil"/>
          <w:left w:val="nil"/>
          <w:bottom w:val="nil"/>
          <w:right w:val="nil"/>
          <w:between w:val="nil"/>
        </w:pBdr>
        <w:tabs>
          <w:tab w:val="left" w:pos="851"/>
        </w:tabs>
        <w:spacing w:before="80" w:after="240" w:line="360" w:lineRule="auto"/>
        <w:ind w:left="708" w:right="49"/>
        <w:jc w:val="both"/>
        <w:rPr>
          <w:rFonts w:ascii="Palatino Linotype" w:eastAsia="Palatino Linotype" w:hAnsi="Palatino Linotype" w:cs="Palatino Linotype"/>
          <w:color w:val="000000"/>
          <w:sz w:val="22"/>
          <w:szCs w:val="22"/>
        </w:rPr>
      </w:pPr>
    </w:p>
    <w:p w14:paraId="4C84E6E2"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14:paraId="219A402C"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lastRenderedPageBreak/>
        <w:t>I. a IV. …</w:t>
      </w:r>
    </w:p>
    <w:p w14:paraId="359CAA2F"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V. La modalidad en la que prefiere se otorgue el acceso a la información</w:t>
      </w:r>
      <w:r w:rsidRPr="009F5460">
        <w:rPr>
          <w:rFonts w:ascii="Palatino Linotype" w:eastAsia="Palatino Linotype" w:hAnsi="Palatino Linotype" w:cs="Palatino Linotype"/>
          <w:i/>
          <w:color w:val="000000"/>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56398A84"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w:t>
      </w:r>
    </w:p>
    <w:p w14:paraId="7883C1B1"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71AA9809"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14:paraId="38979179" w14:textId="77777777" w:rsidR="00AD4560" w:rsidRPr="009F5460" w:rsidRDefault="00AD4560" w:rsidP="00AD4560">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29B4A0B5" w14:textId="7484A73C" w:rsidR="00AD4560" w:rsidRPr="009F5460" w:rsidRDefault="00AD4560" w:rsidP="00AD4560">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La normatividad en materia establece que </w:t>
      </w:r>
      <w:r w:rsidR="002D1DCF" w:rsidRPr="009F5460">
        <w:rPr>
          <w:rFonts w:ascii="Palatino Linotype" w:eastAsia="Palatino Linotype" w:hAnsi="Palatino Linotype" w:cs="Palatino Linotype"/>
          <w:color w:val="000000"/>
          <w:sz w:val="22"/>
          <w:szCs w:val="22"/>
        </w:rPr>
        <w:t>las solicitudes</w:t>
      </w:r>
      <w:r w:rsidRPr="009F5460">
        <w:rPr>
          <w:rFonts w:ascii="Palatino Linotype" w:eastAsia="Palatino Linotype" w:hAnsi="Palatino Linotype" w:cs="Palatino Linotype"/>
          <w:color w:val="000000"/>
          <w:sz w:val="22"/>
          <w:szCs w:val="22"/>
        </w:rPr>
        <w:t xml:space="preserve"> de acceso a la información que formulen los recurrentes deberán contener, entre otros elementos, </w:t>
      </w:r>
      <w:r w:rsidRPr="009F5460">
        <w:rPr>
          <w:rFonts w:ascii="Palatino Linotype" w:eastAsia="Palatino Linotype" w:hAnsi="Palatino Linotype" w:cs="Palatino Linotype"/>
          <w:b/>
          <w:color w:val="000000"/>
          <w:sz w:val="22"/>
          <w:szCs w:val="22"/>
        </w:rPr>
        <w:t>la modalidad de entrega de la información</w:t>
      </w:r>
      <w:r w:rsidRPr="009F5460">
        <w:rPr>
          <w:rFonts w:ascii="Palatino Linotype" w:eastAsia="Palatino Linotype" w:hAnsi="Palatino Linotype" w:cs="Palatino Linotype"/>
          <w:color w:val="000000"/>
          <w:sz w:val="22"/>
          <w:szCs w:val="22"/>
        </w:rPr>
        <w:t xml:space="preserve">, misma que deberá privilegiarse y será excepcional un cambio de </w:t>
      </w:r>
      <w:r w:rsidRPr="009F5460">
        <w:rPr>
          <w:rFonts w:ascii="Palatino Linotype" w:eastAsia="Palatino Linotype" w:hAnsi="Palatino Linotype" w:cs="Palatino Linotype"/>
          <w:color w:val="000000"/>
          <w:sz w:val="22"/>
          <w:szCs w:val="22"/>
        </w:rPr>
        <w:lastRenderedPageBreak/>
        <w:t xml:space="preserve">modalidad cuando la información sobrepase las capacidades técnicas administrativas y humanas, </w:t>
      </w:r>
      <w:r w:rsidRPr="009F5460">
        <w:rPr>
          <w:rFonts w:ascii="Palatino Linotype" w:eastAsia="Palatino Linotype" w:hAnsi="Palatino Linotype" w:cs="Palatino Linotype"/>
          <w:b/>
          <w:color w:val="000000"/>
          <w:sz w:val="22"/>
          <w:szCs w:val="22"/>
        </w:rPr>
        <w:t>dicho cambio será debidamente fundado y motivado</w:t>
      </w:r>
      <w:r w:rsidRPr="009F5460">
        <w:rPr>
          <w:rFonts w:ascii="Palatino Linotype" w:eastAsia="Palatino Linotype" w:hAnsi="Palatino Linotype" w:cs="Palatino Linotype"/>
          <w:color w:val="000000"/>
          <w:sz w:val="22"/>
          <w:szCs w:val="22"/>
        </w:rPr>
        <w:t>.</w:t>
      </w:r>
    </w:p>
    <w:p w14:paraId="1185F9C0" w14:textId="77777777" w:rsidR="00AD4560" w:rsidRPr="009F5460" w:rsidRDefault="00AD4560" w:rsidP="00AD456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5BCB04DA"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9F5460">
        <w:rPr>
          <w:rFonts w:ascii="Palatino Linotype" w:eastAsia="Palatino Linotype" w:hAnsi="Palatino Linotype" w:cs="Palatino Linotype"/>
          <w:b/>
          <w:color w:val="000000"/>
          <w:sz w:val="22"/>
          <w:szCs w:val="22"/>
        </w:rPr>
        <w:t>eficiencia organizacional para efectuar funciones esenciales</w:t>
      </w:r>
      <w:r w:rsidRPr="009F5460">
        <w:rPr>
          <w:rFonts w:ascii="Palatino Linotype" w:eastAsia="Palatino Linotype" w:hAnsi="Palatino Linotype" w:cs="Palatino Linotype"/>
          <w:color w:val="000000"/>
          <w:sz w:val="22"/>
          <w:szCs w:val="22"/>
        </w:rPr>
        <w:t>.</w:t>
      </w:r>
    </w:p>
    <w:p w14:paraId="168611B0"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30615565"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115CFF8"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5CD8337C"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Desde una perspectiva institucional, la </w:t>
      </w:r>
      <w:r w:rsidRPr="009F5460">
        <w:rPr>
          <w:rFonts w:ascii="Palatino Linotype" w:eastAsia="Palatino Linotype" w:hAnsi="Palatino Linotype" w:cs="Palatino Linotype"/>
          <w:b/>
          <w:color w:val="000000"/>
          <w:sz w:val="22"/>
          <w:szCs w:val="22"/>
        </w:rPr>
        <w:t>capacidad administrativa</w:t>
      </w:r>
      <w:r w:rsidRPr="009F5460">
        <w:rPr>
          <w:rFonts w:ascii="Palatino Linotype" w:eastAsia="Palatino Linotype" w:hAnsi="Palatino Linotype" w:cs="Palatino Linotype"/>
          <w:color w:val="000000"/>
          <w:sz w:val="22"/>
          <w:szCs w:val="22"/>
        </w:rPr>
        <w:t xml:space="preserve"> es entendida como “</w:t>
      </w:r>
      <w:r w:rsidRPr="009F5460">
        <w:rPr>
          <w:rFonts w:ascii="Palatino Linotype" w:eastAsia="Palatino Linotype" w:hAnsi="Palatino Linotype" w:cs="Palatino Linotype"/>
          <w:i/>
          <w:color w:val="000000"/>
          <w:sz w:val="22"/>
          <w:szCs w:val="22"/>
        </w:rPr>
        <w:t xml:space="preserve">las habilidades técnico-burocráticas del aparato estatal requeridas para alcanzar sus objetos. En este componente se ubican el nivel micro y meso de la Capacidad Institucional. El </w:t>
      </w:r>
      <w:r w:rsidRPr="009F5460">
        <w:rPr>
          <w:rFonts w:ascii="Palatino Linotype" w:eastAsia="Palatino Linotype" w:hAnsi="Palatino Linotype" w:cs="Palatino Linotype"/>
          <w:b/>
          <w:i/>
          <w:color w:val="000000"/>
          <w:sz w:val="22"/>
          <w:szCs w:val="22"/>
        </w:rPr>
        <w:t>primero</w:t>
      </w:r>
      <w:r w:rsidRPr="009F5460">
        <w:rPr>
          <w:rFonts w:ascii="Palatino Linotype" w:eastAsia="Palatino Linotype" w:hAnsi="Palatino Linotype" w:cs="Palatino Linotype"/>
          <w:i/>
          <w:color w:val="000000"/>
          <w:sz w:val="22"/>
          <w:szCs w:val="22"/>
        </w:rPr>
        <w:t xml:space="preserve"> hace alusión al individuo, al </w:t>
      </w:r>
      <w:r w:rsidRPr="009F5460">
        <w:rPr>
          <w:rFonts w:ascii="Palatino Linotype" w:eastAsia="Palatino Linotype" w:hAnsi="Palatino Linotype" w:cs="Palatino Linotype"/>
          <w:b/>
          <w:i/>
          <w:color w:val="000000"/>
          <w:sz w:val="22"/>
          <w:szCs w:val="22"/>
        </w:rPr>
        <w:t>recurso humano</w:t>
      </w:r>
      <w:r w:rsidRPr="009F5460">
        <w:rPr>
          <w:rFonts w:ascii="Palatino Linotype" w:eastAsia="Palatino Linotype" w:hAnsi="Palatino Linotype" w:cs="Palatino Linotype"/>
          <w:i/>
          <w:color w:val="000000"/>
          <w:sz w:val="22"/>
          <w:szCs w:val="22"/>
        </w:rPr>
        <w:t xml:space="preserve">. En el segundo nivel, se ubica la </w:t>
      </w:r>
      <w:r w:rsidRPr="009F5460">
        <w:rPr>
          <w:rFonts w:ascii="Palatino Linotype" w:eastAsia="Palatino Linotype" w:hAnsi="Palatino Linotype" w:cs="Palatino Linotype"/>
          <w:b/>
          <w:i/>
          <w:color w:val="000000"/>
          <w:sz w:val="22"/>
          <w:szCs w:val="22"/>
        </w:rPr>
        <w:t>capacidad de gestión</w:t>
      </w:r>
      <w:r w:rsidRPr="009F5460">
        <w:rPr>
          <w:rFonts w:ascii="Palatino Linotype" w:eastAsia="Palatino Linotype" w:hAnsi="Palatino Linotype" w:cs="Palatino Linotype"/>
          <w:i/>
          <w:color w:val="000000"/>
          <w:sz w:val="22"/>
          <w:szCs w:val="22"/>
        </w:rPr>
        <w:t>, el cual se centra en el fortalecimiento organizacional como área de intervención para construir capacidad; cultura organizacional, sistemas de comunicación u organización</w:t>
      </w:r>
      <w:r w:rsidRPr="009F5460">
        <w:rPr>
          <w:rFonts w:ascii="Palatino Linotype" w:eastAsia="Palatino Linotype" w:hAnsi="Palatino Linotype" w:cs="Palatino Linotype"/>
          <w:color w:val="000000"/>
          <w:sz w:val="22"/>
          <w:szCs w:val="22"/>
        </w:rPr>
        <w:t>”</w:t>
      </w:r>
      <w:r w:rsidRPr="009F5460">
        <w:rPr>
          <w:rFonts w:ascii="Palatino Linotype" w:eastAsia="Palatino Linotype" w:hAnsi="Palatino Linotype" w:cs="Palatino Linotype"/>
          <w:i/>
          <w:color w:val="000000"/>
          <w:sz w:val="22"/>
          <w:szCs w:val="22"/>
          <w:vertAlign w:val="superscript"/>
        </w:rPr>
        <w:t xml:space="preserve"> </w:t>
      </w:r>
      <w:r w:rsidRPr="009F5460">
        <w:rPr>
          <w:rFonts w:ascii="Palatino Linotype" w:eastAsia="Palatino Linotype" w:hAnsi="Palatino Linotype" w:cs="Palatino Linotype"/>
          <w:i/>
          <w:color w:val="000000"/>
          <w:sz w:val="22"/>
          <w:szCs w:val="22"/>
          <w:vertAlign w:val="superscript"/>
        </w:rPr>
        <w:footnoteReference w:id="1"/>
      </w:r>
      <w:r w:rsidRPr="009F5460">
        <w:rPr>
          <w:rFonts w:ascii="Palatino Linotype" w:eastAsia="Palatino Linotype" w:hAnsi="Palatino Linotype" w:cs="Palatino Linotype"/>
          <w:color w:val="000000"/>
          <w:sz w:val="22"/>
          <w:szCs w:val="22"/>
        </w:rPr>
        <w:t xml:space="preserve">. </w:t>
      </w:r>
    </w:p>
    <w:p w14:paraId="6D3C0671"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32D01A8F"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w:t>
      </w:r>
      <w:r w:rsidRPr="009F5460">
        <w:rPr>
          <w:rFonts w:ascii="Palatino Linotype" w:eastAsia="Palatino Linotype" w:hAnsi="Palatino Linotype" w:cs="Palatino Linotype"/>
          <w:color w:val="000000"/>
          <w:sz w:val="22"/>
          <w:szCs w:val="22"/>
        </w:rPr>
        <w:lastRenderedPageBreak/>
        <w:t xml:space="preserve">alcanzarían que las instituciones logren la finalidad de cumplir con sus responsabilidades y funciones de manera eficaz y eficiente. </w:t>
      </w:r>
    </w:p>
    <w:p w14:paraId="74979D03"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776F7DB6"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Ahora bien, respecto de las capacidades humanas, vale la pena precisar lo que se denomina por </w:t>
      </w:r>
      <w:r w:rsidRPr="009F5460">
        <w:rPr>
          <w:rFonts w:ascii="Palatino Linotype" w:eastAsia="Palatino Linotype" w:hAnsi="Palatino Linotype" w:cs="Palatino Linotype"/>
          <w:b/>
          <w:i/>
          <w:color w:val="000000"/>
          <w:sz w:val="22"/>
          <w:szCs w:val="22"/>
        </w:rPr>
        <w:t>recursos humanos</w:t>
      </w:r>
      <w:r w:rsidRPr="009F5460">
        <w:rPr>
          <w:rFonts w:ascii="Palatino Linotype" w:eastAsia="Palatino Linotype" w:hAnsi="Palatino Linotype" w:cs="Palatino Linotype"/>
          <w:color w:val="000000"/>
          <w:sz w:val="22"/>
          <w:szCs w:val="22"/>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0B36B89D"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4D551E80"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El personal es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557FE892"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709FB3D"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Es así que, el </w:t>
      </w:r>
      <w:r w:rsidRPr="009F5460">
        <w:rPr>
          <w:rFonts w:ascii="Palatino Linotype" w:eastAsia="Palatino Linotype" w:hAnsi="Palatino Linotype" w:cs="Palatino Linotype"/>
          <w:b/>
          <w:color w:val="000000"/>
          <w:sz w:val="22"/>
          <w:szCs w:val="22"/>
        </w:rPr>
        <w:t>SUJETO OBLIGADO</w:t>
      </w:r>
      <w:r w:rsidRPr="009F5460">
        <w:rPr>
          <w:rFonts w:ascii="Palatino Linotype" w:eastAsia="Palatino Linotype" w:hAnsi="Palatino Linotype" w:cs="Palatino Linotype"/>
          <w:color w:val="000000"/>
          <w:sz w:val="22"/>
          <w:szCs w:val="22"/>
        </w:rPr>
        <w:t xml:space="preserve"> pretendió realizar el cambio de modalidad ofreciendo consulta directa, sin embargo, es necesario traer a contexto el Criterio número 8/2013 del entonces Instituto Federal de Acceso a la Información, cuyo texto y sentido literal es el siguiente:</w:t>
      </w:r>
    </w:p>
    <w:p w14:paraId="44F8109A"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BA1BBAF"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i/>
          <w:sz w:val="22"/>
          <w:szCs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9F5460">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w:t>
      </w:r>
      <w:r w:rsidRPr="009F5460">
        <w:rPr>
          <w:rFonts w:ascii="Palatino Linotype" w:eastAsia="Palatino Linotype" w:hAnsi="Palatino Linotype" w:cs="Palatino Linotype"/>
          <w:i/>
          <w:sz w:val="22"/>
          <w:szCs w:val="22"/>
        </w:rPr>
        <w:lastRenderedPageBreak/>
        <w:t xml:space="preserve">utilizar el medio de reproducción solicitado. </w:t>
      </w:r>
      <w:r w:rsidRPr="009F5460">
        <w:rPr>
          <w:rFonts w:ascii="Palatino Linotype" w:eastAsia="Palatino Linotype" w:hAnsi="Palatino Linotype" w:cs="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9F5460">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06AA1D51"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Resoluciones </w:t>
      </w:r>
    </w:p>
    <w:p w14:paraId="47335FE7"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RDA 2012/12. Interpuesto en contra de la Secretaría de Comunicaciones y Transportes. Comisionada Ponente Jacqueline </w:t>
      </w:r>
      <w:proofErr w:type="spellStart"/>
      <w:r w:rsidRPr="009F5460">
        <w:rPr>
          <w:rFonts w:ascii="Palatino Linotype" w:eastAsia="Palatino Linotype" w:hAnsi="Palatino Linotype" w:cs="Palatino Linotype"/>
          <w:i/>
          <w:sz w:val="22"/>
          <w:szCs w:val="22"/>
        </w:rPr>
        <w:t>Peschard</w:t>
      </w:r>
      <w:proofErr w:type="spellEnd"/>
      <w:r w:rsidRPr="009F5460">
        <w:rPr>
          <w:rFonts w:ascii="Palatino Linotype" w:eastAsia="Palatino Linotype" w:hAnsi="Palatino Linotype" w:cs="Palatino Linotype"/>
          <w:i/>
          <w:sz w:val="22"/>
          <w:szCs w:val="22"/>
        </w:rPr>
        <w:t xml:space="preserve"> Mariscal. </w:t>
      </w:r>
    </w:p>
    <w:p w14:paraId="18F2F298"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RDA 0973/12. Interpuesto en contra de la Secretaría de Educación Pública. Comisionada Ponente Sigrid </w:t>
      </w:r>
      <w:proofErr w:type="spellStart"/>
      <w:r w:rsidRPr="009F5460">
        <w:rPr>
          <w:rFonts w:ascii="Palatino Linotype" w:eastAsia="Palatino Linotype" w:hAnsi="Palatino Linotype" w:cs="Palatino Linotype"/>
          <w:i/>
          <w:sz w:val="22"/>
          <w:szCs w:val="22"/>
        </w:rPr>
        <w:t>Arzt</w:t>
      </w:r>
      <w:proofErr w:type="spellEnd"/>
      <w:r w:rsidRPr="009F5460">
        <w:rPr>
          <w:rFonts w:ascii="Palatino Linotype" w:eastAsia="Palatino Linotype" w:hAnsi="Palatino Linotype" w:cs="Palatino Linotype"/>
          <w:i/>
          <w:sz w:val="22"/>
          <w:szCs w:val="22"/>
        </w:rPr>
        <w:t xml:space="preserve"> Colunga. </w:t>
      </w:r>
    </w:p>
    <w:p w14:paraId="3B51643F"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RDA 0112/12. Interpuesto en contra de Petróleos Mexicanos. Comisionado Ponente Ángel Trinidad Zaldívar. </w:t>
      </w:r>
    </w:p>
    <w:p w14:paraId="3C7F931D"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RDA 0085/12. Interpuesto en contra del Instituto Nacional de Ciencias Médicas y Nutrición Salvador Zubirán. Comisionada Ponente Sigrid </w:t>
      </w:r>
      <w:proofErr w:type="spellStart"/>
      <w:r w:rsidRPr="009F5460">
        <w:rPr>
          <w:rFonts w:ascii="Palatino Linotype" w:eastAsia="Palatino Linotype" w:hAnsi="Palatino Linotype" w:cs="Palatino Linotype"/>
          <w:i/>
          <w:sz w:val="22"/>
          <w:szCs w:val="22"/>
        </w:rPr>
        <w:t>Arzt</w:t>
      </w:r>
      <w:proofErr w:type="spellEnd"/>
      <w:r w:rsidRPr="009F5460">
        <w:rPr>
          <w:rFonts w:ascii="Palatino Linotype" w:eastAsia="Palatino Linotype" w:hAnsi="Palatino Linotype" w:cs="Palatino Linotype"/>
          <w:i/>
          <w:sz w:val="22"/>
          <w:szCs w:val="22"/>
        </w:rPr>
        <w:t xml:space="preserve"> Colunga. </w:t>
      </w:r>
    </w:p>
    <w:p w14:paraId="053B8B4B"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3068/11. Interpuesto en contra de la Presidencia de la República. Comisionada Ponente María Elena Pérez-Jaén Zermeño. “</w:t>
      </w:r>
    </w:p>
    <w:p w14:paraId="585B61DC"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p>
    <w:p w14:paraId="44C615CE"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lastRenderedPageBreak/>
        <w:t>Criterio 02/2004 INFORMACIÓN DISPERSA</w:t>
      </w:r>
      <w:r w:rsidRPr="009F5460">
        <w:rPr>
          <w:rFonts w:ascii="Palatino Linotype" w:eastAsia="Palatino Linotype" w:hAnsi="Palatino Linotype" w:cs="Palatino Linotype"/>
          <w:b/>
          <w:sz w:val="22"/>
          <w:szCs w:val="22"/>
        </w:rPr>
        <w:t xml:space="preserve"> </w:t>
      </w:r>
      <w:r w:rsidRPr="009F5460">
        <w:rPr>
          <w:rFonts w:ascii="Palatino Linotype" w:eastAsia="Palatino Linotype" w:hAnsi="Palatino Linotype" w:cs="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9F5460">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9F5460">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9F5460">
        <w:rPr>
          <w:rFonts w:ascii="Palatino Linotype" w:eastAsia="Palatino Linotype" w:hAnsi="Palatino Linotype" w:cs="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7E3F545A" w14:textId="77777777" w:rsidR="00AD4560" w:rsidRPr="009F5460" w:rsidRDefault="00AD4560" w:rsidP="00AD4560">
      <w:pPr>
        <w:spacing w:line="360" w:lineRule="auto"/>
        <w:ind w:left="567"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(Énfasis añadido)</w:t>
      </w:r>
    </w:p>
    <w:p w14:paraId="5E93FCB3" w14:textId="77777777" w:rsidR="00AD4560" w:rsidRPr="009F5460" w:rsidRDefault="00AD4560" w:rsidP="00AD4560">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lastRenderedPageBreak/>
        <w:t xml:space="preserve">Los criterios refieren puntualmente que, cuando exista </w:t>
      </w:r>
      <w:r w:rsidRPr="009F5460">
        <w:rPr>
          <w:rFonts w:ascii="Palatino Linotype" w:eastAsia="Palatino Linotype" w:hAnsi="Palatino Linotype" w:cs="Palatino Linotype"/>
          <w:b/>
          <w:color w:val="000000"/>
          <w:sz w:val="22"/>
          <w:szCs w:val="22"/>
        </w:rPr>
        <w:t xml:space="preserve">impedimento justificado </w:t>
      </w:r>
      <w:r w:rsidRPr="009F5460">
        <w:rPr>
          <w:rFonts w:ascii="Palatino Linotype" w:eastAsia="Palatino Linotype" w:hAnsi="Palatino Linotype" w:cs="Palatino Linotype"/>
          <w:color w:val="000000"/>
          <w:sz w:val="22"/>
          <w:szCs w:val="22"/>
        </w:rPr>
        <w:t xml:space="preserve">para entregar la información solicitada, sólo entonces se procederá a ofrecer otras modalidades, </w:t>
      </w:r>
      <w:r w:rsidRPr="009F5460">
        <w:rPr>
          <w:rFonts w:ascii="Palatino Linotype" w:eastAsia="Palatino Linotype" w:hAnsi="Palatino Linotype" w:cs="Palatino Linotype"/>
          <w:sz w:val="22"/>
          <w:szCs w:val="22"/>
        </w:rPr>
        <w:t xml:space="preserve">tal como lo establece el Criterio 08/17 emitido por el Pleno del Instituto Nacional de Transparencia, Acceso a la Información y Protección de Datos Personales, el cual establece lo siguiente: </w:t>
      </w:r>
    </w:p>
    <w:p w14:paraId="6E52508B" w14:textId="77777777" w:rsidR="00AD4560" w:rsidRPr="009F5460" w:rsidRDefault="00AD4560" w:rsidP="00AD4560">
      <w:pPr>
        <w:spacing w:line="360" w:lineRule="auto"/>
        <w:ind w:right="49"/>
        <w:jc w:val="both"/>
        <w:rPr>
          <w:rFonts w:ascii="Palatino Linotype" w:eastAsia="Palatino Linotype" w:hAnsi="Palatino Linotype" w:cs="Palatino Linotype"/>
          <w:sz w:val="22"/>
          <w:szCs w:val="22"/>
        </w:rPr>
      </w:pPr>
    </w:p>
    <w:p w14:paraId="66E8C574" w14:textId="77777777" w:rsidR="00AD4560" w:rsidRPr="009F5460" w:rsidRDefault="00AD4560" w:rsidP="00AD4560">
      <w:pPr>
        <w:spacing w:line="360" w:lineRule="auto"/>
        <w:ind w:left="851" w:right="567"/>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9F5460">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9F5460">
        <w:rPr>
          <w:rFonts w:ascii="Palatino Linotype" w:eastAsia="Palatino Linotype" w:hAnsi="Palatino Linotype" w:cs="Palatino Linotype"/>
          <w:b/>
          <w:i/>
          <w:sz w:val="22"/>
          <w:szCs w:val="22"/>
          <w:u w:val="single"/>
        </w:rPr>
        <w:t>a) justifique el impedimento para atender la misma y b) se notifique al particular la disposición de la información en todas las modalidades que permita el documento de que se trate, procurando reducir, en todo momento, los costos de entrega</w:t>
      </w:r>
      <w:r w:rsidRPr="009F5460">
        <w:rPr>
          <w:rFonts w:ascii="Palatino Linotype" w:eastAsia="Palatino Linotype" w:hAnsi="Palatino Linotype" w:cs="Palatino Linotype"/>
          <w:i/>
          <w:sz w:val="22"/>
          <w:szCs w:val="22"/>
        </w:rPr>
        <w:t>.”</w:t>
      </w:r>
    </w:p>
    <w:p w14:paraId="0AEBCEC8" w14:textId="77777777" w:rsidR="00AD4560" w:rsidRPr="009F5460" w:rsidRDefault="00AD4560" w:rsidP="00AD4560">
      <w:pPr>
        <w:spacing w:line="360" w:lineRule="auto"/>
        <w:ind w:right="49"/>
        <w:jc w:val="both"/>
        <w:rPr>
          <w:rFonts w:ascii="Palatino Linotype" w:eastAsia="Palatino Linotype" w:hAnsi="Palatino Linotype" w:cs="Palatino Linotype"/>
          <w:sz w:val="22"/>
          <w:szCs w:val="22"/>
        </w:rPr>
      </w:pPr>
    </w:p>
    <w:p w14:paraId="136887C1" w14:textId="77777777" w:rsidR="00AD4560" w:rsidRPr="009F5460" w:rsidRDefault="00AD4560" w:rsidP="00AD4560">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2C2CBA53" w14:textId="77777777" w:rsidR="00AD4560" w:rsidRPr="009F5460" w:rsidRDefault="00AD4560" w:rsidP="00AD456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4AF4D95E" w14:textId="77777777" w:rsidR="00AD4560" w:rsidRPr="009F5460" w:rsidRDefault="00AD4560" w:rsidP="00AD45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Correlativo a lo anterior, los </w:t>
      </w:r>
      <w:r w:rsidRPr="009F5460">
        <w:rPr>
          <w:rFonts w:ascii="Palatino Linotype" w:eastAsia="Palatino Linotype" w:hAnsi="Palatino Linotype" w:cs="Palatino Linotype"/>
          <w:i/>
          <w:color w:val="000000"/>
          <w:sz w:val="22"/>
          <w:szCs w:val="22"/>
        </w:rPr>
        <w:t>Lineamientos Generales en Materia de Clasificación y Desclasificación de la Información, así como para la Elaboración de Versiones Públicas</w:t>
      </w:r>
      <w:r w:rsidRPr="009F5460">
        <w:rPr>
          <w:rFonts w:ascii="Palatino Linotype" w:eastAsia="Palatino Linotype" w:hAnsi="Palatino Linotype" w:cs="Palatino Linotype"/>
          <w:color w:val="000000"/>
          <w:sz w:val="22"/>
          <w:szCs w:val="22"/>
        </w:rPr>
        <w:t xml:space="preserve">, publicados por el Sistema Nacional de Transparencia, Acceso a la Información Pública y Protección de Datos Personales, en su Capítulo X, contemplan una serie de elementos, los cuales, los </w:t>
      </w:r>
      <w:r w:rsidRPr="009F5460">
        <w:rPr>
          <w:rFonts w:ascii="Palatino Linotype" w:eastAsia="Palatino Linotype" w:hAnsi="Palatino Linotype" w:cs="Palatino Linotype"/>
          <w:color w:val="000000"/>
          <w:sz w:val="22"/>
          <w:szCs w:val="22"/>
        </w:rPr>
        <w:lastRenderedPageBreak/>
        <w:t>Sujetos Obligados deberán acreditar, a fin de realizar un cambio de modalidad a Consulta Directa apegada a derecho. A continuación, se vierten los Lineamientos aplicables:</w:t>
      </w:r>
    </w:p>
    <w:p w14:paraId="7B615321"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w:t>
      </w:r>
      <w:r w:rsidRPr="009F5460">
        <w:rPr>
          <w:rFonts w:ascii="Palatino Linotype" w:eastAsia="Palatino Linotype" w:hAnsi="Palatino Linotype" w:cs="Palatino Linotype"/>
          <w:b/>
          <w:i/>
          <w:color w:val="000000"/>
          <w:sz w:val="22"/>
          <w:szCs w:val="22"/>
        </w:rPr>
        <w:t>Sexagésimo séptimo. </w:t>
      </w:r>
      <w:r w:rsidRPr="009F5460">
        <w:rPr>
          <w:rFonts w:ascii="Palatino Linotype" w:eastAsia="Palatino Linotype" w:hAnsi="Palatino Linotype" w:cs="Palatino Linotype"/>
          <w:i/>
          <w:color w:val="000000"/>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5FBF0076"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Sexagésimo octavo. </w:t>
      </w:r>
      <w:r w:rsidRPr="009F5460">
        <w:rPr>
          <w:rFonts w:ascii="Palatino Linotype" w:eastAsia="Palatino Linotype" w:hAnsi="Palatino Linotype" w:cs="Palatino Linotype"/>
          <w:i/>
          <w:color w:val="000000"/>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3D81A93A"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Sexagésimo noveno. </w:t>
      </w:r>
      <w:r w:rsidRPr="009F5460">
        <w:rPr>
          <w:rFonts w:ascii="Palatino Linotype" w:eastAsia="Palatino Linotype" w:hAnsi="Palatino Linotype" w:cs="Palatino Linotype"/>
          <w:i/>
          <w:color w:val="000000"/>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3245E14D"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Septuagésimo. </w:t>
      </w:r>
      <w:r w:rsidRPr="009F5460">
        <w:rPr>
          <w:rFonts w:ascii="Palatino Linotype" w:eastAsia="Palatino Linotype" w:hAnsi="Palatino Linotype" w:cs="Palatino Linotype"/>
          <w:i/>
          <w:color w:val="000000"/>
          <w:sz w:val="22"/>
          <w:szCs w:val="22"/>
        </w:rPr>
        <w:t>Para el desahogo de las actuaciones tendientes a permitir la consulta directa, en los casos en que ésta resulte procedente, los sujetos obligados deberán observar lo siguiente:</w:t>
      </w:r>
    </w:p>
    <w:p w14:paraId="3DE10889"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I.</w:t>
      </w:r>
      <w:r w:rsidRPr="009F5460">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w:t>
      </w:r>
      <w:r w:rsidRPr="009F5460">
        <w:rPr>
          <w:rFonts w:ascii="Palatino Linotype" w:eastAsia="Palatino Linotype" w:hAnsi="Palatino Linotype" w:cs="Palatino Linotype"/>
          <w:i/>
          <w:color w:val="000000"/>
          <w:sz w:val="22"/>
          <w:szCs w:val="22"/>
        </w:rPr>
        <w:lastRenderedPageBreak/>
        <w:t>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7D114722"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II.</w:t>
      </w:r>
      <w:r w:rsidRPr="009F5460">
        <w:rPr>
          <w:rFonts w:ascii="Palatino Linotype" w:eastAsia="Palatino Linotype" w:hAnsi="Palatino Linotype" w:cs="Palatino Linotype"/>
          <w:i/>
          <w:color w:val="000000"/>
          <w:sz w:val="22"/>
          <w:szCs w:val="22"/>
        </w:rPr>
        <w:t> En su caso, la procedencia de los ajustes razonables solicitados y/o la procedencia de acceso en la lengua indígena requerida;</w:t>
      </w:r>
    </w:p>
    <w:p w14:paraId="1AE2DB9D"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III.</w:t>
      </w:r>
      <w:r w:rsidRPr="009F5460">
        <w:rPr>
          <w:rFonts w:ascii="Palatino Linotype" w:eastAsia="Palatino Linotype" w:hAnsi="Palatino Linotype" w:cs="Palatino Linotype"/>
          <w:i/>
          <w:color w:val="000000"/>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0C0FDE0B"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IV.</w:t>
      </w:r>
      <w:r w:rsidRPr="009F5460">
        <w:rPr>
          <w:rFonts w:ascii="Palatino Linotype" w:eastAsia="Palatino Linotype" w:hAnsi="Palatino Linotype" w:cs="Palatino Linotype"/>
          <w:i/>
          <w:color w:val="000000"/>
          <w:sz w:val="22"/>
          <w:szCs w:val="22"/>
        </w:rPr>
        <w:t xml:space="preserve"> Proporcionar al solicitante las facilidades y asistencia requerida para la consulta de los documentos;</w:t>
      </w:r>
    </w:p>
    <w:p w14:paraId="57C614D3"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V.</w:t>
      </w:r>
      <w:r w:rsidRPr="009F5460">
        <w:rPr>
          <w:rFonts w:ascii="Palatino Linotype" w:eastAsia="Palatino Linotype" w:hAnsi="Palatino Linotype" w:cs="Palatino Linotype"/>
          <w:i/>
          <w:color w:val="000000"/>
          <w:sz w:val="22"/>
          <w:szCs w:val="22"/>
        </w:rPr>
        <w:t> Abstenerse de requerir al solicitante que acredite interés alguno;</w:t>
      </w:r>
    </w:p>
    <w:p w14:paraId="6519D1C5"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VI.</w:t>
      </w:r>
      <w:r w:rsidRPr="009F5460">
        <w:rPr>
          <w:rFonts w:ascii="Palatino Linotype" w:eastAsia="Palatino Linotype" w:hAnsi="Palatino Linotype" w:cs="Palatino Linotype"/>
          <w:i/>
          <w:color w:val="000000"/>
          <w:sz w:val="22"/>
          <w:szCs w:val="22"/>
        </w:rPr>
        <w:t> Adoptar las medidas técnicas, físicas, administrativas y demás que resulten necesarias para</w:t>
      </w:r>
    </w:p>
    <w:p w14:paraId="2A915AB8"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garantizar la integridad de la información a consultar, de conformidad con las características específicas del documento solicitado, tales como:</w:t>
      </w:r>
    </w:p>
    <w:p w14:paraId="25520AC1"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a)</w:t>
      </w:r>
      <w:r w:rsidRPr="009F5460">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w:t>
      </w:r>
    </w:p>
    <w:p w14:paraId="577353A5"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b)</w:t>
      </w:r>
      <w:r w:rsidRPr="009F5460">
        <w:rPr>
          <w:rFonts w:ascii="Palatino Linotype" w:eastAsia="Palatino Linotype" w:hAnsi="Palatino Linotype" w:cs="Palatino Linotype"/>
          <w:i/>
          <w:color w:val="000000"/>
          <w:sz w:val="22"/>
          <w:szCs w:val="22"/>
        </w:rPr>
        <w:t> Equipo y personal de vigilancia;</w:t>
      </w:r>
    </w:p>
    <w:p w14:paraId="7E5CD05B"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lastRenderedPageBreak/>
        <w:t>c)</w:t>
      </w:r>
      <w:r w:rsidRPr="009F5460">
        <w:rPr>
          <w:rFonts w:ascii="Palatino Linotype" w:eastAsia="Palatino Linotype" w:hAnsi="Palatino Linotype" w:cs="Palatino Linotype"/>
          <w:i/>
          <w:color w:val="000000"/>
          <w:sz w:val="22"/>
          <w:szCs w:val="22"/>
        </w:rPr>
        <w:t> Plan de acción contra robo o vandalismo;</w:t>
      </w:r>
    </w:p>
    <w:p w14:paraId="49B23715"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d)</w:t>
      </w:r>
      <w:r w:rsidRPr="009F5460">
        <w:rPr>
          <w:rFonts w:ascii="Palatino Linotype" w:eastAsia="Palatino Linotype" w:hAnsi="Palatino Linotype" w:cs="Palatino Linotype"/>
          <w:i/>
          <w:color w:val="000000"/>
          <w:sz w:val="22"/>
          <w:szCs w:val="22"/>
        </w:rPr>
        <w:t> Extintores de fuego de gas inocuo;</w:t>
      </w:r>
    </w:p>
    <w:p w14:paraId="54F7FC91"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e)</w:t>
      </w:r>
      <w:r w:rsidRPr="009F5460">
        <w:rPr>
          <w:rFonts w:ascii="Palatino Linotype" w:eastAsia="Palatino Linotype" w:hAnsi="Palatino Linotype" w:cs="Palatino Linotype"/>
          <w:i/>
          <w:color w:val="000000"/>
          <w:sz w:val="22"/>
          <w:szCs w:val="22"/>
        </w:rPr>
        <w:t> Registro e identificación del personal autorizado para el tratamiento de los documentos o expedientes a revisar;</w:t>
      </w:r>
    </w:p>
    <w:p w14:paraId="48A11BA5"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f)</w:t>
      </w:r>
      <w:r w:rsidRPr="009F5460">
        <w:rPr>
          <w:rFonts w:ascii="Palatino Linotype" w:eastAsia="Palatino Linotype" w:hAnsi="Palatino Linotype" w:cs="Palatino Linotype"/>
          <w:i/>
          <w:color w:val="000000"/>
          <w:sz w:val="22"/>
          <w:szCs w:val="22"/>
        </w:rPr>
        <w:t> Registro e identificación de los particulares autorizados para llevar a cabo la consulta directa, y</w:t>
      </w:r>
    </w:p>
    <w:p w14:paraId="67AE6207" w14:textId="77777777" w:rsidR="00AD4560" w:rsidRPr="009F5460" w:rsidRDefault="00AD4560" w:rsidP="00AD4560">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g)</w:t>
      </w:r>
      <w:r w:rsidRPr="009F5460">
        <w:rPr>
          <w:rFonts w:ascii="Palatino Linotype" w:eastAsia="Palatino Linotype" w:hAnsi="Palatino Linotype" w:cs="Palatino Linotype"/>
          <w:i/>
          <w:color w:val="000000"/>
          <w:sz w:val="22"/>
          <w:szCs w:val="22"/>
        </w:rPr>
        <w:t> Las demás que, a criterio de los sujetos obligados, resulten necesarias.</w:t>
      </w:r>
    </w:p>
    <w:p w14:paraId="27F3A5A0"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VII. </w:t>
      </w:r>
      <w:r w:rsidRPr="009F5460">
        <w:rPr>
          <w:rFonts w:ascii="Palatino Linotype" w:eastAsia="Palatino Linotype" w:hAnsi="Palatino Linotype" w:cs="Palatino Linotype"/>
          <w:i/>
          <w:color w:val="000000"/>
          <w:sz w:val="22"/>
          <w:szCs w:val="22"/>
        </w:rPr>
        <w:t>Hacer del conocimiento del solicitante, previo al acceso a la información, las reglas a que se sujetará la consulta para garantizar la integridad de los documentos, y</w:t>
      </w:r>
    </w:p>
    <w:p w14:paraId="4925A100" w14:textId="77777777" w:rsidR="00AD4560" w:rsidRPr="009F5460" w:rsidRDefault="00AD4560" w:rsidP="00AD4560">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VIII.</w:t>
      </w:r>
      <w:r w:rsidRPr="009F5460">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439E477B"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Septuagésimo primero. </w:t>
      </w:r>
      <w:r w:rsidRPr="009F5460">
        <w:rPr>
          <w:rFonts w:ascii="Palatino Linotype" w:eastAsia="Palatino Linotype" w:hAnsi="Palatino Linotype" w:cs="Palatino Linotype"/>
          <w:i/>
          <w:color w:val="000000"/>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2A29024A"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El solicitante deberá observar en todo momento las reglas que el sujeto obligado haya hecho de su conocimiento para efectos de la conservación de los documentos.</w:t>
      </w:r>
    </w:p>
    <w:p w14:paraId="0249AB1A"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lastRenderedPageBreak/>
        <w:t>Septuagésimo segundo. </w:t>
      </w:r>
      <w:r w:rsidRPr="009F5460">
        <w:rPr>
          <w:rFonts w:ascii="Palatino Linotype" w:eastAsia="Palatino Linotype" w:hAnsi="Palatino Linotype" w:cs="Palatino Linotype"/>
          <w:i/>
          <w:color w:val="000000"/>
          <w:sz w:val="22"/>
          <w:szCs w:val="22"/>
        </w:rPr>
        <w:t>El solicitante deberá realizar la consulta de los documentos requeridos en el lugar, horarios y con la persona destinada para tal efecto.</w:t>
      </w:r>
    </w:p>
    <w:p w14:paraId="5F35AC3B"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291D3E96"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b/>
          <w:i/>
          <w:color w:val="000000"/>
          <w:sz w:val="22"/>
          <w:szCs w:val="22"/>
        </w:rPr>
        <w:t>Septuagésimo tercero. </w:t>
      </w:r>
      <w:r w:rsidRPr="009F5460">
        <w:rPr>
          <w:rFonts w:ascii="Palatino Linotype" w:eastAsia="Palatino Linotype" w:hAnsi="Palatino Linotype" w:cs="Palatino Linotype"/>
          <w:i/>
          <w:color w:val="000000"/>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61F6C13A" w14:textId="77777777" w:rsidR="00AD4560" w:rsidRPr="009F5460" w:rsidRDefault="00AD4560" w:rsidP="00AD4560">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color w:val="000000"/>
          <w:sz w:val="22"/>
          <w:szCs w:val="22"/>
        </w:rPr>
      </w:pPr>
      <w:r w:rsidRPr="009F5460">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14:paraId="525FCBE0" w14:textId="0085DF08"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Dicho lo anterior, es necesario resaltar que el Sujeto Obligado a través de su respuesta únicamente señaló que la información requerida se pone a disposición del particul</w:t>
      </w:r>
      <w:r w:rsidR="00C87E9A" w:rsidRPr="009F5460">
        <w:rPr>
          <w:rFonts w:ascii="Palatino Linotype" w:eastAsia="Palatino Linotype" w:hAnsi="Palatino Linotype" w:cs="Palatino Linotype"/>
          <w:color w:val="000000"/>
          <w:sz w:val="22"/>
          <w:szCs w:val="22"/>
        </w:rPr>
        <w:t>ar a través de consulta directa, para tal efecto, señaló día y fecha para que el Recurrente acudiera por la información.</w:t>
      </w:r>
    </w:p>
    <w:p w14:paraId="401D293E"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C3F356"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Es por ello que, a efecto de allegarse de mayores elementos que permitan dirimir la controversia, se realizó un requerimiento de información adicional al Sujeto Obligado en los siguientes términos:</w:t>
      </w:r>
    </w:p>
    <w:p w14:paraId="2D5AEC7B" w14:textId="2040C06A" w:rsidR="00AD4560" w:rsidRPr="009F5460" w:rsidRDefault="00C87E9A" w:rsidP="00C87E9A">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noProof/>
          <w:color w:val="000000"/>
          <w:sz w:val="22"/>
          <w:szCs w:val="22"/>
          <w:lang w:val="es-MX" w:eastAsia="es-MX"/>
        </w:rPr>
        <w:lastRenderedPageBreak/>
        <w:drawing>
          <wp:inline distT="0" distB="0" distL="0" distR="0" wp14:anchorId="6F225708" wp14:editId="1371B469">
            <wp:extent cx="4458322" cy="6296904"/>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58322" cy="6296904"/>
                    </a:xfrm>
                    <a:prstGeom prst="rect">
                      <a:avLst/>
                    </a:prstGeom>
                  </pic:spPr>
                </pic:pic>
              </a:graphicData>
            </a:graphic>
          </wp:inline>
        </w:drawing>
      </w:r>
    </w:p>
    <w:p w14:paraId="0C22E635" w14:textId="15C91F62" w:rsidR="00C87E9A" w:rsidRPr="009F5460" w:rsidRDefault="00C87E9A" w:rsidP="00C87E9A">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noProof/>
          <w:color w:val="000000"/>
          <w:sz w:val="22"/>
          <w:szCs w:val="22"/>
          <w:lang w:val="es-MX" w:eastAsia="es-MX"/>
        </w:rPr>
        <w:lastRenderedPageBreak/>
        <w:drawing>
          <wp:inline distT="0" distB="0" distL="0" distR="0" wp14:anchorId="5FC5A148" wp14:editId="3BC92737">
            <wp:extent cx="4496427" cy="230537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6427" cy="2305372"/>
                    </a:xfrm>
                    <a:prstGeom prst="rect">
                      <a:avLst/>
                    </a:prstGeom>
                  </pic:spPr>
                </pic:pic>
              </a:graphicData>
            </a:graphic>
          </wp:inline>
        </w:drawing>
      </w:r>
    </w:p>
    <w:p w14:paraId="6854F6CD"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El Sujeto Obligado no respondió al requerimiento de información adicional.</w:t>
      </w:r>
    </w:p>
    <w:p w14:paraId="1E8D0824"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37E159C"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Asimismo, se solicitó al área de Soporte Técnico de este Instituto indicara si existe reporte de incidencias por parte del Sujeto Obligado para justificar la necesidad de realizar un cambio de modalidad, área que contestó lo siguiente:</w:t>
      </w:r>
    </w:p>
    <w:p w14:paraId="75680DA4"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3E0375A"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noProof/>
          <w:color w:val="000000"/>
          <w:sz w:val="22"/>
          <w:szCs w:val="22"/>
          <w:lang w:val="es-MX" w:eastAsia="es-MX"/>
        </w:rPr>
        <w:drawing>
          <wp:inline distT="0" distB="0" distL="0" distR="0" wp14:anchorId="30E2B6E7" wp14:editId="048F8367">
            <wp:extent cx="5612130" cy="24447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444750"/>
                    </a:xfrm>
                    <a:prstGeom prst="rect">
                      <a:avLst/>
                    </a:prstGeom>
                  </pic:spPr>
                </pic:pic>
              </a:graphicData>
            </a:graphic>
          </wp:inline>
        </w:drawing>
      </w:r>
    </w:p>
    <w:p w14:paraId="3BB84B64" w14:textId="77777777" w:rsidR="00AD4560" w:rsidRPr="009F5460" w:rsidRDefault="00AD4560" w:rsidP="00AD45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831110C" w14:textId="77777777" w:rsidR="00AD4560" w:rsidRPr="009F5460" w:rsidRDefault="00AD4560"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lastRenderedPageBreak/>
        <w:t xml:space="preserve">Es así que, al no contar con elementos que permitan tener la certeza sobre la necesidad de realizar un cambio de modalidad derivado de existir una imposibilidad técnica, administrativa o humana y a efecto de garantizar el derecho del Recurrente, se determina </w:t>
      </w:r>
      <w:r w:rsidRPr="009F5460">
        <w:rPr>
          <w:rFonts w:ascii="Palatino Linotype" w:eastAsia="Palatino Linotype" w:hAnsi="Palatino Linotype" w:cs="Palatino Linotype"/>
          <w:b/>
          <w:color w:val="000000"/>
          <w:sz w:val="22"/>
          <w:szCs w:val="22"/>
        </w:rPr>
        <w:t xml:space="preserve">no procedente el cambio de modalidad a consulta directa y se </w:t>
      </w:r>
      <w:r w:rsidRPr="009F5460">
        <w:rPr>
          <w:rFonts w:ascii="Palatino Linotype" w:eastAsia="Palatino Linotype" w:hAnsi="Palatino Linotype" w:cs="Palatino Linotype"/>
          <w:color w:val="000000"/>
          <w:sz w:val="22"/>
          <w:szCs w:val="22"/>
        </w:rPr>
        <w:t>privilegiar la modalidad elegida en la solicitud, es decir, a través del SAIMEX.</w:t>
      </w:r>
    </w:p>
    <w:p w14:paraId="104161F7" w14:textId="77777777" w:rsidR="00810AD3" w:rsidRPr="009F5460" w:rsidRDefault="00810AD3"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6F001560" w14:textId="33452D84" w:rsidR="00D4554E" w:rsidRPr="009F5460" w:rsidRDefault="00D4554E" w:rsidP="00D4554E">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Asimismo, resulta importante traer a colación que el Sujeto Obligado únicamente puso a disposición del particular la información por un día establecido que es el </w:t>
      </w:r>
      <w:r w:rsidR="00044056" w:rsidRPr="009F5460">
        <w:rPr>
          <w:rFonts w:ascii="Palatino Linotype" w:eastAsia="Palatino Linotype" w:hAnsi="Palatino Linotype" w:cs="Palatino Linotype"/>
          <w:color w:val="000000"/>
          <w:sz w:val="22"/>
          <w:szCs w:val="22"/>
        </w:rPr>
        <w:t>dieciocho de octubre</w:t>
      </w:r>
      <w:r w:rsidRPr="009F5460">
        <w:rPr>
          <w:rFonts w:ascii="Palatino Linotype" w:eastAsia="Palatino Linotype" w:hAnsi="Palatino Linotype" w:cs="Palatino Linotype"/>
          <w:color w:val="000000"/>
          <w:sz w:val="22"/>
          <w:szCs w:val="22"/>
        </w:rPr>
        <w:t xml:space="preserve"> de 2024, en un periodo de </w:t>
      </w:r>
      <w:r w:rsidR="00044056" w:rsidRPr="009F5460">
        <w:rPr>
          <w:rFonts w:ascii="Palatino Linotype" w:eastAsia="Palatino Linotype" w:hAnsi="Palatino Linotype" w:cs="Palatino Linotype"/>
          <w:color w:val="000000"/>
          <w:sz w:val="22"/>
          <w:szCs w:val="22"/>
        </w:rPr>
        <w:t>una</w:t>
      </w:r>
      <w:r w:rsidRPr="009F5460">
        <w:rPr>
          <w:rFonts w:ascii="Palatino Linotype" w:eastAsia="Palatino Linotype" w:hAnsi="Palatino Linotype" w:cs="Palatino Linotype"/>
          <w:color w:val="000000"/>
          <w:sz w:val="22"/>
          <w:szCs w:val="22"/>
        </w:rPr>
        <w:t xml:space="preserve"> hora, es decir, de 9:00 a </w:t>
      </w:r>
      <w:r w:rsidR="00044056" w:rsidRPr="009F5460">
        <w:rPr>
          <w:rFonts w:ascii="Palatino Linotype" w:eastAsia="Palatino Linotype" w:hAnsi="Palatino Linotype" w:cs="Palatino Linotype"/>
          <w:color w:val="000000"/>
          <w:sz w:val="22"/>
          <w:szCs w:val="22"/>
        </w:rPr>
        <w:t>10</w:t>
      </w:r>
      <w:r w:rsidRPr="009F5460">
        <w:rPr>
          <w:rFonts w:ascii="Palatino Linotype" w:eastAsia="Palatino Linotype" w:hAnsi="Palatino Linotype" w:cs="Palatino Linotype"/>
          <w:color w:val="000000"/>
          <w:sz w:val="22"/>
          <w:szCs w:val="22"/>
        </w:rPr>
        <w:t xml:space="preserve"> horas; es de resaltar que esta calendarización se le notificó al particular en respuesta, un día hábil </w:t>
      </w:r>
      <w:r w:rsidR="00044056" w:rsidRPr="009F5460">
        <w:rPr>
          <w:rFonts w:ascii="Palatino Linotype" w:eastAsia="Palatino Linotype" w:hAnsi="Palatino Linotype" w:cs="Palatino Linotype"/>
          <w:color w:val="000000"/>
          <w:sz w:val="22"/>
          <w:szCs w:val="22"/>
        </w:rPr>
        <w:t>antes</w:t>
      </w:r>
      <w:r w:rsidRPr="009F5460">
        <w:rPr>
          <w:rFonts w:ascii="Palatino Linotype" w:eastAsia="Palatino Linotype" w:hAnsi="Palatino Linotype" w:cs="Palatino Linotype"/>
          <w:color w:val="000000"/>
          <w:sz w:val="22"/>
          <w:szCs w:val="22"/>
        </w:rPr>
        <w:t xml:space="preserve"> de la fecha establecida para llevar a cabo el cambio de modalidad, es decir el </w:t>
      </w:r>
      <w:r w:rsidR="00044056" w:rsidRPr="009F5460">
        <w:rPr>
          <w:rFonts w:ascii="Palatino Linotype" w:eastAsia="Palatino Linotype" w:hAnsi="Palatino Linotype" w:cs="Palatino Linotype"/>
          <w:color w:val="000000"/>
          <w:sz w:val="22"/>
          <w:szCs w:val="22"/>
        </w:rPr>
        <w:t>diecisiete</w:t>
      </w:r>
      <w:r w:rsidRPr="009F5460">
        <w:rPr>
          <w:rFonts w:ascii="Palatino Linotype" w:eastAsia="Palatino Linotype" w:hAnsi="Palatino Linotype" w:cs="Palatino Linotype"/>
          <w:color w:val="000000"/>
          <w:sz w:val="22"/>
          <w:szCs w:val="22"/>
        </w:rPr>
        <w:t xml:space="preserve"> de </w:t>
      </w:r>
      <w:r w:rsidR="00044056" w:rsidRPr="009F5460">
        <w:rPr>
          <w:rFonts w:ascii="Palatino Linotype" w:eastAsia="Palatino Linotype" w:hAnsi="Palatino Linotype" w:cs="Palatino Linotype"/>
          <w:color w:val="000000"/>
          <w:sz w:val="22"/>
          <w:szCs w:val="22"/>
        </w:rPr>
        <w:t>octubre</w:t>
      </w:r>
      <w:r w:rsidRPr="009F5460">
        <w:rPr>
          <w:rFonts w:ascii="Palatino Linotype" w:eastAsia="Palatino Linotype" w:hAnsi="Palatino Linotype" w:cs="Palatino Linotype"/>
          <w:color w:val="000000"/>
          <w:sz w:val="22"/>
          <w:szCs w:val="22"/>
        </w:rPr>
        <w:t xml:space="preserve"> de 2024, por ende, estamos ante una violación a su derecho humano de acceso a la información pública, pues dicha notificación </w:t>
      </w:r>
      <w:r w:rsidR="00044056" w:rsidRPr="009F5460">
        <w:rPr>
          <w:rFonts w:ascii="Palatino Linotype" w:eastAsia="Palatino Linotype" w:hAnsi="Palatino Linotype" w:cs="Palatino Linotype"/>
          <w:color w:val="000000"/>
          <w:sz w:val="22"/>
          <w:szCs w:val="22"/>
        </w:rPr>
        <w:t>no cumple con lo dispuesto en el artículo 166 de la Ley de Transparencia y Acceso a la Información Pública del Estado de México y Municipios</w:t>
      </w:r>
      <w:r w:rsidRPr="009F5460">
        <w:rPr>
          <w:rFonts w:ascii="Palatino Linotype" w:eastAsia="Palatino Linotype" w:hAnsi="Palatino Linotype" w:cs="Palatino Linotype"/>
          <w:color w:val="000000"/>
          <w:sz w:val="22"/>
          <w:szCs w:val="22"/>
        </w:rPr>
        <w:t xml:space="preserve">, por lo que si hubiera sido su deseo consultar la información de dicha forma, </w:t>
      </w:r>
      <w:r w:rsidR="00044056" w:rsidRPr="009F5460">
        <w:rPr>
          <w:rFonts w:ascii="Palatino Linotype" w:eastAsia="Palatino Linotype" w:hAnsi="Palatino Linotype" w:cs="Palatino Linotype"/>
          <w:color w:val="000000"/>
          <w:sz w:val="22"/>
          <w:szCs w:val="22"/>
        </w:rPr>
        <w:t>sólo tuvo oportunidad de un día hábil.</w:t>
      </w:r>
    </w:p>
    <w:p w14:paraId="7140F11E" w14:textId="77777777" w:rsidR="00D4554E" w:rsidRPr="009F5460" w:rsidRDefault="00D4554E" w:rsidP="00D4554E">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4449068A" w14:textId="3048F05C" w:rsidR="00810AD3" w:rsidRPr="009F5460" w:rsidRDefault="00D4554E" w:rsidP="00D4554E">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Aunado a lo anterior, para este Organismo Garante resulta contradictorio que el Sujeto Obligado alegue como incapacidad técnica</w:t>
      </w:r>
      <w:r w:rsidR="00044056" w:rsidRPr="009F5460">
        <w:rPr>
          <w:rFonts w:ascii="Palatino Linotype" w:eastAsia="Palatino Linotype" w:hAnsi="Palatino Linotype" w:cs="Palatino Linotype"/>
          <w:color w:val="000000"/>
          <w:sz w:val="22"/>
          <w:szCs w:val="22"/>
        </w:rPr>
        <w:t>, humana y material por ser más de 1164 solicitudes,</w:t>
      </w:r>
      <w:r w:rsidRPr="009F5460">
        <w:rPr>
          <w:rFonts w:ascii="Palatino Linotype" w:eastAsia="Palatino Linotype" w:hAnsi="Palatino Linotype" w:cs="Palatino Linotype"/>
          <w:color w:val="000000"/>
          <w:sz w:val="22"/>
          <w:szCs w:val="22"/>
        </w:rPr>
        <w:t xml:space="preserve"> pero a la parte Recurrente le indica que cuenta con un plazo de un día y específicamente de </w:t>
      </w:r>
      <w:r w:rsidR="00044056" w:rsidRPr="009F5460">
        <w:rPr>
          <w:rFonts w:ascii="Palatino Linotype" w:eastAsia="Palatino Linotype" w:hAnsi="Palatino Linotype" w:cs="Palatino Linotype"/>
          <w:color w:val="000000"/>
          <w:sz w:val="22"/>
          <w:szCs w:val="22"/>
        </w:rPr>
        <w:t xml:space="preserve">una </w:t>
      </w:r>
      <w:r w:rsidRPr="009F5460">
        <w:rPr>
          <w:rFonts w:ascii="Palatino Linotype" w:eastAsia="Palatino Linotype" w:hAnsi="Palatino Linotype" w:cs="Palatino Linotype"/>
          <w:color w:val="000000"/>
          <w:sz w:val="22"/>
          <w:szCs w:val="22"/>
        </w:rPr>
        <w:t>hora</w:t>
      </w:r>
      <w:r w:rsidR="00AF427F" w:rsidRPr="009F5460">
        <w:rPr>
          <w:rFonts w:ascii="Palatino Linotype" w:eastAsia="Palatino Linotype" w:hAnsi="Palatino Linotype" w:cs="Palatino Linotype"/>
          <w:color w:val="000000"/>
          <w:sz w:val="22"/>
          <w:szCs w:val="22"/>
        </w:rPr>
        <w:t xml:space="preserve"> para consultar la información, lo cual limite y restringe el derecho del particular.</w:t>
      </w:r>
    </w:p>
    <w:p w14:paraId="2D7BBDF8" w14:textId="77777777" w:rsidR="00C87E9A" w:rsidRPr="009F5460" w:rsidRDefault="00C87E9A"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7F33A3F0" w14:textId="3EA159E0" w:rsidR="00C87E9A" w:rsidRPr="009F5460" w:rsidRDefault="00C87E9A"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 xml:space="preserve">En consecuencia, se determina que el Sujeto Obligado en dos momentos oportunos asumió generar, administrar y poseer la información requerida, esto es al señalar que se encuentra en la página oficial del Ayuntamiento y al referir que sería proporcionada en consulta </w:t>
      </w:r>
      <w:r w:rsidRPr="009F5460">
        <w:rPr>
          <w:rFonts w:ascii="Palatino Linotype" w:eastAsia="Palatino Linotype" w:hAnsi="Palatino Linotype" w:cs="Palatino Linotype"/>
          <w:color w:val="000000"/>
          <w:sz w:val="22"/>
          <w:szCs w:val="22"/>
        </w:rPr>
        <w:lastRenderedPageBreak/>
        <w:t xml:space="preserve">directa, por lo que, al no haber sido específica la dirección electrónica y al no resultar procedente el cambio de modalidad, se ordena entregar </w:t>
      </w:r>
      <w:r w:rsidR="006565D9" w:rsidRPr="009F5460">
        <w:rPr>
          <w:rFonts w:ascii="Palatino Linotype" w:eastAsia="Palatino Linotype" w:hAnsi="Palatino Linotype" w:cs="Palatino Linotype"/>
          <w:color w:val="000000"/>
          <w:sz w:val="22"/>
          <w:szCs w:val="22"/>
        </w:rPr>
        <w:t>vía SAIMEX</w:t>
      </w:r>
      <w:r w:rsidR="007470C3" w:rsidRPr="009F5460">
        <w:rPr>
          <w:rFonts w:ascii="Palatino Linotype" w:eastAsia="Palatino Linotype" w:hAnsi="Palatino Linotype" w:cs="Palatino Linotype"/>
          <w:color w:val="000000"/>
          <w:sz w:val="22"/>
          <w:szCs w:val="22"/>
        </w:rPr>
        <w:t xml:space="preserve"> la información requerida.</w:t>
      </w:r>
    </w:p>
    <w:p w14:paraId="28C03698" w14:textId="77777777" w:rsidR="00B30F28" w:rsidRPr="009F5460" w:rsidRDefault="00B30F28"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1FC455AA" w14:textId="275EC83B" w:rsidR="001735D5" w:rsidRPr="009F5460" w:rsidRDefault="007470C3" w:rsidP="001735D5">
      <w:pPr>
        <w:pBdr>
          <w:top w:val="nil"/>
          <w:left w:val="nil"/>
          <w:bottom w:val="nil"/>
          <w:right w:val="nil"/>
          <w:between w:val="nil"/>
        </w:pBdr>
        <w:spacing w:line="360" w:lineRule="auto"/>
        <w:ind w:right="50"/>
        <w:jc w:val="both"/>
        <w:rPr>
          <w:sz w:val="22"/>
          <w:szCs w:val="22"/>
          <w:lang w:eastAsia="es-MX"/>
        </w:rPr>
      </w:pPr>
      <w:r w:rsidRPr="009F5460">
        <w:rPr>
          <w:rFonts w:ascii="Palatino Linotype" w:eastAsia="Palatino Linotype" w:hAnsi="Palatino Linotype" w:cs="Palatino Linotype"/>
          <w:color w:val="000000"/>
          <w:sz w:val="22"/>
          <w:szCs w:val="22"/>
        </w:rPr>
        <w:t xml:space="preserve">Ahora bien, no escapa de la óptica de este organismo garante que </w:t>
      </w:r>
      <w:r w:rsidR="001735D5" w:rsidRPr="009F5460">
        <w:rPr>
          <w:rFonts w:ascii="Palatino Linotype" w:eastAsia="Palatino Linotype" w:hAnsi="Palatino Linotype" w:cs="Palatino Linotype"/>
          <w:color w:val="000000"/>
          <w:sz w:val="22"/>
          <w:szCs w:val="22"/>
        </w:rPr>
        <w:t xml:space="preserve">el Recurrente requirió la información de la presente administración, es decir, 2022-2024, este periodo comprendería del uno de enero de dos mil veintidós al treinta y uno de diciembre de dos mil veinticuatro, para cumplir con dicha temporalidad, </w:t>
      </w:r>
      <w:r w:rsidR="001735D5" w:rsidRPr="009F5460">
        <w:rPr>
          <w:rFonts w:ascii="Palatino Linotype" w:eastAsia="Palatino Linotype" w:hAnsi="Palatino Linotype" w:cs="Palatino Linotype"/>
          <w:sz w:val="22"/>
          <w:szCs w:val="22"/>
        </w:rPr>
        <w:t xml:space="preserve">implicaría </w:t>
      </w:r>
      <w:r w:rsidR="001735D5" w:rsidRPr="009F5460">
        <w:rPr>
          <w:rFonts w:ascii="Palatino Linotype" w:hAnsi="Palatino Linotype"/>
          <w:color w:val="000000"/>
          <w:sz w:val="22"/>
          <w:szCs w:val="22"/>
        </w:rPr>
        <w:t>la información sobre hechos que aún no se han generado, correspondiendo son hechos futuros de realización incierta; por lo que no es procedente que los sujetos obligados proporcionen dicha información; siendo aplicable la tesis con número de registro digital 209001 emitida por el Poder Judicial de la Federación, que dispone lo siguiente:</w:t>
      </w:r>
    </w:p>
    <w:p w14:paraId="4A1728FC" w14:textId="77777777" w:rsidR="001735D5" w:rsidRPr="009F5460" w:rsidRDefault="001735D5" w:rsidP="001735D5">
      <w:pPr>
        <w:spacing w:line="360" w:lineRule="auto"/>
        <w:jc w:val="both"/>
        <w:rPr>
          <w:sz w:val="22"/>
          <w:szCs w:val="22"/>
        </w:rPr>
      </w:pPr>
    </w:p>
    <w:p w14:paraId="758C174C" w14:textId="77777777" w:rsidR="001735D5" w:rsidRPr="009F5460" w:rsidRDefault="001735D5" w:rsidP="001735D5">
      <w:pPr>
        <w:pStyle w:val="NormalWeb"/>
        <w:spacing w:before="0" w:beforeAutospacing="0" w:after="0" w:afterAutospacing="0" w:line="360" w:lineRule="auto"/>
        <w:ind w:left="567" w:right="426"/>
        <w:jc w:val="both"/>
        <w:rPr>
          <w:sz w:val="22"/>
          <w:szCs w:val="22"/>
        </w:rPr>
      </w:pPr>
      <w:r w:rsidRPr="009F5460">
        <w:rPr>
          <w:rFonts w:ascii="Palatino Linotype" w:hAnsi="Palatino Linotype"/>
          <w:b/>
          <w:bCs/>
          <w:i/>
          <w:iCs/>
          <w:color w:val="000000"/>
          <w:sz w:val="22"/>
          <w:szCs w:val="22"/>
        </w:rPr>
        <w:t>ACTOS FUTUROS DE REALIZACION INCIERTA. NO PROCEDE EL JUICIO DE AMPARO CONTRA LOS.</w:t>
      </w:r>
    </w:p>
    <w:p w14:paraId="1A66B0F4" w14:textId="77777777" w:rsidR="001735D5" w:rsidRPr="009F5460" w:rsidRDefault="001735D5" w:rsidP="001735D5">
      <w:pPr>
        <w:pStyle w:val="NormalWeb"/>
        <w:spacing w:before="0" w:beforeAutospacing="0" w:after="0" w:afterAutospacing="0" w:line="360" w:lineRule="auto"/>
        <w:ind w:left="567" w:right="426"/>
        <w:jc w:val="both"/>
        <w:rPr>
          <w:sz w:val="22"/>
          <w:szCs w:val="22"/>
        </w:rPr>
      </w:pPr>
      <w:r w:rsidRPr="009F5460">
        <w:rPr>
          <w:rFonts w:ascii="Palatino Linotype" w:hAnsi="Palatino Linotype"/>
          <w:i/>
          <w:iCs/>
          <w:color w:val="000000"/>
          <w:sz w:val="22"/>
          <w:szCs w:val="22"/>
        </w:rPr>
        <w:t>Contra actos futuros de realización incierta no procede el juicio de garantías.</w:t>
      </w:r>
    </w:p>
    <w:p w14:paraId="709F3B4F" w14:textId="77777777" w:rsidR="001735D5" w:rsidRPr="009F5460" w:rsidRDefault="001735D5" w:rsidP="001735D5">
      <w:pPr>
        <w:spacing w:line="360" w:lineRule="auto"/>
        <w:jc w:val="both"/>
        <w:rPr>
          <w:sz w:val="22"/>
          <w:szCs w:val="22"/>
        </w:rPr>
      </w:pPr>
    </w:p>
    <w:p w14:paraId="27B32828" w14:textId="77777777" w:rsidR="001735D5" w:rsidRPr="009F5460" w:rsidRDefault="001735D5" w:rsidP="001735D5">
      <w:pPr>
        <w:pStyle w:val="NormalWeb"/>
        <w:spacing w:before="0" w:beforeAutospacing="0" w:after="0" w:afterAutospacing="0" w:line="360" w:lineRule="auto"/>
        <w:ind w:left="567" w:right="426"/>
        <w:jc w:val="both"/>
        <w:rPr>
          <w:sz w:val="22"/>
          <w:szCs w:val="22"/>
        </w:rPr>
      </w:pPr>
      <w:r w:rsidRPr="009F5460">
        <w:rPr>
          <w:rFonts w:ascii="Palatino Linotype" w:hAnsi="Palatino Linotype"/>
          <w:i/>
          <w:iCs/>
          <w:color w:val="000000"/>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1F185416" w14:textId="77777777" w:rsidR="001735D5" w:rsidRPr="009F5460" w:rsidRDefault="001735D5" w:rsidP="001735D5">
      <w:pPr>
        <w:spacing w:line="360" w:lineRule="auto"/>
        <w:jc w:val="both"/>
        <w:rPr>
          <w:sz w:val="22"/>
          <w:szCs w:val="22"/>
        </w:rPr>
      </w:pPr>
    </w:p>
    <w:p w14:paraId="76498E74" w14:textId="09BA9212" w:rsidR="007470C3" w:rsidRPr="009F5460" w:rsidRDefault="001735D5" w:rsidP="001735D5">
      <w:pPr>
        <w:pStyle w:val="NormalWeb"/>
        <w:spacing w:before="0" w:beforeAutospacing="0" w:after="0" w:afterAutospacing="0" w:line="360" w:lineRule="auto"/>
        <w:jc w:val="both"/>
        <w:rPr>
          <w:rFonts w:ascii="Palatino Linotype" w:eastAsia="Palatino Linotype" w:hAnsi="Palatino Linotype" w:cs="Palatino Linotype"/>
          <w:color w:val="000000"/>
          <w:sz w:val="22"/>
          <w:szCs w:val="22"/>
        </w:rPr>
      </w:pPr>
      <w:r w:rsidRPr="009F5460">
        <w:rPr>
          <w:rFonts w:ascii="Palatino Linotype" w:hAnsi="Palatino Linotype"/>
          <w:color w:val="000000"/>
          <w:sz w:val="22"/>
          <w:szCs w:val="22"/>
        </w:rPr>
        <w:t>En ese sentido, no es procedente ordenar información que sea posterior a la presentación de la fecha de la solicitud, pues esa autoridad únicamente está constreñida a proporcionar la información pública que genere en uso de sus atribuciones de derecho público a la fecha de la solicitud de información, en consecuencia, se ordena entregar lo siguiente:</w:t>
      </w:r>
    </w:p>
    <w:p w14:paraId="769AD3EA" w14:textId="77777777" w:rsidR="006565D9" w:rsidRPr="009F5460" w:rsidRDefault="006565D9"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2CC0A4F4" w14:textId="3F57B5CD" w:rsidR="006565D9" w:rsidRPr="009F5460" w:rsidRDefault="006565D9" w:rsidP="007470C3">
      <w:pPr>
        <w:pStyle w:val="Prrafodelista"/>
        <w:numPr>
          <w:ilvl w:val="0"/>
          <w:numId w:val="16"/>
        </w:numPr>
        <w:pBdr>
          <w:top w:val="nil"/>
          <w:left w:val="nil"/>
          <w:bottom w:val="nil"/>
          <w:right w:val="nil"/>
          <w:between w:val="nil"/>
        </w:pBdr>
        <w:spacing w:line="360" w:lineRule="auto"/>
        <w:ind w:left="426" w:right="50" w:hanging="426"/>
        <w:jc w:val="both"/>
        <w:rPr>
          <w:rFonts w:ascii="Palatino Linotype" w:eastAsia="Palatino Linotype" w:hAnsi="Palatino Linotype" w:cs="Palatino Linotype"/>
        </w:rPr>
      </w:pPr>
      <w:r w:rsidRPr="009F5460">
        <w:rPr>
          <w:rFonts w:ascii="Palatino Linotype" w:eastAsia="Palatino Linotype" w:hAnsi="Palatino Linotype" w:cs="Palatino Linotype"/>
        </w:rPr>
        <w:t>De las reuniones de trabajo de servidores públicos del uno de enero de dos mil veintidós al veinticinco de septiembre de dos mil veinticuatro, los documentos donde conste:</w:t>
      </w:r>
    </w:p>
    <w:p w14:paraId="689E0217" w14:textId="77777777" w:rsidR="006565D9" w:rsidRPr="009F5460" w:rsidRDefault="006565D9" w:rsidP="00AD456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265E2BFE" w14:textId="77777777" w:rsidR="006565D9" w:rsidRPr="009F5460" w:rsidRDefault="006565D9" w:rsidP="006565D9">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Monto mensual por concepto de logística;</w:t>
      </w:r>
    </w:p>
    <w:p w14:paraId="05CA690C" w14:textId="77777777" w:rsidR="006565D9" w:rsidRPr="009F5460" w:rsidRDefault="006565D9" w:rsidP="006565D9">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Proveedores;</w:t>
      </w:r>
    </w:p>
    <w:p w14:paraId="412CA68F" w14:textId="68FE9470" w:rsidR="006565D9" w:rsidRPr="009F5460" w:rsidRDefault="006565D9" w:rsidP="006565D9">
      <w:pPr>
        <w:pStyle w:val="Prrafodelista"/>
        <w:numPr>
          <w:ilvl w:val="0"/>
          <w:numId w:val="12"/>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9F5460">
        <w:rPr>
          <w:rFonts w:ascii="Palatino Linotype" w:eastAsia="Palatino Linotype" w:hAnsi="Palatino Linotype" w:cs="Palatino Linotype"/>
        </w:rPr>
        <w:t>Pólizas de egresos.</w:t>
      </w:r>
    </w:p>
    <w:p w14:paraId="10C3108A" w14:textId="77777777" w:rsidR="006565D9" w:rsidRPr="009F5460" w:rsidRDefault="006565D9" w:rsidP="00AD4560">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056A0202" w14:textId="2010A328" w:rsidR="00BA3BE9" w:rsidRPr="009F5460" w:rsidRDefault="004B43B7"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De ser el caso de que la información que se ordena entregar contenga datos personales susceptibles de clasificarse como confidenciales, el Sujeto Obligado estará a lo dispuesto en el Considerando QUINTO de la presente resolución.</w:t>
      </w:r>
    </w:p>
    <w:p w14:paraId="57460093" w14:textId="77777777" w:rsidR="00961EED" w:rsidRPr="009F5460" w:rsidRDefault="00961EED"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91DADAF" w14:textId="65FD6C5B" w:rsidR="00961EED" w:rsidRPr="009F5460" w:rsidRDefault="00961EED" w:rsidP="00961EED">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sidRPr="009F5460">
        <w:rPr>
          <w:rFonts w:ascii="Palatino Linotype" w:eastAsia="Palatino Linotype" w:hAnsi="Palatino Linotype" w:cs="Palatino Linotype"/>
          <w:color w:val="000000"/>
          <w:sz w:val="22"/>
          <w:szCs w:val="22"/>
        </w:rPr>
        <w:t>Por último y no menos importante, es preciso mencionar que, la materia elemental de la solicitud si bien, se basa en pólizas de egresos, también lo es que es sobre un tema específicamente, es decir, de reuniones de trabajo de servidores públicos.</w:t>
      </w:r>
    </w:p>
    <w:p w14:paraId="629CFCD2" w14:textId="77777777" w:rsidR="00961EED" w:rsidRPr="009F5460" w:rsidRDefault="00961EED" w:rsidP="00961EED">
      <w:pPr>
        <w:pStyle w:val="NormalWeb"/>
        <w:spacing w:before="240" w:beforeAutospacing="0" w:after="240" w:afterAutospacing="0" w:line="360" w:lineRule="auto"/>
        <w:jc w:val="both"/>
      </w:pPr>
      <w:r w:rsidRPr="009F5460">
        <w:rPr>
          <w:rFonts w:ascii="Palatino Linotype" w:hAnsi="Palatino Linotype"/>
          <w:color w:val="000000"/>
          <w:sz w:val="22"/>
          <w:szCs w:val="22"/>
        </w:rPr>
        <w:t>Al respecto, si bien es cierto que el Código Financiero del Estado de México y Municipios establece como obligación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B9BF3DC" w14:textId="77777777" w:rsidR="00961EED" w:rsidRPr="009F5460" w:rsidRDefault="00961EED" w:rsidP="00961EED">
      <w:pPr>
        <w:pStyle w:val="NormalWeb"/>
        <w:spacing w:before="120" w:beforeAutospacing="0" w:after="120" w:afterAutospacing="0" w:line="360" w:lineRule="auto"/>
        <w:ind w:left="842" w:right="900" w:hanging="9"/>
        <w:jc w:val="both"/>
      </w:pPr>
      <w:r w:rsidRPr="009F5460">
        <w:rPr>
          <w:rFonts w:ascii="Palatino Linotype" w:hAnsi="Palatino Linotype"/>
          <w:b/>
          <w:bCs/>
          <w:i/>
          <w:iCs/>
          <w:color w:val="000000"/>
          <w:sz w:val="22"/>
          <w:szCs w:val="22"/>
        </w:rPr>
        <w:lastRenderedPageBreak/>
        <w:t>“REGISTRO CONTABLE</w:t>
      </w:r>
    </w:p>
    <w:p w14:paraId="68E70427" w14:textId="77777777" w:rsidR="00961EED" w:rsidRPr="009F5460" w:rsidRDefault="00961EED" w:rsidP="00961EED">
      <w:pPr>
        <w:pStyle w:val="NormalWeb"/>
        <w:spacing w:before="120" w:beforeAutospacing="0" w:after="120" w:afterAutospacing="0" w:line="360" w:lineRule="auto"/>
        <w:ind w:left="842" w:right="900" w:hanging="9"/>
        <w:jc w:val="both"/>
      </w:pPr>
      <w:r w:rsidRPr="009F5460">
        <w:rPr>
          <w:rFonts w:ascii="Palatino Linotype" w:hAnsi="Palatino Linotype"/>
          <w:i/>
          <w:iCs/>
          <w:color w:val="000000"/>
          <w:sz w:val="22"/>
          <w:szCs w:val="22"/>
        </w:rPr>
        <w:t>Asiento que se realiza en los libros de contabilidad de las actividades relacionadas con el ingreso y egresos de un ente económico.”</w:t>
      </w:r>
    </w:p>
    <w:p w14:paraId="01974615" w14:textId="77777777" w:rsidR="00961EED" w:rsidRPr="009F5460" w:rsidRDefault="00961EED" w:rsidP="00961EED">
      <w:pPr>
        <w:pStyle w:val="NormalWeb"/>
        <w:spacing w:before="120" w:beforeAutospacing="0" w:after="120" w:afterAutospacing="0" w:line="360" w:lineRule="auto"/>
        <w:ind w:left="842" w:right="900" w:hanging="9"/>
        <w:jc w:val="both"/>
      </w:pPr>
      <w:r w:rsidRPr="009F5460">
        <w:rPr>
          <w:rFonts w:ascii="Palatino Linotype" w:hAnsi="Palatino Linotype"/>
          <w:b/>
          <w:bCs/>
          <w:i/>
          <w:iCs/>
          <w:color w:val="000000"/>
          <w:sz w:val="22"/>
          <w:szCs w:val="22"/>
        </w:rPr>
        <w:t>“REGISTRO PRESUPUESTARIO</w:t>
      </w:r>
    </w:p>
    <w:p w14:paraId="2368350D" w14:textId="77777777" w:rsidR="00961EED" w:rsidRPr="009F5460" w:rsidRDefault="00961EED" w:rsidP="00961EED">
      <w:pPr>
        <w:pStyle w:val="NormalWeb"/>
        <w:spacing w:before="120" w:beforeAutospacing="0" w:after="120" w:afterAutospacing="0" w:line="360" w:lineRule="auto"/>
        <w:ind w:left="842" w:right="900" w:hanging="9"/>
        <w:jc w:val="both"/>
      </w:pPr>
      <w:r w:rsidRPr="009F5460">
        <w:rPr>
          <w:rFonts w:ascii="Palatino Linotype" w:hAnsi="Palatino Linotype"/>
          <w:i/>
          <w:iCs/>
          <w:color w:val="000000"/>
          <w:sz w:val="22"/>
          <w:szCs w:val="22"/>
        </w:rPr>
        <w:t>Asiento contable de las erogaciones realizadas por las dependencias y entidades con relación a la asignación, modificación y ejercicio de los recursos presupuestarios que se les hayan autorizado.”</w:t>
      </w:r>
    </w:p>
    <w:p w14:paraId="6FC7E7A6" w14:textId="77777777" w:rsidR="00961EED" w:rsidRPr="009F5460" w:rsidRDefault="00961EED" w:rsidP="00961EED">
      <w:pPr>
        <w:pStyle w:val="NormalWeb"/>
        <w:spacing w:before="240" w:beforeAutospacing="0" w:after="240" w:afterAutospacing="0" w:line="360" w:lineRule="auto"/>
        <w:ind w:right="51"/>
        <w:jc w:val="both"/>
      </w:pPr>
      <w:r w:rsidRPr="009F5460">
        <w:rPr>
          <w:rFonts w:ascii="Palatino Linotype" w:hAnsi="Palatino Linotype"/>
          <w:color w:val="000000"/>
          <w:sz w:val="22"/>
          <w:szCs w:val="22"/>
        </w:rPr>
        <w:t>Como bien se desprende de las definiciones, los registros contables y presupuestarios son asientos o anotaciones contables que se realizan tanto de los ingresos como de los egresos, a decir se trata de un control financiero en el que se reconoce la obligación de llevar dicho registro.</w:t>
      </w:r>
    </w:p>
    <w:p w14:paraId="630EABEC" w14:textId="77777777" w:rsidR="00961EED" w:rsidRPr="009F5460" w:rsidRDefault="00961EED" w:rsidP="00961EED">
      <w:pPr>
        <w:pStyle w:val="NormalWeb"/>
        <w:spacing w:before="240" w:beforeAutospacing="0" w:after="240" w:afterAutospacing="0" w:line="360" w:lineRule="auto"/>
        <w:jc w:val="both"/>
      </w:pPr>
      <w:r w:rsidRPr="009F5460">
        <w:rPr>
          <w:rFonts w:ascii="Palatino Linotype" w:hAnsi="Palatino Linotype"/>
          <w:color w:val="000000"/>
          <w:sz w:val="22"/>
          <w:szCs w:val="22"/>
        </w:rPr>
        <w:t>Por otra parte, se establece que el sistema de contabilidad sobre base acumulativa total se sustentará en los principios de contabilidad gubernamental.</w:t>
      </w:r>
    </w:p>
    <w:p w14:paraId="44E67272" w14:textId="77777777" w:rsidR="00961EED" w:rsidRPr="009F5460" w:rsidRDefault="00961EED" w:rsidP="00961EED">
      <w:pPr>
        <w:pStyle w:val="NormalWeb"/>
        <w:spacing w:before="240" w:beforeAutospacing="0" w:after="240" w:afterAutospacing="0" w:line="360" w:lineRule="auto"/>
        <w:jc w:val="both"/>
      </w:pPr>
      <w:r w:rsidRPr="009F5460">
        <w:rPr>
          <w:rFonts w:ascii="Palatino Linotype" w:hAnsi="Palatino Linotype"/>
          <w:color w:val="000000"/>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 de acuerdo a la Ley Orgánica Municipal, esta es atribución de la Tesorería Municipal o Equivalente.</w:t>
      </w:r>
    </w:p>
    <w:p w14:paraId="57C166F7" w14:textId="77777777" w:rsidR="00961EED" w:rsidRPr="009F5460" w:rsidRDefault="00961EED" w:rsidP="00961EED">
      <w:pPr>
        <w:pStyle w:val="NormalWeb"/>
        <w:spacing w:before="240" w:beforeAutospacing="0" w:after="0" w:afterAutospacing="0" w:line="360" w:lineRule="auto"/>
        <w:jc w:val="both"/>
      </w:pPr>
      <w:r w:rsidRPr="009F5460">
        <w:rPr>
          <w:rFonts w:ascii="Palatino Linotype" w:hAnsi="Palatino Linotype"/>
          <w:color w:val="000000"/>
          <w:sz w:val="22"/>
          <w:szCs w:val="22"/>
        </w:rPr>
        <w:t xml:space="preserve">Correlativo a lo anterior, es preciso referir una definición de </w:t>
      </w:r>
      <w:r w:rsidRPr="009F5460">
        <w:rPr>
          <w:rFonts w:ascii="Palatino Linotype" w:hAnsi="Palatino Linotype"/>
          <w:i/>
          <w:iCs/>
          <w:color w:val="000000"/>
          <w:sz w:val="22"/>
          <w:szCs w:val="22"/>
        </w:rPr>
        <w:t>póliza contable</w:t>
      </w:r>
      <w:r w:rsidRPr="009F5460">
        <w:rPr>
          <w:rFonts w:ascii="Palatino Linotype" w:hAnsi="Palatino Linotype"/>
          <w:color w:val="000000"/>
          <w:sz w:val="22"/>
          <w:szCs w:val="22"/>
        </w:rPr>
        <w:t>, la cual, primeramente, no está definida en el Código Financiero del Estado de México y Municipios; no obstante, el ya mencionado Glosario la define como: </w:t>
      </w:r>
    </w:p>
    <w:p w14:paraId="3197EC9F" w14:textId="77777777" w:rsidR="00961EED" w:rsidRPr="009F5460" w:rsidRDefault="00961EED" w:rsidP="00961EED">
      <w:pPr>
        <w:spacing w:line="360" w:lineRule="auto"/>
      </w:pPr>
    </w:p>
    <w:p w14:paraId="2C5D4FE7" w14:textId="77777777" w:rsidR="00961EED" w:rsidRPr="009F5460" w:rsidRDefault="00961EED" w:rsidP="00961EED">
      <w:pPr>
        <w:pStyle w:val="NormalWeb"/>
        <w:spacing w:before="0" w:beforeAutospacing="0" w:after="120" w:afterAutospacing="0" w:line="360" w:lineRule="auto"/>
        <w:ind w:left="851" w:right="899"/>
        <w:jc w:val="both"/>
      </w:pPr>
      <w:r w:rsidRPr="009F5460">
        <w:rPr>
          <w:rFonts w:ascii="Palatino Linotype" w:hAnsi="Palatino Linotype"/>
          <w:i/>
          <w:iCs/>
          <w:color w:val="000000"/>
          <w:sz w:val="22"/>
          <w:szCs w:val="22"/>
        </w:rPr>
        <w:t>“</w:t>
      </w:r>
      <w:r w:rsidRPr="009F5460">
        <w:rPr>
          <w:rFonts w:ascii="Palatino Linotype" w:hAnsi="Palatino Linotype"/>
          <w:b/>
          <w:bCs/>
          <w:i/>
          <w:iCs/>
          <w:color w:val="000000"/>
          <w:sz w:val="22"/>
          <w:szCs w:val="22"/>
        </w:rPr>
        <w:t>PÓLIZA CONTABLE</w:t>
      </w:r>
    </w:p>
    <w:p w14:paraId="12CF16FB" w14:textId="77777777" w:rsidR="00961EED" w:rsidRPr="009F5460" w:rsidRDefault="00961EED" w:rsidP="00961EED">
      <w:pPr>
        <w:pStyle w:val="NormalWeb"/>
        <w:spacing w:before="120" w:beforeAutospacing="0" w:after="120" w:afterAutospacing="0" w:line="360" w:lineRule="auto"/>
        <w:ind w:left="851" w:right="899"/>
        <w:jc w:val="both"/>
      </w:pPr>
      <w:r w:rsidRPr="009F5460">
        <w:rPr>
          <w:rFonts w:ascii="Palatino Linotype" w:hAnsi="Palatino Linotype"/>
          <w:i/>
          <w:iCs/>
          <w:color w:val="000000"/>
          <w:sz w:val="22"/>
          <w:szCs w:val="22"/>
        </w:rPr>
        <w:lastRenderedPageBreak/>
        <w:t>Documento en el cual se asientan en forma individual todas y cada una de las operaciones desarrolladas por una institución, así como la información necesaria para la identificación de dichas operaciones.” (sic)</w:t>
      </w:r>
    </w:p>
    <w:p w14:paraId="2DB1484B" w14:textId="77777777" w:rsidR="00961EED" w:rsidRPr="009F5460" w:rsidRDefault="00961EED" w:rsidP="00961EED">
      <w:pPr>
        <w:spacing w:line="360" w:lineRule="auto"/>
      </w:pPr>
    </w:p>
    <w:p w14:paraId="052F2610" w14:textId="77777777" w:rsidR="00961EED" w:rsidRPr="009F5460" w:rsidRDefault="00961EED" w:rsidP="00961EED">
      <w:pPr>
        <w:pStyle w:val="NormalWeb"/>
        <w:spacing w:before="120" w:beforeAutospacing="0" w:after="0" w:afterAutospacing="0" w:line="360" w:lineRule="auto"/>
        <w:jc w:val="both"/>
      </w:pPr>
      <w:r w:rsidRPr="009F5460">
        <w:rPr>
          <w:rFonts w:ascii="Palatino Linotype" w:hAnsi="Palatino Linotype"/>
          <w:color w:val="000000"/>
          <w:sz w:val="22"/>
          <w:szCs w:val="22"/>
        </w:rPr>
        <w:t xml:space="preserve">Así, se advierte que la </w:t>
      </w:r>
      <w:r w:rsidRPr="009F5460">
        <w:rPr>
          <w:rFonts w:ascii="Palatino Linotype" w:hAnsi="Palatino Linotype"/>
          <w:i/>
          <w:iCs/>
          <w:color w:val="000000"/>
          <w:sz w:val="22"/>
          <w:szCs w:val="22"/>
        </w:rPr>
        <w:t>póliza contable</w:t>
      </w:r>
      <w:r w:rsidRPr="009F5460">
        <w:rPr>
          <w:rFonts w:ascii="Palatino Linotype" w:hAnsi="Palatino Linotype"/>
          <w:color w:val="000000"/>
          <w:sz w:val="22"/>
          <w:szCs w:val="22"/>
        </w:rPr>
        <w:t xml:space="preserve"> constituye un registro contable y presupuestal con el que cuentan los entes públicos para el registro de sus operaciones relacionadas con sus ingresos y </w:t>
      </w:r>
      <w:r w:rsidRPr="009F5460">
        <w:rPr>
          <w:rFonts w:ascii="Palatino Linotype" w:hAnsi="Palatino Linotype"/>
          <w:b/>
          <w:bCs/>
          <w:color w:val="000000"/>
          <w:sz w:val="22"/>
          <w:szCs w:val="22"/>
        </w:rPr>
        <w:t xml:space="preserve">egresos </w:t>
      </w:r>
      <w:r w:rsidRPr="009F5460">
        <w:rPr>
          <w:rFonts w:ascii="Palatino Linotype" w:hAnsi="Palatino Linotype"/>
          <w:color w:val="000000"/>
          <w:sz w:val="22"/>
          <w:szCs w:val="22"/>
        </w:rPr>
        <w:t>y se anexan los documentos o comprobantes que justifiquen las anotaciones y cantidades en ellas registradas, lo que permite la identificación plena de dichas operaciones.</w:t>
      </w:r>
    </w:p>
    <w:p w14:paraId="7CD3EBDB" w14:textId="77777777" w:rsidR="00961EED" w:rsidRPr="009F5460" w:rsidRDefault="00961EED" w:rsidP="00961EED">
      <w:pPr>
        <w:spacing w:line="360" w:lineRule="auto"/>
      </w:pPr>
    </w:p>
    <w:p w14:paraId="690C2BAA" w14:textId="77777777" w:rsidR="00961EED" w:rsidRPr="009F5460" w:rsidRDefault="00961EED" w:rsidP="00961EED">
      <w:pPr>
        <w:pStyle w:val="NormalWeb"/>
        <w:spacing w:before="0" w:beforeAutospacing="0" w:after="240" w:afterAutospacing="0" w:line="360" w:lineRule="auto"/>
        <w:jc w:val="both"/>
      </w:pPr>
      <w:r w:rsidRPr="009F5460">
        <w:rPr>
          <w:rFonts w:ascii="Palatino Linotype" w:hAnsi="Palatino Linotype"/>
          <w:color w:val="000000"/>
          <w:sz w:val="22"/>
          <w:szCs w:val="22"/>
        </w:rPr>
        <w:t xml:space="preserve">En este sentido, existen diversos tipos de pólizas contables de acuerdo a las operaciones realizadas, dentro de las cuales, encontramos las llamadas </w:t>
      </w:r>
      <w:r w:rsidRPr="009F5460">
        <w:rPr>
          <w:rFonts w:ascii="Palatino Linotype" w:hAnsi="Palatino Linotype"/>
          <w:i/>
          <w:iCs/>
          <w:color w:val="000000"/>
          <w:sz w:val="22"/>
          <w:szCs w:val="22"/>
        </w:rPr>
        <w:t>pólizas de egresos e ingresos</w:t>
      </w:r>
      <w:r w:rsidRPr="009F5460">
        <w:rPr>
          <w:rFonts w:ascii="Palatino Linotype" w:hAnsi="Palatino Linotype"/>
          <w:color w:val="000000"/>
          <w:sz w:val="22"/>
          <w:szCs w:val="22"/>
        </w:rPr>
        <w:t xml:space="preserve">, las primeras son aquellas en las cuales se anotan diariamente las operaciones que representan gastos, es decir, salidas de dinero para el </w:t>
      </w:r>
      <w:r w:rsidRPr="009F5460">
        <w:rPr>
          <w:rFonts w:ascii="Palatino Linotype" w:hAnsi="Palatino Linotype"/>
          <w:b/>
          <w:bCs/>
          <w:color w:val="000000"/>
          <w:sz w:val="22"/>
          <w:szCs w:val="22"/>
        </w:rPr>
        <w:t>Sujeto Obligado</w:t>
      </w:r>
      <w:r w:rsidRPr="009F5460">
        <w:rPr>
          <w:rFonts w:ascii="Palatino Linotype" w:hAnsi="Palatino Linotype"/>
          <w:color w:val="000000"/>
          <w:sz w:val="22"/>
          <w:szCs w:val="22"/>
        </w:rPr>
        <w:t>, las que además, deben encontrarse acompañadas de las documentales que sirven de soporte de dicho movimiento, en atención a las segundas, registran todas la entradas de dinero independientemente de la modalidad, ya sea en efectivo, transferencia, cheque o pagaré, mediante la expedición de facturas.</w:t>
      </w:r>
    </w:p>
    <w:p w14:paraId="12F40362" w14:textId="77777777" w:rsidR="00961EED" w:rsidRPr="009F5460" w:rsidRDefault="00961EED" w:rsidP="00961EED">
      <w:pPr>
        <w:spacing w:line="360" w:lineRule="auto"/>
      </w:pPr>
    </w:p>
    <w:p w14:paraId="36328C49" w14:textId="0B01FF03" w:rsidR="00961EED" w:rsidRPr="009F5460" w:rsidRDefault="00961EED" w:rsidP="00961EED">
      <w:pPr>
        <w:pStyle w:val="NormalWeb"/>
        <w:spacing w:before="0" w:beforeAutospacing="0" w:after="240" w:afterAutospacing="0" w:line="360" w:lineRule="auto"/>
        <w:ind w:right="51"/>
        <w:jc w:val="both"/>
      </w:pPr>
      <w:r w:rsidRPr="009F5460">
        <w:rPr>
          <w:rFonts w:ascii="Palatino Linotype" w:hAnsi="Palatino Linotype"/>
          <w:color w:val="000000"/>
          <w:sz w:val="22"/>
          <w:szCs w:val="22"/>
        </w:rPr>
        <w:t xml:space="preserve">Atento a lo anterior, como ya ha sido mencionado en la normatividad antes citada, todo </w:t>
      </w:r>
      <w:r w:rsidRPr="009F5460">
        <w:rPr>
          <w:rFonts w:ascii="Palatino Linotype" w:hAnsi="Palatino Linotype"/>
          <w:b/>
          <w:bCs/>
          <w:color w:val="000000"/>
          <w:sz w:val="22"/>
          <w:szCs w:val="22"/>
        </w:rPr>
        <w:t xml:space="preserve">registro contable y presupuestal deberá estar soportado </w:t>
      </w:r>
      <w:r w:rsidRPr="009F5460">
        <w:rPr>
          <w:rFonts w:ascii="Palatino Linotype" w:hAnsi="Palatino Linotype"/>
          <w:b/>
          <w:bCs/>
          <w:color w:val="000000"/>
          <w:sz w:val="22"/>
          <w:szCs w:val="22"/>
          <w:u w:val="single"/>
        </w:rPr>
        <w:t>con los documentos comprobatorios originales</w:t>
      </w:r>
      <w:r w:rsidRPr="009F5460">
        <w:rPr>
          <w:rFonts w:ascii="Palatino Linotype" w:hAnsi="Palatino Linotype"/>
          <w:b/>
          <w:bCs/>
          <w:color w:val="000000"/>
          <w:sz w:val="22"/>
          <w:szCs w:val="22"/>
        </w:rPr>
        <w:t>, como lo son las facturas o comprobantes fiscales digitales por internet,</w:t>
      </w:r>
      <w:r w:rsidRPr="009F5460">
        <w:rPr>
          <w:rFonts w:ascii="Palatino Linotype" w:hAnsi="Palatino Linotype"/>
          <w:color w:val="000000"/>
          <w:sz w:val="22"/>
          <w:szCs w:val="22"/>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w:t>
      </w:r>
      <w:r w:rsidRPr="009F5460">
        <w:rPr>
          <w:rFonts w:ascii="Palatino Linotype" w:hAnsi="Palatino Linotype"/>
          <w:color w:val="000000"/>
          <w:sz w:val="22"/>
          <w:szCs w:val="22"/>
        </w:rPr>
        <w:lastRenderedPageBreak/>
        <w:t xml:space="preserve">siguiente al que corresponda, tal y como se establece en el Código Financiero del Estado de México, en atención a lo anterior, se advierte que es información que de haberse generado debe obrar en los archivos del Sujeto Obligado; sin embargo, no debe perderse de vista que al haberse requerido de un rubro específicamente, como lo es reuniones de trabajo, cabe la posibilidad de que en cierto periodo no se hayan generado pólizas de egresos, por lo que, de ser el caso, el Sujeto Obligado </w:t>
      </w:r>
      <w:r w:rsidRPr="009F5460">
        <w:rPr>
          <w:rFonts w:ascii="Palatino Linotype" w:eastAsia="Palatino Linotype" w:hAnsi="Palatino Linotype" w:cs="Palatino Linotype"/>
          <w:sz w:val="22"/>
          <w:szCs w:val="22"/>
        </w:rPr>
        <w:t xml:space="preserve">bastará con que así lo haga del conocimiento de la parte </w:t>
      </w:r>
      <w:r w:rsidRPr="009F5460">
        <w:rPr>
          <w:rFonts w:ascii="Palatino Linotype" w:eastAsia="Palatino Linotype" w:hAnsi="Palatino Linotype" w:cs="Palatino Linotype"/>
          <w:b/>
          <w:sz w:val="22"/>
          <w:szCs w:val="22"/>
        </w:rPr>
        <w:t>Recurrente</w:t>
      </w:r>
      <w:r w:rsidRPr="009F5460">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0E76F489"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Quinto. Versión Pública. </w:t>
      </w:r>
      <w:r w:rsidRPr="009F5460">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048FE23F"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1EE74063"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89DE3F8"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4C3F57F1" w14:textId="77777777" w:rsidR="006662C1" w:rsidRPr="009F5460" w:rsidRDefault="006662C1" w:rsidP="006662C1">
      <w:pPr>
        <w:spacing w:line="360" w:lineRule="auto"/>
        <w:ind w:right="50"/>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51D90E4" w14:textId="77777777" w:rsidR="006662C1" w:rsidRPr="009F5460" w:rsidRDefault="006662C1" w:rsidP="006662C1">
      <w:pPr>
        <w:spacing w:line="360" w:lineRule="auto"/>
        <w:ind w:right="50"/>
        <w:jc w:val="both"/>
        <w:rPr>
          <w:rFonts w:ascii="Palatino Linotype" w:eastAsia="Palatino Linotype" w:hAnsi="Palatino Linotype" w:cs="Palatino Linotype"/>
          <w:sz w:val="22"/>
          <w:szCs w:val="22"/>
        </w:rPr>
      </w:pPr>
    </w:p>
    <w:p w14:paraId="4A4C5A96"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Artículo 3.</w:t>
      </w:r>
      <w:r w:rsidRPr="009F5460">
        <w:rPr>
          <w:rFonts w:ascii="Palatino Linotype" w:eastAsia="Palatino Linotype" w:hAnsi="Palatino Linotype" w:cs="Palatino Linotype"/>
          <w:i/>
          <w:sz w:val="22"/>
          <w:szCs w:val="22"/>
        </w:rPr>
        <w:t xml:space="preserve"> Para los efectos de la presente Ley se entenderá por:</w:t>
      </w:r>
    </w:p>
    <w:p w14:paraId="6E3C0B93"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1094F380"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lastRenderedPageBreak/>
        <w:t xml:space="preserve">IX. Datos personales: La información concerniente a una persona, identificada o identificable según lo dispuesto por la Ley de Protección de Datos Personales del Estado de México; </w:t>
      </w:r>
    </w:p>
    <w:p w14:paraId="3D4E3AF6"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XX. Información clasificada: Aquella considerada por la presente Ley como reservada o confidencial;</w:t>
      </w:r>
    </w:p>
    <w:p w14:paraId="7D38B173"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2FC90ED"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2E508939"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62AD213B"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Artículo 91.</w:t>
      </w:r>
      <w:r w:rsidRPr="009F546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6E0B6E4"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Artículo 132.</w:t>
      </w:r>
      <w:r w:rsidRPr="009F5460">
        <w:rPr>
          <w:rFonts w:ascii="Palatino Linotype" w:eastAsia="Palatino Linotype" w:hAnsi="Palatino Linotype" w:cs="Palatino Linotype"/>
          <w:i/>
          <w:sz w:val="22"/>
          <w:szCs w:val="22"/>
        </w:rPr>
        <w:t xml:space="preserve"> La clasificación de la información se llevará a cabo en el momento en que:</w:t>
      </w:r>
    </w:p>
    <w:p w14:paraId="15D5163B" w14:textId="77777777" w:rsidR="006662C1" w:rsidRPr="009F5460" w:rsidRDefault="006662C1" w:rsidP="006662C1">
      <w:pPr>
        <w:tabs>
          <w:tab w:val="left" w:pos="1134"/>
        </w:tabs>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 Se reciba una solicitud de acceso a la información;</w:t>
      </w:r>
    </w:p>
    <w:p w14:paraId="2AC2A143" w14:textId="77777777" w:rsidR="006662C1" w:rsidRPr="009F5460" w:rsidRDefault="006662C1" w:rsidP="006662C1">
      <w:pPr>
        <w:tabs>
          <w:tab w:val="left" w:pos="1134"/>
        </w:tabs>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 Se determine mediante resolución de autoridad competente; o</w:t>
      </w:r>
    </w:p>
    <w:p w14:paraId="07B15A4A" w14:textId="77777777" w:rsidR="006662C1" w:rsidRPr="009F5460" w:rsidRDefault="006662C1" w:rsidP="006662C1">
      <w:pPr>
        <w:tabs>
          <w:tab w:val="left" w:pos="1134"/>
        </w:tabs>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9E17F48"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1ADCC20D"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Artículo 143</w:t>
      </w:r>
      <w:r w:rsidRPr="009F546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0D3ED9"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130C14D"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674A932"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48BD7AD"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3DDF312"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4C2D0AE" w14:textId="77777777" w:rsidR="006662C1" w:rsidRPr="009F5460" w:rsidRDefault="006662C1" w:rsidP="006662C1">
      <w:pPr>
        <w:ind w:left="567" w:right="616"/>
        <w:jc w:val="both"/>
        <w:rPr>
          <w:rFonts w:ascii="Palatino Linotype" w:eastAsia="Palatino Linotype" w:hAnsi="Palatino Linotype" w:cs="Palatino Linotype"/>
          <w:i/>
          <w:sz w:val="22"/>
          <w:szCs w:val="22"/>
        </w:rPr>
      </w:pPr>
    </w:p>
    <w:p w14:paraId="20CC8691"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9F5460">
        <w:rPr>
          <w:rFonts w:ascii="Palatino Linotype" w:eastAsia="Palatino Linotype" w:hAnsi="Palatino Linotype" w:cs="Palatino Linotype"/>
          <w:sz w:val="22"/>
          <w:szCs w:val="22"/>
        </w:rPr>
        <w:lastRenderedPageBreak/>
        <w:t>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1533CF8"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5156DD32"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Entre los elementos que contiene la información se pueden localizar los siguientes datos personales:</w:t>
      </w:r>
    </w:p>
    <w:p w14:paraId="0C709E9C"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5781792C" w14:textId="77777777" w:rsidR="006662C1" w:rsidRPr="009F5460" w:rsidRDefault="006662C1" w:rsidP="006662C1">
      <w:pPr>
        <w:pStyle w:val="NormalWeb"/>
        <w:spacing w:before="0" w:beforeAutospacing="0" w:after="0" w:afterAutospacing="0" w:line="360" w:lineRule="auto"/>
        <w:jc w:val="both"/>
        <w:rPr>
          <w:sz w:val="22"/>
          <w:szCs w:val="22"/>
        </w:rPr>
      </w:pPr>
      <w:r w:rsidRPr="009F5460">
        <w:rPr>
          <w:rFonts w:ascii="Palatino Linotype" w:hAnsi="Palatino Linotype"/>
          <w:color w:val="000000"/>
          <w:sz w:val="22"/>
          <w:szCs w:val="22"/>
        </w:rPr>
        <w:t xml:space="preserve">La </w:t>
      </w:r>
      <w:r w:rsidRPr="009F5460">
        <w:rPr>
          <w:rFonts w:ascii="Palatino Linotype" w:hAnsi="Palatino Linotype"/>
          <w:b/>
          <w:bCs/>
          <w:color w:val="000000"/>
          <w:sz w:val="22"/>
          <w:szCs w:val="22"/>
        </w:rPr>
        <w:t>clave de elector</w:t>
      </w:r>
      <w:r w:rsidRPr="009F5460">
        <w:rPr>
          <w:rFonts w:ascii="Palatino Linotype" w:hAnsi="Palatino Linotype"/>
          <w:color w:val="000000"/>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9F5460">
        <w:rPr>
          <w:rFonts w:ascii="Palatino Linotype" w:hAnsi="Palatino Linotype"/>
          <w:color w:val="000000"/>
          <w:sz w:val="22"/>
          <w:szCs w:val="22"/>
        </w:rPr>
        <w:t>homoclave</w:t>
      </w:r>
      <w:proofErr w:type="spellEnd"/>
      <w:r w:rsidRPr="009F5460">
        <w:rPr>
          <w:rFonts w:ascii="Palatino Linotype" w:hAnsi="Palatino Linotype"/>
          <w:color w:val="000000"/>
          <w:sz w:val="22"/>
          <w:szCs w:val="22"/>
        </w:rPr>
        <w:t xml:space="preserve"> que distingue a su titular de cualquier otro homónimo, por lo tanto, se trata de un dato personal que debe ser protegido.</w:t>
      </w:r>
    </w:p>
    <w:p w14:paraId="1D127729" w14:textId="77777777" w:rsidR="006662C1" w:rsidRPr="009F5460" w:rsidRDefault="006662C1" w:rsidP="006662C1">
      <w:pPr>
        <w:spacing w:line="360" w:lineRule="auto"/>
        <w:rPr>
          <w:sz w:val="22"/>
          <w:szCs w:val="22"/>
        </w:rPr>
      </w:pPr>
    </w:p>
    <w:p w14:paraId="68722221" w14:textId="77777777" w:rsidR="006662C1" w:rsidRPr="009F5460" w:rsidRDefault="006662C1" w:rsidP="006662C1">
      <w:pPr>
        <w:pStyle w:val="NormalWeb"/>
        <w:spacing w:before="0" w:beforeAutospacing="0" w:after="0" w:afterAutospacing="0" w:line="360" w:lineRule="auto"/>
        <w:jc w:val="both"/>
        <w:rPr>
          <w:sz w:val="22"/>
          <w:szCs w:val="22"/>
        </w:rPr>
      </w:pPr>
      <w:r w:rsidRPr="009F5460">
        <w:rPr>
          <w:rFonts w:ascii="Palatino Linotype" w:hAnsi="Palatino Linotype"/>
          <w:color w:val="000000"/>
          <w:sz w:val="22"/>
          <w:szCs w:val="22"/>
        </w:rPr>
        <w:t xml:space="preserve">El </w:t>
      </w:r>
      <w:r w:rsidRPr="009F5460">
        <w:rPr>
          <w:rFonts w:ascii="Palatino Linotype" w:hAnsi="Palatino Linotype"/>
          <w:b/>
          <w:bCs/>
          <w:color w:val="000000"/>
          <w:sz w:val="22"/>
          <w:szCs w:val="22"/>
        </w:rPr>
        <w:t>número de OCR,</w:t>
      </w:r>
      <w:r w:rsidRPr="009F5460">
        <w:rPr>
          <w:rFonts w:ascii="Palatino Linotype" w:hAnsi="Palatino Linotype"/>
          <w:color w:val="000000"/>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9F5460">
        <w:rPr>
          <w:rFonts w:ascii="Palatino Linotype" w:hAnsi="Palatino Linotype"/>
          <w:color w:val="000000"/>
          <w:sz w:val="22"/>
          <w:szCs w:val="22"/>
        </w:rPr>
        <w:t>geoelectoral</w:t>
      </w:r>
      <w:proofErr w:type="spellEnd"/>
      <w:r w:rsidRPr="009F5460">
        <w:rPr>
          <w:rFonts w:ascii="Palatino Linotype" w:hAnsi="Palatino Linotype"/>
          <w:color w:val="000000"/>
          <w:sz w:val="22"/>
          <w:szCs w:val="22"/>
        </w:rPr>
        <w:t xml:space="preserve"> ahí contenida, por lo que es susceptible de resguardarse.</w:t>
      </w:r>
    </w:p>
    <w:p w14:paraId="7D943BB4" w14:textId="77777777" w:rsidR="006662C1" w:rsidRPr="009F5460" w:rsidRDefault="006662C1" w:rsidP="006662C1">
      <w:pPr>
        <w:spacing w:line="360" w:lineRule="auto"/>
        <w:rPr>
          <w:sz w:val="22"/>
          <w:szCs w:val="22"/>
        </w:rPr>
      </w:pPr>
    </w:p>
    <w:p w14:paraId="3AC361ED" w14:textId="77777777" w:rsidR="006662C1" w:rsidRPr="009F5460" w:rsidRDefault="006662C1" w:rsidP="006662C1">
      <w:pPr>
        <w:pStyle w:val="NormalWeb"/>
        <w:spacing w:before="0" w:beforeAutospacing="0" w:after="0" w:afterAutospacing="0" w:line="360" w:lineRule="auto"/>
        <w:jc w:val="both"/>
        <w:rPr>
          <w:sz w:val="22"/>
          <w:szCs w:val="22"/>
        </w:rPr>
      </w:pPr>
      <w:r w:rsidRPr="009F5460">
        <w:rPr>
          <w:rFonts w:ascii="Palatino Linotype" w:hAnsi="Palatino Linotype"/>
          <w:color w:val="000000"/>
          <w:sz w:val="22"/>
          <w:szCs w:val="22"/>
        </w:rPr>
        <w:t xml:space="preserve">La </w:t>
      </w:r>
      <w:r w:rsidRPr="009F5460">
        <w:rPr>
          <w:rFonts w:ascii="Palatino Linotype" w:hAnsi="Palatino Linotype"/>
          <w:b/>
          <w:bCs/>
          <w:color w:val="000000"/>
          <w:sz w:val="22"/>
          <w:szCs w:val="22"/>
        </w:rPr>
        <w:t>clave única del registro de población,</w:t>
      </w:r>
      <w:r w:rsidRPr="009F5460">
        <w:rPr>
          <w:rFonts w:ascii="Palatino Linotype" w:hAnsi="Palatino Linotype"/>
          <w:i/>
          <w:iCs/>
          <w:color w:val="000000"/>
          <w:sz w:val="22"/>
          <w:szCs w:val="22"/>
        </w:rPr>
        <w:t xml:space="preserve"> </w:t>
      </w:r>
      <w:r w:rsidRPr="009F5460">
        <w:rPr>
          <w:rFonts w:ascii="Palatino Linotype" w:hAnsi="Palatino Linotype"/>
          <w:color w:val="000000"/>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74908C8C" w14:textId="77777777" w:rsidR="006662C1" w:rsidRPr="009F5460" w:rsidRDefault="006662C1" w:rsidP="006662C1">
      <w:pPr>
        <w:spacing w:line="360" w:lineRule="auto"/>
        <w:rPr>
          <w:sz w:val="22"/>
          <w:szCs w:val="22"/>
        </w:rPr>
      </w:pPr>
    </w:p>
    <w:p w14:paraId="686CD3B0" w14:textId="77777777" w:rsidR="006662C1" w:rsidRPr="009F5460" w:rsidRDefault="006662C1" w:rsidP="006662C1">
      <w:pPr>
        <w:pStyle w:val="NormalWeb"/>
        <w:spacing w:before="0" w:beforeAutospacing="0" w:after="0" w:afterAutospacing="0" w:line="360" w:lineRule="auto"/>
        <w:ind w:right="50"/>
        <w:jc w:val="both"/>
        <w:rPr>
          <w:sz w:val="22"/>
          <w:szCs w:val="22"/>
        </w:rPr>
      </w:pPr>
      <w:r w:rsidRPr="009F5460">
        <w:rPr>
          <w:rFonts w:ascii="Palatino Linotype" w:hAnsi="Palatino Linotype"/>
          <w:color w:val="000000"/>
          <w:sz w:val="22"/>
          <w:szCs w:val="22"/>
        </w:rPr>
        <w:t xml:space="preserve">Por cuanto hace al </w:t>
      </w:r>
      <w:r w:rsidRPr="009F5460">
        <w:rPr>
          <w:rFonts w:ascii="Palatino Linotype" w:hAnsi="Palatino Linotype"/>
          <w:b/>
          <w:bCs/>
          <w:color w:val="000000"/>
          <w:sz w:val="22"/>
          <w:szCs w:val="22"/>
        </w:rPr>
        <w:t xml:space="preserve">Registro Federal de Contribuyentes (RFC) </w:t>
      </w:r>
      <w:r w:rsidRPr="009F5460">
        <w:rPr>
          <w:rFonts w:ascii="Palatino Linotype" w:hAnsi="Palatino Linotype"/>
          <w:color w:val="000000"/>
          <w:sz w:val="22"/>
          <w:szCs w:val="22"/>
        </w:rPr>
        <w:t>y</w:t>
      </w:r>
      <w:r w:rsidRPr="009F5460">
        <w:rPr>
          <w:rFonts w:ascii="Palatino Linotype" w:hAnsi="Palatino Linotype"/>
          <w:b/>
          <w:bCs/>
          <w:color w:val="000000"/>
          <w:sz w:val="22"/>
          <w:szCs w:val="22"/>
        </w:rPr>
        <w:t xml:space="preserve"> el domicilio fiscal </w:t>
      </w:r>
      <w:r w:rsidRPr="009F5460">
        <w:rPr>
          <w:rFonts w:ascii="Palatino Linotype" w:hAnsi="Palatino Linotype"/>
          <w:color w:val="000000"/>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201F874" w14:textId="77777777" w:rsidR="006662C1" w:rsidRPr="009F5460" w:rsidRDefault="006662C1" w:rsidP="006662C1">
      <w:pPr>
        <w:spacing w:line="360" w:lineRule="auto"/>
        <w:rPr>
          <w:sz w:val="22"/>
          <w:szCs w:val="22"/>
        </w:rPr>
      </w:pPr>
    </w:p>
    <w:p w14:paraId="10A55B1A" w14:textId="77777777" w:rsidR="006662C1" w:rsidRPr="009F5460" w:rsidRDefault="006662C1" w:rsidP="006662C1">
      <w:pPr>
        <w:pStyle w:val="NormalWeb"/>
        <w:spacing w:before="0" w:beforeAutospacing="0" w:after="0" w:afterAutospacing="0" w:line="360" w:lineRule="auto"/>
        <w:ind w:right="50"/>
        <w:jc w:val="both"/>
        <w:rPr>
          <w:sz w:val="22"/>
          <w:szCs w:val="22"/>
        </w:rPr>
      </w:pPr>
      <w:r w:rsidRPr="009F5460">
        <w:rPr>
          <w:rFonts w:ascii="Palatino Linotype" w:hAnsi="Palatino Linotype"/>
          <w:color w:val="000000"/>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32A4A992" w14:textId="77777777" w:rsidR="006662C1" w:rsidRPr="009F5460" w:rsidRDefault="006662C1" w:rsidP="006662C1">
      <w:pPr>
        <w:spacing w:line="360" w:lineRule="auto"/>
        <w:rPr>
          <w:sz w:val="22"/>
          <w:szCs w:val="22"/>
        </w:rPr>
      </w:pPr>
    </w:p>
    <w:p w14:paraId="720A178F" w14:textId="77777777" w:rsidR="006662C1" w:rsidRPr="009F5460" w:rsidRDefault="006662C1" w:rsidP="006662C1">
      <w:pPr>
        <w:pStyle w:val="NormalWeb"/>
        <w:spacing w:before="0" w:beforeAutospacing="0" w:after="0" w:afterAutospacing="0" w:line="360" w:lineRule="auto"/>
        <w:ind w:right="50"/>
        <w:jc w:val="both"/>
        <w:rPr>
          <w:sz w:val="22"/>
          <w:szCs w:val="22"/>
        </w:rPr>
      </w:pPr>
      <w:r w:rsidRPr="009F5460">
        <w:rPr>
          <w:rFonts w:ascii="Palatino Linotype" w:hAnsi="Palatino Linotype"/>
          <w:color w:val="000000"/>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9F5460">
        <w:rPr>
          <w:rFonts w:ascii="Palatino Linotype" w:hAnsi="Palatino Linotype"/>
          <w:b/>
          <w:bCs/>
          <w:color w:val="000000"/>
          <w:sz w:val="22"/>
          <w:szCs w:val="22"/>
        </w:rPr>
        <w:t>no puede considerarse como información clasificada lo relativo a su nombre, registro federal de contribuyentes y domicilio fiscal</w:t>
      </w:r>
      <w:r w:rsidRPr="009F5460">
        <w:rPr>
          <w:rFonts w:ascii="Palatino Linotype" w:hAnsi="Palatino Linotype"/>
          <w:color w:val="000000"/>
          <w:sz w:val="22"/>
          <w:szCs w:val="22"/>
        </w:rPr>
        <w:t>, atento a que dicha información es la que puede generar certeza en los gobernados en que se está ejerciendo debidamente el presupuesto.</w:t>
      </w:r>
    </w:p>
    <w:p w14:paraId="0836BAC5" w14:textId="77777777" w:rsidR="006662C1" w:rsidRPr="009F5460" w:rsidRDefault="006662C1" w:rsidP="006662C1">
      <w:pPr>
        <w:spacing w:line="360" w:lineRule="auto"/>
        <w:rPr>
          <w:sz w:val="22"/>
          <w:szCs w:val="22"/>
        </w:rPr>
      </w:pPr>
    </w:p>
    <w:p w14:paraId="36A7C7BF" w14:textId="77777777" w:rsidR="006662C1" w:rsidRPr="009F5460" w:rsidRDefault="006662C1" w:rsidP="006662C1">
      <w:pPr>
        <w:pStyle w:val="NormalWeb"/>
        <w:spacing w:before="0" w:beforeAutospacing="0" w:after="0" w:afterAutospacing="0" w:line="360" w:lineRule="auto"/>
        <w:jc w:val="both"/>
        <w:rPr>
          <w:sz w:val="22"/>
          <w:szCs w:val="22"/>
        </w:rPr>
      </w:pPr>
      <w:r w:rsidRPr="009F5460">
        <w:rPr>
          <w:rFonts w:ascii="Palatino Linotype" w:hAnsi="Palatino Linotype"/>
          <w:color w:val="000000"/>
          <w:sz w:val="22"/>
          <w:szCs w:val="22"/>
        </w:rPr>
        <w:t>Robustece lo anterior el criterio orientador 04/21 emitido por el Instituto Nacional de Transparencia, Acceso a la Información y Protección de Datos Personales, INAI, el cual refiere:</w:t>
      </w:r>
    </w:p>
    <w:p w14:paraId="5DA6BC5B" w14:textId="77777777" w:rsidR="006662C1" w:rsidRPr="009F5460" w:rsidRDefault="006662C1" w:rsidP="006662C1">
      <w:pPr>
        <w:spacing w:line="360" w:lineRule="auto"/>
        <w:rPr>
          <w:sz w:val="22"/>
          <w:szCs w:val="22"/>
        </w:rPr>
      </w:pPr>
    </w:p>
    <w:p w14:paraId="6094E452" w14:textId="77777777" w:rsidR="006662C1" w:rsidRPr="009F5460" w:rsidRDefault="006662C1" w:rsidP="006662C1">
      <w:pPr>
        <w:pStyle w:val="NormalWeb"/>
        <w:spacing w:before="0" w:beforeAutospacing="0" w:after="0" w:afterAutospacing="0" w:line="360" w:lineRule="auto"/>
        <w:ind w:left="851" w:right="902"/>
        <w:jc w:val="both"/>
        <w:rPr>
          <w:sz w:val="22"/>
          <w:szCs w:val="22"/>
        </w:rPr>
      </w:pPr>
      <w:r w:rsidRPr="009F5460">
        <w:rPr>
          <w:rFonts w:ascii="Palatino Linotype" w:hAnsi="Palatino Linotype"/>
          <w:b/>
          <w:bCs/>
          <w:i/>
          <w:iCs/>
          <w:color w:val="000000"/>
          <w:sz w:val="22"/>
          <w:szCs w:val="22"/>
        </w:rPr>
        <w:lastRenderedPageBreak/>
        <w:t xml:space="preserve">“Registro Federal de Contribuyentes (RFC) de personas físicas proveedoras o contratistas. </w:t>
      </w:r>
      <w:r w:rsidRPr="009F5460">
        <w:rPr>
          <w:rFonts w:ascii="Palatino Linotype" w:hAnsi="Palatino Linotype"/>
          <w:i/>
          <w:iCs/>
          <w:color w:val="000000"/>
          <w:sz w:val="22"/>
          <w:szCs w:val="22"/>
        </w:rPr>
        <w:t xml:space="preserve">El RFC de contratistas o proveedores de los sujetos obligados debe ser público, </w:t>
      </w:r>
      <w:proofErr w:type="gramStart"/>
      <w:r w:rsidRPr="009F5460">
        <w:rPr>
          <w:rFonts w:ascii="Palatino Linotype" w:hAnsi="Palatino Linotype"/>
          <w:i/>
          <w:iCs/>
          <w:color w:val="000000"/>
          <w:sz w:val="22"/>
          <w:szCs w:val="22"/>
        </w:rPr>
        <w:t>ya que</w:t>
      </w:r>
      <w:proofErr w:type="gramEnd"/>
      <w:r w:rsidRPr="009F5460">
        <w:rPr>
          <w:rFonts w:ascii="Palatino Linotype" w:hAnsi="Palatino Linotype"/>
          <w:i/>
          <w:iCs/>
          <w:color w:val="000000"/>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4B0801E5" w14:textId="77777777" w:rsidR="006662C1" w:rsidRPr="009F5460" w:rsidRDefault="006662C1" w:rsidP="006662C1">
      <w:pPr>
        <w:spacing w:line="360" w:lineRule="auto"/>
        <w:rPr>
          <w:sz w:val="22"/>
          <w:szCs w:val="22"/>
        </w:rPr>
      </w:pPr>
    </w:p>
    <w:p w14:paraId="0D3D7B72" w14:textId="77777777" w:rsidR="006662C1" w:rsidRPr="009F5460" w:rsidRDefault="006662C1" w:rsidP="006662C1">
      <w:pPr>
        <w:pStyle w:val="NormalWeb"/>
        <w:spacing w:before="0" w:beforeAutospacing="0" w:after="0" w:afterAutospacing="0" w:line="360" w:lineRule="auto"/>
        <w:ind w:right="51"/>
        <w:jc w:val="both"/>
        <w:rPr>
          <w:sz w:val="22"/>
          <w:szCs w:val="22"/>
        </w:rPr>
      </w:pPr>
      <w:r w:rsidRPr="009F5460">
        <w:rPr>
          <w:rFonts w:ascii="Palatino Linotype" w:hAnsi="Palatino Linotype"/>
          <w:color w:val="000000"/>
          <w:sz w:val="22"/>
          <w:szCs w:val="22"/>
        </w:rPr>
        <w:t xml:space="preserve">Relacionado con lo anterior, el </w:t>
      </w:r>
      <w:r w:rsidRPr="009F5460">
        <w:rPr>
          <w:rFonts w:ascii="Palatino Linotype" w:hAnsi="Palatino Linotype"/>
          <w:b/>
          <w:bCs/>
          <w:color w:val="000000"/>
          <w:sz w:val="22"/>
          <w:szCs w:val="22"/>
        </w:rPr>
        <w:t>nombre de las personas físicas</w:t>
      </w:r>
      <w:r w:rsidRPr="009F5460">
        <w:rPr>
          <w:rFonts w:ascii="Palatino Linotype" w:hAnsi="Palatino Linotype"/>
          <w:color w:val="000000"/>
          <w:sz w:val="22"/>
          <w:szCs w:val="22"/>
        </w:rPr>
        <w:t xml:space="preserve"> o los </w:t>
      </w:r>
      <w:r w:rsidRPr="009F5460">
        <w:rPr>
          <w:rFonts w:ascii="Palatino Linotype" w:hAnsi="Palatino Linotype"/>
          <w:b/>
          <w:bCs/>
          <w:color w:val="000000"/>
          <w:sz w:val="22"/>
          <w:szCs w:val="22"/>
        </w:rPr>
        <w:t>representantes legales de las personas morales</w:t>
      </w:r>
      <w:r w:rsidRPr="009F5460">
        <w:rPr>
          <w:rFonts w:ascii="Palatino Linotype" w:hAnsi="Palatino Linotype"/>
          <w:color w:val="000000"/>
          <w:sz w:val="22"/>
          <w:szCs w:val="22"/>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0AB5824F" w14:textId="77777777" w:rsidR="006662C1" w:rsidRPr="009F5460" w:rsidRDefault="006662C1" w:rsidP="006662C1">
      <w:pPr>
        <w:spacing w:line="360" w:lineRule="auto"/>
        <w:rPr>
          <w:sz w:val="22"/>
          <w:szCs w:val="22"/>
        </w:rPr>
      </w:pPr>
    </w:p>
    <w:p w14:paraId="7054C585" w14:textId="77777777" w:rsidR="006662C1" w:rsidRPr="009F5460" w:rsidRDefault="006662C1" w:rsidP="006662C1">
      <w:pPr>
        <w:pStyle w:val="NormalWeb"/>
        <w:spacing w:before="0" w:beforeAutospacing="0" w:after="0" w:afterAutospacing="0" w:line="360" w:lineRule="auto"/>
        <w:ind w:right="51"/>
        <w:jc w:val="both"/>
        <w:rPr>
          <w:sz w:val="22"/>
          <w:szCs w:val="22"/>
        </w:rPr>
      </w:pPr>
      <w:r w:rsidRPr="009F5460">
        <w:rPr>
          <w:rFonts w:ascii="Palatino Linotype" w:hAnsi="Palatino Linotype"/>
          <w:color w:val="000000"/>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7F2A81B0" w14:textId="77777777" w:rsidR="006662C1" w:rsidRPr="009F5460" w:rsidRDefault="006662C1" w:rsidP="006662C1">
      <w:pPr>
        <w:spacing w:line="360" w:lineRule="auto"/>
        <w:rPr>
          <w:sz w:val="22"/>
          <w:szCs w:val="22"/>
        </w:rPr>
      </w:pPr>
    </w:p>
    <w:p w14:paraId="1CBE3F3E" w14:textId="77777777" w:rsidR="006662C1" w:rsidRPr="009F5460" w:rsidRDefault="006662C1" w:rsidP="006662C1">
      <w:pPr>
        <w:pStyle w:val="NormalWeb"/>
        <w:spacing w:before="0" w:beforeAutospacing="0" w:after="0" w:afterAutospacing="0" w:line="360" w:lineRule="auto"/>
        <w:ind w:left="851" w:right="902"/>
        <w:jc w:val="both"/>
        <w:rPr>
          <w:sz w:val="22"/>
          <w:szCs w:val="22"/>
        </w:rPr>
      </w:pPr>
      <w:r w:rsidRPr="009F5460">
        <w:rPr>
          <w:rFonts w:ascii="Palatino Linotype" w:hAnsi="Palatino Linotype"/>
          <w:i/>
          <w:iCs/>
          <w:color w:val="000000"/>
          <w:sz w:val="22"/>
          <w:szCs w:val="22"/>
        </w:rPr>
        <w:t>“</w:t>
      </w:r>
      <w:r w:rsidRPr="009F5460">
        <w:rPr>
          <w:rFonts w:ascii="Palatino Linotype" w:hAnsi="Palatino Linotype"/>
          <w:b/>
          <w:bCs/>
          <w:i/>
          <w:iCs/>
          <w:color w:val="000000"/>
          <w:sz w:val="22"/>
          <w:szCs w:val="22"/>
        </w:rPr>
        <w:t>Artículo 23.</w:t>
      </w:r>
      <w:r w:rsidRPr="009F5460">
        <w:rPr>
          <w:rFonts w:ascii="Palatino Linotype" w:hAnsi="Palatino Linotype"/>
          <w:i/>
          <w:iCs/>
          <w:color w:val="000000"/>
          <w:sz w:val="22"/>
          <w:szCs w:val="22"/>
        </w:rPr>
        <w:t xml:space="preserve"> (…)</w:t>
      </w:r>
    </w:p>
    <w:p w14:paraId="498CDC34" w14:textId="77777777" w:rsidR="006662C1" w:rsidRPr="009F5460" w:rsidRDefault="006662C1" w:rsidP="006662C1">
      <w:pPr>
        <w:pStyle w:val="NormalWeb"/>
        <w:spacing w:before="0" w:beforeAutospacing="0" w:after="0" w:afterAutospacing="0" w:line="360" w:lineRule="auto"/>
        <w:ind w:left="851" w:right="902"/>
        <w:jc w:val="both"/>
        <w:rPr>
          <w:sz w:val="22"/>
          <w:szCs w:val="22"/>
        </w:rPr>
      </w:pPr>
      <w:r w:rsidRPr="009F5460">
        <w:rPr>
          <w:rFonts w:ascii="Palatino Linotype" w:hAnsi="Palatino Linotype"/>
          <w:i/>
          <w:iCs/>
          <w:color w:val="000000"/>
          <w:sz w:val="22"/>
          <w:szCs w:val="22"/>
        </w:rPr>
        <w:t xml:space="preserve">Los sujetos obligados deberán hacer pública toda aquella información relativa a los montos y las personas a quienes entreguen, por cualquier motivo, recursos </w:t>
      </w:r>
      <w:r w:rsidRPr="009F5460">
        <w:rPr>
          <w:rFonts w:ascii="Palatino Linotype" w:hAnsi="Palatino Linotype"/>
          <w:i/>
          <w:iCs/>
          <w:color w:val="000000"/>
          <w:sz w:val="22"/>
          <w:szCs w:val="22"/>
        </w:rPr>
        <w:lastRenderedPageBreak/>
        <w:t>públicos, así como los informes que dichas personas les entreguen sobre el uso y destino de dichos recursos.”</w:t>
      </w:r>
    </w:p>
    <w:p w14:paraId="3BE896F3" w14:textId="77777777" w:rsidR="006662C1" w:rsidRPr="009F5460" w:rsidRDefault="006662C1" w:rsidP="006662C1">
      <w:pPr>
        <w:spacing w:line="360" w:lineRule="auto"/>
        <w:rPr>
          <w:sz w:val="22"/>
          <w:szCs w:val="22"/>
        </w:rPr>
      </w:pPr>
    </w:p>
    <w:p w14:paraId="64F3BCDF" w14:textId="77777777" w:rsidR="006662C1" w:rsidRPr="009F5460" w:rsidRDefault="006662C1" w:rsidP="006662C1">
      <w:pPr>
        <w:pStyle w:val="NormalWeb"/>
        <w:spacing w:before="0" w:beforeAutospacing="0" w:after="0" w:afterAutospacing="0" w:line="360" w:lineRule="auto"/>
        <w:jc w:val="both"/>
        <w:rPr>
          <w:sz w:val="22"/>
          <w:szCs w:val="22"/>
        </w:rPr>
      </w:pPr>
      <w:r w:rsidRPr="009F5460">
        <w:rPr>
          <w:rFonts w:ascii="Palatino Linotype" w:hAnsi="Palatino Linotype"/>
          <w:color w:val="000000"/>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75A1939F" w14:textId="77777777" w:rsidR="006662C1" w:rsidRPr="009F5460" w:rsidRDefault="006662C1" w:rsidP="006662C1">
      <w:pPr>
        <w:spacing w:line="360" w:lineRule="auto"/>
        <w:rPr>
          <w:sz w:val="22"/>
          <w:szCs w:val="22"/>
        </w:rPr>
      </w:pPr>
    </w:p>
    <w:p w14:paraId="52A92815" w14:textId="77777777" w:rsidR="006662C1" w:rsidRPr="009F5460" w:rsidRDefault="006662C1" w:rsidP="006662C1">
      <w:pPr>
        <w:pStyle w:val="NormalWeb"/>
        <w:spacing w:before="0" w:beforeAutospacing="0" w:after="0" w:afterAutospacing="0" w:line="360" w:lineRule="auto"/>
        <w:ind w:left="851" w:right="900"/>
        <w:jc w:val="both"/>
        <w:rPr>
          <w:sz w:val="22"/>
          <w:szCs w:val="22"/>
        </w:rPr>
      </w:pPr>
      <w:r w:rsidRPr="009F5460">
        <w:rPr>
          <w:rFonts w:ascii="Palatino Linotype" w:hAnsi="Palatino Linotype"/>
          <w:b/>
          <w:bCs/>
          <w:i/>
          <w:iCs/>
          <w:color w:val="000000"/>
          <w:sz w:val="22"/>
          <w:szCs w:val="22"/>
        </w:rPr>
        <w:t>“Datos de identificación del representante o apoderado legal.</w:t>
      </w:r>
      <w:r w:rsidRPr="009F5460">
        <w:rPr>
          <w:rFonts w:ascii="Palatino Linotype" w:hAnsi="Palatino Linotype"/>
          <w:i/>
          <w:iCs/>
          <w:color w:val="000000"/>
          <w:sz w:val="22"/>
          <w:szCs w:val="22"/>
        </w:rPr>
        <w:t xml:space="preserve"> </w:t>
      </w:r>
      <w:r w:rsidRPr="009F5460">
        <w:rPr>
          <w:rFonts w:ascii="Palatino Linotype" w:hAnsi="Palatino Linotype"/>
          <w:b/>
          <w:bCs/>
          <w:i/>
          <w:iCs/>
          <w:color w:val="000000"/>
          <w:sz w:val="22"/>
          <w:szCs w:val="22"/>
        </w:rPr>
        <w:t xml:space="preserve">Naturaleza jurídica. </w:t>
      </w:r>
      <w:r w:rsidRPr="009F5460">
        <w:rPr>
          <w:rFonts w:ascii="Palatino Linotype" w:hAnsi="Palatino Linotype"/>
          <w:i/>
          <w:iCs/>
          <w:color w:val="000000"/>
          <w:sz w:val="22"/>
          <w:szCs w:val="22"/>
        </w:rPr>
        <w:t xml:space="preserve">El nombre, la firma y la rúbrica de una persona física, que actúe como representante o apoderado legal de un tercero que haya celebrado un acto jurídico, con algún sujeto obligado, </w:t>
      </w:r>
      <w:r w:rsidRPr="009F5460">
        <w:rPr>
          <w:rFonts w:ascii="Palatino Linotype" w:hAnsi="Palatino Linotype"/>
          <w:b/>
          <w:bCs/>
          <w:i/>
          <w:iCs/>
          <w:color w:val="000000"/>
          <w:sz w:val="22"/>
          <w:szCs w:val="22"/>
        </w:rPr>
        <w:t>es información pública, en razón de que tales datos fueron proporcionados con el objeto de expresar el consentimiento obligacional del tercero y otorgar validez a dicho instrumento jurídico</w:t>
      </w:r>
      <w:r w:rsidRPr="009F5460">
        <w:rPr>
          <w:rFonts w:ascii="Palatino Linotype" w:hAnsi="Palatino Linotype"/>
          <w:i/>
          <w:iCs/>
          <w:color w:val="000000"/>
          <w:sz w:val="22"/>
          <w:szCs w:val="22"/>
        </w:rPr>
        <w:t>.”</w:t>
      </w:r>
    </w:p>
    <w:p w14:paraId="3E738811" w14:textId="77777777" w:rsidR="006662C1" w:rsidRPr="009F5460" w:rsidRDefault="006662C1" w:rsidP="006662C1">
      <w:pPr>
        <w:spacing w:line="360" w:lineRule="auto"/>
        <w:rPr>
          <w:sz w:val="22"/>
          <w:szCs w:val="22"/>
        </w:rPr>
      </w:pPr>
    </w:p>
    <w:p w14:paraId="7137D73A" w14:textId="77777777" w:rsidR="006662C1" w:rsidRPr="009F5460" w:rsidRDefault="006662C1" w:rsidP="006662C1">
      <w:pPr>
        <w:spacing w:line="360" w:lineRule="auto"/>
        <w:rPr>
          <w:sz w:val="22"/>
          <w:szCs w:val="22"/>
        </w:rPr>
      </w:pPr>
    </w:p>
    <w:p w14:paraId="0648D139"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28F22A4"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3830CA7D"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b/>
          <w:i/>
          <w:sz w:val="22"/>
          <w:szCs w:val="22"/>
        </w:rPr>
        <w:t>Quincuagésimo</w:t>
      </w:r>
      <w:r w:rsidRPr="009F5460">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D5003E"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Quincuagésimo primero.</w:t>
      </w:r>
      <w:r w:rsidRPr="009F5460">
        <w:rPr>
          <w:rFonts w:ascii="Palatino Linotype" w:eastAsia="Palatino Linotype" w:hAnsi="Palatino Linotype" w:cs="Palatino Linotype"/>
          <w:i/>
          <w:sz w:val="22"/>
          <w:szCs w:val="22"/>
        </w:rPr>
        <w:t xml:space="preserve"> Toda acta del Comité de Transparencia deberá contener: </w:t>
      </w:r>
    </w:p>
    <w:p w14:paraId="00771468"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 El número de sesión y fecha; </w:t>
      </w:r>
    </w:p>
    <w:p w14:paraId="73569100"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II. El nombre del área que solicitó la clasificación de información; </w:t>
      </w:r>
    </w:p>
    <w:p w14:paraId="5B05A82F"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III. La fundamentación legal y motivación correspondiente; </w:t>
      </w:r>
    </w:p>
    <w:p w14:paraId="0311E9C5"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lastRenderedPageBreak/>
        <w:t xml:space="preserve">IV. La resolución o resoluciones aprobadas; y </w:t>
      </w:r>
    </w:p>
    <w:p w14:paraId="6141E41C"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V. La rúbrica o firma digital de cada integrante del Comité de Transparencia. </w:t>
      </w:r>
    </w:p>
    <w:p w14:paraId="37D8F332"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8F69AA9"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 Los motivos y razonamientos que sustenten la confirmación o modificación de la prueba de daño;</w:t>
      </w:r>
    </w:p>
    <w:p w14:paraId="47980289"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II. Descripción de las partes o secciones reservadas, en caso de clasificación parcial; </w:t>
      </w:r>
    </w:p>
    <w:p w14:paraId="2DA62401"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III. El periodo por el que mantendrá su clasificación y fecha de expiración; y </w:t>
      </w:r>
    </w:p>
    <w:p w14:paraId="59BFF2DC"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3D4BA1D"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2F4BC5C"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1EAD664"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Quincuagésimo segundo.</w:t>
      </w:r>
      <w:r w:rsidRPr="009F5460">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92F59F4"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89AA2C8"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F6386E1"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83A56BB"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III. Señalar las personas o instancias autorizadas a acceder a la información clasificada.</w:t>
      </w:r>
    </w:p>
    <w:p w14:paraId="611E1A79"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AEA8C4A"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7314E825"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041AB78D"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p>
    <w:p w14:paraId="1000431D" w14:textId="77777777" w:rsidR="006662C1" w:rsidRPr="009F5460" w:rsidRDefault="006662C1" w:rsidP="006662C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r w:rsidRPr="009F5460">
        <w:rPr>
          <w:rFonts w:ascii="Palatino Linotype" w:eastAsia="Palatino Linotype" w:hAnsi="Palatino Linotype" w:cs="Palatino Linotype"/>
          <w:b/>
          <w:i/>
          <w:sz w:val="22"/>
          <w:szCs w:val="22"/>
        </w:rPr>
        <w:t>Quincuagésimo cuarto.</w:t>
      </w:r>
      <w:r w:rsidRPr="009F5460">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w:t>
      </w:r>
      <w:r w:rsidRPr="009F5460">
        <w:rPr>
          <w:rFonts w:ascii="Palatino Linotype" w:eastAsia="Palatino Linotype" w:hAnsi="Palatino Linotype" w:cs="Palatino Linotype"/>
          <w:i/>
          <w:sz w:val="22"/>
          <w:szCs w:val="22"/>
        </w:rPr>
        <w:lastRenderedPageBreak/>
        <w:t xml:space="preserve">deberá anexar al expediente la resolución que determinó la clasificación o, en su defecto, identificar en la carátula del expediente del cual formen parte, la fecha y sesión del Comité de Transparencia en la que se confirmó dicha clasificación. </w:t>
      </w:r>
    </w:p>
    <w:p w14:paraId="751B6D6C"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Quincuagésimo quinto.</w:t>
      </w:r>
      <w:r w:rsidRPr="009F5460">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9F5460">
        <w:rPr>
          <w:rFonts w:ascii="Palatino Linotype" w:eastAsia="Palatino Linotype" w:hAnsi="Palatino Linotype" w:cs="Palatino Linotype"/>
          <w:i/>
          <w:sz w:val="22"/>
          <w:szCs w:val="22"/>
        </w:rPr>
        <w:t>testado</w:t>
      </w:r>
      <w:proofErr w:type="spellEnd"/>
      <w:r w:rsidRPr="009F546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841C9C9"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w:t>
      </w:r>
    </w:p>
    <w:p w14:paraId="4EE7001B"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b/>
          <w:i/>
          <w:sz w:val="22"/>
          <w:szCs w:val="22"/>
        </w:rPr>
        <w:t>Quincuagésimo séptimo.</w:t>
      </w:r>
      <w:r w:rsidRPr="009F546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EFBEEB8"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7201B353"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64976FB"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B665088"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F2C209C" w14:textId="77777777" w:rsidR="006662C1" w:rsidRPr="009F5460" w:rsidRDefault="006662C1" w:rsidP="006662C1">
      <w:pPr>
        <w:ind w:left="567" w:right="616"/>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AEBEB26" w14:textId="77777777" w:rsidR="006662C1" w:rsidRPr="009F5460" w:rsidRDefault="006662C1" w:rsidP="006662C1">
      <w:pPr>
        <w:spacing w:line="360" w:lineRule="auto"/>
        <w:ind w:left="567" w:right="616"/>
        <w:jc w:val="both"/>
        <w:rPr>
          <w:rFonts w:ascii="Palatino Linotype" w:eastAsia="Palatino Linotype" w:hAnsi="Palatino Linotype" w:cs="Palatino Linotype"/>
          <w:i/>
          <w:sz w:val="22"/>
          <w:szCs w:val="22"/>
        </w:rPr>
      </w:pPr>
    </w:p>
    <w:p w14:paraId="17A8C8A1" w14:textId="77777777" w:rsidR="006662C1" w:rsidRPr="009F5460" w:rsidRDefault="006662C1" w:rsidP="006662C1">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w:t>
      </w:r>
      <w:r w:rsidRPr="009F5460">
        <w:rPr>
          <w:rFonts w:ascii="Palatino Linotype" w:eastAsia="Palatino Linotype" w:hAnsi="Palatino Linotype" w:cs="Palatino Linotype"/>
          <w:sz w:val="22"/>
          <w:szCs w:val="22"/>
        </w:rPr>
        <w:lastRenderedPageBreak/>
        <w:t>porque se testan o suprimen- deja al solicitante en estado de incertidumbre, al no conocer o comprender por qué no aparecen en la documentación respectiva.</w:t>
      </w:r>
    </w:p>
    <w:p w14:paraId="55D8B4AD" w14:textId="77777777" w:rsidR="00C24233" w:rsidRPr="009F5460" w:rsidRDefault="00C24233" w:rsidP="00C9447F">
      <w:pPr>
        <w:spacing w:line="360" w:lineRule="auto"/>
        <w:ind w:right="49"/>
        <w:jc w:val="both"/>
        <w:rPr>
          <w:rFonts w:ascii="Palatino Linotype" w:eastAsia="Palatino Linotype" w:hAnsi="Palatino Linotype" w:cs="Palatino Linotype"/>
          <w:sz w:val="22"/>
          <w:szCs w:val="22"/>
        </w:rPr>
      </w:pPr>
    </w:p>
    <w:p w14:paraId="1AE94803" w14:textId="5DD89CC7" w:rsidR="003A5BF3" w:rsidRPr="009F5460" w:rsidRDefault="00B830DD" w:rsidP="00C9447F">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9F5460">
        <w:rPr>
          <w:rFonts w:ascii="Palatino Linotype" w:eastAsia="Palatino Linotype" w:hAnsi="Palatino Linotype" w:cs="Palatino Linotype"/>
          <w:b/>
          <w:sz w:val="22"/>
          <w:szCs w:val="22"/>
        </w:rPr>
        <w:t>RECURRENTE</w:t>
      </w:r>
      <w:r w:rsidRPr="009F5460">
        <w:rPr>
          <w:rFonts w:ascii="Palatino Linotype" w:eastAsia="Palatino Linotype" w:hAnsi="Palatino Linotype" w:cs="Palatino Linotype"/>
          <w:sz w:val="22"/>
          <w:szCs w:val="22"/>
        </w:rPr>
        <w:t xml:space="preserve"> dentro del recurso de revisión </w:t>
      </w:r>
      <w:r w:rsidR="00CB5EBE" w:rsidRPr="009F5460">
        <w:rPr>
          <w:rFonts w:ascii="Palatino Linotype" w:eastAsia="Palatino Linotype" w:hAnsi="Palatino Linotype" w:cs="Palatino Linotype"/>
          <w:b/>
          <w:sz w:val="22"/>
          <w:szCs w:val="22"/>
        </w:rPr>
        <w:t>06594/INFOEM/IP/RR/2024</w:t>
      </w:r>
      <w:r w:rsidRPr="009F5460">
        <w:rPr>
          <w:rFonts w:ascii="Palatino Linotype" w:eastAsia="Palatino Linotype" w:hAnsi="Palatino Linotype" w:cs="Palatino Linotype"/>
          <w:sz w:val="22"/>
          <w:szCs w:val="22"/>
        </w:rPr>
        <w:t>; por ello, y con fundamento en la fracción I</w:t>
      </w:r>
      <w:r w:rsidR="00C24233" w:rsidRPr="009F5460">
        <w:rPr>
          <w:rFonts w:ascii="Palatino Linotype" w:eastAsia="Palatino Linotype" w:hAnsi="Palatino Linotype" w:cs="Palatino Linotype"/>
          <w:sz w:val="22"/>
          <w:szCs w:val="22"/>
        </w:rPr>
        <w:t>II</w:t>
      </w:r>
      <w:r w:rsidRPr="009F5460">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9F5460">
        <w:rPr>
          <w:rFonts w:ascii="Palatino Linotype" w:eastAsia="Palatino Linotype" w:hAnsi="Palatino Linotype" w:cs="Palatino Linotype"/>
          <w:b/>
          <w:sz w:val="22"/>
          <w:szCs w:val="22"/>
        </w:rPr>
        <w:t xml:space="preserve">REVOCA </w:t>
      </w:r>
      <w:r w:rsidRPr="009F5460">
        <w:rPr>
          <w:rFonts w:ascii="Palatino Linotype" w:eastAsia="Palatino Linotype" w:hAnsi="Palatino Linotype" w:cs="Palatino Linotype"/>
          <w:sz w:val="22"/>
          <w:szCs w:val="22"/>
        </w:rPr>
        <w:t xml:space="preserve">la respuesta del </w:t>
      </w:r>
      <w:r w:rsidRPr="009F5460">
        <w:rPr>
          <w:rFonts w:ascii="Palatino Linotype" w:eastAsia="Palatino Linotype" w:hAnsi="Palatino Linotype" w:cs="Palatino Linotype"/>
          <w:b/>
          <w:sz w:val="22"/>
          <w:szCs w:val="22"/>
        </w:rPr>
        <w:t xml:space="preserve">SUJETO OBLIGADO </w:t>
      </w:r>
      <w:r w:rsidRPr="009F5460">
        <w:rPr>
          <w:rFonts w:ascii="Palatino Linotype" w:eastAsia="Palatino Linotype" w:hAnsi="Palatino Linotype" w:cs="Palatino Linotype"/>
          <w:sz w:val="22"/>
          <w:szCs w:val="22"/>
        </w:rPr>
        <w:t xml:space="preserve">a la solicitud de información </w:t>
      </w:r>
      <w:r w:rsidR="00CB5EBE" w:rsidRPr="009F5460">
        <w:rPr>
          <w:rFonts w:ascii="Palatino Linotype" w:eastAsia="Palatino Linotype" w:hAnsi="Palatino Linotype" w:cs="Palatino Linotype"/>
          <w:b/>
          <w:sz w:val="22"/>
          <w:szCs w:val="22"/>
        </w:rPr>
        <w:t>00312/TEMAMATL/IP/2024</w:t>
      </w:r>
      <w:r w:rsidRPr="009F5460">
        <w:rPr>
          <w:rFonts w:ascii="Palatino Linotype" w:eastAsia="Palatino Linotype" w:hAnsi="Palatino Linotype" w:cs="Palatino Linotype"/>
          <w:b/>
          <w:sz w:val="22"/>
          <w:szCs w:val="22"/>
        </w:rPr>
        <w:t>.</w:t>
      </w:r>
    </w:p>
    <w:p w14:paraId="027C4BCC" w14:textId="77777777" w:rsidR="003A5BF3" w:rsidRPr="009F5460" w:rsidRDefault="003A5BF3" w:rsidP="00C9447F">
      <w:pPr>
        <w:spacing w:line="360" w:lineRule="auto"/>
        <w:ind w:right="49"/>
        <w:jc w:val="both"/>
        <w:rPr>
          <w:rFonts w:ascii="Palatino Linotype" w:eastAsia="Palatino Linotype" w:hAnsi="Palatino Linotype" w:cs="Palatino Linotype"/>
          <w:sz w:val="22"/>
          <w:szCs w:val="22"/>
        </w:rPr>
      </w:pPr>
    </w:p>
    <w:p w14:paraId="75748721" w14:textId="77777777" w:rsidR="003A5BF3" w:rsidRPr="009F5460" w:rsidRDefault="00B830DD" w:rsidP="00C9447F">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3778C03" w14:textId="77777777" w:rsidR="003A5BF3" w:rsidRPr="009F5460" w:rsidRDefault="00B830DD" w:rsidP="0078550C">
      <w:pPr>
        <w:spacing w:line="360" w:lineRule="auto"/>
        <w:jc w:val="center"/>
        <w:rPr>
          <w:rFonts w:ascii="Palatino Linotype" w:eastAsia="Palatino Linotype" w:hAnsi="Palatino Linotype" w:cs="Palatino Linotype"/>
          <w:b/>
          <w:color w:val="000000"/>
          <w:sz w:val="22"/>
          <w:szCs w:val="22"/>
        </w:rPr>
      </w:pPr>
      <w:r w:rsidRPr="009F5460">
        <w:rPr>
          <w:rFonts w:ascii="Palatino Linotype" w:eastAsia="Palatino Linotype" w:hAnsi="Palatino Linotype" w:cs="Palatino Linotype"/>
          <w:b/>
          <w:color w:val="000000"/>
          <w:sz w:val="22"/>
          <w:szCs w:val="22"/>
        </w:rPr>
        <w:t>R E S U E L V E:</w:t>
      </w:r>
    </w:p>
    <w:p w14:paraId="6C430197" w14:textId="77777777" w:rsidR="003A5BF3" w:rsidRPr="009F5460" w:rsidRDefault="003A5BF3" w:rsidP="00C9447F">
      <w:pPr>
        <w:spacing w:line="360" w:lineRule="auto"/>
        <w:jc w:val="both"/>
        <w:rPr>
          <w:rFonts w:ascii="Palatino Linotype" w:eastAsia="Palatino Linotype" w:hAnsi="Palatino Linotype" w:cs="Palatino Linotype"/>
          <w:b/>
          <w:sz w:val="22"/>
          <w:szCs w:val="22"/>
        </w:rPr>
      </w:pPr>
    </w:p>
    <w:p w14:paraId="61A0E807" w14:textId="0760ABA2" w:rsidR="003A5BF3" w:rsidRPr="009F5460" w:rsidRDefault="00B830DD" w:rsidP="00C9447F">
      <w:pPr>
        <w:spacing w:line="360" w:lineRule="auto"/>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 xml:space="preserve">Primero. </w:t>
      </w:r>
      <w:r w:rsidRPr="009F5460">
        <w:rPr>
          <w:rFonts w:ascii="Palatino Linotype" w:eastAsia="Palatino Linotype" w:hAnsi="Palatino Linotype" w:cs="Palatino Linotype"/>
          <w:sz w:val="22"/>
          <w:szCs w:val="22"/>
        </w:rPr>
        <w:t xml:space="preserve">Se </w:t>
      </w:r>
      <w:r w:rsidRPr="009F5460">
        <w:rPr>
          <w:rFonts w:ascii="Palatino Linotype" w:eastAsia="Palatino Linotype" w:hAnsi="Palatino Linotype" w:cs="Palatino Linotype"/>
          <w:b/>
          <w:sz w:val="22"/>
          <w:szCs w:val="22"/>
        </w:rPr>
        <w:t xml:space="preserve">REVOCA </w:t>
      </w:r>
      <w:r w:rsidRPr="009F5460">
        <w:rPr>
          <w:rFonts w:ascii="Palatino Linotype" w:eastAsia="Palatino Linotype" w:hAnsi="Palatino Linotype" w:cs="Palatino Linotype"/>
          <w:sz w:val="22"/>
          <w:szCs w:val="22"/>
        </w:rPr>
        <w:t xml:space="preserve">la respuesta entregada por </w:t>
      </w:r>
      <w:r w:rsidRPr="009F5460">
        <w:rPr>
          <w:rFonts w:ascii="Palatino Linotype" w:eastAsia="Palatino Linotype" w:hAnsi="Palatino Linotype" w:cs="Palatino Linotype"/>
          <w:b/>
          <w:sz w:val="22"/>
          <w:szCs w:val="22"/>
        </w:rPr>
        <w:t xml:space="preserve">EL SUJETO OBLIGADO </w:t>
      </w:r>
      <w:r w:rsidRPr="009F5460">
        <w:rPr>
          <w:rFonts w:ascii="Palatino Linotype" w:eastAsia="Palatino Linotype" w:hAnsi="Palatino Linotype" w:cs="Palatino Linotype"/>
          <w:sz w:val="22"/>
          <w:szCs w:val="22"/>
        </w:rPr>
        <w:t xml:space="preserve">a la solicitud de información </w:t>
      </w:r>
      <w:r w:rsidR="00DD299C" w:rsidRPr="009F5460">
        <w:rPr>
          <w:rFonts w:ascii="Palatino Linotype" w:eastAsia="Palatino Linotype" w:hAnsi="Palatino Linotype" w:cs="Palatino Linotype"/>
          <w:b/>
          <w:sz w:val="22"/>
          <w:szCs w:val="22"/>
        </w:rPr>
        <w:t>00</w:t>
      </w:r>
      <w:r w:rsidR="00CB5EBE" w:rsidRPr="009F5460">
        <w:rPr>
          <w:rFonts w:ascii="Palatino Linotype" w:eastAsia="Palatino Linotype" w:hAnsi="Palatino Linotype" w:cs="Palatino Linotype"/>
          <w:b/>
          <w:sz w:val="22"/>
          <w:szCs w:val="22"/>
        </w:rPr>
        <w:t>312</w:t>
      </w:r>
      <w:r w:rsidR="00DD299C" w:rsidRPr="009F5460">
        <w:rPr>
          <w:rFonts w:ascii="Palatino Linotype" w:eastAsia="Palatino Linotype" w:hAnsi="Palatino Linotype" w:cs="Palatino Linotype"/>
          <w:b/>
          <w:sz w:val="22"/>
          <w:szCs w:val="22"/>
        </w:rPr>
        <w:t>/TEMAMATL/IP/2024</w:t>
      </w:r>
      <w:r w:rsidRPr="009F5460">
        <w:rPr>
          <w:rFonts w:ascii="Palatino Linotype" w:eastAsia="Palatino Linotype" w:hAnsi="Palatino Linotype" w:cs="Palatino Linotype"/>
          <w:sz w:val="22"/>
          <w:szCs w:val="22"/>
        </w:rPr>
        <w:t xml:space="preserve">, por resultar fundadas las razones o motivos de inconformidad hechos valer por la parte </w:t>
      </w:r>
      <w:r w:rsidRPr="009F5460">
        <w:rPr>
          <w:rFonts w:ascii="Palatino Linotype" w:eastAsia="Palatino Linotype" w:hAnsi="Palatino Linotype" w:cs="Palatino Linotype"/>
          <w:b/>
          <w:sz w:val="22"/>
          <w:szCs w:val="22"/>
        </w:rPr>
        <w:t xml:space="preserve">RECURRENTE, </w:t>
      </w:r>
      <w:r w:rsidRPr="009F5460">
        <w:rPr>
          <w:rFonts w:ascii="Palatino Linotype" w:eastAsia="Palatino Linotype" w:hAnsi="Palatino Linotype" w:cs="Palatino Linotype"/>
          <w:sz w:val="22"/>
          <w:szCs w:val="22"/>
        </w:rPr>
        <w:t xml:space="preserve">en el Recurso de Revisión </w:t>
      </w:r>
      <w:r w:rsidR="00CB5EBE" w:rsidRPr="009F5460">
        <w:rPr>
          <w:rFonts w:ascii="Palatino Linotype" w:eastAsia="Palatino Linotype" w:hAnsi="Palatino Linotype" w:cs="Palatino Linotype"/>
          <w:b/>
          <w:sz w:val="22"/>
          <w:szCs w:val="22"/>
        </w:rPr>
        <w:t>06594/INFOEM/IP/RR/2024</w:t>
      </w:r>
      <w:r w:rsidRPr="009F5460">
        <w:rPr>
          <w:rFonts w:ascii="Palatino Linotype" w:eastAsia="Palatino Linotype" w:hAnsi="Palatino Linotype" w:cs="Palatino Linotype"/>
          <w:b/>
          <w:sz w:val="22"/>
          <w:szCs w:val="22"/>
        </w:rPr>
        <w:t>,</w:t>
      </w:r>
      <w:r w:rsidRPr="009F5460">
        <w:rPr>
          <w:rFonts w:ascii="Palatino Linotype" w:eastAsia="Palatino Linotype" w:hAnsi="Palatino Linotype" w:cs="Palatino Linotype"/>
          <w:sz w:val="22"/>
          <w:szCs w:val="22"/>
        </w:rPr>
        <w:t xml:space="preserve"> en términos del considerando </w:t>
      </w:r>
      <w:r w:rsidRPr="009F5460">
        <w:rPr>
          <w:rFonts w:ascii="Palatino Linotype" w:eastAsia="Palatino Linotype" w:hAnsi="Palatino Linotype" w:cs="Palatino Linotype"/>
          <w:b/>
          <w:sz w:val="22"/>
          <w:szCs w:val="22"/>
        </w:rPr>
        <w:t>Cuarto</w:t>
      </w:r>
      <w:r w:rsidRPr="009F5460">
        <w:rPr>
          <w:rFonts w:ascii="Palatino Linotype" w:eastAsia="Palatino Linotype" w:hAnsi="Palatino Linotype" w:cs="Palatino Linotype"/>
          <w:sz w:val="22"/>
          <w:szCs w:val="22"/>
        </w:rPr>
        <w:t xml:space="preserve"> de la presente Resolución.</w:t>
      </w:r>
      <w:r w:rsidR="002C0341" w:rsidRPr="009F5460">
        <w:rPr>
          <w:rFonts w:ascii="Palatino Linotype" w:eastAsia="Palatino Linotype" w:hAnsi="Palatino Linotype" w:cs="Palatino Linotype"/>
          <w:sz w:val="22"/>
          <w:szCs w:val="22"/>
        </w:rPr>
        <w:t xml:space="preserve"> </w:t>
      </w:r>
    </w:p>
    <w:p w14:paraId="74F23D37" w14:textId="77777777" w:rsidR="003A5BF3" w:rsidRPr="009F5460" w:rsidRDefault="003A5BF3" w:rsidP="00C9447F">
      <w:pPr>
        <w:spacing w:line="360" w:lineRule="auto"/>
        <w:ind w:right="49"/>
        <w:jc w:val="both"/>
        <w:rPr>
          <w:rFonts w:ascii="Palatino Linotype" w:eastAsia="Palatino Linotype" w:hAnsi="Palatino Linotype" w:cs="Palatino Linotype"/>
          <w:sz w:val="22"/>
          <w:szCs w:val="22"/>
        </w:rPr>
      </w:pPr>
    </w:p>
    <w:p w14:paraId="0C235DAC" w14:textId="56A29836" w:rsidR="003A5BF3" w:rsidRPr="009F5460" w:rsidRDefault="00B830DD" w:rsidP="00C9447F">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9F5460">
        <w:rPr>
          <w:rFonts w:ascii="Palatino Linotype" w:eastAsia="Palatino Linotype" w:hAnsi="Palatino Linotype" w:cs="Palatino Linotype"/>
          <w:b/>
          <w:sz w:val="22"/>
          <w:szCs w:val="22"/>
        </w:rPr>
        <w:t>Segundo.</w:t>
      </w:r>
      <w:r w:rsidRPr="009F5460">
        <w:rPr>
          <w:rFonts w:ascii="Palatino Linotype" w:eastAsia="Palatino Linotype" w:hAnsi="Palatino Linotype" w:cs="Palatino Linotype"/>
          <w:sz w:val="22"/>
          <w:szCs w:val="22"/>
        </w:rPr>
        <w:t xml:space="preserve"> Se</w:t>
      </w:r>
      <w:r w:rsidRPr="009F5460">
        <w:rPr>
          <w:rFonts w:ascii="Palatino Linotype" w:eastAsia="Palatino Linotype" w:hAnsi="Palatino Linotype" w:cs="Palatino Linotype"/>
          <w:b/>
          <w:sz w:val="22"/>
          <w:szCs w:val="22"/>
        </w:rPr>
        <w:t xml:space="preserve"> Ordena </w:t>
      </w:r>
      <w:r w:rsidRPr="009F5460">
        <w:rPr>
          <w:rFonts w:ascii="Palatino Linotype" w:eastAsia="Palatino Linotype" w:hAnsi="Palatino Linotype" w:cs="Palatino Linotype"/>
          <w:sz w:val="22"/>
          <w:szCs w:val="22"/>
        </w:rPr>
        <w:t xml:space="preserve">al </w:t>
      </w:r>
      <w:r w:rsidRPr="009F5460">
        <w:rPr>
          <w:rFonts w:ascii="Palatino Linotype" w:eastAsia="Palatino Linotype" w:hAnsi="Palatino Linotype" w:cs="Palatino Linotype"/>
          <w:b/>
          <w:sz w:val="22"/>
          <w:szCs w:val="22"/>
        </w:rPr>
        <w:t>Sujeto Obligado</w:t>
      </w:r>
      <w:r w:rsidRPr="009F5460">
        <w:rPr>
          <w:rFonts w:ascii="Palatino Linotype" w:eastAsia="Palatino Linotype" w:hAnsi="Palatino Linotype" w:cs="Palatino Linotype"/>
          <w:sz w:val="22"/>
          <w:szCs w:val="22"/>
        </w:rPr>
        <w:t xml:space="preserve">, haga entrega a la parte </w:t>
      </w:r>
      <w:r w:rsidRPr="009F5460">
        <w:rPr>
          <w:rFonts w:ascii="Palatino Linotype" w:eastAsia="Palatino Linotype" w:hAnsi="Palatino Linotype" w:cs="Palatino Linotype"/>
          <w:b/>
          <w:sz w:val="22"/>
          <w:szCs w:val="22"/>
        </w:rPr>
        <w:t xml:space="preserve">Recurrente </w:t>
      </w:r>
      <w:r w:rsidRPr="009F5460">
        <w:rPr>
          <w:rFonts w:ascii="Palatino Linotype" w:eastAsia="Palatino Linotype" w:hAnsi="Palatino Linotype" w:cs="Palatino Linotype"/>
          <w:sz w:val="22"/>
          <w:szCs w:val="22"/>
        </w:rPr>
        <w:t xml:space="preserve">en términos de los </w:t>
      </w:r>
      <w:r w:rsidRPr="009F5460">
        <w:rPr>
          <w:rFonts w:ascii="Palatino Linotype" w:eastAsia="Palatino Linotype" w:hAnsi="Palatino Linotype" w:cs="Palatino Linotype"/>
          <w:b/>
          <w:sz w:val="22"/>
          <w:szCs w:val="22"/>
        </w:rPr>
        <w:t>Considerandos Cuarto y Quinto</w:t>
      </w:r>
      <w:r w:rsidRPr="009F5460">
        <w:rPr>
          <w:rFonts w:ascii="Palatino Linotype" w:eastAsia="Palatino Linotype" w:hAnsi="Palatino Linotype" w:cs="Palatino Linotype"/>
          <w:sz w:val="22"/>
          <w:szCs w:val="22"/>
        </w:rPr>
        <w:t>, a través del Sistema de Acceso a la I</w:t>
      </w:r>
      <w:r w:rsidR="00F84F72" w:rsidRPr="009F5460">
        <w:rPr>
          <w:rFonts w:ascii="Palatino Linotype" w:eastAsia="Palatino Linotype" w:hAnsi="Palatino Linotype" w:cs="Palatino Linotype"/>
          <w:sz w:val="22"/>
          <w:szCs w:val="22"/>
        </w:rPr>
        <w:t xml:space="preserve">nformación </w:t>
      </w:r>
      <w:r w:rsidR="00F84F72" w:rsidRPr="009F5460">
        <w:rPr>
          <w:rFonts w:ascii="Palatino Linotype" w:eastAsia="Palatino Linotype" w:hAnsi="Palatino Linotype" w:cs="Palatino Linotype"/>
          <w:sz w:val="22"/>
          <w:szCs w:val="22"/>
        </w:rPr>
        <w:lastRenderedPageBreak/>
        <w:t xml:space="preserve">Mexiquense (SAIMEX), </w:t>
      </w:r>
      <w:r w:rsidRPr="009F5460">
        <w:rPr>
          <w:rFonts w:ascii="Palatino Linotype" w:eastAsia="Palatino Linotype" w:hAnsi="Palatino Linotype" w:cs="Palatino Linotype"/>
          <w:sz w:val="22"/>
          <w:szCs w:val="22"/>
        </w:rPr>
        <w:t xml:space="preserve">de ser el caso en versión pública, </w:t>
      </w:r>
      <w:r w:rsidR="00DF4B56" w:rsidRPr="009F5460">
        <w:rPr>
          <w:rFonts w:ascii="Palatino Linotype" w:eastAsia="Palatino Linotype" w:hAnsi="Palatino Linotype" w:cs="Palatino Linotype"/>
          <w:sz w:val="22"/>
          <w:szCs w:val="22"/>
        </w:rPr>
        <w:t xml:space="preserve">los documentos donde conste </w:t>
      </w:r>
      <w:r w:rsidRPr="009F5460">
        <w:rPr>
          <w:rFonts w:ascii="Palatino Linotype" w:eastAsia="Palatino Linotype" w:hAnsi="Palatino Linotype" w:cs="Palatino Linotype"/>
          <w:sz w:val="22"/>
          <w:szCs w:val="22"/>
        </w:rPr>
        <w:t xml:space="preserve">la siguiente información: </w:t>
      </w:r>
    </w:p>
    <w:p w14:paraId="43CD382C"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2705D407" w14:textId="01C9D35B" w:rsidR="006565D9" w:rsidRPr="009F5460" w:rsidRDefault="006565D9" w:rsidP="006565D9">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9F5460">
        <w:rPr>
          <w:rFonts w:ascii="Palatino Linotype" w:eastAsia="Palatino Linotype" w:hAnsi="Palatino Linotype" w:cs="Palatino Linotype"/>
          <w:b/>
          <w:sz w:val="22"/>
          <w:szCs w:val="22"/>
        </w:rPr>
        <w:t>1.- De las reuniones de trabajo de servidores públicos adscritos al Ayuntamiento de Temamatla, del uno de enero de dos mil veintidós al veinticinco de septiembre de dos mil veinticuatro, los documentos donde conste:</w:t>
      </w:r>
    </w:p>
    <w:p w14:paraId="25A3CBAA" w14:textId="77777777" w:rsidR="006565D9" w:rsidRPr="009F5460" w:rsidRDefault="006565D9" w:rsidP="006565D9">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17C903CD" w14:textId="6ED79AF8" w:rsidR="006565D9" w:rsidRPr="009F5460" w:rsidRDefault="006565D9" w:rsidP="006565D9">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b/>
        </w:rPr>
      </w:pPr>
      <w:r w:rsidRPr="009F5460">
        <w:rPr>
          <w:rFonts w:ascii="Palatino Linotype" w:eastAsia="Palatino Linotype" w:hAnsi="Palatino Linotype" w:cs="Palatino Linotype"/>
          <w:b/>
        </w:rPr>
        <w:t>Monto mensual por concepto de logística;</w:t>
      </w:r>
    </w:p>
    <w:p w14:paraId="15A392CC" w14:textId="77777777" w:rsidR="006565D9" w:rsidRPr="009F5460" w:rsidRDefault="006565D9" w:rsidP="006565D9">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b/>
        </w:rPr>
      </w:pPr>
      <w:r w:rsidRPr="009F5460">
        <w:rPr>
          <w:rFonts w:ascii="Palatino Linotype" w:eastAsia="Palatino Linotype" w:hAnsi="Palatino Linotype" w:cs="Palatino Linotype"/>
          <w:b/>
        </w:rPr>
        <w:t>Proveedores;</w:t>
      </w:r>
    </w:p>
    <w:p w14:paraId="3F436A99" w14:textId="77777777" w:rsidR="006565D9" w:rsidRPr="009F5460" w:rsidRDefault="006565D9" w:rsidP="006565D9">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b/>
        </w:rPr>
      </w:pPr>
      <w:r w:rsidRPr="009F5460">
        <w:rPr>
          <w:rFonts w:ascii="Palatino Linotype" w:eastAsia="Palatino Linotype" w:hAnsi="Palatino Linotype" w:cs="Palatino Linotype"/>
          <w:b/>
        </w:rPr>
        <w:t>Pólizas de egresos.</w:t>
      </w:r>
    </w:p>
    <w:p w14:paraId="012296F5" w14:textId="77777777" w:rsidR="006565D9" w:rsidRPr="009F5460" w:rsidRDefault="006565D9" w:rsidP="00C9447F">
      <w:pPr>
        <w:spacing w:line="360" w:lineRule="auto"/>
        <w:jc w:val="both"/>
        <w:rPr>
          <w:rFonts w:ascii="Palatino Linotype" w:eastAsia="Palatino Linotype" w:hAnsi="Palatino Linotype" w:cs="Palatino Linotype"/>
          <w:sz w:val="22"/>
          <w:szCs w:val="22"/>
        </w:rPr>
      </w:pPr>
    </w:p>
    <w:p w14:paraId="63549D34" w14:textId="6BB86D9E" w:rsidR="00962001" w:rsidRPr="009F5460" w:rsidRDefault="00B830DD" w:rsidP="00C9447F">
      <w:pPr>
        <w:spacing w:line="360" w:lineRule="auto"/>
        <w:ind w:left="360" w:right="615"/>
        <w:jc w:val="both"/>
        <w:rPr>
          <w:rFonts w:ascii="Palatino Linotype" w:eastAsia="Palatino Linotype" w:hAnsi="Palatino Linotype" w:cs="Palatino Linotype"/>
          <w:i/>
          <w:sz w:val="22"/>
          <w:szCs w:val="22"/>
        </w:rPr>
      </w:pPr>
      <w:bookmarkStart w:id="4" w:name="_heading=h.kc4zj077h7pb" w:colFirst="0" w:colLast="0"/>
      <w:bookmarkEnd w:id="4"/>
      <w:r w:rsidRPr="009F5460">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F5460">
        <w:rPr>
          <w:rFonts w:ascii="Palatino Linotype" w:eastAsia="Palatino Linotype" w:hAnsi="Palatino Linotype" w:cs="Palatino Linotype"/>
          <w:b/>
          <w:i/>
          <w:sz w:val="22"/>
          <w:szCs w:val="22"/>
        </w:rPr>
        <w:t xml:space="preserve"> </w:t>
      </w:r>
      <w:proofErr w:type="gramStart"/>
      <w:r w:rsidRPr="009F5460">
        <w:rPr>
          <w:rFonts w:ascii="Palatino Linotype" w:eastAsia="Palatino Linotype" w:hAnsi="Palatino Linotype" w:cs="Palatino Linotype"/>
          <w:i/>
          <w:sz w:val="22"/>
          <w:szCs w:val="22"/>
        </w:rPr>
        <w:t>y</w:t>
      </w:r>
      <w:r w:rsidR="00AF433D"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i/>
          <w:sz w:val="22"/>
          <w:szCs w:val="22"/>
        </w:rPr>
        <w:t xml:space="preserve"> se</w:t>
      </w:r>
      <w:proofErr w:type="gramEnd"/>
      <w:r w:rsidRPr="009F5460">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3280E976" w14:textId="77777777" w:rsidR="00BD7A68" w:rsidRPr="009F5460" w:rsidRDefault="00BD7A68" w:rsidP="00C9447F">
      <w:pPr>
        <w:spacing w:line="360" w:lineRule="auto"/>
        <w:ind w:left="360" w:right="615"/>
        <w:jc w:val="both"/>
        <w:rPr>
          <w:rFonts w:ascii="Palatino Linotype" w:eastAsia="Palatino Linotype" w:hAnsi="Palatino Linotype" w:cs="Palatino Linotype"/>
          <w:i/>
          <w:sz w:val="22"/>
          <w:szCs w:val="22"/>
        </w:rPr>
      </w:pPr>
    </w:p>
    <w:p w14:paraId="68F35744" w14:textId="4200D85E" w:rsidR="00BD7A68" w:rsidRPr="009F5460" w:rsidRDefault="00BD7A68" w:rsidP="00BD7A68">
      <w:pPr>
        <w:spacing w:line="360" w:lineRule="auto"/>
        <w:ind w:left="360" w:right="615"/>
        <w:jc w:val="both"/>
        <w:rPr>
          <w:rFonts w:ascii="Palatino Linotype" w:eastAsia="Palatino Linotype" w:hAnsi="Palatino Linotype" w:cs="Palatino Linotype"/>
          <w:i/>
          <w:sz w:val="22"/>
          <w:szCs w:val="22"/>
        </w:rPr>
      </w:pPr>
      <w:r w:rsidRPr="009F5460">
        <w:rPr>
          <w:rFonts w:ascii="Palatino Linotype" w:eastAsia="Palatino Linotype" w:hAnsi="Palatino Linotype" w:cs="Palatino Linotype"/>
          <w:i/>
          <w:sz w:val="22"/>
          <w:szCs w:val="22"/>
        </w:rPr>
        <w:t xml:space="preserve">Para el caso de que el </w:t>
      </w:r>
      <w:r w:rsidRPr="009F5460">
        <w:rPr>
          <w:rFonts w:ascii="Palatino Linotype" w:eastAsia="Palatino Linotype" w:hAnsi="Palatino Linotype" w:cs="Palatino Linotype"/>
          <w:b/>
          <w:i/>
          <w:sz w:val="22"/>
          <w:szCs w:val="22"/>
        </w:rPr>
        <w:t>Sujeto Obligado</w:t>
      </w:r>
      <w:r w:rsidRPr="009F5460">
        <w:rPr>
          <w:rFonts w:ascii="Palatino Linotype" w:eastAsia="Palatino Linotype" w:hAnsi="Palatino Linotype" w:cs="Palatino Linotype"/>
          <w:i/>
          <w:sz w:val="22"/>
          <w:szCs w:val="22"/>
        </w:rPr>
        <w:t xml:space="preserve"> no cuente con información que se ordena entregar en alguna temporalidad, por no haberse generado,</w:t>
      </w:r>
      <w:r w:rsidR="00435CA8" w:rsidRPr="009F5460">
        <w:rPr>
          <w:rFonts w:ascii="Palatino Linotype" w:eastAsia="Palatino Linotype" w:hAnsi="Palatino Linotype" w:cs="Palatino Linotype"/>
          <w:i/>
          <w:sz w:val="22"/>
          <w:szCs w:val="22"/>
        </w:rPr>
        <w:t xml:space="preserve"> </w:t>
      </w:r>
      <w:r w:rsidRPr="009F5460">
        <w:rPr>
          <w:rFonts w:ascii="Palatino Linotype" w:eastAsia="Palatino Linotype" w:hAnsi="Palatino Linotype" w:cs="Palatino Linotype"/>
          <w:i/>
          <w:sz w:val="22"/>
          <w:szCs w:val="22"/>
        </w:rPr>
        <w:t xml:space="preserve">bastará con que así lo haga del conocimiento de la parte </w:t>
      </w:r>
      <w:r w:rsidRPr="009F5460">
        <w:rPr>
          <w:rFonts w:ascii="Palatino Linotype" w:eastAsia="Palatino Linotype" w:hAnsi="Palatino Linotype" w:cs="Palatino Linotype"/>
          <w:b/>
          <w:i/>
          <w:sz w:val="22"/>
          <w:szCs w:val="22"/>
        </w:rPr>
        <w:t>Recurrente</w:t>
      </w:r>
      <w:r w:rsidRPr="009F5460">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6892877" w14:textId="77777777" w:rsidR="00BD7A68" w:rsidRPr="009F5460" w:rsidRDefault="00BD7A68" w:rsidP="00C9447F">
      <w:pPr>
        <w:spacing w:line="360" w:lineRule="auto"/>
        <w:ind w:left="360" w:right="615"/>
        <w:jc w:val="both"/>
        <w:rPr>
          <w:rFonts w:ascii="Palatino Linotype" w:eastAsia="Palatino Linotype" w:hAnsi="Palatino Linotype" w:cs="Palatino Linotype"/>
          <w:i/>
          <w:sz w:val="22"/>
          <w:szCs w:val="22"/>
        </w:rPr>
      </w:pPr>
    </w:p>
    <w:p w14:paraId="699F50A8" w14:textId="77777777" w:rsidR="003A5BF3" w:rsidRPr="009F5460" w:rsidRDefault="00B830DD" w:rsidP="00C9447F">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9F5460">
        <w:rPr>
          <w:rFonts w:ascii="Palatino Linotype" w:eastAsia="Palatino Linotype" w:hAnsi="Palatino Linotype" w:cs="Palatino Linotype"/>
          <w:b/>
          <w:sz w:val="22"/>
          <w:szCs w:val="22"/>
        </w:rPr>
        <w:t xml:space="preserve">Tercero.  Notifíquese vía SAIMEX, </w:t>
      </w:r>
      <w:r w:rsidRPr="009F5460">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w:t>
      </w:r>
      <w:r w:rsidRPr="009F5460">
        <w:rPr>
          <w:rFonts w:ascii="Palatino Linotype" w:eastAsia="Palatino Linotype" w:hAnsi="Palatino Linotype" w:cs="Palatino Linotype"/>
          <w:sz w:val="22"/>
          <w:szCs w:val="22"/>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FE62E40"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5C891255" w14:textId="77777777" w:rsidR="003A5BF3" w:rsidRPr="009F5460" w:rsidRDefault="00B830DD" w:rsidP="00C9447F">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Cuarto.</w:t>
      </w:r>
      <w:r w:rsidRPr="009F5460">
        <w:rPr>
          <w:rFonts w:ascii="Palatino Linotype" w:eastAsia="Palatino Linotype" w:hAnsi="Palatino Linotype" w:cs="Palatino Linotype"/>
          <w:sz w:val="22"/>
          <w:szCs w:val="22"/>
        </w:rPr>
        <w:t xml:space="preserve"> </w:t>
      </w:r>
      <w:r w:rsidRPr="009F5460">
        <w:rPr>
          <w:rFonts w:ascii="Palatino Linotype" w:eastAsia="Palatino Linotype" w:hAnsi="Palatino Linotype" w:cs="Palatino Linotype"/>
          <w:b/>
          <w:sz w:val="22"/>
          <w:szCs w:val="22"/>
        </w:rPr>
        <w:t>Notifíquese vía SAIMEX</w:t>
      </w:r>
      <w:r w:rsidRPr="009F5460">
        <w:rPr>
          <w:rFonts w:ascii="Palatino Linotype" w:eastAsia="Palatino Linotype" w:hAnsi="Palatino Linotype" w:cs="Palatino Linotype"/>
          <w:sz w:val="22"/>
          <w:szCs w:val="22"/>
        </w:rPr>
        <w:t xml:space="preserve"> a la parte </w:t>
      </w:r>
      <w:r w:rsidRPr="009F5460">
        <w:rPr>
          <w:rFonts w:ascii="Palatino Linotype" w:eastAsia="Palatino Linotype" w:hAnsi="Palatino Linotype" w:cs="Palatino Linotype"/>
          <w:b/>
          <w:sz w:val="22"/>
          <w:szCs w:val="22"/>
        </w:rPr>
        <w:t xml:space="preserve">RECURRENTE </w:t>
      </w:r>
      <w:r w:rsidRPr="009F5460">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la resolución le cause algún perjuicio podrá </w:t>
      </w:r>
      <w:proofErr w:type="gramStart"/>
      <w:r w:rsidRPr="009F5460">
        <w:rPr>
          <w:rFonts w:ascii="Palatino Linotype" w:eastAsia="Palatino Linotype" w:hAnsi="Palatino Linotype" w:cs="Palatino Linotype"/>
          <w:sz w:val="22"/>
          <w:szCs w:val="22"/>
        </w:rPr>
        <w:t>impugnarla  vía</w:t>
      </w:r>
      <w:proofErr w:type="gramEnd"/>
      <w:r w:rsidRPr="009F5460">
        <w:rPr>
          <w:rFonts w:ascii="Palatino Linotype" w:eastAsia="Palatino Linotype" w:hAnsi="Palatino Linotype" w:cs="Palatino Linotype"/>
          <w:sz w:val="22"/>
          <w:szCs w:val="22"/>
        </w:rPr>
        <w:t xml:space="preserve"> juicio de amparo en los términos de las leyes aplicables.</w:t>
      </w:r>
    </w:p>
    <w:p w14:paraId="119132DB" w14:textId="77777777" w:rsidR="003A5BF3" w:rsidRPr="009F5460" w:rsidRDefault="003A5BF3" w:rsidP="00C9447F">
      <w:pPr>
        <w:spacing w:line="360" w:lineRule="auto"/>
        <w:jc w:val="both"/>
        <w:rPr>
          <w:rFonts w:ascii="Palatino Linotype" w:eastAsia="Palatino Linotype" w:hAnsi="Palatino Linotype" w:cs="Palatino Linotype"/>
          <w:sz w:val="22"/>
          <w:szCs w:val="22"/>
        </w:rPr>
      </w:pPr>
    </w:p>
    <w:p w14:paraId="0A58A539" w14:textId="77777777" w:rsidR="003A5BF3" w:rsidRPr="009F5460" w:rsidRDefault="00B830DD" w:rsidP="00C9447F">
      <w:pPr>
        <w:spacing w:line="360" w:lineRule="auto"/>
        <w:ind w:right="49"/>
        <w:jc w:val="both"/>
        <w:rPr>
          <w:rFonts w:ascii="Palatino Linotype" w:eastAsia="Palatino Linotype" w:hAnsi="Palatino Linotype" w:cs="Palatino Linotype"/>
          <w:sz w:val="22"/>
          <w:szCs w:val="22"/>
        </w:rPr>
      </w:pPr>
      <w:r w:rsidRPr="009F5460">
        <w:rPr>
          <w:rFonts w:ascii="Palatino Linotype" w:eastAsia="Palatino Linotype" w:hAnsi="Palatino Linotype" w:cs="Palatino Linotype"/>
          <w:b/>
          <w:sz w:val="22"/>
          <w:szCs w:val="22"/>
        </w:rPr>
        <w:t>Quinto.</w:t>
      </w:r>
      <w:r w:rsidRPr="009F546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9F5460">
        <w:rPr>
          <w:rFonts w:ascii="Palatino Linotype" w:eastAsia="Palatino Linotype" w:hAnsi="Palatino Linotype" w:cs="Palatino Linotype"/>
          <w:b/>
          <w:sz w:val="22"/>
          <w:szCs w:val="22"/>
        </w:rPr>
        <w:t>SUJETO OBLIGADO</w:t>
      </w:r>
      <w:r w:rsidRPr="009F5460">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5C72EE3" w14:textId="77777777" w:rsidR="003A5BF3" w:rsidRPr="009F5460" w:rsidRDefault="003A5BF3" w:rsidP="00C9447F">
      <w:pPr>
        <w:spacing w:line="360" w:lineRule="auto"/>
        <w:jc w:val="both"/>
        <w:rPr>
          <w:rFonts w:ascii="Palatino Linotype" w:eastAsia="Palatino Linotype" w:hAnsi="Palatino Linotype" w:cs="Palatino Linotype"/>
          <w:color w:val="222222"/>
          <w:sz w:val="22"/>
          <w:szCs w:val="22"/>
        </w:rPr>
      </w:pPr>
    </w:p>
    <w:p w14:paraId="455E7043" w14:textId="11D0769A" w:rsidR="003A5BF3" w:rsidRPr="0066781B" w:rsidRDefault="00B830DD" w:rsidP="00C9447F">
      <w:pPr>
        <w:spacing w:line="360" w:lineRule="auto"/>
        <w:jc w:val="both"/>
        <w:rPr>
          <w:rFonts w:ascii="Palatino Linotype" w:eastAsia="Palatino Linotype" w:hAnsi="Palatino Linotype" w:cs="Palatino Linotype"/>
          <w:sz w:val="22"/>
          <w:szCs w:val="22"/>
        </w:rPr>
        <w:sectPr w:rsidR="003A5BF3" w:rsidRPr="0066781B">
          <w:headerReference w:type="default" r:id="rId17"/>
          <w:footerReference w:type="default" r:id="rId18"/>
          <w:headerReference w:type="first" r:id="rId19"/>
          <w:footerReference w:type="first" r:id="rId20"/>
          <w:pgSz w:w="12240" w:h="15840"/>
          <w:pgMar w:top="2041" w:right="1701" w:bottom="1701" w:left="1701" w:header="709" w:footer="709" w:gutter="0"/>
          <w:pgNumType w:start="1"/>
          <w:cols w:space="720"/>
          <w:titlePg/>
        </w:sectPr>
      </w:pPr>
      <w:r w:rsidRPr="009F5460">
        <w:rPr>
          <w:rFonts w:ascii="Palatino Linotype" w:eastAsia="Palatino Linotype" w:hAnsi="Palatino Linotype" w:cs="Palatino Linotype"/>
          <w:color w:val="222222"/>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934FFB" w:rsidRPr="009F5460">
        <w:rPr>
          <w:rFonts w:ascii="Palatino Linotype" w:eastAsia="Palatino Linotype" w:hAnsi="Palatino Linotype" w:cs="Palatino Linotype"/>
          <w:color w:val="222222"/>
          <w:sz w:val="22"/>
          <w:szCs w:val="22"/>
        </w:rPr>
        <w:t xml:space="preserve"> GUADALUPE RAMÍREZ PEÑA; EN LA CUADRAGÉSIMA </w:t>
      </w:r>
      <w:r w:rsidR="00C24A90" w:rsidRPr="009F5460">
        <w:rPr>
          <w:rFonts w:ascii="Palatino Linotype" w:eastAsia="Palatino Linotype" w:hAnsi="Palatino Linotype" w:cs="Palatino Linotype"/>
          <w:color w:val="222222"/>
          <w:sz w:val="22"/>
          <w:szCs w:val="22"/>
        </w:rPr>
        <w:t>SEGUNDA</w:t>
      </w:r>
      <w:r w:rsidRPr="009F5460">
        <w:rPr>
          <w:rFonts w:ascii="Palatino Linotype" w:eastAsia="Palatino Linotype" w:hAnsi="Palatino Linotype" w:cs="Palatino Linotype"/>
          <w:color w:val="222222"/>
          <w:sz w:val="22"/>
          <w:szCs w:val="22"/>
        </w:rPr>
        <w:t xml:space="preserve"> SESIÓN ORDINARIA CELEBRADA EL </w:t>
      </w:r>
      <w:r w:rsidR="00C24A90" w:rsidRPr="009F5460">
        <w:rPr>
          <w:rFonts w:ascii="Palatino Linotype" w:eastAsia="Palatino Linotype" w:hAnsi="Palatino Linotype" w:cs="Palatino Linotype"/>
          <w:color w:val="222222"/>
          <w:sz w:val="22"/>
          <w:szCs w:val="22"/>
        </w:rPr>
        <w:t>CUATRO</w:t>
      </w:r>
      <w:r w:rsidRPr="009F5460">
        <w:rPr>
          <w:rFonts w:ascii="Palatino Linotype" w:eastAsia="Palatino Linotype" w:hAnsi="Palatino Linotype" w:cs="Palatino Linotype"/>
          <w:color w:val="222222"/>
          <w:sz w:val="22"/>
          <w:szCs w:val="22"/>
        </w:rPr>
        <w:t xml:space="preserve"> DE </w:t>
      </w:r>
      <w:r w:rsidR="00C24A90" w:rsidRPr="009F5460">
        <w:rPr>
          <w:rFonts w:ascii="Palatino Linotype" w:eastAsia="Palatino Linotype" w:hAnsi="Palatino Linotype" w:cs="Palatino Linotype"/>
          <w:color w:val="222222"/>
          <w:sz w:val="22"/>
          <w:szCs w:val="22"/>
        </w:rPr>
        <w:t>DICIEMBRE</w:t>
      </w:r>
      <w:r w:rsidRPr="009F5460">
        <w:rPr>
          <w:rFonts w:ascii="Palatino Linotype" w:eastAsia="Palatino Linotype" w:hAnsi="Palatino Linotype" w:cs="Palatino Linotype"/>
          <w:color w:val="222222"/>
          <w:sz w:val="22"/>
          <w:szCs w:val="22"/>
        </w:rPr>
        <w:t xml:space="preserve"> DE DOS MIL </w:t>
      </w:r>
      <w:r w:rsidRPr="009F5460">
        <w:rPr>
          <w:rFonts w:ascii="Palatino Linotype" w:eastAsia="Palatino Linotype" w:hAnsi="Palatino Linotype" w:cs="Palatino Linotype"/>
          <w:color w:val="222222"/>
          <w:sz w:val="22"/>
          <w:szCs w:val="22"/>
        </w:rPr>
        <w:lastRenderedPageBreak/>
        <w:t>VEINTICUATRO ANTE EL SECRETARIO TÉCNICO DEL PLENO ALEXIS TAPIA RAMÍREZ</w:t>
      </w:r>
      <w:r w:rsidRPr="009F5460">
        <w:rPr>
          <w:rFonts w:ascii="Palatino Linotype" w:eastAsia="Palatino Linotype" w:hAnsi="Palatino Linotype" w:cs="Palatino Linotype"/>
          <w:sz w:val="22"/>
          <w:szCs w:val="22"/>
        </w:rPr>
        <w:t>.</w:t>
      </w:r>
      <w:r w:rsidRPr="0066781B">
        <w:rPr>
          <w:rFonts w:ascii="Palatino Linotype" w:eastAsia="Palatino Linotype" w:hAnsi="Palatino Linotype" w:cs="Palatino Linotype"/>
          <w:sz w:val="22"/>
          <w:szCs w:val="22"/>
        </w:rPr>
        <w:t xml:space="preserve">                             </w:t>
      </w:r>
    </w:p>
    <w:p w14:paraId="5305A436" w14:textId="77777777" w:rsidR="003A5BF3" w:rsidRPr="0066781B" w:rsidRDefault="003A5BF3" w:rsidP="00C9447F">
      <w:pPr>
        <w:spacing w:line="360" w:lineRule="auto"/>
        <w:jc w:val="both"/>
        <w:rPr>
          <w:rFonts w:ascii="Palatino Linotype" w:eastAsia="Palatino Linotype" w:hAnsi="Palatino Linotype" w:cs="Palatino Linotype"/>
          <w:sz w:val="22"/>
          <w:szCs w:val="22"/>
        </w:rPr>
      </w:pPr>
    </w:p>
    <w:p w14:paraId="1A799EB6" w14:textId="77777777" w:rsidR="003A5BF3" w:rsidRPr="0066781B" w:rsidRDefault="003A5BF3" w:rsidP="00C9447F">
      <w:pPr>
        <w:spacing w:line="360" w:lineRule="auto"/>
        <w:jc w:val="both"/>
        <w:rPr>
          <w:rFonts w:ascii="Palatino Linotype" w:eastAsia="Palatino Linotype" w:hAnsi="Palatino Linotype" w:cs="Palatino Linotype"/>
          <w:sz w:val="22"/>
          <w:szCs w:val="22"/>
        </w:rPr>
      </w:pPr>
    </w:p>
    <w:p w14:paraId="4C5E4BA6" w14:textId="77777777" w:rsidR="0066781B" w:rsidRPr="0066781B" w:rsidRDefault="0066781B">
      <w:pPr>
        <w:spacing w:line="360" w:lineRule="auto"/>
        <w:jc w:val="both"/>
        <w:rPr>
          <w:rFonts w:ascii="Palatino Linotype" w:eastAsia="Palatino Linotype" w:hAnsi="Palatino Linotype" w:cs="Palatino Linotype"/>
          <w:sz w:val="22"/>
          <w:szCs w:val="22"/>
        </w:rPr>
      </w:pPr>
    </w:p>
    <w:sectPr w:rsidR="0066781B" w:rsidRPr="0066781B">
      <w:headerReference w:type="first" r:id="rId21"/>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264C" w14:textId="77777777" w:rsidR="00A81614" w:rsidRDefault="00A81614">
      <w:r>
        <w:separator/>
      </w:r>
    </w:p>
  </w:endnote>
  <w:endnote w:type="continuationSeparator" w:id="0">
    <w:p w14:paraId="68035E68" w14:textId="77777777" w:rsidR="00A81614" w:rsidRDefault="00A8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1735D5" w:rsidRDefault="001735D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1342">
      <w:rPr>
        <w:rFonts w:ascii="Arial" w:eastAsia="Arial" w:hAnsi="Arial" w:cs="Arial"/>
        <w:b/>
        <w:noProof/>
        <w:color w:val="000000"/>
        <w:sz w:val="20"/>
        <w:szCs w:val="20"/>
      </w:rPr>
      <w:t>50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1342">
      <w:rPr>
        <w:rFonts w:ascii="Arial" w:eastAsia="Arial" w:hAnsi="Arial" w:cs="Arial"/>
        <w:b/>
        <w:noProof/>
        <w:color w:val="000000"/>
        <w:sz w:val="20"/>
        <w:szCs w:val="20"/>
      </w:rPr>
      <w:t>51</w:t>
    </w:r>
    <w:r>
      <w:rPr>
        <w:rFonts w:ascii="Arial" w:eastAsia="Arial" w:hAnsi="Arial" w:cs="Arial"/>
        <w:b/>
        <w:color w:val="000000"/>
        <w:sz w:val="20"/>
        <w:szCs w:val="20"/>
      </w:rPr>
      <w:fldChar w:fldCharType="end"/>
    </w:r>
  </w:p>
  <w:p w14:paraId="19F4689E" w14:textId="77777777" w:rsidR="001735D5" w:rsidRDefault="001735D5">
    <w:pPr>
      <w:pBdr>
        <w:top w:val="nil"/>
        <w:left w:val="nil"/>
        <w:bottom w:val="nil"/>
        <w:right w:val="nil"/>
        <w:between w:val="nil"/>
      </w:pBdr>
      <w:tabs>
        <w:tab w:val="center" w:pos="4252"/>
        <w:tab w:val="right" w:pos="8504"/>
      </w:tabs>
      <w:rPr>
        <w:color w:val="000000"/>
      </w:rPr>
    </w:pPr>
  </w:p>
  <w:p w14:paraId="505E47D2" w14:textId="77777777" w:rsidR="001735D5" w:rsidRDefault="001735D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1735D5" w:rsidRDefault="001735D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1342">
      <w:rPr>
        <w:rFonts w:ascii="Arial" w:eastAsia="Arial" w:hAnsi="Arial" w:cs="Arial"/>
        <w:b/>
        <w:noProof/>
        <w:color w:val="000000"/>
        <w:sz w:val="20"/>
        <w:szCs w:val="20"/>
      </w:rPr>
      <w:t>51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1342">
      <w:rPr>
        <w:rFonts w:ascii="Arial" w:eastAsia="Arial" w:hAnsi="Arial" w:cs="Arial"/>
        <w:b/>
        <w:noProof/>
        <w:color w:val="000000"/>
        <w:sz w:val="20"/>
        <w:szCs w:val="20"/>
      </w:rPr>
      <w:t>51</w:t>
    </w:r>
    <w:r>
      <w:rPr>
        <w:rFonts w:ascii="Arial" w:eastAsia="Arial" w:hAnsi="Arial" w:cs="Arial"/>
        <w:b/>
        <w:color w:val="000000"/>
        <w:sz w:val="20"/>
        <w:szCs w:val="20"/>
      </w:rPr>
      <w:fldChar w:fldCharType="end"/>
    </w:r>
  </w:p>
  <w:p w14:paraId="20627E59" w14:textId="77777777" w:rsidR="001735D5" w:rsidRDefault="001735D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AE93" w14:textId="77777777" w:rsidR="00A81614" w:rsidRDefault="00A81614">
      <w:r>
        <w:separator/>
      </w:r>
    </w:p>
  </w:footnote>
  <w:footnote w:type="continuationSeparator" w:id="0">
    <w:p w14:paraId="5138730E" w14:textId="77777777" w:rsidR="00A81614" w:rsidRDefault="00A81614">
      <w:r>
        <w:continuationSeparator/>
      </w:r>
    </w:p>
  </w:footnote>
  <w:footnote w:id="1">
    <w:p w14:paraId="10B0C4D6" w14:textId="77777777" w:rsidR="001735D5" w:rsidRDefault="001735D5" w:rsidP="00AD456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1735D5" w:rsidRDefault="001735D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528" w:type="dxa"/>
      <w:tblInd w:w="3261" w:type="dxa"/>
      <w:tblLayout w:type="fixed"/>
      <w:tblLook w:val="0400" w:firstRow="0" w:lastRow="0" w:firstColumn="0" w:lastColumn="0" w:noHBand="0" w:noVBand="1"/>
    </w:tblPr>
    <w:tblGrid>
      <w:gridCol w:w="2551"/>
      <w:gridCol w:w="2977"/>
    </w:tblGrid>
    <w:tr w:rsidR="001735D5" w14:paraId="2C87281E" w14:textId="77777777">
      <w:tc>
        <w:tcPr>
          <w:tcW w:w="2551" w:type="dxa"/>
          <w:vAlign w:val="center"/>
        </w:tcPr>
        <w:p w14:paraId="037FF726"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33DCDB85" w:rsidR="001735D5" w:rsidRDefault="001735D5" w:rsidP="00934F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06594/INFOEM/IP/RR/2024</w:t>
          </w:r>
        </w:p>
      </w:tc>
    </w:tr>
    <w:tr w:rsidR="001735D5" w14:paraId="5144B56C" w14:textId="77777777">
      <w:trPr>
        <w:trHeight w:val="228"/>
      </w:trPr>
      <w:tc>
        <w:tcPr>
          <w:tcW w:w="2551" w:type="dxa"/>
          <w:vAlign w:val="center"/>
        </w:tcPr>
        <w:p w14:paraId="581AC1CA"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4B84E5BE" w:rsidR="001735D5" w:rsidRDefault="001735D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1735D5" w14:paraId="1BC4DF9F" w14:textId="77777777">
      <w:tc>
        <w:tcPr>
          <w:tcW w:w="2551" w:type="dxa"/>
          <w:vAlign w:val="center"/>
        </w:tcPr>
        <w:p w14:paraId="53F0E38C"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1735D5" w:rsidRDefault="001735D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1735D5" w:rsidRDefault="001735D5">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1735D5" w:rsidRDefault="001735D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70" w:type="dxa"/>
      <w:tblInd w:w="3119" w:type="dxa"/>
      <w:tblLayout w:type="fixed"/>
      <w:tblLook w:val="0400" w:firstRow="0" w:lastRow="0" w:firstColumn="0" w:lastColumn="0" w:noHBand="0" w:noVBand="1"/>
    </w:tblPr>
    <w:tblGrid>
      <w:gridCol w:w="2551"/>
      <w:gridCol w:w="3119"/>
    </w:tblGrid>
    <w:tr w:rsidR="001735D5" w14:paraId="5FC63CBD" w14:textId="77777777">
      <w:tc>
        <w:tcPr>
          <w:tcW w:w="2551" w:type="dxa"/>
          <w:vAlign w:val="center"/>
        </w:tcPr>
        <w:p w14:paraId="7AB06BB7"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01A479E6" w:rsidR="001735D5" w:rsidRDefault="001735D5" w:rsidP="00CB5E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06594/INFOEM/IP/RR/2024 </w:t>
          </w:r>
        </w:p>
      </w:tc>
    </w:tr>
    <w:tr w:rsidR="001735D5" w14:paraId="0F7E33CE" w14:textId="77777777">
      <w:tc>
        <w:tcPr>
          <w:tcW w:w="2551" w:type="dxa"/>
          <w:vAlign w:val="center"/>
        </w:tcPr>
        <w:p w14:paraId="531505E9" w14:textId="77777777" w:rsidR="001735D5" w:rsidRDefault="001735D5">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1EB09B12" w:rsidR="001735D5" w:rsidRDefault="001735D5">
          <w:pPr>
            <w:ind w:right="27"/>
            <w:jc w:val="both"/>
            <w:rPr>
              <w:rFonts w:ascii="Palatino Linotype" w:eastAsia="Palatino Linotype" w:hAnsi="Palatino Linotype" w:cs="Palatino Linotype"/>
              <w:b/>
              <w:sz w:val="22"/>
              <w:szCs w:val="22"/>
            </w:rPr>
          </w:pPr>
        </w:p>
      </w:tc>
    </w:tr>
    <w:tr w:rsidR="001735D5" w14:paraId="34C4CBE9" w14:textId="77777777">
      <w:trPr>
        <w:trHeight w:val="228"/>
      </w:trPr>
      <w:tc>
        <w:tcPr>
          <w:tcW w:w="2551" w:type="dxa"/>
          <w:vAlign w:val="center"/>
        </w:tcPr>
        <w:p w14:paraId="77962A64"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78C07C58" w:rsidR="001735D5" w:rsidRDefault="001735D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1735D5" w14:paraId="53F45B37" w14:textId="77777777">
      <w:tc>
        <w:tcPr>
          <w:tcW w:w="2551" w:type="dxa"/>
          <w:vAlign w:val="center"/>
        </w:tcPr>
        <w:p w14:paraId="7CCF6822" w14:textId="77777777" w:rsidR="001735D5" w:rsidRDefault="001735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1735D5" w:rsidRDefault="001735D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1735D5" w:rsidRDefault="001735D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139" w14:textId="34112076" w:rsidR="001735D5" w:rsidRDefault="009F546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108C384F" wp14:editId="2A40BCE0">
          <wp:simplePos x="0" y="0"/>
          <wp:positionH relativeFrom="column">
            <wp:posOffset>-971550</wp:posOffset>
          </wp:positionH>
          <wp:positionV relativeFrom="paragraph">
            <wp:posOffset>-405130</wp:posOffset>
          </wp:positionV>
          <wp:extent cx="7809876" cy="101658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528" w:type="dxa"/>
      <w:tblInd w:w="3261" w:type="dxa"/>
      <w:tblLayout w:type="fixed"/>
      <w:tblLook w:val="0400" w:firstRow="0" w:lastRow="0" w:firstColumn="0" w:lastColumn="0" w:noHBand="0" w:noVBand="1"/>
    </w:tblPr>
    <w:tblGrid>
      <w:gridCol w:w="2551"/>
      <w:gridCol w:w="2977"/>
    </w:tblGrid>
    <w:tr w:rsidR="009F5460" w14:paraId="6F18D568" w14:textId="77777777" w:rsidTr="00EA6028">
      <w:tc>
        <w:tcPr>
          <w:tcW w:w="2551" w:type="dxa"/>
          <w:vAlign w:val="center"/>
        </w:tcPr>
        <w:p w14:paraId="26812C35" w14:textId="77777777" w:rsidR="009F5460" w:rsidRDefault="009F5460" w:rsidP="009F54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489A201" w14:textId="77777777" w:rsidR="009F5460" w:rsidRDefault="009F5460" w:rsidP="009F54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06594/INFOEM/IP/RR/2024</w:t>
          </w:r>
        </w:p>
      </w:tc>
    </w:tr>
    <w:tr w:rsidR="009F5460" w14:paraId="61EFD161" w14:textId="77777777" w:rsidTr="00EA6028">
      <w:trPr>
        <w:trHeight w:val="228"/>
      </w:trPr>
      <w:tc>
        <w:tcPr>
          <w:tcW w:w="2551" w:type="dxa"/>
          <w:vAlign w:val="center"/>
        </w:tcPr>
        <w:p w14:paraId="26BFD6D7" w14:textId="77777777" w:rsidR="009F5460" w:rsidRDefault="009F5460" w:rsidP="009F54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8A1CADA" w14:textId="77777777" w:rsidR="009F5460" w:rsidRDefault="009F5460" w:rsidP="009F54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9F5460" w14:paraId="4BA03C2D" w14:textId="77777777" w:rsidTr="00EA6028">
      <w:tc>
        <w:tcPr>
          <w:tcW w:w="2551" w:type="dxa"/>
          <w:vAlign w:val="center"/>
        </w:tcPr>
        <w:p w14:paraId="48405B51" w14:textId="77777777" w:rsidR="009F5460" w:rsidRDefault="009F5460" w:rsidP="009F54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7FC0D89" w14:textId="77777777" w:rsidR="009F5460" w:rsidRDefault="009F5460" w:rsidP="009F546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CAB583" w14:textId="263AAD25" w:rsidR="001735D5" w:rsidRDefault="001735D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D644A9"/>
    <w:multiLevelType w:val="multilevel"/>
    <w:tmpl w:val="9172311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E27E99"/>
    <w:multiLevelType w:val="hybridMultilevel"/>
    <w:tmpl w:val="07B8665E"/>
    <w:lvl w:ilvl="0" w:tplc="D470437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6358B2"/>
    <w:multiLevelType w:val="hybridMultilevel"/>
    <w:tmpl w:val="C4BCE0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078F5"/>
    <w:multiLevelType w:val="multilevel"/>
    <w:tmpl w:val="6E901CEA"/>
    <w:lvl w:ilvl="0">
      <w:start w:val="3"/>
      <w:numFmt w:val="bullet"/>
      <w:lvlText w:val="-"/>
      <w:lvlJc w:val="left"/>
      <w:pPr>
        <w:ind w:left="720" w:hanging="360"/>
      </w:pPr>
      <w:rPr>
        <w:rFonts w:ascii="Palatino Linotype" w:eastAsia="Palatino Linotype" w:hAnsi="Palatino Linotype" w:cs="Palatino Linotype"/>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34292"/>
    <w:multiLevelType w:val="hybridMultilevel"/>
    <w:tmpl w:val="33524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F2B83"/>
    <w:multiLevelType w:val="hybridMultilevel"/>
    <w:tmpl w:val="D450C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F01969"/>
    <w:multiLevelType w:val="hybridMultilevel"/>
    <w:tmpl w:val="7AD48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CF5E42"/>
    <w:multiLevelType w:val="hybridMultilevel"/>
    <w:tmpl w:val="CA16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6008F4"/>
    <w:multiLevelType w:val="hybridMultilevel"/>
    <w:tmpl w:val="9A845616"/>
    <w:lvl w:ilvl="0" w:tplc="61546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B7779A5"/>
    <w:multiLevelType w:val="hybridMultilevel"/>
    <w:tmpl w:val="F924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2"/>
  </w:num>
  <w:num w:numId="5">
    <w:abstractNumId w:val="7"/>
  </w:num>
  <w:num w:numId="6">
    <w:abstractNumId w:val="9"/>
  </w:num>
  <w:num w:numId="7">
    <w:abstractNumId w:val="12"/>
  </w:num>
  <w:num w:numId="8">
    <w:abstractNumId w:val="3"/>
  </w:num>
  <w:num w:numId="9">
    <w:abstractNumId w:val="10"/>
  </w:num>
  <w:num w:numId="10">
    <w:abstractNumId w:val="14"/>
  </w:num>
  <w:num w:numId="11">
    <w:abstractNumId w:val="4"/>
  </w:num>
  <w:num w:numId="12">
    <w:abstractNumId w:val="8"/>
  </w:num>
  <w:num w:numId="13">
    <w:abstractNumId w:val="15"/>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26F69"/>
    <w:rsid w:val="00044056"/>
    <w:rsid w:val="00064692"/>
    <w:rsid w:val="00073994"/>
    <w:rsid w:val="0008044E"/>
    <w:rsid w:val="000E64FB"/>
    <w:rsid w:val="001735D5"/>
    <w:rsid w:val="00173867"/>
    <w:rsid w:val="001748A5"/>
    <w:rsid w:val="001905EA"/>
    <w:rsid w:val="001B2B70"/>
    <w:rsid w:val="001B6747"/>
    <w:rsid w:val="001E6F27"/>
    <w:rsid w:val="001F243F"/>
    <w:rsid w:val="00221342"/>
    <w:rsid w:val="0022313F"/>
    <w:rsid w:val="00247623"/>
    <w:rsid w:val="00276BA8"/>
    <w:rsid w:val="00286304"/>
    <w:rsid w:val="00296984"/>
    <w:rsid w:val="002A00D4"/>
    <w:rsid w:val="002C0341"/>
    <w:rsid w:val="002D1DCF"/>
    <w:rsid w:val="002F510A"/>
    <w:rsid w:val="002F7B79"/>
    <w:rsid w:val="003047E4"/>
    <w:rsid w:val="0031501D"/>
    <w:rsid w:val="0032682C"/>
    <w:rsid w:val="00337389"/>
    <w:rsid w:val="003A5012"/>
    <w:rsid w:val="003A5BF3"/>
    <w:rsid w:val="003B6128"/>
    <w:rsid w:val="003C7D01"/>
    <w:rsid w:val="00417FC4"/>
    <w:rsid w:val="004341C2"/>
    <w:rsid w:val="00435CA8"/>
    <w:rsid w:val="004669E2"/>
    <w:rsid w:val="00471F5C"/>
    <w:rsid w:val="004A338B"/>
    <w:rsid w:val="004B43B7"/>
    <w:rsid w:val="004E142E"/>
    <w:rsid w:val="004E3676"/>
    <w:rsid w:val="00512C3A"/>
    <w:rsid w:val="005775CB"/>
    <w:rsid w:val="005A5B0A"/>
    <w:rsid w:val="005B5689"/>
    <w:rsid w:val="005C080E"/>
    <w:rsid w:val="005D281C"/>
    <w:rsid w:val="00614E5C"/>
    <w:rsid w:val="00622765"/>
    <w:rsid w:val="006378BD"/>
    <w:rsid w:val="006565D9"/>
    <w:rsid w:val="00657820"/>
    <w:rsid w:val="006662C1"/>
    <w:rsid w:val="0066781B"/>
    <w:rsid w:val="0069729A"/>
    <w:rsid w:val="006A50FE"/>
    <w:rsid w:val="006B601A"/>
    <w:rsid w:val="006C5C16"/>
    <w:rsid w:val="006D33A8"/>
    <w:rsid w:val="006D4487"/>
    <w:rsid w:val="006F7C4B"/>
    <w:rsid w:val="00716371"/>
    <w:rsid w:val="007470C3"/>
    <w:rsid w:val="00760A6B"/>
    <w:rsid w:val="0078550C"/>
    <w:rsid w:val="007E2EC2"/>
    <w:rsid w:val="00804D7B"/>
    <w:rsid w:val="00810AD3"/>
    <w:rsid w:val="008249C0"/>
    <w:rsid w:val="00834D96"/>
    <w:rsid w:val="0087541A"/>
    <w:rsid w:val="008A1D68"/>
    <w:rsid w:val="00920172"/>
    <w:rsid w:val="00934FFB"/>
    <w:rsid w:val="009461C0"/>
    <w:rsid w:val="00961EED"/>
    <w:rsid w:val="00962001"/>
    <w:rsid w:val="009733A8"/>
    <w:rsid w:val="00992E41"/>
    <w:rsid w:val="009F5460"/>
    <w:rsid w:val="00A11ACD"/>
    <w:rsid w:val="00A556C9"/>
    <w:rsid w:val="00A55B22"/>
    <w:rsid w:val="00A669FA"/>
    <w:rsid w:val="00A744F2"/>
    <w:rsid w:val="00A74F16"/>
    <w:rsid w:val="00A81614"/>
    <w:rsid w:val="00AA221A"/>
    <w:rsid w:val="00AB2C8B"/>
    <w:rsid w:val="00AD4560"/>
    <w:rsid w:val="00AF4100"/>
    <w:rsid w:val="00AF427F"/>
    <w:rsid w:val="00AF433D"/>
    <w:rsid w:val="00B30F28"/>
    <w:rsid w:val="00B539C7"/>
    <w:rsid w:val="00B830DD"/>
    <w:rsid w:val="00B85572"/>
    <w:rsid w:val="00BA0507"/>
    <w:rsid w:val="00BA3BE9"/>
    <w:rsid w:val="00BA6B6D"/>
    <w:rsid w:val="00BB1B0B"/>
    <w:rsid w:val="00BD7A68"/>
    <w:rsid w:val="00BE1629"/>
    <w:rsid w:val="00BE3154"/>
    <w:rsid w:val="00BF64FA"/>
    <w:rsid w:val="00C24233"/>
    <w:rsid w:val="00C24A90"/>
    <w:rsid w:val="00C56346"/>
    <w:rsid w:val="00C6483A"/>
    <w:rsid w:val="00C80D61"/>
    <w:rsid w:val="00C87E9A"/>
    <w:rsid w:val="00C9447F"/>
    <w:rsid w:val="00CB5EBE"/>
    <w:rsid w:val="00CC3A7B"/>
    <w:rsid w:val="00CD2D71"/>
    <w:rsid w:val="00CE608F"/>
    <w:rsid w:val="00D4554E"/>
    <w:rsid w:val="00D85AE2"/>
    <w:rsid w:val="00DA716F"/>
    <w:rsid w:val="00DB7586"/>
    <w:rsid w:val="00DD299C"/>
    <w:rsid w:val="00DE5AA1"/>
    <w:rsid w:val="00DE66FA"/>
    <w:rsid w:val="00DF4B56"/>
    <w:rsid w:val="00E26A2C"/>
    <w:rsid w:val="00E4688E"/>
    <w:rsid w:val="00E83FCA"/>
    <w:rsid w:val="00E978F9"/>
    <w:rsid w:val="00EA2737"/>
    <w:rsid w:val="00EC6E43"/>
    <w:rsid w:val="00F12286"/>
    <w:rsid w:val="00F37855"/>
    <w:rsid w:val="00F54CB6"/>
    <w:rsid w:val="00F67C5A"/>
    <w:rsid w:val="00F84F72"/>
    <w:rsid w:val="00F938AA"/>
    <w:rsid w:val="00FA2525"/>
    <w:rsid w:val="00FA5780"/>
    <w:rsid w:val="00FF7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02EE9278-2030-46ED-A92E-21255D5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4"/>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736">
      <w:bodyDiv w:val="1"/>
      <w:marLeft w:val="0"/>
      <w:marRight w:val="0"/>
      <w:marTop w:val="0"/>
      <w:marBottom w:val="0"/>
      <w:divBdr>
        <w:top w:val="none" w:sz="0" w:space="0" w:color="auto"/>
        <w:left w:val="none" w:sz="0" w:space="0" w:color="auto"/>
        <w:bottom w:val="none" w:sz="0" w:space="0" w:color="auto"/>
        <w:right w:val="none" w:sz="0" w:space="0" w:color="auto"/>
      </w:divBdr>
    </w:div>
    <w:div w:id="131362566">
      <w:bodyDiv w:val="1"/>
      <w:marLeft w:val="0"/>
      <w:marRight w:val="0"/>
      <w:marTop w:val="0"/>
      <w:marBottom w:val="0"/>
      <w:divBdr>
        <w:top w:val="none" w:sz="0" w:space="0" w:color="auto"/>
        <w:left w:val="none" w:sz="0" w:space="0" w:color="auto"/>
        <w:bottom w:val="none" w:sz="0" w:space="0" w:color="auto"/>
        <w:right w:val="none" w:sz="0" w:space="0" w:color="auto"/>
      </w:divBdr>
    </w:div>
    <w:div w:id="533035098">
      <w:bodyDiv w:val="1"/>
      <w:marLeft w:val="0"/>
      <w:marRight w:val="0"/>
      <w:marTop w:val="0"/>
      <w:marBottom w:val="0"/>
      <w:divBdr>
        <w:top w:val="none" w:sz="0" w:space="0" w:color="auto"/>
        <w:left w:val="none" w:sz="0" w:space="0" w:color="auto"/>
        <w:bottom w:val="none" w:sz="0" w:space="0" w:color="auto"/>
        <w:right w:val="none" w:sz="0" w:space="0" w:color="auto"/>
      </w:divBdr>
    </w:div>
    <w:div w:id="982809856">
      <w:bodyDiv w:val="1"/>
      <w:marLeft w:val="0"/>
      <w:marRight w:val="0"/>
      <w:marTop w:val="0"/>
      <w:marBottom w:val="0"/>
      <w:divBdr>
        <w:top w:val="none" w:sz="0" w:space="0" w:color="auto"/>
        <w:left w:val="none" w:sz="0" w:space="0" w:color="auto"/>
        <w:bottom w:val="none" w:sz="0" w:space="0" w:color="auto"/>
        <w:right w:val="none" w:sz="0" w:space="0" w:color="auto"/>
      </w:divBdr>
    </w:div>
    <w:div w:id="995719910">
      <w:bodyDiv w:val="1"/>
      <w:marLeft w:val="0"/>
      <w:marRight w:val="0"/>
      <w:marTop w:val="0"/>
      <w:marBottom w:val="0"/>
      <w:divBdr>
        <w:top w:val="none" w:sz="0" w:space="0" w:color="auto"/>
        <w:left w:val="none" w:sz="0" w:space="0" w:color="auto"/>
        <w:bottom w:val="none" w:sz="0" w:space="0" w:color="auto"/>
        <w:right w:val="none" w:sz="0" w:space="0" w:color="auto"/>
      </w:divBdr>
    </w:div>
    <w:div w:id="1362899239">
      <w:bodyDiv w:val="1"/>
      <w:marLeft w:val="0"/>
      <w:marRight w:val="0"/>
      <w:marTop w:val="0"/>
      <w:marBottom w:val="0"/>
      <w:divBdr>
        <w:top w:val="none" w:sz="0" w:space="0" w:color="auto"/>
        <w:left w:val="none" w:sz="0" w:space="0" w:color="auto"/>
        <w:bottom w:val="none" w:sz="0" w:space="0" w:color="auto"/>
        <w:right w:val="none" w:sz="0" w:space="0" w:color="auto"/>
      </w:divBdr>
    </w:div>
    <w:div w:id="1500535861">
      <w:bodyDiv w:val="1"/>
      <w:marLeft w:val="0"/>
      <w:marRight w:val="0"/>
      <w:marTop w:val="0"/>
      <w:marBottom w:val="0"/>
      <w:divBdr>
        <w:top w:val="none" w:sz="0" w:space="0" w:color="auto"/>
        <w:left w:val="none" w:sz="0" w:space="0" w:color="auto"/>
        <w:bottom w:val="none" w:sz="0" w:space="0" w:color="auto"/>
        <w:right w:val="none" w:sz="0" w:space="0" w:color="auto"/>
      </w:divBdr>
    </w:div>
    <w:div w:id="1556044398">
      <w:bodyDiv w:val="1"/>
      <w:marLeft w:val="0"/>
      <w:marRight w:val="0"/>
      <w:marTop w:val="0"/>
      <w:marBottom w:val="0"/>
      <w:divBdr>
        <w:top w:val="none" w:sz="0" w:space="0" w:color="auto"/>
        <w:left w:val="none" w:sz="0" w:space="0" w:color="auto"/>
        <w:bottom w:val="none" w:sz="0" w:space="0" w:color="auto"/>
        <w:right w:val="none" w:sz="0" w:space="0" w:color="auto"/>
      </w:divBdr>
    </w:div>
    <w:div w:id="1558935027">
      <w:bodyDiv w:val="1"/>
      <w:marLeft w:val="0"/>
      <w:marRight w:val="0"/>
      <w:marTop w:val="0"/>
      <w:marBottom w:val="0"/>
      <w:divBdr>
        <w:top w:val="none" w:sz="0" w:space="0" w:color="auto"/>
        <w:left w:val="none" w:sz="0" w:space="0" w:color="auto"/>
        <w:bottom w:val="none" w:sz="0" w:space="0" w:color="auto"/>
        <w:right w:val="none" w:sz="0" w:space="0" w:color="auto"/>
      </w:divBdr>
    </w:div>
    <w:div w:id="1561089286">
      <w:bodyDiv w:val="1"/>
      <w:marLeft w:val="0"/>
      <w:marRight w:val="0"/>
      <w:marTop w:val="0"/>
      <w:marBottom w:val="0"/>
      <w:divBdr>
        <w:top w:val="none" w:sz="0" w:space="0" w:color="auto"/>
        <w:left w:val="none" w:sz="0" w:space="0" w:color="auto"/>
        <w:bottom w:val="none" w:sz="0" w:space="0" w:color="auto"/>
        <w:right w:val="none" w:sz="0" w:space="0" w:color="auto"/>
      </w:divBdr>
    </w:div>
    <w:div w:id="1612393641">
      <w:bodyDiv w:val="1"/>
      <w:marLeft w:val="0"/>
      <w:marRight w:val="0"/>
      <w:marTop w:val="0"/>
      <w:marBottom w:val="0"/>
      <w:divBdr>
        <w:top w:val="none" w:sz="0" w:space="0" w:color="auto"/>
        <w:left w:val="none" w:sz="0" w:space="0" w:color="auto"/>
        <w:bottom w:val="none" w:sz="0" w:space="0" w:color="auto"/>
        <w:right w:val="none" w:sz="0" w:space="0" w:color="auto"/>
      </w:divBdr>
    </w:div>
    <w:div w:id="1615357721">
      <w:bodyDiv w:val="1"/>
      <w:marLeft w:val="0"/>
      <w:marRight w:val="0"/>
      <w:marTop w:val="0"/>
      <w:marBottom w:val="0"/>
      <w:divBdr>
        <w:top w:val="none" w:sz="0" w:space="0" w:color="auto"/>
        <w:left w:val="none" w:sz="0" w:space="0" w:color="auto"/>
        <w:bottom w:val="none" w:sz="0" w:space="0" w:color="auto"/>
        <w:right w:val="none" w:sz="0" w:space="0" w:color="auto"/>
      </w:divBdr>
    </w:div>
    <w:div w:id="1671132246">
      <w:bodyDiv w:val="1"/>
      <w:marLeft w:val="0"/>
      <w:marRight w:val="0"/>
      <w:marTop w:val="0"/>
      <w:marBottom w:val="0"/>
      <w:divBdr>
        <w:top w:val="none" w:sz="0" w:space="0" w:color="auto"/>
        <w:left w:val="none" w:sz="0" w:space="0" w:color="auto"/>
        <w:bottom w:val="none" w:sz="0" w:space="0" w:color="auto"/>
        <w:right w:val="none" w:sz="0" w:space="0" w:color="auto"/>
      </w:divBdr>
    </w:div>
    <w:div w:id="1793671879">
      <w:bodyDiv w:val="1"/>
      <w:marLeft w:val="0"/>
      <w:marRight w:val="0"/>
      <w:marTop w:val="0"/>
      <w:marBottom w:val="0"/>
      <w:divBdr>
        <w:top w:val="none" w:sz="0" w:space="0" w:color="auto"/>
        <w:left w:val="none" w:sz="0" w:space="0" w:color="auto"/>
        <w:bottom w:val="none" w:sz="0" w:space="0" w:color="auto"/>
        <w:right w:val="none" w:sz="0" w:space="0" w:color="auto"/>
      </w:divBdr>
    </w:div>
    <w:div w:id="1919561162">
      <w:bodyDiv w:val="1"/>
      <w:marLeft w:val="0"/>
      <w:marRight w:val="0"/>
      <w:marTop w:val="0"/>
      <w:marBottom w:val="0"/>
      <w:divBdr>
        <w:top w:val="none" w:sz="0" w:space="0" w:color="auto"/>
        <w:left w:val="none" w:sz="0" w:space="0" w:color="auto"/>
        <w:bottom w:val="none" w:sz="0" w:space="0" w:color="auto"/>
        <w:right w:val="none" w:sz="0" w:space="0" w:color="auto"/>
      </w:divBdr>
    </w:div>
    <w:div w:id="2089382612">
      <w:bodyDiv w:val="1"/>
      <w:marLeft w:val="0"/>
      <w:marRight w:val="0"/>
      <w:marTop w:val="0"/>
      <w:marBottom w:val="0"/>
      <w:divBdr>
        <w:top w:val="none" w:sz="0" w:space="0" w:color="auto"/>
        <w:left w:val="none" w:sz="0" w:space="0" w:color="auto"/>
        <w:bottom w:val="none" w:sz="0" w:space="0" w:color="auto"/>
        <w:right w:val="none" w:sz="0" w:space="0" w:color="auto"/>
      </w:divBdr>
    </w:div>
    <w:div w:id="2101288275">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11860</Words>
  <Characters>65231</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76938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2024-12-06T16:19:00Z</cp:lastPrinted>
  <dcterms:created xsi:type="dcterms:W3CDTF">2025-01-14T20:25:00Z</dcterms:created>
  <dcterms:modified xsi:type="dcterms:W3CDTF">2025-01-14T20:25:00Z</dcterms:modified>
</cp:coreProperties>
</file>