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5B" w:rsidRDefault="0001015B">
      <w:pPr>
        <w:widowControl w:val="0"/>
        <w:pBdr>
          <w:top w:val="nil"/>
          <w:left w:val="nil"/>
          <w:bottom w:val="nil"/>
          <w:right w:val="nil"/>
          <w:between w:val="nil"/>
        </w:pBdr>
        <w:spacing w:line="276" w:lineRule="auto"/>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cuatro de diciembre de dos mil veinticuatro.</w:t>
      </w:r>
    </w:p>
    <w:p w:rsidR="0001015B" w:rsidRDefault="0001015B">
      <w:pPr>
        <w:spacing w:line="360" w:lineRule="auto"/>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 los Recursos de Revisión </w:t>
      </w:r>
      <w:r w:rsidRPr="00710950">
        <w:rPr>
          <w:rFonts w:ascii="Palatino Linotype" w:eastAsia="Palatino Linotype" w:hAnsi="Palatino Linotype" w:cs="Palatino Linotype"/>
          <w:b/>
          <w:sz w:val="22"/>
          <w:szCs w:val="22"/>
        </w:rPr>
        <w:t>07126/INFOEM/IP/RR/2024,</w:t>
      </w:r>
      <w:r w:rsidRPr="00710950">
        <w:rPr>
          <w:rFonts w:ascii="Palatino Linotype" w:eastAsia="Palatino Linotype" w:hAnsi="Palatino Linotype" w:cs="Palatino Linotype"/>
          <w:b/>
          <w:color w:val="0D0D0D"/>
          <w:sz w:val="22"/>
          <w:szCs w:val="22"/>
        </w:rPr>
        <w:t xml:space="preserve"> </w:t>
      </w:r>
      <w:r w:rsidRPr="00710950">
        <w:rPr>
          <w:rFonts w:ascii="Palatino Linotype" w:eastAsia="Palatino Linotype" w:hAnsi="Palatino Linotype" w:cs="Palatino Linotype"/>
          <w:b/>
          <w:sz w:val="22"/>
          <w:szCs w:val="22"/>
        </w:rPr>
        <w:t>07127/INFOEM/IP/RR/2024, 07129/INFOEM/IP/RR/2024, 07130/INFOEM/IP/RR/2024, 07132/INFOEM/IP/RR/2024 y 07134/INFOEM/IP/RR/2024</w:t>
      </w:r>
      <w:r>
        <w:rPr>
          <w:rFonts w:ascii="Palatino Linotype" w:eastAsia="Palatino Linotype" w:hAnsi="Palatino Linotype" w:cs="Palatino Linotype"/>
          <w:sz w:val="22"/>
          <w:szCs w:val="22"/>
        </w:rPr>
        <w:t>,</w:t>
      </w:r>
      <w:r>
        <w:rPr>
          <w:rFonts w:ascii="Palatino Linotype" w:eastAsia="Palatino Linotype" w:hAnsi="Palatino Linotype" w:cs="Palatino Linotype"/>
          <w:color w:val="0D0D0D"/>
          <w:sz w:val="22"/>
          <w:szCs w:val="22"/>
        </w:rPr>
        <w:t xml:space="preserve"> interpuestos por el Recurrente o Particular, en contra de las respuestas del Sujeto Obligado, </w:t>
      </w:r>
      <w:r w:rsidRPr="00710950">
        <w:rPr>
          <w:rFonts w:ascii="Palatino Linotype" w:eastAsia="Palatino Linotype" w:hAnsi="Palatino Linotype" w:cs="Palatino Linotype"/>
          <w:b/>
          <w:color w:val="0D0D0D"/>
          <w:sz w:val="22"/>
          <w:szCs w:val="22"/>
        </w:rPr>
        <w:t xml:space="preserve">Ayuntamiento de </w:t>
      </w:r>
      <w:proofErr w:type="spellStart"/>
      <w:r w:rsidRPr="00710950">
        <w:rPr>
          <w:rFonts w:ascii="Palatino Linotype" w:eastAsia="Palatino Linotype" w:hAnsi="Palatino Linotype" w:cs="Palatino Linotype"/>
          <w:b/>
          <w:color w:val="0D0D0D"/>
          <w:sz w:val="22"/>
          <w:szCs w:val="22"/>
        </w:rPr>
        <w:t>Acambay</w:t>
      </w:r>
      <w:proofErr w:type="spellEnd"/>
      <w:r w:rsidRPr="00710950">
        <w:rPr>
          <w:rFonts w:ascii="Palatino Linotype" w:eastAsia="Palatino Linotype" w:hAnsi="Palatino Linotype" w:cs="Palatino Linotype"/>
          <w:b/>
          <w:color w:val="0D0D0D"/>
          <w:sz w:val="22"/>
          <w:szCs w:val="22"/>
        </w:rPr>
        <w:t xml:space="preserve"> de Ruíz Castañeda</w:t>
      </w:r>
      <w:r>
        <w:rPr>
          <w:rFonts w:ascii="Palatino Linotype" w:eastAsia="Palatino Linotype" w:hAnsi="Palatino Linotype" w:cs="Palatino Linotype"/>
          <w:color w:val="0D0D0D"/>
          <w:sz w:val="22"/>
          <w:szCs w:val="22"/>
        </w:rPr>
        <w:t>, a las solicitudes de acceso a la información pública</w:t>
      </w:r>
      <w:r>
        <w:rPr>
          <w:rFonts w:ascii="Palatino Linotype" w:eastAsia="Palatino Linotype" w:hAnsi="Palatino Linotype" w:cs="Palatino Linotype"/>
          <w:sz w:val="22"/>
          <w:szCs w:val="22"/>
        </w:rPr>
        <w:t xml:space="preserve"> 00153/ACAMBAY/IP/2024, 00154/ACAMBAY/IP/2024, 00156/ACAMBAY/IP/2024, 00159/ACAMBAY/IP/2024, 00166/ACAMBAY/IP/2024, y 00177/ACAMBAY/IP/2024,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onsiderandos que a continuación se exponen:</w:t>
      </w:r>
    </w:p>
    <w:p w:rsidR="0001015B" w:rsidRDefault="0001015B">
      <w:pPr>
        <w:tabs>
          <w:tab w:val="center" w:pos="4522"/>
          <w:tab w:val="left" w:pos="7245"/>
        </w:tabs>
        <w:spacing w:line="360" w:lineRule="auto"/>
        <w:jc w:val="center"/>
        <w:rPr>
          <w:rFonts w:ascii="Palatino Linotype" w:eastAsia="Palatino Linotype" w:hAnsi="Palatino Linotype" w:cs="Palatino Linotype"/>
          <w:b/>
          <w:sz w:val="22"/>
          <w:szCs w:val="22"/>
        </w:rPr>
      </w:pPr>
    </w:p>
    <w:p w:rsidR="0001015B" w:rsidRDefault="00BD18EB">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01015B" w:rsidRDefault="0001015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color w:val="000000"/>
          <w:sz w:val="22"/>
          <w:szCs w:val="22"/>
        </w:rPr>
      </w:pPr>
    </w:p>
    <w:p w:rsidR="0001015B" w:rsidRDefault="00DB587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 Presentación de </w:t>
      </w:r>
      <w:r w:rsidR="00BD18EB">
        <w:rPr>
          <w:rFonts w:ascii="Palatino Linotype" w:eastAsia="Palatino Linotype" w:hAnsi="Palatino Linotype" w:cs="Palatino Linotype"/>
          <w:b/>
          <w:color w:val="000000"/>
          <w:sz w:val="22"/>
          <w:szCs w:val="22"/>
        </w:rPr>
        <w:t>las solicitudes de información</w:t>
      </w:r>
    </w:p>
    <w:p w:rsidR="0001015B" w:rsidRDefault="0001015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01015B" w:rsidRDefault="00DB587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 fechas nueve y diecisiete de octubre de dos mil veinticuatro, el Particular presentó seis solicitudes de acceso a la información pública, a través del Sistema de Acceso a la Información Mexiquense (SAIMEX), ante el Ayuntamiento de </w:t>
      </w:r>
      <w:proofErr w:type="spellStart"/>
      <w:r>
        <w:rPr>
          <w:rFonts w:ascii="Palatino Linotype" w:eastAsia="Palatino Linotype" w:hAnsi="Palatino Linotype" w:cs="Palatino Linotype"/>
          <w:color w:val="000000"/>
          <w:sz w:val="22"/>
          <w:szCs w:val="22"/>
        </w:rPr>
        <w:t>Acambay</w:t>
      </w:r>
      <w:proofErr w:type="spellEnd"/>
      <w:r>
        <w:rPr>
          <w:rFonts w:ascii="Palatino Linotype" w:eastAsia="Palatino Linotype" w:hAnsi="Palatino Linotype" w:cs="Palatino Linotype"/>
          <w:color w:val="000000"/>
          <w:sz w:val="22"/>
          <w:szCs w:val="22"/>
        </w:rPr>
        <w:t xml:space="preserve"> de Ruíz Castañeda, en los siguientes términos:</w:t>
      </w:r>
    </w:p>
    <w:p w:rsidR="0001015B" w:rsidRDefault="0001015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bookmarkStart w:id="0" w:name="_heading=h.gjdgxs" w:colFirst="0" w:colLast="0"/>
      <w:bookmarkEnd w:id="0"/>
      <w:r>
        <w:rPr>
          <w:rFonts w:ascii="Palatino Linotype" w:eastAsia="Palatino Linotype" w:hAnsi="Palatino Linotype" w:cs="Palatino Linotype"/>
          <w:b/>
          <w:i/>
        </w:rPr>
        <w:t>Solicitud de Información 00153/ACAMBAY/IP/2024</w:t>
      </w: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“DESCRIPCIÓN CLARA Y PRECISA DE LA INFORMACIÓN SOLICITADA</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de adquisición de combustible para el ejercicio fiscal 2024</w:t>
      </w:r>
      <w:r>
        <w:rPr>
          <w:rFonts w:ascii="Palatino Linotype" w:eastAsia="Palatino Linotype" w:hAnsi="Palatino Linotype" w:cs="Palatino Linotype"/>
          <w:i/>
        </w:rPr>
        <w:t>.”(Sic)</w:t>
      </w: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00154/ACAMBAY/IP/2024</w:t>
      </w: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de adquisición de residuos sólidos para el ejercicio fiscal 2024</w:t>
      </w:r>
      <w:r>
        <w:rPr>
          <w:rFonts w:ascii="Palatino Linotype" w:eastAsia="Palatino Linotype" w:hAnsi="Palatino Linotype" w:cs="Palatino Linotype"/>
          <w:i/>
        </w:rPr>
        <w:t>.”(Sic)</w:t>
      </w: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w:t>
      </w: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Solicitud de Información 00156/ACAMBAY/IP/2024</w:t>
      </w: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adquisitivo de los uniformes para la dirección de Seguridad Pública y dirección de Protección civil</w:t>
      </w:r>
      <w:r>
        <w:rPr>
          <w:rFonts w:ascii="Palatino Linotype" w:eastAsia="Palatino Linotype" w:hAnsi="Palatino Linotype" w:cs="Palatino Linotype"/>
          <w:i/>
        </w:rPr>
        <w:t>.”(Sic)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00159/ACAMBAY/IP/2024</w:t>
      </w: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adquisitivo de las unidades que se adquirieron en el ejercicio fiscal 2023, para la Coordinación de Limpia y la Dirección de Seguridad Pública</w:t>
      </w:r>
      <w:r>
        <w:rPr>
          <w:rFonts w:ascii="Palatino Linotype" w:eastAsia="Palatino Linotype" w:hAnsi="Palatino Linotype" w:cs="Palatino Linotype"/>
          <w:i/>
        </w:rPr>
        <w:t>.”(Sic)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00166/ACAMBAY/IP/2024</w:t>
      </w: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Solicito el procedimiento adquisitivo de combustible para el Sistema Municipal DIF correspondiente al ejercicio fiscal 2024.”(Sic)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00177/ACAMBAY/IP/2024</w:t>
      </w:r>
    </w:p>
    <w:p w:rsidR="0001015B" w:rsidRDefault="00DB587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adquisitivo de los uniformes para la dirección de Seguridad Pública y dirección de Protección Civil correspondiente al ejercicio fiscal 2024</w:t>
      </w:r>
      <w:r>
        <w:rPr>
          <w:rFonts w:ascii="Palatino Linotype" w:eastAsia="Palatino Linotype" w:hAnsi="Palatino Linotype" w:cs="Palatino Linotype"/>
          <w:i/>
        </w:rPr>
        <w:t>.”(Sic)</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las seis solicitudes el Particular eligió como modalidad de entrega </w:t>
      </w:r>
      <w:r>
        <w:rPr>
          <w:rFonts w:ascii="Palatino Linotype" w:eastAsia="Palatino Linotype" w:hAnsi="Palatino Linotype" w:cs="Palatino Linotype"/>
          <w:i/>
          <w:sz w:val="22"/>
          <w:szCs w:val="22"/>
        </w:rPr>
        <w:t>“a través de SAIMEX”</w:t>
      </w:r>
    </w:p>
    <w:p w:rsidR="0001015B" w:rsidRDefault="0001015B">
      <w:pPr>
        <w:tabs>
          <w:tab w:val="left" w:pos="4667"/>
        </w:tabs>
        <w:spacing w:line="360" w:lineRule="auto"/>
        <w:ind w:right="567"/>
        <w:jc w:val="both"/>
        <w:rPr>
          <w:rFonts w:ascii="Palatino Linotype" w:eastAsia="Palatino Linotype" w:hAnsi="Palatino Linotype" w:cs="Palatino Linotype"/>
          <w:sz w:val="22"/>
          <w:szCs w:val="22"/>
        </w:rPr>
      </w:pPr>
    </w:p>
    <w:p w:rsidR="0001015B" w:rsidRDefault="00DB5878">
      <w:pPr>
        <w:tabs>
          <w:tab w:val="left" w:pos="4667"/>
        </w:tabs>
        <w:spacing w:line="360" w:lineRule="auto"/>
        <w:ind w:right="567"/>
        <w:jc w:val="both"/>
        <w:rPr>
          <w:rFonts w:ascii="Palatino Linotype" w:eastAsia="Palatino Linotype" w:hAnsi="Palatino Linotype" w:cs="Palatino Linotype"/>
          <w:b/>
          <w:sz w:val="22"/>
          <w:szCs w:val="22"/>
        </w:rPr>
      </w:pPr>
      <w:bookmarkStart w:id="1" w:name="_heading=h.30j0zll" w:colFirst="0" w:colLast="0"/>
      <w:bookmarkEnd w:id="1"/>
      <w:r>
        <w:rPr>
          <w:rFonts w:ascii="Palatino Linotype" w:eastAsia="Palatino Linotype" w:hAnsi="Palatino Linotype" w:cs="Palatino Linotype"/>
          <w:b/>
          <w:sz w:val="22"/>
          <w:szCs w:val="22"/>
        </w:rPr>
        <w:t>II.</w:t>
      </w:r>
      <w:r w:rsidR="00BD18EB">
        <w:rPr>
          <w:rFonts w:ascii="Palatino Linotype" w:eastAsia="Palatino Linotype" w:hAnsi="Palatino Linotype" w:cs="Palatino Linotype"/>
          <w:b/>
          <w:sz w:val="22"/>
          <w:szCs w:val="22"/>
        </w:rPr>
        <w:t xml:space="preserve"> Respuestas del Sujeto Obligado</w:t>
      </w:r>
    </w:p>
    <w:p w:rsidR="0001015B" w:rsidRDefault="0001015B">
      <w:pPr>
        <w:tabs>
          <w:tab w:val="left" w:pos="4667"/>
        </w:tabs>
        <w:spacing w:line="360" w:lineRule="auto"/>
        <w:ind w:right="567"/>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treinta de octubre de dos mil veinticuatro,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las solicitudes de acceso a la información 00153/ACAMBAY/IP/2024, 00154/ACAMBAY/IP/2024, y 00159/ACAMBAY/IP/2024 a través del Sistema de Acceso a la Información Mexiquense (SAIMEX), en términos idénticos conforme a la digitalización de los documentos siguientes:</w:t>
      </w:r>
    </w:p>
    <w:p w:rsidR="0001015B" w:rsidRDefault="0001015B">
      <w:pPr>
        <w:spacing w:line="360" w:lineRule="auto"/>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 Oficios números </w:t>
      </w:r>
      <w:proofErr w:type="spellStart"/>
      <w:r>
        <w:rPr>
          <w:rFonts w:ascii="Palatino Linotype" w:eastAsia="Palatino Linotype" w:hAnsi="Palatino Linotype" w:cs="Palatino Linotype"/>
          <w:sz w:val="22"/>
          <w:szCs w:val="22"/>
        </w:rPr>
        <w:t>UADyRM</w:t>
      </w:r>
      <w:proofErr w:type="spellEnd"/>
      <w:r>
        <w:rPr>
          <w:rFonts w:ascii="Palatino Linotype" w:eastAsia="Palatino Linotype" w:hAnsi="Palatino Linotype" w:cs="Palatino Linotype"/>
          <w:sz w:val="22"/>
          <w:szCs w:val="22"/>
        </w:rPr>
        <w:t xml:space="preserve">/0067/2024, </w:t>
      </w:r>
      <w:proofErr w:type="spellStart"/>
      <w:r>
        <w:rPr>
          <w:rFonts w:ascii="Palatino Linotype" w:eastAsia="Palatino Linotype" w:hAnsi="Palatino Linotype" w:cs="Palatino Linotype"/>
          <w:sz w:val="22"/>
          <w:szCs w:val="22"/>
        </w:rPr>
        <w:t>UADyRM</w:t>
      </w:r>
      <w:proofErr w:type="spellEnd"/>
      <w:r>
        <w:rPr>
          <w:rFonts w:ascii="Palatino Linotype" w:eastAsia="Palatino Linotype" w:hAnsi="Palatino Linotype" w:cs="Palatino Linotype"/>
          <w:sz w:val="22"/>
          <w:szCs w:val="22"/>
        </w:rPr>
        <w:t xml:space="preserve">/0068/2024, </w:t>
      </w:r>
      <w:proofErr w:type="spellStart"/>
      <w:r>
        <w:rPr>
          <w:rFonts w:ascii="Palatino Linotype" w:eastAsia="Palatino Linotype" w:hAnsi="Palatino Linotype" w:cs="Palatino Linotype"/>
          <w:sz w:val="22"/>
          <w:szCs w:val="22"/>
        </w:rPr>
        <w:t>UADyRM</w:t>
      </w:r>
      <w:proofErr w:type="spellEnd"/>
      <w:r>
        <w:rPr>
          <w:rFonts w:ascii="Palatino Linotype" w:eastAsia="Palatino Linotype" w:hAnsi="Palatino Linotype" w:cs="Palatino Linotype"/>
          <w:sz w:val="22"/>
          <w:szCs w:val="22"/>
        </w:rPr>
        <w:t>/0069/2024, del veintiocho de octubre de dos mil veinticuatro, suscritos por la encargada de la Unidad de Adquisiciones y Recursos Materiales, dirigidos a la Titular de la Unidad de Transparencia, a través del cual manifiesta y expone esencialmente lo siguiente:</w:t>
      </w:r>
    </w:p>
    <w:p w:rsidR="0001015B" w:rsidRDefault="0001015B">
      <w:pPr>
        <w:spacing w:line="360" w:lineRule="auto"/>
      </w:pP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“…Derivado de que en este momento la administración 2022-2024 ha iniciado los procesos de transición de administración Pública, con esto se derivan los trabajos conducentes al procedimiento al acto de entrega-recepción, dicho esto la información requerida, forma parte de las requisiciones que constituyen no al procedimiento, sino al mero acto de entrega-recepción, </w:t>
      </w:r>
      <w:r>
        <w:rPr>
          <w:rFonts w:ascii="Palatino Linotype" w:eastAsia="Palatino Linotype" w:hAnsi="Palatino Linotype" w:cs="Palatino Linotype"/>
          <w:b/>
          <w:i/>
        </w:rPr>
        <w:t>en este tenor se comenta al solicitante que su requisición es integrada en tiempo donde el interés público de conocer la información pueda tener repercusiones de daño o perjuicio, que estorben, entorpezcan, o perjudiquen dicha preparación para el acto de entrega-recepción, esto llanamente derivado del interés particular así como lo cita la fracción X del artículo 140 de la Ley de Transparencia y Acceso a la Información Pública del Estado de México y Municipios, por lo que dicha información quedará bajo este supuesto hasta el 1 de enero del 2025, en el momento en que la entrega sea consumada por la administración saliente y entrante.</w:t>
      </w:r>
      <w:r>
        <w:rPr>
          <w:rFonts w:ascii="Palatino Linotype" w:eastAsia="Palatino Linotype" w:hAnsi="Palatino Linotype" w:cs="Palatino Linotype"/>
          <w:i/>
        </w:rPr>
        <w:t xml:space="preserve"> …”</w:t>
      </w:r>
    </w:p>
    <w:p w:rsidR="0001015B" w:rsidRDefault="0001015B">
      <w:pPr>
        <w:tabs>
          <w:tab w:val="left" w:pos="4667"/>
        </w:tabs>
        <w:spacing w:line="360" w:lineRule="auto"/>
        <w:ind w:right="567"/>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ii) Acta de la Décima Segunda Sesión Extraordinaria del Comité de Transparencia del Ayuntamiento de </w:t>
      </w:r>
      <w:proofErr w:type="spellStart"/>
      <w:r>
        <w:rPr>
          <w:rFonts w:ascii="Palatino Linotype" w:eastAsia="Palatino Linotype" w:hAnsi="Palatino Linotype" w:cs="Palatino Linotype"/>
          <w:sz w:val="22"/>
          <w:szCs w:val="22"/>
        </w:rPr>
        <w:t>Acambay</w:t>
      </w:r>
      <w:proofErr w:type="spellEnd"/>
      <w:r>
        <w:rPr>
          <w:rFonts w:ascii="Palatino Linotype" w:eastAsia="Palatino Linotype" w:hAnsi="Palatino Linotype" w:cs="Palatino Linotype"/>
          <w:sz w:val="22"/>
          <w:szCs w:val="22"/>
        </w:rPr>
        <w:t xml:space="preserve"> de Ruíz Castañeda 2022-2024, del diez de octubre de dos mil veinticuatro, por la que se aprueba la reserva de la información solicitada.</w:t>
      </w:r>
    </w:p>
    <w:p w:rsidR="0001015B" w:rsidRDefault="00DB5878">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Solicitud de Información 00156/ACAMBAY/IP/2024. </w:t>
      </w:r>
      <w:r>
        <w:rPr>
          <w:rFonts w:ascii="Palatino Linotype" w:eastAsia="Palatino Linotype" w:hAnsi="Palatino Linotype" w:cs="Palatino Linotype"/>
          <w:sz w:val="22"/>
          <w:szCs w:val="22"/>
        </w:rPr>
        <w:t>Con fecha diez de octubre de dos mil veinticuatro,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requirió a la Particular, a efecto de que aclarara su solicitud de información conforme a lo siguiente:</w:t>
      </w:r>
    </w:p>
    <w:p w:rsidR="0001015B" w:rsidRDefault="0001015B">
      <w:pPr>
        <w:tabs>
          <w:tab w:val="left" w:pos="4667"/>
        </w:tabs>
        <w:spacing w:line="360" w:lineRule="auto"/>
        <w:ind w:left="567" w:right="567"/>
        <w:jc w:val="both"/>
        <w:rPr>
          <w:rFonts w:ascii="Palatino Linotype" w:eastAsia="Palatino Linotype" w:hAnsi="Palatino Linotype" w:cs="Palatino Linotype"/>
          <w:i/>
          <w:sz w:val="22"/>
          <w:szCs w:val="22"/>
        </w:rPr>
      </w:pPr>
    </w:p>
    <w:p w:rsidR="0001015B" w:rsidRDefault="00DB5878">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solicito al recurrente sea más preciso y claro con la información que solicita, Lo anterior para poder estar en condiciones de atender a su solicitud de la mejor manera y no generar confusiones, por lo que se le solicita ser preciso en el periodo o año del que requiere dicha información.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01015B" w:rsidRDefault="0001015B">
      <w:pPr>
        <w:spacing w:line="360" w:lineRule="auto"/>
        <w:rPr>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Solicitud de Información 00166/ACAMBAY/IP/2024. </w:t>
      </w:r>
      <w:r>
        <w:rPr>
          <w:rFonts w:ascii="Palatino Linotype" w:eastAsia="Palatino Linotype" w:hAnsi="Palatino Linotype" w:cs="Palatino Linotype"/>
          <w:sz w:val="22"/>
          <w:szCs w:val="22"/>
        </w:rPr>
        <w:t>Con fecha treinta de octubre de la presente anualidad, el Sujeto Obligado atendió la solicitud de información por medio de la digitalización de los documentos siguientes;</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 Oficio número SMDIF/T/164/2024, de fecha de su presentación, suscrito por el Tesorero del Sistema Municipal DIF de </w:t>
      </w:r>
      <w:proofErr w:type="spellStart"/>
      <w:r>
        <w:rPr>
          <w:rFonts w:ascii="Palatino Linotype" w:eastAsia="Palatino Linotype" w:hAnsi="Palatino Linotype" w:cs="Palatino Linotype"/>
          <w:sz w:val="22"/>
          <w:szCs w:val="22"/>
        </w:rPr>
        <w:t>Acambay</w:t>
      </w:r>
      <w:proofErr w:type="spellEnd"/>
      <w:r>
        <w:rPr>
          <w:rFonts w:ascii="Palatino Linotype" w:eastAsia="Palatino Linotype" w:hAnsi="Palatino Linotype" w:cs="Palatino Linotype"/>
          <w:sz w:val="22"/>
          <w:szCs w:val="22"/>
        </w:rPr>
        <w:t>, dirigido a la Titular de la Unidad de Transparencia, por medio del cual señaló en términos similares lo manifestado en el oficio referido en el inciso i), del antecedente II.</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ii) Acta de la Décima Segunda Sesión Extraordinaria del Comité de Transparencia, referida en el inciso ii), del antecedente II. </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Solicitud de Información 00177/ACAMBAY/IP/2024. </w:t>
      </w:r>
      <w:r>
        <w:rPr>
          <w:rFonts w:ascii="Palatino Linotype" w:eastAsia="Palatino Linotype" w:hAnsi="Palatino Linotype" w:cs="Palatino Linotype"/>
          <w:sz w:val="22"/>
          <w:szCs w:val="22"/>
        </w:rPr>
        <w:t xml:space="preserve">Con fecha siete de noviembre de la presente anualidad, el Sujeto Obligado atendió la solicitud de información por medio de la digitalización del oficio número </w:t>
      </w:r>
      <w:proofErr w:type="spellStart"/>
      <w:r>
        <w:rPr>
          <w:rFonts w:ascii="Palatino Linotype" w:eastAsia="Palatino Linotype" w:hAnsi="Palatino Linotype" w:cs="Palatino Linotype"/>
          <w:sz w:val="22"/>
          <w:szCs w:val="22"/>
        </w:rPr>
        <w:t>UADyRM</w:t>
      </w:r>
      <w:proofErr w:type="spellEnd"/>
      <w:r>
        <w:rPr>
          <w:rFonts w:ascii="Palatino Linotype" w:eastAsia="Palatino Linotype" w:hAnsi="Palatino Linotype" w:cs="Palatino Linotype"/>
          <w:sz w:val="22"/>
          <w:szCs w:val="22"/>
        </w:rPr>
        <w:t>/0066/2024, del veintiocho de octubre de la presente anualidad, referido en el inciso i), del antecedente II.</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w:t>
      </w:r>
      <w:r w:rsidR="00BD18EB">
        <w:rPr>
          <w:rFonts w:ascii="Palatino Linotype" w:eastAsia="Palatino Linotype" w:hAnsi="Palatino Linotype" w:cs="Palatino Linotype"/>
          <w:b/>
          <w:sz w:val="22"/>
          <w:szCs w:val="22"/>
        </w:rPr>
        <w:t>ión de los Recursos de Revisión</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ocho de noviembre de dos mil veinticuatro, se recibió en este Instituto, a través del Sistema de Acceso a la Información Mexiquense (SAIMEX), los Recursos de Revisión interpuestos por la parte Recurrente, en contra de las respuestas del Ayuntamiento de </w:t>
      </w:r>
      <w:proofErr w:type="spellStart"/>
      <w:r>
        <w:rPr>
          <w:rFonts w:ascii="Palatino Linotype" w:eastAsia="Palatino Linotype" w:hAnsi="Palatino Linotype" w:cs="Palatino Linotype"/>
          <w:sz w:val="22"/>
          <w:szCs w:val="22"/>
        </w:rPr>
        <w:t>Acambay</w:t>
      </w:r>
      <w:proofErr w:type="spellEnd"/>
      <w:r>
        <w:rPr>
          <w:rFonts w:ascii="Palatino Linotype" w:eastAsia="Palatino Linotype" w:hAnsi="Palatino Linotype" w:cs="Palatino Linotype"/>
          <w:sz w:val="22"/>
          <w:szCs w:val="22"/>
        </w:rPr>
        <w:t xml:space="preserve"> de Ruiz Castañeda, en los siguientes términos:</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07126/INFOEM/IP/RR/2024</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de adquisición de combustible para el ejercicio fiscal 2024.</w:t>
      </w:r>
      <w:r>
        <w:rPr>
          <w:rFonts w:ascii="Palatino Linotype" w:eastAsia="Palatino Linotype" w:hAnsi="Palatino Linotype" w:cs="Palatino Linotype"/>
          <w:i/>
        </w:rPr>
        <w:t>” (Sic.)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No presentan información, toda vez que es </w:t>
      </w:r>
      <w:r w:rsidR="00407601">
        <w:rPr>
          <w:rFonts w:ascii="Palatino Linotype" w:eastAsia="Palatino Linotype" w:hAnsi="Palatino Linotype" w:cs="Palatino Linotype"/>
          <w:i/>
          <w:color w:val="000000"/>
        </w:rPr>
        <w:t>considera</w:t>
      </w:r>
      <w:r>
        <w:rPr>
          <w:rFonts w:ascii="Palatino Linotype" w:eastAsia="Palatino Linotype" w:hAnsi="Palatino Linotype" w:cs="Palatino Linotype"/>
          <w:i/>
          <w:color w:val="000000"/>
        </w:rPr>
        <w:t xml:space="preserve"> información </w:t>
      </w:r>
      <w:r w:rsidR="00407601">
        <w:rPr>
          <w:rFonts w:ascii="Palatino Linotype" w:eastAsia="Palatino Linotype" w:hAnsi="Palatino Linotype" w:cs="Palatino Linotype"/>
          <w:i/>
          <w:color w:val="000000"/>
        </w:rPr>
        <w:t>pública</w:t>
      </w:r>
      <w:r>
        <w:rPr>
          <w:rFonts w:ascii="Palatino Linotype" w:eastAsia="Palatino Linotype" w:hAnsi="Palatino Linotype" w:cs="Palatino Linotype"/>
          <w:i/>
          <w:color w:val="000000"/>
        </w:rPr>
        <w:t xml:space="preserve"> de conformidad con el artículo 92 de la Ley de Transparencia y Acceso a la Información Pública del Estado de México y Municipios</w:t>
      </w:r>
      <w:r>
        <w:rPr>
          <w:rFonts w:ascii="Palatino Linotype" w:eastAsia="Palatino Linotype" w:hAnsi="Palatino Linotype" w:cs="Palatino Linotype"/>
          <w:i/>
        </w:rPr>
        <w:t xml:space="preserve">.”(Sic) </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07127/INFOEM/IP/RR/2024</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de adquisición de residuos sólidos para el ejercicio fiscal 2024.</w:t>
      </w:r>
      <w:r>
        <w:rPr>
          <w:rFonts w:ascii="Palatino Linotype" w:eastAsia="Palatino Linotype" w:hAnsi="Palatino Linotype" w:cs="Palatino Linotype"/>
          <w:i/>
        </w:rPr>
        <w:t>”  (Sic.)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lastRenderedPageBreak/>
        <w:t xml:space="preserve">No presentan información, toda vez que es </w:t>
      </w:r>
      <w:r w:rsidR="00407601">
        <w:rPr>
          <w:rFonts w:ascii="Palatino Linotype" w:eastAsia="Palatino Linotype" w:hAnsi="Palatino Linotype" w:cs="Palatino Linotype"/>
          <w:i/>
          <w:color w:val="000000"/>
        </w:rPr>
        <w:t>considera</w:t>
      </w:r>
      <w:r>
        <w:rPr>
          <w:rFonts w:ascii="Palatino Linotype" w:eastAsia="Palatino Linotype" w:hAnsi="Palatino Linotype" w:cs="Palatino Linotype"/>
          <w:i/>
          <w:color w:val="000000"/>
        </w:rPr>
        <w:t xml:space="preserve"> información </w:t>
      </w:r>
      <w:r w:rsidR="00407601">
        <w:rPr>
          <w:rFonts w:ascii="Palatino Linotype" w:eastAsia="Palatino Linotype" w:hAnsi="Palatino Linotype" w:cs="Palatino Linotype"/>
          <w:i/>
          <w:color w:val="000000"/>
        </w:rPr>
        <w:t>pública</w:t>
      </w:r>
      <w:r>
        <w:rPr>
          <w:rFonts w:ascii="Palatino Linotype" w:eastAsia="Palatino Linotype" w:hAnsi="Palatino Linotype" w:cs="Palatino Linotype"/>
          <w:i/>
          <w:color w:val="000000"/>
        </w:rPr>
        <w:t xml:space="preserve"> de conformidad con el artículo 92 de la Ley de Transparencia y Acceso a la Información Pública del Estado de México y Municipios</w:t>
      </w:r>
      <w:r>
        <w:rPr>
          <w:rFonts w:ascii="Palatino Linotype" w:eastAsia="Palatino Linotype" w:hAnsi="Palatino Linotype" w:cs="Palatino Linotype"/>
          <w:i/>
        </w:rPr>
        <w:t>.” (Sic)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07129/INFOEM/IP/RR/2024</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adquisitivo de los uniformes para la dirección de Seguridad Pública y dirección de Protección civil.</w:t>
      </w:r>
      <w:r>
        <w:rPr>
          <w:rFonts w:ascii="Palatino Linotype" w:eastAsia="Palatino Linotype" w:hAnsi="Palatino Linotype" w:cs="Palatino Linotype"/>
          <w:i/>
        </w:rPr>
        <w:t>” (Sic.)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No presentan información, toda vez que es </w:t>
      </w:r>
      <w:r w:rsidR="00407601">
        <w:rPr>
          <w:rFonts w:ascii="Palatino Linotype" w:eastAsia="Palatino Linotype" w:hAnsi="Palatino Linotype" w:cs="Palatino Linotype"/>
          <w:i/>
          <w:color w:val="000000"/>
        </w:rPr>
        <w:t>considera</w:t>
      </w:r>
      <w:r>
        <w:rPr>
          <w:rFonts w:ascii="Palatino Linotype" w:eastAsia="Palatino Linotype" w:hAnsi="Palatino Linotype" w:cs="Palatino Linotype"/>
          <w:i/>
          <w:color w:val="000000"/>
        </w:rPr>
        <w:t xml:space="preserve"> información </w:t>
      </w:r>
      <w:r w:rsidR="00407601">
        <w:rPr>
          <w:rFonts w:ascii="Palatino Linotype" w:eastAsia="Palatino Linotype" w:hAnsi="Palatino Linotype" w:cs="Palatino Linotype"/>
          <w:i/>
          <w:color w:val="000000"/>
        </w:rPr>
        <w:t>pública</w:t>
      </w:r>
      <w:r>
        <w:rPr>
          <w:rFonts w:ascii="Palatino Linotype" w:eastAsia="Palatino Linotype" w:hAnsi="Palatino Linotype" w:cs="Palatino Linotype"/>
          <w:i/>
          <w:color w:val="000000"/>
        </w:rPr>
        <w:t xml:space="preserve"> de conformidad con el artículo 92 de la Ley de Transparencia y Acceso a la Información Pública del Estado de México y Municipios</w:t>
      </w:r>
      <w:r>
        <w:rPr>
          <w:rFonts w:ascii="Palatino Linotype" w:eastAsia="Palatino Linotype" w:hAnsi="Palatino Linotype" w:cs="Palatino Linotype"/>
          <w:i/>
        </w:rPr>
        <w:t xml:space="preserve">.” (Sic) </w:t>
      </w: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b/>
      </w:r>
    </w:p>
    <w:p w:rsidR="0001015B" w:rsidRDefault="00DB5878">
      <w:pPr>
        <w:tabs>
          <w:tab w:val="left" w:pos="6645"/>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07130/INFOEM/IP/RR/2024</w:t>
      </w:r>
      <w:r>
        <w:rPr>
          <w:rFonts w:ascii="Palatino Linotype" w:eastAsia="Palatino Linotype" w:hAnsi="Palatino Linotype" w:cs="Palatino Linotype"/>
          <w:b/>
          <w:i/>
        </w:rPr>
        <w:tab/>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adquisitivo de los uniformes para la dirección de Seguridad Pública y dirección de Protección Civil correspondiente al ejercicio fiscal 2024.</w:t>
      </w:r>
      <w:r>
        <w:rPr>
          <w:rFonts w:ascii="Palatino Linotype" w:eastAsia="Palatino Linotype" w:hAnsi="Palatino Linotype" w:cs="Palatino Linotype"/>
          <w:i/>
        </w:rPr>
        <w:t>” (Sic.)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No presentan información, toda vez que es </w:t>
      </w:r>
      <w:r w:rsidR="00407601">
        <w:rPr>
          <w:rFonts w:ascii="Palatino Linotype" w:eastAsia="Palatino Linotype" w:hAnsi="Palatino Linotype" w:cs="Palatino Linotype"/>
          <w:i/>
          <w:color w:val="000000"/>
        </w:rPr>
        <w:t>considera</w:t>
      </w:r>
      <w:r>
        <w:rPr>
          <w:rFonts w:ascii="Palatino Linotype" w:eastAsia="Palatino Linotype" w:hAnsi="Palatino Linotype" w:cs="Palatino Linotype"/>
          <w:i/>
          <w:color w:val="000000"/>
        </w:rPr>
        <w:t xml:space="preserve"> información </w:t>
      </w:r>
      <w:r w:rsidR="00407601">
        <w:rPr>
          <w:rFonts w:ascii="Palatino Linotype" w:eastAsia="Palatino Linotype" w:hAnsi="Palatino Linotype" w:cs="Palatino Linotype"/>
          <w:i/>
          <w:color w:val="000000"/>
        </w:rPr>
        <w:t>pública</w:t>
      </w:r>
      <w:r>
        <w:rPr>
          <w:rFonts w:ascii="Palatino Linotype" w:eastAsia="Palatino Linotype" w:hAnsi="Palatino Linotype" w:cs="Palatino Linotype"/>
          <w:i/>
          <w:color w:val="000000"/>
        </w:rPr>
        <w:t xml:space="preserve"> de conformidad con el artículo 92 de la Ley de Transparencia y Acceso a la Información Pública del Estado de México y Municipios.</w:t>
      </w:r>
      <w:r>
        <w:rPr>
          <w:rFonts w:ascii="Palatino Linotype" w:eastAsia="Palatino Linotype" w:hAnsi="Palatino Linotype" w:cs="Palatino Linotype"/>
          <w:i/>
        </w:rPr>
        <w:t xml:space="preserve">” (Sic) </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tabs>
          <w:tab w:val="left" w:pos="6645"/>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07132/INFOEM/IP/RR/2024</w:t>
      </w:r>
      <w:r>
        <w:rPr>
          <w:rFonts w:ascii="Palatino Linotype" w:eastAsia="Palatino Linotype" w:hAnsi="Palatino Linotype" w:cs="Palatino Linotype"/>
          <w:b/>
          <w:i/>
        </w:rPr>
        <w:tab/>
      </w:r>
    </w:p>
    <w:p w:rsidR="0001015B" w:rsidRDefault="00DB5878">
      <w:pPr>
        <w:tabs>
          <w:tab w:val="left" w:pos="7125"/>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r>
        <w:rPr>
          <w:rFonts w:ascii="Palatino Linotype" w:eastAsia="Palatino Linotype" w:hAnsi="Palatino Linotype" w:cs="Palatino Linotype"/>
          <w:b/>
          <w:i/>
        </w:rPr>
        <w:tab/>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el procedimiento adquisitivo de las unidades que se adquirieron en el ejercicio fiscal 2023, para la Coordinación de Limpia y la Dirección de Seguridad Pública.</w:t>
      </w:r>
      <w:r>
        <w:rPr>
          <w:rFonts w:ascii="Palatino Linotype" w:eastAsia="Palatino Linotype" w:hAnsi="Palatino Linotype" w:cs="Palatino Linotype"/>
          <w:i/>
        </w:rPr>
        <w:t>” (Sic.)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No presentan información, toda vez que es </w:t>
      </w:r>
      <w:r w:rsidR="00407601">
        <w:rPr>
          <w:rFonts w:ascii="Palatino Linotype" w:eastAsia="Palatino Linotype" w:hAnsi="Palatino Linotype" w:cs="Palatino Linotype"/>
          <w:i/>
          <w:color w:val="000000"/>
        </w:rPr>
        <w:t>considera</w:t>
      </w:r>
      <w:r>
        <w:rPr>
          <w:rFonts w:ascii="Palatino Linotype" w:eastAsia="Palatino Linotype" w:hAnsi="Palatino Linotype" w:cs="Palatino Linotype"/>
          <w:i/>
          <w:color w:val="000000"/>
        </w:rPr>
        <w:t xml:space="preserve"> información </w:t>
      </w:r>
      <w:r w:rsidR="00407601">
        <w:rPr>
          <w:rFonts w:ascii="Palatino Linotype" w:eastAsia="Palatino Linotype" w:hAnsi="Palatino Linotype" w:cs="Palatino Linotype"/>
          <w:i/>
          <w:color w:val="000000"/>
        </w:rPr>
        <w:t>pública</w:t>
      </w:r>
      <w:r>
        <w:rPr>
          <w:rFonts w:ascii="Palatino Linotype" w:eastAsia="Palatino Linotype" w:hAnsi="Palatino Linotype" w:cs="Palatino Linotype"/>
          <w:i/>
          <w:color w:val="000000"/>
        </w:rPr>
        <w:t xml:space="preserve"> de conformidad con el artículo 92 de la Ley de Transparencia y Acceso a la Información Pública del Estado de México y Municipios.</w:t>
      </w:r>
      <w:r>
        <w:rPr>
          <w:rFonts w:ascii="Palatino Linotype" w:eastAsia="Palatino Linotype" w:hAnsi="Palatino Linotype" w:cs="Palatino Linotype"/>
          <w:i/>
        </w:rPr>
        <w:t xml:space="preserve">” (Sic) </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tabs>
          <w:tab w:val="left" w:pos="6645"/>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07134/INFOEM/IP/RR/2024</w:t>
      </w:r>
      <w:r>
        <w:rPr>
          <w:rFonts w:ascii="Palatino Linotype" w:eastAsia="Palatino Linotype" w:hAnsi="Palatino Linotype" w:cs="Palatino Linotype"/>
          <w:b/>
          <w:i/>
        </w:rPr>
        <w:tab/>
      </w:r>
    </w:p>
    <w:p w:rsidR="0001015B" w:rsidRDefault="00DB5878">
      <w:pPr>
        <w:tabs>
          <w:tab w:val="left" w:pos="7125"/>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r>
        <w:rPr>
          <w:rFonts w:ascii="Palatino Linotype" w:eastAsia="Palatino Linotype" w:hAnsi="Palatino Linotype" w:cs="Palatino Linotype"/>
          <w:b/>
          <w:i/>
        </w:rPr>
        <w:tab/>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Solicito el procedimiento adquisitivo de combustible para el Sistema Municipal DIF correspondiente al ejercicio fiscal 2024</w:t>
      </w:r>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rsidR="0001015B" w:rsidRDefault="0001015B">
      <w:pPr>
        <w:spacing w:line="360" w:lineRule="auto"/>
        <w:ind w:left="567" w:right="567"/>
        <w:jc w:val="both"/>
        <w:rPr>
          <w:rFonts w:ascii="Palatino Linotype" w:eastAsia="Palatino Linotype" w:hAnsi="Palatino Linotype" w:cs="Palatino Linotype"/>
          <w:i/>
        </w:rPr>
      </w:pPr>
    </w:p>
    <w:p w:rsidR="0001015B" w:rsidRDefault="00DB5878">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01015B" w:rsidRDefault="00DB587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No presentan información, toda vez que es </w:t>
      </w:r>
      <w:r w:rsidR="00407601">
        <w:rPr>
          <w:rFonts w:ascii="Palatino Linotype" w:eastAsia="Palatino Linotype" w:hAnsi="Palatino Linotype" w:cs="Palatino Linotype"/>
          <w:i/>
          <w:color w:val="000000"/>
        </w:rPr>
        <w:t>considera</w:t>
      </w:r>
      <w:r>
        <w:rPr>
          <w:rFonts w:ascii="Palatino Linotype" w:eastAsia="Palatino Linotype" w:hAnsi="Palatino Linotype" w:cs="Palatino Linotype"/>
          <w:i/>
          <w:color w:val="000000"/>
        </w:rPr>
        <w:t xml:space="preserve"> información </w:t>
      </w:r>
      <w:r w:rsidR="00407601">
        <w:rPr>
          <w:rFonts w:ascii="Palatino Linotype" w:eastAsia="Palatino Linotype" w:hAnsi="Palatino Linotype" w:cs="Palatino Linotype"/>
          <w:i/>
          <w:color w:val="000000"/>
        </w:rPr>
        <w:t>pública</w:t>
      </w:r>
      <w:r>
        <w:rPr>
          <w:rFonts w:ascii="Palatino Linotype" w:eastAsia="Palatino Linotype" w:hAnsi="Palatino Linotype" w:cs="Palatino Linotype"/>
          <w:i/>
          <w:color w:val="000000"/>
        </w:rPr>
        <w:t xml:space="preserve"> de conformidad con el artículo 92 de la Ley de Transparencia y Acceso a la Información Pública del Estado de México y Municipios.</w:t>
      </w:r>
      <w:r>
        <w:rPr>
          <w:rFonts w:ascii="Palatino Linotype" w:eastAsia="Palatino Linotype" w:hAnsi="Palatino Linotype" w:cs="Palatino Linotype"/>
          <w:i/>
        </w:rPr>
        <w:t xml:space="preserve">” (Sic) </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IV. Trámite de los Recursos </w:t>
      </w:r>
      <w:r w:rsidR="00BD18EB">
        <w:rPr>
          <w:rFonts w:ascii="Palatino Linotype" w:eastAsia="Palatino Linotype" w:hAnsi="Palatino Linotype" w:cs="Palatino Linotype"/>
          <w:b/>
          <w:sz w:val="22"/>
          <w:szCs w:val="22"/>
        </w:rPr>
        <w:t>de Revisión ante este Instituto</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El ocho de noviembre de dos mil veinticuatro, el Sistema de Acceso a la Información Mexiquense (SAIMEX), asignó los números de expediente 07126/INFOEM/IP/RR/2024,</w:t>
      </w:r>
      <w:r>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sz w:val="22"/>
          <w:szCs w:val="22"/>
        </w:rPr>
        <w:t xml:space="preserve">07127/INFOEM/IP/RR/2024, 07129/INFOEM/IP/RR/2024, 07130/INFOEM/IP/RR/2024, 07132/INFOEM/IP/RR/2024 y 07134/INFOEM/IP/RR/2024 a los medios de impugnación que nos ocupa, con base en el sistema aprobado por el Pleno de este Organismo Garante y lo turnó a los Comisionados </w:t>
      </w:r>
      <w:r>
        <w:rPr>
          <w:rFonts w:ascii="Palatino Linotype" w:eastAsia="Palatino Linotype" w:hAnsi="Palatino Linotype" w:cs="Palatino Linotype"/>
          <w:b/>
          <w:sz w:val="22"/>
          <w:szCs w:val="22"/>
        </w:rPr>
        <w:t>Luis Gustavo Parra Noriega, Guadalupe Ramírez Peña, Sharon Cristina Morales Martínez y José Martínez Vilchis,</w:t>
      </w:r>
      <w:r>
        <w:rPr>
          <w:rFonts w:ascii="Palatino Linotype" w:eastAsia="Palatino Linotype" w:hAnsi="Palatino Linotype" w:cs="Palatino Linotype"/>
          <w:sz w:val="22"/>
          <w:szCs w:val="22"/>
        </w:rPr>
        <w:t xml:space="preserve"> para los efectos del artículo 185, fracción I de la Ley de Transparencia y Acceso a la Información Pública del Estado de México y Municipios.</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 los Recursos de Revisión. </w:t>
      </w:r>
      <w:r>
        <w:rPr>
          <w:rFonts w:ascii="Palatino Linotype" w:eastAsia="Palatino Linotype" w:hAnsi="Palatino Linotype" w:cs="Palatino Linotype"/>
          <w:sz w:val="22"/>
          <w:szCs w:val="22"/>
        </w:rPr>
        <w:t>El trece de noviembre de dos mil veinticuatro, se acordó la admisión de los Recursos de Revisión, interpuestos por el Recurrente, en contra del Sujeto Obligado, en términos del artículo 185, fracciones I y II de la Ley de Transparencia y Acceso a la Información Pública del Estado de México y Municipios, los cual fueron notificados a las partes, a través del Sistema de Acceso a la Información Mexiquense (SAIMEX), en el que se les otorgó un plazo de siete días hábiles posteriores a la misma, para que manifestaran lo que a su derecho conviniera y formularan alegatos.</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 Acumulación de los asuntos. </w:t>
      </w:r>
      <w:r>
        <w:rPr>
          <w:rFonts w:ascii="Palatino Linotype" w:eastAsia="Palatino Linotype" w:hAnsi="Palatino Linotype" w:cs="Palatino Linotype"/>
          <w:sz w:val="22"/>
          <w:szCs w:val="22"/>
        </w:rPr>
        <w:t xml:space="preserve">El veintiuno de noviembre de dos mil veinticuatro, el Pleno del Instituto de Transparencia, Acceso a la Información Pública y Protección de Datos Personales del Estado de México y Municipios, durante su Cuadragésima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 los Recursos de Revisión, </w:t>
      </w:r>
      <w:r>
        <w:rPr>
          <w:rFonts w:ascii="Palatino Linotype" w:eastAsia="Palatino Linotype" w:hAnsi="Palatino Linotype" w:cs="Palatino Linotype"/>
          <w:b/>
          <w:sz w:val="22"/>
          <w:szCs w:val="22"/>
        </w:rPr>
        <w:t>07127/INFOEM/IP/RR/2024,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07129/INFOEM/IP/RR/2024, 07130/INFOEM/IP/RR/2024, 07132/INFOEM/IP/RR/2024 y 07134/INFOEM/IP/RR/2024</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 xml:space="preserve">07126/INFOEM/IP/RR/2024, </w:t>
      </w:r>
      <w:r>
        <w:rPr>
          <w:rFonts w:ascii="Palatino Linotype" w:eastAsia="Palatino Linotype" w:hAnsi="Palatino Linotype" w:cs="Palatino Linotype"/>
          <w:sz w:val="22"/>
          <w:szCs w:val="22"/>
        </w:rPr>
        <w:t>por ser este último el más antiguo, sustanciado bajo el índice de esta Ponencia, al advertir conexidad entre estos, ya que fueron promovidos por la misma persona, en los que señaló como Sujeto Obligado al</w:t>
      </w:r>
      <w:r>
        <w:rPr>
          <w:rFonts w:ascii="Palatino Linotype" w:eastAsia="Palatino Linotype" w:hAnsi="Palatino Linotype" w:cs="Palatino Linotype"/>
          <w:b/>
          <w:sz w:val="22"/>
          <w:szCs w:val="22"/>
        </w:rPr>
        <w:t xml:space="preserve"> Ayuntamiento de </w:t>
      </w:r>
      <w:proofErr w:type="spellStart"/>
      <w:r>
        <w:rPr>
          <w:rFonts w:ascii="Palatino Linotype" w:eastAsia="Palatino Linotype" w:hAnsi="Palatino Linotype" w:cs="Palatino Linotype"/>
          <w:b/>
          <w:sz w:val="22"/>
          <w:szCs w:val="22"/>
        </w:rPr>
        <w:t>Acambay</w:t>
      </w:r>
      <w:proofErr w:type="spellEnd"/>
      <w:r>
        <w:rPr>
          <w:rFonts w:ascii="Palatino Linotype" w:eastAsia="Palatino Linotype" w:hAnsi="Palatino Linotype" w:cs="Palatino Linotype"/>
          <w:b/>
          <w:sz w:val="22"/>
          <w:szCs w:val="22"/>
        </w:rPr>
        <w:t xml:space="preserve"> de Ruíz Castañeda. </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Informe Justificado o Manifestaciones. </w:t>
      </w:r>
      <w:r>
        <w:rPr>
          <w:rFonts w:ascii="Palatino Linotype" w:eastAsia="Palatino Linotype" w:hAnsi="Palatino Linotype" w:cs="Palatino Linotype"/>
          <w:sz w:val="22"/>
          <w:szCs w:val="22"/>
        </w:rPr>
        <w:t>Las partes fueron omisas en realizar manifestaciones o alegatos.</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 Cierre de instrucción.</w:t>
      </w:r>
      <w:r>
        <w:rPr>
          <w:rFonts w:ascii="Palatino Linotype" w:eastAsia="Palatino Linotype" w:hAnsi="Palatino Linotype" w:cs="Palatino Linotype"/>
          <w:sz w:val="22"/>
          <w:szCs w:val="22"/>
        </w:rPr>
        <w:t xml:space="preserve"> El veintiocho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Sistema de Acceso a la Información Mexiquense (SAIMEX) el mismo día.</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01015B" w:rsidRDefault="0001015B">
      <w:pPr>
        <w:spacing w:line="360" w:lineRule="auto"/>
        <w:jc w:val="center"/>
        <w:rPr>
          <w:rFonts w:ascii="Palatino Linotype" w:eastAsia="Palatino Linotype" w:hAnsi="Palatino Linotype" w:cs="Palatino Linotype"/>
          <w:b/>
          <w:sz w:val="22"/>
          <w:szCs w:val="22"/>
        </w:rPr>
      </w:pPr>
    </w:p>
    <w:p w:rsidR="0001015B" w:rsidRDefault="00DB587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01015B" w:rsidRDefault="0001015B">
      <w:pPr>
        <w:spacing w:line="360" w:lineRule="auto"/>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PRIMERO. Competencia</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sz w:val="22"/>
          <w:szCs w:val="22"/>
        </w:rPr>
      </w:pPr>
      <w:bookmarkStart w:id="2" w:name="_heading=h.1fob9te" w:colFirst="0" w:colLast="0"/>
      <w:bookmarkEnd w:id="2"/>
      <w:r>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w:t>
      </w:r>
      <w:r>
        <w:rPr>
          <w:rFonts w:ascii="Palatino Linotype" w:eastAsia="Palatino Linotype" w:hAnsi="Palatino Linotype" w:cs="Palatino Linotype"/>
          <w:sz w:val="22"/>
          <w:szCs w:val="22"/>
        </w:rPr>
        <w:lastRenderedPageBreak/>
        <w:t>y Municipios; 7°, 9°, fracciones I y XXIII y 11 del Reglamento Interior del Instituto de Transparencia, Acceso a la Información Pública y Protección de Datos Personales del Estado de México y Municipios.</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Causales de improcedencia y sobreseimiento</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sz w:val="22"/>
          <w:szCs w:val="22"/>
        </w:rPr>
        <w:t>litis</w:t>
      </w:r>
      <w:proofErr w:type="spellEnd"/>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01015B" w:rsidRDefault="0001015B">
      <w:pPr>
        <w:spacing w:line="360" w:lineRule="auto"/>
        <w:ind w:right="-28"/>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w:t>
      </w:r>
      <w:r>
        <w:rPr>
          <w:rFonts w:ascii="Palatino Linotype" w:eastAsia="Palatino Linotype" w:hAnsi="Palatino Linotype" w:cs="Palatino Linotype"/>
          <w:sz w:val="22"/>
          <w:szCs w:val="22"/>
        </w:rPr>
        <w:lastRenderedPageBreak/>
        <w:t xml:space="preserve">por el Recurrente ante otra instancia; no existió prevención alguna; la veracidad de la respuesta no formó parte del agravio; ni se realizó una consulta o ampliación a los alcances del requerimiento informativo; además de que </w:t>
      </w:r>
      <w:r>
        <w:rPr>
          <w:rFonts w:ascii="Palatino Linotype" w:eastAsia="Palatino Linotype" w:hAnsi="Palatino Linotype" w:cs="Palatino Linotype"/>
          <w:color w:val="000000"/>
          <w:sz w:val="22"/>
          <w:szCs w:val="22"/>
        </w:rPr>
        <w:t>el medio de impugnación fue presentado en tiempo.</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widowControl w:val="0"/>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sz w:val="22"/>
          <w:szCs w:val="22"/>
        </w:rPr>
        <w:t xml:space="preserve">Asimismo, se actualiza la causal de procedencia del Recurso de Revisión señalada en el artículo 179, fracción II y XI, de la Ley en cita, </w:t>
      </w:r>
      <w:r>
        <w:rPr>
          <w:rFonts w:ascii="Palatino Linotype" w:eastAsia="Palatino Linotype" w:hAnsi="Palatino Linotype" w:cs="Palatino Linotype"/>
          <w:color w:val="000000"/>
          <w:sz w:val="22"/>
          <w:szCs w:val="22"/>
        </w:rPr>
        <w:t xml:space="preserve">pues el Recurrente se inconformó </w:t>
      </w:r>
      <w:r>
        <w:rPr>
          <w:rFonts w:ascii="Palatino Linotype" w:eastAsia="Palatino Linotype" w:hAnsi="Palatino Linotype" w:cs="Palatino Linotype"/>
          <w:sz w:val="22"/>
          <w:szCs w:val="22"/>
        </w:rPr>
        <w:t>de la clasificación de la información y la falta de trámite a una solicitud.</w:t>
      </w:r>
    </w:p>
    <w:p w:rsidR="0001015B" w:rsidRDefault="0001015B">
      <w:pPr>
        <w:spacing w:line="360" w:lineRule="auto"/>
        <w:ind w:right="-28"/>
        <w:jc w:val="both"/>
        <w:rPr>
          <w:rFonts w:ascii="Palatino Linotype" w:eastAsia="Palatino Linotype" w:hAnsi="Palatino Linotype" w:cs="Palatino Linotype"/>
          <w:color w:val="000000"/>
          <w:sz w:val="22"/>
          <w:szCs w:val="22"/>
        </w:rPr>
      </w:pPr>
    </w:p>
    <w:p w:rsidR="0001015B" w:rsidRDefault="00BD18E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Causales de sobreseimiento</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motivos, se considera procedente entrar al fondo del presente asunto. </w:t>
      </w:r>
    </w:p>
    <w:p w:rsidR="0001015B" w:rsidRDefault="0001015B">
      <w:pPr>
        <w:tabs>
          <w:tab w:val="left" w:pos="4962"/>
        </w:tabs>
        <w:spacing w:line="360" w:lineRule="auto"/>
        <w:jc w:val="both"/>
        <w:rPr>
          <w:rFonts w:ascii="Palatino Linotype" w:eastAsia="Palatino Linotype" w:hAnsi="Palatino Linotype" w:cs="Palatino Linotype"/>
          <w:b/>
          <w:sz w:val="22"/>
          <w:szCs w:val="22"/>
        </w:rPr>
      </w:pPr>
    </w:p>
    <w:p w:rsidR="0001015B" w:rsidRDefault="00DB5878">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TERCERO. Determinación de la Controversia</w:t>
      </w:r>
    </w:p>
    <w:p w:rsidR="0001015B" w:rsidRDefault="0001015B">
      <w:pPr>
        <w:widowControl w:val="0"/>
        <w:spacing w:line="360" w:lineRule="auto"/>
        <w:jc w:val="both"/>
        <w:rPr>
          <w:rFonts w:ascii="Palatino Linotype" w:eastAsia="Palatino Linotype" w:hAnsi="Palatino Linotype" w:cs="Palatino Linotype"/>
          <w:sz w:val="22"/>
          <w:szCs w:val="22"/>
        </w:rPr>
      </w:pPr>
    </w:p>
    <w:p w:rsidR="0001015B" w:rsidRDefault="00DB5878">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Una vez realizado el estudio de las constancias que integran el expediente en que se actúa, se desprende que la Particular solicitó </w:t>
      </w:r>
      <w:r>
        <w:rPr>
          <w:rFonts w:ascii="Palatino Linotype" w:eastAsia="Palatino Linotype" w:hAnsi="Palatino Linotype" w:cs="Palatino Linotype"/>
          <w:color w:val="000000"/>
          <w:sz w:val="22"/>
          <w:szCs w:val="22"/>
        </w:rPr>
        <w:t>el procedimiento adquisitivo para la contratación de los siguientes servicios:</w:t>
      </w:r>
    </w:p>
    <w:p w:rsidR="0001015B" w:rsidRDefault="0001015B">
      <w:pPr>
        <w:widowControl w:val="0"/>
        <w:spacing w:line="360" w:lineRule="auto"/>
        <w:jc w:val="both"/>
        <w:rPr>
          <w:rFonts w:ascii="Palatino Linotype" w:eastAsia="Palatino Linotype" w:hAnsi="Palatino Linotype" w:cs="Palatino Linotype"/>
          <w:color w:val="000000"/>
          <w:sz w:val="22"/>
          <w:szCs w:val="22"/>
        </w:rPr>
      </w:pPr>
    </w:p>
    <w:p w:rsidR="0001015B" w:rsidRDefault="00DB5878">
      <w:pPr>
        <w:widowControl w:val="0"/>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Combustible del Ayuntamiento y del Sistema DIF, para el ejercicio fiscal dos mil veinticuatro;</w:t>
      </w:r>
    </w:p>
    <w:p w:rsidR="0001015B" w:rsidRDefault="00DB5878">
      <w:pPr>
        <w:widowControl w:val="0"/>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Disposición final de residuos sólidos, para el ejercicio fiscal dos mil veinticuatro;</w:t>
      </w:r>
    </w:p>
    <w:p w:rsidR="0001015B" w:rsidRDefault="00DB5878">
      <w:pPr>
        <w:widowControl w:val="0"/>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Uniformes para la Dirección de Seguridad Pública, y Dirección de Protección Civil, para el ejercicio fiscal dos mil veinticuatro; y</w:t>
      </w:r>
    </w:p>
    <w:p w:rsidR="0001015B" w:rsidRDefault="00DB5878">
      <w:pPr>
        <w:widowControl w:val="0"/>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Vehículos para la Dirección de Seguridad Pública, y Servicios Públicos, para el ejercicio fiscal dos mil veintitrés.</w:t>
      </w:r>
    </w:p>
    <w:p w:rsidR="0001015B" w:rsidRDefault="0001015B">
      <w:pPr>
        <w:tabs>
          <w:tab w:val="left" w:pos="4962"/>
        </w:tabs>
        <w:spacing w:line="360" w:lineRule="auto"/>
        <w:rPr>
          <w:rFonts w:ascii="Palatino Linotype" w:eastAsia="Palatino Linotype" w:hAnsi="Palatino Linotype" w:cs="Palatino Linotype"/>
          <w:b/>
          <w:color w:val="000000"/>
        </w:rPr>
      </w:pPr>
    </w:p>
    <w:p w:rsidR="0001015B" w:rsidRDefault="00DB587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Previo a la respuesta al inciso C, el Sujeto Obligado realizó una aclaración a la solicitud, misma que no fue desahogada por el Particular; por otra parte, en respuesta, a los incisos a, b y d, indicó que la información solicitada se encontraba reservada en términos del artículo 140, fracción X, de la Ley de la materia, derivado de los procesos de transición,  por lo que quedaría bajo ese supuesto hasta el primero de enero de dos mil veinticinco, con el ingreso de la nueva administración; ante dicha circunstancia, la parte Recurrente se inconformó de la clasificación de la información solicitada respecto a los incisos a, b y d, así como, de la falta de trámite del inciso c, lo cual actualiza los supuestos previstos en el artículo 179, fracción II y XI, de la Ley de Transparencia y Acceso a la Información Pública del Estado de México y Municipios. Una vez admitido y notificado los Recursos de Revisión a las partes, estas fueron omisas en realizar manifestaciones y alegatos.</w:t>
      </w:r>
    </w:p>
    <w:p w:rsidR="0001015B" w:rsidRDefault="0001015B">
      <w:pPr>
        <w:tabs>
          <w:tab w:val="left" w:pos="4962"/>
        </w:tabs>
        <w:spacing w:line="360" w:lineRule="auto"/>
        <w:rPr>
          <w:rFonts w:ascii="Palatino Linotype" w:eastAsia="Palatino Linotype" w:hAnsi="Palatino Linotype" w:cs="Palatino Linotype"/>
          <w:b/>
          <w:color w:val="000000"/>
        </w:rPr>
      </w:pPr>
    </w:p>
    <w:p w:rsidR="0001015B" w:rsidRDefault="00DB5878">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las solicitudes de acceso a la información, los documentos remitidos en respuesta, y los escritos </w:t>
      </w:r>
      <w:proofErr w:type="spellStart"/>
      <w:r>
        <w:rPr>
          <w:rFonts w:ascii="Palatino Linotype" w:eastAsia="Palatino Linotype" w:hAnsi="Palatino Linotype" w:cs="Palatino Linotype"/>
          <w:sz w:val="22"/>
          <w:szCs w:val="22"/>
        </w:rPr>
        <w:t>recursales</w:t>
      </w:r>
      <w:proofErr w:type="spellEnd"/>
      <w:r>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rsidR="0001015B" w:rsidRDefault="0001015B">
      <w:pPr>
        <w:tabs>
          <w:tab w:val="left" w:pos="4962"/>
        </w:tabs>
        <w:spacing w:line="360" w:lineRule="auto"/>
        <w:jc w:val="both"/>
        <w:rPr>
          <w:rFonts w:ascii="Palatino Linotype" w:eastAsia="Palatino Linotype" w:hAnsi="Palatino Linotype" w:cs="Palatino Linotype"/>
          <w:sz w:val="22"/>
          <w:szCs w:val="22"/>
        </w:rPr>
      </w:pPr>
    </w:p>
    <w:p w:rsidR="0001015B" w:rsidRDefault="00DB5878">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01015B" w:rsidRDefault="0001015B">
      <w:pPr>
        <w:widowControl w:val="0"/>
        <w:spacing w:line="360" w:lineRule="auto"/>
        <w:jc w:val="both"/>
        <w:rPr>
          <w:rFonts w:ascii="Palatino Linotype" w:eastAsia="Palatino Linotype" w:hAnsi="Palatino Linotype" w:cs="Palatino Linotype"/>
          <w:sz w:val="22"/>
          <w:szCs w:val="22"/>
        </w:rPr>
      </w:pPr>
    </w:p>
    <w:p w:rsidR="0001015B" w:rsidRDefault="00DB587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01015B" w:rsidRDefault="0001015B">
      <w:pPr>
        <w:widowControl w:val="0"/>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01015B" w:rsidRDefault="0001015B">
      <w:pPr>
        <w:widowControl w:val="0"/>
        <w:spacing w:line="360" w:lineRule="auto"/>
        <w:jc w:val="both"/>
        <w:rPr>
          <w:rFonts w:ascii="Palatino Linotype" w:eastAsia="Palatino Linotype" w:hAnsi="Palatino Linotype" w:cs="Palatino Linotype"/>
          <w:sz w:val="22"/>
          <w:szCs w:val="22"/>
        </w:rPr>
      </w:pPr>
    </w:p>
    <w:p w:rsidR="0001015B" w:rsidRDefault="00DB587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01015B" w:rsidRDefault="0001015B">
      <w:pPr>
        <w:widowControl w:val="0"/>
        <w:spacing w:line="360" w:lineRule="auto"/>
        <w:jc w:val="both"/>
        <w:rPr>
          <w:rFonts w:ascii="Palatino Linotype" w:eastAsia="Palatino Linotype" w:hAnsi="Palatino Linotype" w:cs="Palatino Linotype"/>
          <w:sz w:val="22"/>
          <w:szCs w:val="22"/>
        </w:rPr>
      </w:pPr>
    </w:p>
    <w:p w:rsidR="0001015B" w:rsidRDefault="00DB587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01015B" w:rsidRDefault="0001015B">
      <w:pPr>
        <w:widowControl w:val="0"/>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92, que, es obligación de los Sujetos Obligados poner a disposición del público de manera permanente y actualizada la información sobre los procesos y resultados sobre procedimientos de adjudicación directa, invitación restringida y licitación de cualquier naturaleza, incluyendo la versión pública del expediente respectivo y de los contratos celebrados.</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Expuestas las posturas de las partes, se procede a realizar el análisis de los agravios hechos valer por el ahora Recurrente, conforme a lo siguiente:</w:t>
      </w:r>
    </w:p>
    <w:p w:rsidR="0001015B" w:rsidRDefault="0001015B">
      <w:pPr>
        <w:tabs>
          <w:tab w:val="left" w:pos="4962"/>
        </w:tabs>
        <w:spacing w:line="360" w:lineRule="auto"/>
        <w:jc w:val="both"/>
        <w:rPr>
          <w:rFonts w:ascii="Palatino Linotype" w:eastAsia="Palatino Linotype" w:hAnsi="Palatino Linotype" w:cs="Palatino Linotype"/>
          <w:sz w:val="22"/>
          <w:szCs w:val="22"/>
        </w:rPr>
      </w:pPr>
    </w:p>
    <w:p w:rsidR="0001015B" w:rsidRDefault="00DB5878">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Falta de trámite a la solicitud 00156/ACAMBAY/IP/2024</w:t>
      </w:r>
    </w:p>
    <w:p w:rsidR="0001015B" w:rsidRDefault="0001015B">
      <w:pPr>
        <w:tabs>
          <w:tab w:val="left" w:pos="4962"/>
        </w:tabs>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Cabe recordar que el Sujeto Obligado precisó que no se le daba curso a su solicitud, pues el Particular no había desahogado la aclaración requerida por el Sujeto Obligado.</w:t>
      </w:r>
    </w:p>
    <w:p w:rsidR="0001015B" w:rsidRDefault="0001015B">
      <w:pPr>
        <w:tabs>
          <w:tab w:val="left" w:pos="4962"/>
        </w:tabs>
        <w:spacing w:line="360" w:lineRule="auto"/>
        <w:ind w:right="-28"/>
        <w:jc w:val="both"/>
        <w:rPr>
          <w:rFonts w:ascii="Palatino Linotype" w:eastAsia="Palatino Linotype" w:hAnsi="Palatino Linotype" w:cs="Palatino Linotype"/>
          <w:sz w:val="22"/>
          <w:szCs w:val="22"/>
        </w:rPr>
      </w:pPr>
    </w:p>
    <w:p w:rsidR="0001015B" w:rsidRDefault="00DB5878">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el artículo 155, fracciones III y IV, de la Ley señalada, establece que, en una solicitud de acceso a la información pública, se debe precisar la descripción de la información solicitada y cualquier otro dato que facilite la búsqueda y localización de la información.</w:t>
      </w:r>
    </w:p>
    <w:p w:rsidR="0001015B" w:rsidRDefault="0001015B">
      <w:pPr>
        <w:tabs>
          <w:tab w:val="left" w:pos="4962"/>
        </w:tabs>
        <w:spacing w:line="360" w:lineRule="auto"/>
        <w:ind w:right="-28"/>
        <w:jc w:val="both"/>
        <w:rPr>
          <w:rFonts w:ascii="Palatino Linotype" w:eastAsia="Palatino Linotype" w:hAnsi="Palatino Linotype" w:cs="Palatino Linotype"/>
          <w:sz w:val="22"/>
          <w:szCs w:val="22"/>
        </w:rPr>
      </w:pPr>
    </w:p>
    <w:p w:rsidR="0001015B" w:rsidRDefault="00DB5878">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 artículo 159 de la Ley de la materia, precisa que cuando los detalles proporcionados para localizar los documentos resulten insuficientes, incompletos o erróneos, la Unidad de Transparencia podrá requerir al Solicitante, por una sola vez, dentro de los cinco días hábiles siguientes contados a partir de la presentación de la solicitud, para que en un término de hasta diez días hábiles, indique otros elementos que complementen, corrijan o amplíen los datos proporcionados o precise los requerimientos de información.</w:t>
      </w:r>
    </w:p>
    <w:p w:rsidR="0001015B" w:rsidRDefault="0001015B">
      <w:pPr>
        <w:tabs>
          <w:tab w:val="left" w:pos="4962"/>
        </w:tabs>
        <w:spacing w:line="360" w:lineRule="auto"/>
        <w:ind w:right="-28"/>
        <w:jc w:val="both"/>
        <w:rPr>
          <w:rFonts w:ascii="Palatino Linotype" w:eastAsia="Palatino Linotype" w:hAnsi="Palatino Linotype" w:cs="Palatino Linotype"/>
          <w:sz w:val="22"/>
          <w:szCs w:val="22"/>
        </w:rPr>
      </w:pPr>
    </w:p>
    <w:p w:rsidR="0001015B" w:rsidRDefault="00DB5878">
      <w:pPr>
        <w:tabs>
          <w:tab w:val="left" w:pos="4962"/>
        </w:tabs>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Así, la solicitud de información se tendrá por no presentada, cuando el Solicitante no atienda el requerimiento de información adicional y del requerimiento inicial no se aprecien los elementos que permitan identificar la información requerida.</w:t>
      </w:r>
    </w:p>
    <w:p w:rsidR="0001015B" w:rsidRDefault="0001015B">
      <w:pPr>
        <w:tabs>
          <w:tab w:val="left" w:pos="4962"/>
        </w:tabs>
        <w:spacing w:line="360" w:lineRule="auto"/>
        <w:ind w:right="-28"/>
        <w:jc w:val="both"/>
        <w:rPr>
          <w:rFonts w:ascii="Palatino Linotype" w:eastAsia="Palatino Linotype" w:hAnsi="Palatino Linotype" w:cs="Palatino Linotype"/>
          <w:b/>
          <w:sz w:val="22"/>
          <w:szCs w:val="22"/>
        </w:rPr>
      </w:pPr>
    </w:p>
    <w:p w:rsidR="0001015B" w:rsidRDefault="00DB587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otras palabras, cuando los Particulares no sean claros en la información peticionada, los Sujetos Obligados, tienen la posibilidad de solicitar información adicional, con el fin de esclarecer la solicitud y así dar una atención adecuada en esta; por lo cual se procede analizar si la solicitud de información del ahora Recurrente era clara para darle trámite.</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sz w:val="22"/>
          <w:szCs w:val="22"/>
        </w:rPr>
        <w:t xml:space="preserve">Sobre el tema, López Olvera, Miguel Alejandro </w:t>
      </w:r>
      <w:proofErr w:type="spellStart"/>
      <w:r>
        <w:rPr>
          <w:rFonts w:ascii="Palatino Linotype" w:eastAsia="Palatino Linotype" w:hAnsi="Palatino Linotype" w:cs="Palatino Linotype"/>
          <w:sz w:val="22"/>
          <w:szCs w:val="22"/>
        </w:rPr>
        <w:t>Cancino</w:t>
      </w:r>
      <w:proofErr w:type="spellEnd"/>
      <w:r>
        <w:rPr>
          <w:rFonts w:ascii="Palatino Linotype" w:eastAsia="Palatino Linotype" w:hAnsi="Palatino Linotype" w:cs="Palatino Linotype"/>
          <w:sz w:val="22"/>
          <w:szCs w:val="22"/>
        </w:rPr>
        <w:t xml:space="preserve"> Gómez, Rodolfo. (2020). “La Contratación Pública y el Sistema Nacional Anticorrupción”. (p. 4) la </w:t>
      </w:r>
      <w:r>
        <w:rPr>
          <w:rFonts w:ascii="Palatino Linotype" w:eastAsia="Palatino Linotype" w:hAnsi="Palatino Linotype" w:cs="Palatino Linotype"/>
          <w:b/>
          <w:sz w:val="22"/>
          <w:szCs w:val="22"/>
        </w:rPr>
        <w:t>contratación pública</w:t>
      </w:r>
      <w:r>
        <w:rPr>
          <w:rFonts w:ascii="Palatino Linotype" w:eastAsia="Palatino Linotype" w:hAnsi="Palatino Linotype" w:cs="Palatino Linotype"/>
          <w:sz w:val="22"/>
          <w:szCs w:val="22"/>
        </w:rPr>
        <w:t>,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otra parte, los artículos 1°, fracción III, y 4°de la Ley de la de Contratación Pública del Estado de México y Municipios, especifica que los Ayuntamientos serán los encargados de realizar los actos relativos a la planeación, programación, </w:t>
      </w:r>
      <w:proofErr w:type="spellStart"/>
      <w:r>
        <w:rPr>
          <w:rFonts w:ascii="Palatino Linotype" w:eastAsia="Palatino Linotype" w:hAnsi="Palatino Linotype" w:cs="Palatino Linotype"/>
          <w:sz w:val="22"/>
          <w:szCs w:val="22"/>
        </w:rPr>
        <w:t>presupuest</w:t>
      </w:r>
      <w:bookmarkStart w:id="3" w:name="_GoBack"/>
      <w:bookmarkEnd w:id="3"/>
      <w:r>
        <w:rPr>
          <w:rFonts w:ascii="Palatino Linotype" w:eastAsia="Palatino Linotype" w:hAnsi="Palatino Linotype" w:cs="Palatino Linotype"/>
          <w:sz w:val="22"/>
          <w:szCs w:val="22"/>
        </w:rPr>
        <w:t>ación</w:t>
      </w:r>
      <w:proofErr w:type="spellEnd"/>
      <w:r>
        <w:rPr>
          <w:rFonts w:ascii="Palatino Linotype" w:eastAsia="Palatino Linotype" w:hAnsi="Palatino Linotype" w:cs="Palatino Linotype"/>
          <w:sz w:val="22"/>
          <w:szCs w:val="22"/>
        </w:rPr>
        <w:t xml:space="preserve">, ejecución y control de la adquisición (bienes muebles e inmuebles), arrendamiento (bienes muebles e inmuebles), y la </w:t>
      </w:r>
      <w:r>
        <w:rPr>
          <w:rFonts w:ascii="Palatino Linotype" w:eastAsia="Palatino Linotype" w:hAnsi="Palatino Linotype" w:cs="Palatino Linotype"/>
          <w:b/>
          <w:sz w:val="22"/>
          <w:szCs w:val="22"/>
        </w:rPr>
        <w:t>contratación de servicios</w:t>
      </w:r>
      <w:r>
        <w:rPr>
          <w:rFonts w:ascii="Palatino Linotype" w:eastAsia="Palatino Linotype" w:hAnsi="Palatino Linotype" w:cs="Palatino Linotype"/>
          <w:sz w:val="22"/>
          <w:szCs w:val="22"/>
        </w:rPr>
        <w:t xml:space="preserve"> de cualquier naturaleza. </w:t>
      </w:r>
    </w:p>
    <w:p w:rsidR="0001015B" w:rsidRDefault="0001015B">
      <w:pPr>
        <w:spacing w:line="360" w:lineRule="auto"/>
        <w:jc w:val="both"/>
        <w:rPr>
          <w:rFonts w:ascii="Palatino Linotype" w:eastAsia="Palatino Linotype" w:hAnsi="Palatino Linotype" w:cs="Palatino Linotype"/>
          <w:sz w:val="22"/>
          <w:szCs w:val="22"/>
          <w:highlight w:val="magenta"/>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conforme a los artículos 26 y 27 de dicho ordenamiento jurídico, las adquisiciones, arrendamientos y </w:t>
      </w:r>
      <w:r>
        <w:rPr>
          <w:rFonts w:ascii="Palatino Linotype" w:eastAsia="Palatino Linotype" w:hAnsi="Palatino Linotype" w:cs="Palatino Linotype"/>
          <w:b/>
          <w:sz w:val="22"/>
          <w:szCs w:val="22"/>
        </w:rPr>
        <w:t>servicios</w:t>
      </w:r>
      <w:r>
        <w:rPr>
          <w:rFonts w:ascii="Palatino Linotype" w:eastAsia="Palatino Linotype" w:hAnsi="Palatino Linotype" w:cs="Palatino Linotype"/>
          <w:sz w:val="22"/>
          <w:szCs w:val="22"/>
        </w:rPr>
        <w:t>, se adjudicarán a través de procedimientos de licitación pública, invitación restringida y adjudicación directa.</w:t>
      </w:r>
    </w:p>
    <w:p w:rsidR="0001015B" w:rsidRDefault="0001015B">
      <w:pPr>
        <w:spacing w:line="360" w:lineRule="auto"/>
        <w:jc w:val="both"/>
        <w:rPr>
          <w:rFonts w:ascii="Palatino Linotype" w:eastAsia="Palatino Linotype" w:hAnsi="Palatino Linotype" w:cs="Palatino Linotype"/>
          <w:sz w:val="22"/>
          <w:szCs w:val="22"/>
          <w:highlight w:val="magenta"/>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conforme al artículo 65 de la Ley de Contratación Pública del Estado de México y Municipios, la adjudicación de un procedimiento de adquisición y arrendamiento de bienes y </w:t>
      </w:r>
      <w:r>
        <w:rPr>
          <w:rFonts w:ascii="Palatino Linotype" w:eastAsia="Palatino Linotype" w:hAnsi="Palatino Linotype" w:cs="Palatino Linotype"/>
          <w:b/>
          <w:sz w:val="22"/>
          <w:szCs w:val="22"/>
        </w:rPr>
        <w:t>contratación de servicios</w:t>
      </w:r>
      <w:r>
        <w:rPr>
          <w:rFonts w:ascii="Palatino Linotype" w:eastAsia="Palatino Linotype" w:hAnsi="Palatino Linotype" w:cs="Palatino Linotype"/>
          <w:sz w:val="22"/>
          <w:szCs w:val="22"/>
        </w:rPr>
        <w:t xml:space="preserve"> se realizará mediante la suscripción de </w:t>
      </w:r>
      <w:r>
        <w:rPr>
          <w:rFonts w:ascii="Palatino Linotype" w:eastAsia="Palatino Linotype" w:hAnsi="Palatino Linotype" w:cs="Palatino Linotype"/>
          <w:sz w:val="22"/>
          <w:szCs w:val="22"/>
        </w:rPr>
        <w:lastRenderedPageBreak/>
        <w:t>un contrato, entre el Ayuntamiento y la persona a la cual haya ganado el procedimiento respectivo, dentro de los diez días hábiles siguientes a la notificación del fallo.</w:t>
      </w:r>
    </w:p>
    <w:p w:rsidR="0001015B" w:rsidRDefault="0001015B">
      <w:pPr>
        <w:spacing w:line="360" w:lineRule="auto"/>
        <w:jc w:val="both"/>
        <w:rPr>
          <w:rFonts w:ascii="Palatino Linotype" w:eastAsia="Palatino Linotype" w:hAnsi="Palatino Linotype" w:cs="Palatino Linotype"/>
          <w:sz w:val="22"/>
          <w:szCs w:val="22"/>
          <w:highlight w:val="magenta"/>
        </w:rPr>
      </w:pPr>
    </w:p>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Ahora bien, conforme al artículo 120 del Reglamento de la Ley de Contratación Pública del Estado de México y Municipios, dichos actos jurídicos se conforman por diversos datos, entre los cuales, se encuentran los datos de identificación de las partes y del contrato, </w:t>
      </w:r>
      <w:r>
        <w:rPr>
          <w:rFonts w:ascii="Palatino Linotype" w:eastAsia="Palatino Linotype" w:hAnsi="Palatino Linotype" w:cs="Palatino Linotype"/>
          <w:b/>
          <w:sz w:val="22"/>
          <w:szCs w:val="22"/>
        </w:rPr>
        <w:t>así como el importe total.</w:t>
      </w:r>
    </w:p>
    <w:p w:rsidR="0001015B" w:rsidRDefault="0001015B">
      <w:pPr>
        <w:spacing w:line="360" w:lineRule="auto"/>
        <w:jc w:val="both"/>
        <w:rPr>
          <w:rFonts w:ascii="Palatino Linotype" w:eastAsia="Palatino Linotype" w:hAnsi="Palatino Linotype" w:cs="Palatino Linotype"/>
          <w:b/>
          <w:sz w:val="22"/>
          <w:szCs w:val="22"/>
          <w:highlight w:val="magenta"/>
        </w:rPr>
      </w:pPr>
    </w:p>
    <w:p w:rsidR="0001015B" w:rsidRDefault="00DB5878">
      <w:pPr>
        <w:spacing w:line="360" w:lineRule="auto"/>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color w:val="000000"/>
          <w:sz w:val="22"/>
          <w:szCs w:val="22"/>
          <w:highlight w:val="white"/>
        </w:rPr>
        <w:t xml:space="preserve">Así mismo, el artículo 70 fracción XXVIII, de la Ley General  de Transparencia y Acceso a la Información Pública y 92 fracción XXIX, de la Ley de Transparencia y Acceso a la Información Pública del Estado de México y Municipios, precisa que es </w:t>
      </w:r>
      <w:r>
        <w:rPr>
          <w:rFonts w:ascii="Palatino Linotype" w:eastAsia="Palatino Linotype" w:hAnsi="Palatino Linotype" w:cs="Palatino Linotype"/>
          <w:b/>
          <w:color w:val="000000"/>
          <w:sz w:val="22"/>
          <w:szCs w:val="22"/>
          <w:highlight w:val="white"/>
        </w:rPr>
        <w:t xml:space="preserve">información que es pública de oficio, </w:t>
      </w:r>
      <w:r>
        <w:rPr>
          <w:rFonts w:ascii="Palatino Linotype" w:eastAsia="Palatino Linotype" w:hAnsi="Palatino Linotype" w:cs="Palatino Linotype"/>
          <w:color w:val="000000"/>
          <w:sz w:val="22"/>
          <w:szCs w:val="22"/>
          <w:highlight w:val="white"/>
        </w:rPr>
        <w:t>la</w:t>
      </w:r>
      <w:r>
        <w:rPr>
          <w:rFonts w:ascii="Palatino Linotype" w:eastAsia="Palatino Linotype" w:hAnsi="Palatino Linotype" w:cs="Palatino Linotype"/>
          <w:b/>
          <w:color w:val="000000"/>
          <w:sz w:val="22"/>
          <w:szCs w:val="22"/>
          <w:highlight w:val="white"/>
        </w:rPr>
        <w:t xml:space="preserve"> </w:t>
      </w:r>
      <w:r>
        <w:rPr>
          <w:rFonts w:ascii="Palatino Linotype" w:eastAsia="Palatino Linotype" w:hAnsi="Palatino Linotype" w:cs="Palatino Linotype"/>
          <w:color w:val="000000"/>
          <w:sz w:val="22"/>
          <w:szCs w:val="22"/>
          <w:highlight w:val="white"/>
        </w:rPr>
        <w:t xml:space="preserve">información sobre los procesos y resultados sobre procedimientos de adjudicación directa, invitación restringida y licitación de cualquier naturaleza, </w:t>
      </w:r>
      <w:r>
        <w:rPr>
          <w:rFonts w:ascii="Palatino Linotype" w:eastAsia="Palatino Linotype" w:hAnsi="Palatino Linotype" w:cs="Palatino Linotype"/>
          <w:b/>
          <w:color w:val="000000"/>
          <w:sz w:val="22"/>
          <w:szCs w:val="22"/>
          <w:highlight w:val="white"/>
        </w:rPr>
        <w:t xml:space="preserve">que incluye la versión pública del expediente respectivo y de los contratos celebrados, </w:t>
      </w:r>
      <w:r>
        <w:rPr>
          <w:rFonts w:ascii="Palatino Linotype" w:eastAsia="Palatino Linotype" w:hAnsi="Palatino Linotype" w:cs="Palatino Linotype"/>
          <w:color w:val="000000"/>
          <w:sz w:val="22"/>
          <w:szCs w:val="22"/>
          <w:highlight w:val="white"/>
        </w:rPr>
        <w:t xml:space="preserve">y deberán contener por lo menos lo siguiente: </w:t>
      </w:r>
    </w:p>
    <w:p w:rsidR="0001015B" w:rsidRDefault="0001015B">
      <w:pPr>
        <w:spacing w:line="360" w:lineRule="auto"/>
        <w:jc w:val="both"/>
        <w:rPr>
          <w:rFonts w:ascii="Palatino Linotype" w:eastAsia="Palatino Linotype" w:hAnsi="Palatino Linotype" w:cs="Palatino Linotype"/>
          <w:color w:val="000000"/>
          <w:sz w:val="22"/>
          <w:szCs w:val="22"/>
          <w:highlight w:val="white"/>
        </w:rPr>
      </w:pPr>
    </w:p>
    <w:tbl>
      <w:tblPr>
        <w:tblStyle w:val="a"/>
        <w:tblW w:w="86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9"/>
        <w:gridCol w:w="2898"/>
        <w:gridCol w:w="2899"/>
      </w:tblGrid>
      <w:tr w:rsidR="0001015B">
        <w:trPr>
          <w:trHeight w:val="424"/>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Licitación Pública</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Invitación Restringida</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Adjudicación Directa</w:t>
            </w:r>
          </w:p>
        </w:tc>
      </w:tr>
      <w:tr w:rsidR="0001015B">
        <w:trPr>
          <w:trHeight w:val="863"/>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Convocatoria y fundamentos legales</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Invitación y fundamentos legales</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Propuesta enviada por el participante</w:t>
            </w:r>
          </w:p>
        </w:tc>
      </w:tr>
      <w:tr w:rsidR="0001015B">
        <w:trPr>
          <w:trHeight w:val="1302"/>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de los participantes</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de los invitados</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Motivos y fundamentos legales aplicados para llevar a cabo la adjudicación</w:t>
            </w:r>
          </w:p>
        </w:tc>
      </w:tr>
      <w:tr w:rsidR="0001015B">
        <w:trPr>
          <w:trHeight w:val="863"/>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del ganador y razones que lo justifican</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del ganador y razones que lo justifican</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Autorización del ejercicio de la opción</w:t>
            </w:r>
          </w:p>
        </w:tc>
      </w:tr>
      <w:tr w:rsidR="0001015B">
        <w:trPr>
          <w:trHeight w:val="1726"/>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La unidad administrativa solicitante y responsable de la ejecución</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unidad administrativa solicitante y responsable de la ejecución</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Cotizaciones consideradas, especificando el nombre de los proveedores y sus montos</w:t>
            </w:r>
          </w:p>
        </w:tc>
      </w:tr>
      <w:tr w:rsidR="0001015B">
        <w:trPr>
          <w:trHeight w:val="1302"/>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Convocatorias emitidas</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Invitaciones emitidas</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de la persona física o jurídica colectiva adjudicada</w:t>
            </w:r>
          </w:p>
        </w:tc>
      </w:tr>
      <w:tr w:rsidR="0001015B">
        <w:trPr>
          <w:trHeight w:val="1302"/>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Dictámenes y fallos</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Dictámenes y fallos</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unidad administrativa solicitante y responsable de la ejecución</w:t>
            </w:r>
          </w:p>
        </w:tc>
      </w:tr>
      <w:tr w:rsidR="0001015B">
        <w:trPr>
          <w:trHeight w:val="1726"/>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Contrato y anexos</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Contrato y anexos</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fecha, monto del contrato, el plazo de entrega o de ejecución de los servicios de obra.</w:t>
            </w:r>
          </w:p>
        </w:tc>
      </w:tr>
      <w:tr w:rsidR="0001015B">
        <w:trPr>
          <w:trHeight w:val="863"/>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mecanismos de vigilancia y supervisión</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mecanismos de vigilancia y supervisión</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mecanismos de vigilancia y supervisión</w:t>
            </w:r>
          </w:p>
        </w:tc>
      </w:tr>
      <w:tr w:rsidR="0001015B">
        <w:trPr>
          <w:trHeight w:val="863"/>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partida presupuestal</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partida presupuestal</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Informes de avances físicos y financieros</w:t>
            </w:r>
          </w:p>
        </w:tc>
      </w:tr>
      <w:tr w:rsidR="0001015B">
        <w:trPr>
          <w:trHeight w:val="863"/>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Origen de los recursos, así como el tipo de fondo de participación o aportación respectiva</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Origen de los recursos, así como el tipo de fondo de participación o aportación respectiva</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Convenio de terminación</w:t>
            </w:r>
          </w:p>
        </w:tc>
      </w:tr>
      <w:tr w:rsidR="0001015B">
        <w:trPr>
          <w:trHeight w:val="140"/>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Convenios modificatorios</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Convenios modificatorios</w:t>
            </w:r>
          </w:p>
        </w:tc>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Finiquito</w:t>
            </w:r>
          </w:p>
        </w:tc>
      </w:tr>
      <w:tr w:rsidR="0001015B">
        <w:trPr>
          <w:trHeight w:val="140"/>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Informes de avances físicos y financieros</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Informes de avances físicos y financieros</w:t>
            </w:r>
          </w:p>
        </w:tc>
        <w:tc>
          <w:tcPr>
            <w:tcW w:w="2899" w:type="dxa"/>
            <w:tcBorders>
              <w:top w:val="single" w:sz="4" w:space="0" w:color="000000"/>
              <w:left w:val="single" w:sz="4" w:space="0" w:color="000000"/>
              <w:bottom w:val="single" w:sz="4" w:space="0" w:color="000000"/>
              <w:right w:val="single" w:sz="4" w:space="0" w:color="000000"/>
            </w:tcBorders>
          </w:tcPr>
          <w:p w:rsidR="0001015B" w:rsidRDefault="0001015B">
            <w:pPr>
              <w:spacing w:line="360" w:lineRule="auto"/>
              <w:jc w:val="both"/>
              <w:rPr>
                <w:rFonts w:ascii="Palatino Linotype" w:eastAsia="Palatino Linotype" w:hAnsi="Palatino Linotype" w:cs="Palatino Linotype"/>
                <w:color w:val="000000"/>
                <w:sz w:val="22"/>
                <w:szCs w:val="22"/>
              </w:rPr>
            </w:pPr>
          </w:p>
        </w:tc>
      </w:tr>
      <w:tr w:rsidR="0001015B">
        <w:trPr>
          <w:trHeight w:val="140"/>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Convenio de terminación</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Convenio de terminación</w:t>
            </w:r>
          </w:p>
        </w:tc>
        <w:tc>
          <w:tcPr>
            <w:tcW w:w="2899" w:type="dxa"/>
            <w:tcBorders>
              <w:top w:val="single" w:sz="4" w:space="0" w:color="000000"/>
              <w:left w:val="single" w:sz="4" w:space="0" w:color="000000"/>
              <w:bottom w:val="single" w:sz="4" w:space="0" w:color="000000"/>
              <w:right w:val="single" w:sz="4" w:space="0" w:color="000000"/>
            </w:tcBorders>
          </w:tcPr>
          <w:p w:rsidR="0001015B" w:rsidRDefault="0001015B">
            <w:pPr>
              <w:shd w:val="clear" w:color="auto" w:fill="FFFFFF"/>
              <w:spacing w:line="360" w:lineRule="auto"/>
              <w:jc w:val="both"/>
              <w:rPr>
                <w:rFonts w:ascii="Palatino Linotype" w:eastAsia="Palatino Linotype" w:hAnsi="Palatino Linotype" w:cs="Palatino Linotype"/>
                <w:sz w:val="22"/>
                <w:szCs w:val="22"/>
              </w:rPr>
            </w:pPr>
          </w:p>
        </w:tc>
      </w:tr>
      <w:tr w:rsidR="0001015B">
        <w:trPr>
          <w:trHeight w:val="424"/>
        </w:trPr>
        <w:tc>
          <w:tcPr>
            <w:tcW w:w="2899" w:type="dxa"/>
            <w:tcBorders>
              <w:top w:val="single" w:sz="4" w:space="0" w:color="000000"/>
              <w:left w:val="single" w:sz="4" w:space="0" w:color="000000"/>
              <w:bottom w:val="single" w:sz="4" w:space="0" w:color="000000"/>
              <w:right w:val="single" w:sz="4" w:space="0" w:color="000000"/>
            </w:tcBorders>
          </w:tcPr>
          <w:p w:rsidR="0001015B" w:rsidRDefault="00DB5878">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Finiquito</w:t>
            </w:r>
          </w:p>
        </w:tc>
        <w:tc>
          <w:tcPr>
            <w:tcW w:w="2898" w:type="dxa"/>
            <w:tcBorders>
              <w:top w:val="single" w:sz="4" w:space="0" w:color="000000"/>
              <w:left w:val="single" w:sz="4" w:space="0" w:color="000000"/>
              <w:bottom w:val="single" w:sz="4" w:space="0" w:color="000000"/>
              <w:right w:val="single" w:sz="4" w:space="0" w:color="000000"/>
            </w:tcBorders>
          </w:tcPr>
          <w:p w:rsidR="0001015B" w:rsidRDefault="00DB5878">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Finiquito</w:t>
            </w:r>
          </w:p>
        </w:tc>
        <w:tc>
          <w:tcPr>
            <w:tcW w:w="2899" w:type="dxa"/>
            <w:tcBorders>
              <w:top w:val="single" w:sz="4" w:space="0" w:color="000000"/>
              <w:left w:val="single" w:sz="4" w:space="0" w:color="000000"/>
              <w:bottom w:val="single" w:sz="4" w:space="0" w:color="000000"/>
              <w:right w:val="single" w:sz="4" w:space="0" w:color="000000"/>
            </w:tcBorders>
          </w:tcPr>
          <w:p w:rsidR="0001015B" w:rsidRDefault="0001015B">
            <w:pPr>
              <w:shd w:val="clear" w:color="auto" w:fill="FFFFFF"/>
              <w:spacing w:line="360" w:lineRule="auto"/>
              <w:jc w:val="both"/>
              <w:rPr>
                <w:rFonts w:ascii="Palatino Linotype" w:eastAsia="Palatino Linotype" w:hAnsi="Palatino Linotype" w:cs="Palatino Linotype"/>
                <w:sz w:val="22"/>
                <w:szCs w:val="22"/>
              </w:rPr>
            </w:pPr>
          </w:p>
        </w:tc>
      </w:tr>
    </w:tbl>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respecto a lo solicitado, este Instituto localizó en la cuenta oficial de la Presidenta Municipal de </w:t>
      </w:r>
      <w:proofErr w:type="spellStart"/>
      <w:r>
        <w:rPr>
          <w:rFonts w:ascii="Palatino Linotype" w:eastAsia="Palatino Linotype" w:hAnsi="Palatino Linotype" w:cs="Palatino Linotype"/>
          <w:sz w:val="22"/>
          <w:szCs w:val="22"/>
        </w:rPr>
        <w:t>Acambay</w:t>
      </w:r>
      <w:proofErr w:type="spellEnd"/>
      <w:r>
        <w:rPr>
          <w:rFonts w:ascii="Palatino Linotype" w:eastAsia="Palatino Linotype" w:hAnsi="Palatino Linotype" w:cs="Palatino Linotype"/>
          <w:sz w:val="22"/>
          <w:szCs w:val="22"/>
        </w:rPr>
        <w:t xml:space="preserve"> de Ruiz Castañeda, que el diecinueve de agosto de dos mil veinticuatro, se entregaron uniformes al personal de Seguridad Pública y Protección Civil, tal como se muestra a continuación:</w:t>
      </w:r>
    </w:p>
    <w:p w:rsidR="0001015B" w:rsidRDefault="0001015B">
      <w:pPr>
        <w:spacing w:line="360" w:lineRule="auto"/>
        <w:jc w:val="both"/>
        <w:rPr>
          <w:rFonts w:ascii="Palatino Linotype" w:eastAsia="Palatino Linotype" w:hAnsi="Palatino Linotype" w:cs="Palatino Linotype"/>
          <w:sz w:val="22"/>
          <w:szCs w:val="22"/>
        </w:rPr>
      </w:pP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extent cx="3461216" cy="1717295"/>
            <wp:effectExtent l="0" t="0" r="0" b="0"/>
            <wp:docPr id="7769673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461216" cy="1717295"/>
                    </a:xfrm>
                    <a:prstGeom prst="rect">
                      <a:avLst/>
                    </a:prstGeom>
                    <a:ln/>
                  </pic:spPr>
                </pic:pic>
              </a:graphicData>
            </a:graphic>
          </wp:inline>
        </w:drawing>
      </w:r>
    </w:p>
    <w:p w:rsidR="0001015B" w:rsidRDefault="0001015B">
      <w:pPr>
        <w:spacing w:line="360" w:lineRule="auto"/>
        <w:jc w:val="center"/>
        <w:rPr>
          <w:rFonts w:ascii="Palatino Linotype" w:eastAsia="Palatino Linotype" w:hAnsi="Palatino Linotype" w:cs="Palatino Linotype"/>
          <w:sz w:val="22"/>
          <w:szCs w:val="22"/>
        </w:rPr>
      </w:pPr>
    </w:p>
    <w:p w:rsidR="0001015B" w:rsidRDefault="00DB5878">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extent cx="4143375" cy="2762250"/>
            <wp:effectExtent l="0" t="0" r="0" b="0"/>
            <wp:docPr id="7769673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4143375" cy="2762250"/>
                    </a:xfrm>
                    <a:prstGeom prst="rect">
                      <a:avLst/>
                    </a:prstGeom>
                    <a:ln/>
                  </pic:spPr>
                </pic:pic>
              </a:graphicData>
            </a:graphic>
          </wp:inline>
        </w:drawing>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Conforme a lo anterior, se logra vislumbrar que la pretensión de la parte Recurrente, es obtener los documentos que conformen el procedimiento de adquisición de uniformes para el personal de Seguridad Pública y Protección Civil ; por lo cual, se logra observar, por una parte, que el Solicitante, dio los elementos necesarios para atender el requerimiento de información </w:t>
      </w:r>
      <w:r>
        <w:rPr>
          <w:rFonts w:ascii="Palatino Linotype" w:eastAsia="Palatino Linotype" w:hAnsi="Palatino Linotype" w:cs="Palatino Linotype"/>
          <w:color w:val="000000"/>
          <w:sz w:val="22"/>
          <w:szCs w:val="22"/>
        </w:rPr>
        <w:t xml:space="preserve">y, por otra parte, que el Sujeto Obligado contaba con los datos elementales para dar trámite a la solicitud, lo cual da como resultado que el agravio sea </w:t>
      </w:r>
      <w:r>
        <w:rPr>
          <w:rFonts w:ascii="Palatino Linotype" w:eastAsia="Palatino Linotype" w:hAnsi="Palatino Linotype" w:cs="Palatino Linotype"/>
          <w:b/>
          <w:color w:val="000000"/>
          <w:sz w:val="22"/>
          <w:szCs w:val="22"/>
        </w:rPr>
        <w:t>FUNDADO.</w:t>
      </w:r>
    </w:p>
    <w:p w:rsidR="0001015B" w:rsidRDefault="00DB5878">
      <w:pPr>
        <w:widowControl w:val="0"/>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Clasificación de la información de las solicitudes 00153/ACAMBAY/IP/2024, 00154/ACAMBAY/IP/2024, 00156/ACAMBAY/IP/2024, 00159/ACAMBAY/IP/2024, 00166/ACAMBAY/IP/2024, y 00177/ACAMBAY/IP/2024</w:t>
      </w:r>
    </w:p>
    <w:p w:rsidR="0001015B" w:rsidRDefault="0001015B">
      <w:pPr>
        <w:widowControl w:val="0"/>
        <w:spacing w:line="360" w:lineRule="auto"/>
        <w:jc w:val="both"/>
        <w:rPr>
          <w:rFonts w:ascii="Palatino Linotype" w:eastAsia="Palatino Linotype" w:hAnsi="Palatino Linotype" w:cs="Palatino Linotype"/>
          <w:color w:val="000000"/>
          <w:sz w:val="22"/>
          <w:szCs w:val="22"/>
        </w:rPr>
      </w:pPr>
    </w:p>
    <w:p w:rsidR="0001015B" w:rsidRDefault="00DB5878">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Sobre el tema y en atención a lo analizado en párrafos anteriores, se logra vislumbrar que la pretensión del ahora Recurrente es obtener los documentos que conformaban los expedientes de los procedimientos de adquisición o prestación de servicios, de lo siguiente:</w:t>
      </w:r>
    </w:p>
    <w:p w:rsidR="0001015B" w:rsidRDefault="0001015B">
      <w:pPr>
        <w:widowControl w:val="0"/>
        <w:spacing w:line="360" w:lineRule="auto"/>
        <w:jc w:val="both"/>
        <w:rPr>
          <w:rFonts w:ascii="Palatino Linotype" w:eastAsia="Palatino Linotype" w:hAnsi="Palatino Linotype" w:cs="Palatino Linotype"/>
          <w:color w:val="000000"/>
          <w:sz w:val="22"/>
          <w:szCs w:val="22"/>
        </w:rPr>
      </w:pPr>
    </w:p>
    <w:p w:rsidR="0001015B" w:rsidRDefault="00DB5878">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Combustible para vehículos del Ayuntamiento y del Sistema Municipal para el Desarrollo Integral de la Familia, del primero de enero al nueve de octubre de dos mil veinticuatro;</w:t>
      </w:r>
    </w:p>
    <w:p w:rsidR="0001015B" w:rsidRDefault="00DB5878">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Servicio de disposición final de residuos sólidos, del primero de enero al nueve de octubre de dos mil veinticuatro;</w:t>
      </w:r>
    </w:p>
    <w:p w:rsidR="0001015B" w:rsidRDefault="00DB5878">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Uniformes para la Dirección de Seguridad Pública, y Dirección de Protección Civil, del primero de enero al diecisiete de octubre de dos mil veinticuatro, y</w:t>
      </w:r>
    </w:p>
    <w:p w:rsidR="0001015B" w:rsidRDefault="00DB5878">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Vehículos para la Dirección de Seguridad Pública y la Coordinación de Limpia, del primero de enero al treinta y uno de diciembre de dos mil veintitrés.</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se procede analizar la respuesta entregada, para lo cual cabe precisar que de las constancias que obran en el expediente, se logra advertir que el Sujeto Obligado turno la solicitud de información a la Dirección de Administración; por lo que, se colige que gestionó la solicitud de información, al área con atribuciones para conocer de lo peticionado, por lo que, se advierte que cumplió con el procedimiento de búsqueda establecido en el artículo 162 de la Ley de la materia.</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dicha área refirió que la información estaba reservada, en términos del artículo 140, fracción X, de la Ley de Transparencia y Acceso a la Información Pública del Estado de México y Municipios, situación que robusteció con el Acta de la Décima Segunda Sesión Extraordinaria del Comité de Transparencia, por la que se confirma la clasificación como reservada de los procedimientos de adquisición solicitados, al encontrarse en proceso de transición de entrega-recepción. </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Sobre el tema, cabe precisar, que conforme al artículo 20 de la Ley de Transparencia y Acceso a la Información Pública del Estado de México y Municipios, </w:t>
      </w:r>
      <w:r>
        <w:rPr>
          <w:rFonts w:ascii="Palatino Linotype" w:eastAsia="Palatino Linotype" w:hAnsi="Palatino Linotype" w:cs="Palatino Linotype"/>
          <w:b/>
          <w:sz w:val="22"/>
          <w:szCs w:val="22"/>
        </w:rPr>
        <w:t>ante la negativa de acceso a la información o su inexistencia, el sujeto obligado deberá demostrar que encuentra en alguna de las excepciones establecidas en la normatividad aplicable.</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según Trujillo, Humberto (2019), en el “Diccionario de Transparencia y Acceso a la Información Pública” (p. 201), </w:t>
      </w:r>
      <w:r>
        <w:rPr>
          <w:rFonts w:ascii="Palatino Linotype" w:eastAsia="Palatino Linotype" w:hAnsi="Palatino Linotype" w:cs="Palatino Linotype"/>
          <w:b/>
          <w:sz w:val="22"/>
          <w:szCs w:val="22"/>
        </w:rPr>
        <w:t xml:space="preserve">la negativa de acceso a la información </w:t>
      </w:r>
      <w:r>
        <w:rPr>
          <w:rFonts w:ascii="Palatino Linotype" w:eastAsia="Palatino Linotype" w:hAnsi="Palatino Linotype" w:cs="Palatino Linotype"/>
          <w:sz w:val="22"/>
          <w:szCs w:val="22"/>
        </w:rPr>
        <w:t xml:space="preserve">ocurre cuanto de manera fundada y motivada, una autoridad la niega o la limita, por alguna de las siguientes razones: </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numPr>
          <w:ilvl w:val="0"/>
          <w:numId w:val="7"/>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La inexistencia de la información (p. 171): </w:t>
      </w:r>
      <w:r>
        <w:rPr>
          <w:rFonts w:ascii="Palatino Linotype" w:eastAsia="Palatino Linotype" w:hAnsi="Palatino Linotype" w:cs="Palatino Linotype"/>
          <w:sz w:val="22"/>
          <w:szCs w:val="22"/>
        </w:rPr>
        <w:t>Sucede cuando la información solicitada no se encuentra en los archivos públicos o clasificados, de los entes sujetos a las Leyes de Transparencia.</w:t>
      </w:r>
    </w:p>
    <w:p w:rsidR="0001015B" w:rsidRDefault="00DB5878">
      <w:pPr>
        <w:numPr>
          <w:ilvl w:val="0"/>
          <w:numId w:val="7"/>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La incompetencia del Sujeto Obligado (p. 171): </w:t>
      </w:r>
      <w:r>
        <w:rPr>
          <w:rFonts w:ascii="Palatino Linotype" w:eastAsia="Palatino Linotype" w:hAnsi="Palatino Linotype" w:cs="Palatino Linotype"/>
          <w:sz w:val="22"/>
          <w:szCs w:val="22"/>
        </w:rPr>
        <w:t>Ocurre cuando el Sujeto Obligado carece de atribuciones para poseer la información peticionada.</w:t>
      </w:r>
    </w:p>
    <w:p w:rsidR="0001015B" w:rsidRDefault="00DB5878">
      <w:pPr>
        <w:numPr>
          <w:ilvl w:val="0"/>
          <w:numId w:val="7"/>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La clasificación de la información (p. 70): </w:t>
      </w:r>
      <w:r>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orden de ideas y en atención a lo anterior, es de señalar que las excepciones al derecho de acceso a la información, consisten en que la documentación sea inexistente, </w:t>
      </w:r>
      <w:r>
        <w:rPr>
          <w:rFonts w:ascii="Palatino Linotype" w:eastAsia="Palatino Linotype" w:hAnsi="Palatino Linotype" w:cs="Palatino Linotype"/>
          <w:b/>
          <w:color w:val="000000"/>
          <w:sz w:val="22"/>
          <w:szCs w:val="22"/>
        </w:rPr>
        <w:t>se encuentre clasificada</w:t>
      </w:r>
      <w:r>
        <w:rPr>
          <w:rFonts w:ascii="Palatino Linotype" w:eastAsia="Palatino Linotype" w:hAnsi="Palatino Linotype" w:cs="Palatino Linotype"/>
          <w:color w:val="000000"/>
          <w:sz w:val="22"/>
          <w:szCs w:val="22"/>
        </w:rPr>
        <w:t xml:space="preserve">, o bien, el Sujeto Obligado sea incompetente para contar con esta; esto es, la negativa de acceso a la información, recae cuando la documentación no se encuentre en los </w:t>
      </w:r>
      <w:r>
        <w:rPr>
          <w:rFonts w:ascii="Palatino Linotype" w:eastAsia="Palatino Linotype" w:hAnsi="Palatino Linotype" w:cs="Palatino Linotype"/>
          <w:color w:val="000000"/>
          <w:sz w:val="22"/>
          <w:szCs w:val="22"/>
        </w:rPr>
        <w:lastRenderedPageBreak/>
        <w:t xml:space="preserve">archivos del sujeto obligado, o bien exista, pero no pueda proporcionarse por contener datos </w:t>
      </w:r>
      <w:r>
        <w:rPr>
          <w:rFonts w:ascii="Palatino Linotype" w:eastAsia="Palatino Linotype" w:hAnsi="Palatino Linotype" w:cs="Palatino Linotype"/>
          <w:b/>
          <w:color w:val="000000"/>
          <w:sz w:val="22"/>
          <w:szCs w:val="22"/>
        </w:rPr>
        <w:t>confidenciales o reservados.</w:t>
      </w:r>
    </w:p>
    <w:p w:rsidR="0001015B" w:rsidRDefault="0001015B">
      <w:pPr>
        <w:spacing w:line="360" w:lineRule="auto"/>
        <w:jc w:val="both"/>
        <w:rPr>
          <w:rFonts w:ascii="Palatino Linotype" w:eastAsia="Palatino Linotype" w:hAnsi="Palatino Linotype" w:cs="Palatino Linotype"/>
          <w:b/>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en los artículos 122, 128 y 130 de la Ley Transparencia y Acceso a la Información Pública del Estado de México y Municipios, se prevé que </w:t>
      </w:r>
      <w:r>
        <w:rPr>
          <w:rFonts w:ascii="Palatino Linotype" w:eastAsia="Palatino Linotype" w:hAnsi="Palatino Linotype" w:cs="Palatino Linotype"/>
          <w:b/>
          <w:color w:val="000000"/>
          <w:sz w:val="22"/>
          <w:szCs w:val="22"/>
        </w:rPr>
        <w:t xml:space="preserve">la clasificación </w:t>
      </w:r>
      <w:r>
        <w:rPr>
          <w:rFonts w:ascii="Palatino Linotype" w:eastAsia="Palatino Linotype" w:hAnsi="Palatino Linotype" w:cs="Palatino Linotype"/>
          <w:color w:val="000000"/>
          <w:sz w:val="22"/>
          <w:szCs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cual, en los casos en que se niegue el acceso a la información, por actualizarse alguno de los supuestos de clasificación, </w:t>
      </w:r>
      <w:r>
        <w:rPr>
          <w:rFonts w:ascii="Palatino Linotype" w:eastAsia="Palatino Linotype" w:hAnsi="Palatino Linotype" w:cs="Palatino Linotype"/>
          <w:b/>
          <w:color w:val="000000"/>
          <w:sz w:val="22"/>
          <w:szCs w:val="22"/>
        </w:rPr>
        <w:t xml:space="preserve">el Comité de Transparencia deberá confirmar, modificar o revocar la decisión; </w:t>
      </w:r>
      <w:r>
        <w:rPr>
          <w:rFonts w:ascii="Palatino Linotype" w:eastAsia="Palatino Linotype" w:hAnsi="Palatino Linotype" w:cs="Palatino Linotype"/>
          <w:color w:val="000000"/>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Por su parte, según </w:t>
      </w:r>
      <w:proofErr w:type="spellStart"/>
      <w:r>
        <w:rPr>
          <w:rFonts w:ascii="Palatino Linotype" w:eastAsia="Palatino Linotype" w:hAnsi="Palatino Linotype" w:cs="Palatino Linotype"/>
          <w:color w:val="000000"/>
          <w:sz w:val="22"/>
          <w:szCs w:val="22"/>
        </w:rPr>
        <w:t>Bonifaz</w:t>
      </w:r>
      <w:proofErr w:type="spellEnd"/>
      <w:r>
        <w:rPr>
          <w:rFonts w:ascii="Palatino Linotype" w:eastAsia="Palatino Linotype" w:hAnsi="Palatino Linotype" w:cs="Palatino Linotype"/>
          <w:color w:val="000000"/>
          <w:sz w:val="22"/>
          <w:szCs w:val="22"/>
        </w:rPr>
        <w:t xml:space="preserve">, Leticia (2016), en la “Ley General de Transparencia y Acceso a la Información Pública Comentada” (p. 342), la </w:t>
      </w:r>
      <w:r>
        <w:rPr>
          <w:rFonts w:ascii="Palatino Linotype" w:eastAsia="Palatino Linotype" w:hAnsi="Palatino Linotype" w:cs="Palatino Linotype"/>
          <w:b/>
          <w:color w:val="000000"/>
          <w:sz w:val="22"/>
          <w:szCs w:val="22"/>
        </w:rPr>
        <w:t>clasificación de la información</w:t>
      </w:r>
      <w:r>
        <w:rPr>
          <w:rFonts w:ascii="Palatino Linotype" w:eastAsia="Palatino Linotype" w:hAnsi="Palatino Linotype" w:cs="Palatino Linotype"/>
          <w:color w:val="000000"/>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Pr>
          <w:rFonts w:ascii="Palatino Linotype" w:eastAsia="Palatino Linotype" w:hAnsi="Palatino Linotype" w:cs="Palatino Linotype"/>
          <w:b/>
          <w:color w:val="000000"/>
          <w:sz w:val="22"/>
          <w:szCs w:val="22"/>
        </w:rPr>
        <w:t>de manera adecuada la negativa de información.</w:t>
      </w:r>
    </w:p>
    <w:p w:rsidR="0001015B" w:rsidRDefault="0001015B">
      <w:pPr>
        <w:spacing w:line="360" w:lineRule="auto"/>
        <w:jc w:val="both"/>
        <w:rPr>
          <w:rFonts w:ascii="Palatino Linotype" w:eastAsia="Palatino Linotype" w:hAnsi="Palatino Linotype" w:cs="Palatino Linotype"/>
          <w:b/>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Conforme a lo anterior, en el presente caso la Dirección de Administración, señaló que la información no podía ser proporcionada al ser reservada, por lo que se negó el acceso a la información peticionada por la persona Recurrente, al considerar que estaba clasificada; tan es así, que consideró que actualizaba la causal de reserva establecida en el artículo 140, fracción X, de la Ley de Transparencia y Acceso a la Información Pública del Estado de México y Municipios.  </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Pr>
          <w:rFonts w:ascii="Palatino Linotype" w:eastAsia="Palatino Linotype" w:hAnsi="Palatino Linotype" w:cs="Palatino Linotype"/>
          <w:b/>
          <w:color w:val="000000"/>
          <w:sz w:val="22"/>
          <w:szCs w:val="22"/>
        </w:rPr>
        <w:t>análisis caso por caso.</w:t>
      </w:r>
    </w:p>
    <w:p w:rsidR="0001015B" w:rsidRDefault="0001015B">
      <w:pPr>
        <w:spacing w:line="360" w:lineRule="auto"/>
        <w:jc w:val="both"/>
        <w:rPr>
          <w:rFonts w:ascii="Palatino Linotype" w:eastAsia="Palatino Linotype" w:hAnsi="Palatino Linotype" w:cs="Palatino Linotype"/>
          <w:b/>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el artículo 131 de la Ley referida, así como el Quinto de los Lineamientos Generales, establecen que los sujetos obligados </w:t>
      </w:r>
      <w:r>
        <w:rPr>
          <w:rFonts w:ascii="Palatino Linotype" w:eastAsia="Palatino Linotype" w:hAnsi="Palatino Linotype" w:cs="Palatino Linotype"/>
          <w:b/>
          <w:color w:val="000000"/>
          <w:sz w:val="22"/>
          <w:szCs w:val="22"/>
        </w:rPr>
        <w:t>deberán fundar y motivar</w:t>
      </w:r>
      <w:r>
        <w:rPr>
          <w:rFonts w:ascii="Palatino Linotype" w:eastAsia="Palatino Linotype" w:hAnsi="Palatino Linotype" w:cs="Palatino Linotype"/>
          <w:color w:val="000000"/>
          <w:sz w:val="22"/>
          <w:szCs w:val="22"/>
        </w:rPr>
        <w:t xml:space="preserve"> debidamente la clasificación de la información.</w:t>
      </w:r>
    </w:p>
    <w:p w:rsidR="0001015B" w:rsidRDefault="0001015B">
      <w:pPr>
        <w:spacing w:line="360" w:lineRule="auto"/>
        <w:jc w:val="both"/>
        <w:rPr>
          <w:rFonts w:ascii="Palatino Linotype" w:eastAsia="Palatino Linotype" w:hAnsi="Palatino Linotype" w:cs="Palatino Linotype"/>
          <w:b/>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el Octavo de los Lineamientos Generales, precisa lo siguiente:</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numPr>
          <w:ilvl w:val="0"/>
          <w:numId w:val="8"/>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Para fundar la clasificación</w:t>
      </w:r>
      <w:r>
        <w:rPr>
          <w:rFonts w:ascii="Palatino Linotype" w:eastAsia="Palatino Linotype" w:hAnsi="Palatino Linotype" w:cs="Palatino Linotype"/>
          <w:color w:val="000000"/>
          <w:sz w:val="22"/>
          <w:szCs w:val="22"/>
        </w:rPr>
        <w:t xml:space="preserve"> de la información se deberán señalar el artículo, fracción, inciso, párrafo o numeral de la Ley aplicable;</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numPr>
          <w:ilvl w:val="0"/>
          <w:numId w:val="8"/>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Para motivar la clasificación</w:t>
      </w:r>
      <w:r>
        <w:rPr>
          <w:rFonts w:ascii="Palatino Linotype" w:eastAsia="Palatino Linotype" w:hAnsi="Palatino Linotype" w:cs="Palatino Linotype"/>
          <w:color w:val="000000"/>
          <w:sz w:val="22"/>
          <w:szCs w:val="22"/>
        </w:rPr>
        <w:t xml:space="preserve"> se deberán indicar las razones y circunstancias especiales que lo llevaron a concluir que el caso particular se ajusta al supuesto </w:t>
      </w:r>
      <w:r>
        <w:rPr>
          <w:rFonts w:ascii="Palatino Linotype" w:eastAsia="Palatino Linotype" w:hAnsi="Palatino Linotype" w:cs="Palatino Linotype"/>
          <w:color w:val="000000"/>
          <w:sz w:val="22"/>
          <w:szCs w:val="22"/>
        </w:rPr>
        <w:lastRenderedPageBreak/>
        <w:t>previsto por la norma legal invocada; la cual, en el caso de que se trate de información reservada, la motivación, deberá comprender las circunstancias que justifican el establecimiento de un determinado plazo de reserva.</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rsidR="0001015B" w:rsidRDefault="0001015B">
      <w:pPr>
        <w:spacing w:line="360" w:lineRule="auto"/>
        <w:jc w:val="both"/>
        <w:rPr>
          <w:rFonts w:ascii="Palatino Linotype" w:eastAsia="Palatino Linotype" w:hAnsi="Palatino Linotype" w:cs="Palatino Linotype"/>
          <w:color w:val="000000"/>
        </w:rPr>
      </w:pPr>
    </w:p>
    <w:p w:rsidR="0001015B" w:rsidRDefault="00DB5878">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“FUNDAMENTACION Y MOTIVACION, CONCEPTO DE. </w:t>
      </w:r>
      <w:r>
        <w:rPr>
          <w:rFonts w:ascii="Palatino Linotype" w:eastAsia="Palatino Linotype" w:hAnsi="Palatino Linotype" w:cs="Palatino Linotype"/>
          <w:i/>
          <w:color w:val="00000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Conforme a lo anterior, se advierte lo siguiente:</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numPr>
          <w:ilvl w:val="0"/>
          <w:numId w:val="9"/>
        </w:num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Fundamentación: </w:t>
      </w:r>
      <w:r>
        <w:rPr>
          <w:rFonts w:ascii="Palatino Linotype" w:eastAsia="Palatino Linotype" w:hAnsi="Palatino Linotype" w:cs="Palatino Linotype"/>
          <w:color w:val="000000"/>
          <w:sz w:val="22"/>
          <w:szCs w:val="22"/>
        </w:rPr>
        <w:t>Obligación de la autoridad que emite un acto, para citar los preceptos legales, sustantivos y adjetivos, en que se apoye para la determinación tomada.</w:t>
      </w:r>
    </w:p>
    <w:p w:rsidR="0001015B" w:rsidRDefault="00DB5878">
      <w:pPr>
        <w:numPr>
          <w:ilvl w:val="0"/>
          <w:numId w:val="9"/>
        </w:num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Motivación: </w:t>
      </w:r>
      <w:r>
        <w:rPr>
          <w:rFonts w:ascii="Palatino Linotype" w:eastAsia="Palatino Linotype" w:hAnsi="Palatino Linotype" w:cs="Palatino Linotype"/>
          <w:color w:val="000000"/>
          <w:sz w:val="22"/>
          <w:szCs w:val="22"/>
        </w:rPr>
        <w:t>Razonamientos lógico-jurídicos sobre porque se consideró en el caso en concreto, que se ajusta a la hipótesis normativa.</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orden de ideas, el Trigésimo tercero de los Lineamientos Generales establece la forma en que se debe fundamentar y motivar la reserva de la información, es decir, a través de los siguientes pasos:</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rsidR="0001015B" w:rsidRDefault="00DB587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deberá demostrar que la publicidad de la información generaría un riesgo de perjuicio, que rebasa el interés público;</w:t>
      </w:r>
    </w:p>
    <w:p w:rsidR="0001015B" w:rsidRDefault="00DB587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acreditará el vínculo entre la difusión de la información y la afectación del interés jurídico tutelado;</w:t>
      </w:r>
    </w:p>
    <w:p w:rsidR="0001015B" w:rsidRDefault="00DB587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precisará las razones objetivas por las que la apertura de la información generaría una afectación, por medio del riesgo real, demostrable e identificable;</w:t>
      </w:r>
    </w:p>
    <w:p w:rsidR="0001015B" w:rsidRDefault="00DB587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deberán señalar las circunstancias de modo, tiempo y lugar del daño, y</w:t>
      </w:r>
    </w:p>
    <w:p w:rsidR="0001015B" w:rsidRDefault="00DB587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elegirá la opción de excepción al acceso a la información que menos restrinja, la cual será adecuada y proporcional para la protección del interés público.</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lo anterior, de las formalidades previstas por la Ley de la Materia y de los Lineamientos Generales, así como del análisis de las constancias se logra advertir que el Sujeto Obligado si bien fundamentó la clasificación, lo cierto es que no motivó la misma, por las siguientes consideraciones:</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numPr>
          <w:ilvl w:val="0"/>
          <w:numId w:val="1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Ente Recurrido no señalo las razones objetivas, concretas y específicas por las cuales la apertura de la información generaría una afectación que rebase el interés público, pues únicamente refirió que la información causaría afectación a los procesos de entrega-recepción por el cambio de administración.</w:t>
      </w:r>
    </w:p>
    <w:p w:rsidR="0001015B" w:rsidRDefault="0001015B">
      <w:pPr>
        <w:spacing w:line="360" w:lineRule="auto"/>
        <w:ind w:left="720"/>
        <w:jc w:val="both"/>
        <w:rPr>
          <w:rFonts w:ascii="Palatino Linotype" w:eastAsia="Palatino Linotype" w:hAnsi="Palatino Linotype" w:cs="Palatino Linotype"/>
          <w:sz w:val="22"/>
          <w:szCs w:val="22"/>
        </w:rPr>
      </w:pPr>
    </w:p>
    <w:p w:rsidR="0001015B" w:rsidRDefault="00DB5878">
      <w:pPr>
        <w:numPr>
          <w:ilvl w:val="0"/>
          <w:numId w:val="1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acreditó el vínculo entre la información peticionada y la afectación que podría ocasionar la entrega de la información.</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numPr>
          <w:ilvl w:val="0"/>
          <w:numId w:val="1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Omitió señalar, las circunstancias de tiempo, modo y lugar del daño que produciría entregar la información peticionada, pues únicamente señaló que se estaban realizando los procesos de entrega-recepción.</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numPr>
          <w:ilvl w:val="0"/>
          <w:numId w:val="1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establecieron las razones, por las cuales la reserva era el medio menos restrictivo, para la protección del interés jurídico.</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se logra inferir que el Ente Recurrido, no fundamentó y motivó la reserva, pues no realizó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por lo que el agravio hecho valer por la parte Recurrente deviene de </w:t>
      </w:r>
      <w:r>
        <w:rPr>
          <w:rFonts w:ascii="Palatino Linotype" w:eastAsia="Palatino Linotype" w:hAnsi="Palatino Linotype" w:cs="Palatino Linotype"/>
          <w:b/>
          <w:sz w:val="22"/>
          <w:szCs w:val="22"/>
        </w:rPr>
        <w:t xml:space="preserve">FUNDADO. </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Ahora bien, sin menospreciar lo anterior, este Instituto procederá al análisis de la causal de reserva aludida por el Sujeto Obligado; para lo cual, es de señalar que se debe realizar una evaluación, caso por caso, a través de una prueba de daño, tomando como referencia, el principio de máxima publicidad y el interés público de dar a conocer la información requerida.</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respecto a los conceptos señalados,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numPr>
          <w:ilvl w:val="0"/>
          <w:numId w:val="12"/>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Principio de Máxima Publicidad: </w:t>
      </w:r>
      <w:r>
        <w:rPr>
          <w:rFonts w:ascii="Palatino Linotype" w:eastAsia="Palatino Linotype" w:hAnsi="Palatino Linotype" w:cs="Palatino Linotype"/>
          <w:sz w:val="22"/>
          <w:szCs w:val="22"/>
        </w:rPr>
        <w:t>Precisa que toda la información en posesión de los entes sujetos a las Leyes de Transparencia, es pública, completa, oportuna y accesible, sujeta a un claro régimen de excepciones.</w:t>
      </w:r>
    </w:p>
    <w:p w:rsidR="0001015B" w:rsidRDefault="0001015B">
      <w:pPr>
        <w:spacing w:line="360" w:lineRule="auto"/>
        <w:ind w:left="720"/>
        <w:jc w:val="both"/>
        <w:rPr>
          <w:rFonts w:ascii="Palatino Linotype" w:eastAsia="Palatino Linotype" w:hAnsi="Palatino Linotype" w:cs="Palatino Linotype"/>
          <w:b/>
          <w:sz w:val="22"/>
          <w:szCs w:val="22"/>
        </w:rPr>
      </w:pPr>
    </w:p>
    <w:p w:rsidR="0001015B" w:rsidRDefault="00DB5878">
      <w:pPr>
        <w:numPr>
          <w:ilvl w:val="0"/>
          <w:numId w:val="12"/>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Información de Interés Público: </w:t>
      </w:r>
      <w:r>
        <w:rPr>
          <w:rFonts w:ascii="Palatino Linotype" w:eastAsia="Palatino Linotype" w:hAnsi="Palatino Linotype" w:cs="Palatino Linotype"/>
          <w:sz w:val="22"/>
          <w:szCs w:val="22"/>
        </w:rPr>
        <w:t>Es aquella que resulta relevante o beneficiosa para la sociedad y no simplemente de interés individual, cuya divulgación resulta útil para que el público comprenda las actividades que llevan a cabo los sujetos obligados.</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el análisis de la reserva de la información, será realizado tomando en consideración, el interés público que existe para entregar la información solicitada, con el fin dar cumplimiento cabal, al principio máxima publicidad; cabe señalar que si bien el Sujeto Obligado aludió a la causal de reserva, establecida en el artículo 140, fracción X, de la Ley de la materia, por lo tanto se procede a su análisis.</w:t>
      </w:r>
    </w:p>
    <w:p w:rsidR="0001015B" w:rsidRDefault="0001015B">
      <w:pPr>
        <w:tabs>
          <w:tab w:val="left" w:pos="4962"/>
        </w:tabs>
        <w:spacing w:line="360" w:lineRule="auto"/>
        <w:ind w:right="-28"/>
        <w:jc w:val="both"/>
        <w:rPr>
          <w:rFonts w:ascii="Palatino Linotype" w:eastAsia="Palatino Linotype" w:hAnsi="Palatino Linotype" w:cs="Palatino Linotype"/>
          <w:sz w:val="22"/>
          <w:szCs w:val="22"/>
        </w:rPr>
      </w:pPr>
    </w:p>
    <w:p w:rsidR="0001015B" w:rsidRDefault="00DB587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tema, el artículo 140, fracción X, de la Ley de Transparencia y Acceso a la Información Pública del Estado de México y Municipios, (homólogo del artículo 113, fracción X de la Ley General de Transparencia y Acceso a la Información Pública), prevé lo siguiente:</w:t>
      </w:r>
    </w:p>
    <w:p w:rsidR="0001015B" w:rsidRDefault="0001015B">
      <w:pPr>
        <w:spacing w:line="360" w:lineRule="auto"/>
        <w:ind w:right="-93"/>
        <w:jc w:val="both"/>
        <w:rPr>
          <w:rFonts w:ascii="Palatino Linotype" w:eastAsia="Palatino Linotype" w:hAnsi="Palatino Linotype" w:cs="Palatino Linotype"/>
        </w:rPr>
      </w:pPr>
    </w:p>
    <w:p w:rsidR="0001015B" w:rsidRDefault="00DB5878">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w:t>
      </w:r>
    </w:p>
    <w:p w:rsidR="0001015B" w:rsidRDefault="00DB5878">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01015B" w:rsidRDefault="00DB5878">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rsidR="0001015B" w:rsidRDefault="0001015B">
      <w:pPr>
        <w:tabs>
          <w:tab w:val="left" w:pos="4962"/>
        </w:tabs>
        <w:spacing w:line="360" w:lineRule="auto"/>
        <w:ind w:left="567" w:right="567"/>
        <w:jc w:val="both"/>
        <w:rPr>
          <w:rFonts w:ascii="Palatino Linotype" w:eastAsia="Palatino Linotype" w:hAnsi="Palatino Linotype" w:cs="Palatino Linotype"/>
          <w:i/>
        </w:rPr>
      </w:pPr>
    </w:p>
    <w:p w:rsidR="0001015B" w:rsidRDefault="00DB5878">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rsidR="0001015B" w:rsidRDefault="0001015B">
      <w:pPr>
        <w:spacing w:line="360" w:lineRule="auto"/>
        <w:ind w:right="-93"/>
        <w:jc w:val="both"/>
        <w:rPr>
          <w:rFonts w:ascii="Palatino Linotype" w:eastAsia="Palatino Linotype" w:hAnsi="Palatino Linotype" w:cs="Palatino Linotype"/>
          <w:i/>
          <w:sz w:val="22"/>
          <w:szCs w:val="22"/>
        </w:rPr>
      </w:pPr>
    </w:p>
    <w:p w:rsidR="0001015B" w:rsidRDefault="00DB5878">
      <w:pPr>
        <w:spacing w:line="360" w:lineRule="auto"/>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Ahora bien, los Lineamientos Generales, prevén lo siguiente:</w:t>
      </w:r>
    </w:p>
    <w:p w:rsidR="0001015B" w:rsidRDefault="0001015B">
      <w:pPr>
        <w:spacing w:line="360" w:lineRule="auto"/>
        <w:rPr>
          <w:rFonts w:ascii="Palatino Linotype" w:eastAsia="Palatino Linotype" w:hAnsi="Palatino Linotype" w:cs="Palatino Linotype"/>
          <w:i/>
          <w:color w:val="0D0D0D"/>
        </w:rPr>
      </w:pPr>
    </w:p>
    <w:p w:rsidR="0001015B" w:rsidRDefault="00DB5878">
      <w:pPr>
        <w:spacing w:line="360" w:lineRule="auto"/>
        <w:ind w:left="567" w:right="567"/>
        <w:rPr>
          <w:rFonts w:ascii="Palatino Linotype" w:eastAsia="Palatino Linotype" w:hAnsi="Palatino Linotype" w:cs="Palatino Linotype"/>
          <w:i/>
          <w:color w:val="0D0D0D"/>
        </w:rPr>
      </w:pPr>
      <w:r>
        <w:rPr>
          <w:rFonts w:ascii="Palatino Linotype" w:eastAsia="Palatino Linotype" w:hAnsi="Palatino Linotype" w:cs="Palatino Linotype"/>
          <w:i/>
          <w:color w:val="0D0D0D"/>
        </w:rPr>
        <w:t>“</w:t>
      </w:r>
      <w:r>
        <w:rPr>
          <w:rFonts w:ascii="Palatino Linotype" w:eastAsia="Palatino Linotype" w:hAnsi="Palatino Linotype" w:cs="Palatino Linotype"/>
          <w:b/>
          <w:i/>
          <w:color w:val="0D0D0D"/>
        </w:rPr>
        <w:t>Vigésimo noveno.</w:t>
      </w:r>
      <w:r>
        <w:rPr>
          <w:rFonts w:ascii="Palatino Linotype" w:eastAsia="Palatino Linotype" w:hAnsi="Palatino Linotype" w:cs="Palatino Linotype"/>
          <w:i/>
          <w:color w:val="0D0D0D"/>
        </w:rPr>
        <w:t xml:space="preserve"> De conformidad con el artículo 113, fracción X de la Ley General, podrá considerarse como información reservada, aquella que de divulgarse afecte el debido proceso al actualizarse los siguientes elementos:</w:t>
      </w:r>
    </w:p>
    <w:p w:rsidR="0001015B" w:rsidRDefault="0001015B">
      <w:pPr>
        <w:spacing w:line="360" w:lineRule="auto"/>
        <w:ind w:left="567" w:right="567"/>
        <w:rPr>
          <w:rFonts w:ascii="Palatino Linotype" w:eastAsia="Palatino Linotype" w:hAnsi="Palatino Linotype" w:cs="Palatino Linotype"/>
          <w:i/>
          <w:color w:val="0D0D0D"/>
        </w:rPr>
      </w:pPr>
    </w:p>
    <w:p w:rsidR="0001015B" w:rsidRDefault="00DB5878">
      <w:pPr>
        <w:spacing w:line="360" w:lineRule="auto"/>
        <w:ind w:left="567" w:right="567"/>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I.</w:t>
      </w:r>
      <w:r>
        <w:rPr>
          <w:rFonts w:ascii="Palatino Linotype" w:eastAsia="Palatino Linotype" w:hAnsi="Palatino Linotype" w:cs="Palatino Linotype"/>
          <w:i/>
          <w:color w:val="0D0D0D"/>
        </w:rPr>
        <w:t xml:space="preserve"> La existencia de un procedimiento judicial, administrativo o arbitral en trámite;</w:t>
      </w:r>
    </w:p>
    <w:p w:rsidR="0001015B" w:rsidRDefault="00DB5878">
      <w:pPr>
        <w:spacing w:line="360" w:lineRule="auto"/>
        <w:ind w:left="567" w:right="567"/>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II.</w:t>
      </w:r>
      <w:r>
        <w:rPr>
          <w:rFonts w:ascii="Palatino Linotype" w:eastAsia="Palatino Linotype" w:hAnsi="Palatino Linotype" w:cs="Palatino Linotype"/>
          <w:i/>
          <w:color w:val="0D0D0D"/>
        </w:rPr>
        <w:t xml:space="preserve"> Que el sujeto obligado sea parte en ese procedimiento;</w:t>
      </w:r>
    </w:p>
    <w:p w:rsidR="0001015B" w:rsidRDefault="00DB5878">
      <w:pPr>
        <w:spacing w:line="360" w:lineRule="auto"/>
        <w:ind w:left="567" w:right="567"/>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lastRenderedPageBreak/>
        <w:t>III.</w:t>
      </w:r>
      <w:r>
        <w:rPr>
          <w:rFonts w:ascii="Palatino Linotype" w:eastAsia="Palatino Linotype" w:hAnsi="Palatino Linotype" w:cs="Palatino Linotype"/>
          <w:i/>
          <w:color w:val="0D0D0D"/>
        </w:rPr>
        <w:t xml:space="preserve"> Que la información no sea conocida por la contraparte antes de la presentación de la misma en el proceso, y</w:t>
      </w:r>
    </w:p>
    <w:p w:rsidR="0001015B" w:rsidRDefault="00DB5878">
      <w:pPr>
        <w:spacing w:line="360" w:lineRule="auto"/>
        <w:ind w:left="567" w:right="567"/>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IV. </w:t>
      </w:r>
      <w:r>
        <w:rPr>
          <w:rFonts w:ascii="Palatino Linotype" w:eastAsia="Palatino Linotype" w:hAnsi="Palatino Linotype" w:cs="Palatino Linotype"/>
          <w:i/>
          <w:color w:val="0D0D0D"/>
        </w:rPr>
        <w:t>Que con su divulgación se afecte la oportunidad de llevar a cabo alguna de las garantías del debido proceso.”</w:t>
      </w:r>
    </w:p>
    <w:p w:rsidR="0001015B" w:rsidRDefault="00DB587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Del lineamiento citado, se colige que como información reservada podrá clasificarse aquella cuya publicación afecte los derechos del debido proceso. En ese contexto, para considerar que se actualiza dicha causal es necesario que se configuren los siguientes elementos:</w:t>
      </w:r>
    </w:p>
    <w:p w:rsidR="0001015B" w:rsidRDefault="0001015B">
      <w:pPr>
        <w:spacing w:line="360" w:lineRule="auto"/>
        <w:jc w:val="both"/>
        <w:rPr>
          <w:rFonts w:ascii="Palatino Linotype" w:eastAsia="Palatino Linotype" w:hAnsi="Palatino Linotype" w:cs="Palatino Linotype"/>
          <w:color w:val="0D0D0D"/>
          <w:sz w:val="22"/>
          <w:szCs w:val="22"/>
        </w:rPr>
      </w:pPr>
    </w:p>
    <w:p w:rsidR="0001015B" w:rsidRDefault="00DB5878">
      <w:pPr>
        <w:numPr>
          <w:ilvl w:val="0"/>
          <w:numId w:val="13"/>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Que exista un procedimiento judicial, administrativo o arbitral en trámite.</w:t>
      </w:r>
    </w:p>
    <w:p w:rsidR="0001015B" w:rsidRDefault="00DB5878">
      <w:pPr>
        <w:numPr>
          <w:ilvl w:val="0"/>
          <w:numId w:val="13"/>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Que el sujeto obligado sea parte en ese procedimiento.</w:t>
      </w:r>
    </w:p>
    <w:p w:rsidR="0001015B" w:rsidRDefault="00DB5878">
      <w:pPr>
        <w:numPr>
          <w:ilvl w:val="0"/>
          <w:numId w:val="13"/>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Que la información no sea conocida por la contraparte antes de la presentación de la misma en el proceso.</w:t>
      </w:r>
    </w:p>
    <w:p w:rsidR="0001015B" w:rsidRDefault="00DB5878">
      <w:pPr>
        <w:numPr>
          <w:ilvl w:val="0"/>
          <w:numId w:val="13"/>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Que con su divulgación se afecte la oportunidad de llevar a cabo </w:t>
      </w:r>
      <w:proofErr w:type="gramStart"/>
      <w:r>
        <w:rPr>
          <w:rFonts w:ascii="Palatino Linotype" w:eastAsia="Palatino Linotype" w:hAnsi="Palatino Linotype" w:cs="Palatino Linotype"/>
          <w:color w:val="0D0D0D"/>
          <w:sz w:val="22"/>
          <w:szCs w:val="22"/>
        </w:rPr>
        <w:t>alguna</w:t>
      </w:r>
      <w:proofErr w:type="gramEnd"/>
      <w:r>
        <w:rPr>
          <w:rFonts w:ascii="Palatino Linotype" w:eastAsia="Palatino Linotype" w:hAnsi="Palatino Linotype" w:cs="Palatino Linotype"/>
          <w:color w:val="0D0D0D"/>
          <w:sz w:val="22"/>
          <w:szCs w:val="22"/>
        </w:rPr>
        <w:t xml:space="preserve"> de las garantías del debido proceso.</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sz w:val="22"/>
          <w:szCs w:val="22"/>
        </w:rPr>
        <w:t>En el presente caso, caber señalar, que el Sujeto Obligado refirió que la información solicitada se encontraba en procedimientos de entrega-recepción derivados del cambio de administración, situación que no se relacionada con procedimientos judiciales, administrativos seguidos en forma o en trámite, y</w:t>
      </w:r>
      <w:r>
        <w:rPr>
          <w:rFonts w:ascii="Palatino Linotype" w:eastAsia="Palatino Linotype" w:hAnsi="Palatino Linotype" w:cs="Palatino Linotype"/>
          <w:color w:val="0D0D0D"/>
          <w:sz w:val="22"/>
          <w:szCs w:val="22"/>
        </w:rPr>
        <w:t xml:space="preserve"> por lo tanto, </w:t>
      </w:r>
      <w:r>
        <w:rPr>
          <w:rFonts w:ascii="Palatino Linotype" w:eastAsia="Palatino Linotype" w:hAnsi="Palatino Linotype" w:cs="Palatino Linotype"/>
          <w:b/>
          <w:color w:val="0D0D0D"/>
          <w:sz w:val="22"/>
          <w:szCs w:val="22"/>
        </w:rPr>
        <w:t>no es procedente la causal de reserva prevista en el artículo 140, fracción X, de la Ley de Transparencia y Acceso a la Información Pública del Estado de México y Municipios.</w:t>
      </w:r>
    </w:p>
    <w:p w:rsidR="0001015B" w:rsidRDefault="0001015B">
      <w:pPr>
        <w:spacing w:line="360" w:lineRule="auto"/>
        <w:jc w:val="both"/>
        <w:rPr>
          <w:rFonts w:ascii="Palatino Linotype" w:eastAsia="Palatino Linotype" w:hAnsi="Palatino Linotype" w:cs="Palatino Linotype"/>
          <w:b/>
          <w:color w:val="0D0D0D"/>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toma relevancia, pues conforme al Criterio de Interpretación con clave de control SO/016/2013, de la Primera Época, emitido por el entonces Instituto Federal de Acceso a la Información y Protección de Datos, mismo que se trae por analogía y, del cual, se puede vislumbrar que la difusión de los insumos informativos o de apoyo no afectan a la </w:t>
      </w:r>
      <w:r>
        <w:rPr>
          <w:rFonts w:ascii="Palatino Linotype" w:eastAsia="Palatino Linotype" w:hAnsi="Palatino Linotype" w:cs="Palatino Linotype"/>
          <w:sz w:val="22"/>
          <w:szCs w:val="22"/>
        </w:rPr>
        <w:lastRenderedPageBreak/>
        <w:t>decisión final que pueda adoptar en algún procedimiento, pues inclusive, en el presente caso, información relacionada con la misma, se debe publicar y hacer del conocimiento a la ciudadanía.</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los documentos solicitados no son constancias propias de los procedimientos, pues en su caso, fueron generados para la adquisición de bienes o contratación de servicios para que las unidades administrativas cumplan con sus funciones y, por lo tanto, no fueron generados en específico dentro de procedimientos administrativos.</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los artículos 112 de la Ley General de Transparencia y Acceso a la Información Pública, 138 de la Ley de Transparencia y Acceso a la Información Pública del Estado de México y Municipios y Quincuagésimo séptimo de los Lineamientos Generales, establecen que no se podrá omitir de las versiones públicas la información relativa a las obligaciones de transparencia; lo cual se traduce al hecho de que no se puede clasificar información que corresponda a una obligación de transparencia.</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tal circunstancia para atender el requerimiento de la información, el Sujeto Obligado deberá realizar una búsqueda exhaustiva y razonable, en los archivos de la Dirección de Administración y el Sistema Municipal para el Desarrollo Integral de la Familia, a efecto de que proporcione los documentos que conforman los expedientes de los procedimientos de adquisición y contratación de servicios, relacionados con lo siguiente:</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widowControl w:val="0"/>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Combustible para vehículos del Ayuntamiento y del Sistema Municipal para el Desarrollo Integral de la Familia, del primero de enero al nueve de octubre de dos mil veinticuatro;</w:t>
      </w:r>
    </w:p>
    <w:p w:rsidR="0001015B" w:rsidRDefault="00DB5878">
      <w:pPr>
        <w:widowControl w:val="0"/>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Servicio de disposición final de residuos sólidos, del primero de enero al nueve de octubre de dos mil veinticuatro;</w:t>
      </w:r>
    </w:p>
    <w:p w:rsidR="0001015B" w:rsidRDefault="00DB5878">
      <w:pPr>
        <w:widowControl w:val="0"/>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Uniformes para la Dirección de Seguridad Pública, y Dirección de Protección Civil, del primero de enero al diecisiete de octubre de dos mil veinticuatro, y</w:t>
      </w:r>
    </w:p>
    <w:p w:rsidR="0001015B" w:rsidRDefault="0001015B">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01015B" w:rsidRDefault="00DB5878">
      <w:pPr>
        <w:widowControl w:val="0"/>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Vehículos para la Dirección de Seguridad Pública y la Coordinación de Limpia, del primero de enero al treinta y uno de diciembre de dos mil veintitrés.</w:t>
      </w:r>
    </w:p>
    <w:p w:rsidR="0001015B" w:rsidRDefault="0001015B">
      <w:pPr>
        <w:spacing w:line="360" w:lineRule="auto"/>
        <w:jc w:val="both"/>
        <w:rPr>
          <w:rFonts w:ascii="Palatino Linotype" w:eastAsia="Palatino Linotype" w:hAnsi="Palatino Linotype" w:cs="Palatino Linotype"/>
          <w:color w:val="0D0D0D"/>
          <w:sz w:val="22"/>
          <w:szCs w:val="22"/>
        </w:rPr>
      </w:pPr>
    </w:p>
    <w:p w:rsidR="0001015B" w:rsidRDefault="00DB587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D</w:t>
      </w:r>
      <w:r>
        <w:rPr>
          <w:rFonts w:ascii="Palatino Linotype" w:eastAsia="Palatino Linotype" w:hAnsi="Palatino Linotype" w:cs="Palatino Linotype"/>
          <w:color w:val="000000"/>
          <w:sz w:val="22"/>
          <w:szCs w:val="22"/>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color w:val="000000"/>
          <w:sz w:val="22"/>
          <w:szCs w:val="22"/>
        </w:rPr>
        <w:t>ad hoc</w:t>
      </w:r>
      <w:r>
        <w:rPr>
          <w:rFonts w:ascii="Palatino Linotype" w:eastAsia="Palatino Linotype" w:hAnsi="Palatino Linotype" w:cs="Palatino Linotype"/>
          <w:color w:val="000000"/>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w:t>
      </w:r>
      <w:r>
        <w:rPr>
          <w:rFonts w:ascii="Palatino Linotype" w:eastAsia="Palatino Linotype" w:hAnsi="Palatino Linotype" w:cs="Palatino Linotype"/>
          <w:color w:val="000000"/>
          <w:sz w:val="22"/>
          <w:szCs w:val="22"/>
        </w:rPr>
        <w:lastRenderedPageBreak/>
        <w:t>lo que, en el presente caso, deberá proporcionar las expresiones documentales donde consten los procedimientos de licitación, de los periodos señalados en la solicitud.</w:t>
      </w:r>
    </w:p>
    <w:p w:rsidR="0001015B" w:rsidRDefault="0001015B">
      <w:pPr>
        <w:spacing w:line="360" w:lineRule="auto"/>
        <w:ind w:right="-28"/>
        <w:jc w:val="both"/>
        <w:rPr>
          <w:rFonts w:ascii="Palatino Linotype" w:eastAsia="Palatino Linotype" w:hAnsi="Palatino Linotype" w:cs="Palatino Linotype"/>
          <w:color w:val="000000"/>
          <w:sz w:val="22"/>
          <w:szCs w:val="22"/>
        </w:rPr>
      </w:pP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este Instituto realizó una búsqueda en la página oficial del Sujeto Obligado, su Portal de Información Pública de Oficio Mexiquense y redes sociales y no se tiene certeza de que se haya celebrado algún procedimiento de adjudicación para los puntos 2 y 4; por lo que, para el caso de que el servicio de disposición final de residuos sólidos sea realizado por el personal del Ayuntamiento, o bien, que en el ejercicio fiscal no se haya adquirido vehículos para las áreas mencionadas, deberá hacerlo del conocimiento de la parte Recurrente, de manera clara y precisa.</w:t>
      </w:r>
    </w:p>
    <w:p w:rsidR="0001015B" w:rsidRDefault="0001015B">
      <w:pPr>
        <w:spacing w:line="360" w:lineRule="auto"/>
        <w:ind w:right="-28"/>
        <w:jc w:val="both"/>
        <w:rPr>
          <w:rFonts w:ascii="Palatino Linotype" w:eastAsia="Palatino Linotype" w:hAnsi="Palatino Linotype" w:cs="Palatino Linotype"/>
          <w:color w:val="000000"/>
          <w:sz w:val="22"/>
          <w:szCs w:val="22"/>
        </w:rPr>
      </w:pP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este Instituto no pasa desapercibido que los documentos que den cuenta de los uniformes entregados al personal de seguridad, podría </w:t>
      </w:r>
      <w:proofErr w:type="spellStart"/>
      <w:r>
        <w:rPr>
          <w:rFonts w:ascii="Palatino Linotype" w:eastAsia="Palatino Linotype" w:hAnsi="Palatino Linotype" w:cs="Palatino Linotype"/>
          <w:color w:val="000000"/>
          <w:sz w:val="22"/>
          <w:szCs w:val="22"/>
        </w:rPr>
        <w:t>contaner</w:t>
      </w:r>
      <w:proofErr w:type="spellEnd"/>
      <w:r>
        <w:rPr>
          <w:rFonts w:ascii="Palatino Linotype" w:eastAsia="Palatino Linotype" w:hAnsi="Palatino Linotype" w:cs="Palatino Linotype"/>
          <w:color w:val="000000"/>
          <w:sz w:val="22"/>
          <w:szCs w:val="22"/>
        </w:rPr>
        <w:t xml:space="preserve"> datos sobre las características técnicas y especiales que tienen dicho equipamiento, por lo que, es necesario analizar si dicha información actualiza alguna causal de clasificación; sobre el tema, el 140, fracción I, de la Ley de Transparencia y Acceso a la Información Pública del Estado de México y Municipios, (homólogo del artículo 113, fracción I de la Ley General de Transparencia y Acceso a la Información Pública), prevé lo siguiente:</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Artículo 140.</w:t>
      </w:r>
      <w:r>
        <w:rPr>
          <w:rFonts w:ascii="Palatino Linotype" w:eastAsia="Palatino Linotype" w:hAnsi="Palatino Linotype" w:cs="Palatino Linotype"/>
          <w:i/>
          <w:color w:val="000000"/>
        </w:rPr>
        <w:t> El acceso a la información pública será restringido excepcionalmente, cuando por razones de interés público, ésta sea clasificada como reservada, conforme a los criterios siguientes:</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I. Comprometa la seguridad pública y cuente con un propósito genuino y un efecto demostrable;</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De dicho precepto normativo se desprende que podrá clasificarse como información reservada aquella cuya publicación comprometa la seguridad pública y cuente con un propósito genuino y un efecto demostrable. Por su parte, los Lineamientos Generales, disponen:</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“Décimo octavo. </w:t>
      </w:r>
      <w:r>
        <w:rPr>
          <w:rFonts w:ascii="Palatino Linotype" w:eastAsia="Palatino Linotype" w:hAnsi="Palatino Linotype" w:cs="Palatino Linotype"/>
          <w:i/>
          <w:color w:val="000000"/>
        </w:rPr>
        <w:t>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orden de ideas, el artículo 81 de la Ley de Seguridad del Estado de México, que establece lo siguiente:</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“Artículo 81.- </w:t>
      </w:r>
      <w:r>
        <w:rPr>
          <w:rFonts w:ascii="Palatino Linotype" w:eastAsia="Palatino Linotype" w:hAnsi="Palatino Linotype" w:cs="Palatino Linotype"/>
          <w:i/>
          <w:color w:val="000000"/>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I. Aquella cuya divulgación implique la revelación de normas, procedimientos, métodos, fuentes, especificaciones técnicas, sistemas, tecnología o equipos útiles a la generación de inteligencia para la seguridad pública o el combate a la delincuencia en el Estado de México;</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II. Aquella cuya revelación pueda ser utilizada para actualizar o potenciar una amenaza a la seguridad pública o a las instituciones del Estado de México;</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III. La relativa a los servidores públicos integrantes de las instituciones de seguridad pública, cuya revelación pueda poner en riesgo su vida e integridad física con motivo de sus funciones;</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IV. La que sea producto de una intervención de comunicaciones privadas autorizadas conforme a la Constitución Federal y las disposiciones legales correspondientes; y</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w:t>
      </w:r>
    </w:p>
    <w:p w:rsidR="0001015B" w:rsidRDefault="00DB5878">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lastRenderedPageBreak/>
        <w:t>V. La contenida en averiguaciones previas, carpetas de investigación, expedientes y demás archivos relativos a la investigación para la prevención y la investigación de los delitos y faltas administrativas, en términos de las disposiciones aplicables.”</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Al respecto, este Instituto advierte que proporcionar las características o especificaciones de </w:t>
      </w:r>
      <w:proofErr w:type="spellStart"/>
      <w:r>
        <w:rPr>
          <w:rFonts w:ascii="Palatino Linotype" w:eastAsia="Palatino Linotype" w:hAnsi="Palatino Linotype" w:cs="Palatino Linotype"/>
          <w:color w:val="000000"/>
          <w:sz w:val="22"/>
          <w:szCs w:val="22"/>
        </w:rPr>
        <w:t>de</w:t>
      </w:r>
      <w:proofErr w:type="spellEnd"/>
      <w:r>
        <w:rPr>
          <w:rFonts w:ascii="Palatino Linotype" w:eastAsia="Palatino Linotype" w:hAnsi="Palatino Linotype" w:cs="Palatino Linotype"/>
          <w:color w:val="000000"/>
          <w:sz w:val="22"/>
          <w:szCs w:val="22"/>
        </w:rPr>
        <w:t xml:space="preserve"> uniformes  adquiridos para el personal de seguridad, revelaría la nuevo equipamiento, tecnología  y componentes, con los que cuenta la Dirección de Seguridad Pública, para el combate a la delincuencia en el Municipio, pues al proporcionar información sobre el </w:t>
      </w:r>
      <w:r>
        <w:rPr>
          <w:rFonts w:ascii="Palatino Linotype" w:eastAsia="Palatino Linotype" w:hAnsi="Palatino Linotype" w:cs="Palatino Linotype"/>
          <w:b/>
          <w:color w:val="000000"/>
          <w:sz w:val="22"/>
          <w:szCs w:val="22"/>
        </w:rPr>
        <w:t>armamento y blindaje con los que cuenta el personal de seguridad pública,</w:t>
      </w:r>
      <w:r>
        <w:rPr>
          <w:rFonts w:ascii="Palatino Linotype" w:eastAsia="Palatino Linotype" w:hAnsi="Palatino Linotype" w:cs="Palatino Linotype"/>
          <w:color w:val="000000"/>
          <w:sz w:val="22"/>
          <w:szCs w:val="22"/>
        </w:rPr>
        <w:t> se estaría dando cuenta de las características del equipo y armamento especial, con el que cuentan el personal, y que es utilizado para mantener la seguridad dentro del territorio del Municipio.</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Inclusive, dar a conocer las especificaciones y características especiales de dicho equipamiento, podría ocasionar que los entes delincuenciales busquen allegarse de instrumentos para disminuir o destruir estos, con el fin de aumentar la inseguridad de </w:t>
      </w:r>
      <w:proofErr w:type="spellStart"/>
      <w:r>
        <w:rPr>
          <w:rFonts w:ascii="Palatino Linotype" w:eastAsia="Palatino Linotype" w:hAnsi="Palatino Linotype" w:cs="Palatino Linotype"/>
          <w:color w:val="000000"/>
          <w:sz w:val="22"/>
          <w:szCs w:val="22"/>
        </w:rPr>
        <w:t>Acambay</w:t>
      </w:r>
      <w:proofErr w:type="spellEnd"/>
      <w:r>
        <w:rPr>
          <w:rFonts w:ascii="Palatino Linotype" w:eastAsia="Palatino Linotype" w:hAnsi="Palatino Linotype" w:cs="Palatino Linotype"/>
          <w:color w:val="000000"/>
          <w:sz w:val="22"/>
          <w:szCs w:val="22"/>
        </w:rPr>
        <w:t>, pues podría ser utilizada dicha información para buscar las debilidades de las mismas y poderse aprovechar de dichas situaciones para realizar diversos delitos, lo cual va en detrimento de la paz y orden social.</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Conforme a lo anterior, se puede colegir que proporcionar las características especiales de los uniformes, como su blindaje y tecnología, podría comprometer la seguridad pública, al poner en peligro las funciones a cargo del Municipio,  tendientes a preservar y resguardar la vida, la salud, la integridad y el ejercicio de los derechos de las personas, así como para el mantenimiento del orden público, toda vez </w:t>
      </w:r>
      <w:r>
        <w:rPr>
          <w:rFonts w:ascii="Palatino Linotype" w:eastAsia="Palatino Linotype" w:hAnsi="Palatino Linotype" w:cs="Palatino Linotype"/>
          <w:b/>
          <w:color w:val="000000"/>
          <w:sz w:val="22"/>
          <w:szCs w:val="22"/>
        </w:rPr>
        <w:t>que da cuenta de las tecnologías, componentes y sistemas del equipo y armamento utilizado por los elementos de la Comisaría de Seguridad Pública Municipal </w:t>
      </w:r>
      <w:r>
        <w:rPr>
          <w:rFonts w:ascii="Palatino Linotype" w:eastAsia="Palatino Linotype" w:hAnsi="Palatino Linotype" w:cs="Palatino Linotype"/>
          <w:color w:val="000000"/>
          <w:sz w:val="22"/>
          <w:szCs w:val="22"/>
        </w:rPr>
        <w:t>y por lo tanto, acredita la causal de clasificación prevista en el artículo 140, fracción I de la Ley de Transparencia y Acceso a la Información Pública del Estado de México</w:t>
      </w:r>
      <w:r>
        <w:rPr>
          <w:rFonts w:ascii="Palatino Linotype" w:eastAsia="Palatino Linotype" w:hAnsi="Palatino Linotype" w:cs="Palatino Linotype"/>
          <w:b/>
          <w:color w:val="000000"/>
          <w:sz w:val="22"/>
          <w:szCs w:val="22"/>
        </w:rPr>
        <w:t>.</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rsidR="0001015B" w:rsidRDefault="0001015B">
      <w:pPr>
        <w:spacing w:line="360" w:lineRule="auto"/>
        <w:ind w:right="-28"/>
        <w:jc w:val="both"/>
        <w:rPr>
          <w:rFonts w:ascii="Palatino Linotype" w:eastAsia="Palatino Linotype" w:hAnsi="Palatino Linotype" w:cs="Palatino Linotype"/>
          <w:color w:val="000000"/>
          <w:sz w:val="22"/>
          <w:szCs w:val="22"/>
        </w:rPr>
      </w:pPr>
    </w:p>
    <w:p w:rsidR="0001015B" w:rsidRDefault="00DB5878">
      <w:pPr>
        <w:numPr>
          <w:ilvl w:val="0"/>
          <w:numId w:val="5"/>
        </w:numPr>
        <w:pBdr>
          <w:top w:val="nil"/>
          <w:left w:val="nil"/>
          <w:bottom w:val="nil"/>
          <w:right w:val="nil"/>
          <w:between w:val="nil"/>
        </w:pBdr>
        <w:spacing w:line="360" w:lineRule="auto"/>
        <w:ind w:left="709" w:right="-28" w:hanging="20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divulgación de la información representa un riesgo real, demostrable e identificable de perjuicio significativo al interés público o a la seguridad nacional.</w:t>
      </w:r>
    </w:p>
    <w:p w:rsidR="0001015B" w:rsidRDefault="0001015B">
      <w:pPr>
        <w:spacing w:line="360" w:lineRule="auto"/>
        <w:ind w:left="709" w:right="-28" w:hanging="207"/>
        <w:jc w:val="both"/>
        <w:rPr>
          <w:rFonts w:ascii="Palatino Linotype" w:eastAsia="Palatino Linotype" w:hAnsi="Palatino Linotype" w:cs="Palatino Linotype"/>
          <w:color w:val="000000"/>
          <w:sz w:val="22"/>
          <w:szCs w:val="22"/>
        </w:rPr>
      </w:pPr>
    </w:p>
    <w:p w:rsidR="0001015B" w:rsidRDefault="00DB5878">
      <w:pPr>
        <w:numPr>
          <w:ilvl w:val="0"/>
          <w:numId w:val="5"/>
        </w:numPr>
        <w:pBdr>
          <w:top w:val="nil"/>
          <w:left w:val="nil"/>
          <w:bottom w:val="nil"/>
          <w:right w:val="nil"/>
          <w:between w:val="nil"/>
        </w:pBdr>
        <w:spacing w:line="360" w:lineRule="auto"/>
        <w:ind w:left="709" w:right="-28" w:hanging="20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riesgo de perjuicio supera el interés público general de que se difunda.</w:t>
      </w:r>
    </w:p>
    <w:p w:rsidR="0001015B" w:rsidRDefault="0001015B">
      <w:pPr>
        <w:spacing w:line="360" w:lineRule="auto"/>
        <w:ind w:left="709" w:right="-28" w:hanging="207"/>
        <w:jc w:val="both"/>
        <w:rPr>
          <w:rFonts w:ascii="Palatino Linotype" w:eastAsia="Palatino Linotype" w:hAnsi="Palatino Linotype" w:cs="Palatino Linotype"/>
          <w:color w:val="000000"/>
          <w:sz w:val="22"/>
          <w:szCs w:val="22"/>
        </w:rPr>
      </w:pPr>
    </w:p>
    <w:p w:rsidR="0001015B" w:rsidRDefault="00DB5878">
      <w:pPr>
        <w:numPr>
          <w:ilvl w:val="0"/>
          <w:numId w:val="5"/>
        </w:numPr>
        <w:pBdr>
          <w:top w:val="nil"/>
          <w:left w:val="nil"/>
          <w:bottom w:val="nil"/>
          <w:right w:val="nil"/>
          <w:between w:val="nil"/>
        </w:pBdr>
        <w:spacing w:line="360" w:lineRule="auto"/>
        <w:ind w:left="709" w:right="-28" w:hanging="20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Que la limitación se adecua al principio de proporcionalidad y representa el medio menos restrictivo disponible para evitar el perjuicio.</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las características técnicas y especiales de los uniformes, de manera fundada y motivada, mediante la respectiva prueba de daño.</w:t>
      </w:r>
    </w:p>
    <w:p w:rsidR="0001015B" w:rsidRDefault="0001015B">
      <w:pPr>
        <w:spacing w:line="360" w:lineRule="auto"/>
        <w:ind w:right="-28"/>
        <w:jc w:val="both"/>
        <w:rPr>
          <w:rFonts w:ascii="Palatino Linotype" w:eastAsia="Palatino Linotype" w:hAnsi="Palatino Linotype" w:cs="Palatino Linotype"/>
          <w:color w:val="000000"/>
          <w:sz w:val="22"/>
          <w:szCs w:val="22"/>
        </w:rPr>
      </w:pP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Finalmente, no pasa desapercibido para este Instituto que los documentos, pudieran contener datos o información clasificada, tales como los datos bancarios de contratistas;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01015B" w:rsidRDefault="0001015B">
      <w:pPr>
        <w:spacing w:line="360" w:lineRule="auto"/>
        <w:jc w:val="both"/>
        <w:rPr>
          <w:rFonts w:ascii="Palatino Linotype" w:eastAsia="Palatino Linotype" w:hAnsi="Palatino Linotype" w:cs="Palatino Linotype"/>
          <w:color w:val="000000"/>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Para tal situación, el Sujeto Obligado deberá seguir el procedimiento establecido en el artículo 168 de dicho ordenamiento jurídico; esto es, que el área competente deberá elaborar </w:t>
      </w:r>
      <w:r>
        <w:rPr>
          <w:rFonts w:ascii="Palatino Linotype" w:eastAsia="Palatino Linotype" w:hAnsi="Palatino Linotype" w:cs="Palatino Linotype"/>
          <w:color w:val="000000"/>
          <w:sz w:val="22"/>
          <w:szCs w:val="22"/>
        </w:rPr>
        <w:lastRenderedPageBreak/>
        <w:t>la versión pública, así como emitir el Acuerdo, por parte del Comité de Transparencia, donde confirme la clasificación de los datos, fundando y motivando la clasificación.</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01015B" w:rsidRDefault="0001015B">
      <w:pPr>
        <w:spacing w:line="360" w:lineRule="auto"/>
        <w:ind w:firstLine="720"/>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fundamento en el artículo 186, fracciones III y IV, de la Ley de Transparencia y Acceso a la Información Pública del Estado de México y Municipios, este Instituto considera procedente realizar lo siguiente:</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ORDENAR</w:t>
      </w:r>
      <w:r>
        <w:rPr>
          <w:rFonts w:ascii="Palatino Linotype" w:eastAsia="Palatino Linotype" w:hAnsi="Palatino Linotype" w:cs="Palatino Linotype"/>
          <w:color w:val="000000"/>
          <w:sz w:val="22"/>
          <w:szCs w:val="22"/>
        </w:rPr>
        <w:t xml:space="preserve"> al Sujeto Obligado, a que dé trámite y respuesta a la solicitud de información pública con número</w:t>
      </w:r>
      <w:r>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color w:val="000000"/>
          <w:sz w:val="22"/>
          <w:szCs w:val="22"/>
        </w:rPr>
        <w:t>00156/ACAMBAY/IP/2024</w:t>
      </w:r>
      <w:r>
        <w:rPr>
          <w:rFonts w:ascii="Palatino Linotype" w:eastAsia="Palatino Linotype" w:hAnsi="Palatino Linotype" w:cs="Palatino Linotype"/>
          <w:color w:val="0D0D0D"/>
          <w:sz w:val="22"/>
          <w:szCs w:val="22"/>
        </w:rPr>
        <w:t>.</w:t>
      </w:r>
    </w:p>
    <w:p w:rsidR="0001015B" w:rsidRDefault="00DB587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REVOCAR</w:t>
      </w:r>
      <w:r>
        <w:rPr>
          <w:rFonts w:ascii="Palatino Linotype" w:eastAsia="Palatino Linotype" w:hAnsi="Palatino Linotype" w:cs="Palatino Linotype"/>
          <w:color w:val="000000"/>
          <w:sz w:val="22"/>
          <w:szCs w:val="22"/>
        </w:rPr>
        <w:t xml:space="preserve"> la respuesta otorgada a las solicitudes de información 00153/ACAMBAY/IP/2024, 00154/ACAMBAY/IP/2024, 00159/ACAMBAY/IP/2024, 00166/ACAMBAY/IP/2024, y 00177/ACAMBAY/IP/2024, a efecto de que, previa búsqueda exhaustiva y razonable en las unidades administrativas competentes, entregue los procedimientos de adquisición o prestación de servicios.</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le hace del conocimiento a la Particular, que, en el presente caso, se le concede la razón, toda vez que el Sujeto Obligado reservó información de naturaleza pública, misma que rinde cuentas de la forma en que eroga recursos públicos el Sujeto Obligado, por lo que, deberá entregarlo en versión pública. La labor del, es apoyar a la población a acceder a la información pública y garantizar la protección de sus datos personales.</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lo expuesto y fundado, este Pleno:</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01015B" w:rsidRDefault="0001015B">
      <w:pPr>
        <w:spacing w:line="360" w:lineRule="auto"/>
        <w:jc w:val="both"/>
        <w:rPr>
          <w:rFonts w:ascii="Palatino Linotype" w:eastAsia="Palatino Linotype" w:hAnsi="Palatino Linotype" w:cs="Palatino Linotype"/>
          <w:b/>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Resultan </w:t>
      </w:r>
      <w:r>
        <w:rPr>
          <w:rFonts w:ascii="Palatino Linotype" w:eastAsia="Palatino Linotype" w:hAnsi="Palatino Linotype" w:cs="Palatino Linotype"/>
          <w:b/>
          <w:sz w:val="22"/>
          <w:szCs w:val="22"/>
        </w:rPr>
        <w:t>FUNDADAS</w:t>
      </w:r>
      <w:r>
        <w:rPr>
          <w:rFonts w:ascii="Palatino Linotype" w:eastAsia="Palatino Linotype" w:hAnsi="Palatino Linotype" w:cs="Palatino Linotype"/>
          <w:sz w:val="22"/>
          <w:szCs w:val="22"/>
        </w:rPr>
        <w:t xml:space="preserve"> las razones o motivos de inconformidad hechos valer por el Particular en el Recurso de Revisión 07129/INFOEM/IP/RR/2024, relacionado con la solicitud de información 00156/ACAMBAY/IP/2024,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términos de los considerandos QUINTO y SEXTO de la presente Resolución.</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REVOCA</w:t>
      </w:r>
      <w:r>
        <w:rPr>
          <w:rFonts w:ascii="Palatino Linotype" w:eastAsia="Palatino Linotype" w:hAnsi="Palatino Linotype" w:cs="Palatino Linotype"/>
          <w:sz w:val="22"/>
          <w:szCs w:val="22"/>
        </w:rPr>
        <w:t xml:space="preserve"> la respuesta entregada por el Ayuntamiento de </w:t>
      </w:r>
      <w:proofErr w:type="spellStart"/>
      <w:r>
        <w:rPr>
          <w:rFonts w:ascii="Palatino Linotype" w:eastAsia="Palatino Linotype" w:hAnsi="Palatino Linotype" w:cs="Palatino Linotype"/>
          <w:sz w:val="22"/>
          <w:szCs w:val="22"/>
        </w:rPr>
        <w:t>Acambay</w:t>
      </w:r>
      <w:proofErr w:type="spellEnd"/>
      <w:r>
        <w:rPr>
          <w:rFonts w:ascii="Palatino Linotype" w:eastAsia="Palatino Linotype" w:hAnsi="Palatino Linotype" w:cs="Palatino Linotype"/>
          <w:sz w:val="22"/>
          <w:szCs w:val="22"/>
        </w:rPr>
        <w:t xml:space="preserve"> de Ruíz Castañeda, a las solicitudes de información</w:t>
      </w:r>
      <w:r>
        <w:rPr>
          <w:rFonts w:ascii="Palatino Linotype" w:eastAsia="Palatino Linotype" w:hAnsi="Palatino Linotype" w:cs="Palatino Linotype"/>
          <w:b/>
          <w:color w:val="FF0000"/>
          <w:sz w:val="22"/>
          <w:szCs w:val="22"/>
        </w:rPr>
        <w:t xml:space="preserve"> </w:t>
      </w:r>
      <w:r>
        <w:rPr>
          <w:rFonts w:ascii="Palatino Linotype" w:eastAsia="Palatino Linotype" w:hAnsi="Palatino Linotype" w:cs="Palatino Linotype"/>
          <w:sz w:val="22"/>
          <w:szCs w:val="22"/>
        </w:rPr>
        <w:t xml:space="preserve">00153/ACAMBAY/IP/2024, 00154/ACAMBAY/IP/2024, 00159/ACAMBAY/IP/2024, 00166/ACAMBAY/IP/2024, y 00177/ACAMBAY/IP/2024, por resultar </w:t>
      </w:r>
      <w:r>
        <w:rPr>
          <w:rFonts w:ascii="Palatino Linotype" w:eastAsia="Palatino Linotype" w:hAnsi="Palatino Linotype" w:cs="Palatino Linotype"/>
          <w:b/>
          <w:sz w:val="22"/>
          <w:szCs w:val="22"/>
        </w:rPr>
        <w:t xml:space="preserve">FUNDADAS </w:t>
      </w:r>
      <w:r>
        <w:rPr>
          <w:rFonts w:ascii="Palatino Linotype" w:eastAsia="Palatino Linotype" w:hAnsi="Palatino Linotype" w:cs="Palatino Linotype"/>
          <w:sz w:val="22"/>
          <w:szCs w:val="22"/>
        </w:rPr>
        <w:t>las razones o motivos de inconformidad hechos valer por el Recurrente, en términos de los considerandos QUINTO y SEXTO de la presente Resolución.</w:t>
      </w:r>
    </w:p>
    <w:p w:rsidR="00BD18EB" w:rsidRDefault="00BD18E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Sujeto Obligado, a efecto de que previa búsqueda exhaustiva y razonable, en los archivos de las unidades administrativas competentes, ponga a disposición de la persona Recurrente, en su caso, en versión pública, </w:t>
      </w:r>
      <w:r>
        <w:rPr>
          <w:rFonts w:ascii="Palatino Linotype" w:eastAsia="Palatino Linotype" w:hAnsi="Palatino Linotype" w:cs="Palatino Linotype"/>
          <w:color w:val="000000"/>
          <w:sz w:val="22"/>
          <w:szCs w:val="22"/>
        </w:rPr>
        <w:t>los documentos que conforman los expedientes de los procedimientos de adquisición y contratación de servicios, relacionados con lo siguiente:</w:t>
      </w:r>
    </w:p>
    <w:p w:rsidR="0001015B" w:rsidRDefault="0001015B">
      <w:pPr>
        <w:widowControl w:val="0"/>
        <w:spacing w:line="360" w:lineRule="auto"/>
        <w:jc w:val="both"/>
        <w:rPr>
          <w:rFonts w:ascii="Palatino Linotype" w:eastAsia="Palatino Linotype" w:hAnsi="Palatino Linotype" w:cs="Palatino Linotype"/>
          <w:color w:val="000000"/>
          <w:sz w:val="22"/>
          <w:szCs w:val="22"/>
        </w:rPr>
      </w:pPr>
    </w:p>
    <w:p w:rsidR="0001015B" w:rsidRDefault="00DB5878">
      <w:pPr>
        <w:widowControl w:val="0"/>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Combustible para vehículos del Ayuntamiento y del Sistema Municipal para el Desarrollo Integral de la Familia, del primero de enero al nueve de octubre de dos mil veinticuatro;</w:t>
      </w:r>
    </w:p>
    <w:p w:rsidR="0001015B" w:rsidRDefault="00DB5878">
      <w:pPr>
        <w:widowControl w:val="0"/>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Servicio de disposición final de residuos sólidos, del primero de enero al nueve de octubre de dos mil veinticuatro;</w:t>
      </w:r>
    </w:p>
    <w:p w:rsidR="0001015B" w:rsidRDefault="00DB5878">
      <w:pPr>
        <w:widowControl w:val="0"/>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Uniformes para la Dirección de Seguridad Pública, y Dirección de Protección Civil, del primero de enero al diecisiete de octubre de dos mil veinticuatro, y</w:t>
      </w:r>
    </w:p>
    <w:p w:rsidR="0001015B" w:rsidRDefault="00DB5878">
      <w:pPr>
        <w:widowControl w:val="0"/>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Vehículos para la Dirección de Seguridad Pública y la Coordinación de Limpia, del primero de enero al treinta y uno de diciembre de dos mil veintitrés.</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Para el caso, respecto al punto 2 de que el servicio de disposición final de residuos sólidos sea realizado por el personal del Ayuntamiento, o bien, respecto al punto 4, que en el ejercicio fiscal solicitado, no se haya adquirido vehículos para las áreas mencionadas, deberá hacerlo del conocimiento de la parte Recurrente, de manera clara y precisa.</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SAIMEX</w:t>
      </w:r>
      <w:r>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w:t>
      </w:r>
      <w:r>
        <w:rPr>
          <w:rFonts w:ascii="Palatino Linotype" w:eastAsia="Palatino Linotype" w:hAnsi="Palatino Linotype" w:cs="Palatino Linotype"/>
          <w:sz w:val="22"/>
          <w:szCs w:val="22"/>
        </w:rPr>
        <w:lastRenderedPageBreak/>
        <w:t>referida. De conformidad con el artículo 198 de la Ley de la materia, de considerarlo procedente, el Sujeto Obligado de manera fundada y motivada, podrá solicitar una ampliación de plazo para el cumplimiento de la presente resolución.</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 NOTIFÍQUESE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POR SAIMEX</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rsidR="0001015B" w:rsidRDefault="0001015B">
      <w:pPr>
        <w:spacing w:line="360" w:lineRule="auto"/>
        <w:jc w:val="both"/>
        <w:rPr>
          <w:rFonts w:ascii="Palatino Linotype" w:eastAsia="Palatino Linotype" w:hAnsi="Palatino Linotype" w:cs="Palatino Linotype"/>
          <w:sz w:val="22"/>
          <w:szCs w:val="22"/>
        </w:rPr>
      </w:pPr>
    </w:p>
    <w:p w:rsidR="0001015B" w:rsidRDefault="00DB587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9D2535">
        <w:rPr>
          <w:rFonts w:ascii="Palatino Linotype" w:eastAsia="Palatino Linotype" w:hAnsi="Palatino Linotype" w:cs="Palatino Linotype"/>
          <w:b/>
          <w:sz w:val="22"/>
          <w:szCs w:val="22"/>
        </w:rPr>
        <w:t xml:space="preserve">UNANIMIDAD </w:t>
      </w:r>
      <w:r>
        <w:rPr>
          <w:rFonts w:ascii="Palatino Linotype" w:eastAsia="Palatino Linotype" w:hAnsi="Palatino Linotype" w:cs="Palatino Linotype"/>
          <w:sz w:val="22"/>
          <w:szCs w:val="22"/>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7216FF">
        <w:rPr>
          <w:rFonts w:ascii="Palatino Linotype" w:eastAsia="Palatino Linotype" w:hAnsi="Palatino Linotype" w:cs="Palatino Linotype"/>
          <w:sz w:val="22"/>
          <w:szCs w:val="22"/>
        </w:rPr>
        <w:t xml:space="preserve"> CON VOTO PARTICULAR</w:t>
      </w:r>
      <w:r>
        <w:rPr>
          <w:rFonts w:ascii="Palatino Linotype" w:eastAsia="Palatino Linotype" w:hAnsi="Palatino Linotype" w:cs="Palatino Linotype"/>
          <w:sz w:val="22"/>
          <w:szCs w:val="22"/>
        </w:rPr>
        <w:t xml:space="preserve"> Y GUADALUPE RAMÍREZ PEÑA, EN LA CUADRAGÉSIMA SEGUNDA SESIÓN ORDINARIA, CELEBRADA EL CUATRO DE DICIEMBRE DE DOS MIL VEINTICUATRO, ANTE EL SECRETARIO TÉCNICO DEL PLENO, ALEXIS TAPIA RAMÍREZ.</w:t>
      </w: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p w:rsidR="0001015B" w:rsidRDefault="0001015B">
      <w:pPr>
        <w:spacing w:line="360" w:lineRule="auto"/>
      </w:pPr>
    </w:p>
    <w:sectPr w:rsidR="0001015B">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40" w:rsidRDefault="00DD6640">
      <w:r>
        <w:separator/>
      </w:r>
    </w:p>
  </w:endnote>
  <w:endnote w:type="continuationSeparator" w:id="0">
    <w:p w:rsidR="00DD6640" w:rsidRDefault="00DD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5B" w:rsidRDefault="00DB5878">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D207FD">
      <w:rPr>
        <w:rFonts w:ascii="Palatino Linotype" w:eastAsia="Palatino Linotype" w:hAnsi="Palatino Linotype" w:cs="Palatino Linotype"/>
        <w:b/>
        <w:noProof/>
        <w:color w:val="000000"/>
        <w:sz w:val="22"/>
        <w:szCs w:val="22"/>
      </w:rPr>
      <w:t>43</w:t>
    </w:r>
    <w:r>
      <w:rPr>
        <w:rFonts w:ascii="Palatino Linotype" w:eastAsia="Palatino Linotype" w:hAnsi="Palatino Linotype" w:cs="Palatino Linotype"/>
        <w:b/>
        <w:color w:val="000000"/>
        <w:sz w:val="22"/>
        <w:szCs w:val="22"/>
      </w:rPr>
      <w:fldChar w:fldCharType="end"/>
    </w:r>
  </w:p>
  <w:p w:rsidR="0001015B" w:rsidRDefault="0001015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5B" w:rsidRDefault="00DB5878">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07601">
      <w:rPr>
        <w:rFonts w:ascii="Palatino Linotype" w:eastAsia="Palatino Linotype" w:hAnsi="Palatino Linotype" w:cs="Palatino Linotype"/>
        <w:b/>
        <w:noProof/>
        <w:color w:val="000000"/>
        <w:sz w:val="22"/>
        <w:szCs w:val="22"/>
      </w:rPr>
      <w:t>41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07601">
      <w:rPr>
        <w:rFonts w:ascii="Palatino Linotype" w:eastAsia="Palatino Linotype" w:hAnsi="Palatino Linotype" w:cs="Palatino Linotype"/>
        <w:b/>
        <w:noProof/>
        <w:color w:val="000000"/>
        <w:sz w:val="22"/>
        <w:szCs w:val="22"/>
      </w:rPr>
      <w:t>43</w:t>
    </w:r>
    <w:r>
      <w:rPr>
        <w:rFonts w:ascii="Palatino Linotype" w:eastAsia="Palatino Linotype" w:hAnsi="Palatino Linotype" w:cs="Palatino Linotype"/>
        <w:b/>
        <w:color w:val="000000"/>
        <w:sz w:val="22"/>
        <w:szCs w:val="22"/>
      </w:rPr>
      <w:fldChar w:fldCharType="end"/>
    </w:r>
  </w:p>
  <w:p w:rsidR="0001015B" w:rsidRDefault="0001015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5B" w:rsidRDefault="00DB587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07601">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07601">
      <w:rPr>
        <w:rFonts w:ascii="Palatino Linotype" w:eastAsia="Palatino Linotype" w:hAnsi="Palatino Linotype" w:cs="Palatino Linotype"/>
        <w:b/>
        <w:noProof/>
        <w:color w:val="000000"/>
        <w:sz w:val="22"/>
        <w:szCs w:val="22"/>
      </w:rPr>
      <w:t>43</w:t>
    </w:r>
    <w:r>
      <w:rPr>
        <w:rFonts w:ascii="Palatino Linotype" w:eastAsia="Palatino Linotype" w:hAnsi="Palatino Linotype" w:cs="Palatino Linotype"/>
        <w:b/>
        <w:color w:val="000000"/>
        <w:sz w:val="22"/>
        <w:szCs w:val="22"/>
      </w:rPr>
      <w:fldChar w:fldCharType="end"/>
    </w:r>
  </w:p>
  <w:p w:rsidR="0001015B" w:rsidRDefault="0001015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40" w:rsidRDefault="00DD6640">
      <w:r>
        <w:separator/>
      </w:r>
    </w:p>
  </w:footnote>
  <w:footnote w:type="continuationSeparator" w:id="0">
    <w:p w:rsidR="00DD6640" w:rsidRDefault="00DD6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5B" w:rsidRDefault="0001015B">
    <w:pPr>
      <w:widowControl w:val="0"/>
      <w:pBdr>
        <w:top w:val="nil"/>
        <w:left w:val="nil"/>
        <w:bottom w:val="nil"/>
        <w:right w:val="nil"/>
        <w:between w:val="nil"/>
      </w:pBdr>
      <w:spacing w:line="276" w:lineRule="auto"/>
    </w:pPr>
  </w:p>
  <w:tbl>
    <w:tblPr>
      <w:tblStyle w:val="a0"/>
      <w:tblW w:w="9705" w:type="dxa"/>
      <w:tblInd w:w="0" w:type="dxa"/>
      <w:tblLayout w:type="fixed"/>
      <w:tblLook w:val="0400" w:firstRow="0" w:lastRow="0" w:firstColumn="0" w:lastColumn="0" w:noHBand="0" w:noVBand="1"/>
    </w:tblPr>
    <w:tblGrid>
      <w:gridCol w:w="2972"/>
      <w:gridCol w:w="6733"/>
    </w:tblGrid>
    <w:tr w:rsidR="0001015B">
      <w:trPr>
        <w:trHeight w:val="1435"/>
      </w:trPr>
      <w:tc>
        <w:tcPr>
          <w:tcW w:w="0" w:type="auto"/>
        </w:tcPr>
        <w:p w:rsidR="0001015B" w:rsidRDefault="0001015B">
          <w:pPr>
            <w:tabs>
              <w:tab w:val="right" w:pos="4273"/>
            </w:tabs>
            <w:spacing w:line="256" w:lineRule="auto"/>
            <w:rPr>
              <w:rFonts w:ascii="Garamond" w:eastAsia="Garamond" w:hAnsi="Garamond" w:cs="Garamond"/>
              <w:sz w:val="22"/>
              <w:szCs w:val="22"/>
            </w:rPr>
          </w:pPr>
        </w:p>
      </w:tc>
      <w:tc>
        <w:tcPr>
          <w:tcW w:w="0" w:type="auto"/>
        </w:tcPr>
        <w:p w:rsidR="0001015B" w:rsidRDefault="0001015B">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1"/>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01015B">
            <w:trPr>
              <w:trHeight w:val="144"/>
            </w:trPr>
            <w:tc>
              <w:tcPr>
                <w:tcW w:w="0" w:type="auto"/>
              </w:tcPr>
              <w:p w:rsidR="0001015B" w:rsidRDefault="00DB5878">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0" w:type="auto"/>
              </w:tcPr>
              <w:p w:rsidR="0001015B" w:rsidRDefault="00DB587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02946/INFOEM/IP/RR/2021</w:t>
                </w:r>
              </w:p>
            </w:tc>
          </w:tr>
          <w:tr w:rsidR="0001015B">
            <w:trPr>
              <w:trHeight w:val="283"/>
            </w:trPr>
            <w:tc>
              <w:tcPr>
                <w:tcW w:w="0" w:type="auto"/>
              </w:tcPr>
              <w:p w:rsidR="0001015B" w:rsidRDefault="00DB587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0" w:type="auto"/>
              </w:tcPr>
              <w:p w:rsidR="0001015B" w:rsidRDefault="00DB5878">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San Antonio la Isla</w:t>
                </w:r>
              </w:p>
            </w:tc>
          </w:tr>
          <w:tr w:rsidR="0001015B">
            <w:trPr>
              <w:trHeight w:val="283"/>
            </w:trPr>
            <w:tc>
              <w:tcPr>
                <w:tcW w:w="0" w:type="auto"/>
              </w:tcPr>
              <w:p w:rsidR="0001015B" w:rsidRDefault="00DB587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0" w:type="auto"/>
              </w:tcPr>
              <w:p w:rsidR="0001015B" w:rsidRDefault="00DB587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01015B" w:rsidRDefault="0001015B">
                <w:pPr>
                  <w:tabs>
                    <w:tab w:val="right" w:pos="8838"/>
                  </w:tabs>
                  <w:ind w:left="-74" w:right="-105"/>
                  <w:jc w:val="both"/>
                  <w:rPr>
                    <w:rFonts w:ascii="Palatino Linotype" w:eastAsia="Palatino Linotype" w:hAnsi="Palatino Linotype" w:cs="Palatino Linotype"/>
                    <w:b/>
                    <w:sz w:val="22"/>
                    <w:szCs w:val="22"/>
                  </w:rPr>
                </w:pPr>
              </w:p>
            </w:tc>
          </w:tr>
        </w:tbl>
        <w:p w:rsidR="0001015B" w:rsidRDefault="0001015B">
          <w:pPr>
            <w:tabs>
              <w:tab w:val="right" w:pos="8838"/>
            </w:tabs>
            <w:spacing w:line="256" w:lineRule="auto"/>
            <w:ind w:left="-28"/>
            <w:jc w:val="both"/>
            <w:rPr>
              <w:rFonts w:ascii="Arial" w:eastAsia="Arial" w:hAnsi="Arial" w:cs="Arial"/>
              <w:b/>
              <w:sz w:val="22"/>
              <w:szCs w:val="22"/>
            </w:rPr>
          </w:pPr>
        </w:p>
      </w:tc>
    </w:tr>
  </w:tbl>
  <w:p w:rsidR="0001015B" w:rsidRDefault="00DB5878">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7728" behindDoc="1" locked="0" layoutInCell="1" hidden="0" allowOverlap="1">
          <wp:simplePos x="0" y="0"/>
          <wp:positionH relativeFrom="margin">
            <wp:posOffset>-1381124</wp:posOffset>
          </wp:positionH>
          <wp:positionV relativeFrom="margin">
            <wp:posOffset>-1611629</wp:posOffset>
          </wp:positionV>
          <wp:extent cx="5612130" cy="7308215"/>
          <wp:effectExtent l="0" t="0" r="0" b="0"/>
          <wp:wrapNone/>
          <wp:docPr id="7769673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5B" w:rsidRDefault="0001015B">
    <w:pPr>
      <w:widowControl w:val="0"/>
      <w:pBdr>
        <w:top w:val="nil"/>
        <w:left w:val="nil"/>
        <w:bottom w:val="nil"/>
        <w:right w:val="nil"/>
        <w:between w:val="nil"/>
      </w:pBdr>
      <w:spacing w:line="276" w:lineRule="auto"/>
      <w:rPr>
        <w:color w:val="000000"/>
      </w:rPr>
    </w:pPr>
  </w:p>
  <w:tbl>
    <w:tblPr>
      <w:tblStyle w:val="a2"/>
      <w:tblW w:w="9356" w:type="dxa"/>
      <w:tblInd w:w="0" w:type="dxa"/>
      <w:tblLayout w:type="fixed"/>
      <w:tblLook w:val="0400" w:firstRow="0" w:lastRow="0" w:firstColumn="0" w:lastColumn="0" w:noHBand="0" w:noVBand="1"/>
    </w:tblPr>
    <w:tblGrid>
      <w:gridCol w:w="1985"/>
      <w:gridCol w:w="7371"/>
    </w:tblGrid>
    <w:tr w:rsidR="0001015B">
      <w:trPr>
        <w:trHeight w:val="1435"/>
      </w:trPr>
      <w:tc>
        <w:tcPr>
          <w:tcW w:w="1985" w:type="dxa"/>
        </w:tcPr>
        <w:p w:rsidR="0001015B" w:rsidRDefault="00DB5878">
          <w:pPr>
            <w:tabs>
              <w:tab w:val="right" w:pos="4273"/>
            </w:tabs>
            <w:spacing w:line="256" w:lineRule="auto"/>
            <w:rPr>
              <w:rFonts w:ascii="Garamond" w:eastAsia="Garamond" w:hAnsi="Garamond" w:cs="Garamond"/>
              <w:sz w:val="22"/>
              <w:szCs w:val="22"/>
            </w:rPr>
          </w:pPr>
          <w:r>
            <w:rPr>
              <w:noProof/>
              <w:lang w:eastAsia="es-MX"/>
            </w:rPr>
            <w:drawing>
              <wp:anchor distT="0" distB="0" distL="0" distR="0" simplePos="0" relativeHeight="251656704" behindDoc="1" locked="0" layoutInCell="1" hidden="0" allowOverlap="1">
                <wp:simplePos x="0" y="0"/>
                <wp:positionH relativeFrom="column">
                  <wp:posOffset>-1212214</wp:posOffset>
                </wp:positionH>
                <wp:positionV relativeFrom="paragraph">
                  <wp:posOffset>0</wp:posOffset>
                </wp:positionV>
                <wp:extent cx="7835900" cy="10203815"/>
                <wp:effectExtent l="0" t="0" r="0" b="0"/>
                <wp:wrapNone/>
                <wp:docPr id="7769673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tc>
      <w:tc>
        <w:tcPr>
          <w:tcW w:w="7371" w:type="dxa"/>
        </w:tcPr>
        <w:p w:rsidR="0001015B" w:rsidRDefault="0001015B">
          <w:pPr>
            <w:rPr>
              <w:sz w:val="28"/>
              <w:szCs w:val="28"/>
            </w:rPr>
          </w:pPr>
        </w:p>
        <w:tbl>
          <w:tblPr>
            <w:tblStyle w:val="a3"/>
            <w:tblW w:w="7924" w:type="dxa"/>
            <w:tblInd w:w="168" w:type="dxa"/>
            <w:tblBorders>
              <w:top w:val="nil"/>
              <w:left w:val="nil"/>
              <w:bottom w:val="nil"/>
              <w:right w:val="nil"/>
              <w:insideH w:val="nil"/>
              <w:insideV w:val="nil"/>
            </w:tblBorders>
            <w:tblLayout w:type="fixed"/>
            <w:tblLook w:val="0400" w:firstRow="0" w:lastRow="0" w:firstColumn="0" w:lastColumn="0" w:noHBand="0" w:noVBand="1"/>
          </w:tblPr>
          <w:tblGrid>
            <w:gridCol w:w="3319"/>
            <w:gridCol w:w="3118"/>
            <w:gridCol w:w="1487"/>
          </w:tblGrid>
          <w:tr w:rsidR="0001015B">
            <w:trPr>
              <w:trHeight w:val="219"/>
            </w:trPr>
            <w:tc>
              <w:tcPr>
                <w:tcW w:w="3319" w:type="dxa"/>
              </w:tcPr>
              <w:p w:rsidR="0001015B" w:rsidRDefault="00DB5878">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rsidR="0001015B" w:rsidRDefault="00DB5878">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07126/INFOEM/IP/RR/2024 y acumulados</w:t>
                </w:r>
              </w:p>
            </w:tc>
            <w:tc>
              <w:tcPr>
                <w:tcW w:w="1487" w:type="dxa"/>
              </w:tcPr>
              <w:p w:rsidR="0001015B" w:rsidRDefault="0001015B">
                <w:pPr>
                  <w:tabs>
                    <w:tab w:val="right" w:pos="8838"/>
                  </w:tabs>
                  <w:ind w:left="-114" w:right="-105"/>
                  <w:jc w:val="both"/>
                  <w:rPr>
                    <w:rFonts w:ascii="Palatino Linotype" w:eastAsia="Palatino Linotype" w:hAnsi="Palatino Linotype" w:cs="Palatino Linotype"/>
                    <w:sz w:val="22"/>
                    <w:szCs w:val="22"/>
                  </w:rPr>
                </w:pPr>
              </w:p>
            </w:tc>
          </w:tr>
          <w:tr w:rsidR="0001015B">
            <w:trPr>
              <w:trHeight w:val="99"/>
            </w:trPr>
            <w:tc>
              <w:tcPr>
                <w:tcW w:w="3319" w:type="dxa"/>
              </w:tcPr>
              <w:p w:rsidR="0001015B" w:rsidRDefault="00DB5878">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rsidR="0001015B" w:rsidRDefault="00DB5878">
                <w:pPr>
                  <w:tabs>
                    <w:tab w:val="left" w:pos="2834"/>
                    <w:tab w:val="right" w:pos="8838"/>
                  </w:tabs>
                  <w:ind w:left="-114"/>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Acambay</w:t>
                </w:r>
                <w:proofErr w:type="spellEnd"/>
                <w:r>
                  <w:rPr>
                    <w:rFonts w:ascii="Palatino Linotype" w:eastAsia="Palatino Linotype" w:hAnsi="Palatino Linotype" w:cs="Palatino Linotype"/>
                    <w:sz w:val="22"/>
                    <w:szCs w:val="22"/>
                  </w:rPr>
                  <w:t xml:space="preserve"> de Ruiz Castañeda</w:t>
                </w:r>
              </w:p>
            </w:tc>
            <w:tc>
              <w:tcPr>
                <w:tcW w:w="1487" w:type="dxa"/>
              </w:tcPr>
              <w:p w:rsidR="0001015B" w:rsidRDefault="0001015B">
                <w:pPr>
                  <w:tabs>
                    <w:tab w:val="left" w:pos="2834"/>
                    <w:tab w:val="right" w:pos="8838"/>
                  </w:tabs>
                  <w:ind w:left="-114"/>
                  <w:jc w:val="both"/>
                  <w:rPr>
                    <w:rFonts w:ascii="Palatino Linotype" w:eastAsia="Palatino Linotype" w:hAnsi="Palatino Linotype" w:cs="Palatino Linotype"/>
                    <w:sz w:val="22"/>
                    <w:szCs w:val="22"/>
                  </w:rPr>
                </w:pPr>
              </w:p>
            </w:tc>
          </w:tr>
          <w:tr w:rsidR="0001015B">
            <w:trPr>
              <w:trHeight w:val="432"/>
            </w:trPr>
            <w:tc>
              <w:tcPr>
                <w:tcW w:w="3319" w:type="dxa"/>
              </w:tcPr>
              <w:p w:rsidR="0001015B" w:rsidRDefault="00DB5878">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rsidR="0001015B" w:rsidRDefault="00DB5878">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c>
              <w:tcPr>
                <w:tcW w:w="1487" w:type="dxa"/>
              </w:tcPr>
              <w:p w:rsidR="0001015B" w:rsidRDefault="0001015B">
                <w:pPr>
                  <w:tabs>
                    <w:tab w:val="right" w:pos="8838"/>
                  </w:tabs>
                  <w:ind w:left="-114" w:right="-105"/>
                  <w:jc w:val="both"/>
                  <w:rPr>
                    <w:rFonts w:ascii="Palatino Linotype" w:eastAsia="Palatino Linotype" w:hAnsi="Palatino Linotype" w:cs="Palatino Linotype"/>
                    <w:sz w:val="22"/>
                    <w:szCs w:val="22"/>
                  </w:rPr>
                </w:pPr>
              </w:p>
            </w:tc>
          </w:tr>
        </w:tbl>
        <w:p w:rsidR="0001015B" w:rsidRDefault="0001015B">
          <w:pPr>
            <w:tabs>
              <w:tab w:val="right" w:pos="8838"/>
            </w:tabs>
            <w:spacing w:line="256" w:lineRule="auto"/>
            <w:ind w:left="-28"/>
            <w:jc w:val="both"/>
            <w:rPr>
              <w:rFonts w:ascii="Arial" w:eastAsia="Arial" w:hAnsi="Arial" w:cs="Arial"/>
              <w:b/>
              <w:sz w:val="22"/>
              <w:szCs w:val="22"/>
            </w:rPr>
          </w:pPr>
        </w:p>
      </w:tc>
    </w:tr>
  </w:tbl>
  <w:p w:rsidR="0001015B" w:rsidRDefault="00DB5878">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5B" w:rsidRDefault="0001015B">
    <w:pPr>
      <w:widowControl w:val="0"/>
      <w:pBdr>
        <w:top w:val="nil"/>
        <w:left w:val="nil"/>
        <w:bottom w:val="nil"/>
        <w:right w:val="nil"/>
        <w:between w:val="nil"/>
      </w:pBdr>
      <w:spacing w:line="276" w:lineRule="auto"/>
      <w:rPr>
        <w:color w:val="000000"/>
      </w:rPr>
    </w:pPr>
  </w:p>
  <w:tbl>
    <w:tblPr>
      <w:tblStyle w:val="a4"/>
      <w:tblW w:w="10206" w:type="dxa"/>
      <w:tblInd w:w="0" w:type="dxa"/>
      <w:tblLayout w:type="fixed"/>
      <w:tblLook w:val="0400" w:firstRow="0" w:lastRow="0" w:firstColumn="0" w:lastColumn="0" w:noHBand="0" w:noVBand="1"/>
    </w:tblPr>
    <w:tblGrid>
      <w:gridCol w:w="2268"/>
      <w:gridCol w:w="7938"/>
    </w:tblGrid>
    <w:tr w:rsidR="0001015B">
      <w:trPr>
        <w:trHeight w:val="1435"/>
      </w:trPr>
      <w:tc>
        <w:tcPr>
          <w:tcW w:w="2268" w:type="dxa"/>
        </w:tcPr>
        <w:p w:rsidR="0001015B" w:rsidRDefault="0001015B">
          <w:pPr>
            <w:tabs>
              <w:tab w:val="right" w:pos="4273"/>
            </w:tabs>
            <w:spacing w:line="256" w:lineRule="auto"/>
            <w:rPr>
              <w:rFonts w:ascii="Garamond" w:eastAsia="Garamond" w:hAnsi="Garamond" w:cs="Garamond"/>
              <w:sz w:val="22"/>
              <w:szCs w:val="22"/>
            </w:rPr>
          </w:pPr>
        </w:p>
      </w:tc>
      <w:tc>
        <w:tcPr>
          <w:tcW w:w="7938" w:type="dxa"/>
        </w:tcPr>
        <w:p w:rsidR="0001015B" w:rsidRDefault="0001015B">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5"/>
            <w:tblW w:w="7038" w:type="dxa"/>
            <w:tblInd w:w="653" w:type="dxa"/>
            <w:tblBorders>
              <w:top w:val="nil"/>
              <w:left w:val="nil"/>
              <w:bottom w:val="nil"/>
              <w:right w:val="nil"/>
              <w:insideH w:val="nil"/>
              <w:insideV w:val="nil"/>
            </w:tblBorders>
            <w:tblLayout w:type="fixed"/>
            <w:tblLook w:val="0400" w:firstRow="0" w:lastRow="0" w:firstColumn="0" w:lastColumn="0" w:noHBand="0" w:noVBand="1"/>
          </w:tblPr>
          <w:tblGrid>
            <w:gridCol w:w="2785"/>
            <w:gridCol w:w="3119"/>
            <w:gridCol w:w="1134"/>
          </w:tblGrid>
          <w:tr w:rsidR="0001015B">
            <w:trPr>
              <w:gridAfter w:val="1"/>
              <w:wAfter w:w="1134" w:type="dxa"/>
              <w:trHeight w:val="132"/>
            </w:trPr>
            <w:tc>
              <w:tcPr>
                <w:tcW w:w="2785" w:type="dxa"/>
              </w:tcPr>
              <w:p w:rsidR="0001015B" w:rsidRDefault="00DB5878">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9" w:type="dxa"/>
              </w:tcPr>
              <w:p w:rsidR="0001015B" w:rsidRDefault="00DB587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07126/INFOEM/IP/RR/2024 y acumulados</w:t>
                </w:r>
              </w:p>
            </w:tc>
          </w:tr>
          <w:tr w:rsidR="0001015B">
            <w:trPr>
              <w:gridAfter w:val="1"/>
              <w:wAfter w:w="1134" w:type="dxa"/>
              <w:trHeight w:val="132"/>
            </w:trPr>
            <w:tc>
              <w:tcPr>
                <w:tcW w:w="2785" w:type="dxa"/>
              </w:tcPr>
              <w:p w:rsidR="0001015B" w:rsidRDefault="00DB587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9" w:type="dxa"/>
              </w:tcPr>
              <w:p w:rsidR="0001015B" w:rsidRDefault="00171FDC">
                <w:pPr>
                  <w:tabs>
                    <w:tab w:val="left" w:pos="3122"/>
                    <w:tab w:val="right" w:pos="8838"/>
                  </w:tabs>
                  <w:ind w:left="-74" w:right="-105"/>
                  <w:jc w:val="both"/>
                  <w:rPr>
                    <w:rFonts w:ascii="Palatino Linotype" w:eastAsia="Palatino Linotype" w:hAnsi="Palatino Linotype" w:cs="Palatino Linotype"/>
                    <w:sz w:val="22"/>
                    <w:szCs w:val="22"/>
                  </w:rPr>
                </w:pPr>
                <w:r w:rsidRPr="00171FDC">
                  <w:rPr>
                    <w:rFonts w:ascii="Palatino Linotype" w:eastAsia="Palatino Linotype" w:hAnsi="Palatino Linotype" w:cs="Palatino Linotype"/>
                    <w:sz w:val="22"/>
                    <w:szCs w:val="22"/>
                    <w:highlight w:val="black"/>
                  </w:rPr>
                  <w:t>XXXXXXXXXXXXXXXXXXX</w:t>
                </w:r>
              </w:p>
            </w:tc>
          </w:tr>
          <w:tr w:rsidR="0001015B">
            <w:trPr>
              <w:gridAfter w:val="1"/>
              <w:wAfter w:w="1134" w:type="dxa"/>
              <w:trHeight w:val="261"/>
            </w:trPr>
            <w:tc>
              <w:tcPr>
                <w:tcW w:w="2785" w:type="dxa"/>
              </w:tcPr>
              <w:p w:rsidR="0001015B" w:rsidRDefault="00DB587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9" w:type="dxa"/>
              </w:tcPr>
              <w:p w:rsidR="0001015B" w:rsidRDefault="00DB5878">
                <w:pPr>
                  <w:tabs>
                    <w:tab w:val="left" w:pos="2834"/>
                    <w:tab w:val="right" w:pos="8838"/>
                  </w:tabs>
                  <w:ind w:lef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Acambay</w:t>
                </w:r>
                <w:proofErr w:type="spellEnd"/>
                <w:r>
                  <w:rPr>
                    <w:rFonts w:ascii="Palatino Linotype" w:eastAsia="Palatino Linotype" w:hAnsi="Palatino Linotype" w:cs="Palatino Linotype"/>
                    <w:sz w:val="22"/>
                    <w:szCs w:val="22"/>
                  </w:rPr>
                  <w:t xml:space="preserve"> de Ruíz Castañeda</w:t>
                </w:r>
              </w:p>
            </w:tc>
          </w:tr>
          <w:tr w:rsidR="0001015B">
            <w:trPr>
              <w:trHeight w:val="261"/>
            </w:trPr>
            <w:tc>
              <w:tcPr>
                <w:tcW w:w="2785" w:type="dxa"/>
              </w:tcPr>
              <w:p w:rsidR="0001015B" w:rsidRDefault="00DB587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53" w:type="dxa"/>
                <w:gridSpan w:val="2"/>
              </w:tcPr>
              <w:p w:rsidR="0001015B" w:rsidRDefault="00DB587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01015B" w:rsidRDefault="0001015B">
          <w:pPr>
            <w:tabs>
              <w:tab w:val="right" w:pos="8838"/>
            </w:tabs>
            <w:spacing w:line="256" w:lineRule="auto"/>
            <w:ind w:left="-28"/>
            <w:jc w:val="both"/>
            <w:rPr>
              <w:rFonts w:ascii="Arial" w:eastAsia="Arial" w:hAnsi="Arial" w:cs="Arial"/>
              <w:b/>
              <w:sz w:val="22"/>
              <w:szCs w:val="22"/>
            </w:rPr>
          </w:pPr>
        </w:p>
      </w:tc>
    </w:tr>
  </w:tbl>
  <w:p w:rsidR="0001015B" w:rsidRDefault="00DD6640">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64.5pt;margin-top:-120.6pt;width:663.5pt;height:12in;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813B5"/>
    <w:multiLevelType w:val="multilevel"/>
    <w:tmpl w:val="7E5CF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0D38DC"/>
    <w:multiLevelType w:val="multilevel"/>
    <w:tmpl w:val="2C1440E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D62FD1"/>
    <w:multiLevelType w:val="multilevel"/>
    <w:tmpl w:val="326E2F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CB48D1"/>
    <w:multiLevelType w:val="multilevel"/>
    <w:tmpl w:val="98D23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71A44"/>
    <w:multiLevelType w:val="multilevel"/>
    <w:tmpl w:val="94085E8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780B1C"/>
    <w:multiLevelType w:val="multilevel"/>
    <w:tmpl w:val="D5D009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E956ED"/>
    <w:multiLevelType w:val="multilevel"/>
    <w:tmpl w:val="31804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7F6DD6"/>
    <w:multiLevelType w:val="multilevel"/>
    <w:tmpl w:val="FA367E2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466E14"/>
    <w:multiLevelType w:val="multilevel"/>
    <w:tmpl w:val="798A28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F57148"/>
    <w:multiLevelType w:val="multilevel"/>
    <w:tmpl w:val="58288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9F4651"/>
    <w:multiLevelType w:val="multilevel"/>
    <w:tmpl w:val="B566B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8D3EC6"/>
    <w:multiLevelType w:val="multilevel"/>
    <w:tmpl w:val="04C8D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C8759C"/>
    <w:multiLevelType w:val="multilevel"/>
    <w:tmpl w:val="68027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3"/>
  </w:num>
  <w:num w:numId="4">
    <w:abstractNumId w:val="8"/>
  </w:num>
  <w:num w:numId="5">
    <w:abstractNumId w:val="7"/>
  </w:num>
  <w:num w:numId="6">
    <w:abstractNumId w:val="4"/>
  </w:num>
  <w:num w:numId="7">
    <w:abstractNumId w:val="6"/>
  </w:num>
  <w:num w:numId="8">
    <w:abstractNumId w:val="0"/>
  </w:num>
  <w:num w:numId="9">
    <w:abstractNumId w:val="9"/>
  </w:num>
  <w:num w:numId="10">
    <w:abstractNumId w:val="10"/>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5B"/>
    <w:rsid w:val="0001015B"/>
    <w:rsid w:val="00171FDC"/>
    <w:rsid w:val="00407601"/>
    <w:rsid w:val="00710950"/>
    <w:rsid w:val="007216FF"/>
    <w:rsid w:val="009D2535"/>
    <w:rsid w:val="00A40916"/>
    <w:rsid w:val="00BD18EB"/>
    <w:rsid w:val="00BE4749"/>
    <w:rsid w:val="00C8763F"/>
    <w:rsid w:val="00D207FD"/>
    <w:rsid w:val="00DB5878"/>
    <w:rsid w:val="00DD6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7ECEC54-F3D7-464A-A082-2772B549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725"/>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F57725"/>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57725"/>
    <w:pPr>
      <w:ind w:left="720"/>
      <w:contextualSpacing/>
    </w:pPr>
    <w:rPr>
      <w:rFonts w:ascii="Century Gothic" w:hAnsi="Century Gothic"/>
      <w:sz w:val="22"/>
      <w:szCs w:val="24"/>
    </w:rPr>
  </w:style>
  <w:style w:type="table" w:styleId="Tablaconcuadrcula">
    <w:name w:val="Table Grid"/>
    <w:basedOn w:val="Tablanormal"/>
    <w:uiPriority w:val="39"/>
    <w:rsid w:val="00F5772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7725"/>
    <w:pPr>
      <w:tabs>
        <w:tab w:val="center" w:pos="4419"/>
        <w:tab w:val="right" w:pos="8838"/>
      </w:tabs>
    </w:pPr>
  </w:style>
  <w:style w:type="character" w:customStyle="1" w:styleId="EncabezadoCar">
    <w:name w:val="Encabezado Car"/>
    <w:basedOn w:val="Fuentedeprrafopredeter"/>
    <w:link w:val="Encabezado"/>
    <w:uiPriority w:val="99"/>
    <w:rsid w:val="00F5772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57725"/>
    <w:pPr>
      <w:tabs>
        <w:tab w:val="center" w:pos="4419"/>
        <w:tab w:val="right" w:pos="8838"/>
      </w:tabs>
    </w:pPr>
  </w:style>
  <w:style w:type="character" w:customStyle="1" w:styleId="PiedepginaCar">
    <w:name w:val="Pie de página Car"/>
    <w:basedOn w:val="Fuentedeprrafopredeter"/>
    <w:link w:val="Piedepgina"/>
    <w:uiPriority w:val="99"/>
    <w:rsid w:val="00F57725"/>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57725"/>
  </w:style>
  <w:style w:type="character" w:customStyle="1" w:styleId="TextocomentarioCar">
    <w:name w:val="Texto comentario Car"/>
    <w:basedOn w:val="Fuentedeprrafopredeter"/>
    <w:link w:val="Textocomentario"/>
    <w:uiPriority w:val="99"/>
    <w:semiHidden/>
    <w:rsid w:val="00F57725"/>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57725"/>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57725"/>
    <w:rPr>
      <w:b/>
      <w:bCs/>
    </w:rPr>
  </w:style>
  <w:style w:type="character" w:customStyle="1" w:styleId="AsuntodelcomentarioCar1">
    <w:name w:val="Asunto del comentario Car1"/>
    <w:basedOn w:val="TextocomentarioCar"/>
    <w:uiPriority w:val="99"/>
    <w:semiHidden/>
    <w:rsid w:val="00F57725"/>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F57725"/>
    <w:rPr>
      <w:color w:val="0563C1" w:themeColor="hyperlink"/>
      <w:u w:val="single"/>
    </w:rPr>
  </w:style>
  <w:style w:type="paragraph" w:customStyle="1" w:styleId="Prrafodelista1">
    <w:name w:val="Párrafo de lista1"/>
    <w:basedOn w:val="Normal"/>
    <w:rsid w:val="00F57725"/>
    <w:pPr>
      <w:spacing w:before="100" w:beforeAutospacing="1"/>
      <w:ind w:left="720"/>
      <w:contextualSpacing/>
      <w:jc w:val="both"/>
    </w:pPr>
    <w:rPr>
      <w:rFonts w:ascii="Palatino Linotype" w:hAnsi="Palatino Linotype"/>
      <w:color w:val="000000"/>
      <w:sz w:val="22"/>
      <w:szCs w:val="22"/>
      <w:lang w:eastAsia="es-MX"/>
    </w:rPr>
  </w:style>
  <w:style w:type="table" w:customStyle="1" w:styleId="Tablaconcuadrcula3">
    <w:name w:val="Tabla con cuadrícula3"/>
    <w:basedOn w:val="Tablanormal"/>
    <w:uiPriority w:val="59"/>
    <w:rsid w:val="00730925"/>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OB0GTv0hh17LuAj5OysMeAhvw==">CgMxLjAyCGguZ2pkZ3hzMgloLjMwajB6bGwyCWguMWZvYjl0ZTgAciExTGZIb0pIUHR1X1pQSlFXYkVqbjMzcmw2VjZjMGdkU2k=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9768</Words>
  <Characters>53728</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cp:lastModifiedBy>
  <cp:revision>6</cp:revision>
  <cp:lastPrinted>2024-12-05T17:41:00Z</cp:lastPrinted>
  <dcterms:created xsi:type="dcterms:W3CDTF">2024-12-05T17:39:00Z</dcterms:created>
  <dcterms:modified xsi:type="dcterms:W3CDTF">2025-02-04T21:00:00Z</dcterms:modified>
</cp:coreProperties>
</file>