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978E" w14:textId="77777777" w:rsidR="00524F6F" w:rsidRDefault="00524F6F">
      <w:pPr>
        <w:widowControl w:val="0"/>
        <w:pBdr>
          <w:top w:val="nil"/>
          <w:left w:val="nil"/>
          <w:bottom w:val="nil"/>
          <w:right w:val="nil"/>
          <w:between w:val="nil"/>
        </w:pBdr>
        <w:spacing w:line="276" w:lineRule="auto"/>
      </w:pPr>
    </w:p>
    <w:p w14:paraId="5E1312C1" w14:textId="77777777" w:rsidR="00524F6F" w:rsidRDefault="00BC25C3">
      <w:pPr>
        <w:tabs>
          <w:tab w:val="left" w:pos="3465"/>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w:t>
      </w:r>
      <w:r>
        <w:rPr>
          <w:rFonts w:ascii="Palatino Linotype" w:eastAsia="Palatino Linotype" w:hAnsi="Palatino Linotype" w:cs="Palatino Linotype"/>
        </w:rPr>
        <w:t xml:space="preserve"> fecha </w:t>
      </w:r>
      <w:r w:rsidR="006D79DB">
        <w:rPr>
          <w:rFonts w:ascii="Palatino Linotype" w:eastAsia="Palatino Linotype" w:hAnsi="Palatino Linotype" w:cs="Palatino Linotype"/>
          <w:color w:val="000000"/>
        </w:rPr>
        <w:t>seis (06</w:t>
      </w:r>
      <w:r>
        <w:rPr>
          <w:rFonts w:ascii="Palatino Linotype" w:eastAsia="Palatino Linotype" w:hAnsi="Palatino Linotype" w:cs="Palatino Linotype"/>
          <w:color w:val="000000"/>
        </w:rPr>
        <w:t xml:space="preserve">) de </w:t>
      </w:r>
      <w:r w:rsidR="006D79DB">
        <w:rPr>
          <w:rFonts w:ascii="Palatino Linotype" w:eastAsia="Palatino Linotype" w:hAnsi="Palatino Linotype" w:cs="Palatino Linotype"/>
          <w:color w:val="000000"/>
        </w:rPr>
        <w:t>noviembre</w:t>
      </w:r>
      <w:r>
        <w:rPr>
          <w:rFonts w:ascii="Palatino Linotype" w:eastAsia="Palatino Linotype" w:hAnsi="Palatino Linotype" w:cs="Palatino Linotype"/>
          <w:color w:val="000000"/>
        </w:rPr>
        <w:t xml:space="preserve"> de dos mil veinticuatro.</w:t>
      </w:r>
    </w:p>
    <w:p w14:paraId="1CC34CCF" w14:textId="77777777" w:rsidR="00524F6F" w:rsidRDefault="00524F6F">
      <w:pPr>
        <w:tabs>
          <w:tab w:val="left" w:pos="3465"/>
        </w:tabs>
        <w:spacing w:line="360" w:lineRule="auto"/>
        <w:jc w:val="both"/>
        <w:rPr>
          <w:rFonts w:ascii="Palatino Linotype" w:eastAsia="Palatino Linotype" w:hAnsi="Palatino Linotype" w:cs="Palatino Linotype"/>
          <w:color w:val="000000"/>
        </w:rPr>
      </w:pPr>
    </w:p>
    <w:p w14:paraId="0B665ABF" w14:textId="596F92D4" w:rsidR="00524F6F" w:rsidRDefault="00BC25C3">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Pr>
          <w:rFonts w:ascii="Palatino Linotype" w:eastAsia="Palatino Linotype" w:hAnsi="Palatino Linotype" w:cs="Palatino Linotype"/>
          <w:b/>
        </w:rPr>
        <w:t>00213/INFOEM/IP/RR/2024</w:t>
      </w:r>
      <w:r>
        <w:rPr>
          <w:rFonts w:ascii="Palatino Linotype" w:eastAsia="Palatino Linotype" w:hAnsi="Palatino Linotype" w:cs="Palatino Linotype"/>
          <w:color w:val="000000"/>
        </w:rPr>
        <w:t xml:space="preserve">, interpuesto por </w:t>
      </w:r>
      <w:r w:rsidR="00E462EF">
        <w:rPr>
          <w:rFonts w:ascii="Palatino Linotype" w:eastAsia="Palatino Linotype" w:hAnsi="Palatino Linotype" w:cs="Palatino Linotype"/>
          <w:b/>
        </w:rPr>
        <w:t xml:space="preserve">XXX </w:t>
      </w:r>
      <w:proofErr w:type="spellStart"/>
      <w:r w:rsidR="00E462EF">
        <w:rPr>
          <w:rFonts w:ascii="Palatino Linotype" w:eastAsia="Palatino Linotype" w:hAnsi="Palatino Linotype" w:cs="Palatino Linotype"/>
          <w:b/>
        </w:rPr>
        <w:t>XXX</w:t>
      </w:r>
      <w:proofErr w:type="spellEnd"/>
      <w:r>
        <w:rPr>
          <w:rFonts w:ascii="Palatino Linotype" w:eastAsia="Palatino Linotype" w:hAnsi="Palatino Linotype" w:cs="Palatino Linotype"/>
          <w:color w:val="000000"/>
        </w:rPr>
        <w:t xml:space="preserve">, en adelante </w:t>
      </w:r>
      <w:r>
        <w:rPr>
          <w:rFonts w:ascii="Palatino Linotype" w:eastAsia="Palatino Linotype" w:hAnsi="Palatino Linotype" w:cs="Palatino Linotype"/>
        </w:rPr>
        <w:t xml:space="preserve">se le denominará como el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respuesta del </w:t>
      </w:r>
      <w:r>
        <w:rPr>
          <w:rFonts w:ascii="Palatino Linotype" w:eastAsia="Palatino Linotype" w:hAnsi="Palatino Linotype" w:cs="Palatino Linotype"/>
          <w:b/>
          <w:color w:val="000000"/>
        </w:rPr>
        <w:t>Ayuntamiento de Ixtlahuaca,</w:t>
      </w:r>
      <w:r>
        <w:rPr>
          <w:rFonts w:ascii="Palatino Linotype" w:eastAsia="Palatino Linotype" w:hAnsi="Palatino Linotype" w:cs="Palatino Linotype"/>
          <w:color w:val="000000"/>
        </w:rPr>
        <w:t xml:space="preserve"> en </w:t>
      </w:r>
      <w:r>
        <w:rPr>
          <w:rFonts w:ascii="Palatino Linotype" w:eastAsia="Palatino Linotype" w:hAnsi="Palatino Linotype" w:cs="Palatino Linotype"/>
        </w:rPr>
        <w:t>adelante</w:t>
      </w:r>
      <w:r>
        <w:rPr>
          <w:rFonts w:ascii="Palatino Linotype" w:eastAsia="Palatino Linotype" w:hAnsi="Palatino Linotype" w:cs="Palatino Linotype"/>
          <w:color w:val="000000"/>
        </w:rPr>
        <w:t xml:space="preserve"> el</w:t>
      </w:r>
      <w:r>
        <w:rPr>
          <w:rFonts w:ascii="Palatino Linotype" w:eastAsia="Palatino Linotype" w:hAnsi="Palatino Linotype" w:cs="Palatino Linotype"/>
          <w:b/>
          <w:color w:val="000000"/>
        </w:rPr>
        <w:t xml:space="preserve"> SUJETO OBLIGADO, </w:t>
      </w:r>
      <w:r>
        <w:rPr>
          <w:rFonts w:ascii="Palatino Linotype" w:eastAsia="Palatino Linotype" w:hAnsi="Palatino Linotype" w:cs="Palatino Linotype"/>
          <w:color w:val="000000"/>
        </w:rPr>
        <w:t xml:space="preserve">se procede a dictar la presente resolución, con base en los siguientes: </w:t>
      </w:r>
    </w:p>
    <w:p w14:paraId="70B4180B" w14:textId="77777777" w:rsidR="00524F6F" w:rsidRDefault="00524F6F">
      <w:pPr>
        <w:spacing w:line="360" w:lineRule="auto"/>
        <w:jc w:val="both"/>
        <w:rPr>
          <w:rFonts w:ascii="Palatino Linotype" w:eastAsia="Palatino Linotype" w:hAnsi="Palatino Linotype" w:cs="Palatino Linotype"/>
          <w:color w:val="000000"/>
        </w:rPr>
      </w:pPr>
    </w:p>
    <w:p w14:paraId="480B42D9" w14:textId="77777777" w:rsidR="00524F6F" w:rsidRDefault="00BC25C3">
      <w:pPr>
        <w:pStyle w:val="Ttulo1"/>
        <w:spacing w:before="0" w:line="360" w:lineRule="auto"/>
        <w:jc w:val="center"/>
        <w:rPr>
          <w:b/>
          <w:color w:val="000000"/>
        </w:rPr>
      </w:pPr>
      <w:r>
        <w:rPr>
          <w:b/>
          <w:color w:val="000000"/>
        </w:rPr>
        <w:t>A N T E C E D E N T E S</w:t>
      </w:r>
    </w:p>
    <w:p w14:paraId="73106B8D" w14:textId="77777777" w:rsidR="00524F6F" w:rsidRDefault="00524F6F">
      <w:pPr>
        <w:rPr>
          <w:rFonts w:ascii="Palatino Linotype" w:eastAsia="Palatino Linotype" w:hAnsi="Palatino Linotype" w:cs="Palatino Linotype"/>
        </w:rPr>
      </w:pPr>
    </w:p>
    <w:p w14:paraId="57FAEF91"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El veinte (20) de diciembre de dos mil veintitrés, el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través del Sistema de Acceso a la Información Mexiquense (SAIMEX), la solicitud de información pública registrada con el número</w:t>
      </w:r>
      <w:r>
        <w:rPr>
          <w:rFonts w:ascii="Palatino Linotype" w:eastAsia="Palatino Linotype" w:hAnsi="Palatino Linotype" w:cs="Palatino Linotype"/>
          <w:b/>
          <w:color w:val="000000"/>
        </w:rPr>
        <w:t xml:space="preserve"> 00242/IXTLAHUA/IP/2023,</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que </w:t>
      </w:r>
      <w:proofErr w:type="gramStart"/>
      <w:r>
        <w:rPr>
          <w:rFonts w:ascii="Palatino Linotype" w:eastAsia="Palatino Linotype" w:hAnsi="Palatino Linotype" w:cs="Palatino Linotype"/>
        </w:rPr>
        <w:t xml:space="preserve">se </w:t>
      </w:r>
      <w:r>
        <w:rPr>
          <w:rFonts w:ascii="Palatino Linotype" w:eastAsia="Palatino Linotype" w:hAnsi="Palatino Linotype" w:cs="Palatino Linotype"/>
          <w:color w:val="000000"/>
        </w:rPr>
        <w:t xml:space="preserve"> requirió</w:t>
      </w:r>
      <w:proofErr w:type="gramEnd"/>
      <w:r>
        <w:rPr>
          <w:rFonts w:ascii="Palatino Linotype" w:eastAsia="Palatino Linotype" w:hAnsi="Palatino Linotype" w:cs="Palatino Linotype"/>
          <w:color w:val="000000"/>
        </w:rPr>
        <w:t xml:space="preserve"> lo siguiente:</w:t>
      </w:r>
    </w:p>
    <w:p w14:paraId="50C56484" w14:textId="77777777" w:rsidR="00524F6F" w:rsidRDefault="00524F6F">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p>
    <w:p w14:paraId="3FAE09CC" w14:textId="77777777" w:rsidR="00524F6F" w:rsidRDefault="00BC25C3">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“Con fundamento en lo dispuesto en los artículos 4, 7, 15, 23 fracción IV, 94 fracción II inciso b), 150, 152, 155 y 160 de la Ley de Transparencia y Acceso a la Información Pública del Estado de México y Municipios y lo dispuesto en el Anexo 6 de la Norma Técnica para la Generación, Captación e Integración de Datos Catastrales y Registrales con fines estadísticos y geográficos vigente, solicito se me proporcione vía SAIMEX la versión pública de la Cartografía </w:t>
      </w:r>
      <w:r>
        <w:rPr>
          <w:rFonts w:ascii="Palatino Linotype" w:eastAsia="Palatino Linotype" w:hAnsi="Palatino Linotype" w:cs="Palatino Linotype"/>
          <w:i/>
          <w:color w:val="000000"/>
        </w:rPr>
        <w:lastRenderedPageBreak/>
        <w:t xml:space="preserve">Catastral actualizada del municipio de Ixtlahuaca en formato digital o </w:t>
      </w:r>
      <w:proofErr w:type="spellStart"/>
      <w:r>
        <w:rPr>
          <w:rFonts w:ascii="Palatino Linotype" w:eastAsia="Palatino Linotype" w:hAnsi="Palatino Linotype" w:cs="Palatino Linotype"/>
          <w:i/>
          <w:color w:val="000000"/>
        </w:rPr>
        <w:t>Shape</w:t>
      </w:r>
      <w:proofErr w:type="spellEnd"/>
      <w:r>
        <w:rPr>
          <w:rFonts w:ascii="Palatino Linotype" w:eastAsia="Palatino Linotype" w:hAnsi="Palatino Linotype" w:cs="Palatino Linotype"/>
          <w:i/>
          <w:color w:val="000000"/>
        </w:rPr>
        <w:t xml:space="preserve"> (</w:t>
      </w:r>
      <w:proofErr w:type="spellStart"/>
      <w:r>
        <w:rPr>
          <w:rFonts w:ascii="Palatino Linotype" w:eastAsia="Palatino Linotype" w:hAnsi="Palatino Linotype" w:cs="Palatino Linotype"/>
          <w:i/>
          <w:color w:val="000000"/>
        </w:rPr>
        <w:t>shp</w:t>
      </w:r>
      <w:proofErr w:type="spellEnd"/>
      <w:r>
        <w:rPr>
          <w:rFonts w:ascii="Palatino Linotype" w:eastAsia="Palatino Linotype" w:hAnsi="Palatino Linotype" w:cs="Palatino Linotype"/>
          <w:i/>
          <w:color w:val="000000"/>
        </w:rPr>
        <w:t xml:space="preserve">) a través del cual me permita visualizar los </w:t>
      </w:r>
      <w:proofErr w:type="spellStart"/>
      <w:r>
        <w:rPr>
          <w:rFonts w:ascii="Palatino Linotype" w:eastAsia="Palatino Linotype" w:hAnsi="Palatino Linotype" w:cs="Palatino Linotype"/>
          <w:i/>
          <w:color w:val="000000"/>
        </w:rPr>
        <w:t>poligonos</w:t>
      </w:r>
      <w:proofErr w:type="spellEnd"/>
      <w:r>
        <w:rPr>
          <w:rFonts w:ascii="Palatino Linotype" w:eastAsia="Palatino Linotype" w:hAnsi="Palatino Linotype" w:cs="Palatino Linotype"/>
          <w:i/>
          <w:color w:val="000000"/>
        </w:rPr>
        <w:t xml:space="preserve"> de los predios que actualmente se encuentran inscritos en el Catastro Municipal del Ayuntamiento de Ixtlahuaca. Sirva de sustento a lo anterior lo resuelto en el recurso de revisión número 05586/INFOEM/IP/RR/2022 derivado de la solicitud de información número 00131/TEXCOCO/IP/2022.”</w:t>
      </w:r>
    </w:p>
    <w:p w14:paraId="12BABBE4" w14:textId="77777777" w:rsidR="00524F6F" w:rsidRDefault="00524F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0C6D912"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Modalidad de entrega: A través del SAIMEX. </w:t>
      </w:r>
    </w:p>
    <w:p w14:paraId="078246B5"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2BDF45F4"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El veintidós (22) de enero de dos mil veinticuatro, el Sujeto Obligado dio respuesta a la solicitud en los siguientes términos:</w:t>
      </w:r>
    </w:p>
    <w:p w14:paraId="2F8B5DF6"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tbl>
      <w:tblPr>
        <w:tblStyle w:val="a"/>
        <w:tblW w:w="7537" w:type="dxa"/>
        <w:jc w:val="center"/>
        <w:tblInd w:w="0" w:type="dxa"/>
        <w:tblLayout w:type="fixed"/>
        <w:tblLook w:val="0400" w:firstRow="0" w:lastRow="0" w:firstColumn="0" w:lastColumn="0" w:noHBand="0" w:noVBand="1"/>
      </w:tblPr>
      <w:tblGrid>
        <w:gridCol w:w="7537"/>
      </w:tblGrid>
      <w:tr w:rsidR="00524F6F" w14:paraId="73E85686" w14:textId="77777777">
        <w:trPr>
          <w:trHeight w:val="295"/>
          <w:jc w:val="center"/>
        </w:trPr>
        <w:tc>
          <w:tcPr>
            <w:tcW w:w="7537" w:type="dxa"/>
            <w:vAlign w:val="center"/>
          </w:tcPr>
          <w:p w14:paraId="10A06250" w14:textId="77777777" w:rsidR="00524F6F" w:rsidRDefault="00BC25C3">
            <w:pPr>
              <w:spacing w:line="360" w:lineRule="auto"/>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Ixtlahuaca, México a 22 de </w:t>
            </w:r>
            <w:proofErr w:type="gramStart"/>
            <w:r>
              <w:rPr>
                <w:rFonts w:ascii="Palatino Linotype" w:eastAsia="Palatino Linotype" w:hAnsi="Palatino Linotype" w:cs="Palatino Linotype"/>
                <w:i/>
                <w:sz w:val="22"/>
                <w:szCs w:val="22"/>
              </w:rPr>
              <w:t>Enero</w:t>
            </w:r>
            <w:proofErr w:type="gramEnd"/>
            <w:r>
              <w:rPr>
                <w:rFonts w:ascii="Palatino Linotype" w:eastAsia="Palatino Linotype" w:hAnsi="Palatino Linotype" w:cs="Palatino Linotype"/>
                <w:i/>
                <w:sz w:val="22"/>
                <w:szCs w:val="22"/>
              </w:rPr>
              <w:t xml:space="preserve"> de 2024</w:t>
            </w:r>
          </w:p>
        </w:tc>
      </w:tr>
      <w:tr w:rsidR="00524F6F" w14:paraId="113723E2" w14:textId="77777777">
        <w:trPr>
          <w:trHeight w:val="295"/>
          <w:jc w:val="center"/>
        </w:trPr>
        <w:tc>
          <w:tcPr>
            <w:tcW w:w="7537" w:type="dxa"/>
            <w:vAlign w:val="center"/>
          </w:tcPr>
          <w:p w14:paraId="334C4D1D" w14:textId="77777777" w:rsidR="00524F6F" w:rsidRDefault="00BC25C3">
            <w:pPr>
              <w:spacing w:line="360" w:lineRule="auto"/>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524F6F" w14:paraId="3E4A1E2F" w14:textId="77777777">
        <w:trPr>
          <w:trHeight w:val="295"/>
          <w:jc w:val="center"/>
        </w:trPr>
        <w:tc>
          <w:tcPr>
            <w:tcW w:w="7537" w:type="dxa"/>
            <w:vAlign w:val="center"/>
          </w:tcPr>
          <w:p w14:paraId="0B68607C" w14:textId="77777777" w:rsidR="00524F6F" w:rsidRDefault="00BC25C3">
            <w:pPr>
              <w:spacing w:line="360" w:lineRule="auto"/>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00242/IXTLAHUA/IP/2023</w:t>
            </w:r>
          </w:p>
        </w:tc>
      </w:tr>
      <w:tr w:rsidR="00524F6F" w14:paraId="65FE372C" w14:textId="77777777">
        <w:trPr>
          <w:trHeight w:val="443"/>
          <w:jc w:val="center"/>
        </w:trPr>
        <w:tc>
          <w:tcPr>
            <w:tcW w:w="7537" w:type="dxa"/>
            <w:vAlign w:val="center"/>
          </w:tcPr>
          <w:p w14:paraId="3C74C033" w14:textId="77777777" w:rsidR="00524F6F" w:rsidRDefault="00524F6F">
            <w:pPr>
              <w:spacing w:line="360" w:lineRule="auto"/>
              <w:jc w:val="right"/>
              <w:rPr>
                <w:rFonts w:ascii="Palatino Linotype" w:eastAsia="Palatino Linotype" w:hAnsi="Palatino Linotype" w:cs="Palatino Linotype"/>
                <w:i/>
                <w:sz w:val="22"/>
                <w:szCs w:val="22"/>
              </w:rPr>
            </w:pPr>
          </w:p>
        </w:tc>
      </w:tr>
      <w:tr w:rsidR="00524F6F" w14:paraId="2239352D" w14:textId="77777777">
        <w:trPr>
          <w:trHeight w:val="147"/>
          <w:jc w:val="center"/>
        </w:trPr>
        <w:tc>
          <w:tcPr>
            <w:tcW w:w="7537" w:type="dxa"/>
            <w:vAlign w:val="center"/>
          </w:tcPr>
          <w:p w14:paraId="64977A3C" w14:textId="77777777" w:rsidR="00524F6F" w:rsidRDefault="00524F6F">
            <w:pPr>
              <w:spacing w:line="360" w:lineRule="auto"/>
              <w:jc w:val="center"/>
              <w:rPr>
                <w:rFonts w:ascii="Palatino Linotype" w:eastAsia="Palatino Linotype" w:hAnsi="Palatino Linotype" w:cs="Palatino Linotype"/>
                <w:i/>
                <w:sz w:val="22"/>
                <w:szCs w:val="22"/>
              </w:rPr>
            </w:pPr>
          </w:p>
        </w:tc>
      </w:tr>
      <w:tr w:rsidR="00524F6F" w14:paraId="7E6C4803" w14:textId="77777777">
        <w:trPr>
          <w:trHeight w:val="369"/>
          <w:jc w:val="center"/>
        </w:trPr>
        <w:tc>
          <w:tcPr>
            <w:tcW w:w="7537" w:type="dxa"/>
            <w:vAlign w:val="center"/>
          </w:tcPr>
          <w:p w14:paraId="07B9CFF9" w14:textId="77777777" w:rsidR="00524F6F" w:rsidRDefault="00524F6F">
            <w:pPr>
              <w:spacing w:line="360" w:lineRule="auto"/>
              <w:rPr>
                <w:rFonts w:ascii="Palatino Linotype" w:eastAsia="Palatino Linotype" w:hAnsi="Palatino Linotype" w:cs="Palatino Linotype"/>
                <w:i/>
                <w:sz w:val="22"/>
                <w:szCs w:val="22"/>
              </w:rPr>
            </w:pPr>
          </w:p>
        </w:tc>
      </w:tr>
      <w:tr w:rsidR="00524F6F" w14:paraId="5B6170BF" w14:textId="77777777">
        <w:trPr>
          <w:trHeight w:val="2907"/>
          <w:jc w:val="center"/>
        </w:trPr>
        <w:tc>
          <w:tcPr>
            <w:tcW w:w="7537" w:type="dxa"/>
            <w:vAlign w:val="center"/>
          </w:tcPr>
          <w:p w14:paraId="1B13A303" w14:textId="77777777" w:rsidR="00524F6F" w:rsidRDefault="00BC25C3">
            <w:pP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Ixtlahuaca de Rayón; México, 22 de enero de 2024 CIUDADANO. P R E S E N T E. Por medio del presente me permito enviarle un cordial y afectuoso saludo, al mismo tiempo y en atención a su solicitud 00242/IXTLAHUA/IP/2023, de fecha veinte de diciembre de dos mil veintitrés; donde solicita lo siguiente: “…Con fundamento en lo dispuesto en los artículos 4, 7, 15, 23 fracción IV, 94 fracción II inciso b), 150, 152, 155 y 160 de la Ley de Transparencia y Acceso a la Información Pública del Estado de México y Municipios y lo dispuesto en el Anexo 6 de la Norma Técnica para la Generación, Captación e Integración de Datos Catastrales y Registrales con fines </w:t>
            </w:r>
            <w:r>
              <w:rPr>
                <w:rFonts w:ascii="Palatino Linotype" w:eastAsia="Palatino Linotype" w:hAnsi="Palatino Linotype" w:cs="Palatino Linotype"/>
                <w:i/>
                <w:sz w:val="22"/>
                <w:szCs w:val="22"/>
              </w:rPr>
              <w:lastRenderedPageBreak/>
              <w:t xml:space="preserve">estadísticos y geográficos vigente, solicito se me proporcione vía SAIMEX la versión pública de la Cartografía Catastral actualizada del municipio de Ixtlahuaca en formato digital o </w:t>
            </w:r>
            <w:proofErr w:type="spellStart"/>
            <w:r>
              <w:rPr>
                <w:rFonts w:ascii="Palatino Linotype" w:eastAsia="Palatino Linotype" w:hAnsi="Palatino Linotype" w:cs="Palatino Linotype"/>
                <w:i/>
                <w:sz w:val="22"/>
                <w:szCs w:val="22"/>
              </w:rPr>
              <w:t>Shape</w:t>
            </w:r>
            <w:proofErr w:type="spellEnd"/>
            <w:r>
              <w:rPr>
                <w:rFonts w:ascii="Palatino Linotype" w:eastAsia="Palatino Linotype" w:hAnsi="Palatino Linotype" w:cs="Palatino Linotype"/>
                <w:i/>
                <w:sz w:val="22"/>
                <w:szCs w:val="22"/>
              </w:rPr>
              <w:t xml:space="preserve"> (</w:t>
            </w:r>
            <w:proofErr w:type="spellStart"/>
            <w:r>
              <w:rPr>
                <w:rFonts w:ascii="Palatino Linotype" w:eastAsia="Palatino Linotype" w:hAnsi="Palatino Linotype" w:cs="Palatino Linotype"/>
                <w:i/>
                <w:sz w:val="22"/>
                <w:szCs w:val="22"/>
              </w:rPr>
              <w:t>shp</w:t>
            </w:r>
            <w:proofErr w:type="spellEnd"/>
            <w:r>
              <w:rPr>
                <w:rFonts w:ascii="Palatino Linotype" w:eastAsia="Palatino Linotype" w:hAnsi="Palatino Linotype" w:cs="Palatino Linotype"/>
                <w:i/>
                <w:sz w:val="22"/>
                <w:szCs w:val="22"/>
              </w:rPr>
              <w:t xml:space="preserve">) a través del cual me permita visualizar los </w:t>
            </w:r>
            <w:proofErr w:type="spellStart"/>
            <w:r>
              <w:rPr>
                <w:rFonts w:ascii="Palatino Linotype" w:eastAsia="Palatino Linotype" w:hAnsi="Palatino Linotype" w:cs="Palatino Linotype"/>
                <w:i/>
                <w:sz w:val="22"/>
                <w:szCs w:val="22"/>
              </w:rPr>
              <w:t>poligonos</w:t>
            </w:r>
            <w:proofErr w:type="spellEnd"/>
            <w:r>
              <w:rPr>
                <w:rFonts w:ascii="Palatino Linotype" w:eastAsia="Palatino Linotype" w:hAnsi="Palatino Linotype" w:cs="Palatino Linotype"/>
                <w:i/>
                <w:sz w:val="22"/>
                <w:szCs w:val="22"/>
              </w:rPr>
              <w:t xml:space="preserve"> de los predios que actualmente se encuentran inscritos en el Catastro Municipal del Ayuntamiento de Ixtlahuaca. Sirva de sustento a lo anterior lo resuelto en el recurso de revisión número 05586/INFOEM/IP/RR/2022 derivado de la solicitud de información número 00131/TEXCOCO/IP/2022…</w:t>
            </w:r>
            <w:proofErr w:type="gramStart"/>
            <w:r>
              <w:rPr>
                <w:rFonts w:ascii="Palatino Linotype" w:eastAsia="Palatino Linotype" w:hAnsi="Palatino Linotype" w:cs="Palatino Linotype"/>
                <w:i/>
                <w:sz w:val="22"/>
                <w:szCs w:val="22"/>
              </w:rPr>
              <w:t>”.Al</w:t>
            </w:r>
            <w:proofErr w:type="gramEnd"/>
            <w:r>
              <w:rPr>
                <w:rFonts w:ascii="Palatino Linotype" w:eastAsia="Palatino Linotype" w:hAnsi="Palatino Linotype" w:cs="Palatino Linotype"/>
                <w:i/>
                <w:sz w:val="22"/>
                <w:szCs w:val="22"/>
              </w:rPr>
              <w:t xml:space="preserve"> respecto refiero que de acuerdo al artículo 12 de la Ley de Transparencia y Acceso a la Información Pública del Estado de México y Municipios, que a la letra dice: “…Los Sujetos Obligados sólo proporcionarán la información pública que se les requiera y que obre en sus archivos y en el estado en que ésta se encuentre. Lo obligación de proporcionar información no comprende el procesamiento de la misma, ni el presentarla conforme al interés del solicitante; no estarán obligados a generarla, resumirla, efectuar cálculos o practicar investigaciones…”; al respecto envió a Usted la información siguiente: envió en formato 00242/IXTLAHUA/IP/2023 Sin otro particular por el momento quedo de Usted; para cualquier duda y/o aclaración al respecto. A T E N T A M E N T E P. CRIMI. ANA KAREN MARTINEZ MATEOS TITULAR DE LA UNIDAD DE TRANSPARENCIA Y ACCESO A LA INFORMACIÓN PÚBLICA MUNICIPAL</w:t>
            </w:r>
          </w:p>
        </w:tc>
      </w:tr>
      <w:tr w:rsidR="00524F6F" w14:paraId="61F3F4BB" w14:textId="77777777">
        <w:trPr>
          <w:trHeight w:val="369"/>
          <w:jc w:val="center"/>
        </w:trPr>
        <w:tc>
          <w:tcPr>
            <w:tcW w:w="7537" w:type="dxa"/>
            <w:vAlign w:val="center"/>
          </w:tcPr>
          <w:p w14:paraId="442F343E" w14:textId="77777777" w:rsidR="00524F6F" w:rsidRDefault="00524F6F">
            <w:pPr>
              <w:spacing w:line="360" w:lineRule="auto"/>
              <w:rPr>
                <w:rFonts w:ascii="Palatino Linotype" w:eastAsia="Palatino Linotype" w:hAnsi="Palatino Linotype" w:cs="Palatino Linotype"/>
                <w:i/>
                <w:sz w:val="22"/>
                <w:szCs w:val="22"/>
              </w:rPr>
            </w:pPr>
          </w:p>
        </w:tc>
      </w:tr>
      <w:tr w:rsidR="00524F6F" w14:paraId="1AEE678B" w14:textId="77777777">
        <w:trPr>
          <w:trHeight w:val="147"/>
          <w:jc w:val="center"/>
        </w:trPr>
        <w:tc>
          <w:tcPr>
            <w:tcW w:w="7537" w:type="dxa"/>
            <w:vAlign w:val="center"/>
          </w:tcPr>
          <w:p w14:paraId="67008B57" w14:textId="77777777" w:rsidR="00524F6F" w:rsidRDefault="00524F6F">
            <w:pPr>
              <w:spacing w:line="360" w:lineRule="auto"/>
              <w:jc w:val="center"/>
              <w:rPr>
                <w:rFonts w:ascii="Palatino Linotype" w:eastAsia="Palatino Linotype" w:hAnsi="Palatino Linotype" w:cs="Palatino Linotype"/>
                <w:i/>
                <w:sz w:val="22"/>
                <w:szCs w:val="22"/>
              </w:rPr>
            </w:pPr>
          </w:p>
        </w:tc>
      </w:tr>
      <w:tr w:rsidR="00524F6F" w14:paraId="717022F2" w14:textId="77777777">
        <w:trPr>
          <w:trHeight w:val="147"/>
          <w:jc w:val="center"/>
        </w:trPr>
        <w:tc>
          <w:tcPr>
            <w:tcW w:w="7537" w:type="dxa"/>
            <w:vAlign w:val="center"/>
          </w:tcPr>
          <w:p w14:paraId="4706F84B" w14:textId="77777777" w:rsidR="00524F6F" w:rsidRDefault="00524F6F">
            <w:pPr>
              <w:spacing w:line="360" w:lineRule="auto"/>
              <w:rPr>
                <w:rFonts w:ascii="Palatino Linotype" w:eastAsia="Palatino Linotype" w:hAnsi="Palatino Linotype" w:cs="Palatino Linotype"/>
                <w:i/>
                <w:sz w:val="22"/>
                <w:szCs w:val="22"/>
              </w:rPr>
            </w:pPr>
          </w:p>
        </w:tc>
      </w:tr>
      <w:tr w:rsidR="00524F6F" w14:paraId="0087C0DD" w14:textId="77777777">
        <w:trPr>
          <w:trHeight w:val="147"/>
          <w:jc w:val="center"/>
        </w:trPr>
        <w:tc>
          <w:tcPr>
            <w:tcW w:w="7537" w:type="dxa"/>
            <w:vAlign w:val="center"/>
          </w:tcPr>
          <w:p w14:paraId="75F9859D" w14:textId="77777777" w:rsidR="00524F6F" w:rsidRDefault="00BC25C3">
            <w:pPr>
              <w:spacing w:line="360" w:lineRule="auto"/>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524F6F" w14:paraId="2BD72FC1" w14:textId="77777777">
        <w:trPr>
          <w:trHeight w:val="221"/>
          <w:jc w:val="center"/>
        </w:trPr>
        <w:tc>
          <w:tcPr>
            <w:tcW w:w="7537" w:type="dxa"/>
            <w:vAlign w:val="center"/>
          </w:tcPr>
          <w:p w14:paraId="72FE9641" w14:textId="77777777" w:rsidR="00524F6F" w:rsidRDefault="00524F6F">
            <w:pPr>
              <w:spacing w:line="360" w:lineRule="auto"/>
              <w:rPr>
                <w:rFonts w:ascii="Palatino Linotype" w:eastAsia="Palatino Linotype" w:hAnsi="Palatino Linotype" w:cs="Palatino Linotype"/>
                <w:i/>
                <w:sz w:val="22"/>
                <w:szCs w:val="22"/>
              </w:rPr>
            </w:pPr>
          </w:p>
        </w:tc>
      </w:tr>
      <w:tr w:rsidR="00524F6F" w14:paraId="065CE4AA" w14:textId="77777777">
        <w:trPr>
          <w:trHeight w:val="147"/>
          <w:jc w:val="center"/>
        </w:trPr>
        <w:tc>
          <w:tcPr>
            <w:tcW w:w="7537" w:type="dxa"/>
            <w:vAlign w:val="center"/>
          </w:tcPr>
          <w:p w14:paraId="794FD2F4" w14:textId="77777777" w:rsidR="00524F6F" w:rsidRDefault="00BC25C3">
            <w:pPr>
              <w:spacing w:line="360" w:lineRule="auto"/>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P. en </w:t>
            </w:r>
            <w:proofErr w:type="spellStart"/>
            <w:r>
              <w:rPr>
                <w:rFonts w:ascii="Palatino Linotype" w:eastAsia="Palatino Linotype" w:hAnsi="Palatino Linotype" w:cs="Palatino Linotype"/>
                <w:i/>
                <w:sz w:val="22"/>
                <w:szCs w:val="22"/>
              </w:rPr>
              <w:t>Crim</w:t>
            </w:r>
            <w:proofErr w:type="spellEnd"/>
            <w:r>
              <w:rPr>
                <w:rFonts w:ascii="Palatino Linotype" w:eastAsia="Palatino Linotype" w:hAnsi="Palatino Linotype" w:cs="Palatino Linotype"/>
                <w:i/>
                <w:sz w:val="22"/>
                <w:szCs w:val="22"/>
              </w:rPr>
              <w:t>. ANA KAREN MARTÍNEZ MATEOS</w:t>
            </w:r>
          </w:p>
        </w:tc>
      </w:tr>
    </w:tbl>
    <w:p w14:paraId="34BCF15A" w14:textId="77777777" w:rsidR="00524F6F" w:rsidRDefault="00524F6F">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p>
    <w:p w14:paraId="4F83C7E3" w14:textId="77777777" w:rsidR="00524F6F" w:rsidRDefault="00BC25C3">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se adjuntan los archivos que se describen enseguida:</w:t>
      </w:r>
    </w:p>
    <w:p w14:paraId="0D98202B" w14:textId="77777777" w:rsidR="00524F6F" w:rsidRDefault="00524F6F">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sz w:val="22"/>
          <w:szCs w:val="22"/>
        </w:rPr>
      </w:pPr>
    </w:p>
    <w:p w14:paraId="2016B6CA" w14:textId="77777777" w:rsidR="00524F6F" w:rsidRDefault="00BC25C3">
      <w:pPr>
        <w:numPr>
          <w:ilvl w:val="0"/>
          <w:numId w:val="10"/>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A la respuesta se adjuntó el archivo denominado </w:t>
      </w:r>
      <w:hyperlink r:id="rId8">
        <w:r>
          <w:rPr>
            <w:rFonts w:ascii="Palatino Linotype" w:eastAsia="Palatino Linotype" w:hAnsi="Palatino Linotype" w:cs="Palatino Linotype"/>
            <w:b/>
            <w:color w:val="000000"/>
            <w:sz w:val="22"/>
            <w:szCs w:val="22"/>
            <w:u w:val="single"/>
          </w:rPr>
          <w:t>RESP.SOL 00242.pdf</w:t>
        </w:r>
      </w:hyperlink>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en el que se advierte el oficio TMIE/026/2024 de fecha diez de enero de dos mil veinticuatro, suscrito por la Tesorera Municipal en el que, de forma medular, señaló, que no se puede entregar lo solicitado por contener información personal que puede afectar a terceros en su patrimonio. </w:t>
      </w:r>
    </w:p>
    <w:p w14:paraId="226F1A75" w14:textId="77777777" w:rsidR="00524F6F" w:rsidRDefault="00524F6F">
      <w:pPr>
        <w:pBdr>
          <w:top w:val="nil"/>
          <w:left w:val="nil"/>
          <w:bottom w:val="nil"/>
          <w:right w:val="nil"/>
          <w:between w:val="nil"/>
        </w:pBdr>
        <w:tabs>
          <w:tab w:val="left" w:pos="284"/>
          <w:tab w:val="left" w:pos="426"/>
        </w:tabs>
        <w:spacing w:line="360" w:lineRule="auto"/>
        <w:ind w:left="720"/>
        <w:jc w:val="both"/>
        <w:rPr>
          <w:rFonts w:ascii="Palatino Linotype" w:eastAsia="Palatino Linotype" w:hAnsi="Palatino Linotype" w:cs="Palatino Linotype"/>
          <w:sz w:val="22"/>
          <w:szCs w:val="22"/>
        </w:rPr>
      </w:pPr>
    </w:p>
    <w:p w14:paraId="1B56C163" w14:textId="77777777" w:rsidR="00524F6F" w:rsidRDefault="00BC25C3">
      <w:pPr>
        <w:numPr>
          <w:ilvl w:val="0"/>
          <w:numId w:val="8"/>
        </w:numPr>
        <w:pBdr>
          <w:top w:val="nil"/>
          <w:left w:val="nil"/>
          <w:bottom w:val="nil"/>
          <w:right w:val="nil"/>
          <w:between w:val="nil"/>
        </w:pBdr>
        <w:tabs>
          <w:tab w:val="left" w:pos="284"/>
          <w:tab w:val="left" w:pos="426"/>
        </w:tabs>
        <w:spacing w:line="360" w:lineRule="auto"/>
        <w:jc w:val="both"/>
        <w:rPr>
          <w:color w:val="000000"/>
        </w:rPr>
      </w:pPr>
      <w:r>
        <w:rPr>
          <w:rFonts w:ascii="Palatino Linotype" w:eastAsia="Palatino Linotype" w:hAnsi="Palatino Linotype" w:cs="Palatino Linotype"/>
          <w:color w:val="000000"/>
        </w:rPr>
        <w:t xml:space="preserve">Derivado de la respuesta emitida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el veinticuatro (24) de enero de dos mil veinticuatro, la particular interpuso el recurso de revisión en el que refirió lo siguiente:</w:t>
      </w:r>
    </w:p>
    <w:p w14:paraId="6A45C65C" w14:textId="77777777" w:rsidR="00524F6F" w:rsidRDefault="00BC25C3">
      <w:pPr>
        <w:numPr>
          <w:ilvl w:val="0"/>
          <w:numId w:val="2"/>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SE SEÑALA COMO TAL EL OFICIO NÚMERO TMIE//026/2024 DE FECHA DIEZ (10) DE ENERO DE DOS MIL VEINTICUATRO (2024), SUSCRITO POR LA TESORERA MUNICIPAL DEL AYUNTAMIENTO DE IXTLAHUACA.”</w:t>
      </w:r>
      <w:r>
        <w:rPr>
          <w:rFonts w:ascii="Palatino Linotype" w:eastAsia="Palatino Linotype" w:hAnsi="Palatino Linotype" w:cs="Palatino Linotype"/>
          <w:color w:val="000000"/>
          <w:sz w:val="22"/>
          <w:szCs w:val="22"/>
        </w:rPr>
        <w:t xml:space="preserve"> (Sic).</w:t>
      </w:r>
    </w:p>
    <w:p w14:paraId="11D797A2" w14:textId="77777777" w:rsidR="00524F6F" w:rsidRDefault="00BC25C3">
      <w:pPr>
        <w:numPr>
          <w:ilvl w:val="0"/>
          <w:numId w:val="2"/>
        </w:numPr>
        <w:pBdr>
          <w:top w:val="nil"/>
          <w:left w:val="nil"/>
          <w:bottom w:val="nil"/>
          <w:right w:val="nil"/>
          <w:between w:val="nil"/>
        </w:pBdr>
        <w:spacing w:line="360" w:lineRule="auto"/>
        <w:ind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Motivos o razones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 xml:space="preserve">“EN LA RESPUESTA A LA SOLICITUD DE INFORMACIÓN NÚMERO 00242/IXTLAHUA/IP/2023, EL SUJETO OBLIGADO EXPONE DE FORMA INSUFICIENTE LA EXPRESIÓN DE LOS PRECEPTOS JURIDICOS APLICABLES AL ASUNTO MOTIVO DEL ACTO RECLAMADO Y LAS RAZONES O MOTIVOS DE SU ACTUAR PARA NEGAR EL ACCESO A LA INFORMACIÓN SOLICITADA, YA QUE LA MISMA NO SE ENCUENTRA EN ALGUNO DE LOS SUPUESTOS DE EXCEPCIÓN PREVISTOS EN LA LEY DE LA MATERIA." </w:t>
      </w:r>
      <w:r>
        <w:rPr>
          <w:rFonts w:ascii="Palatino Linotype" w:eastAsia="Palatino Linotype" w:hAnsi="Palatino Linotype" w:cs="Palatino Linotype"/>
          <w:color w:val="000000"/>
          <w:sz w:val="22"/>
          <w:szCs w:val="22"/>
        </w:rPr>
        <w:t xml:space="preserve">(Sic) </w:t>
      </w:r>
    </w:p>
    <w:p w14:paraId="16E0DE06" w14:textId="77777777" w:rsidR="00524F6F" w:rsidRDefault="00524F6F">
      <w:pPr>
        <w:pBdr>
          <w:top w:val="nil"/>
          <w:left w:val="nil"/>
          <w:bottom w:val="nil"/>
          <w:right w:val="nil"/>
          <w:between w:val="nil"/>
        </w:pBdr>
        <w:spacing w:line="360" w:lineRule="auto"/>
        <w:ind w:right="616"/>
        <w:jc w:val="both"/>
        <w:rPr>
          <w:rFonts w:ascii="Palatino Linotype" w:eastAsia="Palatino Linotype" w:hAnsi="Palatino Linotype" w:cs="Palatino Linotype"/>
          <w:color w:val="000000"/>
        </w:rPr>
      </w:pPr>
    </w:p>
    <w:p w14:paraId="4BB23A2F"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w:t>
      </w:r>
      <w:r>
        <w:rPr>
          <w:rFonts w:ascii="Palatino Linotype" w:eastAsia="Palatino Linotype" w:hAnsi="Palatino Linotype" w:cs="Palatino Linotype"/>
          <w:color w:val="000000"/>
        </w:rPr>
        <w:lastRenderedPageBreak/>
        <w:t xml:space="preserve">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para </w:t>
      </w:r>
      <w:r>
        <w:rPr>
          <w:rFonts w:ascii="Palatino Linotype" w:eastAsia="Palatino Linotype" w:hAnsi="Palatino Linotype" w:cs="Palatino Linotype"/>
          <w:color w:val="000000"/>
        </w:rPr>
        <w:t>su análisis.</w:t>
      </w:r>
    </w:p>
    <w:p w14:paraId="0F6F0B26" w14:textId="77777777" w:rsidR="00524F6F" w:rsidRDefault="00524F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20B5DC3"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La Comisionada Ponente, con fundamento en lo dispuesto por el artículo 185 fracción II de la Ley de Transparencia y Acceso a la Información Pública del Estado de México y Municipios, a través del acuerdo de admisión del veintinueve (29) de enero de dos mil veinticuatro, puso a disposición de las partes el expediente electrónico vía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7918DB14"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499974EB"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De las actuaciones en el Sistema SAIMEX, se advierte que el Recurrente fue omiso en realizar manifestaciones; por su parte, el Sujeto Obligado entregó informe justificado el siete de febrero y diez de abril de dos mil veinticuatro, sin embargo, solo se puso a la vista del particular, el informe remitido a través del archivo </w:t>
      </w:r>
      <w:proofErr w:type="gramStart"/>
      <w:r>
        <w:rPr>
          <w:rFonts w:ascii="Palatino Linotype" w:eastAsia="Palatino Linotype" w:hAnsi="Palatino Linotype" w:cs="Palatino Linotype"/>
          <w:b/>
          <w:color w:val="000000"/>
          <w:u w:val="single"/>
        </w:rPr>
        <w:t>INFM,JUST.pdf</w:t>
      </w:r>
      <w:proofErr w:type="gramEnd"/>
      <w:r>
        <w:rPr>
          <w:rFonts w:ascii="Palatino Linotype" w:eastAsia="Palatino Linotype" w:hAnsi="Palatino Linotype" w:cs="Palatino Linotype"/>
          <w:color w:val="000000"/>
        </w:rPr>
        <w:t>, el día veintiséis de septiembre de dos mil veinticuatro. En seguida se describen, grosso modo, los archivos remitidos en informe justificado:</w:t>
      </w:r>
    </w:p>
    <w:p w14:paraId="1F272F85" w14:textId="77777777" w:rsidR="00524F6F" w:rsidRDefault="00DF6728">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hyperlink r:id="rId9">
        <w:r w:rsidR="00BC25C3">
          <w:rPr>
            <w:rFonts w:ascii="Palatino Linotype" w:eastAsia="Palatino Linotype" w:hAnsi="Palatino Linotype" w:cs="Palatino Linotype"/>
            <w:b/>
            <w:color w:val="000000"/>
            <w:sz w:val="22"/>
            <w:szCs w:val="22"/>
            <w:u w:val="single"/>
          </w:rPr>
          <w:t>INFM.JUST.pdf</w:t>
        </w:r>
      </w:hyperlink>
      <w:r w:rsidR="00BC25C3">
        <w:rPr>
          <w:rFonts w:ascii="Palatino Linotype" w:eastAsia="Palatino Linotype" w:hAnsi="Palatino Linotype" w:cs="Palatino Linotype"/>
          <w:color w:val="000000"/>
          <w:sz w:val="22"/>
          <w:szCs w:val="22"/>
        </w:rPr>
        <w:t>, archivo al que se adjuntan los dos oficios que se describen enseguida:</w:t>
      </w:r>
    </w:p>
    <w:p w14:paraId="3D56B41E" w14:textId="77777777" w:rsidR="00524F6F" w:rsidRDefault="00BC25C3">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Oficio de informe justificado suscrito por el Titular de la Unidad de Transparencia y Acceso a la Información Pública Municipal, en el que señaló, de forma medular, ratificó su respuesta y señaló que la información solicitada constituye un trámite específico. </w:t>
      </w:r>
    </w:p>
    <w:p w14:paraId="4248C295" w14:textId="77777777" w:rsidR="00524F6F" w:rsidRDefault="00BC25C3">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Oficio TMIE/116/2024 de fecha dos de febrero de dos mil veinticuatro, suscrito por la Tesorera Municipal en el que ratificó su respuesta. </w:t>
      </w:r>
    </w:p>
    <w:p w14:paraId="7C5DA63E" w14:textId="77777777" w:rsidR="00524F6F" w:rsidRDefault="00524F6F">
      <w:pPr>
        <w:pBdr>
          <w:top w:val="nil"/>
          <w:left w:val="nil"/>
          <w:bottom w:val="nil"/>
          <w:right w:val="nil"/>
          <w:between w:val="nil"/>
        </w:pBdr>
        <w:tabs>
          <w:tab w:val="left" w:pos="426"/>
        </w:tabs>
        <w:spacing w:line="360" w:lineRule="auto"/>
        <w:ind w:left="720"/>
        <w:jc w:val="both"/>
        <w:rPr>
          <w:rFonts w:ascii="Palatino Linotype" w:eastAsia="Palatino Linotype" w:hAnsi="Palatino Linotype" w:cs="Palatino Linotype"/>
          <w:color w:val="000000"/>
          <w:sz w:val="22"/>
          <w:szCs w:val="22"/>
        </w:rPr>
      </w:pPr>
    </w:p>
    <w:p w14:paraId="2FBF89BE" w14:textId="77777777" w:rsidR="00524F6F" w:rsidRDefault="00BC25C3">
      <w:pPr>
        <w:numPr>
          <w:ilvl w:val="0"/>
          <w:numId w:val="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u w:val="single"/>
        </w:rPr>
        <w:t>RESP.ADMON.pdf:</w:t>
      </w:r>
      <w:r>
        <w:rPr>
          <w:rFonts w:ascii="Palatino Linotype" w:eastAsia="Palatino Linotype" w:hAnsi="Palatino Linotype" w:cs="Palatino Linotype"/>
          <w:color w:val="000000"/>
          <w:sz w:val="22"/>
          <w:szCs w:val="22"/>
        </w:rPr>
        <w:t xml:space="preserve"> oficio que corresponde a la respuesta de una solicitud de información diversa y que no se puso a la vista del particular por contener información que puede ser susceptible de clasificarse como confidencial. </w:t>
      </w:r>
    </w:p>
    <w:p w14:paraId="6214032E" w14:textId="77777777" w:rsidR="00524F6F" w:rsidRDefault="00524F6F">
      <w:pPr>
        <w:pBdr>
          <w:top w:val="nil"/>
          <w:left w:val="nil"/>
          <w:bottom w:val="nil"/>
          <w:right w:val="nil"/>
          <w:between w:val="nil"/>
        </w:pBdr>
        <w:tabs>
          <w:tab w:val="left" w:pos="426"/>
        </w:tabs>
        <w:spacing w:line="360" w:lineRule="auto"/>
        <w:ind w:left="720"/>
        <w:jc w:val="both"/>
        <w:rPr>
          <w:rFonts w:ascii="Palatino Linotype" w:eastAsia="Palatino Linotype" w:hAnsi="Palatino Linotype" w:cs="Palatino Linotype"/>
          <w:color w:val="000000"/>
        </w:rPr>
      </w:pPr>
    </w:p>
    <w:p w14:paraId="34CAEEA7"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El catorce (14) de marzo de dos mil veinticuatro, se notificó el acuerdo a través del cual se aprobó la ampliación de plazo para emitir resolución. </w:t>
      </w:r>
    </w:p>
    <w:p w14:paraId="68324891"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6C16E2F3"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50D8348"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2723680"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Por ello, es menester precisar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2A1A211"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DD350A5"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w:t>
      </w:r>
      <w:r>
        <w:rPr>
          <w:rFonts w:ascii="Palatino Linotype" w:eastAsia="Palatino Linotype" w:hAnsi="Palatino Linotype" w:cs="Palatino Linotype"/>
          <w:color w:val="000000"/>
        </w:rPr>
        <w:lastRenderedPageBreak/>
        <w:t>en el menor tiempo posible, tomando en consideración la dilación total del procedimiento; esto es, en un plazo razonable.</w:t>
      </w:r>
    </w:p>
    <w:p w14:paraId="5EC9CE6A"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F0097BD"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4CA28B1"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87F207"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7C5CEDAD" w14:textId="77777777" w:rsidR="00524F6F" w:rsidRDefault="00BC25C3">
      <w:pPr>
        <w:numPr>
          <w:ilvl w:val="0"/>
          <w:numId w:val="6"/>
        </w:numPr>
        <w:pBdr>
          <w:top w:val="nil"/>
          <w:left w:val="nil"/>
          <w:bottom w:val="nil"/>
          <w:right w:val="nil"/>
          <w:between w:val="nil"/>
        </w:pBdr>
        <w:spacing w:line="360" w:lineRule="auto"/>
        <w:ind w:right="255"/>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416FEB6" w14:textId="77777777" w:rsidR="00524F6F" w:rsidRDefault="00BC25C3">
      <w:pPr>
        <w:numPr>
          <w:ilvl w:val="0"/>
          <w:numId w:val="6"/>
        </w:numPr>
        <w:pBdr>
          <w:top w:val="nil"/>
          <w:left w:val="nil"/>
          <w:bottom w:val="nil"/>
          <w:right w:val="nil"/>
          <w:between w:val="nil"/>
        </w:pBdr>
        <w:spacing w:line="360" w:lineRule="auto"/>
        <w:ind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51363F25" w14:textId="77777777" w:rsidR="00524F6F" w:rsidRDefault="00BC25C3">
      <w:pPr>
        <w:numPr>
          <w:ilvl w:val="0"/>
          <w:numId w:val="6"/>
        </w:numPr>
        <w:pBdr>
          <w:top w:val="nil"/>
          <w:left w:val="nil"/>
          <w:bottom w:val="nil"/>
          <w:right w:val="nil"/>
          <w:between w:val="nil"/>
        </w:pBdr>
        <w:spacing w:line="360" w:lineRule="auto"/>
        <w:ind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29213CAB" w14:textId="77777777" w:rsidR="00524F6F" w:rsidRDefault="00BC25C3">
      <w:pPr>
        <w:numPr>
          <w:ilvl w:val="0"/>
          <w:numId w:val="6"/>
        </w:numPr>
        <w:pBdr>
          <w:top w:val="nil"/>
          <w:left w:val="nil"/>
          <w:bottom w:val="nil"/>
          <w:right w:val="nil"/>
          <w:between w:val="nil"/>
        </w:pBdr>
        <w:spacing w:line="360" w:lineRule="auto"/>
        <w:ind w:right="25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7B2137DF" w14:textId="77777777" w:rsidR="00524F6F" w:rsidRDefault="00524F6F">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rPr>
      </w:pPr>
    </w:p>
    <w:p w14:paraId="4469585A"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Pr>
          <w:rFonts w:ascii="Palatino Linotype" w:eastAsia="Palatino Linotype" w:hAnsi="Palatino Linotype" w:cs="Palatino Linotype"/>
          <w:color w:val="000000"/>
        </w:rPr>
        <w:lastRenderedPageBreak/>
        <w:t>relación con la actuación del funcionario, como ha acontecido en el caso que nos ocupa.</w:t>
      </w:r>
    </w:p>
    <w:p w14:paraId="186F55BB"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0238A308"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51D310F1"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93DDFBF"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5BD65F9"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DFDD528"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5DE70EE2"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0432EC84"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0A83375" w14:textId="77777777" w:rsidR="00524F6F" w:rsidRDefault="00BC25C3">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“PLAZO RAZONABLE PARA RESOLVER. DIMENSIÓN Y EFECTOS DE ESTE CONCEPTO CUANDO SE ADUCE EXCESIVA CARGA DE TRABAJO.”</w:t>
      </w:r>
      <w:r>
        <w:rPr>
          <w:rFonts w:ascii="Palatino Linotype" w:eastAsia="Palatino Linotype" w:hAnsi="Palatino Linotype" w:cs="Palatino Linotype"/>
          <w:color w:val="000000"/>
        </w:rPr>
        <w:t xml:space="preserve"> consultable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con el registro digital 2002351.</w:t>
      </w:r>
    </w:p>
    <w:p w14:paraId="3FCAEF7D" w14:textId="77777777" w:rsidR="00524F6F" w:rsidRDefault="00524F6F">
      <w:pPr>
        <w:pBdr>
          <w:top w:val="nil"/>
          <w:left w:val="nil"/>
          <w:bottom w:val="nil"/>
          <w:right w:val="nil"/>
          <w:between w:val="nil"/>
        </w:pBdr>
        <w:spacing w:line="360" w:lineRule="auto"/>
        <w:ind w:left="851" w:right="822"/>
        <w:jc w:val="both"/>
        <w:rPr>
          <w:rFonts w:ascii="Palatino Linotype" w:eastAsia="Palatino Linotype" w:hAnsi="Palatino Linotype" w:cs="Palatino Linotype"/>
          <w:b/>
          <w:color w:val="000000"/>
        </w:rPr>
      </w:pPr>
    </w:p>
    <w:p w14:paraId="67525C09" w14:textId="77777777" w:rsidR="00524F6F" w:rsidRDefault="00BC25C3">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“PLAZO RAZONABLE PARA RESOLVER. CONCEPTO Y ELEMENTOS QUE LO INTEGRAN A LA LUZ DEL DERECHO INTERNACIONAL DE LOS DERECHOS HUMANOS.”</w:t>
      </w:r>
      <w:r>
        <w:rPr>
          <w:rFonts w:ascii="Palatino Linotype" w:eastAsia="Palatino Linotype" w:hAnsi="Palatino Linotype" w:cs="Palatino Linotype"/>
          <w:color w:val="000000"/>
        </w:rPr>
        <w:t>, visible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con el registro digital 2002350.</w:t>
      </w:r>
    </w:p>
    <w:p w14:paraId="5DA1A600"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1D6A3AF3"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14:paraId="0F6433CD" w14:textId="77777777" w:rsidR="00524F6F" w:rsidRDefault="00524F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22409CE"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El dieciséis (16) de octubre de dos mil veinticuatro, la Comisionada Ponente decretó el cierre de instrucción, por lo que ordenó turnar el expediente para su resolución, misma que ahora se pronuncia.</w:t>
      </w:r>
    </w:p>
    <w:p w14:paraId="0B98DE82"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rPr>
      </w:pPr>
    </w:p>
    <w:p w14:paraId="029CDD53"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rPr>
      </w:pPr>
    </w:p>
    <w:p w14:paraId="56E36030" w14:textId="77777777" w:rsidR="00524F6F" w:rsidRDefault="00BC25C3">
      <w:pPr>
        <w:pStyle w:val="Ttulo1"/>
        <w:spacing w:before="0"/>
        <w:jc w:val="center"/>
        <w:rPr>
          <w:b/>
          <w:color w:val="000000"/>
        </w:rPr>
      </w:pPr>
      <w:r>
        <w:rPr>
          <w:b/>
          <w:color w:val="000000"/>
        </w:rPr>
        <w:lastRenderedPageBreak/>
        <w:t>C O N S I D E R A N D O</w:t>
      </w:r>
    </w:p>
    <w:p w14:paraId="6BEE03A1" w14:textId="77777777" w:rsidR="00524F6F" w:rsidRDefault="00524F6F">
      <w:pPr>
        <w:rPr>
          <w:rFonts w:ascii="Palatino Linotype" w:eastAsia="Palatino Linotype" w:hAnsi="Palatino Linotype" w:cs="Palatino Linotype"/>
          <w:color w:val="000000"/>
        </w:rPr>
      </w:pPr>
    </w:p>
    <w:p w14:paraId="250E2170" w14:textId="77777777" w:rsidR="00524F6F" w:rsidRDefault="00BC25C3">
      <w:pPr>
        <w:pStyle w:val="Ttulo2"/>
        <w:spacing w:before="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PRIMERO. De la competencia</w:t>
      </w:r>
    </w:p>
    <w:p w14:paraId="2A259989"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w:t>
      </w:r>
      <w:r>
        <w:rPr>
          <w:rFonts w:ascii="Palatino Linotype" w:eastAsia="Palatino Linotype" w:hAnsi="Palatino Linotype" w:cs="Palatino Linotype"/>
          <w:color w:val="222222"/>
        </w:rPr>
        <w:t>trigésimo segundo, trigésimo tercero y trigésimo cuarto fracciones</w:t>
      </w:r>
      <w:r>
        <w:rPr>
          <w:rFonts w:ascii="Palatino Linotype" w:eastAsia="Palatino Linotype" w:hAnsi="Palatino Linotype" w:cs="Palatino Linotype"/>
          <w:color w:val="000000"/>
        </w:rPr>
        <w:t xml:space="preserve">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rPr>
        <w:t>.</w:t>
      </w:r>
    </w:p>
    <w:p w14:paraId="7F7FDA0F" w14:textId="77777777" w:rsidR="00524F6F" w:rsidRDefault="00524F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66DD619D" w14:textId="77777777" w:rsidR="00524F6F" w:rsidRDefault="00BC25C3">
      <w:pPr>
        <w:pStyle w:val="Ttulo2"/>
        <w:tabs>
          <w:tab w:val="left" w:pos="426"/>
        </w:tabs>
        <w:spacing w:before="0"/>
        <w:rPr>
          <w:rFonts w:ascii="Palatino Linotype" w:eastAsia="Palatino Linotype" w:hAnsi="Palatino Linotype" w:cs="Palatino Linotype"/>
          <w:b/>
          <w:color w:val="000000"/>
          <w:sz w:val="24"/>
          <w:szCs w:val="24"/>
        </w:rPr>
      </w:pPr>
      <w:bookmarkStart w:id="0" w:name="_heading=h.2et92p0" w:colFirst="0" w:colLast="0"/>
      <w:bookmarkEnd w:id="0"/>
      <w:r>
        <w:rPr>
          <w:rFonts w:ascii="Palatino Linotype" w:eastAsia="Palatino Linotype" w:hAnsi="Palatino Linotype" w:cs="Palatino Linotype"/>
          <w:b/>
          <w:color w:val="000000"/>
          <w:sz w:val="24"/>
          <w:szCs w:val="24"/>
        </w:rPr>
        <w:t>SEGUNDO. De la oportunidad y procedencia.</w:t>
      </w:r>
    </w:p>
    <w:p w14:paraId="55F6C117" w14:textId="77777777" w:rsidR="00524F6F" w:rsidRDefault="00BC25C3">
      <w:pPr>
        <w:numPr>
          <w:ilvl w:val="0"/>
          <w:numId w:val="8"/>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 xml:space="preserve">El medio de impugnación fue presentado a través del SAIMEX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el veintidós (22) de enero de dos mil veinticuatro, de tal forma que el plazo para interponer el recurso de revisión transcurrió del veintitrés (23) de enero al trece (13) de febrero de dos mil veinticuatro; el recurso de revisión fue interpuesto el veinticuatro (24) de enero de dos mil veinticuatro, éste se encuentra dentro de los márgenes temporales previstos en el artículo 178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vigente.</w:t>
      </w:r>
    </w:p>
    <w:p w14:paraId="765A6F43" w14:textId="77777777" w:rsidR="00524F6F" w:rsidRDefault="00524F6F">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066B4A5D" w14:textId="77777777" w:rsidR="00524F6F" w:rsidRDefault="00BC25C3">
      <w:pPr>
        <w:numPr>
          <w:ilvl w:val="0"/>
          <w:numId w:val="8"/>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lastRenderedPageBreak/>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5D109059" w14:textId="77777777" w:rsidR="00524F6F" w:rsidRDefault="00524F6F">
      <w:pPr>
        <w:pBdr>
          <w:top w:val="nil"/>
          <w:left w:val="nil"/>
          <w:bottom w:val="nil"/>
          <w:right w:val="nil"/>
          <w:between w:val="nil"/>
        </w:pBdr>
        <w:rPr>
          <w:rFonts w:ascii="Palatino Linotype" w:eastAsia="Palatino Linotype" w:hAnsi="Palatino Linotype" w:cs="Palatino Linotype"/>
          <w:color w:val="000000"/>
        </w:rPr>
      </w:pPr>
    </w:p>
    <w:p w14:paraId="5F7E99DF" w14:textId="77777777" w:rsidR="00524F6F" w:rsidRDefault="00BC25C3">
      <w:pPr>
        <w:pStyle w:val="Ttulo2"/>
        <w:spacing w:before="0"/>
        <w:rPr>
          <w:rFonts w:ascii="Palatino Linotype" w:eastAsia="Palatino Linotype" w:hAnsi="Palatino Linotype" w:cs="Palatino Linotype"/>
          <w:b/>
          <w:color w:val="000000"/>
          <w:sz w:val="24"/>
          <w:szCs w:val="24"/>
        </w:rPr>
      </w:pPr>
      <w:bookmarkStart w:id="1" w:name="_heading=h.tyjcwt" w:colFirst="0" w:colLast="0"/>
      <w:bookmarkEnd w:id="1"/>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16E1DD4D" w14:textId="77777777" w:rsidR="00524F6F" w:rsidRDefault="00BC25C3">
      <w:pPr>
        <w:numPr>
          <w:ilvl w:val="0"/>
          <w:numId w:val="8"/>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 xml:space="preserve">El Recurrente, solicitó la versión pública de la cartografía catastral actualizada del Municipio de Ixtlahuaca en formato digital o </w:t>
      </w:r>
      <w:proofErr w:type="spellStart"/>
      <w:r>
        <w:rPr>
          <w:rFonts w:ascii="Palatino Linotype" w:eastAsia="Palatino Linotype" w:hAnsi="Palatino Linotype" w:cs="Palatino Linotype"/>
          <w:color w:val="000000"/>
        </w:rPr>
        <w:t>Shape</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shp</w:t>
      </w:r>
      <w:proofErr w:type="spellEnd"/>
      <w:r>
        <w:rPr>
          <w:rFonts w:ascii="Palatino Linotype" w:eastAsia="Palatino Linotype" w:hAnsi="Palatino Linotype" w:cs="Palatino Linotype"/>
          <w:color w:val="000000"/>
        </w:rPr>
        <w:t xml:space="preserve">), en el que se adviertan los polígonos de los predios que actualmente se encuentran inscritos en el catastro municipal. </w:t>
      </w:r>
    </w:p>
    <w:p w14:paraId="71F38BEA" w14:textId="77777777" w:rsidR="00524F6F" w:rsidRDefault="00524F6F">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p>
    <w:p w14:paraId="274B9203" w14:textId="77777777" w:rsidR="00524F6F" w:rsidRDefault="00BC25C3">
      <w:pPr>
        <w:numPr>
          <w:ilvl w:val="0"/>
          <w:numId w:val="8"/>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 xml:space="preserve">En respuesta, el Sujeto Obligado, a través de la Tesorera Municipal señaló que </w:t>
      </w:r>
      <w:r>
        <w:rPr>
          <w:rFonts w:ascii="Palatino Linotype" w:eastAsia="Palatino Linotype" w:hAnsi="Palatino Linotype" w:cs="Palatino Linotype"/>
        </w:rPr>
        <w:t xml:space="preserve">no se puede entregar lo solicitado por contener información personal que puede afectar a terceros en su patrimonio. En consecuencia, el particular interpuso recurso de revisión en el que señaló su inconformidad por la negativa de la información y la clasificación. </w:t>
      </w:r>
    </w:p>
    <w:p w14:paraId="192D3643"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76877284" w14:textId="77777777" w:rsidR="00524F6F" w:rsidRDefault="00BC25C3">
      <w:pPr>
        <w:numPr>
          <w:ilvl w:val="0"/>
          <w:numId w:val="8"/>
        </w:numPr>
        <w:pBdr>
          <w:top w:val="nil"/>
          <w:left w:val="nil"/>
          <w:bottom w:val="nil"/>
          <w:right w:val="nil"/>
          <w:between w:val="nil"/>
        </w:pBdr>
        <w:tabs>
          <w:tab w:val="left" w:pos="426"/>
        </w:tabs>
        <w:spacing w:line="360" w:lineRule="auto"/>
        <w:ind w:right="49"/>
        <w:jc w:val="both"/>
        <w:rPr>
          <w:color w:val="000000"/>
        </w:rPr>
      </w:pPr>
      <w:r>
        <w:rPr>
          <w:rFonts w:ascii="Palatino Linotype" w:eastAsia="Palatino Linotype" w:hAnsi="Palatino Linotype" w:cs="Palatino Linotype"/>
          <w:color w:val="000000"/>
        </w:rPr>
        <w:t xml:space="preserve">Por lo anterior,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se circunscribe en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colma el derecho de acceso a la información ejercido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o si, por el contrario, se actualiza la causal de procedencia del recurso de revisión establecida en la fracción I y II del artículo 179 de la Ley de Transparencia y Acceso a la Información Pública del Estado de México y Municipios, misma que se transcribe a continuación:</w:t>
      </w:r>
    </w:p>
    <w:p w14:paraId="45412B69"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702B45EA" w14:textId="77777777" w:rsidR="00524F6F" w:rsidRDefault="00BC25C3">
      <w:pPr>
        <w:tabs>
          <w:tab w:val="left" w:pos="426"/>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“Artículo 179. El recurso de revisión es un medio de protección que la Ley otorga a los particulares, para hacer valer su derecho de acceso a la información pública, y procederá en contra de las siguientes causas: </w:t>
      </w:r>
    </w:p>
    <w:p w14:paraId="47261BFE" w14:textId="77777777" w:rsidR="00524F6F" w:rsidRDefault="00BC25C3">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negativa a la información solicitada;</w:t>
      </w:r>
    </w:p>
    <w:p w14:paraId="1C0CAE07" w14:textId="77777777" w:rsidR="00524F6F" w:rsidRDefault="00BC25C3">
      <w:pPr>
        <w:numPr>
          <w:ilvl w:val="0"/>
          <w:numId w:val="4"/>
        </w:numPr>
        <w:pBdr>
          <w:top w:val="nil"/>
          <w:left w:val="nil"/>
          <w:bottom w:val="nil"/>
          <w:right w:val="nil"/>
          <w:between w:val="nil"/>
        </w:pBdr>
        <w:tabs>
          <w:tab w:val="left" w:pos="426"/>
        </w:tabs>
        <w:spacing w:line="360" w:lineRule="auto"/>
        <w:ind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clasificación de la información;</w:t>
      </w:r>
    </w:p>
    <w:p w14:paraId="2D7CF259" w14:textId="77777777" w:rsidR="00524F6F" w:rsidRDefault="00BC25C3">
      <w:pPr>
        <w:tabs>
          <w:tab w:val="left" w:pos="426"/>
        </w:tabs>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D6A15D4"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59D42328" w14:textId="77777777" w:rsidR="00524F6F" w:rsidRDefault="00BC25C3">
      <w:pPr>
        <w:pStyle w:val="Ttulo2"/>
        <w:tabs>
          <w:tab w:val="left" w:pos="426"/>
        </w:tabs>
        <w:rPr>
          <w:rFonts w:ascii="Palatino Linotype" w:eastAsia="Palatino Linotype" w:hAnsi="Palatino Linotype" w:cs="Palatino Linotype"/>
          <w:b/>
          <w:color w:val="000000"/>
          <w:sz w:val="24"/>
          <w:szCs w:val="24"/>
        </w:rPr>
      </w:pPr>
      <w:bookmarkStart w:id="2" w:name="_heading=h.lnxbz9" w:colFirst="0" w:colLast="0"/>
      <w:bookmarkEnd w:id="2"/>
      <w:r>
        <w:rPr>
          <w:rFonts w:ascii="Palatino Linotype" w:eastAsia="Palatino Linotype" w:hAnsi="Palatino Linotype" w:cs="Palatino Linotype"/>
          <w:b/>
          <w:color w:val="000000"/>
          <w:sz w:val="24"/>
          <w:szCs w:val="24"/>
        </w:rPr>
        <w:t>CUARTO. Estudio y Resolución del asunto.</w:t>
      </w:r>
    </w:p>
    <w:p w14:paraId="3A5597C3" w14:textId="77777777" w:rsidR="00524F6F" w:rsidRDefault="00BC25C3">
      <w:pPr>
        <w:numPr>
          <w:ilvl w:val="0"/>
          <w:numId w:val="8"/>
        </w:numPr>
        <w:spacing w:line="360" w:lineRule="auto"/>
        <w:ind w:right="49"/>
        <w:jc w:val="both"/>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00ABF2B4" w14:textId="77777777" w:rsidR="00524F6F" w:rsidRDefault="00BC25C3">
      <w:pPr>
        <w:numPr>
          <w:ilvl w:val="0"/>
          <w:numId w:val="8"/>
        </w:numPr>
        <w:pBdr>
          <w:top w:val="nil"/>
          <w:left w:val="nil"/>
          <w:bottom w:val="nil"/>
          <w:right w:val="nil"/>
          <w:between w:val="nil"/>
        </w:pBdr>
        <w:spacing w:before="240" w:line="360" w:lineRule="auto"/>
        <w:ind w:right="48"/>
        <w:jc w:val="both"/>
        <w:rPr>
          <w:color w:val="000000"/>
        </w:rPr>
      </w:pPr>
      <w:r>
        <w:rPr>
          <w:rFonts w:ascii="Palatino Linotype" w:eastAsia="Palatino Linotype" w:hAnsi="Palatino Linotype" w:cs="Palatino Linotype"/>
          <w:color w:val="000000"/>
        </w:rPr>
        <w:t xml:space="preserve">El Recurrente solicitó la versión pública de la cartografía catastral actualizada del Municipio de Ixtlahuaca en formato digital o </w:t>
      </w:r>
      <w:proofErr w:type="spellStart"/>
      <w:r>
        <w:rPr>
          <w:rFonts w:ascii="Palatino Linotype" w:eastAsia="Palatino Linotype" w:hAnsi="Palatino Linotype" w:cs="Palatino Linotype"/>
          <w:color w:val="000000"/>
        </w:rPr>
        <w:t>Shape</w:t>
      </w:r>
      <w:proofErr w:type="spellEnd"/>
      <w:r>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shp</w:t>
      </w:r>
      <w:proofErr w:type="spellEnd"/>
      <w:r>
        <w:rPr>
          <w:rFonts w:ascii="Palatino Linotype" w:eastAsia="Palatino Linotype" w:hAnsi="Palatino Linotype" w:cs="Palatino Linotype"/>
          <w:color w:val="000000"/>
        </w:rPr>
        <w:t>), en el que se adviertan los polígonos de los predios que actualmente se encuentran inscritos en el catastro municipal.</w:t>
      </w:r>
    </w:p>
    <w:p w14:paraId="5F8A9537" w14:textId="77777777" w:rsidR="00524F6F" w:rsidRDefault="00524F6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628B572A"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Ahora bien, </w:t>
      </w:r>
      <w:proofErr w:type="gramStart"/>
      <w:r>
        <w:rPr>
          <w:rFonts w:ascii="Palatino Linotype" w:eastAsia="Palatino Linotype" w:hAnsi="Palatino Linotype" w:cs="Palatino Linotype"/>
          <w:color w:val="000000"/>
        </w:rPr>
        <w:t>primeramente</w:t>
      </w:r>
      <w:proofErr w:type="gramEnd"/>
      <w:r>
        <w:rPr>
          <w:rFonts w:ascii="Palatino Linotype" w:eastAsia="Palatino Linotype" w:hAnsi="Palatino Linotype" w:cs="Palatino Linotype"/>
          <w:color w:val="000000"/>
        </w:rPr>
        <w:t xml:space="preserve">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Pr>
          <w:rFonts w:ascii="Palatino Linotype" w:eastAsia="Palatino Linotype" w:hAnsi="Palatino Linotype" w:cs="Palatino Linotype"/>
          <w:i/>
          <w:color w:val="000000"/>
        </w:rPr>
        <w:t xml:space="preserve">en el ámbito de sus atribuciones, de promover, respetar, proteger y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 </w:t>
      </w:r>
      <w:r>
        <w:rPr>
          <w:rFonts w:ascii="Palatino Linotype" w:eastAsia="Palatino Linotype" w:hAnsi="Palatino Linotype" w:cs="Palatino Linotype"/>
          <w:b/>
          <w:i/>
          <w:color w:val="000000"/>
        </w:rPr>
        <w:t xml:space="preserve">En cuanto al derecho de acceso a la información, la Ley de Transparencia y Acceso a la Información Pública del Estado de México y Municipios prevé </w:t>
      </w:r>
      <w:r>
        <w:rPr>
          <w:rFonts w:ascii="Palatino Linotype" w:eastAsia="Palatino Linotype" w:hAnsi="Palatino Linotype" w:cs="Palatino Linotype"/>
          <w:b/>
          <w:i/>
          <w:color w:val="000000"/>
        </w:rPr>
        <w:lastRenderedPageBreak/>
        <w:t>establece que e</w:t>
      </w:r>
      <w:r>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asimismo establece</w:t>
      </w:r>
      <w:r>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169BD90D"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73E285AF"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Pr>
          <w:rFonts w:ascii="Palatino Linotype" w:eastAsia="Palatino Linotype" w:hAnsi="Palatino Linotype" w:cs="Palatino Linotype"/>
        </w:rPr>
        <w:t>administran</w:t>
      </w:r>
      <w:r>
        <w:rPr>
          <w:rFonts w:ascii="Palatino Linotype" w:eastAsia="Palatino Linotype" w:hAnsi="Palatino Linotype" w:cs="Palatino Linotype"/>
          <w:color w:val="000000"/>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542F9318"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402AD7C3"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Es así que, su obligación es </w:t>
      </w:r>
      <w:r>
        <w:rPr>
          <w:rFonts w:ascii="Palatino Linotype" w:eastAsia="Palatino Linotype" w:hAnsi="Palatino Linotype" w:cs="Palatino Linotype"/>
          <w:i/>
          <w:color w:val="000000"/>
        </w:rPr>
        <w:t>realizar, con efectividad, los trámites internos necesarios para la atención de las solicitudes de información</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color w:val="000000"/>
        </w:rPr>
        <w:t>, es decir, deben otorgar respuestas concisas, contundentes y sobre todo que den la certeza de los actos que realizan.</w:t>
      </w:r>
    </w:p>
    <w:p w14:paraId="46A417BA"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202F03C7"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lastRenderedPageBreak/>
        <w:t>Al respecto, es menester hacer referencia a lo establecido en los artículos 50, 53 fracciones II, IV y V, 58, 59 fracciones I y II, y 162 de la Ley de Transparencia y Acceso a la Información del Estado de México y Municipios, que a la letra estipulan lo siguiente:</w:t>
      </w:r>
    </w:p>
    <w:p w14:paraId="46B0AE87"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50. </w:t>
      </w:r>
      <w:r>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14:paraId="03244498" w14:textId="77777777" w:rsidR="00524F6F" w:rsidRDefault="00524F6F">
      <w:pPr>
        <w:ind w:left="851" w:right="616"/>
        <w:jc w:val="both"/>
        <w:rPr>
          <w:rFonts w:ascii="Palatino Linotype" w:eastAsia="Palatino Linotype" w:hAnsi="Palatino Linotype" w:cs="Palatino Linotype"/>
          <w:i/>
          <w:sz w:val="22"/>
          <w:szCs w:val="22"/>
        </w:rPr>
      </w:pPr>
    </w:p>
    <w:p w14:paraId="21681CA4"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53. </w:t>
      </w:r>
      <w:r>
        <w:rPr>
          <w:rFonts w:ascii="Palatino Linotype" w:eastAsia="Palatino Linotype" w:hAnsi="Palatino Linotype" w:cs="Palatino Linotype"/>
          <w:i/>
          <w:sz w:val="22"/>
          <w:szCs w:val="22"/>
        </w:rPr>
        <w:t>Las Unidades de Transparencia tendrán las siguientes funciones:</w:t>
      </w:r>
    </w:p>
    <w:p w14:paraId="321F7382"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B9F07FB"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Recibir, tramitar y dar respuesta a las solicitudes de acceso a la información;</w:t>
      </w:r>
    </w:p>
    <w:p w14:paraId="1F022C82"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17248AD"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14:paraId="085AD956"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Entregar, en su caso, a los particulares la información solicitada;</w:t>
      </w:r>
    </w:p>
    <w:p w14:paraId="20506C78"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85E0239" w14:textId="77777777" w:rsidR="00524F6F" w:rsidRDefault="00524F6F">
      <w:pPr>
        <w:ind w:left="851" w:right="616"/>
        <w:jc w:val="both"/>
        <w:rPr>
          <w:rFonts w:ascii="Palatino Linotype" w:eastAsia="Palatino Linotype" w:hAnsi="Palatino Linotype" w:cs="Palatino Linotype"/>
          <w:i/>
          <w:sz w:val="22"/>
          <w:szCs w:val="22"/>
        </w:rPr>
      </w:pPr>
    </w:p>
    <w:p w14:paraId="59881B3F"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58. </w:t>
      </w:r>
      <w:r>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14:paraId="558A3838" w14:textId="77777777" w:rsidR="00524F6F" w:rsidRDefault="00524F6F">
      <w:pPr>
        <w:ind w:left="851" w:right="616"/>
        <w:jc w:val="both"/>
        <w:rPr>
          <w:rFonts w:ascii="Palatino Linotype" w:eastAsia="Palatino Linotype" w:hAnsi="Palatino Linotype" w:cs="Palatino Linotype"/>
          <w:i/>
          <w:sz w:val="22"/>
          <w:szCs w:val="22"/>
        </w:rPr>
      </w:pPr>
    </w:p>
    <w:p w14:paraId="329BB19C"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59. </w:t>
      </w:r>
      <w:r>
        <w:rPr>
          <w:rFonts w:ascii="Palatino Linotype" w:eastAsia="Palatino Linotype" w:hAnsi="Palatino Linotype" w:cs="Palatino Linotype"/>
          <w:i/>
          <w:sz w:val="22"/>
          <w:szCs w:val="22"/>
        </w:rPr>
        <w:t>Los servidores públicos habilitados tendrán las funciones siguientes:</w:t>
      </w:r>
    </w:p>
    <w:p w14:paraId="19F96B6A" w14:textId="77777777" w:rsidR="00524F6F" w:rsidRDefault="00524F6F">
      <w:pPr>
        <w:ind w:left="851" w:right="616"/>
        <w:jc w:val="both"/>
        <w:rPr>
          <w:rFonts w:ascii="Palatino Linotype" w:eastAsia="Palatino Linotype" w:hAnsi="Palatino Linotype" w:cs="Palatino Linotype"/>
          <w:i/>
          <w:sz w:val="22"/>
          <w:szCs w:val="22"/>
        </w:rPr>
      </w:pPr>
    </w:p>
    <w:p w14:paraId="109A8EC3"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Localizar la información que le solicite la Unidad de Transparencia;</w:t>
      </w:r>
    </w:p>
    <w:p w14:paraId="14638CBC"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14:paraId="4A1ABD1F"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ED62A45" w14:textId="77777777" w:rsidR="00524F6F" w:rsidRDefault="00524F6F">
      <w:pPr>
        <w:ind w:left="851" w:right="616"/>
        <w:jc w:val="both"/>
        <w:rPr>
          <w:rFonts w:ascii="Palatino Linotype" w:eastAsia="Palatino Linotype" w:hAnsi="Palatino Linotype" w:cs="Palatino Linotype"/>
          <w:i/>
          <w:sz w:val="22"/>
          <w:szCs w:val="22"/>
        </w:rPr>
      </w:pPr>
    </w:p>
    <w:p w14:paraId="79209B5D" w14:textId="77777777" w:rsidR="00524F6F" w:rsidRDefault="00BC25C3">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162. </w:t>
      </w:r>
      <w:r>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2F53A30" w14:textId="77777777" w:rsidR="00524F6F" w:rsidRDefault="00524F6F">
      <w:pPr>
        <w:spacing w:line="360" w:lineRule="auto"/>
        <w:jc w:val="both"/>
        <w:rPr>
          <w:rFonts w:ascii="Palatino Linotype" w:eastAsia="Palatino Linotype" w:hAnsi="Palatino Linotype" w:cs="Palatino Linotype"/>
        </w:rPr>
      </w:pPr>
    </w:p>
    <w:p w14:paraId="44C649EF"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w:t>
      </w:r>
      <w:r>
        <w:rPr>
          <w:rFonts w:ascii="Palatino Linotype" w:eastAsia="Palatino Linotype" w:hAnsi="Palatino Linotype" w:cs="Palatino Linotype"/>
          <w:color w:val="000000"/>
        </w:rPr>
        <w:lastRenderedPageBreak/>
        <w:t xml:space="preserve">internos necesarios para la atención de las solicitudes de acceso a la información; así como, entregar, en su caso, a los particulares la información solicitada. Por su parte, </w:t>
      </w:r>
      <w:proofErr w:type="gramStart"/>
      <w:r>
        <w:rPr>
          <w:rFonts w:ascii="Palatino Linotype" w:eastAsia="Palatino Linotype" w:hAnsi="Palatino Linotype" w:cs="Palatino Linotype"/>
          <w:color w:val="000000"/>
        </w:rPr>
        <w:t xml:space="preserve">los servidores públicos habilitados </w:t>
      </w:r>
      <w:r>
        <w:rPr>
          <w:rFonts w:ascii="Palatino Linotype" w:eastAsia="Palatino Linotype" w:hAnsi="Palatino Linotype" w:cs="Palatino Linotype"/>
        </w:rPr>
        <w:t>auxiliará</w:t>
      </w:r>
      <w:proofErr w:type="gramEnd"/>
      <w:r>
        <w:rPr>
          <w:rFonts w:ascii="Palatino Linotype" w:eastAsia="Palatino Linotype" w:hAnsi="Palatino Linotype" w:cs="Palatino Linotype"/>
          <w:color w:val="000000"/>
        </w:rPr>
        <w:t xml:space="preserve">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14:paraId="060F3177"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FE95B54"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066168BB" w14:textId="77777777" w:rsidR="00524F6F" w:rsidRDefault="00524F6F">
      <w:pPr>
        <w:pBdr>
          <w:top w:val="nil"/>
          <w:left w:val="nil"/>
          <w:bottom w:val="nil"/>
          <w:right w:val="nil"/>
          <w:between w:val="nil"/>
        </w:pBdr>
        <w:ind w:left="720"/>
        <w:rPr>
          <w:rFonts w:ascii="Palatino Linotype" w:eastAsia="Palatino Linotype" w:hAnsi="Palatino Linotype" w:cs="Palatino Linotype"/>
          <w:color w:val="000000"/>
        </w:rPr>
      </w:pPr>
    </w:p>
    <w:p w14:paraId="61FB7EC9" w14:textId="77777777" w:rsidR="00524F6F" w:rsidRDefault="00BC25C3">
      <w:pPr>
        <w:numPr>
          <w:ilvl w:val="0"/>
          <w:numId w:val="8"/>
        </w:numPr>
        <w:pBdr>
          <w:top w:val="nil"/>
          <w:left w:val="nil"/>
          <w:bottom w:val="nil"/>
          <w:right w:val="nil"/>
          <w:between w:val="nil"/>
        </w:pBdr>
        <w:shd w:val="clear" w:color="auto" w:fill="FFFFFF"/>
        <w:spacing w:after="240" w:line="360" w:lineRule="auto"/>
        <w:jc w:val="both"/>
        <w:rPr>
          <w:color w:val="222222"/>
        </w:rPr>
      </w:pPr>
      <w:r>
        <w:rPr>
          <w:rFonts w:ascii="Palatino Linotype" w:eastAsia="Palatino Linotype" w:hAnsi="Palatino Linotype" w:cs="Palatino Linotype"/>
          <w:color w:val="000000"/>
        </w:rPr>
        <w:t>En el caso que se resuelve, la respuesta fue emitida por la Tesorera Municipal, quien de acuerdo al Reglamento Interno de Tesorería Municipal 2022-2024, para el despacho de sus asuntos, está integrada, entre otras áreas, por el Catastro Municipal.</w:t>
      </w:r>
      <w:r>
        <w:rPr>
          <w:rFonts w:ascii="Palatino Linotype" w:eastAsia="Palatino Linotype" w:hAnsi="Palatino Linotype" w:cs="Palatino Linotype"/>
          <w:color w:val="222222"/>
        </w:rPr>
        <w:t xml:space="preserve"> </w:t>
      </w:r>
      <w:r>
        <w:rPr>
          <w:rFonts w:ascii="Palatino Linotype" w:eastAsia="Palatino Linotype" w:hAnsi="Palatino Linotype" w:cs="Palatino Linotype"/>
          <w:color w:val="000000"/>
        </w:rPr>
        <w:t xml:space="preserve">Tal y como se advierte, el área a la cual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la solicitud es la que de </w:t>
      </w:r>
      <w:proofErr w:type="gramStart"/>
      <w:r>
        <w:rPr>
          <w:rFonts w:ascii="Palatino Linotype" w:eastAsia="Palatino Linotype" w:hAnsi="Palatino Linotype" w:cs="Palatino Linotype"/>
          <w:color w:val="000000"/>
        </w:rPr>
        <w:t>acuerdo  a</w:t>
      </w:r>
      <w:proofErr w:type="gramEnd"/>
      <w:r>
        <w:rPr>
          <w:rFonts w:ascii="Palatino Linotype" w:eastAsia="Palatino Linotype" w:hAnsi="Palatino Linotype" w:cs="Palatino Linotype"/>
          <w:color w:val="000000"/>
        </w:rPr>
        <w:t xml:space="preserve"> sus facultades, genera, posee y administra la información solicitada. </w:t>
      </w:r>
    </w:p>
    <w:p w14:paraId="083BCF59" w14:textId="77777777" w:rsidR="00524F6F" w:rsidRDefault="00BC25C3">
      <w:pPr>
        <w:numPr>
          <w:ilvl w:val="0"/>
          <w:numId w:val="8"/>
        </w:numPr>
        <w:shd w:val="clear" w:color="auto" w:fill="FFFFFF"/>
        <w:spacing w:before="240" w:after="240" w:line="360" w:lineRule="auto"/>
        <w:jc w:val="both"/>
        <w:rPr>
          <w:color w:val="222222"/>
        </w:rPr>
      </w:pPr>
      <w:r>
        <w:rPr>
          <w:rFonts w:ascii="Palatino Linotype" w:eastAsia="Palatino Linotype" w:hAnsi="Palatino Linotype" w:cs="Palatino Linotype"/>
          <w:color w:val="222222"/>
        </w:rPr>
        <w:t xml:space="preserve">Ahora bien, recordemos que el Sujeto Obligado manifestó en respuesta </w:t>
      </w:r>
      <w:proofErr w:type="gramStart"/>
      <w:r>
        <w:rPr>
          <w:rFonts w:ascii="Palatino Linotype" w:eastAsia="Palatino Linotype" w:hAnsi="Palatino Linotype" w:cs="Palatino Linotype"/>
          <w:color w:val="222222"/>
        </w:rPr>
        <w:t>que  la</w:t>
      </w:r>
      <w:proofErr w:type="gramEnd"/>
      <w:r>
        <w:rPr>
          <w:rFonts w:ascii="Palatino Linotype" w:eastAsia="Palatino Linotype" w:hAnsi="Palatino Linotype" w:cs="Palatino Linotype"/>
          <w:color w:val="222222"/>
        </w:rPr>
        <w:t xml:space="preserve"> información solicitada no podía ser entregada por contener información personal, que puede afectar a terceros en relación a su patrimonio. </w:t>
      </w:r>
    </w:p>
    <w:p w14:paraId="798E3324" w14:textId="77777777" w:rsidR="00524F6F" w:rsidRDefault="00BC25C3">
      <w:pPr>
        <w:numPr>
          <w:ilvl w:val="0"/>
          <w:numId w:val="8"/>
        </w:numPr>
        <w:pBdr>
          <w:top w:val="nil"/>
          <w:left w:val="nil"/>
          <w:bottom w:val="nil"/>
          <w:right w:val="nil"/>
          <w:between w:val="nil"/>
        </w:pBdr>
        <w:tabs>
          <w:tab w:val="left" w:pos="426"/>
        </w:tabs>
        <w:spacing w:before="240" w:line="360" w:lineRule="auto"/>
        <w:jc w:val="both"/>
        <w:rPr>
          <w:color w:val="000000"/>
        </w:rPr>
      </w:pPr>
      <w:r>
        <w:rPr>
          <w:rFonts w:ascii="Palatino Linotype" w:eastAsia="Palatino Linotype" w:hAnsi="Palatino Linotype" w:cs="Palatino Linotype"/>
          <w:color w:val="000000"/>
        </w:rPr>
        <w:t xml:space="preserve">En ese sentido, se precisa que se obvia el análisis de la competencia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generar, administrar o poseer la información </w:t>
      </w:r>
      <w:r>
        <w:rPr>
          <w:rFonts w:ascii="Palatino Linotype" w:eastAsia="Palatino Linotype" w:hAnsi="Palatino Linotype" w:cs="Palatino Linotype"/>
          <w:color w:val="000000"/>
        </w:rPr>
        <w:lastRenderedPageBreak/>
        <w:t>solicitada, dado que éste ha asumido la misma, en razón de que en su respuesta admitió contar con dicha información.</w:t>
      </w:r>
    </w:p>
    <w:p w14:paraId="5F4CD38D"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15CC295" w14:textId="77777777" w:rsidR="00524F6F" w:rsidRDefault="00BC25C3">
      <w:pPr>
        <w:numPr>
          <w:ilvl w:val="0"/>
          <w:numId w:val="8"/>
        </w:numPr>
        <w:pBdr>
          <w:top w:val="nil"/>
          <w:left w:val="nil"/>
          <w:bottom w:val="nil"/>
          <w:right w:val="nil"/>
          <w:between w:val="nil"/>
        </w:pBdr>
        <w:spacing w:line="360" w:lineRule="auto"/>
        <w:jc w:val="both"/>
        <w:rPr>
          <w:color w:val="000000"/>
        </w:rPr>
      </w:pPr>
      <w:bookmarkStart w:id="3" w:name="_heading=h.gjdgxs" w:colFirst="0" w:colLast="0"/>
      <w:bookmarkEnd w:id="3"/>
      <w:r>
        <w:rPr>
          <w:rFonts w:ascii="Palatino Linotype" w:eastAsia="Palatino Linotype" w:hAnsi="Palatino Linotype" w:cs="Palatino Linotype"/>
          <w:color w:val="000000"/>
        </w:rPr>
        <w:t xml:space="preserve">En efecto, el hecho de que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xml:space="preserve">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7EA1995A" w14:textId="77777777" w:rsidR="00524F6F" w:rsidRDefault="00BC25C3">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w:t>
      </w:r>
    </w:p>
    <w:p w14:paraId="18851FFD" w14:textId="77777777" w:rsidR="00524F6F" w:rsidRDefault="00524F6F">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p>
    <w:p w14:paraId="4628DDFD" w14:textId="77777777" w:rsidR="00524F6F" w:rsidRDefault="00BC25C3">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8D90BC7" w14:textId="77777777" w:rsidR="00524F6F" w:rsidRDefault="00524F6F">
      <w:pPr>
        <w:pBdr>
          <w:top w:val="nil"/>
          <w:left w:val="nil"/>
          <w:bottom w:val="nil"/>
          <w:right w:val="nil"/>
          <w:between w:val="nil"/>
        </w:pBdr>
        <w:ind w:right="902"/>
        <w:jc w:val="both"/>
        <w:rPr>
          <w:rFonts w:ascii="Palatino Linotype" w:eastAsia="Palatino Linotype" w:hAnsi="Palatino Linotype" w:cs="Palatino Linotype"/>
          <w:color w:val="000000"/>
        </w:rPr>
      </w:pPr>
    </w:p>
    <w:p w14:paraId="29A5951B"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Así, el estudio de la naturaleza jurídica de la información pública solicitada, tiene por objeto determinar si ésta la genera, posee o administra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5055EF0B"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BC068B8" w14:textId="77777777" w:rsidR="00524F6F" w:rsidRDefault="00BC25C3">
      <w:pPr>
        <w:numPr>
          <w:ilvl w:val="0"/>
          <w:numId w:val="8"/>
        </w:numPr>
        <w:spacing w:line="360" w:lineRule="auto"/>
        <w:jc w:val="both"/>
      </w:pPr>
      <w:r>
        <w:rPr>
          <w:rFonts w:ascii="Palatino Linotype" w:eastAsia="Palatino Linotype" w:hAnsi="Palatino Linotype" w:cs="Palatino Linotype"/>
        </w:rPr>
        <w:lastRenderedPageBreak/>
        <w:t xml:space="preserve">En ese sentido, es de resaltar que el Sujeto Obligado no niega contar con la información señalada, por el contrario, se presume que dicha información la posee, genera o administra, pues asumió contar con ella, tan es así que hizo del conocimiento del particular, que no se puede hacer llegar la información solicitada </w:t>
      </w:r>
      <w:r>
        <w:rPr>
          <w:rFonts w:ascii="Palatino Linotype" w:eastAsia="Palatino Linotype" w:hAnsi="Palatino Linotype" w:cs="Palatino Linotype"/>
          <w:color w:val="000000"/>
        </w:rPr>
        <w:t>por contener datos personales</w:t>
      </w:r>
      <w:r>
        <w:rPr>
          <w:rFonts w:ascii="Palatino Linotype" w:eastAsia="Palatino Linotype" w:hAnsi="Palatino Linotype" w:cs="Palatino Linotype"/>
        </w:rPr>
        <w:t>. Ante tal circunstancia se advierte que el Sujeto Obligado pretendió clasificar la información.</w:t>
      </w:r>
    </w:p>
    <w:p w14:paraId="6F7E07A6" w14:textId="77777777" w:rsidR="00524F6F" w:rsidRDefault="00524F6F">
      <w:pPr>
        <w:spacing w:line="360" w:lineRule="auto"/>
        <w:jc w:val="both"/>
        <w:rPr>
          <w:rFonts w:ascii="Palatino Linotype" w:eastAsia="Palatino Linotype" w:hAnsi="Palatino Linotype" w:cs="Palatino Linotype"/>
        </w:rPr>
      </w:pPr>
    </w:p>
    <w:p w14:paraId="50F85CF8"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Lo anterior se afirma así, ya que ante una clasificación de la información, no puede coexistir a su vez una inexistencia de la misma, en virtud de que la inexistencia significa necesariamente que la información solicitada no se encuentra en los archivos del Sujeto Obligado, en atención a que no la genera, administra y/o posee como consecuencia del ejercicio de sus atribuciones, que habiendo tenidos que generarla no lo hizo o que no tuvo una existencia previa pero por razones diversas actualmente ya no existe en sus archivos, y la clasificación de manera contraria implica que la información se ubica en los archivos del Sujeto Obligado, tan es así que le otorga el carácter de confidencial o reservada.</w:t>
      </w:r>
    </w:p>
    <w:p w14:paraId="63138510"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7EE49106"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En otras palabras, la clasificación y la inexistencia se excluyen entre sí, por tanto, si en el presente caso, el Sujeto Obligado negó la entrega de la información, está reconociendo implícitamente que los mismos obran en sus archivos. Tiene aplicación al respecto, el criterio 29/10 sostenido por el Instituto Nacional de Transparencia, Acceso a la Información y Protección de Datos Personales, mismo que se señala lo siguiente:</w:t>
      </w:r>
    </w:p>
    <w:p w14:paraId="219C87B2" w14:textId="77777777" w:rsidR="00524F6F" w:rsidRDefault="00BC25C3">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La clasificación y la inexistencia de información son conceptos que no pueden coexistir. </w:t>
      </w:r>
      <w:r>
        <w:rPr>
          <w:rFonts w:ascii="Palatino Linotype" w:eastAsia="Palatino Linotype" w:hAnsi="Palatino Linotype" w:cs="Palatino Linotype"/>
          <w:i/>
          <w:color w:val="000000"/>
          <w:sz w:val="22"/>
          <w:szCs w:val="22"/>
        </w:rPr>
        <w:t xml:space="preserve">La inexistencia implica necesariamente que la información no </w:t>
      </w:r>
      <w:r>
        <w:rPr>
          <w:rFonts w:ascii="Palatino Linotype" w:eastAsia="Palatino Linotype" w:hAnsi="Palatino Linotype" w:cs="Palatino Linotype"/>
          <w:i/>
          <w:color w:val="000000"/>
          <w:sz w:val="22"/>
          <w:szCs w:val="22"/>
        </w:rPr>
        <w:lastRenderedPageBreak/>
        <w:t xml:space="preserve">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w:t>
      </w:r>
      <w:proofErr w:type="gramStart"/>
      <w:r>
        <w:rPr>
          <w:rFonts w:ascii="Palatino Linotype" w:eastAsia="Palatino Linotype" w:hAnsi="Palatino Linotype" w:cs="Palatino Linotype"/>
          <w:i/>
          <w:color w:val="000000"/>
          <w:sz w:val="22"/>
          <w:szCs w:val="22"/>
        </w:rPr>
        <w:t>contenida  en</w:t>
      </w:r>
      <w:proofErr w:type="gramEnd"/>
      <w:r>
        <w:rPr>
          <w:rFonts w:ascii="Palatino Linotype" w:eastAsia="Palatino Linotype" w:hAnsi="Palatino Linotype" w:cs="Palatino Linotype"/>
          <w:i/>
          <w:color w:val="000000"/>
          <w:sz w:val="22"/>
          <w:szCs w:val="22"/>
        </w:rPr>
        <w:t xml:space="preserve">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0D0E7C87" w14:textId="77777777" w:rsidR="00524F6F" w:rsidRDefault="00524F6F">
      <w:pPr>
        <w:pBdr>
          <w:top w:val="nil"/>
          <w:left w:val="nil"/>
          <w:bottom w:val="nil"/>
          <w:right w:val="nil"/>
          <w:between w:val="nil"/>
        </w:pBdr>
        <w:spacing w:line="276" w:lineRule="auto"/>
        <w:ind w:left="851" w:right="822"/>
        <w:jc w:val="both"/>
        <w:rPr>
          <w:rFonts w:ascii="Palatino Linotype" w:eastAsia="Palatino Linotype" w:hAnsi="Palatino Linotype" w:cs="Palatino Linotype"/>
          <w:i/>
          <w:color w:val="000000"/>
        </w:rPr>
      </w:pPr>
    </w:p>
    <w:p w14:paraId="7FCBF7BE" w14:textId="77777777" w:rsidR="00524F6F" w:rsidRDefault="00524F6F">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4EEC36C6" w14:textId="77777777" w:rsidR="00524F6F" w:rsidRDefault="00BC25C3">
      <w:pPr>
        <w:numPr>
          <w:ilvl w:val="0"/>
          <w:numId w:val="8"/>
        </w:numPr>
        <w:spacing w:line="360" w:lineRule="auto"/>
        <w:ind w:right="49"/>
        <w:jc w:val="both"/>
      </w:pPr>
      <w:r>
        <w:rPr>
          <w:rFonts w:ascii="Palatino Linotype" w:eastAsia="Palatino Linotype" w:hAnsi="Palatino Linotype" w:cs="Palatino Linotype"/>
        </w:rPr>
        <w:t xml:space="preserve">Ahora bien, en razón de la pretendida clasificación de la información por parte del Sujeto Obligado, es importante señalar que la clasificación total o parcial de la información requerida mediante solicitud de acceso a la información pública, constituye una restricción al derecho humano de acceso a la información. </w:t>
      </w:r>
    </w:p>
    <w:p w14:paraId="56FE226B" w14:textId="77777777" w:rsidR="00524F6F" w:rsidRDefault="00524F6F">
      <w:pPr>
        <w:spacing w:line="360" w:lineRule="auto"/>
        <w:ind w:right="49"/>
        <w:jc w:val="both"/>
        <w:rPr>
          <w:rFonts w:ascii="Palatino Linotype" w:eastAsia="Palatino Linotype" w:hAnsi="Palatino Linotype" w:cs="Palatino Linotype"/>
        </w:rPr>
      </w:pPr>
    </w:p>
    <w:p w14:paraId="6E7B5090" w14:textId="77777777" w:rsidR="00524F6F" w:rsidRDefault="00BC25C3">
      <w:pPr>
        <w:numPr>
          <w:ilvl w:val="0"/>
          <w:numId w:val="8"/>
        </w:numPr>
        <w:spacing w:line="360" w:lineRule="auto"/>
        <w:ind w:right="49"/>
        <w:jc w:val="both"/>
      </w:pPr>
      <w:r>
        <w:rPr>
          <w:rFonts w:ascii="Palatino Linotype" w:eastAsia="Palatino Linotype" w:hAnsi="Palatino Linotype" w:cs="Palatino Linotype"/>
        </w:rPr>
        <w:t>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0BCEA185" w14:textId="77777777" w:rsidR="00524F6F" w:rsidRDefault="00524F6F">
      <w:pPr>
        <w:spacing w:line="360" w:lineRule="auto"/>
        <w:ind w:right="49"/>
        <w:jc w:val="both"/>
        <w:rPr>
          <w:rFonts w:ascii="Palatino Linotype" w:eastAsia="Palatino Linotype" w:hAnsi="Palatino Linotype" w:cs="Palatino Linotype"/>
        </w:rPr>
      </w:pPr>
    </w:p>
    <w:p w14:paraId="111732E0" w14:textId="77777777" w:rsidR="00524F6F" w:rsidRDefault="00BC25C3">
      <w:pPr>
        <w:numPr>
          <w:ilvl w:val="0"/>
          <w:numId w:val="8"/>
        </w:numPr>
        <w:spacing w:line="360" w:lineRule="auto"/>
        <w:ind w:right="49"/>
        <w:jc w:val="both"/>
      </w:pPr>
      <w:r>
        <w:rPr>
          <w:rFonts w:ascii="Palatino Linotype" w:eastAsia="Palatino Linotype" w:hAnsi="Palatino Linotype" w:cs="Palatino Linotype"/>
          <w:color w:val="000000"/>
        </w:rPr>
        <w:t xml:space="preserve">En este caso, es importante señalar que para la clasificación de la información se debe atender a </w:t>
      </w:r>
      <w:proofErr w:type="gramStart"/>
      <w:r>
        <w:rPr>
          <w:rFonts w:ascii="Palatino Linotype" w:eastAsia="Palatino Linotype" w:hAnsi="Palatino Linotype" w:cs="Palatino Linotype"/>
          <w:color w:val="000000"/>
        </w:rPr>
        <w:t>cierta formalidades establecidas</w:t>
      </w:r>
      <w:proofErr w:type="gramEnd"/>
      <w:r>
        <w:rPr>
          <w:rFonts w:ascii="Palatino Linotype" w:eastAsia="Palatino Linotype" w:hAnsi="Palatino Linotype" w:cs="Palatino Linotype"/>
          <w:color w:val="000000"/>
        </w:rPr>
        <w:t xml:space="preserve"> en la Ley</w:t>
      </w:r>
      <w:r>
        <w:rPr>
          <w:rFonts w:ascii="Palatino Linotype" w:eastAsia="Palatino Linotype" w:hAnsi="Palatino Linotype" w:cs="Palatino Linotype"/>
        </w:rPr>
        <w:t xml:space="preserve">, al respecto, los </w:t>
      </w:r>
      <w:r>
        <w:rPr>
          <w:rFonts w:ascii="Palatino Linotype" w:eastAsia="Palatino Linotype" w:hAnsi="Palatino Linotype" w:cs="Palatino Linotype"/>
        </w:rPr>
        <w:lastRenderedPageBreak/>
        <w:t>Lineamientos Generales en Materia de Clasificación y Desclasificación de la Información, así Como para la Elaboración de Versiones Públicas, por cuanto hace a la clasificación de la información, señalan lo siguiente:</w:t>
      </w:r>
    </w:p>
    <w:p w14:paraId="420780C2" w14:textId="77777777" w:rsidR="00524F6F" w:rsidRDefault="00BC25C3">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Quincuagésimo.</w:t>
      </w:r>
      <w:r>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34E373F6" w14:textId="77777777" w:rsidR="00524F6F" w:rsidRDefault="00524F6F">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p>
    <w:p w14:paraId="14E463E9" w14:textId="77777777" w:rsidR="00524F6F" w:rsidRDefault="00BC25C3">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primero.</w:t>
      </w:r>
      <w:r>
        <w:rPr>
          <w:rFonts w:ascii="Palatino Linotype" w:eastAsia="Palatino Linotype" w:hAnsi="Palatino Linotype" w:cs="Palatino Linotype"/>
          <w:i/>
          <w:color w:val="000000"/>
          <w:sz w:val="22"/>
          <w:szCs w:val="22"/>
        </w:rPr>
        <w:t xml:space="preserve"> La leyenda en los documentos clasificados indicará:</w:t>
      </w:r>
    </w:p>
    <w:p w14:paraId="18D99652" w14:textId="77777777" w:rsidR="00524F6F" w:rsidRDefault="00BC25C3">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La fecha de sesión del Comité de Transparencia en donde se confirmó la clasificación, en su caso;</w:t>
      </w:r>
    </w:p>
    <w:p w14:paraId="6E6895DD" w14:textId="77777777" w:rsidR="00524F6F" w:rsidRDefault="00BC25C3">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nombre del área;</w:t>
      </w:r>
    </w:p>
    <w:p w14:paraId="3D4A2377" w14:textId="77777777" w:rsidR="00524F6F" w:rsidRDefault="00BC25C3">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palabra reservado o confidencial;</w:t>
      </w:r>
    </w:p>
    <w:p w14:paraId="603F6086" w14:textId="77777777" w:rsidR="00524F6F" w:rsidRDefault="00BC25C3">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Las partes o secciones reservadas o confidenciales, en su caso;</w:t>
      </w:r>
    </w:p>
    <w:p w14:paraId="7A66DBC7" w14:textId="77777777" w:rsidR="00524F6F" w:rsidRDefault="00BC25C3">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El fundamento legal;</w:t>
      </w:r>
    </w:p>
    <w:p w14:paraId="570A5F19" w14:textId="77777777" w:rsidR="00524F6F" w:rsidRDefault="00BC25C3">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El periodo de reserva, y</w:t>
      </w:r>
    </w:p>
    <w:p w14:paraId="43EF1B06" w14:textId="77777777" w:rsidR="00524F6F" w:rsidRDefault="00BC25C3">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La rúbrica del titular del área.</w:t>
      </w:r>
    </w:p>
    <w:p w14:paraId="46EC7FF5" w14:textId="77777777" w:rsidR="00524F6F" w:rsidRDefault="00524F6F">
      <w:pPr>
        <w:tabs>
          <w:tab w:val="left" w:pos="142"/>
          <w:tab w:val="left" w:pos="284"/>
          <w:tab w:val="left" w:pos="426"/>
        </w:tabs>
        <w:spacing w:line="360" w:lineRule="auto"/>
        <w:ind w:right="567"/>
        <w:jc w:val="both"/>
        <w:rPr>
          <w:rFonts w:ascii="Palatino Linotype" w:eastAsia="Palatino Linotype" w:hAnsi="Palatino Linotype" w:cs="Palatino Linotype"/>
          <w:i/>
        </w:rPr>
      </w:pPr>
    </w:p>
    <w:p w14:paraId="79F5BE7B" w14:textId="77777777" w:rsidR="00524F6F" w:rsidRDefault="00BC25C3">
      <w:pPr>
        <w:numPr>
          <w:ilvl w:val="0"/>
          <w:numId w:val="8"/>
        </w:numPr>
        <w:pBdr>
          <w:top w:val="nil"/>
          <w:left w:val="nil"/>
          <w:bottom w:val="nil"/>
          <w:right w:val="nil"/>
          <w:between w:val="nil"/>
        </w:pBdr>
        <w:tabs>
          <w:tab w:val="left" w:pos="0"/>
        </w:tabs>
        <w:spacing w:line="360" w:lineRule="auto"/>
        <w:ind w:right="49"/>
        <w:jc w:val="both"/>
        <w:rPr>
          <w:color w:val="000000"/>
        </w:rPr>
      </w:pPr>
      <w:r>
        <w:rPr>
          <w:rFonts w:ascii="Palatino Linotype" w:eastAsia="Palatino Linotype" w:hAnsi="Palatino Linotype" w:cs="Palatino Linotype"/>
          <w:color w:val="000000"/>
        </w:rPr>
        <w:t xml:space="preserve">Una vez hecho lo anterior, se remite la información al Titular de la Unidad de Transparencia, con el acuerdo de clasificación correspondiente, para que sea </w:t>
      </w:r>
      <w:r>
        <w:rPr>
          <w:rFonts w:ascii="Palatino Linotype" w:eastAsia="Palatino Linotype" w:hAnsi="Palatino Linotype" w:cs="Palatino Linotype"/>
        </w:rPr>
        <w:t>sometida</w:t>
      </w:r>
      <w:r>
        <w:rPr>
          <w:rFonts w:ascii="Palatino Linotype" w:eastAsia="Palatino Linotype" w:hAnsi="Palatino Linotype" w:cs="Palatino Linotype"/>
          <w:color w:val="000000"/>
        </w:rPr>
        <w:t xml:space="preserve"> al conocimiento del Comité de Transparencia.</w:t>
      </w:r>
    </w:p>
    <w:p w14:paraId="639964C6" w14:textId="77777777" w:rsidR="00524F6F" w:rsidRDefault="00524F6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0EBBF5F2" w14:textId="77777777" w:rsidR="00524F6F" w:rsidRDefault="00BC25C3">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4" w:name="_heading=h.30j0zll" w:colFirst="0" w:colLast="0"/>
      <w:bookmarkEnd w:id="4"/>
      <w:r>
        <w:rPr>
          <w:rFonts w:ascii="Palatino Linotype" w:eastAsia="Palatino Linotype" w:hAnsi="Palatino Linotype" w:cs="Palatino Linotype"/>
          <w:b/>
          <w:color w:val="000000"/>
        </w:rPr>
        <w:t>La intervención del Comité de Transparencia.</w:t>
      </w:r>
    </w:p>
    <w:p w14:paraId="5BD6FB9C" w14:textId="77777777" w:rsidR="00524F6F" w:rsidRDefault="00BC25C3">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Formalidades para emitir el Acuerdo de Clasificación.</w:t>
      </w:r>
    </w:p>
    <w:p w14:paraId="617F8070" w14:textId="77777777" w:rsidR="00524F6F" w:rsidRDefault="00BC25C3">
      <w:pPr>
        <w:numPr>
          <w:ilvl w:val="0"/>
          <w:numId w:val="8"/>
        </w:numPr>
        <w:pBdr>
          <w:top w:val="nil"/>
          <w:left w:val="nil"/>
          <w:bottom w:val="nil"/>
          <w:right w:val="nil"/>
          <w:between w:val="nil"/>
        </w:pBdr>
        <w:tabs>
          <w:tab w:val="left" w:pos="0"/>
        </w:tabs>
        <w:spacing w:line="360" w:lineRule="auto"/>
        <w:ind w:right="49"/>
        <w:jc w:val="both"/>
        <w:rPr>
          <w:color w:val="000000"/>
        </w:rPr>
      </w:pPr>
      <w:r>
        <w:rPr>
          <w:rFonts w:ascii="Palatino Linotype" w:eastAsia="Palatino Linotype" w:hAnsi="Palatino Linotype" w:cs="Palatino Linotype"/>
          <w:color w:val="000000"/>
        </w:rPr>
        <w:t xml:space="preserve">El Comité de Transparencia, según lo dispuesto en los artículos 128 y 103 de la Ley Estatal y de la Ley General, respectivamente, y la fracción III del numeral </w:t>
      </w:r>
      <w:r>
        <w:rPr>
          <w:rFonts w:ascii="Palatino Linotype" w:eastAsia="Palatino Linotype" w:hAnsi="Palatino Linotype" w:cs="Palatino Linotype"/>
          <w:color w:val="000000"/>
        </w:rPr>
        <w:lastRenderedPageBreak/>
        <w:t xml:space="preserve">Segundo de los Lineamientos generales en materia de clasificación y desclasificación de la información, así como para la elaboración de versiones públicas, en adelante los Lineamientos Generales, cuenta con las facultades para </w:t>
      </w:r>
      <w:r>
        <w:rPr>
          <w:rFonts w:ascii="Palatino Linotype" w:eastAsia="Palatino Linotype" w:hAnsi="Palatino Linotype" w:cs="Palatino Linotype"/>
          <w:b/>
          <w:color w:val="000000"/>
          <w:u w:val="single"/>
        </w:rPr>
        <w:t>confirmar, modificar o revocar</w:t>
      </w:r>
      <w:r>
        <w:rPr>
          <w:rFonts w:ascii="Palatino Linotype" w:eastAsia="Palatino Linotype" w:hAnsi="Palatino Linotype" w:cs="Palatino Linotype"/>
          <w:color w:val="000000"/>
        </w:rPr>
        <w:t xml:space="preserve"> la clasificación de la información que ha hecho el titular del área que administra la información. Por lo tanto, el Comité </w:t>
      </w:r>
      <w:r>
        <w:rPr>
          <w:rFonts w:ascii="Palatino Linotype" w:eastAsia="Palatino Linotype" w:hAnsi="Palatino Linotype" w:cs="Palatino Linotype"/>
          <w:b/>
          <w:color w:val="000000"/>
          <w:u w:val="single"/>
        </w:rPr>
        <w:t>no aprueba</w:t>
      </w:r>
      <w:r>
        <w:rPr>
          <w:rFonts w:ascii="Palatino Linotype" w:eastAsia="Palatino Linotype" w:hAnsi="Palatino Linotype" w:cs="Palatino Linotype"/>
          <w:color w:val="000000"/>
        </w:rPr>
        <w:t xml:space="preserve"> la clasificación, sino que revisa lo que ha hecho el titular del área y confirma, modifica o revoca la decisión a través de un acuerdo.</w:t>
      </w:r>
    </w:p>
    <w:p w14:paraId="736F30AF" w14:textId="77777777" w:rsidR="00524F6F" w:rsidRDefault="00524F6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0BABAE47" w14:textId="77777777" w:rsidR="00524F6F" w:rsidRDefault="00BC25C3">
      <w:pPr>
        <w:numPr>
          <w:ilvl w:val="0"/>
          <w:numId w:val="8"/>
        </w:numPr>
        <w:pBdr>
          <w:top w:val="nil"/>
          <w:left w:val="nil"/>
          <w:bottom w:val="nil"/>
          <w:right w:val="nil"/>
          <w:between w:val="nil"/>
        </w:pBdr>
        <w:tabs>
          <w:tab w:val="left" w:pos="0"/>
        </w:tabs>
        <w:spacing w:line="360" w:lineRule="auto"/>
        <w:ind w:right="49"/>
        <w:jc w:val="both"/>
        <w:rPr>
          <w:color w:val="000000"/>
        </w:rPr>
      </w:pPr>
      <w:r>
        <w:rPr>
          <w:rFonts w:ascii="Palatino Linotype" w:eastAsia="Palatino Linotype" w:hAnsi="Palatino Linotype" w:cs="Palatino Linotype"/>
          <w:color w:val="000000"/>
        </w:rPr>
        <w:t xml:space="preserve">Evidentemente, esta decisión implica una restricción a un derecho humano, por lo tanto, puede generar un agravio al particular y, en consecuencia, 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54498147" w14:textId="77777777" w:rsidR="00524F6F" w:rsidRDefault="00BC25C3">
      <w:pPr>
        <w:numPr>
          <w:ilvl w:val="0"/>
          <w:numId w:val="8"/>
        </w:numPr>
        <w:pBdr>
          <w:top w:val="nil"/>
          <w:left w:val="nil"/>
          <w:bottom w:val="nil"/>
          <w:right w:val="nil"/>
          <w:between w:val="nil"/>
        </w:pBdr>
        <w:tabs>
          <w:tab w:val="left" w:pos="0"/>
        </w:tabs>
        <w:spacing w:line="360" w:lineRule="auto"/>
        <w:ind w:right="49"/>
        <w:jc w:val="both"/>
        <w:rPr>
          <w:color w:val="000000"/>
        </w:rPr>
      </w:pPr>
      <w:r>
        <w:rPr>
          <w:rFonts w:ascii="Palatino Linotype" w:eastAsia="Palatino Linotype" w:hAnsi="Palatino Linotype" w:cs="Palatino Linotype"/>
          <w:color w:val="000000"/>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w:t>
      </w:r>
      <w:r>
        <w:rPr>
          <w:rFonts w:ascii="Palatino Linotype" w:eastAsia="Palatino Linotype" w:hAnsi="Palatino Linotype" w:cs="Palatino Linotype"/>
          <w:color w:val="000000"/>
        </w:rPr>
        <w:lastRenderedPageBreak/>
        <w:t>por los titulares de áreas y que son sujetas a control, en primera instancia, por el Comité de Transparencia.</w:t>
      </w:r>
    </w:p>
    <w:p w14:paraId="22F1766F" w14:textId="77777777" w:rsidR="00524F6F" w:rsidRDefault="00524F6F">
      <w:pPr>
        <w:spacing w:line="360" w:lineRule="auto"/>
        <w:ind w:right="49"/>
        <w:jc w:val="both"/>
        <w:rPr>
          <w:rFonts w:ascii="Palatino Linotype" w:eastAsia="Palatino Linotype" w:hAnsi="Palatino Linotype" w:cs="Palatino Linotype"/>
          <w:color w:val="000000"/>
        </w:rPr>
      </w:pPr>
    </w:p>
    <w:p w14:paraId="24593A8C" w14:textId="77777777" w:rsidR="00524F6F" w:rsidRDefault="00BC25C3">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b) Requisitos de fondo del Acuerdo de Clasificación.</w:t>
      </w:r>
    </w:p>
    <w:p w14:paraId="0E27C582" w14:textId="77777777" w:rsidR="00524F6F" w:rsidRDefault="00BC25C3">
      <w:pPr>
        <w:numPr>
          <w:ilvl w:val="0"/>
          <w:numId w:val="8"/>
        </w:numPr>
        <w:pBdr>
          <w:top w:val="nil"/>
          <w:left w:val="nil"/>
          <w:bottom w:val="nil"/>
          <w:right w:val="nil"/>
          <w:between w:val="nil"/>
        </w:pBdr>
        <w:tabs>
          <w:tab w:val="left" w:pos="0"/>
        </w:tabs>
        <w:spacing w:line="360" w:lineRule="auto"/>
        <w:ind w:right="49"/>
        <w:jc w:val="both"/>
        <w:rPr>
          <w:color w:val="000000"/>
        </w:rPr>
      </w:pPr>
      <w:r>
        <w:rPr>
          <w:rFonts w:ascii="Palatino Linotype" w:eastAsia="Palatino Linotype" w:hAnsi="Palatino Linotype" w:cs="Palatino Linotype"/>
          <w:color w:val="000000"/>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6D0CBFE" w14:textId="77777777" w:rsidR="00524F6F" w:rsidRDefault="00524F6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332E98DB" w14:textId="77777777" w:rsidR="00524F6F" w:rsidRDefault="00BC25C3">
      <w:pPr>
        <w:numPr>
          <w:ilvl w:val="0"/>
          <w:numId w:val="8"/>
        </w:numPr>
        <w:pBdr>
          <w:top w:val="nil"/>
          <w:left w:val="nil"/>
          <w:bottom w:val="nil"/>
          <w:right w:val="nil"/>
          <w:between w:val="nil"/>
        </w:pBdr>
        <w:tabs>
          <w:tab w:val="left" w:pos="0"/>
        </w:tabs>
        <w:spacing w:line="360" w:lineRule="auto"/>
        <w:ind w:right="49"/>
        <w:jc w:val="both"/>
        <w:rPr>
          <w:color w:val="000000"/>
        </w:rPr>
      </w:pPr>
      <w:r>
        <w:rPr>
          <w:rFonts w:ascii="Palatino Linotype" w:eastAsia="Palatino Linotype" w:hAnsi="Palatino Linotype" w:cs="Palatino Linotype"/>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DAACB46" w14:textId="77777777" w:rsidR="00524F6F" w:rsidRDefault="00524F6F">
      <w:pPr>
        <w:pBdr>
          <w:top w:val="nil"/>
          <w:left w:val="nil"/>
          <w:bottom w:val="nil"/>
          <w:right w:val="nil"/>
          <w:between w:val="nil"/>
        </w:pBdr>
        <w:rPr>
          <w:rFonts w:ascii="Palatino Linotype" w:eastAsia="Palatino Linotype" w:hAnsi="Palatino Linotype" w:cs="Palatino Linotype"/>
          <w:color w:val="000000"/>
        </w:rPr>
      </w:pPr>
    </w:p>
    <w:p w14:paraId="3C44FB5F" w14:textId="77777777" w:rsidR="00524F6F" w:rsidRDefault="00BC25C3">
      <w:pPr>
        <w:numPr>
          <w:ilvl w:val="0"/>
          <w:numId w:val="8"/>
        </w:numPr>
        <w:pBdr>
          <w:top w:val="nil"/>
          <w:left w:val="nil"/>
          <w:bottom w:val="nil"/>
          <w:right w:val="nil"/>
          <w:between w:val="nil"/>
        </w:pBdr>
        <w:tabs>
          <w:tab w:val="left" w:pos="0"/>
        </w:tabs>
        <w:spacing w:line="360" w:lineRule="auto"/>
        <w:ind w:right="49"/>
        <w:jc w:val="both"/>
        <w:rPr>
          <w:color w:val="000000"/>
        </w:rPr>
      </w:pPr>
      <w:r>
        <w:rPr>
          <w:rFonts w:ascii="Palatino Linotype" w:eastAsia="Palatino Linotype" w:hAnsi="Palatino Linotype" w:cs="Palatino Linotype"/>
          <w:color w:val="000000"/>
        </w:rPr>
        <w:t>Por su parte, el intérprete judicial del país ha establecido una jurisprudencia respecto a qué debe entenderse por fundamentación y motivación, en los siguientes términos:</w:t>
      </w:r>
    </w:p>
    <w:p w14:paraId="3D6C352B" w14:textId="77777777" w:rsidR="00524F6F" w:rsidRDefault="00BC25C3">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FUNDAMENTACIÓN Y MOTIVACIÓN.</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Pr>
          <w:rFonts w:ascii="Palatino Linotype" w:eastAsia="Palatino Linotype" w:hAnsi="Palatino Linotype" w:cs="Palatino Linotype"/>
          <w:i/>
          <w:color w:val="000000"/>
          <w:sz w:val="22"/>
          <w:szCs w:val="22"/>
        </w:rPr>
        <w:t>.”</w:t>
      </w:r>
    </w:p>
    <w:p w14:paraId="7B407B4C" w14:textId="77777777" w:rsidR="00524F6F" w:rsidRDefault="00BC25C3">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SEGUNDO TRIBUNAL COLEGIADO DEL SEXTO CIRCUITO.</w:t>
      </w:r>
    </w:p>
    <w:p w14:paraId="73C71A27" w14:textId="77777777" w:rsidR="00524F6F" w:rsidRDefault="00BC25C3">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14:paraId="38433AA3" w14:textId="77777777" w:rsidR="00524F6F" w:rsidRDefault="00BC25C3">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Revisión fiscal 103/88. Instituto Mexicano del Seguro Social. 18 de octubre de 1988. Unanimidad de votos. Ponente: Arnoldo Nájera Virgen. Secretario: Alejandro Esponda Rincón.</w:t>
      </w:r>
    </w:p>
    <w:p w14:paraId="062D4B6C" w14:textId="77777777" w:rsidR="00524F6F" w:rsidRDefault="00BC25C3">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333/88. Adilia Romero. 26 de octubre de 1988. Unanimidad de votos. Ponente: Arnoldo Nájera Virgen. Secretario: Enrique Crispín Campos Ramírez.</w:t>
      </w:r>
    </w:p>
    <w:p w14:paraId="12B3174C" w14:textId="77777777" w:rsidR="00524F6F" w:rsidRDefault="00BC25C3">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597/95. Emilio Maurer Bretón. 15 de noviembre de 1995. Unanimidad de votos. Ponente: Clementina Ramírez Moguel Goyzueta. Secretario: Gonzalo Carrera Molina.</w:t>
      </w:r>
    </w:p>
    <w:p w14:paraId="7B9186C3" w14:textId="77777777" w:rsidR="00524F6F" w:rsidRDefault="00BC25C3">
      <w:pPr>
        <w:spacing w:line="360" w:lineRule="auto"/>
        <w:ind w:left="851"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Amparo directo 7/96. Pedro Vicente López Miro. 21 de febrero de 1996. Unanimidad de votos. Ponente: María Eugenia Estela Martínez Cardiel. Secretario: Enrique </w:t>
      </w:r>
      <w:proofErr w:type="spellStart"/>
      <w:r>
        <w:rPr>
          <w:rFonts w:ascii="Palatino Linotype" w:eastAsia="Palatino Linotype" w:hAnsi="Palatino Linotype" w:cs="Palatino Linotype"/>
          <w:i/>
          <w:color w:val="000000"/>
          <w:sz w:val="22"/>
          <w:szCs w:val="22"/>
        </w:rPr>
        <w:t>Baigts</w:t>
      </w:r>
      <w:proofErr w:type="spellEnd"/>
      <w:r>
        <w:rPr>
          <w:rFonts w:ascii="Palatino Linotype" w:eastAsia="Palatino Linotype" w:hAnsi="Palatino Linotype" w:cs="Palatino Linotype"/>
          <w:i/>
          <w:color w:val="000000"/>
          <w:sz w:val="22"/>
          <w:szCs w:val="22"/>
        </w:rPr>
        <w:t xml:space="preserve"> Muñoz.</w:t>
      </w:r>
    </w:p>
    <w:p w14:paraId="18EBE3F9" w14:textId="77777777" w:rsidR="00524F6F" w:rsidRDefault="00524F6F">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C95881F" w14:textId="77777777" w:rsidR="00524F6F" w:rsidRDefault="00BC25C3">
      <w:pPr>
        <w:numPr>
          <w:ilvl w:val="0"/>
          <w:numId w:val="8"/>
        </w:numPr>
        <w:pBdr>
          <w:top w:val="nil"/>
          <w:left w:val="nil"/>
          <w:bottom w:val="nil"/>
          <w:right w:val="nil"/>
          <w:between w:val="nil"/>
        </w:pBdr>
        <w:tabs>
          <w:tab w:val="left" w:pos="0"/>
        </w:tabs>
        <w:spacing w:line="360" w:lineRule="auto"/>
        <w:ind w:right="49"/>
        <w:jc w:val="both"/>
        <w:rPr>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F93DDBB" w14:textId="77777777" w:rsidR="00524F6F" w:rsidRDefault="00524F6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66AE5248" w14:textId="77777777" w:rsidR="00524F6F" w:rsidRDefault="00BC25C3">
      <w:pPr>
        <w:numPr>
          <w:ilvl w:val="0"/>
          <w:numId w:val="8"/>
        </w:numPr>
        <w:pBdr>
          <w:top w:val="nil"/>
          <w:left w:val="nil"/>
          <w:bottom w:val="nil"/>
          <w:right w:val="nil"/>
          <w:between w:val="nil"/>
        </w:pBdr>
        <w:tabs>
          <w:tab w:val="left" w:pos="0"/>
        </w:tabs>
        <w:spacing w:line="360" w:lineRule="auto"/>
        <w:ind w:right="49"/>
        <w:jc w:val="both"/>
        <w:rPr>
          <w:color w:val="000000"/>
        </w:rPr>
      </w:pPr>
      <w:r>
        <w:rPr>
          <w:rFonts w:ascii="Palatino Linotype" w:eastAsia="Palatino Linotype" w:hAnsi="Palatino Linotype" w:cs="Palatino Linotype"/>
          <w:color w:val="000000"/>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 En ese mismo sentido, el numeral trigésimo tercero fracción V de los Lineamientos Generales, precisa que para motivar la clasificación se deben acreditar las circunstancias de tiempo, modo y lugar.</w:t>
      </w:r>
    </w:p>
    <w:p w14:paraId="48977E08" w14:textId="77777777" w:rsidR="00524F6F" w:rsidRDefault="00524F6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14:paraId="76CAC5A1" w14:textId="77777777" w:rsidR="00524F6F" w:rsidRDefault="00BC25C3">
      <w:pPr>
        <w:numPr>
          <w:ilvl w:val="0"/>
          <w:numId w:val="8"/>
        </w:numPr>
        <w:spacing w:line="360" w:lineRule="auto"/>
        <w:ind w:right="49"/>
        <w:jc w:val="both"/>
        <w:rPr>
          <w:color w:val="000000"/>
        </w:rPr>
      </w:pPr>
      <w:r>
        <w:rPr>
          <w:rFonts w:ascii="Palatino Linotype" w:eastAsia="Palatino Linotype" w:hAnsi="Palatino Linotype" w:cs="Palatino Linotype"/>
          <w:color w:val="000000"/>
        </w:rPr>
        <w:t xml:space="preserve">En este contexto, si bien el Sujeto Obligado manifestó que la información solicitada se encuentra en el supuesto de información susceptible de clasificarse por contener datos personales, debió atender a las formalidades establecidas en la Ley. </w:t>
      </w:r>
    </w:p>
    <w:p w14:paraId="5C0CB1B0" w14:textId="77777777" w:rsidR="00524F6F" w:rsidRDefault="00BC25C3">
      <w:pPr>
        <w:numPr>
          <w:ilvl w:val="0"/>
          <w:numId w:val="8"/>
        </w:numPr>
        <w:pBdr>
          <w:top w:val="nil"/>
          <w:left w:val="nil"/>
          <w:bottom w:val="nil"/>
          <w:right w:val="nil"/>
          <w:between w:val="nil"/>
        </w:pBdr>
        <w:tabs>
          <w:tab w:val="left" w:pos="426"/>
        </w:tabs>
        <w:spacing w:before="240" w:line="360" w:lineRule="auto"/>
        <w:jc w:val="both"/>
        <w:rPr>
          <w:color w:val="000000"/>
        </w:rPr>
      </w:pPr>
      <w:r>
        <w:rPr>
          <w:rFonts w:ascii="Palatino Linotype" w:eastAsia="Palatino Linotype" w:hAnsi="Palatino Linotype" w:cs="Palatino Linotype"/>
          <w:color w:val="000000"/>
        </w:rPr>
        <w:t xml:space="preserve">Establecido lo anterior, es necesario traer a contexto el artículo 168 del Código Financiero del Estado de México y Municipios que establece: </w:t>
      </w:r>
    </w:p>
    <w:p w14:paraId="6E09A50C" w14:textId="77777777" w:rsidR="00524F6F" w:rsidRDefault="00BC25C3">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168.- Catastro es el sistema de información territorial, cuyo propósito es integrar, conservar y mantener actualizados el padrón catastral estatal y los padrones municipales de la Entidad. </w:t>
      </w:r>
    </w:p>
    <w:p w14:paraId="030D9DB9" w14:textId="77777777" w:rsidR="00524F6F" w:rsidRDefault="00BC25C3">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padrón catastral es el inventario analítico que contiene los datos técnicos y administrativos de los inmuebles y está conformado por el conjunto de registros geográficos, gráficos, estadísticos, alfanuméricos y elementos y características resultantes de la actividad catastral. </w:t>
      </w:r>
    </w:p>
    <w:p w14:paraId="3C686619" w14:textId="77777777" w:rsidR="00524F6F" w:rsidRDefault="00BC25C3">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actividad catastral se refiere al conjunto de acciones de identificación, inscripción, control y valuación, que permiten integrar, conservar y mantener actualizado el inventario analítico con las características cualitativas y cuantitativas de los inmuebles inscritos en los padrones catastrales estatal y municipales de la Entidad, </w:t>
      </w:r>
      <w:r>
        <w:rPr>
          <w:rFonts w:ascii="Palatino Linotype" w:eastAsia="Palatino Linotype" w:hAnsi="Palatino Linotype" w:cs="Palatino Linotype"/>
          <w:i/>
          <w:color w:val="000000"/>
          <w:sz w:val="22"/>
          <w:szCs w:val="22"/>
        </w:rPr>
        <w:lastRenderedPageBreak/>
        <w:t>realizadas con apego al LIGECEM, este Título, su reglamento, el Manual Catastral y demás disposiciones aplicables en la materia.”</w:t>
      </w:r>
    </w:p>
    <w:p w14:paraId="0C21A727" w14:textId="77777777" w:rsidR="00524F6F" w:rsidRDefault="00524F6F">
      <w:pPr>
        <w:pBdr>
          <w:top w:val="nil"/>
          <w:left w:val="nil"/>
          <w:bottom w:val="nil"/>
          <w:right w:val="nil"/>
          <w:between w:val="nil"/>
        </w:pBdr>
        <w:tabs>
          <w:tab w:val="left" w:pos="426"/>
        </w:tabs>
        <w:spacing w:line="360" w:lineRule="auto"/>
        <w:ind w:left="851" w:right="616"/>
        <w:jc w:val="both"/>
        <w:rPr>
          <w:rFonts w:ascii="Palatino Linotype" w:eastAsia="Palatino Linotype" w:hAnsi="Palatino Linotype" w:cs="Palatino Linotype"/>
          <w:i/>
          <w:color w:val="000000"/>
        </w:rPr>
      </w:pPr>
    </w:p>
    <w:p w14:paraId="02163406"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En correlación con lo anterior, el artículo 171 del Código Financiero establece que los Ayuntamientos y </w:t>
      </w:r>
      <w:r>
        <w:rPr>
          <w:rFonts w:ascii="Palatino Linotype" w:eastAsia="Palatino Linotype" w:hAnsi="Palatino Linotype" w:cs="Palatino Linotype"/>
          <w:b/>
          <w:color w:val="000000"/>
        </w:rPr>
        <w:t>las autoridades catastrales municipales</w:t>
      </w:r>
      <w:r>
        <w:rPr>
          <w:rFonts w:ascii="Palatino Linotype" w:eastAsia="Palatino Linotype" w:hAnsi="Palatino Linotype" w:cs="Palatino Linotype"/>
          <w:color w:val="000000"/>
        </w:rPr>
        <w:t xml:space="preserve">, tienen, entre otras facultades y obligaciones, mantener el </w:t>
      </w:r>
      <w:proofErr w:type="gramStart"/>
      <w:r>
        <w:rPr>
          <w:rFonts w:ascii="Palatino Linotype" w:eastAsia="Palatino Linotype" w:hAnsi="Palatino Linotype" w:cs="Palatino Linotype"/>
          <w:color w:val="000000"/>
        </w:rPr>
        <w:t>resguardo  y</w:t>
      </w:r>
      <w:proofErr w:type="gramEnd"/>
      <w:r>
        <w:rPr>
          <w:rFonts w:ascii="Palatino Linotype" w:eastAsia="Palatino Linotype" w:hAnsi="Palatino Linotype" w:cs="Palatino Linotype"/>
          <w:color w:val="000000"/>
        </w:rPr>
        <w:t xml:space="preserve"> control de los archivos físicos, digitales, </w:t>
      </w:r>
      <w:r>
        <w:rPr>
          <w:rFonts w:ascii="Palatino Linotype" w:eastAsia="Palatino Linotype" w:hAnsi="Palatino Linotype" w:cs="Palatino Linotype"/>
          <w:b/>
          <w:color w:val="000000"/>
        </w:rPr>
        <w:t xml:space="preserve">cartográficos </w:t>
      </w:r>
      <w:r>
        <w:rPr>
          <w:rFonts w:ascii="Palatino Linotype" w:eastAsia="Palatino Linotype" w:hAnsi="Palatino Linotype" w:cs="Palatino Linotype"/>
          <w:color w:val="000000"/>
        </w:rPr>
        <w:t xml:space="preserve">y alfanuméricos del Catastro Municipal. </w:t>
      </w:r>
    </w:p>
    <w:p w14:paraId="28D68E24" w14:textId="77777777" w:rsidR="00524F6F" w:rsidRDefault="00524F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rPr>
      </w:pPr>
    </w:p>
    <w:p w14:paraId="4A17CB41"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r>
        <w:rPr>
          <w:rFonts w:ascii="Palatino Linotype" w:eastAsia="Palatino Linotype" w:hAnsi="Palatino Linotype" w:cs="Palatino Linotype"/>
          <w:color w:val="000000"/>
        </w:rPr>
        <w:t xml:space="preserve">Asimismo, conviene traer a contexto lo establecido en el Reglamento del Título Quinto del Código Financiero del Estado de México y Municipios, Denominado “Del Catastro”, que establece en su artículo 5, fracción III y V, que las acciones que conforman la actividad catastral municipal son, entre otras, la topografía, levantamientos topográficos catastrales, dibujo y la </w:t>
      </w:r>
      <w:r>
        <w:rPr>
          <w:rFonts w:ascii="Palatino Linotype" w:eastAsia="Palatino Linotype" w:hAnsi="Palatino Linotype" w:cs="Palatino Linotype"/>
          <w:b/>
          <w:color w:val="000000"/>
        </w:rPr>
        <w:t xml:space="preserve">cartografía </w:t>
      </w:r>
      <w:proofErr w:type="gramStart"/>
      <w:r>
        <w:rPr>
          <w:rFonts w:ascii="Palatino Linotype" w:eastAsia="Palatino Linotype" w:hAnsi="Palatino Linotype" w:cs="Palatino Linotype"/>
          <w:b/>
          <w:color w:val="000000"/>
        </w:rPr>
        <w:t>digital</w:t>
      </w:r>
      <w:proofErr w:type="gramEnd"/>
      <w:r>
        <w:rPr>
          <w:rFonts w:ascii="Palatino Linotype" w:eastAsia="Palatino Linotype" w:hAnsi="Palatino Linotype" w:cs="Palatino Linotype"/>
          <w:b/>
          <w:color w:val="000000"/>
        </w:rPr>
        <w:t xml:space="preserve"> así como la actualización del registro gráfico.</w:t>
      </w:r>
      <w:r>
        <w:rPr>
          <w:rFonts w:ascii="Palatino Linotype" w:eastAsia="Palatino Linotype" w:hAnsi="Palatino Linotype" w:cs="Palatino Linotype"/>
          <w:color w:val="000000"/>
        </w:rPr>
        <w:t xml:space="preserve"> El mismo ordenamiento establece en su artículo 29 que, los datos, catálogos y especificaciones a que se refiere el artículo 180 del Código Financiero, es decir, los datos que debe contener el </w:t>
      </w:r>
      <w:r>
        <w:rPr>
          <w:rFonts w:ascii="Palatino Linotype" w:eastAsia="Palatino Linotype" w:hAnsi="Palatino Linotype" w:cs="Palatino Linotype"/>
          <w:b/>
          <w:color w:val="000000"/>
        </w:rPr>
        <w:t>padrón catastral</w:t>
      </w:r>
      <w:r>
        <w:rPr>
          <w:rFonts w:ascii="Palatino Linotype" w:eastAsia="Palatino Linotype" w:hAnsi="Palatino Linotype" w:cs="Palatino Linotype"/>
          <w:color w:val="000000"/>
        </w:rPr>
        <w:t>, son los siguientes:</w:t>
      </w:r>
    </w:p>
    <w:p w14:paraId="0DDD54BB" w14:textId="77777777" w:rsidR="00524F6F" w:rsidRDefault="00BC25C3">
      <w:pPr>
        <w:pBdr>
          <w:top w:val="nil"/>
          <w:left w:val="nil"/>
          <w:bottom w:val="nil"/>
          <w:right w:val="nil"/>
          <w:between w:val="nil"/>
        </w:pBdr>
        <w:tabs>
          <w:tab w:val="left" w:pos="426"/>
        </w:tabs>
        <w:spacing w:line="360" w:lineRule="auto"/>
        <w:ind w:left="567"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registro alfanumérico deberá contener: </w:t>
      </w:r>
    </w:p>
    <w:p w14:paraId="7F0854C9"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 Datos del inmueble: </w:t>
      </w:r>
    </w:p>
    <w:p w14:paraId="7DA98E77"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Clave catastral. </w:t>
      </w:r>
    </w:p>
    <w:p w14:paraId="6CCB5759"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Nombre del propietario o poseedor. </w:t>
      </w:r>
    </w:p>
    <w:p w14:paraId="4FE2F5BB"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Clave Única de Registro de Población (CURP). </w:t>
      </w:r>
    </w:p>
    <w:p w14:paraId="50F9DF46"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4. Ubicación del predio. </w:t>
      </w:r>
    </w:p>
    <w:p w14:paraId="1CF76031"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5. Domicilio para recibir notificaciones. </w:t>
      </w:r>
    </w:p>
    <w:p w14:paraId="5931F085"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6. Superficie total del terreno. </w:t>
      </w:r>
    </w:p>
    <w:p w14:paraId="6BE50B69"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7. Superficie privativa del terreno en condominio. </w:t>
      </w:r>
    </w:p>
    <w:p w14:paraId="4CF3A6F7"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8. Superficie común del terreno en condominio. </w:t>
      </w:r>
    </w:p>
    <w:p w14:paraId="3A593A42"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9. Características del terreno. </w:t>
      </w:r>
    </w:p>
    <w:p w14:paraId="0C1CB85E"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10. Superficie total de construcción. </w:t>
      </w:r>
    </w:p>
    <w:p w14:paraId="44D99F14"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11. Superficie privativa de la construcción en condominio. </w:t>
      </w:r>
    </w:p>
    <w:p w14:paraId="6BB88D31"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12. Superficie común de la construcción en condominio. </w:t>
      </w:r>
    </w:p>
    <w:p w14:paraId="220D8338"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13. Características de la construcción. </w:t>
      </w:r>
    </w:p>
    <w:p w14:paraId="7B6FBCE7"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14. Uso del Suelo. </w:t>
      </w:r>
    </w:p>
    <w:p w14:paraId="08AEE7A7"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15. Uso específico del predio. </w:t>
      </w:r>
    </w:p>
    <w:p w14:paraId="38F99D5A"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16. Régimen jurídico de la propiedad. </w:t>
      </w:r>
    </w:p>
    <w:p w14:paraId="5B165B90"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 Valor catastral total.</w:t>
      </w:r>
    </w:p>
    <w:p w14:paraId="03C3834D"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18. Valor catastral del terreno. </w:t>
      </w:r>
    </w:p>
    <w:p w14:paraId="7E90C83B" w14:textId="77777777" w:rsidR="00524F6F" w:rsidRDefault="00BC25C3">
      <w:pPr>
        <w:pBdr>
          <w:top w:val="nil"/>
          <w:left w:val="nil"/>
          <w:bottom w:val="nil"/>
          <w:right w:val="nil"/>
          <w:between w:val="nil"/>
        </w:pBdr>
        <w:tabs>
          <w:tab w:val="left" w:pos="993"/>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19. Valor catastral de la construcción. </w:t>
      </w:r>
    </w:p>
    <w:p w14:paraId="135E8688" w14:textId="77777777" w:rsidR="00524F6F" w:rsidRDefault="00524F6F">
      <w:pPr>
        <w:pBdr>
          <w:top w:val="nil"/>
          <w:left w:val="nil"/>
          <w:bottom w:val="nil"/>
          <w:right w:val="nil"/>
          <w:between w:val="nil"/>
        </w:pBdr>
        <w:tabs>
          <w:tab w:val="left" w:pos="426"/>
        </w:tabs>
        <w:spacing w:line="360" w:lineRule="auto"/>
        <w:ind w:left="567" w:right="333"/>
        <w:jc w:val="both"/>
        <w:rPr>
          <w:rFonts w:ascii="Palatino Linotype" w:eastAsia="Palatino Linotype" w:hAnsi="Palatino Linotype" w:cs="Palatino Linotype"/>
          <w:i/>
          <w:color w:val="000000"/>
          <w:sz w:val="22"/>
          <w:szCs w:val="22"/>
        </w:rPr>
      </w:pPr>
    </w:p>
    <w:p w14:paraId="2C5BD611" w14:textId="77777777" w:rsidR="00524F6F" w:rsidRDefault="00BC25C3">
      <w:pPr>
        <w:pBdr>
          <w:top w:val="nil"/>
          <w:left w:val="nil"/>
          <w:bottom w:val="nil"/>
          <w:right w:val="nil"/>
          <w:between w:val="nil"/>
        </w:pBdr>
        <w:tabs>
          <w:tab w:val="left" w:pos="426"/>
        </w:tabs>
        <w:spacing w:line="360" w:lineRule="auto"/>
        <w:ind w:left="567"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B. Catálogos operativos: </w:t>
      </w:r>
    </w:p>
    <w:p w14:paraId="5A3008AA"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Localidades. </w:t>
      </w:r>
    </w:p>
    <w:p w14:paraId="7FC94E53"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Colonias. </w:t>
      </w:r>
    </w:p>
    <w:p w14:paraId="68CECDEC"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Áreas Homogéneas. </w:t>
      </w:r>
    </w:p>
    <w:p w14:paraId="60BEB5AB"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4. Tipologías de construcción. </w:t>
      </w:r>
    </w:p>
    <w:p w14:paraId="0F4C4049"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5. Bandas de valor. </w:t>
      </w:r>
    </w:p>
    <w:p w14:paraId="7B4AD7DB"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6. Manzanas. </w:t>
      </w:r>
    </w:p>
    <w:p w14:paraId="0147D443"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7. Calles. </w:t>
      </w:r>
    </w:p>
    <w:p w14:paraId="3BA6D0CD" w14:textId="77777777" w:rsidR="00524F6F" w:rsidRDefault="00524F6F">
      <w:pPr>
        <w:pBdr>
          <w:top w:val="nil"/>
          <w:left w:val="nil"/>
          <w:bottom w:val="nil"/>
          <w:right w:val="nil"/>
          <w:between w:val="nil"/>
        </w:pBdr>
        <w:tabs>
          <w:tab w:val="left" w:pos="426"/>
        </w:tabs>
        <w:spacing w:line="360" w:lineRule="auto"/>
        <w:ind w:left="567" w:right="333"/>
        <w:jc w:val="both"/>
        <w:rPr>
          <w:rFonts w:ascii="Palatino Linotype" w:eastAsia="Palatino Linotype" w:hAnsi="Palatino Linotype" w:cs="Palatino Linotype"/>
          <w:i/>
          <w:color w:val="000000"/>
          <w:sz w:val="22"/>
          <w:szCs w:val="22"/>
        </w:rPr>
      </w:pPr>
    </w:p>
    <w:p w14:paraId="09A526BD" w14:textId="77777777" w:rsidR="00524F6F" w:rsidRDefault="00BC25C3">
      <w:pPr>
        <w:pBdr>
          <w:top w:val="nil"/>
          <w:left w:val="nil"/>
          <w:bottom w:val="nil"/>
          <w:right w:val="nil"/>
          <w:between w:val="nil"/>
        </w:pBdr>
        <w:tabs>
          <w:tab w:val="left" w:pos="426"/>
        </w:tabs>
        <w:spacing w:line="360" w:lineRule="auto"/>
        <w:ind w:left="567"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 Catálogos normativos: </w:t>
      </w:r>
    </w:p>
    <w:p w14:paraId="1FCBCC92" w14:textId="77777777" w:rsidR="00524F6F" w:rsidRDefault="00BC25C3">
      <w:pPr>
        <w:pBdr>
          <w:top w:val="nil"/>
          <w:left w:val="nil"/>
          <w:bottom w:val="nil"/>
          <w:right w:val="nil"/>
          <w:between w:val="nil"/>
        </w:pBdr>
        <w:spacing w:line="360" w:lineRule="auto"/>
        <w:ind w:left="993"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1. Delegaciones regionales. </w:t>
      </w:r>
    </w:p>
    <w:p w14:paraId="6873C172" w14:textId="77777777" w:rsidR="00524F6F" w:rsidRDefault="00BC25C3">
      <w:pPr>
        <w:pBdr>
          <w:top w:val="nil"/>
          <w:left w:val="nil"/>
          <w:bottom w:val="nil"/>
          <w:right w:val="nil"/>
          <w:between w:val="nil"/>
        </w:pBdr>
        <w:spacing w:line="360" w:lineRule="auto"/>
        <w:ind w:left="993"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2. Municipios. </w:t>
      </w:r>
    </w:p>
    <w:p w14:paraId="3BD12C66" w14:textId="77777777" w:rsidR="00524F6F" w:rsidRDefault="00BC25C3">
      <w:pPr>
        <w:pBdr>
          <w:top w:val="nil"/>
          <w:left w:val="nil"/>
          <w:bottom w:val="nil"/>
          <w:right w:val="nil"/>
          <w:between w:val="nil"/>
        </w:pBdr>
        <w:spacing w:line="360" w:lineRule="auto"/>
        <w:ind w:left="993"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3. Tipos de vialidad </w:t>
      </w:r>
    </w:p>
    <w:p w14:paraId="62A113CD" w14:textId="77777777" w:rsidR="00524F6F" w:rsidRDefault="00BC25C3">
      <w:pPr>
        <w:pBdr>
          <w:top w:val="nil"/>
          <w:left w:val="nil"/>
          <w:bottom w:val="nil"/>
          <w:right w:val="nil"/>
          <w:between w:val="nil"/>
        </w:pBdr>
        <w:spacing w:line="360" w:lineRule="auto"/>
        <w:ind w:left="993"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4. Régimen de propiedad. </w:t>
      </w:r>
    </w:p>
    <w:p w14:paraId="58819C01" w14:textId="77777777" w:rsidR="00524F6F" w:rsidRDefault="00BC25C3">
      <w:pPr>
        <w:pBdr>
          <w:top w:val="nil"/>
          <w:left w:val="nil"/>
          <w:bottom w:val="nil"/>
          <w:right w:val="nil"/>
          <w:between w:val="nil"/>
        </w:pBdr>
        <w:spacing w:line="360" w:lineRule="auto"/>
        <w:ind w:left="993"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5. Uso del suelo. </w:t>
      </w:r>
    </w:p>
    <w:p w14:paraId="7F4AA7DA" w14:textId="77777777" w:rsidR="00524F6F" w:rsidRDefault="00BC25C3">
      <w:pPr>
        <w:pBdr>
          <w:top w:val="nil"/>
          <w:left w:val="nil"/>
          <w:bottom w:val="nil"/>
          <w:right w:val="nil"/>
          <w:between w:val="nil"/>
        </w:pBdr>
        <w:spacing w:line="360" w:lineRule="auto"/>
        <w:ind w:left="993"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6. Usos específicos de los predios. </w:t>
      </w:r>
    </w:p>
    <w:p w14:paraId="6E166010" w14:textId="77777777" w:rsidR="00524F6F" w:rsidRDefault="00BC25C3">
      <w:pPr>
        <w:pBdr>
          <w:top w:val="nil"/>
          <w:left w:val="nil"/>
          <w:bottom w:val="nil"/>
          <w:right w:val="nil"/>
          <w:between w:val="nil"/>
        </w:pBdr>
        <w:spacing w:line="360" w:lineRule="auto"/>
        <w:ind w:left="993"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7. Tipos de mérito / demérito. </w:t>
      </w:r>
    </w:p>
    <w:p w14:paraId="6B70280B" w14:textId="77777777" w:rsidR="00524F6F" w:rsidRDefault="00BC25C3">
      <w:pPr>
        <w:pBdr>
          <w:top w:val="nil"/>
          <w:left w:val="nil"/>
          <w:bottom w:val="nil"/>
          <w:right w:val="nil"/>
          <w:between w:val="nil"/>
        </w:pBdr>
        <w:spacing w:line="360" w:lineRule="auto"/>
        <w:ind w:left="993" w:right="33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8. Factores de mérito / demérito. </w:t>
      </w:r>
    </w:p>
    <w:p w14:paraId="48BD0CEE" w14:textId="77777777" w:rsidR="00524F6F" w:rsidRDefault="00524F6F">
      <w:pPr>
        <w:pBdr>
          <w:top w:val="nil"/>
          <w:left w:val="nil"/>
          <w:bottom w:val="nil"/>
          <w:right w:val="nil"/>
          <w:between w:val="nil"/>
        </w:pBdr>
        <w:tabs>
          <w:tab w:val="left" w:pos="426"/>
        </w:tabs>
        <w:spacing w:line="360" w:lineRule="auto"/>
        <w:ind w:left="567" w:right="333"/>
        <w:jc w:val="both"/>
        <w:rPr>
          <w:rFonts w:ascii="Palatino Linotype" w:eastAsia="Palatino Linotype" w:hAnsi="Palatino Linotype" w:cs="Palatino Linotype"/>
          <w:i/>
          <w:color w:val="000000"/>
          <w:sz w:val="22"/>
          <w:szCs w:val="22"/>
        </w:rPr>
      </w:pPr>
    </w:p>
    <w:p w14:paraId="17A5E5B3" w14:textId="77777777" w:rsidR="00524F6F" w:rsidRDefault="00BC25C3">
      <w:pPr>
        <w:pBdr>
          <w:top w:val="nil"/>
          <w:left w:val="nil"/>
          <w:bottom w:val="nil"/>
          <w:right w:val="nil"/>
          <w:between w:val="nil"/>
        </w:pBdr>
        <w:tabs>
          <w:tab w:val="left" w:pos="426"/>
        </w:tabs>
        <w:spacing w:line="360" w:lineRule="auto"/>
        <w:ind w:left="567"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 El registro gráfico deberá contener: </w:t>
      </w:r>
    </w:p>
    <w:p w14:paraId="5269B255" w14:textId="77777777" w:rsidR="00524F6F" w:rsidRDefault="00BC25C3">
      <w:pPr>
        <w:pBdr>
          <w:top w:val="nil"/>
          <w:left w:val="nil"/>
          <w:bottom w:val="nil"/>
          <w:right w:val="nil"/>
          <w:between w:val="nil"/>
        </w:pBdr>
        <w:tabs>
          <w:tab w:val="left" w:pos="851"/>
        </w:tabs>
        <w:spacing w:line="360" w:lineRule="auto"/>
        <w:ind w:left="851"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A. Tratándose de la cartografía vectorial catastral a nivel de manzana: </w:t>
      </w:r>
    </w:p>
    <w:p w14:paraId="3BEB4A76"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1. Delimitación municipal. </w:t>
      </w:r>
    </w:p>
    <w:p w14:paraId="4C9453B4"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2. Delimitación de zonas catastrales. </w:t>
      </w:r>
    </w:p>
    <w:p w14:paraId="715BFB20"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3. Delimitación de áreas homogéneas. </w:t>
      </w:r>
    </w:p>
    <w:p w14:paraId="70BDF98D"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4. Delimitación de bandas de valor. </w:t>
      </w:r>
    </w:p>
    <w:p w14:paraId="431B8B09"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5. Delimitación y código de manzanas. </w:t>
      </w:r>
    </w:p>
    <w:p w14:paraId="12B1B901"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6. Código de clave de calle. </w:t>
      </w:r>
    </w:p>
    <w:p w14:paraId="471321F2"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7. Nombre de la calle. </w:t>
      </w:r>
    </w:p>
    <w:p w14:paraId="440A1ECD" w14:textId="77777777" w:rsidR="00524F6F" w:rsidRDefault="00524F6F">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p>
    <w:p w14:paraId="534C68CD" w14:textId="77777777" w:rsidR="00524F6F" w:rsidRDefault="00BC25C3">
      <w:pPr>
        <w:pBdr>
          <w:top w:val="nil"/>
          <w:left w:val="nil"/>
          <w:bottom w:val="nil"/>
          <w:right w:val="nil"/>
          <w:between w:val="nil"/>
        </w:pBdr>
        <w:tabs>
          <w:tab w:val="left" w:pos="851"/>
        </w:tabs>
        <w:spacing w:line="360" w:lineRule="auto"/>
        <w:ind w:left="851"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B. En el caso de la cartografía vectorial catastral a nivel de predio, además de lo anterior: </w:t>
      </w:r>
    </w:p>
    <w:p w14:paraId="355D6181"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1. Clave catastral. </w:t>
      </w:r>
    </w:p>
    <w:p w14:paraId="5A727451"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2. Delimitación del predio. </w:t>
      </w:r>
    </w:p>
    <w:p w14:paraId="73E53B30"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3. Superficie total de terreno. </w:t>
      </w:r>
    </w:p>
    <w:p w14:paraId="3C1C92A1"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4. Perímetro y superficie de las construcciones. </w:t>
      </w:r>
    </w:p>
    <w:p w14:paraId="2F31FD6F"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5. Representación del número de niveles de las construcciones. </w:t>
      </w:r>
    </w:p>
    <w:p w14:paraId="2BD46816" w14:textId="77777777" w:rsidR="00524F6F" w:rsidRDefault="00BC25C3">
      <w:pPr>
        <w:pBdr>
          <w:top w:val="nil"/>
          <w:left w:val="nil"/>
          <w:bottom w:val="nil"/>
          <w:right w:val="nil"/>
          <w:between w:val="nil"/>
        </w:pBdr>
        <w:tabs>
          <w:tab w:val="left" w:pos="1134"/>
        </w:tabs>
        <w:spacing w:line="360" w:lineRule="auto"/>
        <w:ind w:left="1134" w:right="33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6. Número oficial.</w:t>
      </w:r>
    </w:p>
    <w:p w14:paraId="0EA9E8E4" w14:textId="77777777" w:rsidR="00524F6F" w:rsidRDefault="00524F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rPr>
      </w:pPr>
    </w:p>
    <w:p w14:paraId="27581E97" w14:textId="77777777" w:rsidR="00524F6F" w:rsidRDefault="00BC25C3">
      <w:pPr>
        <w:numPr>
          <w:ilvl w:val="0"/>
          <w:numId w:val="8"/>
        </w:numPr>
        <w:pBdr>
          <w:top w:val="nil"/>
          <w:left w:val="nil"/>
          <w:bottom w:val="nil"/>
          <w:right w:val="nil"/>
          <w:between w:val="nil"/>
        </w:pBdr>
        <w:tabs>
          <w:tab w:val="left" w:pos="0"/>
        </w:tabs>
        <w:spacing w:line="360" w:lineRule="auto"/>
        <w:jc w:val="both"/>
        <w:rPr>
          <w:color w:val="000000"/>
        </w:rPr>
      </w:pPr>
      <w:r>
        <w:rPr>
          <w:rFonts w:ascii="Palatino Linotype" w:eastAsia="Palatino Linotype" w:hAnsi="Palatino Linotype" w:cs="Palatino Linotype"/>
          <w:color w:val="000000"/>
        </w:rPr>
        <w:t xml:space="preserve">Ahora bien, del registro gráfico, el Manual Catastral del Estado de México establece que el objetivo de la actualización del registro gráfico es dar a conocer las </w:t>
      </w:r>
      <w:r>
        <w:rPr>
          <w:rFonts w:ascii="Palatino Linotype" w:eastAsia="Palatino Linotype" w:hAnsi="Palatino Linotype" w:cs="Palatino Linotype"/>
          <w:color w:val="000000"/>
        </w:rPr>
        <w:lastRenderedPageBreak/>
        <w:t xml:space="preserve">políticas, lineamientos y procedimientos para la representación y actualización del registro gráfico del padrón catastral, al personal responsable de llevar a cabo la </w:t>
      </w:r>
      <w:r>
        <w:rPr>
          <w:rFonts w:ascii="Palatino Linotype" w:eastAsia="Palatino Linotype" w:hAnsi="Palatino Linotype" w:cs="Palatino Linotype"/>
          <w:b/>
          <w:color w:val="000000"/>
        </w:rPr>
        <w:t>actualización de la cartografía vectorial catastral respecto de los inmuebles y las manzanas ubicadas en los territorios municipales correspondientes.</w:t>
      </w:r>
    </w:p>
    <w:p w14:paraId="7A9A3D53" w14:textId="77777777" w:rsidR="00524F6F" w:rsidRDefault="00524F6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0A2F9B62" w14:textId="77777777" w:rsidR="00524F6F" w:rsidRDefault="00BC25C3">
      <w:pPr>
        <w:numPr>
          <w:ilvl w:val="0"/>
          <w:numId w:val="8"/>
        </w:numPr>
        <w:pBdr>
          <w:top w:val="nil"/>
          <w:left w:val="nil"/>
          <w:bottom w:val="nil"/>
          <w:right w:val="nil"/>
          <w:between w:val="nil"/>
        </w:pBdr>
        <w:tabs>
          <w:tab w:val="left" w:pos="0"/>
        </w:tabs>
        <w:spacing w:line="360" w:lineRule="auto"/>
        <w:jc w:val="both"/>
        <w:rPr>
          <w:color w:val="000000"/>
        </w:rPr>
      </w:pPr>
      <w:r>
        <w:rPr>
          <w:rFonts w:ascii="Palatino Linotype" w:eastAsia="Palatino Linotype" w:hAnsi="Palatino Linotype" w:cs="Palatino Linotype"/>
          <w:color w:val="000000"/>
        </w:rPr>
        <w:t xml:space="preserve">Respecto a la cartografía vectorial catastral a nivel manzana, como ya fue referido, de acuerdo al Manual Catastral Municipal, este contiene los siguientes datos: </w:t>
      </w:r>
    </w:p>
    <w:p w14:paraId="5F68A663" w14:textId="77777777" w:rsidR="00524F6F" w:rsidRDefault="00BC25C3">
      <w:pPr>
        <w:numPr>
          <w:ilvl w:val="0"/>
          <w:numId w:val="5"/>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Delimitación municipal; </w:t>
      </w:r>
    </w:p>
    <w:p w14:paraId="4CC40F1D" w14:textId="77777777" w:rsidR="00524F6F" w:rsidRDefault="00BC25C3">
      <w:pPr>
        <w:numPr>
          <w:ilvl w:val="0"/>
          <w:numId w:val="5"/>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Delimitación de zonas catastrales; </w:t>
      </w:r>
    </w:p>
    <w:p w14:paraId="18849BA3" w14:textId="77777777" w:rsidR="00524F6F" w:rsidRDefault="00BC25C3">
      <w:pPr>
        <w:numPr>
          <w:ilvl w:val="0"/>
          <w:numId w:val="5"/>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Delimitación de áreas homogéneas; </w:t>
      </w:r>
    </w:p>
    <w:p w14:paraId="3253765C" w14:textId="77777777" w:rsidR="00524F6F" w:rsidRDefault="00BC25C3">
      <w:pPr>
        <w:numPr>
          <w:ilvl w:val="0"/>
          <w:numId w:val="5"/>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Delimitación de bandas de valor;</w:t>
      </w:r>
    </w:p>
    <w:p w14:paraId="46F07F76" w14:textId="77777777" w:rsidR="00524F6F" w:rsidRDefault="00BC25C3">
      <w:pPr>
        <w:numPr>
          <w:ilvl w:val="0"/>
          <w:numId w:val="5"/>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Delimitación y código de manzanas;</w:t>
      </w:r>
    </w:p>
    <w:p w14:paraId="1356BC1E" w14:textId="77777777" w:rsidR="00524F6F" w:rsidRDefault="00BC25C3">
      <w:pPr>
        <w:numPr>
          <w:ilvl w:val="0"/>
          <w:numId w:val="5"/>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Código de clave de calle; y </w:t>
      </w:r>
    </w:p>
    <w:p w14:paraId="017B941C" w14:textId="77777777" w:rsidR="00524F6F" w:rsidRDefault="00BC25C3">
      <w:pPr>
        <w:numPr>
          <w:ilvl w:val="0"/>
          <w:numId w:val="5"/>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Nombre de la calle.</w:t>
      </w:r>
    </w:p>
    <w:p w14:paraId="7CED950A" w14:textId="77777777" w:rsidR="00524F6F" w:rsidRDefault="00524F6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p>
    <w:p w14:paraId="417B9A8B" w14:textId="77777777" w:rsidR="00524F6F" w:rsidRDefault="00BC25C3">
      <w:pPr>
        <w:numPr>
          <w:ilvl w:val="0"/>
          <w:numId w:val="8"/>
        </w:numPr>
        <w:pBdr>
          <w:top w:val="nil"/>
          <w:left w:val="nil"/>
          <w:bottom w:val="nil"/>
          <w:right w:val="nil"/>
          <w:between w:val="nil"/>
        </w:pBdr>
        <w:tabs>
          <w:tab w:val="left" w:pos="0"/>
        </w:tabs>
        <w:spacing w:line="360" w:lineRule="auto"/>
        <w:jc w:val="both"/>
        <w:rPr>
          <w:color w:val="000000"/>
        </w:rPr>
      </w:pPr>
      <w:r>
        <w:rPr>
          <w:rFonts w:ascii="Palatino Linotype" w:eastAsia="Palatino Linotype" w:hAnsi="Palatino Linotype" w:cs="Palatino Linotype"/>
          <w:color w:val="000000"/>
        </w:rPr>
        <w:t xml:space="preserve">Es de señalar que de estos elementos se advierte que la cartografía hace referencia son considerados generales, es decir, solo señala a las manzanas dentro de los territorios municipales, no así a predios en específico, por lo tanto, con su entrega, no se estarían identificando inmuebles o información de carácter patrimonial concerniente a particulares, tal como se desprende de la siguiente imagen: </w:t>
      </w:r>
    </w:p>
    <w:p w14:paraId="3DE499E4" w14:textId="77777777" w:rsidR="00524F6F" w:rsidRDefault="00524F6F">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color w:val="000000"/>
        </w:rPr>
      </w:pPr>
    </w:p>
    <w:p w14:paraId="05F0A00A" w14:textId="77777777" w:rsidR="00524F6F" w:rsidRDefault="00BC25C3">
      <w:pPr>
        <w:pBdr>
          <w:top w:val="nil"/>
          <w:left w:val="nil"/>
          <w:bottom w:val="nil"/>
          <w:right w:val="nil"/>
          <w:between w:val="nil"/>
        </w:pBdr>
        <w:spacing w:line="360" w:lineRule="auto"/>
        <w:ind w:right="49"/>
        <w:jc w:val="center"/>
        <w:rPr>
          <w:rFonts w:ascii="Palatino Linotype" w:eastAsia="Palatino Linotype" w:hAnsi="Palatino Linotype" w:cs="Palatino Linotype"/>
          <w:color w:val="000000"/>
        </w:rPr>
      </w:pPr>
      <w:r>
        <w:rPr>
          <w:noProof/>
          <w:color w:val="000000"/>
        </w:rPr>
        <w:lastRenderedPageBreak/>
        <w:drawing>
          <wp:inline distT="0" distB="0" distL="0" distR="0" wp14:anchorId="14736C78" wp14:editId="2B14F39D">
            <wp:extent cx="5581015" cy="2352675"/>
            <wp:effectExtent l="9525" t="9525" r="9525" b="9525"/>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b="29023"/>
                    <a:stretch>
                      <a:fillRect/>
                    </a:stretch>
                  </pic:blipFill>
                  <pic:spPr>
                    <a:xfrm>
                      <a:off x="0" y="0"/>
                      <a:ext cx="5581015" cy="2352675"/>
                    </a:xfrm>
                    <a:prstGeom prst="rect">
                      <a:avLst/>
                    </a:prstGeom>
                    <a:ln w="9525">
                      <a:solidFill>
                        <a:srgbClr val="000000"/>
                      </a:solidFill>
                      <a:prstDash val="solid"/>
                    </a:ln>
                  </pic:spPr>
                </pic:pic>
              </a:graphicData>
            </a:graphic>
          </wp:inline>
        </w:drawing>
      </w:r>
    </w:p>
    <w:p w14:paraId="7B385BCC" w14:textId="77777777" w:rsidR="00524F6F" w:rsidRDefault="00524F6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C269BD8" w14:textId="77777777" w:rsidR="00524F6F" w:rsidRDefault="00BC25C3">
      <w:pPr>
        <w:numPr>
          <w:ilvl w:val="0"/>
          <w:numId w:val="8"/>
        </w:num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Aunado a lo anterior, el portal del Instituto de Información e Investigación Geográfica, Estadística y Catastral del Estado de México (IGECEM), dentro de sus servicios catastrales publica la cartografía a nivel manzana aplicable a los ejercicios fiscales, de manera ilustrativa se inserta la cartografía correspondiente al año 2019:</w:t>
      </w:r>
    </w:p>
    <w:p w14:paraId="30357554" w14:textId="77777777" w:rsidR="00524F6F" w:rsidRDefault="00524F6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DE2D26A" w14:textId="77777777" w:rsidR="00524F6F" w:rsidRDefault="00BC25C3">
      <w:pPr>
        <w:pBdr>
          <w:top w:val="nil"/>
          <w:left w:val="nil"/>
          <w:bottom w:val="nil"/>
          <w:right w:val="nil"/>
          <w:between w:val="nil"/>
        </w:pBdr>
        <w:spacing w:line="360" w:lineRule="auto"/>
        <w:ind w:right="49"/>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5DD29477" wp14:editId="72968F8A">
            <wp:extent cx="5116840" cy="2127674"/>
            <wp:effectExtent l="0" t="0" r="0" b="0"/>
            <wp:docPr id="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116840" cy="2127674"/>
                    </a:xfrm>
                    <a:prstGeom prst="rect">
                      <a:avLst/>
                    </a:prstGeom>
                    <a:ln/>
                  </pic:spPr>
                </pic:pic>
              </a:graphicData>
            </a:graphic>
          </wp:inline>
        </w:drawing>
      </w:r>
    </w:p>
    <w:p w14:paraId="51AED724" w14:textId="77777777" w:rsidR="00524F6F" w:rsidRDefault="00524F6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B80677B" w14:textId="77777777" w:rsidR="00524F6F" w:rsidRDefault="00BC25C3">
      <w:pPr>
        <w:numPr>
          <w:ilvl w:val="0"/>
          <w:numId w:val="8"/>
        </w:num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 xml:space="preserve">Por otro </w:t>
      </w:r>
      <w:proofErr w:type="gramStart"/>
      <w:r>
        <w:rPr>
          <w:rFonts w:ascii="Palatino Linotype" w:eastAsia="Palatino Linotype" w:hAnsi="Palatino Linotype" w:cs="Palatino Linotype"/>
          <w:color w:val="000000"/>
        </w:rPr>
        <w:t>lado,  la</w:t>
      </w:r>
      <w:proofErr w:type="gramEnd"/>
      <w:r>
        <w:rPr>
          <w:rFonts w:ascii="Palatino Linotype" w:eastAsia="Palatino Linotype" w:hAnsi="Palatino Linotype" w:cs="Palatino Linotype"/>
          <w:color w:val="000000"/>
        </w:rPr>
        <w:t xml:space="preserve"> cartografía vectorial catastral a nivel de predio, esta contiene los siguientes datos:</w:t>
      </w:r>
    </w:p>
    <w:p w14:paraId="480EA6A3" w14:textId="77777777" w:rsidR="00524F6F" w:rsidRDefault="00BC25C3">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 xml:space="preserve">Clave catastral. </w:t>
      </w:r>
    </w:p>
    <w:p w14:paraId="751B8398" w14:textId="77777777" w:rsidR="00524F6F" w:rsidRDefault="00BC25C3">
      <w:pPr>
        <w:numPr>
          <w:ilvl w:val="0"/>
          <w:numId w:val="7"/>
        </w:numPr>
        <w:pBdr>
          <w:top w:val="nil"/>
          <w:left w:val="nil"/>
          <w:bottom w:val="nil"/>
          <w:right w:val="nil"/>
          <w:between w:val="nil"/>
        </w:pBdr>
        <w:tabs>
          <w:tab w:val="left" w:pos="1134"/>
        </w:tabs>
        <w:spacing w:line="360" w:lineRule="auto"/>
        <w:ind w:right="33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Delimitación del predio. </w:t>
      </w:r>
    </w:p>
    <w:p w14:paraId="3B9449E4" w14:textId="77777777" w:rsidR="00524F6F" w:rsidRDefault="00BC25C3">
      <w:pPr>
        <w:numPr>
          <w:ilvl w:val="0"/>
          <w:numId w:val="7"/>
        </w:numPr>
        <w:pBdr>
          <w:top w:val="nil"/>
          <w:left w:val="nil"/>
          <w:bottom w:val="nil"/>
          <w:right w:val="nil"/>
          <w:between w:val="nil"/>
        </w:pBdr>
        <w:tabs>
          <w:tab w:val="left" w:pos="1134"/>
        </w:tabs>
        <w:spacing w:line="360" w:lineRule="auto"/>
        <w:ind w:right="33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Superficie total de terreno. </w:t>
      </w:r>
    </w:p>
    <w:p w14:paraId="42E38A6B" w14:textId="77777777" w:rsidR="00524F6F" w:rsidRDefault="00BC25C3">
      <w:pPr>
        <w:numPr>
          <w:ilvl w:val="0"/>
          <w:numId w:val="7"/>
        </w:numPr>
        <w:pBdr>
          <w:top w:val="nil"/>
          <w:left w:val="nil"/>
          <w:bottom w:val="nil"/>
          <w:right w:val="nil"/>
          <w:between w:val="nil"/>
        </w:pBdr>
        <w:tabs>
          <w:tab w:val="left" w:pos="1134"/>
        </w:tabs>
        <w:spacing w:line="360" w:lineRule="auto"/>
        <w:ind w:right="33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Perímetro y superficie de las construcciones. </w:t>
      </w:r>
    </w:p>
    <w:p w14:paraId="2E41F580" w14:textId="77777777" w:rsidR="00524F6F" w:rsidRDefault="00BC25C3">
      <w:pPr>
        <w:numPr>
          <w:ilvl w:val="0"/>
          <w:numId w:val="7"/>
        </w:numPr>
        <w:pBdr>
          <w:top w:val="nil"/>
          <w:left w:val="nil"/>
          <w:bottom w:val="nil"/>
          <w:right w:val="nil"/>
          <w:between w:val="nil"/>
        </w:pBdr>
        <w:tabs>
          <w:tab w:val="left" w:pos="1134"/>
        </w:tabs>
        <w:spacing w:line="360" w:lineRule="auto"/>
        <w:ind w:right="33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Representación del número de niveles de las construcciones. </w:t>
      </w:r>
    </w:p>
    <w:p w14:paraId="3374060B" w14:textId="77777777" w:rsidR="00524F6F" w:rsidRDefault="00BC25C3">
      <w:pPr>
        <w:numPr>
          <w:ilvl w:val="0"/>
          <w:numId w:val="7"/>
        </w:numPr>
        <w:pBdr>
          <w:top w:val="nil"/>
          <w:left w:val="nil"/>
          <w:bottom w:val="nil"/>
          <w:right w:val="nil"/>
          <w:between w:val="nil"/>
        </w:pBdr>
        <w:tabs>
          <w:tab w:val="left" w:pos="1134"/>
        </w:tabs>
        <w:spacing w:line="360" w:lineRule="auto"/>
        <w:ind w:right="333"/>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Número oficial.</w:t>
      </w:r>
    </w:p>
    <w:p w14:paraId="0518A5F9" w14:textId="77777777" w:rsidR="00524F6F" w:rsidRDefault="00524F6F">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14:paraId="1DA3E9FF" w14:textId="77777777" w:rsidR="00524F6F" w:rsidRDefault="00BC25C3">
      <w:pPr>
        <w:numPr>
          <w:ilvl w:val="0"/>
          <w:numId w:val="8"/>
        </w:num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Como se advierte, con la divulgación de esos datos se puede conducir a una vulneración a la esfera privada de los particulares propietarios o poseedores de los inmuebles, por lo tanto deberá ser proceder su clasificación como confidencial, de conformidad con lo dispuesto en los artículos 3, fracciones IX, XX y XXI, 143 fracción I y 91 de la Ley de Transparencia y Acceso a la Información Pública del Estado de México y Municipios porque se trata de información de carácter patrimonial que puede vincularse a particulares.</w:t>
      </w:r>
    </w:p>
    <w:p w14:paraId="34549961" w14:textId="77777777" w:rsidR="00524F6F" w:rsidRDefault="00524F6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2C8CEB7E" w14:textId="77777777" w:rsidR="00524F6F" w:rsidRDefault="00BC25C3">
      <w:pPr>
        <w:numPr>
          <w:ilvl w:val="0"/>
          <w:numId w:val="8"/>
        </w:numPr>
        <w:pBdr>
          <w:top w:val="nil"/>
          <w:left w:val="nil"/>
          <w:bottom w:val="nil"/>
          <w:right w:val="nil"/>
          <w:between w:val="nil"/>
        </w:pBdr>
        <w:spacing w:line="360" w:lineRule="auto"/>
        <w:ind w:right="49"/>
        <w:jc w:val="both"/>
        <w:rPr>
          <w:color w:val="000000"/>
        </w:rPr>
      </w:pPr>
      <w:r>
        <w:rPr>
          <w:rFonts w:ascii="Palatino Linotype" w:eastAsia="Palatino Linotype" w:hAnsi="Palatino Linotype" w:cs="Palatino Linotype"/>
          <w:color w:val="000000"/>
        </w:rPr>
        <w:t xml:space="preserve">Como se advierte de lo analizado hasta este momento, la información solicitada por el particular, puede obrar de manera enunciativa más no limitativa, dentro del padrón catastral, el cual, puede contener información pública como confidencial, por lo que puede hacerse del conocimiento del particular en versión pública.  Robustece lo anterior, lo dispuesto por el Instituto de Información e Investigación Geográfica, Estadística y Catastral del Estado de México (IGECEM) en su portal electrónico: </w:t>
      </w:r>
      <w:hyperlink r:id="rId12">
        <w:r>
          <w:rPr>
            <w:rFonts w:ascii="Palatino Linotype" w:eastAsia="Palatino Linotype" w:hAnsi="Palatino Linotype" w:cs="Palatino Linotype"/>
            <w:color w:val="000000"/>
            <w:u w:val="single"/>
          </w:rPr>
          <w:t>https://igecem.edomex.gob.mx/padron-catastral</w:t>
        </w:r>
      </w:hyperlink>
      <w:r>
        <w:rPr>
          <w:rFonts w:ascii="Palatino Linotype" w:eastAsia="Palatino Linotype" w:hAnsi="Palatino Linotype" w:cs="Palatino Linotype"/>
          <w:color w:val="000000"/>
          <w:u w:val="single"/>
        </w:rPr>
        <w:t xml:space="preserve"> </w:t>
      </w:r>
    </w:p>
    <w:p w14:paraId="3532FEAA" w14:textId="77777777" w:rsidR="00524F6F" w:rsidRDefault="00BC25C3">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Padrón Catastral es el conjunto de datos integrados por un registro alfanumérico y un registro gráfico que contienen los catálogos operativos, tales como zonas, </w:t>
      </w:r>
      <w:r>
        <w:rPr>
          <w:rFonts w:ascii="Palatino Linotype" w:eastAsia="Palatino Linotype" w:hAnsi="Palatino Linotype" w:cs="Palatino Linotype"/>
          <w:i/>
          <w:color w:val="000000"/>
          <w:sz w:val="22"/>
          <w:szCs w:val="22"/>
        </w:rPr>
        <w:lastRenderedPageBreak/>
        <w:t xml:space="preserve">manzanas, calles, áreas homogéneas, bandas de valor, además de la descripción técnica y administrativa de los predios, propiedades y construcciones de los inmuebles localizados en territorio Estatal. </w:t>
      </w:r>
    </w:p>
    <w:p w14:paraId="00609AF3" w14:textId="77777777" w:rsidR="00524F6F" w:rsidRDefault="00524F6F">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p>
    <w:p w14:paraId="152511EE" w14:textId="77777777" w:rsidR="00524F6F" w:rsidRDefault="00BC25C3">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dos objetivos primordiales de las Unidades Administrativas de Catastro Municipal son: </w:t>
      </w:r>
    </w:p>
    <w:p w14:paraId="4A2D8D09" w14:textId="77777777" w:rsidR="00524F6F" w:rsidRDefault="00BC25C3">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La asignación de la clave catastral (ubicación geográfica de los inmuebles)</w:t>
      </w:r>
    </w:p>
    <w:p w14:paraId="5088759B" w14:textId="77777777" w:rsidR="00524F6F" w:rsidRDefault="00BC25C3">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La obtención del valor catastral (base gravable del cálculo del monto del impuesto predial)</w:t>
      </w:r>
    </w:p>
    <w:p w14:paraId="1E149779" w14:textId="77777777" w:rsidR="00524F6F" w:rsidRDefault="00524F6F">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p>
    <w:p w14:paraId="1703C078" w14:textId="77777777" w:rsidR="00524F6F" w:rsidRDefault="00BC25C3">
      <w:pPr>
        <w:pBdr>
          <w:top w:val="nil"/>
          <w:left w:val="nil"/>
          <w:bottom w:val="nil"/>
          <w:right w:val="nil"/>
          <w:between w:val="nil"/>
        </w:pBdr>
        <w:spacing w:line="360" w:lineRule="auto"/>
        <w:ind w:left="851"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Padrón Catastral se considera, en parte, información clasificada como reservada debido al contenido de datos personales de los propietarios o poseedores de los inmuebles, y para acceder a dicha información es necesario acreditar la personalidad jurídica y legítima; sin embargo, existe información dentro del padrón catastral que no está clasificada como reservada, sino que es de índole pública, tal es el caso de los catálogos operativos arriba descritos, y el público en general (entidades públicas incluidas), puede acceder a ellos, a través de la página de internet del IGECEM o de la publicación en Gaceta del Gobierno, de las Tablas de Valores Unitarios de Suelo y Construcciones.”</w:t>
      </w:r>
    </w:p>
    <w:p w14:paraId="05FB8853" w14:textId="77777777" w:rsidR="00524F6F" w:rsidRDefault="00524F6F">
      <w:pPr>
        <w:pBdr>
          <w:top w:val="nil"/>
          <w:left w:val="nil"/>
          <w:bottom w:val="nil"/>
          <w:right w:val="nil"/>
          <w:between w:val="nil"/>
        </w:pBdr>
        <w:spacing w:line="276" w:lineRule="auto"/>
        <w:ind w:right="851"/>
        <w:jc w:val="both"/>
        <w:rPr>
          <w:rFonts w:ascii="Palatino Linotype" w:eastAsia="Palatino Linotype" w:hAnsi="Palatino Linotype" w:cs="Palatino Linotype"/>
          <w:b/>
          <w:i/>
          <w:color w:val="000000"/>
        </w:rPr>
      </w:pPr>
    </w:p>
    <w:p w14:paraId="1DA98BA1" w14:textId="77777777" w:rsidR="00524F6F" w:rsidRDefault="00BC25C3">
      <w:pPr>
        <w:numPr>
          <w:ilvl w:val="0"/>
          <w:numId w:val="8"/>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Como puede observarse, el Instituto de Información e Investigación Geográfica, Estadística y Catastral del Estado de México (IGECEM) reconoce que </w:t>
      </w:r>
      <w:r>
        <w:rPr>
          <w:rFonts w:ascii="Palatino Linotype" w:eastAsia="Palatino Linotype" w:hAnsi="Palatino Linotype" w:cs="Palatino Linotype"/>
          <w:b/>
          <w:color w:val="000000"/>
        </w:rPr>
        <w:t>la clasificación al padrón catastral no debe ser absoluta</w:t>
      </w:r>
      <w:r>
        <w:rPr>
          <w:rFonts w:ascii="Palatino Linotype" w:eastAsia="Palatino Linotype" w:hAnsi="Palatino Linotype" w:cs="Palatino Linotype"/>
          <w:color w:val="000000"/>
        </w:rPr>
        <w:t xml:space="preserve">, pues contiene información susceptible de darse a conocer al público, como son los catálogos operativos y los registros gráficos que dan cuenta de las localidades, colonias, áreas homogéneas, tipologías de construcción, bandas de valor, manzanas y calles, mismas a las que le </w:t>
      </w:r>
      <w:r>
        <w:rPr>
          <w:rFonts w:ascii="Palatino Linotype" w:eastAsia="Palatino Linotype" w:hAnsi="Palatino Linotype" w:cs="Palatino Linotype"/>
          <w:color w:val="000000"/>
        </w:rPr>
        <w:lastRenderedPageBreak/>
        <w:t>reviste interés público por formar parte de los elementos que permiten la implementación de la valuación catastral que a su vez sirve para el cálculo de impuestos o derechos, por lo que, se insiste que dentro del padrón catastral, existen elementos que efectivamente pudieran hacerse del conocimiento del público en general, por lo tanto, no se puede hablar de una clasificación absoluta de la información y, por el contrario, se estima pertinente su entrega, ello en versión pública, atendiendo a lo que disponga el considerando siguiente.</w:t>
      </w:r>
    </w:p>
    <w:p w14:paraId="0C5E712A" w14:textId="77777777" w:rsidR="00524F6F" w:rsidRDefault="00524F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rPr>
      </w:pPr>
    </w:p>
    <w:p w14:paraId="1E280B49" w14:textId="77777777" w:rsidR="00524F6F" w:rsidRDefault="00BC25C3">
      <w:pPr>
        <w:numPr>
          <w:ilvl w:val="0"/>
          <w:numId w:val="8"/>
        </w:numPr>
        <w:pBdr>
          <w:top w:val="nil"/>
          <w:left w:val="nil"/>
          <w:bottom w:val="nil"/>
          <w:right w:val="nil"/>
          <w:between w:val="nil"/>
        </w:pBdr>
        <w:tabs>
          <w:tab w:val="left" w:pos="426"/>
        </w:tabs>
        <w:spacing w:line="360" w:lineRule="auto"/>
        <w:jc w:val="both"/>
        <w:rPr>
          <w:color w:val="000000"/>
        </w:rPr>
      </w:pPr>
      <w:bookmarkStart w:id="5" w:name="_heading=h.2s8eyo1" w:colFirst="0" w:colLast="0"/>
      <w:bookmarkEnd w:id="5"/>
      <w:r>
        <w:rPr>
          <w:rFonts w:ascii="Palatino Linotype" w:eastAsia="Palatino Linotype" w:hAnsi="Palatino Linotype" w:cs="Palatino Linotype"/>
          <w:color w:val="000000"/>
        </w:rPr>
        <w:t xml:space="preserve">Por lo tanto, en consecuencia y en mérito de lo expuesto en líneas anteriores, resultan fundadas las razones o motivos de inconformidad hechos valer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Pr>
          <w:rFonts w:ascii="Palatino Linotype" w:eastAsia="Palatino Linotype" w:hAnsi="Palatino Linotype" w:cs="Palatino Linotype"/>
          <w:b/>
          <w:color w:val="000000"/>
        </w:rPr>
        <w:t>00213/INFOEM/IP/RR/2024</w:t>
      </w:r>
      <w:r>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Pr>
          <w:rFonts w:ascii="Palatino Linotype" w:eastAsia="Palatino Linotype" w:hAnsi="Palatino Linotype" w:cs="Palatino Linotype"/>
          <w:b/>
          <w:color w:val="000000"/>
        </w:rPr>
        <w:t>REVOCA</w:t>
      </w:r>
      <w:r>
        <w:rPr>
          <w:rFonts w:ascii="Palatino Linotype" w:eastAsia="Palatino Linotype" w:hAnsi="Palatino Linotype" w:cs="Palatino Linotype"/>
          <w:color w:val="000000"/>
        </w:rPr>
        <w:t xml:space="preserve"> la respuesta a la solicitud de información número </w:t>
      </w:r>
      <w:r>
        <w:rPr>
          <w:rFonts w:ascii="Palatino Linotype" w:eastAsia="Palatino Linotype" w:hAnsi="Palatino Linotype" w:cs="Palatino Linotype"/>
          <w:b/>
          <w:color w:val="000000"/>
        </w:rPr>
        <w:t>00242/IXTLAHUA/IP/2023</w:t>
      </w:r>
      <w:r>
        <w:rPr>
          <w:rFonts w:ascii="Palatino Linotype" w:eastAsia="Palatino Linotype" w:hAnsi="Palatino Linotype" w:cs="Palatino Linotype"/>
          <w:color w:val="000000"/>
        </w:rPr>
        <w:t>.</w:t>
      </w:r>
    </w:p>
    <w:p w14:paraId="0145BDC0" w14:textId="77777777" w:rsidR="00524F6F" w:rsidRDefault="00524F6F">
      <w:pPr>
        <w:pBdr>
          <w:top w:val="nil"/>
          <w:left w:val="nil"/>
          <w:bottom w:val="nil"/>
          <w:right w:val="nil"/>
          <w:between w:val="nil"/>
        </w:pBdr>
        <w:ind w:left="720"/>
        <w:rPr>
          <w:rFonts w:ascii="Palatino Linotype" w:eastAsia="Palatino Linotype" w:hAnsi="Palatino Linotype" w:cs="Palatino Linotype"/>
          <w:i/>
          <w:color w:val="000000"/>
        </w:rPr>
      </w:pPr>
    </w:p>
    <w:p w14:paraId="6B8D1423" w14:textId="77777777" w:rsidR="00524F6F" w:rsidRDefault="00524F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rPr>
      </w:pPr>
    </w:p>
    <w:p w14:paraId="1E4A750F" w14:textId="77777777" w:rsidR="00524F6F" w:rsidRDefault="00BC25C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rPr>
      </w:pPr>
      <w:bookmarkStart w:id="6" w:name="_heading=h.1fob9te" w:colFirst="0" w:colLast="0"/>
      <w:bookmarkEnd w:id="6"/>
      <w:r>
        <w:rPr>
          <w:rFonts w:ascii="Palatino Linotype" w:eastAsia="Palatino Linotype" w:hAnsi="Palatino Linotype" w:cs="Palatino Linotype"/>
          <w:b/>
          <w:color w:val="000000"/>
        </w:rPr>
        <w:t>QUINTO. De la versión pública.</w:t>
      </w:r>
    </w:p>
    <w:p w14:paraId="29798682" w14:textId="77777777" w:rsidR="00524F6F" w:rsidRDefault="00BC25C3">
      <w:pPr>
        <w:numPr>
          <w:ilvl w:val="0"/>
          <w:numId w:val="8"/>
        </w:numPr>
        <w:pBdr>
          <w:top w:val="nil"/>
          <w:left w:val="nil"/>
          <w:bottom w:val="nil"/>
          <w:right w:val="nil"/>
          <w:between w:val="nil"/>
        </w:pBdr>
        <w:tabs>
          <w:tab w:val="left" w:pos="0"/>
        </w:tabs>
        <w:spacing w:line="360" w:lineRule="auto"/>
        <w:ind w:right="51"/>
        <w:jc w:val="both"/>
        <w:rPr>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3629FCB3" w14:textId="77777777" w:rsidR="00524F6F" w:rsidRDefault="00524F6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3D01FD8" w14:textId="77777777" w:rsidR="00524F6F" w:rsidRDefault="00BC25C3">
      <w:pPr>
        <w:numPr>
          <w:ilvl w:val="0"/>
          <w:numId w:val="8"/>
        </w:numPr>
        <w:pBdr>
          <w:top w:val="nil"/>
          <w:left w:val="nil"/>
          <w:bottom w:val="nil"/>
          <w:right w:val="nil"/>
          <w:between w:val="nil"/>
        </w:pBdr>
        <w:spacing w:line="360" w:lineRule="auto"/>
        <w:ind w:right="51"/>
        <w:jc w:val="both"/>
        <w:rPr>
          <w:color w:val="000000"/>
        </w:rPr>
      </w:pPr>
      <w:r>
        <w:rPr>
          <w:rFonts w:ascii="Palatino Linotype" w:eastAsia="Palatino Linotype" w:hAnsi="Palatino Linotype" w:cs="Palatino Linotype"/>
          <w:color w:val="000000"/>
        </w:rPr>
        <w:lastRenderedPageBreak/>
        <w:t>La clasificación total o parcial de la información requerida, mediante solicitud de acceso a la información pública, constituye una restricción al derecho humano de acceso a la información, por lo que es menester reiterar los mismos:</w:t>
      </w:r>
    </w:p>
    <w:p w14:paraId="62625983" w14:textId="77777777" w:rsidR="00524F6F" w:rsidRDefault="00524F6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tbl>
      <w:tblPr>
        <w:tblStyle w:val="a0"/>
        <w:tblW w:w="882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838"/>
        <w:gridCol w:w="6990"/>
      </w:tblGrid>
      <w:tr w:rsidR="00524F6F" w14:paraId="00B65DB6" w14:textId="77777777" w:rsidTr="00524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10F1B2" w14:textId="77777777" w:rsidR="00524F6F" w:rsidRDefault="00BC25C3">
            <w:pPr>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 Requisitos previos.</w:t>
            </w:r>
          </w:p>
        </w:tc>
        <w:tc>
          <w:tcPr>
            <w:tcW w:w="6990" w:type="dxa"/>
          </w:tcPr>
          <w:p w14:paraId="0F152437" w14:textId="77777777" w:rsidR="00524F6F" w:rsidRDefault="00BC25C3">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Los artículos 100 y 122 de la Ley Estatal y de la Ley General, respectivamente, señalan </w:t>
            </w:r>
            <w:proofErr w:type="gramStart"/>
            <w:r>
              <w:rPr>
                <w:rFonts w:ascii="Palatino Linotype" w:eastAsia="Palatino Linotype" w:hAnsi="Palatino Linotype" w:cs="Palatino Linotype"/>
                <w:b w:val="0"/>
                <w:sz w:val="20"/>
                <w:szCs w:val="20"/>
              </w:rPr>
              <w:t>que</w:t>
            </w:r>
            <w:proofErr w:type="gramEnd"/>
            <w:r>
              <w:rPr>
                <w:rFonts w:ascii="Palatino Linotype" w:eastAsia="Palatino Linotype" w:hAnsi="Palatino Linotype" w:cs="Palatino Linotype"/>
                <w:b w:val="0"/>
                <w:sz w:val="20"/>
                <w:szCs w:val="20"/>
              </w:rPr>
              <w:t xml:space="preserve"> si los Sujetos Obligados determinan que la información actualiza alguno de los supuestos de clasificación, es deber de los titulares de las áreas proponer su clasificación y no del Comité de Transparencia. </w:t>
            </w:r>
          </w:p>
          <w:p w14:paraId="391B10D9" w14:textId="77777777" w:rsidR="00524F6F" w:rsidRDefault="00BC25C3">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Al hacerlo tienen que precisar de qué información se trata, señalando el supuesto de clasificación (confidencialidad o reserva).</w:t>
            </w:r>
          </w:p>
          <w:p w14:paraId="5E621784" w14:textId="77777777" w:rsidR="00524F6F" w:rsidRDefault="00BC25C3">
            <w:pPr>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Además, se debe señalar el procedimiento, de los tres que establecen los artículos 132 y 106 de la Ley Estatal y General, respectivamente.</w:t>
            </w:r>
          </w:p>
          <w:p w14:paraId="742D161D" w14:textId="77777777" w:rsidR="00524F6F" w:rsidRDefault="00BC25C3">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sz w:val="20"/>
                <w:szCs w:val="20"/>
                <w:u w:val="single"/>
              </w:rPr>
              <w:t xml:space="preserve">no se puede hacer un acuerdo para clasificar de manera general todos los documentos de un expediente o </w:t>
            </w:r>
            <w:proofErr w:type="gramStart"/>
            <w:r>
              <w:rPr>
                <w:rFonts w:ascii="Palatino Linotype" w:eastAsia="Palatino Linotype" w:hAnsi="Palatino Linotype" w:cs="Palatino Linotype"/>
                <w:b w:val="0"/>
                <w:sz w:val="20"/>
                <w:szCs w:val="20"/>
                <w:u w:val="single"/>
              </w:rPr>
              <w:t xml:space="preserve">área,  </w:t>
            </w:r>
            <w:r>
              <w:rPr>
                <w:rFonts w:ascii="Palatino Linotype" w:eastAsia="Palatino Linotype" w:hAnsi="Palatino Linotype" w:cs="Palatino Linotype"/>
                <w:b w:val="0"/>
                <w:sz w:val="20"/>
                <w:szCs w:val="20"/>
              </w:rPr>
              <w:t>sin</w:t>
            </w:r>
            <w:proofErr w:type="gramEnd"/>
            <w:r>
              <w:rPr>
                <w:rFonts w:ascii="Palatino Linotype" w:eastAsia="Palatino Linotype" w:hAnsi="Palatino Linotype" w:cs="Palatino Linotype"/>
                <w:b w:val="0"/>
                <w:sz w:val="20"/>
                <w:szCs w:val="20"/>
              </w:rPr>
              <w:t xml:space="preserve"> individualizar su análisis y tampoco se puede hacer un acuerdo por cada dato que se vaya a clasificar dentro de un documento con diez datos, por ejemplo, susceptibles de ser clasificados.</w:t>
            </w:r>
          </w:p>
        </w:tc>
      </w:tr>
      <w:tr w:rsidR="00524F6F" w14:paraId="02D7EF50" w14:textId="77777777" w:rsidTr="0052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35B64D" w14:textId="77777777" w:rsidR="00524F6F" w:rsidRDefault="00BC25C3">
            <w:pPr>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b) Supuestos de clasificación.</w:t>
            </w:r>
          </w:p>
        </w:tc>
        <w:tc>
          <w:tcPr>
            <w:tcW w:w="6990" w:type="dxa"/>
          </w:tcPr>
          <w:p w14:paraId="7A9FA819" w14:textId="77777777" w:rsidR="00524F6F" w:rsidRDefault="00BC25C3">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5A00C3B0" w14:textId="77777777" w:rsidR="00524F6F" w:rsidRDefault="00BC25C3">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A601379" w14:textId="77777777" w:rsidR="00524F6F" w:rsidRDefault="00BC25C3">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24F6F" w14:paraId="75955DAC" w14:textId="77777777" w:rsidTr="00524F6F">
        <w:tc>
          <w:tcPr>
            <w:cnfStyle w:val="001000000000" w:firstRow="0" w:lastRow="0" w:firstColumn="1" w:lastColumn="0" w:oddVBand="0" w:evenVBand="0" w:oddHBand="0" w:evenHBand="0" w:firstRowFirstColumn="0" w:firstRowLastColumn="0" w:lastRowFirstColumn="0" w:lastRowLastColumn="0"/>
            <w:tcW w:w="1838" w:type="dxa"/>
          </w:tcPr>
          <w:p w14:paraId="3104882F" w14:textId="77777777" w:rsidR="00524F6F" w:rsidRDefault="00BC25C3">
            <w:pPr>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c) Formalidades para emitir el acuerdo de clasificación.</w:t>
            </w:r>
          </w:p>
        </w:tc>
        <w:tc>
          <w:tcPr>
            <w:tcW w:w="6990" w:type="dxa"/>
          </w:tcPr>
          <w:p w14:paraId="15E94ECB" w14:textId="77777777" w:rsidR="00524F6F" w:rsidRDefault="00BC25C3">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14:paraId="32807273" w14:textId="77777777" w:rsidR="00524F6F" w:rsidRDefault="00BC25C3">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 necesario que </w:t>
            </w:r>
            <w:r>
              <w:rPr>
                <w:rFonts w:ascii="Palatino Linotype" w:eastAsia="Palatino Linotype" w:hAnsi="Palatino Linotype" w:cs="Palatino Linotype"/>
                <w:sz w:val="20"/>
                <w:szCs w:val="20"/>
                <w:u w:val="single"/>
              </w:rPr>
              <w:t>el acto reúna con los requisitos elementales</w:t>
            </w:r>
            <w:r>
              <w:rPr>
                <w:rFonts w:ascii="Palatino Linotype" w:eastAsia="Palatino Linotype" w:hAnsi="Palatino Linotype" w:cs="Palatino Linotype"/>
                <w:sz w:val="20"/>
                <w:szCs w:val="20"/>
              </w:rPr>
              <w:t>, entre ellos, que la autoridad que va a emitir el acto de autoridad sea la legalmente facultada para ello.</w:t>
            </w:r>
          </w:p>
          <w:p w14:paraId="04B3822B" w14:textId="77777777" w:rsidR="00524F6F" w:rsidRDefault="00BC25C3">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24F6F" w14:paraId="62C8E9CF" w14:textId="77777777" w:rsidTr="0052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E377635" w14:textId="77777777" w:rsidR="00524F6F" w:rsidRDefault="00524F6F">
            <w:pPr>
              <w:spacing w:line="360" w:lineRule="auto"/>
              <w:rPr>
                <w:rFonts w:ascii="Palatino Linotype" w:eastAsia="Palatino Linotype" w:hAnsi="Palatino Linotype" w:cs="Palatino Linotype"/>
                <w:sz w:val="20"/>
                <w:szCs w:val="20"/>
              </w:rPr>
            </w:pPr>
          </w:p>
          <w:p w14:paraId="30BED0A8" w14:textId="77777777" w:rsidR="00524F6F" w:rsidRDefault="00BC25C3">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d) Requisitos de fondo del acuerdo de clasificación. </w:t>
            </w:r>
          </w:p>
        </w:tc>
        <w:tc>
          <w:tcPr>
            <w:tcW w:w="6990" w:type="dxa"/>
          </w:tcPr>
          <w:p w14:paraId="23578B2F" w14:textId="77777777" w:rsidR="00524F6F" w:rsidRDefault="00BC25C3">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14:paraId="70834EDB" w14:textId="77777777" w:rsidR="00524F6F" w:rsidRDefault="00BC25C3">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 lo anterior, se desprende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para una correcta clasificación total o parcial, esto es determinar los datos que se suprimen en las versiones públicas, es necesario fundar y motivar, de manera correcta, la clasificación; considerando que todo acto que la autoridad pronuncie en el ejercicio de sus </w:t>
            </w:r>
            <w:r>
              <w:rPr>
                <w:rFonts w:ascii="Palatino Linotype" w:eastAsia="Palatino Linotype" w:hAnsi="Palatino Linotype" w:cs="Palatino Linotype"/>
                <w:sz w:val="20"/>
                <w:szCs w:val="20"/>
              </w:rPr>
              <w:lastRenderedPageBreak/>
              <w:t>atribuciones, debe expresar los fundamentos legales que le dieron origen y las razones por las que se deben aplicar al caso concreto.</w:t>
            </w:r>
          </w:p>
          <w:p w14:paraId="78751E04" w14:textId="77777777" w:rsidR="00524F6F" w:rsidRDefault="00BC25C3">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00D8666" w14:textId="77777777" w:rsidR="00524F6F" w:rsidRDefault="00BC25C3">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61E9D623" w14:textId="77777777" w:rsidR="00524F6F" w:rsidRDefault="00BC25C3">
            <w:pPr>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Ahora bien, </w:t>
            </w:r>
            <w:r>
              <w:rPr>
                <w:rFonts w:ascii="Palatino Linotype" w:eastAsia="Palatino Linotype" w:hAnsi="Palatino Linotype" w:cs="Palatino Linotype"/>
                <w:sz w:val="20"/>
                <w:szCs w:val="20"/>
                <w:u w:val="single"/>
              </w:rPr>
              <w:t>para cada caso además de fundar y motivar</w:t>
            </w:r>
            <w:r>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24F6F" w14:paraId="2F5E43CF" w14:textId="77777777" w:rsidTr="00524F6F">
        <w:tc>
          <w:tcPr>
            <w:cnfStyle w:val="001000000000" w:firstRow="0" w:lastRow="0" w:firstColumn="1" w:lastColumn="0" w:oddVBand="0" w:evenVBand="0" w:oddHBand="0" w:evenHBand="0" w:firstRowFirstColumn="0" w:firstRowLastColumn="0" w:lastRowFirstColumn="0" w:lastRowLastColumn="0"/>
            <w:tcW w:w="1838" w:type="dxa"/>
          </w:tcPr>
          <w:p w14:paraId="50BE9605" w14:textId="77777777" w:rsidR="00524F6F" w:rsidRDefault="00BC25C3">
            <w:pPr>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 xml:space="preserve">e) Condiciones especiales de la clasificación de la información como confidencial. </w:t>
            </w:r>
          </w:p>
          <w:p w14:paraId="3A8E2644" w14:textId="77777777" w:rsidR="00524F6F" w:rsidRDefault="00524F6F">
            <w:pPr>
              <w:spacing w:line="360" w:lineRule="auto"/>
              <w:rPr>
                <w:rFonts w:ascii="Palatino Linotype" w:eastAsia="Palatino Linotype" w:hAnsi="Palatino Linotype" w:cs="Palatino Linotype"/>
                <w:sz w:val="20"/>
                <w:szCs w:val="20"/>
              </w:rPr>
            </w:pPr>
          </w:p>
        </w:tc>
        <w:tc>
          <w:tcPr>
            <w:tcW w:w="6990" w:type="dxa"/>
          </w:tcPr>
          <w:p w14:paraId="7A5EE07B" w14:textId="77777777" w:rsidR="00524F6F" w:rsidRDefault="00BC25C3">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Los artículos 148 y 120 de la Ley Estatal y de la Ley General, respectivamente, establecen </w:t>
            </w:r>
            <w:proofErr w:type="gramStart"/>
            <w:r>
              <w:rPr>
                <w:rFonts w:ascii="Palatino Linotype" w:eastAsia="Palatino Linotype" w:hAnsi="Palatino Linotype" w:cs="Palatino Linotype"/>
                <w:sz w:val="20"/>
                <w:szCs w:val="20"/>
              </w:rPr>
              <w:t>que</w:t>
            </w:r>
            <w:proofErr w:type="gramEnd"/>
            <w:r>
              <w:rPr>
                <w:rFonts w:ascii="Palatino Linotype" w:eastAsia="Palatino Linotype" w:hAnsi="Palatino Linotype" w:cs="Palatino Linotype"/>
                <w:sz w:val="20"/>
                <w:szCs w:val="20"/>
              </w:rPr>
              <w:t xml:space="preserve"> aun tratándose de datos personales, se podrán proporcionar, incluso sin solicitar el consentimiento de su titular. </w:t>
            </w:r>
          </w:p>
          <w:p w14:paraId="24D6D076" w14:textId="77777777" w:rsidR="00524F6F" w:rsidRDefault="00BC25C3">
            <w:pPr>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008096B" w14:textId="77777777" w:rsidR="00524F6F" w:rsidRDefault="00BC25C3">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Pero si la información que se pretende clasificar como confidencial no se encuentra en los supuestos de los artículos señalados y es posible, se deberá consultar al titular de los datos si permite o no el acceso. De no ser posible, </w:t>
            </w:r>
            <w:r>
              <w:rPr>
                <w:rFonts w:ascii="Palatino Linotype" w:eastAsia="Palatino Linotype" w:hAnsi="Palatino Linotype" w:cs="Palatino Linotype"/>
                <w:sz w:val="20"/>
                <w:szCs w:val="20"/>
              </w:rPr>
              <w:lastRenderedPageBreak/>
              <w:t>la realización de la consulta, procede, fundando y motivando, la clasificación.</w:t>
            </w:r>
          </w:p>
        </w:tc>
      </w:tr>
    </w:tbl>
    <w:p w14:paraId="4E5C324B" w14:textId="77777777" w:rsidR="00524F6F" w:rsidRDefault="00524F6F">
      <w:pPr>
        <w:shd w:val="clear" w:color="auto" w:fill="FFFFFF"/>
        <w:spacing w:before="240" w:after="240" w:line="360" w:lineRule="auto"/>
        <w:jc w:val="both"/>
        <w:rPr>
          <w:rFonts w:ascii="Palatino Linotype" w:eastAsia="Palatino Linotype" w:hAnsi="Palatino Linotype" w:cs="Palatino Linotype"/>
          <w:color w:val="222222"/>
        </w:rPr>
      </w:pPr>
    </w:p>
    <w:p w14:paraId="420235C5" w14:textId="77777777" w:rsidR="00524F6F" w:rsidRDefault="00BC25C3">
      <w:pPr>
        <w:numPr>
          <w:ilvl w:val="0"/>
          <w:numId w:val="8"/>
        </w:numPr>
        <w:shd w:val="clear" w:color="auto" w:fill="FFFFFF"/>
        <w:spacing w:before="240" w:after="240" w:line="360" w:lineRule="auto"/>
        <w:jc w:val="both"/>
        <w:rPr>
          <w:color w:val="222222"/>
        </w:rPr>
      </w:pP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14:paraId="69D5AE31" w14:textId="77777777" w:rsidR="00524F6F" w:rsidRDefault="00BC25C3">
      <w:pPr>
        <w:keepNext/>
        <w:keepLines/>
        <w:spacing w:line="360" w:lineRule="auto"/>
        <w:jc w:val="center"/>
        <w:rPr>
          <w:rFonts w:ascii="Palatino Linotype" w:eastAsia="Palatino Linotype" w:hAnsi="Palatino Linotype" w:cs="Palatino Linotype"/>
          <w:b/>
          <w:color w:val="000000"/>
        </w:rPr>
      </w:pPr>
      <w:bookmarkStart w:id="7" w:name="_heading=h.17dp8vu" w:colFirst="0" w:colLast="0"/>
      <w:bookmarkEnd w:id="7"/>
      <w:r>
        <w:rPr>
          <w:rFonts w:ascii="Palatino Linotype" w:eastAsia="Palatino Linotype" w:hAnsi="Palatino Linotype" w:cs="Palatino Linotype"/>
          <w:b/>
          <w:color w:val="000000"/>
        </w:rPr>
        <w:t>R E S O L U T I V O S</w:t>
      </w:r>
    </w:p>
    <w:p w14:paraId="45886FA8" w14:textId="77777777" w:rsidR="00524F6F" w:rsidRDefault="00524F6F">
      <w:pPr>
        <w:keepNext/>
        <w:keepLines/>
        <w:spacing w:line="360" w:lineRule="auto"/>
        <w:jc w:val="center"/>
        <w:rPr>
          <w:rFonts w:ascii="Palatino Linotype" w:eastAsia="Palatino Linotype" w:hAnsi="Palatino Linotype" w:cs="Palatino Linotype"/>
          <w:b/>
          <w:color w:val="000000"/>
        </w:rPr>
      </w:pPr>
    </w:p>
    <w:p w14:paraId="1E30626A" w14:textId="77777777" w:rsidR="00524F6F" w:rsidRDefault="00BC25C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00213/INFOEM/IP/RR/2024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 Considerandos</w:t>
      </w:r>
      <w:r>
        <w:rPr>
          <w:rFonts w:ascii="Palatino Linotype" w:eastAsia="Palatino Linotype" w:hAnsi="Palatino Linotype" w:cs="Palatino Linotype"/>
          <w:b/>
        </w:rPr>
        <w:t xml:space="preserve"> Cuarto y Quinto </w:t>
      </w:r>
      <w:r>
        <w:rPr>
          <w:rFonts w:ascii="Palatino Linotype" w:eastAsia="Palatino Linotype" w:hAnsi="Palatino Linotype" w:cs="Palatino Linotype"/>
        </w:rPr>
        <w:t xml:space="preserve">de la presente resolución. </w:t>
      </w:r>
    </w:p>
    <w:p w14:paraId="413C42F1" w14:textId="77777777" w:rsidR="00524F6F" w:rsidRDefault="00524F6F">
      <w:pPr>
        <w:spacing w:line="360" w:lineRule="auto"/>
        <w:jc w:val="both"/>
        <w:rPr>
          <w:rFonts w:ascii="Palatino Linotype" w:eastAsia="Palatino Linotype" w:hAnsi="Palatino Linotype" w:cs="Palatino Linotype"/>
        </w:rPr>
      </w:pPr>
    </w:p>
    <w:p w14:paraId="3FE0E780" w14:textId="77777777" w:rsidR="00524F6F" w:rsidRDefault="00BC25C3">
      <w:pPr>
        <w:spacing w:line="360" w:lineRule="auto"/>
        <w:ind w:right="49"/>
        <w:jc w:val="both"/>
        <w:rPr>
          <w:rFonts w:ascii="Palatino Linotype" w:eastAsia="Palatino Linotype" w:hAnsi="Palatino Linotype" w:cs="Palatino Linotype"/>
        </w:rPr>
      </w:pPr>
      <w:bookmarkStart w:id="8" w:name="_heading=h.3rdcrjn" w:colFirst="0" w:colLast="0"/>
      <w:bookmarkEnd w:id="8"/>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REVOCA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Ayuntamiento de Ixtlahuaca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de ser procedente en versión pública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formato digital o </w:t>
      </w:r>
      <w:proofErr w:type="spellStart"/>
      <w:r>
        <w:rPr>
          <w:rFonts w:ascii="Palatino Linotype" w:eastAsia="Palatino Linotype" w:hAnsi="Palatino Linotype" w:cs="Palatino Linotype"/>
          <w:color w:val="000000"/>
        </w:rPr>
        <w:t>shape</w:t>
      </w:r>
      <w:proofErr w:type="spellEnd"/>
      <w:r>
        <w:rPr>
          <w:rFonts w:ascii="Palatino Linotype" w:eastAsia="Palatino Linotype" w:hAnsi="Palatino Linotype" w:cs="Palatino Linotype"/>
          <w:color w:val="000000"/>
        </w:rPr>
        <w:t xml:space="preserve"> o en el que se haya generado</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la siguiente información:</w:t>
      </w:r>
    </w:p>
    <w:p w14:paraId="321DEC12" w14:textId="77777777" w:rsidR="00524F6F" w:rsidRDefault="00524F6F">
      <w:pPr>
        <w:tabs>
          <w:tab w:val="left" w:pos="8080"/>
        </w:tabs>
        <w:spacing w:line="360" w:lineRule="auto"/>
        <w:ind w:right="48"/>
        <w:jc w:val="both"/>
        <w:rPr>
          <w:rFonts w:ascii="Palatino Linotype" w:eastAsia="Palatino Linotype" w:hAnsi="Palatino Linotype" w:cs="Palatino Linotype"/>
        </w:rPr>
      </w:pPr>
    </w:p>
    <w:p w14:paraId="40F64ED2" w14:textId="77777777" w:rsidR="00524F6F" w:rsidRDefault="00BC25C3">
      <w:pPr>
        <w:numPr>
          <w:ilvl w:val="0"/>
          <w:numId w:val="9"/>
        </w:numPr>
        <w:pBdr>
          <w:top w:val="nil"/>
          <w:left w:val="nil"/>
          <w:bottom w:val="nil"/>
          <w:right w:val="nil"/>
          <w:between w:val="nil"/>
        </w:pBdr>
        <w:tabs>
          <w:tab w:val="left" w:pos="993"/>
        </w:tabs>
        <w:spacing w:line="360" w:lineRule="auto"/>
        <w:ind w:right="539" w:hanging="152"/>
        <w:jc w:val="both"/>
        <w:rPr>
          <w:rFonts w:ascii="Palatino Linotype" w:eastAsia="Palatino Linotype" w:hAnsi="Palatino Linotype" w:cs="Palatino Linotype"/>
          <w:b/>
        </w:rPr>
      </w:pPr>
      <w:r>
        <w:rPr>
          <w:rFonts w:ascii="Palatino Linotype" w:eastAsia="Palatino Linotype" w:hAnsi="Palatino Linotype" w:cs="Palatino Linotype"/>
          <w:b/>
          <w:color w:val="000000"/>
        </w:rPr>
        <w:t>Documentos donde conste la cartografía catastral del Municipio de Ixtlahuaca, actualizada a la fecha de la solicitud.</w:t>
      </w:r>
    </w:p>
    <w:p w14:paraId="443AB7CA" w14:textId="77777777" w:rsidR="00524F6F" w:rsidRDefault="00524F6F">
      <w:pPr>
        <w:pBdr>
          <w:top w:val="nil"/>
          <w:left w:val="nil"/>
          <w:bottom w:val="nil"/>
          <w:right w:val="nil"/>
          <w:between w:val="nil"/>
        </w:pBdr>
        <w:tabs>
          <w:tab w:val="left" w:pos="993"/>
        </w:tabs>
        <w:spacing w:line="360" w:lineRule="auto"/>
        <w:ind w:left="720" w:right="539"/>
        <w:jc w:val="both"/>
        <w:rPr>
          <w:rFonts w:ascii="Palatino Linotype" w:eastAsia="Palatino Linotype" w:hAnsi="Palatino Linotype" w:cs="Palatino Linotype"/>
          <w:b/>
        </w:rPr>
      </w:pPr>
    </w:p>
    <w:p w14:paraId="1BA990A2" w14:textId="77777777" w:rsidR="00524F6F" w:rsidRDefault="00BC25C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w:t>
      </w:r>
      <w:r>
        <w:rPr>
          <w:rFonts w:ascii="Palatino Linotype" w:eastAsia="Palatino Linotype" w:hAnsi="Palatino Linotype" w:cs="Palatino Linotype"/>
        </w:rPr>
        <w:lastRenderedPageBreak/>
        <w:t>dentro del soporte documental respectivo objeto de las versiones públicas que se formulen y se ponga a disposición de la parte recurrente.</w:t>
      </w:r>
    </w:p>
    <w:p w14:paraId="531E5EEF" w14:textId="77777777" w:rsidR="00524F6F" w:rsidRDefault="00524F6F">
      <w:pPr>
        <w:spacing w:line="360" w:lineRule="auto"/>
        <w:ind w:right="539"/>
        <w:jc w:val="both"/>
        <w:rPr>
          <w:rFonts w:ascii="Palatino Linotype" w:eastAsia="Palatino Linotype" w:hAnsi="Palatino Linotype" w:cs="Palatino Linotype"/>
          <w:b/>
        </w:rPr>
      </w:pPr>
    </w:p>
    <w:p w14:paraId="4F2CC69F" w14:textId="77777777" w:rsidR="00524F6F" w:rsidRDefault="00BC25C3">
      <w:pPr>
        <w:tabs>
          <w:tab w:val="left" w:pos="8080"/>
        </w:tabs>
        <w:spacing w:line="360" w:lineRule="auto"/>
        <w:ind w:right="48"/>
        <w:jc w:val="both"/>
        <w:rPr>
          <w:rFonts w:ascii="Palatino Linotype" w:eastAsia="Palatino Linotype" w:hAnsi="Palatino Linotype" w:cs="Palatino Linotype"/>
          <w:color w:val="222222"/>
        </w:rPr>
      </w:pPr>
      <w:bookmarkStart w:id="9" w:name="_heading=h.3znysh7" w:colFirst="0" w:colLast="0"/>
      <w:bookmarkEnd w:id="9"/>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vía </w:t>
      </w:r>
      <w:r>
        <w:rPr>
          <w:rFonts w:ascii="Palatino Linotype" w:eastAsia="Palatino Linotype" w:hAnsi="Palatino Linotype" w:cs="Palatino Linotype"/>
          <w:b/>
        </w:rPr>
        <w:t>SAIMEX</w:t>
      </w:r>
      <w:r>
        <w:rPr>
          <w:rFonts w:ascii="Palatino Linotype" w:eastAsia="Palatino Linotype" w:hAnsi="Palatino Linotype" w:cs="Palatino Linotype"/>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CCACC3" w14:textId="77777777" w:rsidR="00524F6F" w:rsidRDefault="00524F6F">
      <w:pPr>
        <w:tabs>
          <w:tab w:val="left" w:pos="8080"/>
        </w:tabs>
        <w:spacing w:line="360" w:lineRule="auto"/>
        <w:ind w:right="48"/>
        <w:jc w:val="both"/>
        <w:rPr>
          <w:rFonts w:ascii="Palatino Linotype" w:eastAsia="Palatino Linotype" w:hAnsi="Palatino Linotype" w:cs="Palatino Linotype"/>
          <w:color w:val="222222"/>
        </w:rPr>
      </w:pPr>
    </w:p>
    <w:p w14:paraId="5E0C7700" w14:textId="77777777" w:rsidR="00524F6F" w:rsidRDefault="00BC25C3">
      <w:pPr>
        <w:shd w:val="clear" w:color="auto" w:fill="FFFFFF"/>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CUARTO. Notifíquese al RECURRENTE</w:t>
      </w:r>
      <w:r>
        <w:rPr>
          <w:rFonts w:ascii="Palatino Linotype" w:eastAsia="Palatino Linotype" w:hAnsi="Palatino Linotype" w:cs="Palatino Linotype"/>
        </w:rPr>
        <w:t xml:space="preserve"> la presente resolución vía SAIMEX.</w:t>
      </w:r>
    </w:p>
    <w:p w14:paraId="1F3E23C1" w14:textId="77777777" w:rsidR="00524F6F" w:rsidRDefault="00524F6F">
      <w:pPr>
        <w:shd w:val="clear" w:color="auto" w:fill="FFFFFF"/>
        <w:spacing w:line="360" w:lineRule="auto"/>
        <w:ind w:right="48"/>
        <w:jc w:val="both"/>
        <w:rPr>
          <w:rFonts w:ascii="Palatino Linotype" w:eastAsia="Palatino Linotype" w:hAnsi="Palatino Linotype" w:cs="Palatino Linotype"/>
          <w:b/>
          <w:color w:val="FF0000"/>
        </w:rPr>
      </w:pPr>
    </w:p>
    <w:p w14:paraId="2DEE540B" w14:textId="77777777" w:rsidR="00524F6F" w:rsidRDefault="00BC25C3">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2B1AF4ED" w14:textId="77777777" w:rsidR="00524F6F" w:rsidRDefault="00524F6F">
      <w:pPr>
        <w:spacing w:line="360" w:lineRule="auto"/>
        <w:ind w:right="48"/>
        <w:jc w:val="both"/>
        <w:rPr>
          <w:rFonts w:ascii="Palatino Linotype" w:eastAsia="Palatino Linotype" w:hAnsi="Palatino Linotype" w:cs="Palatino Linotype"/>
          <w:color w:val="000000"/>
        </w:rPr>
      </w:pPr>
    </w:p>
    <w:p w14:paraId="4432F426" w14:textId="77777777" w:rsidR="00524F6F" w:rsidRDefault="00BC25C3">
      <w:pPr>
        <w:spacing w:line="360" w:lineRule="auto"/>
        <w:ind w:right="48"/>
        <w:jc w:val="both"/>
        <w:rPr>
          <w:rFonts w:ascii="Palatino Linotype" w:eastAsia="Palatino Linotype" w:hAnsi="Palatino Linotype" w:cs="Palatino Linotype"/>
        </w:rPr>
      </w:pPr>
      <w:r>
        <w:rPr>
          <w:rFonts w:ascii="Palatino Linotype" w:eastAsia="Palatino Linotype" w:hAnsi="Palatino Linotype" w:cs="Palatino Linotype"/>
          <w:b/>
          <w:color w:val="000000"/>
        </w:rPr>
        <w:t xml:space="preserve">SEXTO.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Pr>
          <w:rFonts w:ascii="Palatino Linotype" w:eastAsia="Palatino Linotype" w:hAnsi="Palatino Linotype" w:cs="Palatino Linotype"/>
        </w:rPr>
        <w:lastRenderedPageBreak/>
        <w:t>procedente, el Sujeto Obligado de manera fundada y motivada, podrá solicitar una ampliación de plazo para el cumplimiento de la presente resolución.</w:t>
      </w:r>
    </w:p>
    <w:p w14:paraId="71CD3DA7" w14:textId="77777777" w:rsidR="006D79DB" w:rsidRDefault="006D79DB">
      <w:pPr>
        <w:spacing w:line="360" w:lineRule="auto"/>
        <w:ind w:right="48"/>
        <w:jc w:val="both"/>
        <w:rPr>
          <w:rFonts w:ascii="Palatino Linotype" w:eastAsia="Palatino Linotype" w:hAnsi="Palatino Linotype" w:cs="Palatino Linotype"/>
        </w:rPr>
      </w:pPr>
    </w:p>
    <w:p w14:paraId="69C3266D" w14:textId="77777777" w:rsidR="0095175C" w:rsidRDefault="006D79DB" w:rsidP="006D79DB">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7EA6200D" w14:textId="77777777" w:rsidR="0095175C" w:rsidRDefault="0095175C">
      <w:pPr>
        <w:rPr>
          <w:rFonts w:ascii="Palatino Linotype" w:hAnsi="Palatino Linotype"/>
        </w:rPr>
      </w:pPr>
      <w:r>
        <w:rPr>
          <w:rFonts w:ascii="Palatino Linotype" w:hAnsi="Palatino Linotype"/>
        </w:rPr>
        <w:br w:type="page"/>
      </w:r>
    </w:p>
    <w:p w14:paraId="4628879C" w14:textId="77777777" w:rsidR="006D79DB" w:rsidRPr="003C7186" w:rsidRDefault="006D79DB" w:rsidP="006D79DB">
      <w:pPr>
        <w:spacing w:line="360" w:lineRule="auto"/>
        <w:ind w:left="-142" w:right="-234" w:firstLine="1"/>
        <w:jc w:val="both"/>
        <w:rPr>
          <w:rFonts w:ascii="Palatino Linotype" w:hAnsi="Palatino Linotype"/>
        </w:rPr>
      </w:pPr>
    </w:p>
    <w:p w14:paraId="1BE7534D" w14:textId="77777777" w:rsidR="00524F6F" w:rsidRDefault="00524F6F">
      <w:pPr>
        <w:spacing w:before="240" w:after="240" w:line="360" w:lineRule="auto"/>
        <w:jc w:val="both"/>
        <w:rPr>
          <w:rFonts w:ascii="Palatino Linotype" w:eastAsia="Palatino Linotype" w:hAnsi="Palatino Linotype" w:cs="Palatino Linotype"/>
        </w:rPr>
      </w:pPr>
    </w:p>
    <w:sectPr w:rsidR="00524F6F">
      <w:headerReference w:type="default" r:id="rId13"/>
      <w:footerReference w:type="default" r:id="rId14"/>
      <w:headerReference w:type="first" r:id="rId15"/>
      <w:footerReference w:type="first" r:id="rId16"/>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860F" w14:textId="77777777" w:rsidR="00DF6728" w:rsidRDefault="00DF6728">
      <w:r>
        <w:separator/>
      </w:r>
    </w:p>
  </w:endnote>
  <w:endnote w:type="continuationSeparator" w:id="0">
    <w:p w14:paraId="26EC86C2" w14:textId="77777777" w:rsidR="00DF6728" w:rsidRDefault="00DF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2AF3" w14:textId="77777777" w:rsidR="00524F6F" w:rsidRDefault="00BC25C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055BDB">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055BDB">
      <w:rPr>
        <w:rFonts w:ascii="Palatino Linotype" w:eastAsia="Palatino Linotype" w:hAnsi="Palatino Linotype" w:cs="Palatino Linotype"/>
        <w:b/>
        <w:noProof/>
        <w:color w:val="000000"/>
        <w:sz w:val="22"/>
        <w:szCs w:val="22"/>
      </w:rPr>
      <w:t>38</w:t>
    </w:r>
    <w:r>
      <w:rPr>
        <w:rFonts w:ascii="Palatino Linotype" w:eastAsia="Palatino Linotype" w:hAnsi="Palatino Linotype" w:cs="Palatino Linotype"/>
        <w:b/>
        <w:color w:val="000000"/>
        <w:sz w:val="22"/>
        <w:szCs w:val="22"/>
      </w:rPr>
      <w:fldChar w:fldCharType="end"/>
    </w:r>
  </w:p>
  <w:p w14:paraId="696476C1" w14:textId="77777777" w:rsidR="00524F6F" w:rsidRDefault="00524F6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D320" w14:textId="77777777" w:rsidR="00524F6F" w:rsidRDefault="00BC25C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055BDB">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055BDB">
      <w:rPr>
        <w:rFonts w:ascii="Palatino Linotype" w:eastAsia="Palatino Linotype" w:hAnsi="Palatino Linotype" w:cs="Palatino Linotype"/>
        <w:noProof/>
        <w:color w:val="000000"/>
        <w:sz w:val="22"/>
        <w:szCs w:val="22"/>
      </w:rPr>
      <w:t>38</w:t>
    </w:r>
    <w:r>
      <w:rPr>
        <w:rFonts w:ascii="Palatino Linotype" w:eastAsia="Palatino Linotype" w:hAnsi="Palatino Linotype" w:cs="Palatino Linotype"/>
        <w:color w:val="000000"/>
        <w:sz w:val="22"/>
        <w:szCs w:val="22"/>
      </w:rPr>
      <w:fldChar w:fldCharType="end"/>
    </w:r>
  </w:p>
  <w:p w14:paraId="28E23E87" w14:textId="77777777" w:rsidR="00524F6F" w:rsidRDefault="00524F6F">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A16A" w14:textId="77777777" w:rsidR="00DF6728" w:rsidRDefault="00DF6728">
      <w:r>
        <w:separator/>
      </w:r>
    </w:p>
  </w:footnote>
  <w:footnote w:type="continuationSeparator" w:id="0">
    <w:p w14:paraId="70D19AAC" w14:textId="77777777" w:rsidR="00DF6728" w:rsidRDefault="00DF6728">
      <w:r>
        <w:continuationSeparator/>
      </w:r>
    </w:p>
  </w:footnote>
  <w:footnote w:id="1">
    <w:p w14:paraId="28CC9324" w14:textId="77777777" w:rsidR="00524F6F" w:rsidRDefault="00BC25C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14:paraId="4B35888B" w14:textId="77777777" w:rsidR="00524F6F" w:rsidRDefault="00BC25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14:paraId="5FC42CBD" w14:textId="77777777" w:rsidR="00524F6F" w:rsidRDefault="00BC25C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D2B6" w14:textId="77777777" w:rsidR="00524F6F" w:rsidRDefault="00524F6F">
    <w:pPr>
      <w:widowControl w:val="0"/>
      <w:pBdr>
        <w:top w:val="nil"/>
        <w:left w:val="nil"/>
        <w:bottom w:val="nil"/>
        <w:right w:val="nil"/>
        <w:between w:val="nil"/>
      </w:pBdr>
      <w:spacing w:line="276" w:lineRule="auto"/>
      <w:rPr>
        <w:color w:val="000000"/>
      </w:rPr>
    </w:pPr>
  </w:p>
  <w:tbl>
    <w:tblPr>
      <w:tblStyle w:val="a1"/>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524F6F" w14:paraId="50D777C1" w14:textId="77777777">
      <w:trPr>
        <w:trHeight w:val="138"/>
        <w:jc w:val="right"/>
      </w:trPr>
      <w:tc>
        <w:tcPr>
          <w:tcW w:w="3260" w:type="dxa"/>
          <w:vAlign w:val="center"/>
        </w:tcPr>
        <w:p w14:paraId="19C150EF" w14:textId="77777777" w:rsidR="00524F6F" w:rsidRDefault="00BC25C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14:paraId="284A98DF" w14:textId="77777777" w:rsidR="00524F6F" w:rsidRDefault="00BC25C3">
          <w:pPr>
            <w:pBdr>
              <w:top w:val="nil"/>
              <w:left w:val="nil"/>
              <w:bottom w:val="nil"/>
              <w:right w:val="nil"/>
              <w:between w:val="nil"/>
            </w:pBdr>
            <w:tabs>
              <w:tab w:val="center" w:pos="4252"/>
              <w:tab w:val="right" w:pos="8504"/>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00213/INFOEM/IP/RR/2024</w:t>
          </w:r>
        </w:p>
      </w:tc>
    </w:tr>
    <w:tr w:rsidR="00524F6F" w14:paraId="0355AE26" w14:textId="77777777">
      <w:trPr>
        <w:trHeight w:val="233"/>
        <w:jc w:val="right"/>
      </w:trPr>
      <w:tc>
        <w:tcPr>
          <w:tcW w:w="3260" w:type="dxa"/>
          <w:vAlign w:val="center"/>
        </w:tcPr>
        <w:p w14:paraId="751A11A9" w14:textId="77777777" w:rsidR="00524F6F" w:rsidRDefault="00BC25C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14:paraId="0424657A" w14:textId="77777777" w:rsidR="00524F6F" w:rsidRDefault="00BC25C3">
          <w:pPr>
            <w:pBdr>
              <w:top w:val="nil"/>
              <w:left w:val="nil"/>
              <w:bottom w:val="nil"/>
              <w:right w:val="nil"/>
              <w:between w:val="nil"/>
            </w:pBdr>
            <w:tabs>
              <w:tab w:val="center" w:pos="4252"/>
              <w:tab w:val="right" w:pos="8504"/>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Ixtlahuaca</w:t>
          </w:r>
        </w:p>
      </w:tc>
    </w:tr>
    <w:tr w:rsidR="00524F6F" w14:paraId="0D5A9F3D" w14:textId="77777777">
      <w:trPr>
        <w:trHeight w:val="321"/>
        <w:jc w:val="right"/>
      </w:trPr>
      <w:tc>
        <w:tcPr>
          <w:tcW w:w="3260" w:type="dxa"/>
          <w:vAlign w:val="center"/>
        </w:tcPr>
        <w:p w14:paraId="09069D75" w14:textId="77777777" w:rsidR="00524F6F" w:rsidRDefault="00BC25C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14:paraId="5DD34713" w14:textId="77777777" w:rsidR="00524F6F" w:rsidRDefault="00BC25C3">
          <w:pPr>
            <w:pBdr>
              <w:top w:val="nil"/>
              <w:left w:val="nil"/>
              <w:bottom w:val="nil"/>
              <w:right w:val="nil"/>
              <w:between w:val="nil"/>
            </w:pBdr>
            <w:tabs>
              <w:tab w:val="center" w:pos="4252"/>
              <w:tab w:val="right" w:pos="8504"/>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689B99E2" w14:textId="77777777" w:rsidR="00524F6F" w:rsidRDefault="00BC25C3">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22F86C36" wp14:editId="2F5C2238">
          <wp:simplePos x="0" y="0"/>
          <wp:positionH relativeFrom="page">
            <wp:posOffset>30785</wp:posOffset>
          </wp:positionH>
          <wp:positionV relativeFrom="page">
            <wp:posOffset>30480</wp:posOffset>
          </wp:positionV>
          <wp:extent cx="7695210" cy="10020839"/>
          <wp:effectExtent l="0" t="0" r="0" b="0"/>
          <wp:wrapNone/>
          <wp:docPr id="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34D8" w14:textId="77777777" w:rsidR="00524F6F" w:rsidRDefault="00DF6728">
    <w:pPr>
      <w:pBdr>
        <w:top w:val="nil"/>
        <w:left w:val="nil"/>
        <w:bottom w:val="nil"/>
        <w:right w:val="nil"/>
        <w:between w:val="nil"/>
      </w:pBdr>
      <w:tabs>
        <w:tab w:val="center" w:pos="4252"/>
        <w:tab w:val="right" w:pos="8504"/>
        <w:tab w:val="left" w:pos="3103"/>
      </w:tabs>
      <w:rPr>
        <w:color w:val="000000"/>
      </w:rPr>
    </w:pPr>
    <w:r>
      <w:rPr>
        <w:color w:val="000000"/>
      </w:rPr>
      <w:pict w14:anchorId="7C998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BC25C3">
      <w:rPr>
        <w:color w:val="000000"/>
      </w:rPr>
      <w:tab/>
    </w:r>
  </w:p>
  <w:tbl>
    <w:tblPr>
      <w:tblStyle w:val="a2"/>
      <w:tblW w:w="8430" w:type="dxa"/>
      <w:tblInd w:w="1470" w:type="dxa"/>
      <w:tblBorders>
        <w:top w:val="nil"/>
        <w:left w:val="nil"/>
        <w:bottom w:val="nil"/>
        <w:right w:val="nil"/>
        <w:insideH w:val="nil"/>
        <w:insideV w:val="nil"/>
      </w:tblBorders>
      <w:tblLayout w:type="fixed"/>
      <w:tblLook w:val="0400" w:firstRow="0" w:lastRow="0" w:firstColumn="0" w:lastColumn="0" w:noHBand="0" w:noVBand="1"/>
    </w:tblPr>
    <w:tblGrid>
      <w:gridCol w:w="3255"/>
      <w:gridCol w:w="5175"/>
    </w:tblGrid>
    <w:tr w:rsidR="00524F6F" w14:paraId="0E6A92F6" w14:textId="77777777">
      <w:trPr>
        <w:trHeight w:val="138"/>
      </w:trPr>
      <w:tc>
        <w:tcPr>
          <w:tcW w:w="3255" w:type="dxa"/>
          <w:vAlign w:val="center"/>
        </w:tcPr>
        <w:p w14:paraId="3C89109F" w14:textId="77777777" w:rsidR="00524F6F" w:rsidRDefault="00BC25C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175" w:type="dxa"/>
          <w:vAlign w:val="center"/>
        </w:tcPr>
        <w:p w14:paraId="714F688B" w14:textId="77777777" w:rsidR="00524F6F" w:rsidRDefault="00BC25C3">
          <w:pPr>
            <w:pBdr>
              <w:top w:val="nil"/>
              <w:left w:val="nil"/>
              <w:bottom w:val="nil"/>
              <w:right w:val="nil"/>
              <w:between w:val="nil"/>
            </w:pBdr>
            <w:tabs>
              <w:tab w:val="right" w:pos="8504"/>
            </w:tabs>
            <w:ind w:right="-24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00213/INFOEM/IP/RR/2024</w:t>
          </w:r>
        </w:p>
      </w:tc>
    </w:tr>
    <w:tr w:rsidR="00524F6F" w14:paraId="35BCD2A1" w14:textId="77777777">
      <w:trPr>
        <w:trHeight w:val="233"/>
      </w:trPr>
      <w:tc>
        <w:tcPr>
          <w:tcW w:w="3255" w:type="dxa"/>
          <w:vAlign w:val="center"/>
        </w:tcPr>
        <w:p w14:paraId="2994A197" w14:textId="77777777" w:rsidR="00524F6F" w:rsidRDefault="00BC25C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5175" w:type="dxa"/>
        </w:tcPr>
        <w:p w14:paraId="4607D680" w14:textId="1BEF4068" w:rsidR="00524F6F" w:rsidRDefault="00E462EF">
          <w:pPr>
            <w:pBdr>
              <w:top w:val="nil"/>
              <w:left w:val="nil"/>
              <w:bottom w:val="nil"/>
              <w:right w:val="nil"/>
              <w:between w:val="nil"/>
            </w:pBdr>
            <w:tabs>
              <w:tab w:val="right" w:pos="8504"/>
            </w:tabs>
            <w:ind w:right="-24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524F6F" w14:paraId="0869748F" w14:textId="77777777">
      <w:trPr>
        <w:trHeight w:val="321"/>
      </w:trPr>
      <w:tc>
        <w:tcPr>
          <w:tcW w:w="3255" w:type="dxa"/>
          <w:vAlign w:val="center"/>
        </w:tcPr>
        <w:p w14:paraId="27E93412" w14:textId="77777777" w:rsidR="00524F6F" w:rsidRDefault="00BC25C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175" w:type="dxa"/>
          <w:vAlign w:val="center"/>
        </w:tcPr>
        <w:p w14:paraId="387F5841" w14:textId="77777777" w:rsidR="00524F6F" w:rsidRDefault="00BC25C3">
          <w:pPr>
            <w:pBdr>
              <w:top w:val="nil"/>
              <w:left w:val="nil"/>
              <w:bottom w:val="nil"/>
              <w:right w:val="nil"/>
              <w:between w:val="nil"/>
            </w:pBdr>
            <w:tabs>
              <w:tab w:val="right" w:pos="8504"/>
            </w:tabs>
            <w:ind w:right="-24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Ixtlahuaca</w:t>
          </w:r>
        </w:p>
      </w:tc>
    </w:tr>
    <w:tr w:rsidR="00524F6F" w14:paraId="04E73014" w14:textId="77777777">
      <w:trPr>
        <w:trHeight w:val="321"/>
      </w:trPr>
      <w:tc>
        <w:tcPr>
          <w:tcW w:w="3255" w:type="dxa"/>
          <w:vAlign w:val="center"/>
        </w:tcPr>
        <w:p w14:paraId="50A9353D" w14:textId="77777777" w:rsidR="00524F6F" w:rsidRDefault="00BC25C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175" w:type="dxa"/>
          <w:vAlign w:val="center"/>
        </w:tcPr>
        <w:p w14:paraId="066C5435" w14:textId="77777777" w:rsidR="00524F6F" w:rsidRDefault="00BC25C3">
          <w:pPr>
            <w:pBdr>
              <w:top w:val="nil"/>
              <w:left w:val="nil"/>
              <w:bottom w:val="nil"/>
              <w:right w:val="nil"/>
              <w:between w:val="nil"/>
            </w:pBdr>
            <w:tabs>
              <w:tab w:val="right" w:pos="8504"/>
            </w:tabs>
            <w:ind w:left="33" w:right="-24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342C12EF" w14:textId="77777777" w:rsidR="00524F6F" w:rsidRDefault="00524F6F">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4DF"/>
    <w:multiLevelType w:val="multilevel"/>
    <w:tmpl w:val="162E27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42622B"/>
    <w:multiLevelType w:val="multilevel"/>
    <w:tmpl w:val="9DAEAD1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3F231F5"/>
    <w:multiLevelType w:val="multilevel"/>
    <w:tmpl w:val="78C0D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6144B2"/>
    <w:multiLevelType w:val="multilevel"/>
    <w:tmpl w:val="2B20C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4E5D26"/>
    <w:multiLevelType w:val="multilevel"/>
    <w:tmpl w:val="8D2E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A23C61"/>
    <w:multiLevelType w:val="multilevel"/>
    <w:tmpl w:val="086A45A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775F89"/>
    <w:multiLevelType w:val="multilevel"/>
    <w:tmpl w:val="BCE660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36731D3"/>
    <w:multiLevelType w:val="multilevel"/>
    <w:tmpl w:val="4D10E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E44F01"/>
    <w:multiLevelType w:val="multilevel"/>
    <w:tmpl w:val="5136D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4B1E0D"/>
    <w:multiLevelType w:val="multilevel"/>
    <w:tmpl w:val="3C7A94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833104401">
    <w:abstractNumId w:val="7"/>
  </w:num>
  <w:num w:numId="2" w16cid:durableId="69281540">
    <w:abstractNumId w:val="8"/>
  </w:num>
  <w:num w:numId="3" w16cid:durableId="931011610">
    <w:abstractNumId w:val="9"/>
  </w:num>
  <w:num w:numId="4" w16cid:durableId="1067263743">
    <w:abstractNumId w:val="1"/>
  </w:num>
  <w:num w:numId="5" w16cid:durableId="709260813">
    <w:abstractNumId w:val="3"/>
  </w:num>
  <w:num w:numId="6" w16cid:durableId="678583687">
    <w:abstractNumId w:val="6"/>
  </w:num>
  <w:num w:numId="7" w16cid:durableId="1388800331">
    <w:abstractNumId w:val="4"/>
  </w:num>
  <w:num w:numId="8" w16cid:durableId="2049253637">
    <w:abstractNumId w:val="5"/>
  </w:num>
  <w:num w:numId="9" w16cid:durableId="1678264673">
    <w:abstractNumId w:val="0"/>
  </w:num>
  <w:num w:numId="10" w16cid:durableId="10335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6F"/>
    <w:rsid w:val="000418F4"/>
    <w:rsid w:val="00055BDB"/>
    <w:rsid w:val="004632EE"/>
    <w:rsid w:val="00524F6F"/>
    <w:rsid w:val="006D79DB"/>
    <w:rsid w:val="0095175C"/>
    <w:rsid w:val="00BC25C3"/>
    <w:rsid w:val="00DF6728"/>
    <w:rsid w:val="00E46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87E9"/>
  <w15:docId w15:val="{3760F028-136F-4A92-A009-37D772B3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85"/>
  </w:style>
  <w:style w:type="paragraph" w:styleId="Ttulo1">
    <w:name w:val="heading 1"/>
    <w:basedOn w:val="Normal"/>
    <w:next w:val="Normal"/>
    <w:link w:val="Ttulo1Car"/>
    <w:uiPriority w:val="9"/>
    <w:qFormat/>
    <w:rsid w:val="00836A85"/>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836A8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836A85"/>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836A85"/>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6A8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36A85"/>
    <w:rPr>
      <w:rFonts w:ascii="Cambria" w:eastAsia="Cambria" w:hAnsi="Cambria" w:cs="Cambria"/>
      <w:sz w:val="24"/>
      <w:szCs w:val="24"/>
      <w:lang w:eastAsia="es-MX"/>
    </w:rPr>
  </w:style>
  <w:style w:type="character" w:styleId="Hipervnculo">
    <w:name w:val="Hyperlink"/>
    <w:basedOn w:val="Fuentedeprrafopredeter"/>
    <w:uiPriority w:val="99"/>
    <w:unhideWhenUsed/>
    <w:rsid w:val="00836A85"/>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6A8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36A85"/>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36A85"/>
    <w:rPr>
      <w:vertAlign w:val="superscript"/>
    </w:rPr>
  </w:style>
  <w:style w:type="table" w:styleId="Tablaconcuadrcula6concolores">
    <w:name w:val="Grid Table 6 Colorful"/>
    <w:basedOn w:val="Tablanormal"/>
    <w:uiPriority w:val="51"/>
    <w:rsid w:val="00836A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836A85"/>
    <w:pPr>
      <w:tabs>
        <w:tab w:val="center" w:pos="4419"/>
        <w:tab w:val="right" w:pos="8838"/>
      </w:tabs>
    </w:pPr>
  </w:style>
  <w:style w:type="character" w:customStyle="1" w:styleId="EncabezadoCar">
    <w:name w:val="Encabezado Car"/>
    <w:basedOn w:val="Fuentedeprrafopredeter"/>
    <w:link w:val="Encabezado"/>
    <w:uiPriority w:val="99"/>
    <w:rsid w:val="00836A85"/>
    <w:rPr>
      <w:rFonts w:ascii="Cambria" w:eastAsia="Cambria" w:hAnsi="Cambria" w:cs="Cambria"/>
      <w:sz w:val="24"/>
      <w:szCs w:val="24"/>
      <w:lang w:eastAsia="es-MX"/>
    </w:rPr>
  </w:style>
  <w:style w:type="paragraph" w:styleId="Piedepgina">
    <w:name w:val="footer"/>
    <w:basedOn w:val="Normal"/>
    <w:link w:val="PiedepginaCar"/>
    <w:uiPriority w:val="99"/>
    <w:unhideWhenUsed/>
    <w:rsid w:val="00836A85"/>
    <w:pPr>
      <w:tabs>
        <w:tab w:val="center" w:pos="4419"/>
        <w:tab w:val="right" w:pos="8838"/>
      </w:tabs>
    </w:pPr>
  </w:style>
  <w:style w:type="character" w:customStyle="1" w:styleId="PiedepginaCar">
    <w:name w:val="Pie de página Car"/>
    <w:basedOn w:val="Fuentedeprrafopredeter"/>
    <w:link w:val="Piedepgina"/>
    <w:uiPriority w:val="99"/>
    <w:rsid w:val="00836A85"/>
    <w:rPr>
      <w:rFonts w:ascii="Cambria" w:eastAsia="Cambria" w:hAnsi="Cambria" w:cs="Cambria"/>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95347.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ecem.edomex.gob.mx/padron-catastr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009804.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uLQ4jJuhDjpIAaV0B5LPU1npQ==">CgMxLjAyCGguZ2pkZ3hzMgloLjFmb2I5dGUyCWguM3pueXNoNzIJaC4yZXQ5MnAwMghoLnR5amN3dDIIaC5sbnhiejkyCGguZ2pkZ3hzMgloLjMwajB6bGwyCWguMnM4ZXlvMTIJaC4xZm9iOXRlMgloLjE3ZHA4dnUyCWguM3JkY3JqbjIJaC4zem55c2g3OAByITF4ODNWNzNiMkhlaUUxWnNkX01BYm1odzZNeTNWdldlTQ==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8425</Words>
  <Characters>46342</Characters>
  <Application>Microsoft Office Word</Application>
  <DocSecurity>0</DocSecurity>
  <Lines>386</Lines>
  <Paragraphs>109</Paragraphs>
  <ScaleCrop>false</ScaleCrop>
  <Company>HP Inc.</Company>
  <LinksUpToDate>false</LinksUpToDate>
  <CharactersWithSpaces>54658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5</cp:revision>
  <cp:lastPrinted>2024-10-30T21:01:00Z</cp:lastPrinted>
  <dcterms:created xsi:type="dcterms:W3CDTF">2024-10-16T19:05:00Z</dcterms:created>
  <dcterms:modified xsi:type="dcterms:W3CDTF">2024-11-13T16:49:00Z</dcterms:modified>
</cp:coreProperties>
</file>