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E0F1E" w:rsidRDefault="00AE3DA7" w:rsidP="004E0F1E">
          <w:pPr>
            <w:pStyle w:val="TtulodeTDC"/>
            <w:spacing w:before="0" w:line="240" w:lineRule="auto"/>
            <w:ind w:right="-312"/>
            <w:rPr>
              <w:rFonts w:ascii="Palatino Linotype" w:hAnsi="Palatino Linotype"/>
              <w:color w:val="auto"/>
              <w:sz w:val="24"/>
              <w:szCs w:val="24"/>
              <w:lang w:val="es-ES"/>
            </w:rPr>
          </w:pPr>
          <w:r w:rsidRPr="004E0F1E">
            <w:rPr>
              <w:rFonts w:ascii="Palatino Linotype" w:hAnsi="Palatino Linotype"/>
              <w:color w:val="auto"/>
              <w:sz w:val="24"/>
              <w:szCs w:val="24"/>
              <w:lang w:val="es-ES"/>
            </w:rPr>
            <w:t>Contenido</w:t>
          </w:r>
        </w:p>
        <w:p w14:paraId="3EB312A7" w14:textId="77777777" w:rsidR="00AA6EA9" w:rsidRPr="004E0F1E" w:rsidRDefault="00AA6EA9" w:rsidP="004E0F1E">
          <w:pPr>
            <w:spacing w:line="240" w:lineRule="auto"/>
            <w:ind w:right="-312"/>
            <w:rPr>
              <w:sz w:val="16"/>
              <w:szCs w:val="16"/>
              <w:lang w:val="es-ES" w:eastAsia="es-MX"/>
            </w:rPr>
          </w:pPr>
        </w:p>
        <w:p w14:paraId="0AA6B180" w14:textId="0E78CCF6" w:rsidR="007E7192" w:rsidRPr="004E0F1E" w:rsidRDefault="00AE3DA7" w:rsidP="004E0F1E">
          <w:pPr>
            <w:pStyle w:val="TDC1"/>
            <w:tabs>
              <w:tab w:val="right" w:leader="dot" w:pos="9034"/>
            </w:tabs>
            <w:ind w:right="-312"/>
            <w:rPr>
              <w:rFonts w:asciiTheme="minorHAnsi" w:eastAsiaTheme="minorEastAsia" w:hAnsiTheme="minorHAnsi" w:cstheme="minorBidi"/>
              <w:noProof/>
              <w:szCs w:val="22"/>
              <w:lang w:eastAsia="es-MX"/>
            </w:rPr>
          </w:pPr>
          <w:r w:rsidRPr="004E0F1E">
            <w:rPr>
              <w:sz w:val="16"/>
              <w:szCs w:val="16"/>
            </w:rPr>
            <w:fldChar w:fldCharType="begin"/>
          </w:r>
          <w:r w:rsidRPr="004E0F1E">
            <w:rPr>
              <w:sz w:val="16"/>
              <w:szCs w:val="16"/>
            </w:rPr>
            <w:instrText xml:space="preserve"> TOC \o "1-3" \h \z \u </w:instrText>
          </w:r>
          <w:r w:rsidRPr="004E0F1E">
            <w:rPr>
              <w:sz w:val="16"/>
              <w:szCs w:val="16"/>
            </w:rPr>
            <w:fldChar w:fldCharType="separate"/>
          </w:r>
          <w:hyperlink w:anchor="_Toc172748400" w:history="1">
            <w:r w:rsidR="007E7192" w:rsidRPr="004E0F1E">
              <w:rPr>
                <w:rStyle w:val="Hipervnculo"/>
                <w:noProof/>
                <w:color w:val="auto"/>
              </w:rPr>
              <w:t>ANTECEDENTES</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_Toc172748400 \h </w:instrText>
            </w:r>
            <w:r w:rsidR="007E7192" w:rsidRPr="004E0F1E">
              <w:rPr>
                <w:noProof/>
                <w:webHidden/>
              </w:rPr>
            </w:r>
            <w:r w:rsidR="007E7192" w:rsidRPr="004E0F1E">
              <w:rPr>
                <w:noProof/>
                <w:webHidden/>
              </w:rPr>
              <w:fldChar w:fldCharType="separate"/>
            </w:r>
            <w:r w:rsidR="00E42BBE">
              <w:rPr>
                <w:noProof/>
                <w:webHidden/>
              </w:rPr>
              <w:t>1</w:t>
            </w:r>
            <w:r w:rsidR="007E7192" w:rsidRPr="004E0F1E">
              <w:rPr>
                <w:noProof/>
                <w:webHidden/>
              </w:rPr>
              <w:fldChar w:fldCharType="end"/>
            </w:r>
          </w:hyperlink>
        </w:p>
        <w:p w14:paraId="37F42430" w14:textId="38E33225" w:rsidR="007E7192" w:rsidRPr="004E0F1E" w:rsidRDefault="00432A63" w:rsidP="004E0F1E">
          <w:pPr>
            <w:pStyle w:val="TDC2"/>
            <w:ind w:right="-312"/>
            <w:rPr>
              <w:rFonts w:asciiTheme="minorHAnsi" w:eastAsiaTheme="minorEastAsia" w:hAnsiTheme="minorHAnsi" w:cstheme="minorBidi"/>
              <w:noProof/>
              <w:szCs w:val="22"/>
              <w:lang w:eastAsia="es-MX"/>
            </w:rPr>
          </w:pPr>
          <w:hyperlink w:anchor="_Toc172748401" w:history="1">
            <w:r w:rsidR="007E7192" w:rsidRPr="004E0F1E">
              <w:rPr>
                <w:rStyle w:val="Hipervnculo"/>
                <w:noProof/>
                <w:color w:val="auto"/>
              </w:rPr>
              <w:t>DE LA SOLICITUD DE INFORMACIÓN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_Toc172748401 \h </w:instrText>
            </w:r>
            <w:r w:rsidR="007E7192" w:rsidRPr="004E0F1E">
              <w:rPr>
                <w:noProof/>
                <w:webHidden/>
              </w:rPr>
            </w:r>
            <w:r w:rsidR="007E7192" w:rsidRPr="004E0F1E">
              <w:rPr>
                <w:noProof/>
                <w:webHidden/>
              </w:rPr>
              <w:fldChar w:fldCharType="separate"/>
            </w:r>
            <w:r w:rsidR="00E42BBE">
              <w:rPr>
                <w:noProof/>
                <w:webHidden/>
              </w:rPr>
              <w:t>1</w:t>
            </w:r>
            <w:r w:rsidR="007E7192" w:rsidRPr="004E0F1E">
              <w:rPr>
                <w:noProof/>
                <w:webHidden/>
              </w:rPr>
              <w:fldChar w:fldCharType="end"/>
            </w:r>
          </w:hyperlink>
        </w:p>
        <w:p w14:paraId="2C1D111E" w14:textId="7C34847E"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02" w:history="1">
            <w:r w:rsidR="007E7192" w:rsidRPr="004E0F1E">
              <w:rPr>
                <w:rStyle w:val="Hipervnculo"/>
                <w:noProof/>
                <w:color w:val="auto"/>
              </w:rPr>
              <w:t>a) Solicitud de información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_Toc172748402 \h </w:instrText>
            </w:r>
            <w:r w:rsidR="007E7192" w:rsidRPr="004E0F1E">
              <w:rPr>
                <w:noProof/>
                <w:webHidden/>
              </w:rPr>
            </w:r>
            <w:r w:rsidR="007E7192" w:rsidRPr="004E0F1E">
              <w:rPr>
                <w:noProof/>
                <w:webHidden/>
              </w:rPr>
              <w:fldChar w:fldCharType="separate"/>
            </w:r>
            <w:r w:rsidR="00E42BBE">
              <w:rPr>
                <w:noProof/>
                <w:webHidden/>
              </w:rPr>
              <w:t>1</w:t>
            </w:r>
            <w:r w:rsidR="007E7192" w:rsidRPr="004E0F1E">
              <w:rPr>
                <w:noProof/>
                <w:webHidden/>
              </w:rPr>
              <w:fldChar w:fldCharType="end"/>
            </w:r>
          </w:hyperlink>
        </w:p>
        <w:p w14:paraId="722670E8" w14:textId="04BF1DAB"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03" w:history="1">
            <w:r w:rsidR="007E7192" w:rsidRPr="004E0F1E">
              <w:rPr>
                <w:rStyle w:val="Hipervnculo"/>
                <w:noProof/>
                <w:color w:val="auto"/>
              </w:rPr>
              <w:t xml:space="preserve">b) </w:t>
            </w:r>
            <w:r w:rsidR="007E7192" w:rsidRPr="004E0F1E">
              <w:rPr>
                <w:rStyle w:val="Hipervnculo"/>
                <w:noProof/>
                <w:color w:val="auto"/>
                <w:lang w:val="es-ES"/>
              </w:rPr>
              <w:t xml:space="preserve">Respuesta </w:t>
            </w:r>
            <w:r w:rsidR="007E7192" w:rsidRPr="004E0F1E">
              <w:rPr>
                <w:rStyle w:val="Hipervnculo"/>
                <w:rFonts w:eastAsia="Calibri"/>
                <w:noProof/>
                <w:color w:val="auto"/>
                <w:lang w:eastAsia="en-US"/>
              </w:rPr>
              <w:t>del Sujeto Obligado</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_Toc172748403 \h </w:instrText>
            </w:r>
            <w:r w:rsidR="007E7192" w:rsidRPr="004E0F1E">
              <w:rPr>
                <w:noProof/>
                <w:webHidden/>
              </w:rPr>
            </w:r>
            <w:r w:rsidR="007E7192" w:rsidRPr="004E0F1E">
              <w:rPr>
                <w:noProof/>
                <w:webHidden/>
              </w:rPr>
              <w:fldChar w:fldCharType="separate"/>
            </w:r>
            <w:r w:rsidR="00E42BBE">
              <w:rPr>
                <w:noProof/>
                <w:webHidden/>
              </w:rPr>
              <w:t>2</w:t>
            </w:r>
            <w:r w:rsidR="007E7192" w:rsidRPr="004E0F1E">
              <w:rPr>
                <w:noProof/>
                <w:webHidden/>
              </w:rPr>
              <w:fldChar w:fldCharType="end"/>
            </w:r>
          </w:hyperlink>
        </w:p>
        <w:p w14:paraId="47C65949" w14:textId="6000BA47" w:rsidR="007E7192" w:rsidRPr="004E0F1E" w:rsidRDefault="00432A63" w:rsidP="004E0F1E">
          <w:pPr>
            <w:pStyle w:val="TDC2"/>
            <w:ind w:right="-312"/>
            <w:rPr>
              <w:rFonts w:asciiTheme="minorHAnsi" w:eastAsiaTheme="minorEastAsia" w:hAnsiTheme="minorHAnsi" w:cstheme="minorBidi"/>
              <w:noProof/>
              <w:szCs w:val="22"/>
              <w:lang w:eastAsia="es-MX"/>
            </w:rPr>
          </w:pPr>
          <w:hyperlink w:anchor="_Toc172748404" w:history="1">
            <w:r w:rsidR="007E7192" w:rsidRPr="004E0F1E">
              <w:rPr>
                <w:rStyle w:val="Hipervnculo"/>
                <w:noProof/>
                <w:color w:val="auto"/>
              </w:rPr>
              <w:t>DEL RECURSO DE REVISIÓN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_Toc172748404 \h </w:instrText>
            </w:r>
            <w:r w:rsidR="007E7192" w:rsidRPr="004E0F1E">
              <w:rPr>
                <w:noProof/>
                <w:webHidden/>
              </w:rPr>
            </w:r>
            <w:r w:rsidR="007E7192" w:rsidRPr="004E0F1E">
              <w:rPr>
                <w:noProof/>
                <w:webHidden/>
              </w:rPr>
              <w:fldChar w:fldCharType="separate"/>
            </w:r>
            <w:r w:rsidR="00E42BBE">
              <w:rPr>
                <w:noProof/>
                <w:webHidden/>
              </w:rPr>
              <w:t>3</w:t>
            </w:r>
            <w:r w:rsidR="007E7192" w:rsidRPr="004E0F1E">
              <w:rPr>
                <w:noProof/>
                <w:webHidden/>
              </w:rPr>
              <w:fldChar w:fldCharType="end"/>
            </w:r>
          </w:hyperlink>
        </w:p>
        <w:p w14:paraId="1F5C19AB" w14:textId="6538E2F9"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05" w:history="1">
            <w:r w:rsidR="007E7192" w:rsidRPr="004E0F1E">
              <w:rPr>
                <w:rStyle w:val="Hipervnculo"/>
                <w:noProof/>
                <w:color w:val="auto"/>
              </w:rPr>
              <w:t>a) Interposición del Recurso de Revisión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_Toc172748405 \h </w:instrText>
            </w:r>
            <w:r w:rsidR="007E7192" w:rsidRPr="004E0F1E">
              <w:rPr>
                <w:noProof/>
                <w:webHidden/>
              </w:rPr>
            </w:r>
            <w:r w:rsidR="007E7192" w:rsidRPr="004E0F1E">
              <w:rPr>
                <w:noProof/>
                <w:webHidden/>
              </w:rPr>
              <w:fldChar w:fldCharType="separate"/>
            </w:r>
            <w:r w:rsidR="00E42BBE">
              <w:rPr>
                <w:noProof/>
                <w:webHidden/>
              </w:rPr>
              <w:t>3</w:t>
            </w:r>
            <w:r w:rsidR="007E7192" w:rsidRPr="004E0F1E">
              <w:rPr>
                <w:noProof/>
                <w:webHidden/>
              </w:rPr>
              <w:fldChar w:fldCharType="end"/>
            </w:r>
          </w:hyperlink>
        </w:p>
        <w:p w14:paraId="2B5167ED" w14:textId="243E98C8"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06" w:history="1">
            <w:r w:rsidR="007E7192" w:rsidRPr="004E0F1E">
              <w:rPr>
                <w:rStyle w:val="Hipervnculo"/>
                <w:noProof/>
                <w:color w:val="auto"/>
              </w:rPr>
              <w:t>b) Turno del Recurso de Revisión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_Toc172748406 \h </w:instrText>
            </w:r>
            <w:r w:rsidR="007E7192" w:rsidRPr="004E0F1E">
              <w:rPr>
                <w:noProof/>
                <w:webHidden/>
              </w:rPr>
            </w:r>
            <w:r w:rsidR="007E7192" w:rsidRPr="004E0F1E">
              <w:rPr>
                <w:noProof/>
                <w:webHidden/>
              </w:rPr>
              <w:fldChar w:fldCharType="separate"/>
            </w:r>
            <w:r w:rsidR="00E42BBE">
              <w:rPr>
                <w:noProof/>
                <w:webHidden/>
              </w:rPr>
              <w:t>4</w:t>
            </w:r>
            <w:r w:rsidR="007E7192" w:rsidRPr="004E0F1E">
              <w:rPr>
                <w:noProof/>
                <w:webHidden/>
              </w:rPr>
              <w:fldChar w:fldCharType="end"/>
            </w:r>
          </w:hyperlink>
        </w:p>
        <w:p w14:paraId="6D0CA86A" w14:textId="5D4C7288"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07" w:history="1">
            <w:r w:rsidR="007E7192" w:rsidRPr="004E0F1E">
              <w:rPr>
                <w:rStyle w:val="Hipervnculo"/>
                <w:noProof/>
                <w:color w:val="auto"/>
              </w:rPr>
              <w:t>c) Admisión del Recurso de Revisión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_Toc172748407 \h </w:instrText>
            </w:r>
            <w:r w:rsidR="007E7192" w:rsidRPr="004E0F1E">
              <w:rPr>
                <w:noProof/>
                <w:webHidden/>
              </w:rPr>
            </w:r>
            <w:r w:rsidR="007E7192" w:rsidRPr="004E0F1E">
              <w:rPr>
                <w:noProof/>
                <w:webHidden/>
              </w:rPr>
              <w:fldChar w:fldCharType="separate"/>
            </w:r>
            <w:r w:rsidR="00E42BBE">
              <w:rPr>
                <w:noProof/>
                <w:webHidden/>
              </w:rPr>
              <w:t>4</w:t>
            </w:r>
            <w:r w:rsidR="007E7192" w:rsidRPr="004E0F1E">
              <w:rPr>
                <w:noProof/>
                <w:webHidden/>
              </w:rPr>
              <w:fldChar w:fldCharType="end"/>
            </w:r>
          </w:hyperlink>
        </w:p>
        <w:p w14:paraId="19A5E8FD" w14:textId="33D28169"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08" w:history="1">
            <w:r w:rsidR="007E7192" w:rsidRPr="004E0F1E">
              <w:rPr>
                <w:rStyle w:val="Hipervnculo"/>
                <w:noProof/>
                <w:color w:val="auto"/>
              </w:rPr>
              <w:t>d) Informe Justificado del Sujeto Obligado</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_Toc172748408 \h </w:instrText>
            </w:r>
            <w:r w:rsidR="007E7192" w:rsidRPr="004E0F1E">
              <w:rPr>
                <w:noProof/>
                <w:webHidden/>
              </w:rPr>
            </w:r>
            <w:r w:rsidR="007E7192" w:rsidRPr="004E0F1E">
              <w:rPr>
                <w:noProof/>
                <w:webHidden/>
              </w:rPr>
              <w:fldChar w:fldCharType="separate"/>
            </w:r>
            <w:r w:rsidR="00E42BBE">
              <w:rPr>
                <w:noProof/>
                <w:webHidden/>
              </w:rPr>
              <w:t>4</w:t>
            </w:r>
            <w:r w:rsidR="007E7192" w:rsidRPr="004E0F1E">
              <w:rPr>
                <w:noProof/>
                <w:webHidden/>
              </w:rPr>
              <w:fldChar w:fldCharType="end"/>
            </w:r>
          </w:hyperlink>
        </w:p>
        <w:p w14:paraId="0CE7FCC4" w14:textId="73C0BA78"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09" w:history="1">
            <w:r w:rsidR="007E7192" w:rsidRPr="004E0F1E">
              <w:rPr>
                <w:rStyle w:val="Hipervnculo"/>
                <w:rFonts w:eastAsia="Calibri"/>
                <w:bCs/>
                <w:noProof/>
                <w:color w:val="auto"/>
                <w:lang w:eastAsia="en-US"/>
              </w:rPr>
              <w:t>e)</w:t>
            </w:r>
            <w:r w:rsidR="007E7192" w:rsidRPr="004E0F1E">
              <w:rPr>
                <w:rStyle w:val="Hipervnculo"/>
                <w:noProof/>
                <w:color w:val="auto"/>
              </w:rPr>
              <w:t xml:space="preserve"> </w:t>
            </w:r>
            <w:r w:rsidR="007E7192" w:rsidRPr="004E0F1E">
              <w:rPr>
                <w:rStyle w:val="Hipervnculo"/>
                <w:noProof/>
                <w:color w:val="auto"/>
                <w:lang w:val="es-ES"/>
              </w:rPr>
              <w:t>Manifestaciones de la Parte Recurrente</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_Toc172748409 \h </w:instrText>
            </w:r>
            <w:r w:rsidR="007E7192" w:rsidRPr="004E0F1E">
              <w:rPr>
                <w:noProof/>
                <w:webHidden/>
              </w:rPr>
            </w:r>
            <w:r w:rsidR="007E7192" w:rsidRPr="004E0F1E">
              <w:rPr>
                <w:noProof/>
                <w:webHidden/>
              </w:rPr>
              <w:fldChar w:fldCharType="separate"/>
            </w:r>
            <w:r w:rsidR="00E42BBE">
              <w:rPr>
                <w:noProof/>
                <w:webHidden/>
              </w:rPr>
              <w:t>5</w:t>
            </w:r>
            <w:r w:rsidR="007E7192" w:rsidRPr="004E0F1E">
              <w:rPr>
                <w:noProof/>
                <w:webHidden/>
              </w:rPr>
              <w:fldChar w:fldCharType="end"/>
            </w:r>
          </w:hyperlink>
        </w:p>
        <w:p w14:paraId="3AD8B04A" w14:textId="1302891E"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10" w:history="1">
            <w:r w:rsidR="007E7192" w:rsidRPr="004E0F1E">
              <w:rPr>
                <w:rStyle w:val="Hipervnculo"/>
                <w:rFonts w:eastAsia="Calibri"/>
                <w:noProof/>
                <w:color w:val="auto"/>
              </w:rPr>
              <w:t>f) Ampliación de plazo para resolver el Recurso de Revisión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_Toc172748410 \h </w:instrText>
            </w:r>
            <w:r w:rsidR="007E7192" w:rsidRPr="004E0F1E">
              <w:rPr>
                <w:noProof/>
                <w:webHidden/>
              </w:rPr>
              <w:fldChar w:fldCharType="separate"/>
            </w:r>
            <w:r w:rsidR="00E42BBE">
              <w:rPr>
                <w:b/>
                <w:bCs/>
                <w:noProof/>
                <w:webHidden/>
                <w:lang w:val="es-ES"/>
              </w:rPr>
              <w:t>¡Error! Marcador no definido.</w:t>
            </w:r>
            <w:r w:rsidR="007E7192" w:rsidRPr="004E0F1E">
              <w:rPr>
                <w:noProof/>
                <w:webHidden/>
              </w:rPr>
              <w:fldChar w:fldCharType="end"/>
            </w:r>
          </w:hyperlink>
        </w:p>
        <w:p w14:paraId="25EFCC7E" w14:textId="6E350DE9"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11" w:history="1">
            <w:r w:rsidR="007E7192" w:rsidRPr="004E0F1E">
              <w:rPr>
                <w:rStyle w:val="Hipervnculo"/>
                <w:noProof/>
                <w:color w:val="auto"/>
              </w:rPr>
              <w:t>g) Cierre de instrucción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_Toc172748411 \h </w:instrText>
            </w:r>
            <w:r w:rsidR="007E7192" w:rsidRPr="004E0F1E">
              <w:rPr>
                <w:noProof/>
                <w:webHidden/>
              </w:rPr>
            </w:r>
            <w:r w:rsidR="007E7192" w:rsidRPr="004E0F1E">
              <w:rPr>
                <w:noProof/>
                <w:webHidden/>
              </w:rPr>
              <w:fldChar w:fldCharType="separate"/>
            </w:r>
            <w:r w:rsidR="00E42BBE">
              <w:rPr>
                <w:noProof/>
                <w:webHidden/>
              </w:rPr>
              <w:t>5</w:t>
            </w:r>
            <w:r w:rsidR="007E7192" w:rsidRPr="004E0F1E">
              <w:rPr>
                <w:noProof/>
                <w:webHidden/>
              </w:rPr>
              <w:fldChar w:fldCharType="end"/>
            </w:r>
          </w:hyperlink>
        </w:p>
        <w:p w14:paraId="7B84CDCB" w14:textId="3669278C" w:rsidR="007E7192" w:rsidRPr="004E0F1E" w:rsidRDefault="00432A63" w:rsidP="004E0F1E">
          <w:pPr>
            <w:pStyle w:val="TDC1"/>
            <w:tabs>
              <w:tab w:val="right" w:leader="dot" w:pos="9034"/>
            </w:tabs>
            <w:ind w:right="-312"/>
            <w:rPr>
              <w:rFonts w:asciiTheme="minorHAnsi" w:eastAsiaTheme="minorEastAsia" w:hAnsiTheme="minorHAnsi" w:cstheme="minorBidi"/>
              <w:noProof/>
              <w:szCs w:val="22"/>
              <w:lang w:eastAsia="es-MX"/>
            </w:rPr>
          </w:pPr>
          <w:hyperlink w:anchor="_Toc172748412" w:history="1">
            <w:r w:rsidR="007E7192" w:rsidRPr="004E0F1E">
              <w:rPr>
                <w:rStyle w:val="Hipervnculo"/>
                <w:rFonts w:eastAsiaTheme="minorHAnsi"/>
                <w:noProof/>
                <w:color w:val="auto"/>
                <w:lang w:eastAsia="en-US"/>
              </w:rPr>
              <w:t>CONSIDERANDOS</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_Toc172748412 \h </w:instrText>
            </w:r>
            <w:r w:rsidR="007E7192" w:rsidRPr="004E0F1E">
              <w:rPr>
                <w:noProof/>
                <w:webHidden/>
              </w:rPr>
            </w:r>
            <w:r w:rsidR="007E7192" w:rsidRPr="004E0F1E">
              <w:rPr>
                <w:noProof/>
                <w:webHidden/>
              </w:rPr>
              <w:fldChar w:fldCharType="separate"/>
            </w:r>
            <w:r w:rsidR="00E42BBE">
              <w:rPr>
                <w:noProof/>
                <w:webHidden/>
              </w:rPr>
              <w:t>5</w:t>
            </w:r>
            <w:r w:rsidR="007E7192" w:rsidRPr="004E0F1E">
              <w:rPr>
                <w:noProof/>
                <w:webHidden/>
              </w:rPr>
              <w:fldChar w:fldCharType="end"/>
            </w:r>
          </w:hyperlink>
        </w:p>
        <w:p w14:paraId="30D7E4A6" w14:textId="15A30511" w:rsidR="007E7192" w:rsidRPr="004E0F1E" w:rsidRDefault="00432A63" w:rsidP="004E0F1E">
          <w:pPr>
            <w:pStyle w:val="TDC2"/>
            <w:ind w:right="-312"/>
            <w:rPr>
              <w:rFonts w:asciiTheme="minorHAnsi" w:eastAsiaTheme="minorEastAsia" w:hAnsiTheme="minorHAnsi" w:cstheme="minorBidi"/>
              <w:noProof/>
              <w:szCs w:val="22"/>
              <w:lang w:eastAsia="es-MX"/>
            </w:rPr>
          </w:pPr>
          <w:hyperlink w:anchor="_Toc172748413" w:history="1">
            <w:r w:rsidR="007E7192" w:rsidRPr="004E0F1E">
              <w:rPr>
                <w:rStyle w:val="Hipervnculo"/>
                <w:rFonts w:eastAsia="Batang"/>
                <w:noProof/>
                <w:color w:val="auto"/>
              </w:rPr>
              <w:t>PRIMERO. Procedibilidad</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_Toc172748413 \h </w:instrText>
            </w:r>
            <w:r w:rsidR="007E7192" w:rsidRPr="004E0F1E">
              <w:rPr>
                <w:noProof/>
                <w:webHidden/>
              </w:rPr>
            </w:r>
            <w:r w:rsidR="007E7192" w:rsidRPr="004E0F1E">
              <w:rPr>
                <w:noProof/>
                <w:webHidden/>
              </w:rPr>
              <w:fldChar w:fldCharType="separate"/>
            </w:r>
            <w:r w:rsidR="00E42BBE">
              <w:rPr>
                <w:noProof/>
                <w:webHidden/>
              </w:rPr>
              <w:t>5</w:t>
            </w:r>
            <w:r w:rsidR="007E7192" w:rsidRPr="004E0F1E">
              <w:rPr>
                <w:noProof/>
                <w:webHidden/>
              </w:rPr>
              <w:fldChar w:fldCharType="end"/>
            </w:r>
          </w:hyperlink>
        </w:p>
        <w:p w14:paraId="656B908A" w14:textId="70CBE396"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14" w:history="1">
            <w:r w:rsidR="007E7192" w:rsidRPr="004E0F1E">
              <w:rPr>
                <w:rStyle w:val="Hipervnculo"/>
                <w:noProof/>
                <w:color w:val="auto"/>
              </w:rPr>
              <w:t>a) Competencia del Instituto</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_Toc172748414 \h </w:instrText>
            </w:r>
            <w:r w:rsidR="007E7192" w:rsidRPr="004E0F1E">
              <w:rPr>
                <w:noProof/>
                <w:webHidden/>
              </w:rPr>
            </w:r>
            <w:r w:rsidR="007E7192" w:rsidRPr="004E0F1E">
              <w:rPr>
                <w:noProof/>
                <w:webHidden/>
              </w:rPr>
              <w:fldChar w:fldCharType="separate"/>
            </w:r>
            <w:r w:rsidR="00E42BBE">
              <w:rPr>
                <w:noProof/>
                <w:webHidden/>
              </w:rPr>
              <w:t>5</w:t>
            </w:r>
            <w:r w:rsidR="007E7192" w:rsidRPr="004E0F1E">
              <w:rPr>
                <w:noProof/>
                <w:webHidden/>
              </w:rPr>
              <w:fldChar w:fldCharType="end"/>
            </w:r>
          </w:hyperlink>
        </w:p>
        <w:p w14:paraId="6A94EEF9" w14:textId="67961802"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15" w:history="1">
            <w:r w:rsidR="007E7192" w:rsidRPr="004E0F1E">
              <w:rPr>
                <w:rStyle w:val="Hipervnculo"/>
                <w:noProof/>
                <w:color w:val="auto"/>
              </w:rPr>
              <w:t>b) Legitimidad de la parte recurrente</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_Toc172748415 \h </w:instrText>
            </w:r>
            <w:r w:rsidR="007E7192" w:rsidRPr="004E0F1E">
              <w:rPr>
                <w:noProof/>
                <w:webHidden/>
              </w:rPr>
            </w:r>
            <w:r w:rsidR="007E7192" w:rsidRPr="004E0F1E">
              <w:rPr>
                <w:noProof/>
                <w:webHidden/>
              </w:rPr>
              <w:fldChar w:fldCharType="separate"/>
            </w:r>
            <w:r w:rsidR="00E42BBE">
              <w:rPr>
                <w:noProof/>
                <w:webHidden/>
              </w:rPr>
              <w:t>6</w:t>
            </w:r>
            <w:r w:rsidR="007E7192" w:rsidRPr="004E0F1E">
              <w:rPr>
                <w:noProof/>
                <w:webHidden/>
              </w:rPr>
              <w:fldChar w:fldCharType="end"/>
            </w:r>
          </w:hyperlink>
        </w:p>
        <w:p w14:paraId="6EA0B56C" w14:textId="682A3373"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16" w:history="1">
            <w:r w:rsidR="007E7192" w:rsidRPr="004E0F1E">
              <w:rPr>
                <w:rStyle w:val="Hipervnculo"/>
                <w:rFonts w:eastAsia="Calibri"/>
                <w:noProof/>
                <w:color w:val="auto"/>
                <w:lang w:eastAsia="es-ES_tradnl"/>
              </w:rPr>
              <w:t>c) Plazo para interponer el recurso</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_Toc172748416 \h </w:instrText>
            </w:r>
            <w:r w:rsidR="007E7192" w:rsidRPr="004E0F1E">
              <w:rPr>
                <w:noProof/>
                <w:webHidden/>
              </w:rPr>
            </w:r>
            <w:r w:rsidR="007E7192" w:rsidRPr="004E0F1E">
              <w:rPr>
                <w:noProof/>
                <w:webHidden/>
              </w:rPr>
              <w:fldChar w:fldCharType="separate"/>
            </w:r>
            <w:r w:rsidR="00E42BBE">
              <w:rPr>
                <w:noProof/>
                <w:webHidden/>
              </w:rPr>
              <w:t>6</w:t>
            </w:r>
            <w:r w:rsidR="007E7192" w:rsidRPr="004E0F1E">
              <w:rPr>
                <w:noProof/>
                <w:webHidden/>
              </w:rPr>
              <w:fldChar w:fldCharType="end"/>
            </w:r>
          </w:hyperlink>
        </w:p>
        <w:p w14:paraId="265CF0D0" w14:textId="06041F68"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17" w:history="1">
            <w:r w:rsidR="007E7192" w:rsidRPr="004E0F1E">
              <w:rPr>
                <w:rStyle w:val="Hipervnculo"/>
                <w:rFonts w:eastAsia="Calibri"/>
                <w:noProof/>
                <w:color w:val="auto"/>
                <w:lang w:eastAsia="es-ES_tradnl"/>
              </w:rPr>
              <w:t>d) Causal de procedencia</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_Toc172748417 \h </w:instrText>
            </w:r>
            <w:r w:rsidR="007E7192" w:rsidRPr="004E0F1E">
              <w:rPr>
                <w:noProof/>
                <w:webHidden/>
              </w:rPr>
            </w:r>
            <w:r w:rsidR="007E7192" w:rsidRPr="004E0F1E">
              <w:rPr>
                <w:noProof/>
                <w:webHidden/>
              </w:rPr>
              <w:fldChar w:fldCharType="separate"/>
            </w:r>
            <w:r w:rsidR="00E42BBE">
              <w:rPr>
                <w:noProof/>
                <w:webHidden/>
              </w:rPr>
              <w:t>7</w:t>
            </w:r>
            <w:r w:rsidR="007E7192" w:rsidRPr="004E0F1E">
              <w:rPr>
                <w:noProof/>
                <w:webHidden/>
              </w:rPr>
              <w:fldChar w:fldCharType="end"/>
            </w:r>
          </w:hyperlink>
        </w:p>
        <w:p w14:paraId="568F29B6" w14:textId="63DCF4A4"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18" w:history="1">
            <w:r w:rsidR="007E7192" w:rsidRPr="004E0F1E">
              <w:rPr>
                <w:rStyle w:val="Hipervnculo"/>
                <w:noProof/>
                <w:color w:val="auto"/>
              </w:rPr>
              <w:t>e) Requisitos formales para la interposición del recurso</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_Toc172748418 \h </w:instrText>
            </w:r>
            <w:r w:rsidR="007E7192" w:rsidRPr="004E0F1E">
              <w:rPr>
                <w:noProof/>
                <w:webHidden/>
              </w:rPr>
            </w:r>
            <w:r w:rsidR="007E7192" w:rsidRPr="004E0F1E">
              <w:rPr>
                <w:noProof/>
                <w:webHidden/>
              </w:rPr>
              <w:fldChar w:fldCharType="separate"/>
            </w:r>
            <w:r w:rsidR="00E42BBE">
              <w:rPr>
                <w:noProof/>
                <w:webHidden/>
              </w:rPr>
              <w:t>7</w:t>
            </w:r>
            <w:r w:rsidR="007E7192" w:rsidRPr="004E0F1E">
              <w:rPr>
                <w:noProof/>
                <w:webHidden/>
              </w:rPr>
              <w:fldChar w:fldCharType="end"/>
            </w:r>
          </w:hyperlink>
        </w:p>
        <w:p w14:paraId="4D401644" w14:textId="1C7560F0" w:rsidR="007E7192" w:rsidRPr="004E0F1E" w:rsidRDefault="00432A63" w:rsidP="004E0F1E">
          <w:pPr>
            <w:pStyle w:val="TDC2"/>
            <w:ind w:right="-312"/>
            <w:rPr>
              <w:rFonts w:asciiTheme="minorHAnsi" w:eastAsiaTheme="minorEastAsia" w:hAnsiTheme="minorHAnsi" w:cstheme="minorBidi"/>
              <w:noProof/>
              <w:szCs w:val="22"/>
              <w:lang w:eastAsia="es-MX"/>
            </w:rPr>
          </w:pPr>
          <w:hyperlink w:anchor="_Toc172748419" w:history="1">
            <w:r w:rsidR="007E7192" w:rsidRPr="004E0F1E">
              <w:rPr>
                <w:rStyle w:val="Hipervnculo"/>
                <w:noProof/>
                <w:color w:val="auto"/>
              </w:rPr>
              <w:t>SEGUNDO. Estudio de Fondo</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_Toc172748419 \h </w:instrText>
            </w:r>
            <w:r w:rsidR="007E7192" w:rsidRPr="004E0F1E">
              <w:rPr>
                <w:noProof/>
                <w:webHidden/>
              </w:rPr>
            </w:r>
            <w:r w:rsidR="007E7192" w:rsidRPr="004E0F1E">
              <w:rPr>
                <w:noProof/>
                <w:webHidden/>
              </w:rPr>
              <w:fldChar w:fldCharType="separate"/>
            </w:r>
            <w:r w:rsidR="00E42BBE">
              <w:rPr>
                <w:noProof/>
                <w:webHidden/>
              </w:rPr>
              <w:t>7</w:t>
            </w:r>
            <w:r w:rsidR="007E7192" w:rsidRPr="004E0F1E">
              <w:rPr>
                <w:noProof/>
                <w:webHidden/>
              </w:rPr>
              <w:fldChar w:fldCharType="end"/>
            </w:r>
          </w:hyperlink>
        </w:p>
        <w:p w14:paraId="2EA2FECE" w14:textId="62C99D33"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20" w:history="1">
            <w:r w:rsidR="007E7192" w:rsidRPr="004E0F1E">
              <w:rPr>
                <w:rStyle w:val="Hipervnculo"/>
                <w:noProof/>
                <w:color w:val="auto"/>
              </w:rPr>
              <w:t>a) Mandato de transparencia y responsabilidad del Sujeto Obligado</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_Toc172748420 \h </w:instrText>
            </w:r>
            <w:r w:rsidR="007E7192" w:rsidRPr="004E0F1E">
              <w:rPr>
                <w:noProof/>
                <w:webHidden/>
              </w:rPr>
            </w:r>
            <w:r w:rsidR="007E7192" w:rsidRPr="004E0F1E">
              <w:rPr>
                <w:noProof/>
                <w:webHidden/>
              </w:rPr>
              <w:fldChar w:fldCharType="separate"/>
            </w:r>
            <w:r w:rsidR="00E42BBE">
              <w:rPr>
                <w:noProof/>
                <w:webHidden/>
              </w:rPr>
              <w:t>7</w:t>
            </w:r>
            <w:r w:rsidR="007E7192" w:rsidRPr="004E0F1E">
              <w:rPr>
                <w:noProof/>
                <w:webHidden/>
              </w:rPr>
              <w:fldChar w:fldCharType="end"/>
            </w:r>
          </w:hyperlink>
        </w:p>
        <w:p w14:paraId="3E15DEFB" w14:textId="6CD8458B"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21" w:history="1">
            <w:r w:rsidR="007E7192" w:rsidRPr="004E0F1E">
              <w:rPr>
                <w:rStyle w:val="Hipervnculo"/>
                <w:rFonts w:eastAsia="Calibri"/>
                <w:noProof/>
                <w:color w:val="auto"/>
                <w:lang w:eastAsia="es-ES_tradnl"/>
              </w:rPr>
              <w:t>b) Controversia a resolver</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_Toc172748421 \h </w:instrText>
            </w:r>
            <w:r w:rsidR="007E7192" w:rsidRPr="004E0F1E">
              <w:rPr>
                <w:noProof/>
                <w:webHidden/>
              </w:rPr>
            </w:r>
            <w:r w:rsidR="007E7192" w:rsidRPr="004E0F1E">
              <w:rPr>
                <w:noProof/>
                <w:webHidden/>
              </w:rPr>
              <w:fldChar w:fldCharType="separate"/>
            </w:r>
            <w:r w:rsidR="00E42BBE">
              <w:rPr>
                <w:noProof/>
                <w:webHidden/>
              </w:rPr>
              <w:t>10</w:t>
            </w:r>
            <w:r w:rsidR="007E7192" w:rsidRPr="004E0F1E">
              <w:rPr>
                <w:noProof/>
                <w:webHidden/>
              </w:rPr>
              <w:fldChar w:fldCharType="end"/>
            </w:r>
          </w:hyperlink>
        </w:p>
        <w:p w14:paraId="68181B39" w14:textId="4D9E6C2B"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22" w:history="1">
            <w:r w:rsidR="007E7192" w:rsidRPr="004E0F1E">
              <w:rPr>
                <w:rStyle w:val="Hipervnculo"/>
                <w:noProof/>
                <w:color w:val="auto"/>
              </w:rPr>
              <w:t>c) Estudio de la controversia</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_Toc172748422 \h </w:instrText>
            </w:r>
            <w:r w:rsidR="007E7192" w:rsidRPr="004E0F1E">
              <w:rPr>
                <w:noProof/>
                <w:webHidden/>
              </w:rPr>
            </w:r>
            <w:r w:rsidR="007E7192" w:rsidRPr="004E0F1E">
              <w:rPr>
                <w:noProof/>
                <w:webHidden/>
              </w:rPr>
              <w:fldChar w:fldCharType="separate"/>
            </w:r>
            <w:r w:rsidR="00E42BBE">
              <w:rPr>
                <w:noProof/>
                <w:webHidden/>
              </w:rPr>
              <w:t>11</w:t>
            </w:r>
            <w:r w:rsidR="007E7192" w:rsidRPr="004E0F1E">
              <w:rPr>
                <w:noProof/>
                <w:webHidden/>
              </w:rPr>
              <w:fldChar w:fldCharType="end"/>
            </w:r>
          </w:hyperlink>
        </w:p>
        <w:p w14:paraId="7FD943F4" w14:textId="656EAD8D" w:rsidR="007E7192" w:rsidRPr="004E0F1E" w:rsidRDefault="00432A63" w:rsidP="004E0F1E">
          <w:pPr>
            <w:pStyle w:val="TDC3"/>
            <w:ind w:right="-312"/>
            <w:rPr>
              <w:rFonts w:asciiTheme="minorHAnsi" w:eastAsiaTheme="minorEastAsia" w:hAnsiTheme="minorHAnsi" w:cstheme="minorBidi"/>
              <w:noProof/>
              <w:szCs w:val="22"/>
              <w:lang w:eastAsia="es-MX"/>
            </w:rPr>
          </w:pPr>
          <w:hyperlink w:anchor="_Toc172748423" w:history="1">
            <w:r w:rsidR="007E7192" w:rsidRPr="004E0F1E">
              <w:rPr>
                <w:rStyle w:val="Hipervnculo"/>
                <w:rFonts w:eastAsia="Calibri"/>
                <w:noProof/>
                <w:color w:val="auto"/>
              </w:rPr>
              <w:t xml:space="preserve">d) </w:t>
            </w:r>
            <w:r w:rsidR="007E7192" w:rsidRPr="004E0F1E">
              <w:rPr>
                <w:rStyle w:val="Hipervnculo"/>
                <w:noProof/>
                <w:color w:val="auto"/>
              </w:rPr>
              <w:t>Conclusión</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_Toc172748423 \h </w:instrText>
            </w:r>
            <w:r w:rsidR="007E7192" w:rsidRPr="004E0F1E">
              <w:rPr>
                <w:noProof/>
                <w:webHidden/>
              </w:rPr>
              <w:fldChar w:fldCharType="separate"/>
            </w:r>
            <w:r w:rsidR="00E42BBE">
              <w:rPr>
                <w:b/>
                <w:bCs/>
                <w:noProof/>
                <w:webHidden/>
                <w:lang w:val="es-ES"/>
              </w:rPr>
              <w:t>¡Error! Marcador no definido.</w:t>
            </w:r>
            <w:r w:rsidR="007E7192" w:rsidRPr="004E0F1E">
              <w:rPr>
                <w:noProof/>
                <w:webHidden/>
              </w:rPr>
              <w:fldChar w:fldCharType="end"/>
            </w:r>
          </w:hyperlink>
        </w:p>
        <w:p w14:paraId="0C82FD7A" w14:textId="0C9157D2" w:rsidR="009B2945" w:rsidRPr="004E0F1E" w:rsidRDefault="00432A63" w:rsidP="004E0F1E">
          <w:pPr>
            <w:pStyle w:val="TDC1"/>
            <w:tabs>
              <w:tab w:val="right" w:leader="dot" w:pos="9034"/>
            </w:tabs>
            <w:ind w:right="-312"/>
            <w:rPr>
              <w:b/>
              <w:bCs/>
              <w:lang w:val="es-ES"/>
            </w:rPr>
          </w:pPr>
          <w:hyperlink w:anchor="_Toc172748424" w:history="1">
            <w:r w:rsidR="007E7192" w:rsidRPr="004E0F1E">
              <w:rPr>
                <w:rStyle w:val="Hipervnculo"/>
                <w:noProof/>
                <w:color w:val="auto"/>
              </w:rPr>
              <w:t>RESUELVE</w:t>
            </w:r>
            <w:r w:rsidR="007E7192" w:rsidRPr="004E0F1E">
              <w:rPr>
                <w:noProof/>
                <w:webHidden/>
              </w:rPr>
              <w:tab/>
            </w:r>
            <w:r w:rsidR="007E7192" w:rsidRPr="004E0F1E">
              <w:rPr>
                <w:noProof/>
                <w:webHidden/>
              </w:rPr>
              <w:fldChar w:fldCharType="begin"/>
            </w:r>
            <w:r w:rsidR="007E7192" w:rsidRPr="004E0F1E">
              <w:rPr>
                <w:noProof/>
                <w:webHidden/>
              </w:rPr>
              <w:instrText xml:space="preserve"> PAGEREF _Toc172748424 \h </w:instrText>
            </w:r>
            <w:r w:rsidR="007E7192" w:rsidRPr="004E0F1E">
              <w:rPr>
                <w:noProof/>
                <w:webHidden/>
              </w:rPr>
              <w:fldChar w:fldCharType="separate"/>
            </w:r>
            <w:r w:rsidR="00E42BBE">
              <w:rPr>
                <w:b/>
                <w:bCs/>
                <w:noProof/>
                <w:webHidden/>
                <w:lang w:val="es-ES"/>
              </w:rPr>
              <w:t>¡Error! Marcador no definido.</w:t>
            </w:r>
            <w:r w:rsidR="007E7192" w:rsidRPr="004E0F1E">
              <w:rPr>
                <w:noProof/>
                <w:webHidden/>
              </w:rPr>
              <w:fldChar w:fldCharType="end"/>
            </w:r>
          </w:hyperlink>
          <w:r w:rsidR="00AE3DA7" w:rsidRPr="004E0F1E">
            <w:rPr>
              <w:b/>
              <w:bCs/>
              <w:sz w:val="16"/>
              <w:szCs w:val="16"/>
              <w:lang w:val="es-ES"/>
            </w:rPr>
            <w:fldChar w:fldCharType="end"/>
          </w:r>
        </w:p>
      </w:sdtContent>
    </w:sdt>
    <w:p w14:paraId="603A07E2" w14:textId="77777777" w:rsidR="00646436" w:rsidRPr="004E0F1E" w:rsidRDefault="00646436" w:rsidP="004E0F1E">
      <w:pPr>
        <w:ind w:right="-312"/>
        <w:rPr>
          <w:rFonts w:cs="Tahoma"/>
          <w:szCs w:val="22"/>
        </w:rPr>
        <w:sectPr w:rsidR="00646436" w:rsidRPr="004E0F1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0F15AD7" w:rsidR="00775BFC" w:rsidRPr="004E0F1E" w:rsidRDefault="00775BFC" w:rsidP="004E0F1E">
      <w:pPr>
        <w:ind w:right="-312"/>
        <w:rPr>
          <w:szCs w:val="22"/>
        </w:rPr>
      </w:pPr>
      <w:r w:rsidRPr="004E0F1E">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375C6B" w:rsidRPr="004E0F1E">
        <w:rPr>
          <w:b/>
          <w:szCs w:val="22"/>
        </w:rPr>
        <w:t>cuatro de septiembre</w:t>
      </w:r>
      <w:r w:rsidR="00ED7170" w:rsidRPr="004E0F1E">
        <w:rPr>
          <w:b/>
          <w:szCs w:val="22"/>
        </w:rPr>
        <w:t xml:space="preserve"> de dos mil veinticuatro</w:t>
      </w:r>
      <w:r w:rsidR="00ED7170" w:rsidRPr="004E0F1E">
        <w:rPr>
          <w:szCs w:val="22"/>
        </w:rPr>
        <w:t>.</w:t>
      </w:r>
    </w:p>
    <w:p w14:paraId="0AF3AAC4" w14:textId="77777777" w:rsidR="00775BFC" w:rsidRPr="004E0F1E" w:rsidRDefault="00775BFC" w:rsidP="004E0F1E">
      <w:pPr>
        <w:ind w:right="-312"/>
        <w:rPr>
          <w:szCs w:val="22"/>
        </w:rPr>
      </w:pPr>
    </w:p>
    <w:p w14:paraId="40EAE038" w14:textId="28BA1995" w:rsidR="00775BFC" w:rsidRPr="004E0F1E" w:rsidRDefault="00775BFC" w:rsidP="004E0F1E">
      <w:pPr>
        <w:ind w:right="-312"/>
        <w:rPr>
          <w:szCs w:val="22"/>
        </w:rPr>
      </w:pPr>
      <w:r w:rsidRPr="004E0F1E">
        <w:rPr>
          <w:b/>
          <w:szCs w:val="22"/>
        </w:rPr>
        <w:t xml:space="preserve">VISTO </w:t>
      </w:r>
      <w:r w:rsidRPr="004E0F1E">
        <w:rPr>
          <w:szCs w:val="22"/>
        </w:rPr>
        <w:t xml:space="preserve">el expediente formado con motivo del Recurso de Revisión </w:t>
      </w:r>
      <w:r w:rsidR="0004680B" w:rsidRPr="004E0F1E">
        <w:rPr>
          <w:rFonts w:eastAsia="Calibri"/>
          <w:b/>
          <w:szCs w:val="22"/>
          <w:lang w:eastAsia="en-US"/>
        </w:rPr>
        <w:t>04692/INFOEM/IP/RR/2024</w:t>
      </w:r>
      <w:r w:rsidRPr="004E0F1E">
        <w:rPr>
          <w:rFonts w:eastAsia="Calibri"/>
          <w:szCs w:val="22"/>
          <w:lang w:eastAsia="en-US"/>
        </w:rPr>
        <w:t xml:space="preserve"> </w:t>
      </w:r>
      <w:r w:rsidRPr="004E0F1E">
        <w:rPr>
          <w:szCs w:val="22"/>
        </w:rPr>
        <w:t xml:space="preserve">interpuesto por </w:t>
      </w:r>
      <w:r w:rsidR="0004680B" w:rsidRPr="004E0F1E">
        <w:rPr>
          <w:b/>
          <w:bCs/>
          <w:szCs w:val="22"/>
        </w:rPr>
        <w:t>una persona que no se identificó</w:t>
      </w:r>
      <w:r w:rsidRPr="004E0F1E">
        <w:rPr>
          <w:szCs w:val="22"/>
        </w:rPr>
        <w:t xml:space="preserve">, a quien en lo subsecuente se le denominará </w:t>
      </w:r>
      <w:r w:rsidRPr="004E0F1E">
        <w:rPr>
          <w:b/>
          <w:bCs/>
          <w:szCs w:val="22"/>
        </w:rPr>
        <w:t>LA PARTE RECURRENTE</w:t>
      </w:r>
      <w:r w:rsidRPr="004E0F1E">
        <w:rPr>
          <w:szCs w:val="22"/>
        </w:rPr>
        <w:t>, en contra de la respuesta emitida por</w:t>
      </w:r>
      <w:r w:rsidR="00A0449B" w:rsidRPr="004E0F1E">
        <w:rPr>
          <w:szCs w:val="22"/>
        </w:rPr>
        <w:t xml:space="preserve"> </w:t>
      </w:r>
      <w:r w:rsidR="000748DF" w:rsidRPr="004E0F1E">
        <w:rPr>
          <w:szCs w:val="22"/>
        </w:rPr>
        <w:t>l</w:t>
      </w:r>
      <w:r w:rsidR="002268D4" w:rsidRPr="004E0F1E">
        <w:rPr>
          <w:szCs w:val="22"/>
        </w:rPr>
        <w:t>a</w:t>
      </w:r>
      <w:r w:rsidR="000748DF" w:rsidRPr="004E0F1E">
        <w:rPr>
          <w:szCs w:val="22"/>
        </w:rPr>
        <w:t xml:space="preserve"> </w:t>
      </w:r>
      <w:r w:rsidR="00016F48" w:rsidRPr="004E0F1E">
        <w:rPr>
          <w:b/>
          <w:bCs/>
          <w:szCs w:val="22"/>
        </w:rPr>
        <w:t>Secretaría de Educación, Ciencia, Tecnología e Innovación</w:t>
      </w:r>
      <w:r w:rsidRPr="004E0F1E">
        <w:rPr>
          <w:szCs w:val="22"/>
        </w:rPr>
        <w:t xml:space="preserve">, en adelante </w:t>
      </w:r>
      <w:r w:rsidRPr="004E0F1E">
        <w:rPr>
          <w:b/>
          <w:bCs/>
          <w:szCs w:val="22"/>
        </w:rPr>
        <w:t>EL SUJETO OBLIGADO</w:t>
      </w:r>
      <w:r w:rsidRPr="004E0F1E">
        <w:rPr>
          <w:rFonts w:eastAsia="Calibri"/>
          <w:szCs w:val="22"/>
          <w:lang w:eastAsia="en-US"/>
        </w:rPr>
        <w:t xml:space="preserve">, </w:t>
      </w:r>
      <w:r w:rsidRPr="004E0F1E">
        <w:rPr>
          <w:szCs w:val="22"/>
        </w:rPr>
        <w:t>se emite la presente Resolución con base en los Antecedentes y Considerandos que se exponen a continuación:</w:t>
      </w:r>
    </w:p>
    <w:p w14:paraId="2116968C" w14:textId="77777777" w:rsidR="00775BFC" w:rsidRPr="004E0F1E" w:rsidRDefault="00775BFC" w:rsidP="004E0F1E">
      <w:pPr>
        <w:ind w:right="-312"/>
        <w:rPr>
          <w:szCs w:val="22"/>
        </w:rPr>
      </w:pPr>
    </w:p>
    <w:p w14:paraId="5A444FB6" w14:textId="639D3567" w:rsidR="00664420" w:rsidRPr="004E0F1E" w:rsidRDefault="00664420" w:rsidP="004E0F1E">
      <w:pPr>
        <w:pStyle w:val="Ttulo1"/>
        <w:ind w:right="-312"/>
        <w:rPr>
          <w:szCs w:val="22"/>
        </w:rPr>
      </w:pPr>
      <w:bookmarkStart w:id="3" w:name="_Toc172748400"/>
      <w:r w:rsidRPr="004E0F1E">
        <w:rPr>
          <w:szCs w:val="22"/>
        </w:rPr>
        <w:t>ANTECEDENTES</w:t>
      </w:r>
      <w:bookmarkEnd w:id="3"/>
    </w:p>
    <w:p w14:paraId="7CE9E53D" w14:textId="77777777" w:rsidR="00E37A3F" w:rsidRPr="004E0F1E" w:rsidRDefault="00E37A3F" w:rsidP="004E0F1E">
      <w:pPr>
        <w:ind w:right="-312"/>
        <w:rPr>
          <w:szCs w:val="22"/>
        </w:rPr>
      </w:pPr>
    </w:p>
    <w:p w14:paraId="09B2D38F" w14:textId="6E49D146" w:rsidR="00664420" w:rsidRPr="004E0F1E" w:rsidRDefault="00E37A3F" w:rsidP="004E0F1E">
      <w:pPr>
        <w:pStyle w:val="Ttulo2"/>
        <w:ind w:right="-312"/>
        <w:rPr>
          <w:szCs w:val="22"/>
        </w:rPr>
      </w:pPr>
      <w:bookmarkStart w:id="4" w:name="_Toc172748401"/>
      <w:r w:rsidRPr="004E0F1E">
        <w:rPr>
          <w:szCs w:val="22"/>
        </w:rPr>
        <w:t>DE LA SOLICITUD DE INFORMACIÓN</w:t>
      </w:r>
      <w:bookmarkEnd w:id="4"/>
    </w:p>
    <w:p w14:paraId="7B7535DF" w14:textId="77777777" w:rsidR="00E37A3F" w:rsidRPr="004E0F1E" w:rsidRDefault="00E37A3F" w:rsidP="004E0F1E">
      <w:pPr>
        <w:ind w:right="-312"/>
        <w:rPr>
          <w:szCs w:val="22"/>
        </w:rPr>
      </w:pPr>
    </w:p>
    <w:p w14:paraId="2C6AD1A5" w14:textId="0405B3CD" w:rsidR="00664420" w:rsidRPr="004E0F1E" w:rsidRDefault="00E37A3F" w:rsidP="004E0F1E">
      <w:pPr>
        <w:pStyle w:val="Ttulo3"/>
        <w:ind w:right="-312"/>
        <w:rPr>
          <w:szCs w:val="22"/>
        </w:rPr>
      </w:pPr>
      <w:bookmarkStart w:id="5" w:name="_Toc172748402"/>
      <w:r w:rsidRPr="004E0F1E">
        <w:rPr>
          <w:szCs w:val="22"/>
        </w:rPr>
        <w:t xml:space="preserve">a) </w:t>
      </w:r>
      <w:r w:rsidR="006B10B0" w:rsidRPr="004E0F1E">
        <w:rPr>
          <w:szCs w:val="22"/>
        </w:rPr>
        <w:t>S</w:t>
      </w:r>
      <w:r w:rsidR="00664420" w:rsidRPr="004E0F1E">
        <w:rPr>
          <w:szCs w:val="22"/>
        </w:rPr>
        <w:t xml:space="preserve">olicitud de </w:t>
      </w:r>
      <w:r w:rsidR="006B10B0" w:rsidRPr="004E0F1E">
        <w:rPr>
          <w:szCs w:val="22"/>
        </w:rPr>
        <w:t>i</w:t>
      </w:r>
      <w:r w:rsidR="00664420" w:rsidRPr="004E0F1E">
        <w:rPr>
          <w:szCs w:val="22"/>
        </w:rPr>
        <w:t>nformación</w:t>
      </w:r>
      <w:bookmarkEnd w:id="5"/>
    </w:p>
    <w:p w14:paraId="06DCD29D" w14:textId="5F53BA48" w:rsidR="009A2D78" w:rsidRPr="004E0F1E" w:rsidRDefault="006B10B0" w:rsidP="004E0F1E">
      <w:pPr>
        <w:pStyle w:val="Prrafodelista"/>
        <w:tabs>
          <w:tab w:val="left" w:pos="851"/>
        </w:tabs>
        <w:ind w:left="0" w:right="-312"/>
        <w:contextualSpacing w:val="0"/>
        <w:rPr>
          <w:rFonts w:cs="Tahoma"/>
          <w:szCs w:val="22"/>
        </w:rPr>
      </w:pPr>
      <w:r w:rsidRPr="004E0F1E">
        <w:rPr>
          <w:rFonts w:cs="Tahoma"/>
          <w:szCs w:val="22"/>
        </w:rPr>
        <w:t>El</w:t>
      </w:r>
      <w:r w:rsidR="00664420" w:rsidRPr="004E0F1E">
        <w:rPr>
          <w:rFonts w:cs="Tahoma"/>
          <w:szCs w:val="22"/>
        </w:rPr>
        <w:t xml:space="preserve"> </w:t>
      </w:r>
      <w:r w:rsidR="0004680B" w:rsidRPr="004E0F1E">
        <w:rPr>
          <w:rFonts w:cs="Tahoma"/>
          <w:b/>
          <w:szCs w:val="22"/>
        </w:rPr>
        <w:t>ocho</w:t>
      </w:r>
      <w:r w:rsidR="0004680B" w:rsidRPr="004E0F1E">
        <w:rPr>
          <w:rStyle w:val="Refdenotaalpie"/>
          <w:rFonts w:cs="Tahoma"/>
          <w:b/>
          <w:bCs/>
          <w:szCs w:val="22"/>
        </w:rPr>
        <w:footnoteReference w:id="1"/>
      </w:r>
      <w:r w:rsidR="0004680B" w:rsidRPr="004E0F1E">
        <w:rPr>
          <w:rFonts w:cs="Tahoma"/>
          <w:b/>
          <w:bCs/>
          <w:szCs w:val="22"/>
        </w:rPr>
        <w:t xml:space="preserve"> de julio de dos mil veinticuatro</w:t>
      </w:r>
      <w:r w:rsidR="00664420" w:rsidRPr="004E0F1E">
        <w:rPr>
          <w:rFonts w:cs="Tahoma"/>
          <w:szCs w:val="22"/>
        </w:rPr>
        <w:t xml:space="preserve">, </w:t>
      </w:r>
      <w:r w:rsidRPr="004E0F1E">
        <w:rPr>
          <w:b/>
          <w:bCs/>
          <w:szCs w:val="22"/>
        </w:rPr>
        <w:t>LA PARTE RECURRENTE</w:t>
      </w:r>
      <w:r w:rsidR="00664420" w:rsidRPr="004E0F1E">
        <w:rPr>
          <w:rFonts w:cs="Tahoma"/>
          <w:szCs w:val="22"/>
        </w:rPr>
        <w:t xml:space="preserve"> presentó una solicitud de acceso a la información pública </w:t>
      </w:r>
      <w:r w:rsidR="001F3515" w:rsidRPr="004E0F1E">
        <w:rPr>
          <w:rFonts w:cs="Tahoma"/>
          <w:szCs w:val="22"/>
        </w:rPr>
        <w:t xml:space="preserve">ante el </w:t>
      </w:r>
      <w:r w:rsidR="001F3515" w:rsidRPr="004E0F1E">
        <w:rPr>
          <w:rFonts w:cs="Tahoma"/>
          <w:b/>
          <w:bCs/>
          <w:szCs w:val="22"/>
        </w:rPr>
        <w:t>SUJETO OBLIGADO</w:t>
      </w:r>
      <w:r w:rsidR="001F3515" w:rsidRPr="004E0F1E">
        <w:rPr>
          <w:rFonts w:cs="Tahoma"/>
          <w:szCs w:val="22"/>
        </w:rPr>
        <w:t xml:space="preserve">, </w:t>
      </w:r>
      <w:r w:rsidR="00664420" w:rsidRPr="004E0F1E">
        <w:rPr>
          <w:rFonts w:cs="Tahoma"/>
          <w:szCs w:val="22"/>
        </w:rPr>
        <w:t>a través del Sistema de Acceso a la Información Mexiquense</w:t>
      </w:r>
      <w:r w:rsidRPr="004E0F1E">
        <w:rPr>
          <w:rFonts w:cs="Tahoma"/>
          <w:szCs w:val="22"/>
        </w:rPr>
        <w:t xml:space="preserve"> </w:t>
      </w:r>
      <w:r w:rsidR="009A2D78" w:rsidRPr="004E0F1E">
        <w:rPr>
          <w:rFonts w:cs="Tahoma"/>
          <w:szCs w:val="22"/>
        </w:rPr>
        <w:t>(</w:t>
      </w:r>
      <w:r w:rsidRPr="004E0F1E">
        <w:rPr>
          <w:rFonts w:cs="Tahoma"/>
          <w:b/>
          <w:szCs w:val="22"/>
        </w:rPr>
        <w:t>SAIMEX</w:t>
      </w:r>
      <w:r w:rsidR="009A2D78" w:rsidRPr="004E0F1E">
        <w:rPr>
          <w:rFonts w:cs="Tahoma"/>
          <w:szCs w:val="22"/>
        </w:rPr>
        <w:t>). Dicha solicitud quedó</w:t>
      </w:r>
      <w:r w:rsidRPr="004E0F1E">
        <w:rPr>
          <w:rFonts w:cs="Tahoma"/>
          <w:szCs w:val="22"/>
        </w:rPr>
        <w:t xml:space="preserve"> registrada c</w:t>
      </w:r>
      <w:r w:rsidR="00664420" w:rsidRPr="004E0F1E">
        <w:rPr>
          <w:rFonts w:cs="Tahoma"/>
          <w:szCs w:val="22"/>
        </w:rPr>
        <w:t>on el número de folio</w:t>
      </w:r>
      <w:r w:rsidR="00664420" w:rsidRPr="004E0F1E">
        <w:rPr>
          <w:rFonts w:cs="Tahoma"/>
          <w:b/>
          <w:bCs/>
          <w:szCs w:val="22"/>
        </w:rPr>
        <w:t xml:space="preserve"> </w:t>
      </w:r>
      <w:r w:rsidR="0004680B" w:rsidRPr="004E0F1E">
        <w:rPr>
          <w:rFonts w:cs="Tahoma"/>
          <w:b/>
          <w:bCs/>
          <w:szCs w:val="22"/>
        </w:rPr>
        <w:t>00402/SECTI/IP/2024</w:t>
      </w:r>
      <w:r w:rsidR="002A3601" w:rsidRPr="004E0F1E">
        <w:rPr>
          <w:rFonts w:cs="Tahoma"/>
          <w:szCs w:val="22"/>
        </w:rPr>
        <w:t xml:space="preserve"> y en ella </w:t>
      </w:r>
      <w:r w:rsidR="009A2D78" w:rsidRPr="004E0F1E">
        <w:rPr>
          <w:rFonts w:cs="Tahoma"/>
          <w:szCs w:val="22"/>
        </w:rPr>
        <w:t>se requirió la siguiente información:</w:t>
      </w:r>
    </w:p>
    <w:p w14:paraId="78614CE6" w14:textId="77777777" w:rsidR="009341B5" w:rsidRPr="004E0F1E" w:rsidRDefault="009341B5" w:rsidP="004E0F1E">
      <w:pPr>
        <w:ind w:left="851" w:right="-312"/>
        <w:rPr>
          <w:rFonts w:eastAsiaTheme="majorEastAsia" w:cstheme="majorBidi"/>
          <w:i/>
          <w:kern w:val="28"/>
          <w:szCs w:val="22"/>
        </w:rPr>
      </w:pPr>
    </w:p>
    <w:p w14:paraId="49DFA1EE" w14:textId="2878057A" w:rsidR="00BB7B48" w:rsidRPr="004E0F1E" w:rsidRDefault="0004680B" w:rsidP="004E0F1E">
      <w:pPr>
        <w:ind w:left="851" w:right="-312"/>
        <w:rPr>
          <w:szCs w:val="22"/>
        </w:rPr>
      </w:pPr>
      <w:r w:rsidRPr="004E0F1E">
        <w:rPr>
          <w:rFonts w:eastAsiaTheme="majorEastAsia" w:cstheme="majorBidi"/>
          <w:i/>
          <w:kern w:val="28"/>
          <w:szCs w:val="22"/>
        </w:rPr>
        <w:lastRenderedPageBreak/>
        <w:t xml:space="preserve">“deseo conocer el documento que fundamenta y motiva la actuación de la directora escolar </w:t>
      </w:r>
      <w:proofErr w:type="spellStart"/>
      <w:r w:rsidRPr="004E0F1E">
        <w:rPr>
          <w:rFonts w:eastAsiaTheme="majorEastAsia" w:cstheme="majorBidi"/>
          <w:i/>
          <w:kern w:val="28"/>
          <w:szCs w:val="22"/>
        </w:rPr>
        <w:t>perama</w:t>
      </w:r>
      <w:proofErr w:type="spellEnd"/>
      <w:r w:rsidRPr="004E0F1E">
        <w:rPr>
          <w:rFonts w:eastAsiaTheme="majorEastAsia" w:cstheme="majorBidi"/>
          <w:i/>
          <w:kern w:val="28"/>
          <w:szCs w:val="22"/>
        </w:rPr>
        <w:t xml:space="preserve"> colín </w:t>
      </w:r>
      <w:proofErr w:type="spellStart"/>
      <w:r w:rsidRPr="004E0F1E">
        <w:rPr>
          <w:rFonts w:eastAsiaTheme="majorEastAsia" w:cstheme="majorBidi"/>
          <w:i/>
          <w:kern w:val="28"/>
          <w:szCs w:val="22"/>
        </w:rPr>
        <w:t>Martinez</w:t>
      </w:r>
      <w:proofErr w:type="spellEnd"/>
      <w:r w:rsidRPr="004E0F1E">
        <w:rPr>
          <w:rFonts w:eastAsiaTheme="majorEastAsia" w:cstheme="majorBidi"/>
          <w:i/>
          <w:kern w:val="28"/>
          <w:szCs w:val="22"/>
        </w:rPr>
        <w:t xml:space="preserve"> de la escuela primaria anexa a la normal de </w:t>
      </w:r>
      <w:proofErr w:type="spellStart"/>
      <w:r w:rsidRPr="004E0F1E">
        <w:rPr>
          <w:rFonts w:eastAsiaTheme="majorEastAsia" w:cstheme="majorBidi"/>
          <w:i/>
          <w:kern w:val="28"/>
          <w:szCs w:val="22"/>
        </w:rPr>
        <w:t>atlacomulco</w:t>
      </w:r>
      <w:proofErr w:type="spellEnd"/>
      <w:r w:rsidRPr="004E0F1E">
        <w:rPr>
          <w:rFonts w:eastAsiaTheme="majorEastAsia" w:cstheme="majorBidi"/>
          <w:i/>
          <w:kern w:val="28"/>
          <w:szCs w:val="22"/>
        </w:rPr>
        <w:t xml:space="preserve"> al permitir expresamente que la maestra </w:t>
      </w:r>
      <w:proofErr w:type="spellStart"/>
      <w:r w:rsidRPr="004E0F1E">
        <w:rPr>
          <w:rFonts w:eastAsiaTheme="majorEastAsia" w:cstheme="majorBidi"/>
          <w:i/>
          <w:kern w:val="28"/>
          <w:szCs w:val="22"/>
        </w:rPr>
        <w:t>claudia</w:t>
      </w:r>
      <w:proofErr w:type="spellEnd"/>
      <w:r w:rsidRPr="004E0F1E">
        <w:rPr>
          <w:rFonts w:eastAsiaTheme="majorEastAsia" w:cstheme="majorBidi"/>
          <w:i/>
          <w:kern w:val="28"/>
          <w:szCs w:val="22"/>
        </w:rPr>
        <w:t xml:space="preserve"> de segundo grado disponga de las </w:t>
      </w:r>
      <w:proofErr w:type="spellStart"/>
      <w:r w:rsidRPr="004E0F1E">
        <w:rPr>
          <w:rFonts w:eastAsiaTheme="majorEastAsia" w:cstheme="majorBidi"/>
          <w:i/>
          <w:kern w:val="28"/>
          <w:szCs w:val="22"/>
        </w:rPr>
        <w:t>laminas</w:t>
      </w:r>
      <w:proofErr w:type="spellEnd"/>
      <w:r w:rsidRPr="004E0F1E">
        <w:rPr>
          <w:rFonts w:eastAsiaTheme="majorEastAsia" w:cstheme="majorBidi"/>
          <w:i/>
          <w:kern w:val="28"/>
          <w:szCs w:val="22"/>
        </w:rPr>
        <w:t xml:space="preserve"> de policarbonato que fueron retiradas en la escuela y reemplazadas con nuevas laminas pagadas con recursos de gobierno del estado, que tipo de negociación existe entre la directora y la maestra mencionada y cuanto recibirá a cambio de entregarle las </w:t>
      </w:r>
      <w:proofErr w:type="spellStart"/>
      <w:r w:rsidRPr="004E0F1E">
        <w:rPr>
          <w:rFonts w:eastAsiaTheme="majorEastAsia" w:cstheme="majorBidi"/>
          <w:i/>
          <w:kern w:val="28"/>
          <w:szCs w:val="22"/>
        </w:rPr>
        <w:t>laminas</w:t>
      </w:r>
      <w:proofErr w:type="spellEnd"/>
      <w:r w:rsidRPr="004E0F1E">
        <w:rPr>
          <w:rFonts w:eastAsiaTheme="majorEastAsia" w:cstheme="majorBidi"/>
          <w:i/>
          <w:kern w:val="28"/>
          <w:szCs w:val="22"/>
        </w:rPr>
        <w:t xml:space="preserve"> retiradas del techo del pasillo escolar</w:t>
      </w:r>
      <w:r w:rsidR="0027446D" w:rsidRPr="004E0F1E">
        <w:rPr>
          <w:rFonts w:eastAsiaTheme="majorEastAsia" w:cstheme="majorBidi"/>
          <w:i/>
          <w:kern w:val="28"/>
          <w:szCs w:val="22"/>
        </w:rPr>
        <w:t>”</w:t>
      </w:r>
    </w:p>
    <w:p w14:paraId="211DB020" w14:textId="11EC69BF" w:rsidR="00BB7B48" w:rsidRPr="004E0F1E" w:rsidRDefault="00BB7B48" w:rsidP="004E0F1E">
      <w:pPr>
        <w:tabs>
          <w:tab w:val="left" w:pos="4667"/>
        </w:tabs>
        <w:ind w:right="-312"/>
        <w:rPr>
          <w:rFonts w:cs="Tahoma"/>
          <w:bCs/>
          <w:szCs w:val="22"/>
        </w:rPr>
      </w:pPr>
    </w:p>
    <w:p w14:paraId="3212BA4D" w14:textId="2C5F90E7" w:rsidR="00664420" w:rsidRPr="004E0F1E" w:rsidRDefault="0004680B" w:rsidP="004E0F1E">
      <w:pPr>
        <w:pStyle w:val="Ttulo3"/>
        <w:ind w:right="-312"/>
        <w:rPr>
          <w:szCs w:val="22"/>
        </w:rPr>
      </w:pPr>
      <w:bookmarkStart w:id="6" w:name="_Toc172748403"/>
      <w:r w:rsidRPr="004E0F1E">
        <w:rPr>
          <w:szCs w:val="22"/>
        </w:rPr>
        <w:t>b</w:t>
      </w:r>
      <w:r w:rsidR="000748DF" w:rsidRPr="004E0F1E">
        <w:rPr>
          <w:szCs w:val="22"/>
        </w:rPr>
        <w:t xml:space="preserve">) </w:t>
      </w:r>
      <w:r w:rsidR="00664420" w:rsidRPr="004E0F1E">
        <w:rPr>
          <w:szCs w:val="22"/>
          <w:lang w:val="es-ES"/>
        </w:rPr>
        <w:t xml:space="preserve">Respuesta </w:t>
      </w:r>
      <w:r w:rsidR="00664420" w:rsidRPr="004E0F1E">
        <w:rPr>
          <w:rFonts w:eastAsia="Calibri"/>
          <w:szCs w:val="22"/>
          <w:lang w:eastAsia="en-US"/>
        </w:rPr>
        <w:t>del Sujeto Obligado</w:t>
      </w:r>
      <w:bookmarkEnd w:id="6"/>
    </w:p>
    <w:p w14:paraId="79199CC1" w14:textId="5DE28588" w:rsidR="00664420" w:rsidRPr="004E0F1E" w:rsidRDefault="00664420" w:rsidP="004E0F1E">
      <w:pPr>
        <w:pStyle w:val="Sinespaciado"/>
        <w:spacing w:line="360" w:lineRule="auto"/>
        <w:ind w:right="-312"/>
        <w:rPr>
          <w:szCs w:val="22"/>
          <w:lang w:val="es-ES"/>
        </w:rPr>
      </w:pPr>
      <w:r w:rsidRPr="004E0F1E">
        <w:rPr>
          <w:szCs w:val="22"/>
          <w:lang w:val="es-ES"/>
        </w:rPr>
        <w:t xml:space="preserve">El </w:t>
      </w:r>
      <w:r w:rsidR="0004680B" w:rsidRPr="004E0F1E">
        <w:rPr>
          <w:rFonts w:eastAsia="Calibri" w:cs="Arial"/>
          <w:b/>
          <w:bCs/>
          <w:szCs w:val="22"/>
          <w:lang w:val="es-ES" w:eastAsia="en-US"/>
        </w:rPr>
        <w:t>once</w:t>
      </w:r>
      <w:r w:rsidR="009341B5" w:rsidRPr="004E0F1E">
        <w:rPr>
          <w:rFonts w:eastAsia="Calibri" w:cs="Arial"/>
          <w:b/>
          <w:bCs/>
          <w:szCs w:val="22"/>
          <w:lang w:val="es-ES" w:eastAsia="en-US"/>
        </w:rPr>
        <w:t xml:space="preserve"> de julio</w:t>
      </w:r>
      <w:r w:rsidR="000748DF" w:rsidRPr="004E0F1E">
        <w:rPr>
          <w:rFonts w:eastAsia="Calibri" w:cs="Arial"/>
          <w:b/>
          <w:bCs/>
          <w:szCs w:val="22"/>
          <w:lang w:val="es-ES" w:eastAsia="en-US"/>
        </w:rPr>
        <w:t xml:space="preserve"> </w:t>
      </w:r>
      <w:r w:rsidR="000748DF" w:rsidRPr="004E0F1E">
        <w:rPr>
          <w:rFonts w:eastAsia="Calibri" w:cs="Arial"/>
          <w:b/>
          <w:szCs w:val="22"/>
          <w:lang w:val="es-ES" w:eastAsia="en-US"/>
        </w:rPr>
        <w:t>de dos mil veinticuatro</w:t>
      </w:r>
      <w:r w:rsidR="00983EEF" w:rsidRPr="004E0F1E">
        <w:rPr>
          <w:b/>
          <w:szCs w:val="22"/>
          <w:lang w:val="es-ES"/>
        </w:rPr>
        <w:t xml:space="preserve">, </w:t>
      </w:r>
      <w:r w:rsidR="00F07EE6" w:rsidRPr="004E0F1E">
        <w:rPr>
          <w:szCs w:val="22"/>
          <w:lang w:val="es-ES"/>
        </w:rPr>
        <w:t>l</w:t>
      </w:r>
      <w:r w:rsidR="002268D4" w:rsidRPr="004E0F1E">
        <w:rPr>
          <w:szCs w:val="22"/>
          <w:lang w:val="es-ES"/>
        </w:rPr>
        <w:t>a</w:t>
      </w:r>
      <w:r w:rsidR="00F07EE6" w:rsidRPr="004E0F1E">
        <w:rPr>
          <w:szCs w:val="22"/>
          <w:lang w:val="es-ES"/>
        </w:rPr>
        <w:t xml:space="preserve"> Titular de la Unidad de Transparencia del </w:t>
      </w:r>
      <w:r w:rsidR="00F07EE6" w:rsidRPr="004E0F1E">
        <w:rPr>
          <w:b/>
          <w:szCs w:val="22"/>
          <w:lang w:val="es-ES"/>
        </w:rPr>
        <w:t>SUJETO OBLIGADO</w:t>
      </w:r>
      <w:r w:rsidR="00F07EE6" w:rsidRPr="004E0F1E">
        <w:rPr>
          <w:szCs w:val="22"/>
          <w:lang w:val="es-ES"/>
        </w:rPr>
        <w:t xml:space="preserve"> notificó la siguiente respuesta a través del </w:t>
      </w:r>
      <w:r w:rsidRPr="004E0F1E">
        <w:rPr>
          <w:szCs w:val="22"/>
          <w:lang w:val="es-ES"/>
        </w:rPr>
        <w:t>SAIMEX</w:t>
      </w:r>
      <w:r w:rsidR="00F07EE6" w:rsidRPr="004E0F1E">
        <w:rPr>
          <w:szCs w:val="22"/>
          <w:lang w:val="es-ES"/>
        </w:rPr>
        <w:t>:</w:t>
      </w:r>
    </w:p>
    <w:p w14:paraId="669F7EFD" w14:textId="77777777" w:rsidR="00664420" w:rsidRPr="004E0F1E" w:rsidRDefault="00664420" w:rsidP="004E0F1E">
      <w:pPr>
        <w:tabs>
          <w:tab w:val="left" w:pos="4667"/>
        </w:tabs>
        <w:ind w:left="567" w:right="-312"/>
        <w:rPr>
          <w:rFonts w:cs="Tahoma"/>
          <w:b/>
          <w:bCs/>
          <w:szCs w:val="22"/>
        </w:rPr>
      </w:pPr>
    </w:p>
    <w:p w14:paraId="485B92D5" w14:textId="77777777" w:rsidR="0004680B" w:rsidRPr="004E0F1E" w:rsidRDefault="0004680B" w:rsidP="004E0F1E">
      <w:pPr>
        <w:autoSpaceDE w:val="0"/>
        <w:autoSpaceDN w:val="0"/>
        <w:adjustRightInd w:val="0"/>
        <w:ind w:left="567" w:right="-312"/>
        <w:jc w:val="right"/>
        <w:rPr>
          <w:rFonts w:eastAsiaTheme="majorEastAsia" w:cstheme="majorBidi"/>
          <w:i/>
          <w:kern w:val="28"/>
          <w:szCs w:val="22"/>
        </w:rPr>
      </w:pPr>
      <w:r w:rsidRPr="004E0F1E">
        <w:rPr>
          <w:rFonts w:eastAsiaTheme="majorEastAsia" w:cstheme="majorBidi"/>
          <w:i/>
          <w:kern w:val="28"/>
          <w:szCs w:val="22"/>
        </w:rPr>
        <w:t>Folio de la solicitud: 00402/SECTI/IP/2024</w:t>
      </w:r>
    </w:p>
    <w:p w14:paraId="35AD8B83" w14:textId="77777777" w:rsidR="0004680B" w:rsidRPr="004E0F1E" w:rsidRDefault="0004680B" w:rsidP="004E0F1E">
      <w:pPr>
        <w:autoSpaceDE w:val="0"/>
        <w:autoSpaceDN w:val="0"/>
        <w:adjustRightInd w:val="0"/>
        <w:ind w:left="567" w:right="-312"/>
        <w:rPr>
          <w:rFonts w:eastAsiaTheme="majorEastAsia" w:cstheme="majorBidi"/>
          <w:i/>
          <w:kern w:val="28"/>
          <w:szCs w:val="22"/>
        </w:rPr>
      </w:pPr>
    </w:p>
    <w:p w14:paraId="7C1CE398" w14:textId="77777777" w:rsidR="0004680B" w:rsidRPr="004E0F1E" w:rsidRDefault="0004680B" w:rsidP="004E0F1E">
      <w:pPr>
        <w:autoSpaceDE w:val="0"/>
        <w:autoSpaceDN w:val="0"/>
        <w:adjustRightInd w:val="0"/>
        <w:ind w:left="567" w:right="-312"/>
        <w:rPr>
          <w:rFonts w:eastAsiaTheme="majorEastAsia" w:cstheme="majorBidi"/>
          <w:i/>
          <w:kern w:val="28"/>
          <w:szCs w:val="22"/>
        </w:rPr>
      </w:pPr>
      <w:r w:rsidRPr="004E0F1E">
        <w:rPr>
          <w:rFonts w:eastAsiaTheme="majorEastAsia" w:cstheme="majorBidi"/>
          <w:i/>
          <w:kern w:val="28"/>
          <w:szCs w:val="22"/>
        </w:rPr>
        <w:t>Con fundamento en los artículos 53 fracciones II, V y VI y 163 de la Ley de Transparencia y Acceso a la Información Pública del Estado de México y Municipios, en respuesta a su solicitud de información se adjunta el Acuerdo de respuesta de fecha once de julio de dos mil veinticuatro.</w:t>
      </w:r>
    </w:p>
    <w:p w14:paraId="30E3FEAA" w14:textId="77777777" w:rsidR="0004680B" w:rsidRPr="004E0F1E" w:rsidRDefault="0004680B" w:rsidP="004E0F1E">
      <w:pPr>
        <w:autoSpaceDE w:val="0"/>
        <w:autoSpaceDN w:val="0"/>
        <w:adjustRightInd w:val="0"/>
        <w:ind w:left="567" w:right="-312"/>
        <w:rPr>
          <w:rFonts w:eastAsiaTheme="majorEastAsia" w:cstheme="majorBidi"/>
          <w:i/>
          <w:kern w:val="28"/>
          <w:szCs w:val="22"/>
        </w:rPr>
      </w:pPr>
    </w:p>
    <w:p w14:paraId="7B5445D6" w14:textId="77777777" w:rsidR="0004680B" w:rsidRPr="004E0F1E" w:rsidRDefault="0004680B" w:rsidP="004E0F1E">
      <w:pPr>
        <w:autoSpaceDE w:val="0"/>
        <w:autoSpaceDN w:val="0"/>
        <w:adjustRightInd w:val="0"/>
        <w:ind w:left="567" w:right="-312"/>
        <w:rPr>
          <w:rFonts w:eastAsiaTheme="majorEastAsia" w:cstheme="majorBidi"/>
          <w:i/>
          <w:kern w:val="28"/>
          <w:szCs w:val="22"/>
        </w:rPr>
      </w:pPr>
      <w:r w:rsidRPr="004E0F1E">
        <w:rPr>
          <w:rFonts w:eastAsiaTheme="majorEastAsia" w:cstheme="majorBidi"/>
          <w:i/>
          <w:kern w:val="28"/>
          <w:szCs w:val="22"/>
        </w:rPr>
        <w:t>ATENTAMENTE</w:t>
      </w:r>
    </w:p>
    <w:p w14:paraId="75642CED" w14:textId="6B081A40" w:rsidR="000748DF" w:rsidRPr="004E0F1E" w:rsidRDefault="0004680B" w:rsidP="004E0F1E">
      <w:pPr>
        <w:autoSpaceDE w:val="0"/>
        <w:autoSpaceDN w:val="0"/>
        <w:adjustRightInd w:val="0"/>
        <w:ind w:left="567" w:right="-312"/>
        <w:rPr>
          <w:rFonts w:eastAsiaTheme="majorEastAsia" w:cstheme="majorBidi"/>
          <w:i/>
          <w:kern w:val="28"/>
          <w:szCs w:val="22"/>
        </w:rPr>
      </w:pPr>
      <w:r w:rsidRPr="004E0F1E">
        <w:rPr>
          <w:rFonts w:eastAsiaTheme="majorEastAsia" w:cstheme="majorBidi"/>
          <w:i/>
          <w:kern w:val="28"/>
          <w:szCs w:val="22"/>
        </w:rPr>
        <w:t>L.D. Rodrigo Ulises Rojas Muñoz</w:t>
      </w:r>
    </w:p>
    <w:p w14:paraId="33C8A878" w14:textId="77777777" w:rsidR="0027446D" w:rsidRPr="004E0F1E" w:rsidRDefault="0027446D" w:rsidP="004E0F1E">
      <w:pPr>
        <w:autoSpaceDE w:val="0"/>
        <w:autoSpaceDN w:val="0"/>
        <w:adjustRightInd w:val="0"/>
        <w:ind w:right="-312"/>
        <w:rPr>
          <w:rFonts w:cs="Tahoma"/>
          <w:bCs/>
          <w:szCs w:val="22"/>
        </w:rPr>
      </w:pPr>
    </w:p>
    <w:p w14:paraId="7DCEB115" w14:textId="0191006B" w:rsidR="000C5109" w:rsidRPr="004E0F1E" w:rsidRDefault="00F07EE6" w:rsidP="004E0F1E">
      <w:pPr>
        <w:autoSpaceDE w:val="0"/>
        <w:autoSpaceDN w:val="0"/>
        <w:adjustRightInd w:val="0"/>
        <w:ind w:right="-312"/>
        <w:rPr>
          <w:rFonts w:cs="Tahoma"/>
          <w:bCs/>
          <w:szCs w:val="22"/>
          <w:lang w:val="es-ES"/>
        </w:rPr>
      </w:pPr>
      <w:r w:rsidRPr="004E0F1E">
        <w:rPr>
          <w:rFonts w:cs="Tahoma"/>
          <w:bCs/>
          <w:szCs w:val="22"/>
          <w:lang w:val="es-ES"/>
        </w:rPr>
        <w:t xml:space="preserve">Asimismo, </w:t>
      </w:r>
      <w:r w:rsidRPr="004E0F1E">
        <w:rPr>
          <w:rFonts w:cs="Tahoma"/>
          <w:b/>
          <w:szCs w:val="22"/>
          <w:lang w:val="es-ES"/>
        </w:rPr>
        <w:t xml:space="preserve">EL SUJETO OBLIGADO </w:t>
      </w:r>
      <w:r w:rsidRPr="004E0F1E">
        <w:rPr>
          <w:rFonts w:cs="Tahoma"/>
          <w:bCs/>
          <w:szCs w:val="22"/>
          <w:lang w:val="es-ES"/>
        </w:rPr>
        <w:t xml:space="preserve">adjuntó a su respuesta </w:t>
      </w:r>
      <w:r w:rsidR="0004680B" w:rsidRPr="004E0F1E">
        <w:rPr>
          <w:rFonts w:cs="Tahoma"/>
          <w:bCs/>
          <w:szCs w:val="22"/>
          <w:lang w:val="es-ES"/>
        </w:rPr>
        <w:t>el</w:t>
      </w:r>
      <w:r w:rsidR="004252F1" w:rsidRPr="004E0F1E">
        <w:rPr>
          <w:rFonts w:cs="Tahoma"/>
          <w:bCs/>
          <w:szCs w:val="22"/>
          <w:lang w:val="es-ES"/>
        </w:rPr>
        <w:t xml:space="preserve"> </w:t>
      </w:r>
      <w:r w:rsidRPr="004E0F1E">
        <w:rPr>
          <w:rFonts w:cs="Tahoma"/>
          <w:bCs/>
          <w:szCs w:val="22"/>
          <w:lang w:val="es-ES"/>
        </w:rPr>
        <w:t>archivo electrónico</w:t>
      </w:r>
      <w:r w:rsidR="0004680B" w:rsidRPr="004E0F1E">
        <w:rPr>
          <w:rFonts w:cs="Tahoma"/>
          <w:bCs/>
          <w:szCs w:val="22"/>
          <w:lang w:val="es-ES"/>
        </w:rPr>
        <w:t xml:space="preserve"> siguiente</w:t>
      </w:r>
      <w:r w:rsidR="000C5109" w:rsidRPr="004E0F1E">
        <w:rPr>
          <w:rFonts w:cs="Tahoma"/>
          <w:bCs/>
          <w:szCs w:val="22"/>
          <w:lang w:val="es-ES"/>
        </w:rPr>
        <w:t>:</w:t>
      </w:r>
    </w:p>
    <w:p w14:paraId="45FC75DA" w14:textId="77777777" w:rsidR="000C5109" w:rsidRPr="004E0F1E" w:rsidRDefault="000C5109" w:rsidP="004E0F1E">
      <w:pPr>
        <w:autoSpaceDE w:val="0"/>
        <w:autoSpaceDN w:val="0"/>
        <w:adjustRightInd w:val="0"/>
        <w:ind w:right="-312"/>
        <w:rPr>
          <w:rFonts w:cs="Tahoma"/>
          <w:bCs/>
          <w:szCs w:val="22"/>
          <w:lang w:val="es-ES"/>
        </w:rPr>
      </w:pPr>
    </w:p>
    <w:p w14:paraId="06B960DB" w14:textId="77777777" w:rsidR="0004680B" w:rsidRPr="004E0F1E" w:rsidRDefault="0004680B" w:rsidP="004E0F1E">
      <w:pPr>
        <w:pStyle w:val="Prrafodelista"/>
        <w:numPr>
          <w:ilvl w:val="0"/>
          <w:numId w:val="1"/>
        </w:numPr>
        <w:autoSpaceDE w:val="0"/>
        <w:autoSpaceDN w:val="0"/>
        <w:adjustRightInd w:val="0"/>
        <w:ind w:right="-312"/>
        <w:rPr>
          <w:rFonts w:cs="Tahoma"/>
          <w:b/>
          <w:i/>
          <w:iCs/>
          <w:szCs w:val="22"/>
          <w:lang w:val="es-ES"/>
        </w:rPr>
      </w:pPr>
      <w:r w:rsidRPr="004E0F1E">
        <w:rPr>
          <w:rFonts w:cs="Tahoma"/>
          <w:b/>
          <w:i/>
          <w:iCs/>
          <w:szCs w:val="22"/>
          <w:lang w:val="es-ES"/>
        </w:rPr>
        <w:lastRenderedPageBreak/>
        <w:t xml:space="preserve">RESPUESTA_UT_402.pdf </w:t>
      </w:r>
    </w:p>
    <w:p w14:paraId="6296215A" w14:textId="2E97799B" w:rsidR="000C5109" w:rsidRPr="004E0F1E" w:rsidRDefault="0004680B" w:rsidP="004E0F1E">
      <w:pPr>
        <w:autoSpaceDE w:val="0"/>
        <w:autoSpaceDN w:val="0"/>
        <w:adjustRightInd w:val="0"/>
        <w:ind w:left="567" w:right="-312"/>
        <w:rPr>
          <w:rFonts w:cs="Tahoma"/>
          <w:bCs/>
          <w:szCs w:val="22"/>
          <w:lang w:val="es-ES"/>
        </w:rPr>
      </w:pPr>
      <w:r w:rsidRPr="004E0F1E">
        <w:rPr>
          <w:rFonts w:cs="Tahoma"/>
          <w:bCs/>
          <w:szCs w:val="22"/>
          <w:lang w:val="es-ES"/>
        </w:rPr>
        <w:t>Archivo constante de 3</w:t>
      </w:r>
      <w:r w:rsidR="000C5109" w:rsidRPr="004E0F1E">
        <w:rPr>
          <w:rFonts w:cs="Tahoma"/>
          <w:bCs/>
          <w:szCs w:val="22"/>
          <w:lang w:val="es-ES"/>
        </w:rPr>
        <w:t xml:space="preserve"> páginas, en la que se contiene el oficio </w:t>
      </w:r>
      <w:r w:rsidRPr="004E0F1E">
        <w:rPr>
          <w:rFonts w:cs="Tahoma"/>
          <w:bCs/>
          <w:szCs w:val="22"/>
          <w:lang w:val="es-ES"/>
        </w:rPr>
        <w:t>22800007010000S/1247/UT/2024,</w:t>
      </w:r>
      <w:r w:rsidR="000C5109" w:rsidRPr="004E0F1E">
        <w:rPr>
          <w:rFonts w:cs="Tahoma"/>
          <w:bCs/>
          <w:szCs w:val="22"/>
          <w:lang w:val="es-ES"/>
        </w:rPr>
        <w:t xml:space="preserve"> de fecha 1</w:t>
      </w:r>
      <w:r w:rsidRPr="004E0F1E">
        <w:rPr>
          <w:rFonts w:cs="Tahoma"/>
          <w:bCs/>
          <w:szCs w:val="22"/>
          <w:lang w:val="es-ES"/>
        </w:rPr>
        <w:t>1</w:t>
      </w:r>
      <w:r w:rsidR="000C5109" w:rsidRPr="004E0F1E">
        <w:rPr>
          <w:rFonts w:cs="Tahoma"/>
          <w:bCs/>
          <w:szCs w:val="22"/>
          <w:lang w:val="es-ES"/>
        </w:rPr>
        <w:t xml:space="preserve"> de julio de 2024, dirigido al </w:t>
      </w:r>
      <w:r w:rsidR="00E222B9" w:rsidRPr="004E0F1E">
        <w:rPr>
          <w:rFonts w:cs="Tahoma"/>
          <w:bCs/>
          <w:szCs w:val="22"/>
          <w:lang w:val="es-ES"/>
        </w:rPr>
        <w:t>solicitante</w:t>
      </w:r>
      <w:r w:rsidR="000C5109" w:rsidRPr="004E0F1E">
        <w:rPr>
          <w:rFonts w:cs="Tahoma"/>
          <w:bCs/>
          <w:szCs w:val="22"/>
          <w:lang w:val="es-ES"/>
        </w:rPr>
        <w:t xml:space="preserve">, suscrito por </w:t>
      </w:r>
      <w:r w:rsidR="00E222B9" w:rsidRPr="004E0F1E">
        <w:rPr>
          <w:rFonts w:cs="Tahoma"/>
          <w:bCs/>
          <w:szCs w:val="22"/>
          <w:lang w:val="es-ES"/>
        </w:rPr>
        <w:t>el Titular de la Unidad</w:t>
      </w:r>
      <w:r w:rsidR="000C5109" w:rsidRPr="004E0F1E">
        <w:rPr>
          <w:rFonts w:cs="Tahoma"/>
          <w:bCs/>
          <w:szCs w:val="22"/>
          <w:lang w:val="es-ES"/>
        </w:rPr>
        <w:t xml:space="preserve">, en el que le indica </w:t>
      </w:r>
      <w:r w:rsidR="00F51674" w:rsidRPr="004E0F1E">
        <w:rPr>
          <w:rFonts w:cs="Tahoma"/>
          <w:bCs/>
          <w:szCs w:val="22"/>
          <w:lang w:val="es-ES"/>
        </w:rPr>
        <w:t>que en la información se observa en primer lugar fue formulada a través de planteamientos, donde no se identifica un planteamiento en específico, además de que se vierten manifestaciones subjetivas, y realiza la orientación atendiendo a la interpretación gramatical de la solicitud a la Secretaría de la contraloría proporcionándole un link en formato cerrado.</w:t>
      </w:r>
    </w:p>
    <w:p w14:paraId="6F90CFC9" w14:textId="77777777" w:rsidR="007857F0" w:rsidRPr="004E0F1E" w:rsidRDefault="007857F0" w:rsidP="004E0F1E">
      <w:pPr>
        <w:autoSpaceDE w:val="0"/>
        <w:autoSpaceDN w:val="0"/>
        <w:adjustRightInd w:val="0"/>
        <w:ind w:left="1287" w:right="-312"/>
        <w:rPr>
          <w:rFonts w:cs="Tahoma"/>
          <w:bCs/>
          <w:szCs w:val="22"/>
          <w:lang w:val="es-ES"/>
        </w:rPr>
      </w:pPr>
    </w:p>
    <w:p w14:paraId="5A5DAB9E" w14:textId="77777777" w:rsidR="00E37A3F" w:rsidRPr="004E0F1E" w:rsidRDefault="00E37A3F" w:rsidP="004E0F1E">
      <w:pPr>
        <w:pStyle w:val="Ttulo2"/>
        <w:ind w:right="-312"/>
        <w:jc w:val="left"/>
        <w:rPr>
          <w:szCs w:val="22"/>
        </w:rPr>
      </w:pPr>
      <w:bookmarkStart w:id="7" w:name="_Toc172748404"/>
      <w:r w:rsidRPr="004E0F1E">
        <w:rPr>
          <w:szCs w:val="22"/>
        </w:rPr>
        <w:t>DEL RECURSO DE REVISIÓN</w:t>
      </w:r>
      <w:bookmarkEnd w:id="7"/>
    </w:p>
    <w:p w14:paraId="2B216813" w14:textId="61ADBB2B" w:rsidR="00664420" w:rsidRPr="004E0F1E" w:rsidRDefault="006E25BC" w:rsidP="004E0F1E">
      <w:pPr>
        <w:pStyle w:val="Ttulo3"/>
        <w:ind w:right="-312"/>
        <w:rPr>
          <w:szCs w:val="22"/>
        </w:rPr>
      </w:pPr>
      <w:bookmarkStart w:id="8" w:name="_Toc172748405"/>
      <w:r w:rsidRPr="004E0F1E">
        <w:rPr>
          <w:szCs w:val="22"/>
        </w:rPr>
        <w:t xml:space="preserve">a) </w:t>
      </w:r>
      <w:r w:rsidR="00664420" w:rsidRPr="004E0F1E">
        <w:rPr>
          <w:szCs w:val="22"/>
        </w:rPr>
        <w:t>Interposición del Recurso de Revisión</w:t>
      </w:r>
      <w:bookmarkEnd w:id="8"/>
    </w:p>
    <w:p w14:paraId="6279C622" w14:textId="0420E8DC" w:rsidR="00664420" w:rsidRPr="004E0F1E" w:rsidRDefault="00664420" w:rsidP="004E0F1E">
      <w:pPr>
        <w:autoSpaceDE w:val="0"/>
        <w:autoSpaceDN w:val="0"/>
        <w:adjustRightInd w:val="0"/>
        <w:ind w:right="-312"/>
        <w:rPr>
          <w:rFonts w:cs="Tahoma"/>
          <w:szCs w:val="22"/>
        </w:rPr>
      </w:pPr>
      <w:r w:rsidRPr="004E0F1E">
        <w:rPr>
          <w:rFonts w:cs="Tahoma"/>
          <w:szCs w:val="22"/>
        </w:rPr>
        <w:t xml:space="preserve">El </w:t>
      </w:r>
      <w:r w:rsidR="0009597C" w:rsidRPr="004E0F1E">
        <w:rPr>
          <w:rFonts w:cs="Tahoma"/>
          <w:b/>
          <w:bCs/>
          <w:szCs w:val="22"/>
        </w:rPr>
        <w:t>cinco de agosto</w:t>
      </w:r>
      <w:r w:rsidRPr="004E0F1E">
        <w:rPr>
          <w:rFonts w:cs="Tahoma"/>
          <w:b/>
          <w:bCs/>
          <w:szCs w:val="22"/>
        </w:rPr>
        <w:t xml:space="preserve"> de dos mil </w:t>
      </w:r>
      <w:r w:rsidR="00E810F7" w:rsidRPr="004E0F1E">
        <w:rPr>
          <w:rFonts w:cs="Tahoma"/>
          <w:b/>
          <w:bCs/>
          <w:szCs w:val="22"/>
        </w:rPr>
        <w:t>veinticuatro</w:t>
      </w:r>
      <w:r w:rsidR="00103867" w:rsidRPr="004E0F1E">
        <w:rPr>
          <w:rFonts w:cs="Tahoma"/>
          <w:b/>
          <w:bCs/>
          <w:szCs w:val="22"/>
        </w:rPr>
        <w:t>,</w:t>
      </w:r>
      <w:r w:rsidRPr="004E0F1E">
        <w:rPr>
          <w:rFonts w:cs="Tahoma"/>
          <w:szCs w:val="22"/>
        </w:rPr>
        <w:t xml:space="preserve"> </w:t>
      </w:r>
      <w:r w:rsidR="00F75D23" w:rsidRPr="004E0F1E">
        <w:rPr>
          <w:rFonts w:cs="Tahoma"/>
          <w:b/>
          <w:bCs/>
          <w:szCs w:val="22"/>
        </w:rPr>
        <w:t>LA PARTE RECURRENTE</w:t>
      </w:r>
      <w:r w:rsidR="00F75D23" w:rsidRPr="004E0F1E">
        <w:rPr>
          <w:rFonts w:cs="Tahoma"/>
          <w:szCs w:val="22"/>
        </w:rPr>
        <w:t xml:space="preserve"> interpuso el recurso de revisión en contra de la respuesta emitida por </w:t>
      </w:r>
      <w:r w:rsidR="003E6101" w:rsidRPr="004E0F1E">
        <w:rPr>
          <w:rFonts w:cs="Tahoma"/>
          <w:b/>
          <w:bCs/>
          <w:szCs w:val="22"/>
        </w:rPr>
        <w:t>EL</w:t>
      </w:r>
      <w:r w:rsidR="003E6101" w:rsidRPr="004E0F1E">
        <w:rPr>
          <w:rFonts w:cs="Tahoma"/>
          <w:szCs w:val="22"/>
        </w:rPr>
        <w:t xml:space="preserve"> </w:t>
      </w:r>
      <w:r w:rsidR="00F75D23" w:rsidRPr="004E0F1E">
        <w:rPr>
          <w:rFonts w:cs="Tahoma"/>
          <w:b/>
          <w:bCs/>
          <w:szCs w:val="22"/>
        </w:rPr>
        <w:t>SUJETO OBLIGADO</w:t>
      </w:r>
      <w:r w:rsidR="00953430" w:rsidRPr="004E0F1E">
        <w:rPr>
          <w:rFonts w:cs="Tahoma"/>
          <w:szCs w:val="22"/>
        </w:rPr>
        <w:t xml:space="preserve">, mismo que fue registrado en el SAIMEX con el número de expediente </w:t>
      </w:r>
      <w:r w:rsidR="0004680B" w:rsidRPr="004E0F1E">
        <w:rPr>
          <w:rFonts w:cs="Tahoma"/>
          <w:b/>
          <w:bCs/>
          <w:szCs w:val="22"/>
        </w:rPr>
        <w:t>04692/INFOEM/IP/RR/2024</w:t>
      </w:r>
      <w:r w:rsidR="00953430" w:rsidRPr="004E0F1E">
        <w:rPr>
          <w:rFonts w:cs="Tahoma"/>
          <w:szCs w:val="22"/>
        </w:rPr>
        <w:t>, y en el cual manifiesta lo siguiente</w:t>
      </w:r>
      <w:r w:rsidRPr="004E0F1E">
        <w:rPr>
          <w:rFonts w:cs="Tahoma"/>
          <w:szCs w:val="22"/>
        </w:rPr>
        <w:t>:</w:t>
      </w:r>
    </w:p>
    <w:p w14:paraId="74B30008" w14:textId="77777777" w:rsidR="00664420" w:rsidRPr="004E0F1E" w:rsidRDefault="00664420" w:rsidP="004E0F1E">
      <w:pPr>
        <w:tabs>
          <w:tab w:val="left" w:pos="4667"/>
        </w:tabs>
        <w:ind w:right="-312"/>
        <w:rPr>
          <w:rFonts w:cs="Tahoma"/>
          <w:szCs w:val="22"/>
        </w:rPr>
      </w:pPr>
    </w:p>
    <w:p w14:paraId="12153283" w14:textId="77777777" w:rsidR="00664420" w:rsidRPr="004E0F1E" w:rsidRDefault="00664420" w:rsidP="004E0F1E">
      <w:pPr>
        <w:tabs>
          <w:tab w:val="left" w:pos="4667"/>
        </w:tabs>
        <w:ind w:left="567" w:right="-312"/>
        <w:rPr>
          <w:rFonts w:cs="Tahoma"/>
          <w:b/>
          <w:iCs/>
          <w:szCs w:val="22"/>
        </w:rPr>
      </w:pPr>
      <w:r w:rsidRPr="004E0F1E">
        <w:rPr>
          <w:rFonts w:cs="Tahoma"/>
          <w:b/>
          <w:iCs/>
          <w:szCs w:val="22"/>
        </w:rPr>
        <w:t>ACTO IMPUGNADO</w:t>
      </w:r>
      <w:r w:rsidRPr="004E0F1E">
        <w:rPr>
          <w:rFonts w:cs="Tahoma"/>
          <w:b/>
          <w:iCs/>
          <w:szCs w:val="22"/>
        </w:rPr>
        <w:tab/>
      </w:r>
    </w:p>
    <w:p w14:paraId="6AE8EA9A" w14:textId="785C2A10" w:rsidR="00664420" w:rsidRPr="004E0F1E" w:rsidRDefault="00F51674" w:rsidP="004E0F1E">
      <w:pPr>
        <w:tabs>
          <w:tab w:val="left" w:pos="4667"/>
        </w:tabs>
        <w:ind w:left="567" w:right="-312"/>
        <w:rPr>
          <w:rFonts w:cs="Tahoma"/>
          <w:bCs/>
          <w:i/>
          <w:szCs w:val="22"/>
        </w:rPr>
      </w:pPr>
      <w:proofErr w:type="gramStart"/>
      <w:r w:rsidRPr="004E0F1E">
        <w:rPr>
          <w:rFonts w:cs="Tahoma"/>
          <w:bCs/>
          <w:i/>
          <w:szCs w:val="22"/>
        </w:rPr>
        <w:t>la</w:t>
      </w:r>
      <w:proofErr w:type="gramEnd"/>
      <w:r w:rsidRPr="004E0F1E">
        <w:rPr>
          <w:rFonts w:cs="Tahoma"/>
          <w:bCs/>
          <w:i/>
          <w:szCs w:val="22"/>
        </w:rPr>
        <w:t xml:space="preserve"> respuesta del sujeto obligado</w:t>
      </w:r>
    </w:p>
    <w:p w14:paraId="6238FEEF" w14:textId="77777777" w:rsidR="005856CA" w:rsidRPr="004E0F1E" w:rsidRDefault="005856CA" w:rsidP="004E0F1E">
      <w:pPr>
        <w:tabs>
          <w:tab w:val="left" w:pos="4667"/>
        </w:tabs>
        <w:ind w:left="567" w:right="-312"/>
        <w:rPr>
          <w:rFonts w:cs="Tahoma"/>
          <w:b/>
          <w:iCs/>
          <w:szCs w:val="22"/>
        </w:rPr>
      </w:pPr>
    </w:p>
    <w:p w14:paraId="047D036B" w14:textId="77777777" w:rsidR="00664420" w:rsidRPr="004E0F1E" w:rsidRDefault="00664420" w:rsidP="004E0F1E">
      <w:pPr>
        <w:tabs>
          <w:tab w:val="left" w:pos="4667"/>
        </w:tabs>
        <w:ind w:left="567" w:right="-312"/>
        <w:rPr>
          <w:rFonts w:cs="Tahoma"/>
          <w:b/>
          <w:iCs/>
          <w:szCs w:val="22"/>
        </w:rPr>
      </w:pPr>
      <w:r w:rsidRPr="004E0F1E">
        <w:rPr>
          <w:rFonts w:cs="Tahoma"/>
          <w:b/>
          <w:iCs/>
          <w:szCs w:val="22"/>
        </w:rPr>
        <w:t>RAZONES O MOTIVOS DE LA INCONFORMIDAD</w:t>
      </w:r>
      <w:r w:rsidRPr="004E0F1E">
        <w:rPr>
          <w:rFonts w:cs="Tahoma"/>
          <w:b/>
          <w:iCs/>
          <w:szCs w:val="22"/>
        </w:rPr>
        <w:tab/>
      </w:r>
    </w:p>
    <w:p w14:paraId="48FE75EA" w14:textId="40BC1DE8" w:rsidR="00664420" w:rsidRPr="004E0F1E" w:rsidRDefault="00F51674" w:rsidP="004E0F1E">
      <w:pPr>
        <w:tabs>
          <w:tab w:val="left" w:pos="4667"/>
        </w:tabs>
        <w:ind w:left="567" w:right="-312"/>
        <w:rPr>
          <w:rFonts w:cs="Tahoma"/>
          <w:bCs/>
          <w:i/>
          <w:szCs w:val="22"/>
        </w:rPr>
      </w:pPr>
      <w:proofErr w:type="gramStart"/>
      <w:r w:rsidRPr="004E0F1E">
        <w:rPr>
          <w:rFonts w:cs="Tahoma"/>
          <w:bCs/>
          <w:i/>
          <w:szCs w:val="22"/>
        </w:rPr>
        <w:t>la</w:t>
      </w:r>
      <w:proofErr w:type="gramEnd"/>
      <w:r w:rsidRPr="004E0F1E">
        <w:rPr>
          <w:rFonts w:cs="Tahoma"/>
          <w:bCs/>
          <w:i/>
          <w:szCs w:val="22"/>
        </w:rPr>
        <w:t xml:space="preserve"> solicitud se basa en el acceso al documento base normativo que faculte a la directora escolar para disponer del patrimonio escolar y negocie internamente con esta maestra sobre dichos recursos su respuesta no garantiza el derecho de acceso a la información </w:t>
      </w:r>
      <w:proofErr w:type="spellStart"/>
      <w:r w:rsidRPr="004E0F1E">
        <w:rPr>
          <w:rFonts w:cs="Tahoma"/>
          <w:bCs/>
          <w:i/>
          <w:szCs w:val="22"/>
        </w:rPr>
        <w:t>publica</w:t>
      </w:r>
      <w:proofErr w:type="spellEnd"/>
      <w:r w:rsidRPr="004E0F1E">
        <w:rPr>
          <w:rFonts w:cs="Tahoma"/>
          <w:bCs/>
          <w:i/>
          <w:szCs w:val="22"/>
        </w:rPr>
        <w:t xml:space="preserve"> puesto que la </w:t>
      </w:r>
      <w:r w:rsidRPr="004E0F1E">
        <w:rPr>
          <w:rFonts w:cs="Tahoma"/>
          <w:bCs/>
          <w:i/>
          <w:szCs w:val="22"/>
        </w:rPr>
        <w:lastRenderedPageBreak/>
        <w:t>solicitud no se basa en cuestiones subjetivas sino en hechos o practicas realizadas por la directora y la maestra de esa institución que deben estar soportadas en un documento</w:t>
      </w:r>
    </w:p>
    <w:p w14:paraId="2E9269BF" w14:textId="41EF7FA8" w:rsidR="00FD4F13" w:rsidRPr="004E0F1E" w:rsidRDefault="00FD4F13" w:rsidP="004E0F1E">
      <w:pPr>
        <w:tabs>
          <w:tab w:val="left" w:pos="4667"/>
        </w:tabs>
        <w:ind w:right="-312"/>
        <w:rPr>
          <w:rFonts w:cs="Tahoma"/>
          <w:b/>
          <w:bCs/>
          <w:szCs w:val="22"/>
        </w:rPr>
      </w:pPr>
    </w:p>
    <w:p w14:paraId="6804DEF1" w14:textId="3C4F6CB5" w:rsidR="00664420" w:rsidRPr="004E0F1E" w:rsidRDefault="006E25BC" w:rsidP="004E0F1E">
      <w:pPr>
        <w:pStyle w:val="Ttulo3"/>
        <w:ind w:right="-312"/>
        <w:rPr>
          <w:szCs w:val="22"/>
        </w:rPr>
      </w:pPr>
      <w:bookmarkStart w:id="9" w:name="_Toc172748406"/>
      <w:r w:rsidRPr="004E0F1E">
        <w:rPr>
          <w:szCs w:val="22"/>
        </w:rPr>
        <w:t>b</w:t>
      </w:r>
      <w:r w:rsidR="00664420" w:rsidRPr="004E0F1E">
        <w:rPr>
          <w:szCs w:val="22"/>
        </w:rPr>
        <w:t>) Turno del Recurso de Revisión</w:t>
      </w:r>
      <w:bookmarkEnd w:id="9"/>
    </w:p>
    <w:p w14:paraId="1173671B" w14:textId="0CAA266D" w:rsidR="00C72DAA" w:rsidRPr="004E0F1E" w:rsidRDefault="00C72DAA" w:rsidP="004E0F1E">
      <w:pPr>
        <w:ind w:right="-312"/>
        <w:rPr>
          <w:szCs w:val="22"/>
        </w:rPr>
      </w:pPr>
      <w:r w:rsidRPr="004E0F1E">
        <w:rPr>
          <w:szCs w:val="22"/>
        </w:rPr>
        <w:t>Con fundamento en el artículo 185, fracción I de la Ley de Transparencia y Acceso a la Información Pública del Estado de México y Municipios, el</w:t>
      </w:r>
      <w:r w:rsidRPr="004E0F1E">
        <w:rPr>
          <w:b/>
          <w:bCs/>
          <w:szCs w:val="22"/>
        </w:rPr>
        <w:t xml:space="preserve"> </w:t>
      </w:r>
      <w:r w:rsidR="0097209B" w:rsidRPr="004E0F1E">
        <w:rPr>
          <w:rFonts w:cs="Tahoma"/>
          <w:b/>
          <w:bCs/>
          <w:szCs w:val="22"/>
        </w:rPr>
        <w:t>cinco de agosto</w:t>
      </w:r>
      <w:r w:rsidR="004252F1" w:rsidRPr="004E0F1E">
        <w:rPr>
          <w:rFonts w:cs="Tahoma"/>
          <w:b/>
          <w:bCs/>
          <w:szCs w:val="22"/>
        </w:rPr>
        <w:t xml:space="preserve"> de dos mil veinticuatro</w:t>
      </w:r>
      <w:r w:rsidR="0057766A" w:rsidRPr="004E0F1E">
        <w:rPr>
          <w:rFonts w:cs="Tahoma"/>
          <w:b/>
          <w:bCs/>
          <w:szCs w:val="22"/>
        </w:rPr>
        <w:t>,</w:t>
      </w:r>
      <w:r w:rsidRPr="004E0F1E">
        <w:rPr>
          <w:szCs w:val="22"/>
        </w:rPr>
        <w:t xml:space="preserve"> se turnó el recurso de revisión a través del</w:t>
      </w:r>
      <w:r w:rsidRPr="004E0F1E">
        <w:rPr>
          <w:rFonts w:eastAsia="Arial Unicode MS"/>
          <w:szCs w:val="22"/>
        </w:rPr>
        <w:t xml:space="preserve"> </w:t>
      </w:r>
      <w:r w:rsidRPr="004E0F1E">
        <w:rPr>
          <w:rFonts w:eastAsia="Arial Unicode MS"/>
          <w:bCs/>
          <w:szCs w:val="22"/>
        </w:rPr>
        <w:t>SAIMEX</w:t>
      </w:r>
      <w:r w:rsidRPr="004E0F1E">
        <w:rPr>
          <w:szCs w:val="22"/>
        </w:rPr>
        <w:t xml:space="preserve"> a la </w:t>
      </w:r>
      <w:r w:rsidRPr="004E0F1E">
        <w:rPr>
          <w:b/>
          <w:szCs w:val="22"/>
        </w:rPr>
        <w:t>Comisionada Sharon Cristina Morales Martínez</w:t>
      </w:r>
      <w:r w:rsidRPr="004E0F1E">
        <w:rPr>
          <w:bCs/>
          <w:szCs w:val="22"/>
        </w:rPr>
        <w:t xml:space="preserve">, </w:t>
      </w:r>
      <w:r w:rsidRPr="004E0F1E">
        <w:rPr>
          <w:szCs w:val="22"/>
        </w:rPr>
        <w:t xml:space="preserve">a efecto de decretar su admisión o desechamiento. </w:t>
      </w:r>
    </w:p>
    <w:p w14:paraId="18F305CB" w14:textId="77777777" w:rsidR="00664420" w:rsidRPr="004E0F1E" w:rsidRDefault="00664420" w:rsidP="004E0F1E">
      <w:pPr>
        <w:ind w:right="-312"/>
        <w:rPr>
          <w:rFonts w:eastAsia="Batang" w:cs="Tahoma"/>
          <w:bCs/>
          <w:szCs w:val="22"/>
        </w:rPr>
      </w:pPr>
    </w:p>
    <w:p w14:paraId="3E31EC2D" w14:textId="295256A1" w:rsidR="00664420" w:rsidRPr="004E0F1E" w:rsidRDefault="006E25BC" w:rsidP="004E0F1E">
      <w:pPr>
        <w:pStyle w:val="Ttulo3"/>
        <w:ind w:right="-312"/>
        <w:rPr>
          <w:szCs w:val="22"/>
        </w:rPr>
      </w:pPr>
      <w:bookmarkStart w:id="10" w:name="_Toc172748407"/>
      <w:r w:rsidRPr="004E0F1E">
        <w:rPr>
          <w:szCs w:val="22"/>
        </w:rPr>
        <w:t>c</w:t>
      </w:r>
      <w:r w:rsidR="00664420" w:rsidRPr="004E0F1E">
        <w:rPr>
          <w:szCs w:val="22"/>
        </w:rPr>
        <w:t>) Admisión del Recurso de Revisión</w:t>
      </w:r>
      <w:bookmarkEnd w:id="10"/>
    </w:p>
    <w:p w14:paraId="240447D5" w14:textId="2B9F1728" w:rsidR="000E09C4" w:rsidRPr="004E0F1E" w:rsidRDefault="000E09C4" w:rsidP="004E0F1E">
      <w:pPr>
        <w:ind w:right="-312"/>
        <w:rPr>
          <w:rFonts w:cs="Arial"/>
          <w:szCs w:val="22"/>
        </w:rPr>
      </w:pPr>
      <w:r w:rsidRPr="004E0F1E">
        <w:rPr>
          <w:rFonts w:cs="Arial"/>
          <w:szCs w:val="22"/>
        </w:rPr>
        <w:t xml:space="preserve">El </w:t>
      </w:r>
      <w:r w:rsidR="0009597C" w:rsidRPr="004E0F1E">
        <w:rPr>
          <w:rFonts w:cs="Arial"/>
          <w:b/>
          <w:bCs/>
          <w:szCs w:val="22"/>
        </w:rPr>
        <w:t>ocho de agosto</w:t>
      </w:r>
      <w:r w:rsidR="004252F1" w:rsidRPr="004E0F1E">
        <w:rPr>
          <w:rFonts w:cs="Arial"/>
          <w:b/>
          <w:bCs/>
          <w:szCs w:val="22"/>
        </w:rPr>
        <w:t xml:space="preserve"> de dos mil veinticuatro</w:t>
      </w:r>
      <w:r w:rsidR="0009597C" w:rsidRPr="004E0F1E">
        <w:rPr>
          <w:rFonts w:cs="Arial"/>
          <w:b/>
          <w:bCs/>
          <w:szCs w:val="22"/>
        </w:rPr>
        <w:t>,</w:t>
      </w:r>
      <w:r w:rsidR="004252F1" w:rsidRPr="004E0F1E">
        <w:rPr>
          <w:rFonts w:cs="Arial"/>
          <w:szCs w:val="22"/>
        </w:rPr>
        <w:t xml:space="preserve"> </w:t>
      </w:r>
      <w:r w:rsidRPr="004E0F1E">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E0F1E">
        <w:rPr>
          <w:rFonts w:cs="Arial"/>
          <w:szCs w:val="22"/>
        </w:rPr>
        <w:t>, fracción II</w:t>
      </w:r>
      <w:r w:rsidRPr="004E0F1E">
        <w:rPr>
          <w:rFonts w:cs="Arial"/>
          <w:szCs w:val="22"/>
        </w:rPr>
        <w:t xml:space="preserve"> de la Ley de Transparencia y Acceso a la Información Pública del Estado de México y Municipios.</w:t>
      </w:r>
    </w:p>
    <w:p w14:paraId="34EC3F86" w14:textId="77777777" w:rsidR="00D2790D" w:rsidRPr="004E0F1E" w:rsidRDefault="00D2790D" w:rsidP="004E0F1E">
      <w:pPr>
        <w:ind w:right="-312"/>
        <w:rPr>
          <w:rFonts w:cs="Arial"/>
          <w:szCs w:val="22"/>
        </w:rPr>
      </w:pPr>
    </w:p>
    <w:p w14:paraId="3B820F58" w14:textId="5EBF1699" w:rsidR="00865CF4" w:rsidRPr="004E0F1E" w:rsidRDefault="006E25BC" w:rsidP="004E0F1E">
      <w:pPr>
        <w:pStyle w:val="Ttulo3"/>
        <w:ind w:right="-312"/>
        <w:rPr>
          <w:szCs w:val="22"/>
        </w:rPr>
      </w:pPr>
      <w:bookmarkStart w:id="11" w:name="_Toc172748408"/>
      <w:r w:rsidRPr="004E0F1E">
        <w:rPr>
          <w:szCs w:val="22"/>
        </w:rPr>
        <w:t>d</w:t>
      </w:r>
      <w:r w:rsidR="00D2790D" w:rsidRPr="004E0F1E">
        <w:rPr>
          <w:szCs w:val="22"/>
        </w:rPr>
        <w:t xml:space="preserve">) </w:t>
      </w:r>
      <w:r w:rsidR="00865CF4" w:rsidRPr="004E0F1E">
        <w:rPr>
          <w:szCs w:val="22"/>
        </w:rPr>
        <w:t>Informe Justificado del Sujeto Obligado</w:t>
      </w:r>
      <w:bookmarkEnd w:id="11"/>
    </w:p>
    <w:p w14:paraId="12AD8A03" w14:textId="269462A4" w:rsidR="00A60E92" w:rsidRPr="004E0F1E" w:rsidRDefault="00174FBE" w:rsidP="004E0F1E">
      <w:pPr>
        <w:ind w:right="-312"/>
      </w:pPr>
      <w:r w:rsidRPr="004E0F1E">
        <w:rPr>
          <w:b/>
        </w:rPr>
        <w:t xml:space="preserve">EL SUJETO OBLIGADO </w:t>
      </w:r>
      <w:r w:rsidR="0057766A" w:rsidRPr="004E0F1E">
        <w:t xml:space="preserve">el </w:t>
      </w:r>
      <w:r w:rsidR="0057766A" w:rsidRPr="004E0F1E">
        <w:rPr>
          <w:b/>
          <w:bCs/>
        </w:rPr>
        <w:t>diecinueve de agosto de dos mil veinticuatro,</w:t>
      </w:r>
      <w:r w:rsidRPr="004E0F1E">
        <w:t xml:space="preserve"> rindió su informe justificado </w:t>
      </w:r>
      <w:r w:rsidR="00A60E92" w:rsidRPr="004E0F1E">
        <w:t>en los términos siguientes:</w:t>
      </w:r>
    </w:p>
    <w:p w14:paraId="66BA6FC7" w14:textId="7A6C8018" w:rsidR="00865CF4" w:rsidRPr="004E0F1E" w:rsidRDefault="00865CF4" w:rsidP="004E0F1E">
      <w:pPr>
        <w:ind w:left="567" w:right="-312"/>
      </w:pPr>
    </w:p>
    <w:p w14:paraId="45E5956A" w14:textId="77777777" w:rsidR="00F51674" w:rsidRPr="004E0F1E" w:rsidRDefault="00F51674" w:rsidP="004E0F1E">
      <w:pPr>
        <w:ind w:left="567" w:right="-312"/>
        <w:rPr>
          <w:b/>
          <w:bCs/>
          <w:i/>
          <w:iCs/>
        </w:rPr>
      </w:pPr>
      <w:r w:rsidRPr="004E0F1E">
        <w:rPr>
          <w:b/>
          <w:bCs/>
          <w:i/>
          <w:iCs/>
        </w:rPr>
        <w:t xml:space="preserve">INFORME JUSTIFICADO_RR_04692.pdf </w:t>
      </w:r>
    </w:p>
    <w:p w14:paraId="587B4935" w14:textId="525561F0" w:rsidR="004D2AFF" w:rsidRPr="004E0F1E" w:rsidRDefault="009D5B1F" w:rsidP="004E0F1E">
      <w:pPr>
        <w:ind w:left="567" w:right="-312"/>
      </w:pPr>
      <w:r w:rsidRPr="004E0F1E">
        <w:t xml:space="preserve">Archivo constante de </w:t>
      </w:r>
      <w:r w:rsidR="00F51674" w:rsidRPr="004E0F1E">
        <w:t>5</w:t>
      </w:r>
      <w:r w:rsidRPr="004E0F1E">
        <w:t xml:space="preserve"> páginas, suscrito por el Titular de la Unidad de Transparencia, dirigido a la Comisionada Ponente, en la que presenta su informe justificado, ratificando en términos generales la respuesta proporcionada</w:t>
      </w:r>
      <w:r w:rsidR="00F51674" w:rsidRPr="004E0F1E">
        <w:t>.</w:t>
      </w:r>
    </w:p>
    <w:p w14:paraId="149B891F" w14:textId="30DB33A6" w:rsidR="00306316" w:rsidRPr="004E0F1E" w:rsidRDefault="00306316" w:rsidP="004E0F1E">
      <w:pPr>
        <w:ind w:right="-312"/>
        <w:rPr>
          <w:szCs w:val="22"/>
        </w:rPr>
      </w:pPr>
      <w:r w:rsidRPr="004E0F1E">
        <w:rPr>
          <w:szCs w:val="22"/>
        </w:rPr>
        <w:lastRenderedPageBreak/>
        <w:t xml:space="preserve">Esta información fue puesta a la vista de </w:t>
      </w:r>
      <w:r w:rsidRPr="004E0F1E">
        <w:rPr>
          <w:b/>
          <w:szCs w:val="22"/>
        </w:rPr>
        <w:t xml:space="preserve">LA PARTE RECURRENTE </w:t>
      </w:r>
      <w:r w:rsidRPr="004E0F1E">
        <w:rPr>
          <w:szCs w:val="22"/>
        </w:rPr>
        <w:t xml:space="preserve">el </w:t>
      </w:r>
      <w:r w:rsidRPr="004E0F1E">
        <w:rPr>
          <w:rFonts w:cs="Tahoma"/>
          <w:b/>
          <w:bCs/>
          <w:szCs w:val="22"/>
        </w:rPr>
        <w:t>veinti</w:t>
      </w:r>
      <w:r w:rsidR="006844C7" w:rsidRPr="004E0F1E">
        <w:rPr>
          <w:rFonts w:cs="Tahoma"/>
          <w:b/>
          <w:bCs/>
          <w:szCs w:val="22"/>
        </w:rPr>
        <w:t>siete</w:t>
      </w:r>
      <w:r w:rsidRPr="004E0F1E">
        <w:rPr>
          <w:rFonts w:cs="Tahoma"/>
          <w:b/>
          <w:bCs/>
          <w:szCs w:val="22"/>
        </w:rPr>
        <w:t xml:space="preserve"> de agosto de dos mil veinticuatro,</w:t>
      </w:r>
      <w:r w:rsidRPr="004E0F1E">
        <w:rPr>
          <w:rFonts w:cs="Tahoma"/>
          <w:szCs w:val="22"/>
        </w:rPr>
        <w:t xml:space="preserve"> </w:t>
      </w:r>
      <w:r w:rsidRPr="004E0F1E">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773BAF72" w14:textId="77777777" w:rsidR="00A60E92" w:rsidRPr="004E0F1E" w:rsidRDefault="00A60E92" w:rsidP="004E0F1E">
      <w:pPr>
        <w:ind w:right="-312"/>
      </w:pPr>
    </w:p>
    <w:p w14:paraId="755B7730" w14:textId="1B7170D8" w:rsidR="00664420" w:rsidRPr="004E0F1E" w:rsidRDefault="00E810F7" w:rsidP="004E0F1E">
      <w:pPr>
        <w:pStyle w:val="Ttulo3"/>
        <w:ind w:right="-312"/>
        <w:rPr>
          <w:szCs w:val="22"/>
          <w:lang w:val="es-ES"/>
        </w:rPr>
      </w:pPr>
      <w:bookmarkStart w:id="12" w:name="_Toc172748409"/>
      <w:r w:rsidRPr="004E0F1E">
        <w:rPr>
          <w:rFonts w:eastAsia="Calibri"/>
          <w:bCs/>
          <w:szCs w:val="22"/>
          <w:lang w:eastAsia="en-US"/>
        </w:rPr>
        <w:t>e</w:t>
      </w:r>
      <w:r w:rsidR="00664420" w:rsidRPr="004E0F1E">
        <w:rPr>
          <w:rFonts w:eastAsia="Calibri"/>
          <w:bCs/>
          <w:szCs w:val="22"/>
          <w:lang w:eastAsia="en-US"/>
        </w:rPr>
        <w:t>)</w:t>
      </w:r>
      <w:r w:rsidR="00664420" w:rsidRPr="004E0F1E">
        <w:rPr>
          <w:szCs w:val="22"/>
        </w:rPr>
        <w:t xml:space="preserve"> </w:t>
      </w:r>
      <w:r w:rsidR="00865CF4" w:rsidRPr="004E0F1E">
        <w:rPr>
          <w:szCs w:val="22"/>
          <w:lang w:val="es-ES"/>
        </w:rPr>
        <w:t>Manifestaciones de la Parte Recurrente</w:t>
      </w:r>
      <w:bookmarkEnd w:id="12"/>
    </w:p>
    <w:p w14:paraId="6225187D" w14:textId="77777777" w:rsidR="00F51674" w:rsidRPr="004E0F1E" w:rsidRDefault="00F51674" w:rsidP="004E0F1E">
      <w:pPr>
        <w:ind w:right="-312"/>
      </w:pPr>
      <w:r w:rsidRPr="004E0F1E">
        <w:rPr>
          <w:b/>
          <w:bCs/>
        </w:rPr>
        <w:t xml:space="preserve">LA PARTE RECURRENTE </w:t>
      </w:r>
      <w:r w:rsidRPr="004E0F1E">
        <w:t>no realizó manifestación alguna dentro del término legalmente concedido para tal efecto, ni presentó pruebas o alegatos.</w:t>
      </w:r>
    </w:p>
    <w:p w14:paraId="6A02C863" w14:textId="77777777" w:rsidR="00174FBE" w:rsidRPr="004E0F1E" w:rsidRDefault="00174FBE" w:rsidP="004E0F1E">
      <w:pPr>
        <w:ind w:right="-312"/>
        <w:rPr>
          <w:lang w:val="es-ES"/>
        </w:rPr>
      </w:pPr>
    </w:p>
    <w:p w14:paraId="0E651988" w14:textId="156F4867" w:rsidR="00664420" w:rsidRPr="004E0F1E" w:rsidRDefault="00087E47" w:rsidP="004E0F1E">
      <w:pPr>
        <w:pStyle w:val="Ttulo3"/>
        <w:ind w:right="-312"/>
        <w:rPr>
          <w:szCs w:val="22"/>
        </w:rPr>
      </w:pPr>
      <w:bookmarkStart w:id="13" w:name="_Toc172748411"/>
      <w:r w:rsidRPr="004E0F1E">
        <w:rPr>
          <w:szCs w:val="22"/>
        </w:rPr>
        <w:t>f</w:t>
      </w:r>
      <w:r w:rsidR="00664420" w:rsidRPr="004E0F1E">
        <w:rPr>
          <w:szCs w:val="22"/>
        </w:rPr>
        <w:t>) Cierre de instrucción</w:t>
      </w:r>
      <w:bookmarkEnd w:id="13"/>
    </w:p>
    <w:p w14:paraId="79AF95DC" w14:textId="66C1154E" w:rsidR="00664420" w:rsidRPr="004E0F1E" w:rsidRDefault="00BF091A" w:rsidP="004E0F1E">
      <w:pPr>
        <w:ind w:right="-312"/>
        <w:rPr>
          <w:szCs w:val="22"/>
        </w:rPr>
      </w:pPr>
      <w:r w:rsidRPr="004E0F1E">
        <w:rPr>
          <w:rFonts w:cs="Tahoma"/>
          <w:szCs w:val="22"/>
        </w:rPr>
        <w:t>Al no existir diligencias pendientes por desahogar</w:t>
      </w:r>
      <w:r w:rsidRPr="004E0F1E">
        <w:rPr>
          <w:rFonts w:cs="Arial"/>
          <w:szCs w:val="22"/>
        </w:rPr>
        <w:t xml:space="preserve">, el </w:t>
      </w:r>
      <w:r w:rsidR="00702F96" w:rsidRPr="004E0F1E">
        <w:rPr>
          <w:rFonts w:cs="Tahoma"/>
          <w:b/>
          <w:bCs/>
          <w:szCs w:val="22"/>
        </w:rPr>
        <w:t>tres de septiembre</w:t>
      </w:r>
      <w:r w:rsidR="00E810F7" w:rsidRPr="004E0F1E">
        <w:rPr>
          <w:rFonts w:cs="Tahoma"/>
          <w:b/>
          <w:bCs/>
          <w:szCs w:val="22"/>
        </w:rPr>
        <w:t xml:space="preserve"> de dos mil veinticuatro</w:t>
      </w:r>
      <w:r w:rsidR="00E810F7" w:rsidRPr="004E0F1E">
        <w:rPr>
          <w:rFonts w:cs="Tahoma"/>
          <w:szCs w:val="22"/>
        </w:rPr>
        <w:t xml:space="preserve"> </w:t>
      </w:r>
      <w:r w:rsidRPr="004E0F1E">
        <w:rPr>
          <w:rFonts w:cs="Arial"/>
          <w:szCs w:val="22"/>
        </w:rPr>
        <w:t xml:space="preserve">la </w:t>
      </w:r>
      <w:r w:rsidRPr="004E0F1E">
        <w:rPr>
          <w:rFonts w:cs="Arial"/>
          <w:b/>
          <w:bCs/>
          <w:szCs w:val="22"/>
        </w:rPr>
        <w:t xml:space="preserve">Comisionada </w:t>
      </w:r>
      <w:r w:rsidRPr="004E0F1E">
        <w:rPr>
          <w:b/>
          <w:szCs w:val="22"/>
        </w:rPr>
        <w:t xml:space="preserve">Sharon Cristina Morales Martínez </w:t>
      </w:r>
      <w:r w:rsidRPr="004E0F1E">
        <w:rPr>
          <w:rFonts w:cs="Arial"/>
          <w:szCs w:val="22"/>
        </w:rPr>
        <w:t>acordó el cierre de instrucción</w:t>
      </w:r>
      <w:r w:rsidR="0011350D" w:rsidRPr="004E0F1E">
        <w:rPr>
          <w:rFonts w:cs="Arial"/>
          <w:szCs w:val="22"/>
        </w:rPr>
        <w:t xml:space="preserve"> y</w:t>
      </w:r>
      <w:r w:rsidRPr="004E0F1E">
        <w:rPr>
          <w:rFonts w:cs="Arial"/>
          <w:szCs w:val="22"/>
        </w:rPr>
        <w:t xml:space="preserve"> </w:t>
      </w:r>
      <w:r w:rsidR="0011350D" w:rsidRPr="004E0F1E">
        <w:rPr>
          <w:rFonts w:cs="Arial"/>
          <w:szCs w:val="22"/>
        </w:rPr>
        <w:t xml:space="preserve">la </w:t>
      </w:r>
      <w:r w:rsidRPr="004E0F1E">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E0F1E">
        <w:rPr>
          <w:szCs w:val="22"/>
        </w:rPr>
        <w:t>.</w:t>
      </w:r>
      <w:r w:rsidR="0011350D" w:rsidRPr="004E0F1E">
        <w:rPr>
          <w:szCs w:val="22"/>
        </w:rPr>
        <w:t xml:space="preserve"> Dicho acuerdo </w:t>
      </w:r>
      <w:r w:rsidR="00664420" w:rsidRPr="004E0F1E">
        <w:rPr>
          <w:rFonts w:cs="Tahoma"/>
          <w:szCs w:val="22"/>
        </w:rPr>
        <w:t xml:space="preserve">fue notificado a las partes el mismo día a través del </w:t>
      </w:r>
      <w:r w:rsidR="00664420" w:rsidRPr="004E0F1E">
        <w:rPr>
          <w:rFonts w:cs="Tahoma"/>
          <w:szCs w:val="22"/>
          <w:lang w:val="es-ES"/>
        </w:rPr>
        <w:t>SAIMEX</w:t>
      </w:r>
      <w:r w:rsidR="00664420" w:rsidRPr="004E0F1E">
        <w:rPr>
          <w:rFonts w:cs="Tahoma"/>
          <w:szCs w:val="22"/>
        </w:rPr>
        <w:t>.</w:t>
      </w:r>
    </w:p>
    <w:p w14:paraId="741683E3" w14:textId="77777777" w:rsidR="0011350D" w:rsidRPr="004E0F1E" w:rsidRDefault="0011350D" w:rsidP="004E0F1E">
      <w:pPr>
        <w:ind w:right="-312"/>
        <w:rPr>
          <w:rFonts w:cs="Tahoma"/>
          <w:szCs w:val="22"/>
        </w:rPr>
      </w:pPr>
    </w:p>
    <w:p w14:paraId="7A9629DE" w14:textId="77777777" w:rsidR="00664420" w:rsidRPr="004E0F1E" w:rsidRDefault="00664420" w:rsidP="004E0F1E">
      <w:pPr>
        <w:pStyle w:val="Ttulo1"/>
        <w:ind w:right="-312"/>
        <w:rPr>
          <w:rFonts w:eastAsiaTheme="minorHAnsi"/>
          <w:szCs w:val="22"/>
          <w:lang w:eastAsia="en-US"/>
        </w:rPr>
      </w:pPr>
      <w:bookmarkStart w:id="14" w:name="_Toc172748412"/>
      <w:r w:rsidRPr="004E0F1E">
        <w:rPr>
          <w:rFonts w:eastAsiaTheme="minorHAnsi"/>
          <w:szCs w:val="22"/>
          <w:lang w:eastAsia="en-US"/>
        </w:rPr>
        <w:t>CONSIDERANDOS</w:t>
      </w:r>
      <w:bookmarkEnd w:id="14"/>
    </w:p>
    <w:p w14:paraId="6DD1243B" w14:textId="77777777" w:rsidR="00664420" w:rsidRPr="004E0F1E" w:rsidRDefault="00664420" w:rsidP="004E0F1E">
      <w:pPr>
        <w:ind w:right="-312"/>
        <w:contextualSpacing/>
        <w:jc w:val="center"/>
        <w:rPr>
          <w:rFonts w:eastAsiaTheme="minorHAnsi" w:cs="Tahoma"/>
          <w:b/>
          <w:szCs w:val="22"/>
          <w:lang w:eastAsia="en-US"/>
        </w:rPr>
      </w:pPr>
    </w:p>
    <w:p w14:paraId="0B67CB92" w14:textId="2E307D3B" w:rsidR="00664420" w:rsidRPr="004E0F1E" w:rsidRDefault="00664420" w:rsidP="004E0F1E">
      <w:pPr>
        <w:pStyle w:val="Ttulo2"/>
        <w:ind w:right="-312"/>
        <w:rPr>
          <w:rFonts w:eastAsia="Batang"/>
          <w:szCs w:val="22"/>
        </w:rPr>
      </w:pPr>
      <w:bookmarkStart w:id="15" w:name="_Toc172748413"/>
      <w:r w:rsidRPr="004E0F1E">
        <w:rPr>
          <w:rFonts w:eastAsia="Batang"/>
          <w:szCs w:val="22"/>
        </w:rPr>
        <w:t xml:space="preserve">PRIMERO. </w:t>
      </w:r>
      <w:r w:rsidR="00BA55A8" w:rsidRPr="004E0F1E">
        <w:rPr>
          <w:rFonts w:eastAsia="Batang"/>
          <w:szCs w:val="22"/>
        </w:rPr>
        <w:t>Procedibilidad</w:t>
      </w:r>
      <w:bookmarkEnd w:id="15"/>
    </w:p>
    <w:p w14:paraId="39C52BC1" w14:textId="56FCC20D" w:rsidR="00BA55A8" w:rsidRPr="004E0F1E" w:rsidRDefault="00BA55A8" w:rsidP="004E0F1E">
      <w:pPr>
        <w:pStyle w:val="Ttulo3"/>
        <w:ind w:right="-312"/>
        <w:rPr>
          <w:szCs w:val="22"/>
        </w:rPr>
      </w:pPr>
      <w:bookmarkStart w:id="16" w:name="_Toc172748414"/>
      <w:r w:rsidRPr="004E0F1E">
        <w:rPr>
          <w:szCs w:val="22"/>
        </w:rPr>
        <w:t>a) Competencia</w:t>
      </w:r>
      <w:r w:rsidR="00150C49" w:rsidRPr="004E0F1E">
        <w:rPr>
          <w:szCs w:val="22"/>
        </w:rPr>
        <w:t xml:space="preserve"> del Instituto</w:t>
      </w:r>
      <w:bookmarkEnd w:id="16"/>
    </w:p>
    <w:p w14:paraId="56E64942" w14:textId="6572EDF7" w:rsidR="0011350D" w:rsidRPr="004E0F1E" w:rsidRDefault="0011350D" w:rsidP="004E0F1E">
      <w:pPr>
        <w:ind w:right="-312"/>
        <w:rPr>
          <w:rFonts w:cs="Arial"/>
          <w:szCs w:val="22"/>
        </w:rPr>
      </w:pPr>
      <w:r w:rsidRPr="004E0F1E">
        <w:rPr>
          <w:szCs w:val="22"/>
        </w:rPr>
        <w:t xml:space="preserve">Este Instituto de Transparencia, Acceso a la Información Pública y Protección de Datos Personales del Estado de México y Municipios es competente para conocer y resolver </w:t>
      </w:r>
      <w:r w:rsidR="005F65B7" w:rsidRPr="004E0F1E">
        <w:rPr>
          <w:szCs w:val="22"/>
        </w:rPr>
        <w:t xml:space="preserve">el </w:t>
      </w:r>
      <w:r w:rsidRPr="004E0F1E">
        <w:rPr>
          <w:szCs w:val="22"/>
        </w:rPr>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E0F1E">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4E0F1E" w:rsidRDefault="00DB1C09" w:rsidP="004E0F1E">
      <w:pPr>
        <w:ind w:right="-312"/>
        <w:rPr>
          <w:rFonts w:cs="Arial"/>
          <w:szCs w:val="22"/>
        </w:rPr>
      </w:pPr>
    </w:p>
    <w:p w14:paraId="517A2DD6" w14:textId="4169BE4D" w:rsidR="00664420" w:rsidRPr="004E0F1E" w:rsidRDefault="00BA55A8" w:rsidP="004E0F1E">
      <w:pPr>
        <w:pStyle w:val="Ttulo3"/>
        <w:ind w:right="-312"/>
        <w:rPr>
          <w:szCs w:val="22"/>
        </w:rPr>
      </w:pPr>
      <w:bookmarkStart w:id="17" w:name="_Toc172748415"/>
      <w:r w:rsidRPr="004E0F1E">
        <w:rPr>
          <w:szCs w:val="22"/>
        </w:rPr>
        <w:t>b)</w:t>
      </w:r>
      <w:r w:rsidR="00664420" w:rsidRPr="004E0F1E">
        <w:rPr>
          <w:szCs w:val="22"/>
        </w:rPr>
        <w:t xml:space="preserve"> </w:t>
      </w:r>
      <w:r w:rsidR="00D91CB4" w:rsidRPr="004E0F1E">
        <w:rPr>
          <w:szCs w:val="22"/>
        </w:rPr>
        <w:t>Legitimidad</w:t>
      </w:r>
      <w:r w:rsidRPr="004E0F1E">
        <w:rPr>
          <w:szCs w:val="22"/>
        </w:rPr>
        <w:t xml:space="preserve"> de la parte recurrente</w:t>
      </w:r>
      <w:bookmarkEnd w:id="17"/>
    </w:p>
    <w:p w14:paraId="26FEA382" w14:textId="0B06695C" w:rsidR="00D91CB4" w:rsidRPr="004E0F1E" w:rsidRDefault="00D91CB4" w:rsidP="004E0F1E">
      <w:pPr>
        <w:ind w:right="-312"/>
        <w:rPr>
          <w:rFonts w:cs="Arial"/>
          <w:bCs/>
          <w:szCs w:val="22"/>
        </w:rPr>
      </w:pPr>
      <w:r w:rsidRPr="004E0F1E">
        <w:rPr>
          <w:rFonts w:cs="Arial"/>
          <w:bCs/>
          <w:szCs w:val="22"/>
        </w:rPr>
        <w:t>El recurso de revisión fue interpuesto por parte legítima, ya que se presentó por la misma persona que formuló la solicitud de acceso a la Información Pública,</w:t>
      </w:r>
      <w:r w:rsidRPr="004E0F1E">
        <w:rPr>
          <w:rFonts w:cs="Arial"/>
          <w:b/>
          <w:bCs/>
          <w:szCs w:val="22"/>
        </w:rPr>
        <w:t xml:space="preserve"> </w:t>
      </w:r>
      <w:r w:rsidRPr="004E0F1E">
        <w:rPr>
          <w:rFonts w:cs="Arial"/>
          <w:szCs w:val="22"/>
        </w:rPr>
        <w:t>debido a que los datos de acceso</w:t>
      </w:r>
      <w:r w:rsidRPr="004E0F1E">
        <w:rPr>
          <w:rFonts w:cs="Arial"/>
          <w:b/>
          <w:bCs/>
          <w:szCs w:val="22"/>
        </w:rPr>
        <w:t xml:space="preserve"> </w:t>
      </w:r>
      <w:r w:rsidRPr="004E0F1E">
        <w:rPr>
          <w:rFonts w:cs="Arial"/>
          <w:szCs w:val="22"/>
        </w:rPr>
        <w:t>SAIMEX</w:t>
      </w:r>
      <w:r w:rsidRPr="004E0F1E">
        <w:rPr>
          <w:rFonts w:eastAsia="Calibri" w:cs="Arial"/>
          <w:szCs w:val="22"/>
          <w:lang w:eastAsia="en-US"/>
        </w:rPr>
        <w:t xml:space="preserve"> son personales e irrepetibles.</w:t>
      </w:r>
    </w:p>
    <w:p w14:paraId="2C367810" w14:textId="77777777" w:rsidR="00D91CB4" w:rsidRPr="004E0F1E" w:rsidRDefault="00D91CB4" w:rsidP="004E0F1E">
      <w:pPr>
        <w:ind w:right="-312"/>
        <w:rPr>
          <w:szCs w:val="22"/>
        </w:rPr>
      </w:pPr>
    </w:p>
    <w:p w14:paraId="496490FC" w14:textId="1A5F3FDB" w:rsidR="00D91CB4" w:rsidRPr="004E0F1E" w:rsidRDefault="00BA55A8" w:rsidP="004E0F1E">
      <w:pPr>
        <w:pStyle w:val="Ttulo3"/>
        <w:ind w:right="-312"/>
        <w:rPr>
          <w:rFonts w:eastAsia="Calibri"/>
          <w:szCs w:val="22"/>
          <w:lang w:eastAsia="es-ES_tradnl"/>
        </w:rPr>
      </w:pPr>
      <w:bookmarkStart w:id="18" w:name="_Toc172748416"/>
      <w:r w:rsidRPr="004E0F1E">
        <w:rPr>
          <w:rFonts w:eastAsia="Calibri"/>
          <w:szCs w:val="22"/>
          <w:lang w:eastAsia="es-ES_tradnl"/>
        </w:rPr>
        <w:t>c)</w:t>
      </w:r>
      <w:r w:rsidR="00664420" w:rsidRPr="004E0F1E">
        <w:rPr>
          <w:rFonts w:eastAsia="Calibri"/>
          <w:szCs w:val="22"/>
          <w:lang w:eastAsia="es-ES_tradnl"/>
        </w:rPr>
        <w:t xml:space="preserve"> </w:t>
      </w:r>
      <w:r w:rsidR="00D91CB4" w:rsidRPr="004E0F1E">
        <w:rPr>
          <w:rFonts w:eastAsia="Calibri"/>
          <w:szCs w:val="22"/>
          <w:lang w:eastAsia="es-ES_tradnl"/>
        </w:rPr>
        <w:t>Plazo para interponer el recurso</w:t>
      </w:r>
      <w:bookmarkEnd w:id="18"/>
    </w:p>
    <w:p w14:paraId="106D37EE" w14:textId="2270BBFD" w:rsidR="00D91CB4" w:rsidRPr="004E0F1E" w:rsidRDefault="00D91CB4" w:rsidP="004E0F1E">
      <w:pPr>
        <w:ind w:right="-312"/>
        <w:rPr>
          <w:rFonts w:eastAsiaTheme="minorEastAsia" w:cs="Arial"/>
          <w:szCs w:val="22"/>
          <w:lang w:val="es-ES_tradnl"/>
        </w:rPr>
      </w:pPr>
      <w:r w:rsidRPr="004E0F1E">
        <w:rPr>
          <w:rFonts w:cs="Arial"/>
          <w:b/>
          <w:szCs w:val="22"/>
        </w:rPr>
        <w:t>EL SUJETO OBLIGADO</w:t>
      </w:r>
      <w:r w:rsidRPr="004E0F1E">
        <w:rPr>
          <w:rFonts w:cs="Arial"/>
          <w:szCs w:val="22"/>
        </w:rPr>
        <w:t xml:space="preserve"> notificó la respuesta a la solicitud de acceso a la Información Pública el </w:t>
      </w:r>
      <w:r w:rsidR="00F51674" w:rsidRPr="004E0F1E">
        <w:rPr>
          <w:rFonts w:cs="Tahoma"/>
          <w:b/>
          <w:bCs/>
          <w:szCs w:val="22"/>
        </w:rPr>
        <w:t>once</w:t>
      </w:r>
      <w:r w:rsidR="002F3F8F" w:rsidRPr="004E0F1E">
        <w:rPr>
          <w:rFonts w:cs="Tahoma"/>
          <w:b/>
          <w:bCs/>
          <w:szCs w:val="22"/>
        </w:rPr>
        <w:t xml:space="preserve"> de julio</w:t>
      </w:r>
      <w:r w:rsidR="00DE285A" w:rsidRPr="004E0F1E">
        <w:rPr>
          <w:rFonts w:cs="Tahoma"/>
          <w:b/>
          <w:bCs/>
          <w:szCs w:val="22"/>
        </w:rPr>
        <w:t xml:space="preserve"> de dos mil veinticuatro</w:t>
      </w:r>
      <w:r w:rsidR="00DE285A" w:rsidRPr="004E0F1E">
        <w:rPr>
          <w:rFonts w:cs="Tahoma"/>
          <w:szCs w:val="22"/>
        </w:rPr>
        <w:t xml:space="preserve"> </w:t>
      </w:r>
      <w:r w:rsidR="00A53315" w:rsidRPr="004E0F1E">
        <w:rPr>
          <w:rFonts w:cs="Arial"/>
          <w:szCs w:val="22"/>
        </w:rPr>
        <w:t xml:space="preserve">y el recurso </w:t>
      </w:r>
      <w:r w:rsidR="00A53315" w:rsidRPr="004E0F1E">
        <w:rPr>
          <w:rFonts w:eastAsia="Palatino Linotype" w:cs="Palatino Linotype"/>
          <w:szCs w:val="22"/>
        </w:rPr>
        <w:t xml:space="preserve">que nos ocupa se </w:t>
      </w:r>
      <w:r w:rsidR="006A61F1" w:rsidRPr="004E0F1E">
        <w:rPr>
          <w:rFonts w:eastAsia="Palatino Linotype" w:cs="Palatino Linotype"/>
          <w:szCs w:val="22"/>
        </w:rPr>
        <w:t>tuvo por presentado</w:t>
      </w:r>
      <w:r w:rsidR="00A53315" w:rsidRPr="004E0F1E">
        <w:rPr>
          <w:rFonts w:eastAsia="Palatino Linotype" w:cs="Palatino Linotype"/>
          <w:szCs w:val="22"/>
        </w:rPr>
        <w:t xml:space="preserve"> el </w:t>
      </w:r>
      <w:r w:rsidR="002F3F8F" w:rsidRPr="004E0F1E">
        <w:rPr>
          <w:rFonts w:cs="Tahoma"/>
          <w:b/>
          <w:bCs/>
          <w:szCs w:val="22"/>
        </w:rPr>
        <w:t>cinco de agosto</w:t>
      </w:r>
      <w:r w:rsidR="00DE285A" w:rsidRPr="004E0F1E">
        <w:rPr>
          <w:rFonts w:cs="Tahoma"/>
          <w:b/>
          <w:bCs/>
          <w:szCs w:val="22"/>
        </w:rPr>
        <w:t xml:space="preserve"> de dos mil veinticuatro</w:t>
      </w:r>
      <w:r w:rsidR="00A53315" w:rsidRPr="004E0F1E">
        <w:rPr>
          <w:rFonts w:eastAsia="Palatino Linotype" w:cs="Palatino Linotype"/>
          <w:bCs/>
          <w:szCs w:val="22"/>
        </w:rPr>
        <w:t>;</w:t>
      </w:r>
      <w:r w:rsidR="00A53315" w:rsidRPr="004E0F1E">
        <w:rPr>
          <w:rFonts w:eastAsia="Palatino Linotype" w:cs="Palatino Linotype"/>
          <w:szCs w:val="22"/>
        </w:rPr>
        <w:t xml:space="preserve"> por lo tanto, éste se encuentra dentro del margen temporal previsto en el artículo 178 de la </w:t>
      </w:r>
      <w:r w:rsidR="00A53315" w:rsidRPr="004E0F1E">
        <w:rPr>
          <w:rFonts w:cs="Arial"/>
          <w:szCs w:val="22"/>
        </w:rPr>
        <w:t xml:space="preserve">Ley de Transparencia y Acceso a la Información Pública del Estado de México y Municipios, </w:t>
      </w:r>
      <w:r w:rsidR="00A53315" w:rsidRPr="004E0F1E">
        <w:rPr>
          <w:rFonts w:eastAsia="Calibri"/>
          <w:szCs w:val="22"/>
          <w:lang w:eastAsia="es-ES_tradnl"/>
        </w:rPr>
        <w:t xml:space="preserve">el cual </w:t>
      </w:r>
      <w:r w:rsidRPr="004E0F1E">
        <w:rPr>
          <w:rFonts w:cs="Arial"/>
          <w:szCs w:val="22"/>
        </w:rPr>
        <w:t xml:space="preserve">transcurrió del </w:t>
      </w:r>
      <w:r w:rsidR="00F51674" w:rsidRPr="004E0F1E">
        <w:rPr>
          <w:rFonts w:cs="Tahoma"/>
          <w:b/>
          <w:bCs/>
          <w:szCs w:val="22"/>
        </w:rPr>
        <w:t>doce</w:t>
      </w:r>
      <w:r w:rsidR="002F3F8F" w:rsidRPr="004E0F1E">
        <w:rPr>
          <w:rFonts w:cs="Tahoma"/>
          <w:b/>
          <w:bCs/>
          <w:szCs w:val="22"/>
        </w:rPr>
        <w:t xml:space="preserve"> de julio al </w:t>
      </w:r>
      <w:r w:rsidR="00F51674" w:rsidRPr="004E0F1E">
        <w:rPr>
          <w:rFonts w:cs="Tahoma"/>
          <w:b/>
          <w:bCs/>
          <w:szCs w:val="22"/>
        </w:rPr>
        <w:t>quince</w:t>
      </w:r>
      <w:r w:rsidR="002F3F8F" w:rsidRPr="004E0F1E">
        <w:rPr>
          <w:rFonts w:cs="Tahoma"/>
          <w:b/>
          <w:bCs/>
          <w:szCs w:val="22"/>
        </w:rPr>
        <w:t xml:space="preserve"> de agosto</w:t>
      </w:r>
      <w:r w:rsidR="00DE285A" w:rsidRPr="004E0F1E">
        <w:rPr>
          <w:rFonts w:cs="Tahoma"/>
          <w:b/>
          <w:bCs/>
          <w:szCs w:val="22"/>
        </w:rPr>
        <w:t xml:space="preserve"> de dos mil veinticuatro</w:t>
      </w:r>
      <w:r w:rsidRPr="004E0F1E">
        <w:rPr>
          <w:rFonts w:cs="Arial"/>
          <w:szCs w:val="22"/>
        </w:rPr>
        <w:t xml:space="preserve">, </w:t>
      </w:r>
      <w:r w:rsidRPr="004E0F1E">
        <w:rPr>
          <w:rFonts w:eastAsiaTheme="minorEastAsia" w:cs="Arial"/>
          <w:szCs w:val="22"/>
          <w:lang w:val="es-ES_tradnl"/>
        </w:rPr>
        <w:t xml:space="preserve">sin contemplar en el cómputo los días </w:t>
      </w:r>
      <w:bookmarkStart w:id="19" w:name="_Hlk62134391"/>
      <w:r w:rsidRPr="004E0F1E">
        <w:rPr>
          <w:rFonts w:eastAsiaTheme="minorEastAsia" w:cs="Arial"/>
          <w:szCs w:val="22"/>
          <w:lang w:val="es-ES_tradnl"/>
        </w:rPr>
        <w:t>sábados</w:t>
      </w:r>
      <w:r w:rsidR="00CB7E9A" w:rsidRPr="004E0F1E">
        <w:rPr>
          <w:rFonts w:eastAsiaTheme="minorEastAsia" w:cs="Arial"/>
          <w:szCs w:val="22"/>
          <w:lang w:val="es-ES_tradnl"/>
        </w:rPr>
        <w:t xml:space="preserve">, </w:t>
      </w:r>
      <w:r w:rsidRPr="004E0F1E">
        <w:rPr>
          <w:rFonts w:eastAsiaTheme="minorEastAsia" w:cs="Arial"/>
          <w:szCs w:val="22"/>
          <w:lang w:val="es-ES_tradnl"/>
        </w:rPr>
        <w:t>domingos</w:t>
      </w:r>
      <w:r w:rsidR="00CB7E9A" w:rsidRPr="004E0F1E">
        <w:rPr>
          <w:rFonts w:eastAsiaTheme="minorEastAsia" w:cs="Arial"/>
          <w:szCs w:val="22"/>
          <w:lang w:val="es-ES_tradnl"/>
        </w:rPr>
        <w:t xml:space="preserve"> y aquellos</w:t>
      </w:r>
      <w:r w:rsidRPr="004E0F1E">
        <w:rPr>
          <w:rFonts w:eastAsiaTheme="minorEastAsia" w:cs="Arial"/>
          <w:szCs w:val="22"/>
          <w:lang w:val="es-ES_tradnl"/>
        </w:rPr>
        <w:t xml:space="preserve"> considerados como días inhábiles</w:t>
      </w:r>
      <w:r w:rsidR="00CB7E9A" w:rsidRPr="004E0F1E">
        <w:rPr>
          <w:rFonts w:eastAsiaTheme="minorEastAsia" w:cs="Arial"/>
          <w:szCs w:val="22"/>
          <w:lang w:val="es-ES_tradnl"/>
        </w:rPr>
        <w:t xml:space="preserve"> </w:t>
      </w:r>
      <w:r w:rsidRPr="004E0F1E">
        <w:rPr>
          <w:rFonts w:eastAsiaTheme="minorEastAsia" w:cs="Arial"/>
          <w:szCs w:val="22"/>
          <w:lang w:val="es-ES_tradnl"/>
        </w:rPr>
        <w:t xml:space="preserve">en términos del </w:t>
      </w:r>
      <w:bookmarkEnd w:id="19"/>
      <w:r w:rsidRPr="004E0F1E">
        <w:rPr>
          <w:rFonts w:eastAsiaTheme="minorEastAsia" w:cs="Arial"/>
          <w:szCs w:val="22"/>
          <w:lang w:val="es-ES_tradnl"/>
        </w:rPr>
        <w:t>Calendario oficia</w:t>
      </w:r>
      <w:r w:rsidR="00CB7E9A" w:rsidRPr="004E0F1E">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4E0F1E" w:rsidRDefault="00D91CB4" w:rsidP="004E0F1E">
      <w:pPr>
        <w:ind w:right="-312"/>
        <w:rPr>
          <w:rFonts w:eastAsia="Palatino Linotype" w:cs="Palatino Linotype"/>
          <w:szCs w:val="22"/>
        </w:rPr>
      </w:pPr>
    </w:p>
    <w:p w14:paraId="46C0EB3A" w14:textId="661B968D" w:rsidR="00A53315" w:rsidRPr="004E0F1E" w:rsidRDefault="00BA55A8" w:rsidP="004E0F1E">
      <w:pPr>
        <w:pStyle w:val="Ttulo3"/>
        <w:ind w:right="-312"/>
        <w:rPr>
          <w:rFonts w:eastAsia="Calibri"/>
          <w:szCs w:val="22"/>
          <w:lang w:eastAsia="es-ES_tradnl"/>
        </w:rPr>
      </w:pPr>
      <w:bookmarkStart w:id="20" w:name="_Toc172748417"/>
      <w:r w:rsidRPr="004E0F1E">
        <w:rPr>
          <w:rFonts w:eastAsia="Calibri"/>
          <w:szCs w:val="22"/>
          <w:lang w:eastAsia="es-ES_tradnl"/>
        </w:rPr>
        <w:lastRenderedPageBreak/>
        <w:t>d)</w:t>
      </w:r>
      <w:r w:rsidR="00D91CB4" w:rsidRPr="004E0F1E">
        <w:rPr>
          <w:rFonts w:eastAsia="Calibri"/>
          <w:szCs w:val="22"/>
          <w:lang w:eastAsia="es-ES_tradnl"/>
        </w:rPr>
        <w:t xml:space="preserve"> </w:t>
      </w:r>
      <w:r w:rsidR="00174FBE" w:rsidRPr="004E0F1E">
        <w:rPr>
          <w:rFonts w:eastAsia="Calibri"/>
          <w:szCs w:val="22"/>
          <w:lang w:eastAsia="es-ES_tradnl"/>
        </w:rPr>
        <w:t>Causal de procedencia</w:t>
      </w:r>
      <w:bookmarkEnd w:id="20"/>
    </w:p>
    <w:p w14:paraId="190404A6" w14:textId="2016F89E" w:rsidR="00BA55A8" w:rsidRPr="004E0F1E" w:rsidRDefault="00BA55A8" w:rsidP="004E0F1E">
      <w:pPr>
        <w:ind w:right="-312"/>
        <w:rPr>
          <w:szCs w:val="22"/>
        </w:rPr>
      </w:pPr>
      <w:r w:rsidRPr="004E0F1E">
        <w:rPr>
          <w:rFonts w:cs="Arial"/>
          <w:szCs w:val="22"/>
        </w:rPr>
        <w:t xml:space="preserve">Resulta procedente la interposición del recurso de revisión, ya que </w:t>
      </w:r>
      <w:r w:rsidRPr="004E0F1E">
        <w:rPr>
          <w:rFonts w:eastAsia="Calibri" w:cs="Tahoma"/>
          <w:szCs w:val="22"/>
          <w:lang w:eastAsia="es-MX"/>
        </w:rPr>
        <w:t>se actualiza la causal de procedencia señalada en el artículo 179, fracci</w:t>
      </w:r>
      <w:r w:rsidR="008E3EAD" w:rsidRPr="004E0F1E">
        <w:rPr>
          <w:rFonts w:eastAsia="Calibri" w:cs="Tahoma"/>
          <w:szCs w:val="22"/>
          <w:lang w:eastAsia="es-MX"/>
        </w:rPr>
        <w:t>ón</w:t>
      </w:r>
      <w:r w:rsidR="00EE1B1C" w:rsidRPr="004E0F1E">
        <w:rPr>
          <w:rFonts w:eastAsia="Calibri" w:cs="Tahoma"/>
          <w:szCs w:val="22"/>
          <w:lang w:eastAsia="es-MX"/>
        </w:rPr>
        <w:t xml:space="preserve"> I</w:t>
      </w:r>
      <w:r w:rsidRPr="004E0F1E">
        <w:rPr>
          <w:rFonts w:cs="Arial"/>
          <w:szCs w:val="22"/>
        </w:rPr>
        <w:t xml:space="preserve"> de la </w:t>
      </w:r>
      <w:r w:rsidRPr="004E0F1E">
        <w:rPr>
          <w:szCs w:val="22"/>
        </w:rPr>
        <w:t>Ley de Transparencia y Acceso a la Información Pública del Estado de México y Municipios.</w:t>
      </w:r>
    </w:p>
    <w:p w14:paraId="0EFF7141" w14:textId="77777777" w:rsidR="00362A11" w:rsidRPr="004E0F1E" w:rsidRDefault="00362A11" w:rsidP="004E0F1E">
      <w:pPr>
        <w:ind w:right="-312"/>
        <w:rPr>
          <w:szCs w:val="22"/>
        </w:rPr>
      </w:pPr>
    </w:p>
    <w:p w14:paraId="2284D7EB" w14:textId="3EE1D036" w:rsidR="00BA55A8" w:rsidRPr="004E0F1E" w:rsidRDefault="00362A11" w:rsidP="004E0F1E">
      <w:pPr>
        <w:pStyle w:val="Ttulo3"/>
        <w:ind w:right="-312"/>
        <w:rPr>
          <w:szCs w:val="22"/>
        </w:rPr>
      </w:pPr>
      <w:bookmarkStart w:id="21" w:name="_Toc172748418"/>
      <w:r w:rsidRPr="004E0F1E">
        <w:rPr>
          <w:szCs w:val="22"/>
        </w:rPr>
        <w:t>e) Requisitos formales para la interposición del recurso</w:t>
      </w:r>
      <w:bookmarkEnd w:id="21"/>
    </w:p>
    <w:p w14:paraId="069A3DBF" w14:textId="77777777" w:rsidR="002F3F8F" w:rsidRPr="004E0F1E" w:rsidRDefault="002F3F8F" w:rsidP="004E0F1E">
      <w:pPr>
        <w:ind w:right="-312"/>
      </w:pPr>
      <w:r w:rsidRPr="004E0F1E">
        <w:rPr>
          <w:b/>
        </w:rPr>
        <w:t xml:space="preserve">LA PARTE RECURRENTE </w:t>
      </w:r>
      <w:r w:rsidRPr="004E0F1E">
        <w:t>acreditó todos y cada uno de los elementos formales exigidos por el artículo 180 de la misma normatividad.</w:t>
      </w:r>
    </w:p>
    <w:p w14:paraId="3A121826" w14:textId="77777777" w:rsidR="00C461EC" w:rsidRPr="004E0F1E" w:rsidRDefault="00C461EC" w:rsidP="004E0F1E">
      <w:pPr>
        <w:ind w:right="-312"/>
        <w:rPr>
          <w:bCs/>
          <w:szCs w:val="22"/>
          <w:lang w:val="es-ES_tradnl"/>
        </w:rPr>
      </w:pPr>
    </w:p>
    <w:p w14:paraId="457548E9" w14:textId="3F7AF03B" w:rsidR="00C71CEF" w:rsidRPr="004E0F1E" w:rsidRDefault="00C71CEF" w:rsidP="004E0F1E">
      <w:pPr>
        <w:pStyle w:val="Ttulo2"/>
        <w:ind w:right="-312"/>
        <w:rPr>
          <w:szCs w:val="22"/>
        </w:rPr>
      </w:pPr>
      <w:bookmarkStart w:id="22" w:name="_Toc172748419"/>
      <w:r w:rsidRPr="004E0F1E">
        <w:rPr>
          <w:szCs w:val="22"/>
        </w:rPr>
        <w:t>SEGUNDO. Estudio de Fondo</w:t>
      </w:r>
      <w:bookmarkEnd w:id="22"/>
    </w:p>
    <w:p w14:paraId="2A308F59" w14:textId="0FF373F0" w:rsidR="00C049E2" w:rsidRPr="004E0F1E" w:rsidRDefault="00C71CEF" w:rsidP="004E0F1E">
      <w:pPr>
        <w:pStyle w:val="Ttulo3"/>
        <w:ind w:right="-312"/>
        <w:rPr>
          <w:szCs w:val="22"/>
        </w:rPr>
      </w:pPr>
      <w:bookmarkStart w:id="23" w:name="_Toc172748420"/>
      <w:r w:rsidRPr="004E0F1E">
        <w:rPr>
          <w:szCs w:val="22"/>
        </w:rPr>
        <w:t>a</w:t>
      </w:r>
      <w:r w:rsidR="00C049E2" w:rsidRPr="004E0F1E">
        <w:rPr>
          <w:szCs w:val="22"/>
        </w:rPr>
        <w:t>) Mandato de transparencia y responsabilidad del Sujeto Obligado</w:t>
      </w:r>
      <w:bookmarkEnd w:id="23"/>
    </w:p>
    <w:p w14:paraId="6901A889" w14:textId="59EEDAE1" w:rsidR="00C049E2" w:rsidRPr="004E0F1E" w:rsidRDefault="00C049E2" w:rsidP="004E0F1E">
      <w:pPr>
        <w:ind w:right="-312"/>
        <w:rPr>
          <w:rFonts w:eastAsia="Palatino Linotype"/>
          <w:szCs w:val="22"/>
        </w:rPr>
      </w:pPr>
      <w:r w:rsidRPr="004E0F1E">
        <w:rPr>
          <w:rFonts w:eastAsia="Palatino Linotype"/>
          <w:szCs w:val="22"/>
        </w:rPr>
        <w:t xml:space="preserve">El </w:t>
      </w:r>
      <w:r w:rsidR="00717E59" w:rsidRPr="004E0F1E">
        <w:rPr>
          <w:rFonts w:eastAsia="Palatino Linotype"/>
          <w:szCs w:val="22"/>
        </w:rPr>
        <w:t>d</w:t>
      </w:r>
      <w:r w:rsidRPr="004E0F1E">
        <w:rPr>
          <w:rFonts w:eastAsia="Palatino Linotype"/>
          <w:szCs w:val="22"/>
        </w:rPr>
        <w:t xml:space="preserve">erecho de </w:t>
      </w:r>
      <w:r w:rsidR="00717E59" w:rsidRPr="004E0F1E">
        <w:rPr>
          <w:rFonts w:eastAsia="Palatino Linotype"/>
          <w:szCs w:val="22"/>
        </w:rPr>
        <w:t>a</w:t>
      </w:r>
      <w:r w:rsidRPr="004E0F1E">
        <w:rPr>
          <w:rFonts w:eastAsia="Palatino Linotype"/>
          <w:szCs w:val="22"/>
        </w:rPr>
        <w:t xml:space="preserve">cceso a la </w:t>
      </w:r>
      <w:r w:rsidR="00717E59" w:rsidRPr="004E0F1E">
        <w:rPr>
          <w:rFonts w:eastAsia="Palatino Linotype"/>
          <w:szCs w:val="22"/>
        </w:rPr>
        <w:t>i</w:t>
      </w:r>
      <w:r w:rsidRPr="004E0F1E">
        <w:rPr>
          <w:rFonts w:eastAsia="Palatino Linotype"/>
          <w:szCs w:val="22"/>
        </w:rPr>
        <w:t xml:space="preserve">nformación </w:t>
      </w:r>
      <w:r w:rsidR="00717E59" w:rsidRPr="004E0F1E">
        <w:rPr>
          <w:rFonts w:eastAsia="Palatino Linotype"/>
          <w:szCs w:val="22"/>
        </w:rPr>
        <w:t>p</w:t>
      </w:r>
      <w:r w:rsidRPr="004E0F1E">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4E0F1E">
        <w:rPr>
          <w:rFonts w:eastAsia="Palatino Linotype"/>
          <w:szCs w:val="22"/>
        </w:rPr>
        <w:t>:</w:t>
      </w:r>
    </w:p>
    <w:p w14:paraId="7FAB8D32" w14:textId="77777777" w:rsidR="00C049E2" w:rsidRPr="004E0F1E" w:rsidRDefault="00C049E2" w:rsidP="004E0F1E">
      <w:pPr>
        <w:ind w:right="-312"/>
        <w:rPr>
          <w:rFonts w:eastAsia="Palatino Linotype"/>
          <w:szCs w:val="22"/>
        </w:rPr>
      </w:pPr>
    </w:p>
    <w:p w14:paraId="05320813" w14:textId="77777777" w:rsidR="00C049E2" w:rsidRPr="004E0F1E" w:rsidRDefault="00C049E2" w:rsidP="004E0F1E">
      <w:pPr>
        <w:spacing w:line="240" w:lineRule="auto"/>
        <w:ind w:left="567" w:right="539"/>
        <w:rPr>
          <w:rFonts w:eastAsia="Palatino Linotype"/>
          <w:b/>
          <w:i/>
          <w:szCs w:val="22"/>
        </w:rPr>
      </w:pPr>
      <w:r w:rsidRPr="004E0F1E">
        <w:rPr>
          <w:rFonts w:eastAsia="Palatino Linotype"/>
          <w:b/>
          <w:i/>
          <w:szCs w:val="22"/>
        </w:rPr>
        <w:t>Constitución Política de los Estados Unidos Mexicanos</w:t>
      </w:r>
    </w:p>
    <w:p w14:paraId="6B6C67B6" w14:textId="77777777" w:rsidR="00C049E2" w:rsidRPr="004E0F1E" w:rsidRDefault="00C049E2" w:rsidP="004E0F1E">
      <w:pPr>
        <w:spacing w:line="240" w:lineRule="auto"/>
        <w:ind w:left="567" w:right="539"/>
        <w:rPr>
          <w:rFonts w:eastAsia="Palatino Linotype"/>
          <w:b/>
          <w:i/>
          <w:szCs w:val="22"/>
        </w:rPr>
      </w:pPr>
      <w:r w:rsidRPr="004E0F1E">
        <w:rPr>
          <w:rFonts w:eastAsia="Palatino Linotype"/>
          <w:b/>
          <w:i/>
          <w:szCs w:val="22"/>
        </w:rPr>
        <w:t>“Artículo 6.</w:t>
      </w:r>
    </w:p>
    <w:p w14:paraId="38D3B4C4" w14:textId="77777777" w:rsidR="00C049E2" w:rsidRPr="004E0F1E" w:rsidRDefault="00C049E2" w:rsidP="004E0F1E">
      <w:pPr>
        <w:spacing w:line="240" w:lineRule="auto"/>
        <w:ind w:left="567" w:right="539"/>
        <w:rPr>
          <w:rFonts w:eastAsia="Palatino Linotype"/>
          <w:i/>
          <w:szCs w:val="22"/>
        </w:rPr>
      </w:pPr>
      <w:r w:rsidRPr="004E0F1E">
        <w:rPr>
          <w:rFonts w:eastAsia="Palatino Linotype"/>
          <w:i/>
          <w:szCs w:val="22"/>
        </w:rPr>
        <w:t>(…)</w:t>
      </w:r>
    </w:p>
    <w:p w14:paraId="2CCAA297" w14:textId="6602827B" w:rsidR="00C049E2" w:rsidRPr="004E0F1E" w:rsidRDefault="00C049E2" w:rsidP="004E0F1E">
      <w:pPr>
        <w:spacing w:line="240" w:lineRule="auto"/>
        <w:ind w:left="567" w:right="539"/>
        <w:rPr>
          <w:rFonts w:eastAsia="Palatino Linotype"/>
          <w:i/>
          <w:szCs w:val="22"/>
        </w:rPr>
      </w:pPr>
      <w:r w:rsidRPr="004E0F1E">
        <w:rPr>
          <w:rFonts w:eastAsia="Palatino Linotype"/>
          <w:i/>
          <w:szCs w:val="22"/>
        </w:rPr>
        <w:t>Para efectos de lo dispuesto en el presente artículo se observará lo siguiente:</w:t>
      </w:r>
    </w:p>
    <w:p w14:paraId="74CC3718" w14:textId="77777777" w:rsidR="00C049E2" w:rsidRPr="004E0F1E" w:rsidRDefault="00C049E2" w:rsidP="004E0F1E">
      <w:pPr>
        <w:spacing w:line="240" w:lineRule="auto"/>
        <w:ind w:left="567" w:right="539"/>
        <w:rPr>
          <w:rFonts w:eastAsia="Palatino Linotype"/>
          <w:b/>
          <w:i/>
          <w:szCs w:val="22"/>
        </w:rPr>
      </w:pPr>
      <w:r w:rsidRPr="004E0F1E">
        <w:rPr>
          <w:rFonts w:eastAsia="Palatino Linotype"/>
          <w:b/>
          <w:i/>
          <w:szCs w:val="22"/>
        </w:rPr>
        <w:t>A</w:t>
      </w:r>
      <w:r w:rsidRPr="004E0F1E">
        <w:rPr>
          <w:rFonts w:eastAsia="Palatino Linotype"/>
          <w:i/>
          <w:szCs w:val="22"/>
        </w:rPr>
        <w:t xml:space="preserve">. </w:t>
      </w:r>
      <w:r w:rsidRPr="004E0F1E">
        <w:rPr>
          <w:rFonts w:eastAsia="Palatino Linotype"/>
          <w:b/>
          <w:i/>
          <w:szCs w:val="22"/>
        </w:rPr>
        <w:t>Para el ejercicio del derecho de acceso a la información</w:t>
      </w:r>
      <w:r w:rsidRPr="004E0F1E">
        <w:rPr>
          <w:rFonts w:eastAsia="Palatino Linotype"/>
          <w:i/>
          <w:szCs w:val="22"/>
        </w:rPr>
        <w:t xml:space="preserve">, la Federación y </w:t>
      </w:r>
      <w:r w:rsidRPr="004E0F1E">
        <w:rPr>
          <w:rFonts w:eastAsia="Palatino Linotype"/>
          <w:b/>
          <w:i/>
          <w:szCs w:val="22"/>
        </w:rPr>
        <w:t>las entidades federativas, en el ámbito de sus respectivas competencias, se regirán por los siguientes principios y bases:</w:t>
      </w:r>
    </w:p>
    <w:p w14:paraId="596A956B" w14:textId="77777777" w:rsidR="00C049E2" w:rsidRPr="004E0F1E" w:rsidRDefault="00C049E2" w:rsidP="004E0F1E">
      <w:pPr>
        <w:spacing w:line="240" w:lineRule="auto"/>
        <w:ind w:left="567" w:right="539"/>
        <w:rPr>
          <w:rFonts w:eastAsia="Palatino Linotype"/>
          <w:i/>
          <w:szCs w:val="22"/>
        </w:rPr>
      </w:pPr>
      <w:r w:rsidRPr="004E0F1E">
        <w:rPr>
          <w:rFonts w:eastAsia="Palatino Linotype"/>
          <w:b/>
          <w:i/>
          <w:szCs w:val="22"/>
        </w:rPr>
        <w:t xml:space="preserve">I. </w:t>
      </w:r>
      <w:r w:rsidRPr="004E0F1E">
        <w:rPr>
          <w:rFonts w:eastAsia="Palatino Linotype"/>
          <w:b/>
          <w:i/>
          <w:szCs w:val="22"/>
        </w:rPr>
        <w:tab/>
        <w:t>Toda la información en posesión de cualquier</w:t>
      </w:r>
      <w:r w:rsidRPr="004E0F1E">
        <w:rPr>
          <w:rFonts w:eastAsia="Palatino Linotype"/>
          <w:i/>
          <w:szCs w:val="22"/>
        </w:rPr>
        <w:t xml:space="preserve"> </w:t>
      </w:r>
      <w:r w:rsidRPr="004E0F1E">
        <w:rPr>
          <w:rFonts w:eastAsia="Palatino Linotype"/>
          <w:b/>
          <w:i/>
          <w:szCs w:val="22"/>
        </w:rPr>
        <w:t>autoridad</w:t>
      </w:r>
      <w:r w:rsidRPr="004E0F1E">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E0F1E">
        <w:rPr>
          <w:rFonts w:eastAsia="Palatino Linotype"/>
          <w:b/>
          <w:i/>
          <w:szCs w:val="22"/>
        </w:rPr>
        <w:t>municipal</w:t>
      </w:r>
      <w:r w:rsidRPr="004E0F1E">
        <w:rPr>
          <w:rFonts w:eastAsia="Palatino Linotype"/>
          <w:i/>
          <w:szCs w:val="22"/>
        </w:rPr>
        <w:t xml:space="preserve">, </w:t>
      </w:r>
      <w:r w:rsidRPr="004E0F1E">
        <w:rPr>
          <w:rFonts w:eastAsia="Palatino Linotype"/>
          <w:b/>
          <w:i/>
          <w:szCs w:val="22"/>
        </w:rPr>
        <w:t>es pública</w:t>
      </w:r>
      <w:r w:rsidRPr="004E0F1E">
        <w:rPr>
          <w:rFonts w:eastAsia="Palatino Linotype"/>
          <w:i/>
          <w:szCs w:val="22"/>
        </w:rPr>
        <w:t xml:space="preserve"> y sólo podrá ser reservada temporalmente por razones de interés público y seguridad nacional, en los términos que fijen las leyes. </w:t>
      </w:r>
      <w:r w:rsidRPr="004E0F1E">
        <w:rPr>
          <w:rFonts w:eastAsia="Palatino Linotype"/>
          <w:b/>
          <w:i/>
          <w:szCs w:val="22"/>
        </w:rPr>
        <w:t xml:space="preserve">En la interpretación de este derecho deberá </w:t>
      </w:r>
      <w:r w:rsidRPr="004E0F1E">
        <w:rPr>
          <w:rFonts w:eastAsia="Palatino Linotype"/>
          <w:b/>
          <w:i/>
          <w:szCs w:val="22"/>
        </w:rPr>
        <w:lastRenderedPageBreak/>
        <w:t>prevalecer el principio de máxima publicidad. Los sujetos obligados deberán documentar todo acto que derive del ejercicio de sus facultades, competencias o funciones</w:t>
      </w:r>
      <w:r w:rsidRPr="004E0F1E">
        <w:rPr>
          <w:rFonts w:eastAsia="Palatino Linotype"/>
          <w:i/>
          <w:szCs w:val="22"/>
        </w:rPr>
        <w:t>, la ley determinará los supuestos específicos bajo los cuales procederá la declaración de inexistencia de la información.”</w:t>
      </w:r>
    </w:p>
    <w:p w14:paraId="68F313E4" w14:textId="77777777" w:rsidR="00C049E2" w:rsidRPr="004E0F1E" w:rsidRDefault="00C049E2" w:rsidP="004E0F1E">
      <w:pPr>
        <w:spacing w:line="240" w:lineRule="auto"/>
        <w:ind w:left="567" w:right="539"/>
        <w:rPr>
          <w:rFonts w:eastAsia="Palatino Linotype"/>
          <w:b/>
          <w:i/>
          <w:szCs w:val="22"/>
        </w:rPr>
      </w:pPr>
    </w:p>
    <w:p w14:paraId="504F12DB" w14:textId="77777777" w:rsidR="00C049E2" w:rsidRPr="004E0F1E" w:rsidRDefault="00C049E2" w:rsidP="004E0F1E">
      <w:pPr>
        <w:spacing w:line="240" w:lineRule="auto"/>
        <w:ind w:left="567" w:right="539"/>
        <w:rPr>
          <w:rFonts w:eastAsia="Palatino Linotype"/>
          <w:b/>
          <w:i/>
          <w:szCs w:val="22"/>
        </w:rPr>
      </w:pPr>
      <w:r w:rsidRPr="004E0F1E">
        <w:rPr>
          <w:rFonts w:eastAsia="Palatino Linotype"/>
          <w:b/>
          <w:i/>
          <w:szCs w:val="22"/>
        </w:rPr>
        <w:t>Constitución Política del Estado Libre y Soberano de México</w:t>
      </w:r>
    </w:p>
    <w:p w14:paraId="04932D29" w14:textId="77777777" w:rsidR="00C049E2" w:rsidRPr="004E0F1E" w:rsidRDefault="00C049E2" w:rsidP="004E0F1E">
      <w:pPr>
        <w:spacing w:line="240" w:lineRule="auto"/>
        <w:ind w:left="567" w:right="539"/>
        <w:rPr>
          <w:rFonts w:eastAsia="Palatino Linotype"/>
          <w:i/>
          <w:szCs w:val="22"/>
        </w:rPr>
      </w:pPr>
      <w:r w:rsidRPr="004E0F1E">
        <w:rPr>
          <w:rFonts w:eastAsia="Palatino Linotype"/>
          <w:b/>
          <w:i/>
          <w:szCs w:val="22"/>
        </w:rPr>
        <w:t>“Artículo 5</w:t>
      </w:r>
      <w:r w:rsidRPr="004E0F1E">
        <w:rPr>
          <w:rFonts w:eastAsia="Palatino Linotype"/>
          <w:i/>
          <w:szCs w:val="22"/>
        </w:rPr>
        <w:t xml:space="preserve">.- </w:t>
      </w:r>
    </w:p>
    <w:p w14:paraId="1D3829F4" w14:textId="77777777" w:rsidR="00C049E2" w:rsidRPr="004E0F1E" w:rsidRDefault="00C049E2" w:rsidP="004E0F1E">
      <w:pPr>
        <w:spacing w:line="240" w:lineRule="auto"/>
        <w:ind w:left="567" w:right="539"/>
        <w:rPr>
          <w:rFonts w:eastAsia="Palatino Linotype"/>
          <w:i/>
          <w:szCs w:val="22"/>
        </w:rPr>
      </w:pPr>
      <w:r w:rsidRPr="004E0F1E">
        <w:rPr>
          <w:rFonts w:eastAsia="Palatino Linotype"/>
          <w:i/>
          <w:szCs w:val="22"/>
        </w:rPr>
        <w:t>(…)</w:t>
      </w:r>
    </w:p>
    <w:p w14:paraId="0EAE47FD" w14:textId="77777777" w:rsidR="00C049E2" w:rsidRPr="004E0F1E" w:rsidRDefault="00C049E2" w:rsidP="004E0F1E">
      <w:pPr>
        <w:spacing w:line="240" w:lineRule="auto"/>
        <w:ind w:left="567" w:right="539"/>
        <w:rPr>
          <w:rFonts w:eastAsia="Palatino Linotype"/>
          <w:i/>
          <w:szCs w:val="22"/>
        </w:rPr>
      </w:pPr>
      <w:r w:rsidRPr="004E0F1E">
        <w:rPr>
          <w:rFonts w:eastAsia="Palatino Linotype"/>
          <w:b/>
          <w:i/>
          <w:szCs w:val="22"/>
        </w:rPr>
        <w:t>El derecho a la información será garantizado por el Estado. La ley establecerá las previsiones que permitan asegurar la protección, el respeto y la difusión de este derecho</w:t>
      </w:r>
      <w:r w:rsidRPr="004E0F1E">
        <w:rPr>
          <w:rFonts w:eastAsia="Palatino Linotype"/>
          <w:i/>
          <w:szCs w:val="22"/>
        </w:rPr>
        <w:t>.</w:t>
      </w:r>
    </w:p>
    <w:p w14:paraId="4F0C804A" w14:textId="77777777" w:rsidR="00C049E2" w:rsidRPr="004E0F1E" w:rsidRDefault="00C049E2" w:rsidP="004E0F1E">
      <w:pPr>
        <w:spacing w:line="240" w:lineRule="auto"/>
        <w:ind w:left="567" w:right="539"/>
        <w:rPr>
          <w:rFonts w:eastAsia="Palatino Linotype"/>
          <w:i/>
          <w:szCs w:val="22"/>
        </w:rPr>
      </w:pPr>
      <w:r w:rsidRPr="004E0F1E">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E0F1E" w:rsidRDefault="00C049E2" w:rsidP="004E0F1E">
      <w:pPr>
        <w:spacing w:line="240" w:lineRule="auto"/>
        <w:ind w:left="567" w:right="539"/>
        <w:rPr>
          <w:rFonts w:eastAsia="Palatino Linotype"/>
          <w:i/>
          <w:szCs w:val="22"/>
        </w:rPr>
      </w:pPr>
      <w:r w:rsidRPr="004E0F1E">
        <w:rPr>
          <w:rFonts w:eastAsia="Palatino Linotype"/>
          <w:b/>
          <w:i/>
          <w:szCs w:val="22"/>
        </w:rPr>
        <w:t>Este derecho se regirá por los principios y bases siguientes</w:t>
      </w:r>
      <w:r w:rsidRPr="004E0F1E">
        <w:rPr>
          <w:rFonts w:eastAsia="Palatino Linotype"/>
          <w:i/>
          <w:szCs w:val="22"/>
        </w:rPr>
        <w:t>:</w:t>
      </w:r>
    </w:p>
    <w:p w14:paraId="4A3E8CBA" w14:textId="77777777" w:rsidR="00C049E2" w:rsidRPr="004E0F1E" w:rsidRDefault="00C049E2" w:rsidP="004E0F1E">
      <w:pPr>
        <w:spacing w:line="240" w:lineRule="auto"/>
        <w:ind w:left="567" w:right="539"/>
        <w:rPr>
          <w:rFonts w:eastAsia="Palatino Linotype"/>
          <w:i/>
          <w:szCs w:val="22"/>
        </w:rPr>
      </w:pPr>
      <w:r w:rsidRPr="004E0F1E">
        <w:rPr>
          <w:rFonts w:eastAsia="Palatino Linotype"/>
          <w:b/>
          <w:i/>
          <w:szCs w:val="22"/>
        </w:rPr>
        <w:t>I. Toda la información en posesión de cualquier autoridad, entidad, órgano y organismos de los</w:t>
      </w:r>
      <w:r w:rsidRPr="004E0F1E">
        <w:rPr>
          <w:rFonts w:eastAsia="Palatino Linotype"/>
          <w:i/>
          <w:szCs w:val="22"/>
        </w:rPr>
        <w:t xml:space="preserve"> Poderes Ejecutivo, Legislativo y Judicial, órganos autónomos, partidos políticos, fideicomisos y fondos públicos estatales y </w:t>
      </w:r>
      <w:r w:rsidRPr="004E0F1E">
        <w:rPr>
          <w:rFonts w:eastAsia="Palatino Linotype"/>
          <w:b/>
          <w:i/>
          <w:szCs w:val="22"/>
        </w:rPr>
        <w:t>municipales</w:t>
      </w:r>
      <w:r w:rsidRPr="004E0F1E">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E0F1E">
        <w:rPr>
          <w:rFonts w:eastAsia="Palatino Linotype"/>
          <w:b/>
          <w:i/>
          <w:szCs w:val="22"/>
        </w:rPr>
        <w:t>es pública</w:t>
      </w:r>
      <w:r w:rsidRPr="004E0F1E">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4E0F1E">
        <w:rPr>
          <w:rFonts w:eastAsia="Palatino Linotype"/>
          <w:b/>
          <w:i/>
          <w:szCs w:val="22"/>
        </w:rPr>
        <w:t>En la interpretación de este derecho deberá prevalecer el principio de máxima publicidad</w:t>
      </w:r>
      <w:r w:rsidRPr="004E0F1E">
        <w:rPr>
          <w:rFonts w:eastAsia="Palatino Linotype"/>
          <w:i/>
          <w:szCs w:val="22"/>
        </w:rPr>
        <w:t xml:space="preserve">. </w:t>
      </w:r>
      <w:r w:rsidRPr="004E0F1E">
        <w:rPr>
          <w:rFonts w:eastAsia="Palatino Linotype"/>
          <w:b/>
          <w:i/>
          <w:szCs w:val="22"/>
        </w:rPr>
        <w:t>Los sujetos obligados deberán documentar todo acto que derive del ejercicio de sus facultades, competencias o funciones</w:t>
      </w:r>
      <w:r w:rsidRPr="004E0F1E">
        <w:rPr>
          <w:rFonts w:eastAsia="Palatino Linotype"/>
          <w:i/>
          <w:szCs w:val="22"/>
        </w:rPr>
        <w:t>, la ley determinará los supuestos específicos bajo los cuales procederá la declaración de inexistencia de la información.”</w:t>
      </w:r>
    </w:p>
    <w:p w14:paraId="5CA98E37" w14:textId="77777777" w:rsidR="00C049E2" w:rsidRPr="004E0F1E" w:rsidRDefault="00C049E2" w:rsidP="004E0F1E">
      <w:pPr>
        <w:ind w:right="-312"/>
        <w:rPr>
          <w:rFonts w:eastAsia="Palatino Linotype"/>
          <w:b/>
          <w:i/>
          <w:szCs w:val="22"/>
        </w:rPr>
      </w:pPr>
    </w:p>
    <w:p w14:paraId="6FC1BB3B" w14:textId="3BF4A33D" w:rsidR="00C049E2" w:rsidRPr="004E0F1E" w:rsidRDefault="00717E59" w:rsidP="004E0F1E">
      <w:pPr>
        <w:ind w:right="-312"/>
        <w:rPr>
          <w:rFonts w:eastAsia="Palatino Linotype"/>
          <w:i/>
          <w:szCs w:val="22"/>
        </w:rPr>
      </w:pPr>
      <w:r w:rsidRPr="004E0F1E">
        <w:rPr>
          <w:rFonts w:eastAsia="Palatino Linotype"/>
          <w:szCs w:val="22"/>
        </w:rPr>
        <w:t xml:space="preserve">Asimismo, </w:t>
      </w:r>
      <w:r w:rsidR="00C049E2" w:rsidRPr="004E0F1E">
        <w:rPr>
          <w:rFonts w:eastAsia="Palatino Linotype"/>
          <w:szCs w:val="22"/>
        </w:rPr>
        <w:t>el artículo 150 de la Ley de Transparencia y Acceso a la Información Pública del Estado de México y Municipios</w:t>
      </w:r>
      <w:r w:rsidR="00057B2D" w:rsidRPr="004E0F1E">
        <w:rPr>
          <w:rFonts w:eastAsia="Palatino Linotype"/>
          <w:szCs w:val="22"/>
        </w:rPr>
        <w:t xml:space="preserve"> </w:t>
      </w:r>
      <w:r w:rsidR="00E9335C" w:rsidRPr="004E0F1E">
        <w:rPr>
          <w:rFonts w:eastAsia="Palatino Linotype"/>
          <w:szCs w:val="22"/>
        </w:rPr>
        <w:t xml:space="preserve">indica </w:t>
      </w:r>
      <w:r w:rsidR="00057B2D" w:rsidRPr="004E0F1E">
        <w:rPr>
          <w:rFonts w:eastAsia="Palatino Linotype"/>
          <w:szCs w:val="22"/>
        </w:rPr>
        <w:t>que</w:t>
      </w:r>
      <w:r w:rsidR="00C049E2" w:rsidRPr="004E0F1E">
        <w:rPr>
          <w:rFonts w:eastAsia="Palatino Linotype"/>
          <w:szCs w:val="22"/>
        </w:rPr>
        <w:t xml:space="preserve"> la solicitud es la garantía primaria del Derecho de Acceso a la Información, además, establece que se regirá </w:t>
      </w:r>
      <w:r w:rsidR="00C049E2" w:rsidRPr="004E0F1E">
        <w:rPr>
          <w:rFonts w:eastAsia="Palatino Linotype"/>
          <w:i/>
          <w:szCs w:val="22"/>
        </w:rPr>
        <w:t>por los principios de simplicidad, rapidez</w:t>
      </w:r>
      <w:r w:rsidR="005F65B7" w:rsidRPr="004E0F1E">
        <w:rPr>
          <w:rFonts w:eastAsia="Palatino Linotype"/>
          <w:i/>
          <w:szCs w:val="22"/>
        </w:rPr>
        <w:t>,</w:t>
      </w:r>
      <w:r w:rsidR="00C049E2" w:rsidRPr="004E0F1E">
        <w:rPr>
          <w:rFonts w:eastAsia="Palatino Linotype"/>
          <w:i/>
          <w:szCs w:val="22"/>
        </w:rPr>
        <w:t xml:space="preserve"> gratuidad del procedimiento, auxilio y orientación a los particulare</w:t>
      </w:r>
      <w:r w:rsidR="001A58B3" w:rsidRPr="004E0F1E">
        <w:rPr>
          <w:rFonts w:eastAsia="Palatino Linotype"/>
          <w:i/>
          <w:szCs w:val="22"/>
        </w:rPr>
        <w:t>s.</w:t>
      </w:r>
    </w:p>
    <w:p w14:paraId="033466A6" w14:textId="77777777" w:rsidR="001A58B3" w:rsidRPr="004E0F1E" w:rsidRDefault="001A58B3" w:rsidP="004E0F1E">
      <w:pPr>
        <w:ind w:right="-312"/>
        <w:rPr>
          <w:rFonts w:eastAsia="Palatino Linotype"/>
          <w:i/>
          <w:szCs w:val="22"/>
        </w:rPr>
      </w:pPr>
    </w:p>
    <w:p w14:paraId="04ADA10B" w14:textId="574A944A" w:rsidR="001A58B3" w:rsidRPr="004E0F1E" w:rsidRDefault="00233F17" w:rsidP="004E0F1E">
      <w:pPr>
        <w:ind w:right="-312"/>
        <w:rPr>
          <w:rFonts w:eastAsia="Palatino Linotype" w:cs="Palatino Linotype"/>
          <w:i/>
          <w:szCs w:val="22"/>
        </w:rPr>
      </w:pPr>
      <w:r w:rsidRPr="004E0F1E">
        <w:rPr>
          <w:rFonts w:eastAsia="Palatino Linotype" w:cs="Palatino Linotype"/>
          <w:szCs w:val="22"/>
        </w:rPr>
        <w:lastRenderedPageBreak/>
        <w:t xml:space="preserve">Por su parte, el artículo 4 de </w:t>
      </w:r>
      <w:r w:rsidR="001A58B3" w:rsidRPr="004E0F1E">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E0F1E">
        <w:rPr>
          <w:rFonts w:eastAsia="Palatino Linotype" w:cs="Palatino Linotype"/>
          <w:szCs w:val="22"/>
        </w:rPr>
        <w:t>.</w:t>
      </w:r>
    </w:p>
    <w:p w14:paraId="1407DBB8" w14:textId="77777777" w:rsidR="001A58B3" w:rsidRPr="004E0F1E" w:rsidRDefault="001A58B3" w:rsidP="004E0F1E">
      <w:pPr>
        <w:ind w:right="-312"/>
        <w:rPr>
          <w:rFonts w:eastAsia="Palatino Linotype" w:cs="Palatino Linotype"/>
          <w:szCs w:val="22"/>
        </w:rPr>
      </w:pPr>
    </w:p>
    <w:p w14:paraId="7552AA79" w14:textId="5C52E4A4" w:rsidR="001A58B3" w:rsidRPr="004E0F1E" w:rsidRDefault="001A58B3" w:rsidP="004E0F1E">
      <w:pPr>
        <w:ind w:right="-312"/>
        <w:rPr>
          <w:rFonts w:eastAsia="Palatino Linotype" w:cs="Palatino Linotype"/>
          <w:szCs w:val="22"/>
        </w:rPr>
      </w:pPr>
      <w:r w:rsidRPr="004E0F1E">
        <w:rPr>
          <w:rFonts w:eastAsia="Palatino Linotype" w:cs="Palatino Linotype"/>
          <w:szCs w:val="22"/>
        </w:rPr>
        <w:t xml:space="preserve">Esto es, que los Sujetos Obligados </w:t>
      </w:r>
      <w:r w:rsidR="00FA5957" w:rsidRPr="004E0F1E">
        <w:rPr>
          <w:rFonts w:eastAsia="Palatino Linotype" w:cs="Palatino Linotype"/>
          <w:szCs w:val="22"/>
        </w:rPr>
        <w:t>deben</w:t>
      </w:r>
      <w:r w:rsidRPr="004E0F1E">
        <w:rPr>
          <w:rFonts w:eastAsia="Palatino Linotype" w:cs="Palatino Linotype"/>
          <w:szCs w:val="22"/>
        </w:rPr>
        <w:t xml:space="preserve"> atender las solicitudes de acceso a la información pública que se les </w:t>
      </w:r>
      <w:r w:rsidR="00FA5957" w:rsidRPr="004E0F1E">
        <w:rPr>
          <w:rFonts w:eastAsia="Palatino Linotype" w:cs="Palatino Linotype"/>
          <w:szCs w:val="22"/>
        </w:rPr>
        <w:t>sean realizadas,</w:t>
      </w:r>
      <w:r w:rsidRPr="004E0F1E">
        <w:rPr>
          <w:rFonts w:eastAsia="Palatino Linotype" w:cs="Palatino Linotype"/>
          <w:szCs w:val="22"/>
        </w:rPr>
        <w:t xml:space="preserve"> y proporcionar la información pública que obre en su poder</w:t>
      </w:r>
      <w:r w:rsidR="00FA5957" w:rsidRPr="004E0F1E">
        <w:rPr>
          <w:rFonts w:eastAsia="Palatino Linotype" w:cs="Palatino Linotype"/>
          <w:szCs w:val="22"/>
        </w:rPr>
        <w:t>,</w:t>
      </w:r>
      <w:r w:rsidRPr="004E0F1E">
        <w:rPr>
          <w:rFonts w:eastAsia="Palatino Linotype" w:cs="Palatino Linotype"/>
          <w:szCs w:val="22"/>
        </w:rPr>
        <w:t xml:space="preserve"> conforme </w:t>
      </w:r>
      <w:r w:rsidR="00FA5957" w:rsidRPr="004E0F1E">
        <w:rPr>
          <w:rFonts w:eastAsia="Palatino Linotype" w:cs="Palatino Linotype"/>
          <w:szCs w:val="22"/>
        </w:rPr>
        <w:t>a</w:t>
      </w:r>
      <w:r w:rsidRPr="004E0F1E">
        <w:rPr>
          <w:rFonts w:eastAsia="Palatino Linotype" w:cs="Palatino Linotype"/>
          <w:szCs w:val="22"/>
        </w:rPr>
        <w:t xml:space="preserve">l estado </w:t>
      </w:r>
      <w:r w:rsidR="00FA5957" w:rsidRPr="004E0F1E">
        <w:rPr>
          <w:rFonts w:eastAsia="Palatino Linotype" w:cs="Palatino Linotype"/>
          <w:szCs w:val="22"/>
        </w:rPr>
        <w:t xml:space="preserve">en </w:t>
      </w:r>
      <w:r w:rsidRPr="004E0F1E">
        <w:rPr>
          <w:rFonts w:eastAsia="Palatino Linotype" w:cs="Palatino Linotype"/>
          <w:szCs w:val="22"/>
        </w:rPr>
        <w:t>que se encuentr</w:t>
      </w:r>
      <w:r w:rsidR="00FA5957" w:rsidRPr="004E0F1E">
        <w:rPr>
          <w:rFonts w:eastAsia="Palatino Linotype" w:cs="Palatino Linotype"/>
          <w:szCs w:val="22"/>
        </w:rPr>
        <w:t>e, sin que sea necesario</w:t>
      </w:r>
      <w:r w:rsidRPr="004E0F1E">
        <w:rPr>
          <w:rFonts w:eastAsia="Palatino Linotype" w:cs="Palatino Linotype"/>
          <w:szCs w:val="22"/>
        </w:rPr>
        <w:t xml:space="preserve"> </w:t>
      </w:r>
      <w:r w:rsidR="00FA5957" w:rsidRPr="004E0F1E">
        <w:rPr>
          <w:rFonts w:eastAsia="Palatino Linotype" w:cs="Palatino Linotype"/>
          <w:szCs w:val="22"/>
        </w:rPr>
        <w:t>procesar</w:t>
      </w:r>
      <w:r w:rsidRPr="004E0F1E">
        <w:rPr>
          <w:rFonts w:eastAsia="Palatino Linotype" w:cs="Palatino Linotype"/>
          <w:szCs w:val="22"/>
        </w:rPr>
        <w:t xml:space="preserve"> la misma, ni presentarla conforme al interés del solicitante; </w:t>
      </w:r>
      <w:r w:rsidR="00FA5957" w:rsidRPr="004E0F1E">
        <w:rPr>
          <w:rFonts w:eastAsia="Palatino Linotype" w:cs="Palatino Linotype"/>
          <w:szCs w:val="22"/>
        </w:rPr>
        <w:t>tal y como</w:t>
      </w:r>
      <w:r w:rsidRPr="004E0F1E">
        <w:rPr>
          <w:rFonts w:eastAsia="Palatino Linotype" w:cs="Palatino Linotype"/>
          <w:szCs w:val="22"/>
        </w:rPr>
        <w:t xml:space="preserve"> lo establece el artículo 12 de la Ley de Transparencia y Acceso a la Información Pública del Estado de México y Municipios</w:t>
      </w:r>
      <w:r w:rsidR="00970EB3" w:rsidRPr="004E0F1E">
        <w:rPr>
          <w:rFonts w:eastAsia="Palatino Linotype" w:cs="Palatino Linotype"/>
          <w:szCs w:val="22"/>
        </w:rPr>
        <w:t>.</w:t>
      </w:r>
    </w:p>
    <w:p w14:paraId="73245195" w14:textId="77777777" w:rsidR="00970EB3" w:rsidRPr="004E0F1E" w:rsidRDefault="00970EB3" w:rsidP="004E0F1E">
      <w:pPr>
        <w:ind w:right="-312"/>
        <w:rPr>
          <w:rFonts w:eastAsia="Palatino Linotype" w:cs="Palatino Linotype"/>
          <w:szCs w:val="22"/>
        </w:rPr>
      </w:pPr>
    </w:p>
    <w:p w14:paraId="7F62D4DF" w14:textId="775730E1" w:rsidR="001A58B3" w:rsidRPr="004E0F1E" w:rsidRDefault="001A58B3" w:rsidP="004E0F1E">
      <w:pPr>
        <w:ind w:right="-312"/>
        <w:rPr>
          <w:rFonts w:eastAsia="Palatino Linotype" w:cs="Palatino Linotype"/>
          <w:szCs w:val="22"/>
        </w:rPr>
      </w:pPr>
      <w:r w:rsidRPr="004E0F1E">
        <w:rPr>
          <w:rFonts w:eastAsia="Palatino Linotype" w:cs="Palatino Linotype"/>
          <w:szCs w:val="22"/>
        </w:rPr>
        <w:t>Es decir, que todo sujeto obligado que genere, recopile, administre, procese, archive, posea o conserven, son responsables de la misma</w:t>
      </w:r>
      <w:r w:rsidR="00970EB3" w:rsidRPr="004E0F1E">
        <w:rPr>
          <w:rFonts w:eastAsia="Palatino Linotype" w:cs="Palatino Linotype"/>
          <w:szCs w:val="22"/>
        </w:rPr>
        <w:t>,</w:t>
      </w:r>
      <w:r w:rsidRPr="004E0F1E">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4E0F1E">
        <w:rPr>
          <w:rFonts w:eastAsia="Palatino Linotype" w:cs="Palatino Linotype"/>
          <w:szCs w:val="22"/>
        </w:rPr>
        <w:t>o</w:t>
      </w:r>
      <w:r w:rsidRPr="004E0F1E">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E0F1E" w:rsidRDefault="001A58B3" w:rsidP="004E0F1E">
      <w:pPr>
        <w:ind w:right="-312"/>
        <w:rPr>
          <w:rFonts w:eastAsia="Palatino Linotype" w:cs="Palatino Linotype"/>
          <w:szCs w:val="22"/>
        </w:rPr>
      </w:pPr>
    </w:p>
    <w:p w14:paraId="04E42DFE" w14:textId="573F1198" w:rsidR="001A58B3" w:rsidRPr="004E0F1E" w:rsidRDefault="001A58B3" w:rsidP="004E0F1E">
      <w:pPr>
        <w:ind w:right="-312"/>
        <w:rPr>
          <w:rFonts w:eastAsia="Palatino Linotype" w:cs="Palatino Linotype"/>
          <w:szCs w:val="22"/>
        </w:rPr>
      </w:pPr>
      <w:r w:rsidRPr="004E0F1E">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4E0F1E">
        <w:rPr>
          <w:rFonts w:eastAsia="Palatino Linotype" w:cs="Palatino Linotype"/>
          <w:szCs w:val="22"/>
        </w:rPr>
        <w:lastRenderedPageBreak/>
        <w:t>garantizar el Derecho de Acceso a la Información Pública</w:t>
      </w:r>
      <w:r w:rsidR="00331F35" w:rsidRPr="004E0F1E">
        <w:rPr>
          <w:rFonts w:eastAsia="Palatino Linotype" w:cs="Palatino Linotype"/>
          <w:szCs w:val="22"/>
        </w:rPr>
        <w:t>, s</w:t>
      </w:r>
      <w:r w:rsidRPr="004E0F1E">
        <w:rPr>
          <w:rFonts w:eastAsia="Palatino Linotype" w:cs="Palatino Linotype"/>
          <w:szCs w:val="22"/>
        </w:rPr>
        <w:t xml:space="preserve">iempre y cuando no se trate de información reservada o </w:t>
      </w:r>
      <w:r w:rsidR="00331F35" w:rsidRPr="004E0F1E">
        <w:rPr>
          <w:rFonts w:eastAsia="Palatino Linotype" w:cs="Palatino Linotype"/>
          <w:szCs w:val="22"/>
        </w:rPr>
        <w:t>confidencial.</w:t>
      </w:r>
    </w:p>
    <w:p w14:paraId="40C5219F" w14:textId="77777777" w:rsidR="001A58B3" w:rsidRPr="004E0F1E" w:rsidRDefault="001A58B3" w:rsidP="004E0F1E">
      <w:pPr>
        <w:ind w:right="-312"/>
        <w:rPr>
          <w:rFonts w:eastAsia="Palatino Linotype" w:cs="Palatino Linotype"/>
          <w:szCs w:val="22"/>
        </w:rPr>
      </w:pPr>
    </w:p>
    <w:p w14:paraId="51A0E8B4" w14:textId="676DCA47" w:rsidR="00664420" w:rsidRPr="004E0F1E" w:rsidRDefault="00C71CEF" w:rsidP="004E0F1E">
      <w:pPr>
        <w:pStyle w:val="Ttulo3"/>
        <w:ind w:right="-312"/>
        <w:rPr>
          <w:rFonts w:eastAsia="Calibri"/>
          <w:szCs w:val="22"/>
          <w:lang w:eastAsia="es-ES_tradnl"/>
        </w:rPr>
      </w:pPr>
      <w:bookmarkStart w:id="24" w:name="_heading=h.2s8eyo1" w:colFirst="0" w:colLast="0"/>
      <w:bookmarkStart w:id="25" w:name="_Toc172748421"/>
      <w:bookmarkEnd w:id="24"/>
      <w:r w:rsidRPr="004E0F1E">
        <w:rPr>
          <w:rFonts w:eastAsia="Calibri"/>
          <w:szCs w:val="22"/>
          <w:lang w:eastAsia="es-ES_tradnl"/>
        </w:rPr>
        <w:t>b)</w:t>
      </w:r>
      <w:r w:rsidR="00A53315" w:rsidRPr="004E0F1E">
        <w:rPr>
          <w:rFonts w:eastAsia="Calibri"/>
          <w:szCs w:val="22"/>
          <w:lang w:eastAsia="es-ES_tradnl"/>
        </w:rPr>
        <w:t xml:space="preserve"> </w:t>
      </w:r>
      <w:r w:rsidR="00A21A20" w:rsidRPr="004E0F1E">
        <w:rPr>
          <w:rFonts w:eastAsia="Calibri"/>
          <w:szCs w:val="22"/>
          <w:lang w:eastAsia="es-ES_tradnl"/>
        </w:rPr>
        <w:t>Controversia a resolver</w:t>
      </w:r>
      <w:bookmarkEnd w:id="25"/>
    </w:p>
    <w:p w14:paraId="5DAE2A65" w14:textId="382C31A9" w:rsidR="00664420" w:rsidRPr="004E0F1E" w:rsidRDefault="00664420" w:rsidP="004E0F1E">
      <w:pPr>
        <w:ind w:right="-312"/>
        <w:rPr>
          <w:rFonts w:eastAsia="Calibri"/>
          <w:szCs w:val="22"/>
          <w:lang w:eastAsia="es-ES_tradnl"/>
        </w:rPr>
      </w:pPr>
      <w:r w:rsidRPr="004E0F1E">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E0F1E">
        <w:rPr>
          <w:rFonts w:eastAsia="Calibri"/>
          <w:b/>
          <w:bCs/>
          <w:szCs w:val="22"/>
          <w:lang w:eastAsia="es-ES_tradnl"/>
        </w:rPr>
        <w:t>LA PARTE RECURRENTE</w:t>
      </w:r>
      <w:r w:rsidRPr="004E0F1E">
        <w:rPr>
          <w:rFonts w:eastAsia="Calibri"/>
          <w:szCs w:val="22"/>
          <w:lang w:eastAsia="es-ES_tradnl"/>
        </w:rPr>
        <w:t xml:space="preserve"> solicitó lo siguiente:</w:t>
      </w:r>
    </w:p>
    <w:p w14:paraId="58466D4F" w14:textId="77777777" w:rsidR="008C1421" w:rsidRPr="004E0F1E" w:rsidRDefault="008C1421" w:rsidP="004E0F1E">
      <w:pPr>
        <w:ind w:right="-312"/>
        <w:rPr>
          <w:rFonts w:eastAsia="Calibri"/>
          <w:szCs w:val="22"/>
          <w:lang w:eastAsia="es-ES_tradnl"/>
        </w:rPr>
      </w:pPr>
    </w:p>
    <w:p w14:paraId="3F2C7894" w14:textId="7E9C9E76" w:rsidR="002F3F8F" w:rsidRPr="004E0F1E" w:rsidRDefault="00040608" w:rsidP="004E0F1E">
      <w:pPr>
        <w:tabs>
          <w:tab w:val="left" w:pos="4962"/>
        </w:tabs>
        <w:ind w:right="-312"/>
        <w:contextualSpacing/>
        <w:rPr>
          <w:rFonts w:cs="Tahoma"/>
          <w:bCs/>
          <w:i/>
          <w:iCs/>
          <w:szCs w:val="22"/>
        </w:rPr>
      </w:pPr>
      <w:r w:rsidRPr="004E0F1E">
        <w:rPr>
          <w:rFonts w:cs="Tahoma"/>
          <w:bCs/>
          <w:i/>
          <w:iCs/>
          <w:szCs w:val="22"/>
        </w:rPr>
        <w:t>E</w:t>
      </w:r>
      <w:r w:rsidR="008C1421" w:rsidRPr="004E0F1E">
        <w:rPr>
          <w:rFonts w:cs="Tahoma"/>
          <w:bCs/>
          <w:i/>
          <w:iCs/>
          <w:szCs w:val="22"/>
        </w:rPr>
        <w:t xml:space="preserve">l documento que fundamenta y motiva la actuación de la directora escolar </w:t>
      </w:r>
      <w:proofErr w:type="spellStart"/>
      <w:r w:rsidR="008C1421" w:rsidRPr="004E0F1E">
        <w:rPr>
          <w:rFonts w:cs="Tahoma"/>
          <w:bCs/>
          <w:i/>
          <w:iCs/>
          <w:szCs w:val="22"/>
        </w:rPr>
        <w:t>perama</w:t>
      </w:r>
      <w:proofErr w:type="spellEnd"/>
      <w:r w:rsidR="008C1421" w:rsidRPr="004E0F1E">
        <w:rPr>
          <w:rFonts w:cs="Tahoma"/>
          <w:bCs/>
          <w:i/>
          <w:iCs/>
          <w:szCs w:val="22"/>
        </w:rPr>
        <w:t xml:space="preserve"> colín </w:t>
      </w:r>
      <w:proofErr w:type="spellStart"/>
      <w:r w:rsidR="008C1421" w:rsidRPr="004E0F1E">
        <w:rPr>
          <w:rFonts w:cs="Tahoma"/>
          <w:bCs/>
          <w:i/>
          <w:iCs/>
          <w:szCs w:val="22"/>
        </w:rPr>
        <w:t>Martinez</w:t>
      </w:r>
      <w:proofErr w:type="spellEnd"/>
      <w:r w:rsidR="008C1421" w:rsidRPr="004E0F1E">
        <w:rPr>
          <w:rFonts w:cs="Tahoma"/>
          <w:bCs/>
          <w:i/>
          <w:iCs/>
          <w:szCs w:val="22"/>
        </w:rPr>
        <w:t xml:space="preserve"> de la escuela primaria anexa a la normal de </w:t>
      </w:r>
      <w:proofErr w:type="spellStart"/>
      <w:r w:rsidR="008C1421" w:rsidRPr="004E0F1E">
        <w:rPr>
          <w:rFonts w:cs="Tahoma"/>
          <w:bCs/>
          <w:i/>
          <w:iCs/>
          <w:szCs w:val="22"/>
        </w:rPr>
        <w:t>atlacomulco</w:t>
      </w:r>
      <w:proofErr w:type="spellEnd"/>
      <w:r w:rsidR="008C1421" w:rsidRPr="004E0F1E">
        <w:rPr>
          <w:rFonts w:cs="Tahoma"/>
          <w:bCs/>
          <w:i/>
          <w:iCs/>
          <w:szCs w:val="22"/>
        </w:rPr>
        <w:t xml:space="preserve"> al permitir expresamente que la maestra </w:t>
      </w:r>
      <w:proofErr w:type="spellStart"/>
      <w:r w:rsidR="008C1421" w:rsidRPr="004E0F1E">
        <w:rPr>
          <w:rFonts w:cs="Tahoma"/>
          <w:bCs/>
          <w:i/>
          <w:iCs/>
          <w:szCs w:val="22"/>
        </w:rPr>
        <w:t>claudia</w:t>
      </w:r>
      <w:proofErr w:type="spellEnd"/>
      <w:r w:rsidR="008C1421" w:rsidRPr="004E0F1E">
        <w:rPr>
          <w:rFonts w:cs="Tahoma"/>
          <w:bCs/>
          <w:i/>
          <w:iCs/>
          <w:szCs w:val="22"/>
        </w:rPr>
        <w:t xml:space="preserve"> de segundo grado disponga de las </w:t>
      </w:r>
      <w:proofErr w:type="spellStart"/>
      <w:r w:rsidR="008C1421" w:rsidRPr="004E0F1E">
        <w:rPr>
          <w:rFonts w:cs="Tahoma"/>
          <w:bCs/>
          <w:i/>
          <w:iCs/>
          <w:szCs w:val="22"/>
        </w:rPr>
        <w:t>laminas</w:t>
      </w:r>
      <w:proofErr w:type="spellEnd"/>
      <w:r w:rsidR="008C1421" w:rsidRPr="004E0F1E">
        <w:rPr>
          <w:rFonts w:cs="Tahoma"/>
          <w:bCs/>
          <w:i/>
          <w:iCs/>
          <w:szCs w:val="22"/>
        </w:rPr>
        <w:t xml:space="preserve"> de policarbonato que fueron retiradas en la escuela y reemplazadas con nuevas laminas pagadas con recursos de gobierno del estado, que tipo de negociación existe entre la directora y la maestra mencionada y cuanto recibirá a cambio de entregarle las </w:t>
      </w:r>
      <w:proofErr w:type="spellStart"/>
      <w:r w:rsidR="008C1421" w:rsidRPr="004E0F1E">
        <w:rPr>
          <w:rFonts w:cs="Tahoma"/>
          <w:bCs/>
          <w:i/>
          <w:iCs/>
          <w:szCs w:val="22"/>
        </w:rPr>
        <w:t>laminas</w:t>
      </w:r>
      <w:proofErr w:type="spellEnd"/>
      <w:r w:rsidR="008C1421" w:rsidRPr="004E0F1E">
        <w:rPr>
          <w:rFonts w:cs="Tahoma"/>
          <w:bCs/>
          <w:i/>
          <w:iCs/>
          <w:szCs w:val="22"/>
        </w:rPr>
        <w:t xml:space="preserve"> retiradas del techo del pasillo escolar</w:t>
      </w:r>
    </w:p>
    <w:p w14:paraId="6A814CEA" w14:textId="77777777" w:rsidR="008C1421" w:rsidRPr="004E0F1E" w:rsidRDefault="008C1421" w:rsidP="004E0F1E">
      <w:pPr>
        <w:tabs>
          <w:tab w:val="left" w:pos="4962"/>
        </w:tabs>
        <w:ind w:right="-312"/>
        <w:contextualSpacing/>
        <w:rPr>
          <w:rFonts w:cs="Tahoma"/>
          <w:bCs/>
          <w:iCs/>
          <w:szCs w:val="22"/>
        </w:rPr>
      </w:pPr>
    </w:p>
    <w:p w14:paraId="264167C5" w14:textId="31A8B823" w:rsidR="00D64B5C" w:rsidRPr="004E0F1E" w:rsidRDefault="00664420" w:rsidP="004E0F1E">
      <w:pPr>
        <w:tabs>
          <w:tab w:val="left" w:pos="4962"/>
        </w:tabs>
        <w:ind w:right="-312"/>
        <w:contextualSpacing/>
        <w:rPr>
          <w:rFonts w:eastAsiaTheme="minorHAnsi" w:cs="Tahoma"/>
          <w:bCs/>
          <w:iCs/>
          <w:szCs w:val="22"/>
          <w:lang w:eastAsia="en-US"/>
        </w:rPr>
      </w:pPr>
      <w:r w:rsidRPr="004E0F1E">
        <w:rPr>
          <w:rFonts w:eastAsiaTheme="minorHAnsi" w:cs="Tahoma"/>
          <w:bCs/>
          <w:iCs/>
          <w:szCs w:val="22"/>
          <w:lang w:eastAsia="en-US"/>
        </w:rPr>
        <w:t>En respuesta,</w:t>
      </w:r>
      <w:r w:rsidR="000820ED" w:rsidRPr="004E0F1E">
        <w:rPr>
          <w:rFonts w:eastAsiaTheme="minorHAnsi" w:cs="Tahoma"/>
          <w:bCs/>
          <w:iCs/>
          <w:szCs w:val="22"/>
          <w:lang w:eastAsia="en-US"/>
        </w:rPr>
        <w:t xml:space="preserve"> conforme a las constancias que obran en</w:t>
      </w:r>
      <w:r w:rsidR="00837517" w:rsidRPr="004E0F1E">
        <w:rPr>
          <w:rFonts w:eastAsiaTheme="minorHAnsi" w:cs="Tahoma"/>
          <w:bCs/>
          <w:iCs/>
          <w:szCs w:val="22"/>
          <w:lang w:eastAsia="en-US"/>
        </w:rPr>
        <w:t xml:space="preserve"> el</w:t>
      </w:r>
      <w:r w:rsidR="000820ED" w:rsidRPr="004E0F1E">
        <w:rPr>
          <w:rFonts w:eastAsiaTheme="minorHAnsi" w:cs="Tahoma"/>
          <w:bCs/>
          <w:iCs/>
          <w:szCs w:val="22"/>
          <w:lang w:eastAsia="en-US"/>
        </w:rPr>
        <w:t xml:space="preserve"> SAIMEX,</w:t>
      </w:r>
      <w:r w:rsidRPr="004E0F1E">
        <w:rPr>
          <w:rFonts w:eastAsiaTheme="minorHAnsi" w:cs="Tahoma"/>
          <w:bCs/>
          <w:iCs/>
          <w:szCs w:val="22"/>
          <w:lang w:eastAsia="en-US"/>
        </w:rPr>
        <w:t xml:space="preserve"> </w:t>
      </w:r>
      <w:r w:rsidR="005D5A50" w:rsidRPr="004E0F1E">
        <w:rPr>
          <w:rFonts w:eastAsiaTheme="minorHAnsi" w:cs="Tahoma"/>
          <w:b/>
          <w:iCs/>
          <w:szCs w:val="22"/>
          <w:lang w:eastAsia="en-US"/>
        </w:rPr>
        <w:t>EL SUJETO OBLIGADO</w:t>
      </w:r>
      <w:r w:rsidRPr="004E0F1E">
        <w:rPr>
          <w:rFonts w:eastAsiaTheme="minorHAnsi" w:cs="Tahoma"/>
          <w:bCs/>
          <w:iCs/>
          <w:szCs w:val="22"/>
          <w:lang w:eastAsia="en-US"/>
        </w:rPr>
        <w:t xml:space="preserve"> se pronunció </w:t>
      </w:r>
      <w:r w:rsidR="000820ED" w:rsidRPr="004E0F1E">
        <w:rPr>
          <w:rFonts w:eastAsiaTheme="minorHAnsi" w:cs="Tahoma"/>
          <w:bCs/>
          <w:iCs/>
          <w:szCs w:val="22"/>
          <w:lang w:eastAsia="en-US"/>
        </w:rPr>
        <w:t>a través de</w:t>
      </w:r>
      <w:r w:rsidR="002460B8" w:rsidRPr="004E0F1E">
        <w:rPr>
          <w:rFonts w:eastAsiaTheme="minorHAnsi" w:cs="Tahoma"/>
          <w:bCs/>
          <w:iCs/>
          <w:szCs w:val="22"/>
          <w:lang w:eastAsia="en-US"/>
        </w:rPr>
        <w:t xml:space="preserve">l Titular de la Unidad de Transparencia, </w:t>
      </w:r>
      <w:r w:rsidR="000820ED" w:rsidRPr="004E0F1E">
        <w:rPr>
          <w:rFonts w:eastAsiaTheme="minorHAnsi" w:cs="Tahoma"/>
          <w:bCs/>
          <w:iCs/>
          <w:szCs w:val="22"/>
          <w:lang w:eastAsia="en-US"/>
        </w:rPr>
        <w:t>quién</w:t>
      </w:r>
      <w:r w:rsidR="00D64B5C" w:rsidRPr="004E0F1E">
        <w:rPr>
          <w:rFonts w:eastAsiaTheme="minorHAnsi" w:cs="Tahoma"/>
          <w:bCs/>
          <w:iCs/>
          <w:szCs w:val="22"/>
          <w:lang w:eastAsia="en-US"/>
        </w:rPr>
        <w:t xml:space="preserve"> refiri</w:t>
      </w:r>
      <w:r w:rsidR="000820ED" w:rsidRPr="004E0F1E">
        <w:rPr>
          <w:rFonts w:eastAsiaTheme="minorHAnsi" w:cs="Tahoma"/>
          <w:bCs/>
          <w:iCs/>
          <w:szCs w:val="22"/>
          <w:lang w:eastAsia="en-US"/>
        </w:rPr>
        <w:t>ó</w:t>
      </w:r>
      <w:r w:rsidR="00D64B5C" w:rsidRPr="004E0F1E">
        <w:rPr>
          <w:rFonts w:eastAsiaTheme="minorHAnsi" w:cs="Tahoma"/>
          <w:bCs/>
          <w:iCs/>
          <w:szCs w:val="22"/>
          <w:lang w:eastAsia="en-US"/>
        </w:rPr>
        <w:t xml:space="preserve"> </w:t>
      </w:r>
      <w:r w:rsidR="00802F6F" w:rsidRPr="004E0F1E">
        <w:rPr>
          <w:rFonts w:eastAsiaTheme="minorHAnsi" w:cs="Tahoma"/>
          <w:bCs/>
          <w:iCs/>
          <w:szCs w:val="22"/>
          <w:lang w:eastAsia="en-US"/>
        </w:rPr>
        <w:t xml:space="preserve">que la petición </w:t>
      </w:r>
      <w:r w:rsidR="00174BAE" w:rsidRPr="004E0F1E">
        <w:rPr>
          <w:rFonts w:eastAsiaTheme="minorHAnsi" w:cs="Tahoma"/>
          <w:bCs/>
          <w:iCs/>
          <w:szCs w:val="22"/>
          <w:lang w:eastAsia="en-US"/>
        </w:rPr>
        <w:t xml:space="preserve">no </w:t>
      </w:r>
      <w:r w:rsidR="00802F6F" w:rsidRPr="004E0F1E">
        <w:rPr>
          <w:rFonts w:eastAsiaTheme="minorHAnsi" w:cs="Tahoma"/>
          <w:bCs/>
          <w:iCs/>
          <w:szCs w:val="22"/>
          <w:lang w:eastAsia="en-US"/>
        </w:rPr>
        <w:t>corresponde a</w:t>
      </w:r>
      <w:r w:rsidR="00174BAE" w:rsidRPr="004E0F1E">
        <w:rPr>
          <w:rFonts w:eastAsiaTheme="minorHAnsi" w:cs="Tahoma"/>
          <w:bCs/>
          <w:iCs/>
          <w:szCs w:val="22"/>
          <w:lang w:eastAsia="en-US"/>
        </w:rPr>
        <w:t xml:space="preserve">l derecho de acceso a la información, </w:t>
      </w:r>
      <w:r w:rsidR="00802F6F" w:rsidRPr="004E0F1E">
        <w:rPr>
          <w:rFonts w:eastAsiaTheme="minorHAnsi" w:cs="Tahoma"/>
          <w:bCs/>
          <w:iCs/>
          <w:szCs w:val="22"/>
          <w:lang w:eastAsia="en-US"/>
        </w:rPr>
        <w:t xml:space="preserve">que se realizan manifestaciones subjetivas y le proporcionó un link </w:t>
      </w:r>
      <w:r w:rsidR="00174BAE" w:rsidRPr="004E0F1E">
        <w:rPr>
          <w:rFonts w:eastAsiaTheme="minorHAnsi" w:cs="Tahoma"/>
          <w:bCs/>
          <w:iCs/>
          <w:szCs w:val="22"/>
          <w:lang w:eastAsia="en-US"/>
        </w:rPr>
        <w:t>para que presentara la denuncia correspondiente.</w:t>
      </w:r>
    </w:p>
    <w:p w14:paraId="34D1D374" w14:textId="77777777" w:rsidR="00C61BE3" w:rsidRPr="004E0F1E" w:rsidRDefault="00C61BE3" w:rsidP="004E0F1E">
      <w:pPr>
        <w:tabs>
          <w:tab w:val="left" w:pos="4962"/>
        </w:tabs>
        <w:ind w:right="-312"/>
        <w:contextualSpacing/>
        <w:rPr>
          <w:rFonts w:eastAsiaTheme="minorHAnsi" w:cs="Tahoma"/>
          <w:bCs/>
          <w:iCs/>
          <w:szCs w:val="22"/>
          <w:lang w:eastAsia="en-US"/>
        </w:rPr>
      </w:pPr>
    </w:p>
    <w:p w14:paraId="31DD81D7" w14:textId="0D85F6CF" w:rsidR="00664420" w:rsidRPr="004E0F1E" w:rsidRDefault="00CF7586" w:rsidP="004E0F1E">
      <w:pPr>
        <w:tabs>
          <w:tab w:val="left" w:pos="4962"/>
        </w:tabs>
        <w:ind w:right="-312"/>
        <w:contextualSpacing/>
        <w:rPr>
          <w:rFonts w:eastAsiaTheme="minorHAnsi" w:cs="Tahoma"/>
          <w:bCs/>
          <w:iCs/>
          <w:szCs w:val="22"/>
          <w:lang w:eastAsia="en-US"/>
        </w:rPr>
      </w:pPr>
      <w:r w:rsidRPr="004E0F1E">
        <w:rPr>
          <w:rFonts w:eastAsiaTheme="minorHAnsi" w:cs="Tahoma"/>
          <w:bCs/>
          <w:iCs/>
          <w:szCs w:val="22"/>
          <w:lang w:eastAsia="en-US"/>
        </w:rPr>
        <w:t xml:space="preserve">Ahora bien, en la interposición del presente recurso </w:t>
      </w:r>
      <w:r w:rsidRPr="004E0F1E">
        <w:rPr>
          <w:rFonts w:eastAsiaTheme="minorHAnsi" w:cs="Tahoma"/>
          <w:b/>
          <w:iCs/>
          <w:szCs w:val="22"/>
          <w:lang w:eastAsia="en-US"/>
        </w:rPr>
        <w:t>LA PARTE RECURRENTE</w:t>
      </w:r>
      <w:r w:rsidR="00664420" w:rsidRPr="004E0F1E">
        <w:rPr>
          <w:rFonts w:eastAsiaTheme="minorHAnsi" w:cs="Tahoma"/>
          <w:bCs/>
          <w:iCs/>
          <w:szCs w:val="22"/>
          <w:lang w:eastAsia="en-US"/>
        </w:rPr>
        <w:t xml:space="preserve"> se inconformó </w:t>
      </w:r>
      <w:r w:rsidR="00C61BE3" w:rsidRPr="004E0F1E">
        <w:rPr>
          <w:rFonts w:eastAsiaTheme="minorHAnsi" w:cs="Tahoma"/>
          <w:bCs/>
          <w:iCs/>
          <w:szCs w:val="22"/>
          <w:lang w:eastAsia="en-US"/>
        </w:rPr>
        <w:t>manifestando que</w:t>
      </w:r>
      <w:r w:rsidR="00174BAE" w:rsidRPr="004E0F1E">
        <w:rPr>
          <w:rFonts w:eastAsiaTheme="minorHAnsi" w:cs="Tahoma"/>
          <w:bCs/>
          <w:iCs/>
          <w:szCs w:val="22"/>
          <w:lang w:eastAsia="en-US"/>
        </w:rPr>
        <w:t xml:space="preserve"> la solicitud se basa en el acceso al documento base normativo que faculte a la directora escolar para disponer del patrimonio escolar y negocie internamente con esta maestra sobre dichos recursos su respuesta no garantiza el derecho </w:t>
      </w:r>
      <w:r w:rsidR="00174BAE" w:rsidRPr="004E0F1E">
        <w:rPr>
          <w:rFonts w:eastAsiaTheme="minorHAnsi" w:cs="Tahoma"/>
          <w:bCs/>
          <w:iCs/>
          <w:szCs w:val="22"/>
          <w:lang w:eastAsia="en-US"/>
        </w:rPr>
        <w:lastRenderedPageBreak/>
        <w:t>de acceso a la información pública puesto que la solicitud no se basa en cuestiones subjetivas sino en hechos o practicas realizadas por la directora y la maestra de esa institución que deben estar soportadas en un documento.</w:t>
      </w:r>
    </w:p>
    <w:p w14:paraId="570E4E2F" w14:textId="77777777" w:rsidR="00BC67B0" w:rsidRPr="004E0F1E" w:rsidRDefault="00BC67B0" w:rsidP="004E0F1E">
      <w:pPr>
        <w:tabs>
          <w:tab w:val="left" w:pos="4962"/>
        </w:tabs>
        <w:ind w:right="-312"/>
        <w:contextualSpacing/>
        <w:rPr>
          <w:rFonts w:eastAsiaTheme="minorHAnsi" w:cs="Tahoma"/>
          <w:bCs/>
          <w:iCs/>
          <w:szCs w:val="22"/>
          <w:lang w:eastAsia="en-US"/>
        </w:rPr>
      </w:pPr>
    </w:p>
    <w:p w14:paraId="2C7A9299" w14:textId="05BEF6A8" w:rsidR="00BC67B0" w:rsidRPr="004E0F1E" w:rsidRDefault="00BC67B0" w:rsidP="004E0F1E">
      <w:pPr>
        <w:tabs>
          <w:tab w:val="left" w:pos="4962"/>
        </w:tabs>
        <w:ind w:right="-312"/>
        <w:rPr>
          <w:lang w:val="es-ES"/>
        </w:rPr>
      </w:pPr>
      <w:r w:rsidRPr="004E0F1E">
        <w:rPr>
          <w:lang w:val="es-ES"/>
        </w:rPr>
        <w:t xml:space="preserve">Abierta la etapa de instrucción, </w:t>
      </w:r>
      <w:r w:rsidRPr="004E0F1E">
        <w:rPr>
          <w:b/>
          <w:lang w:val="es-ES"/>
        </w:rPr>
        <w:t>EL SUJETO OBLIGADO</w:t>
      </w:r>
      <w:r w:rsidRPr="004E0F1E">
        <w:rPr>
          <w:lang w:val="es-ES"/>
        </w:rPr>
        <w:t xml:space="preserve"> rindió su Informe Justificado</w:t>
      </w:r>
      <w:r w:rsidR="00227FB3" w:rsidRPr="004E0F1E">
        <w:rPr>
          <w:lang w:val="es-ES"/>
        </w:rPr>
        <w:t xml:space="preserve">; </w:t>
      </w:r>
      <w:r w:rsidRPr="004E0F1E">
        <w:rPr>
          <w:lang w:val="es-ES"/>
        </w:rPr>
        <w:t>así como la parte recurrente</w:t>
      </w:r>
      <w:r w:rsidR="0094710D" w:rsidRPr="004E0F1E">
        <w:rPr>
          <w:lang w:val="es-ES"/>
        </w:rPr>
        <w:t xml:space="preserve"> </w:t>
      </w:r>
      <w:r w:rsidR="00174BAE" w:rsidRPr="004E0F1E">
        <w:rPr>
          <w:lang w:val="es-ES"/>
        </w:rPr>
        <w:t xml:space="preserve">no </w:t>
      </w:r>
      <w:r w:rsidRPr="004E0F1E">
        <w:rPr>
          <w:lang w:val="es-ES"/>
        </w:rPr>
        <w:t xml:space="preserve">realizó las manifestaciones que a su derecho </w:t>
      </w:r>
      <w:r w:rsidR="00FF1BB7" w:rsidRPr="004E0F1E">
        <w:rPr>
          <w:lang w:val="es-ES"/>
        </w:rPr>
        <w:t>conviniera</w:t>
      </w:r>
      <w:r w:rsidR="0094710D" w:rsidRPr="004E0F1E">
        <w:rPr>
          <w:lang w:val="es-ES"/>
        </w:rPr>
        <w:t>.</w:t>
      </w:r>
    </w:p>
    <w:p w14:paraId="3E7B17AC" w14:textId="77777777" w:rsidR="0094710D" w:rsidRPr="004E0F1E" w:rsidRDefault="0094710D" w:rsidP="004E0F1E">
      <w:pPr>
        <w:tabs>
          <w:tab w:val="left" w:pos="4962"/>
        </w:tabs>
        <w:ind w:right="-312"/>
        <w:rPr>
          <w:lang w:val="es-ES"/>
        </w:rPr>
      </w:pPr>
    </w:p>
    <w:p w14:paraId="1435A67C" w14:textId="2F4F204C" w:rsidR="001C1AE4" w:rsidRPr="004E0F1E" w:rsidRDefault="001C1AE4" w:rsidP="004E0F1E">
      <w:pPr>
        <w:ind w:right="-312"/>
        <w:rPr>
          <w:rFonts w:eastAsia="Palatino Linotype" w:cs="Palatino Linotype"/>
          <w:szCs w:val="22"/>
        </w:rPr>
      </w:pPr>
      <w:r w:rsidRPr="004E0F1E">
        <w:rPr>
          <w:rFonts w:eastAsia="Palatino Linotype" w:cs="Palatino Linotype"/>
          <w:szCs w:val="22"/>
        </w:rPr>
        <w:t xml:space="preserve">Bajo las premisas anteriores, se concluye que la controversia a dilucidar en el presente medio de impugnación será </w:t>
      </w:r>
      <w:r w:rsidR="00EE1B1C" w:rsidRPr="004E0F1E">
        <w:rPr>
          <w:rFonts w:eastAsia="Palatino Linotype" w:cs="Palatino Linotype"/>
          <w:b/>
        </w:rPr>
        <w:t xml:space="preserve">verificar si la </w:t>
      </w:r>
      <w:r w:rsidR="002B3577" w:rsidRPr="004E0F1E">
        <w:rPr>
          <w:rFonts w:eastAsia="Palatino Linotype" w:cs="Palatino Linotype"/>
          <w:b/>
        </w:rPr>
        <w:t xml:space="preserve">información proporcionada en </w:t>
      </w:r>
      <w:r w:rsidR="00EE1B1C" w:rsidRPr="004E0F1E">
        <w:rPr>
          <w:rFonts w:eastAsia="Palatino Linotype" w:cs="Palatino Linotype"/>
          <w:b/>
        </w:rPr>
        <w:t xml:space="preserve">respuesta </w:t>
      </w:r>
      <w:r w:rsidR="00C61BE3" w:rsidRPr="004E0F1E">
        <w:rPr>
          <w:rFonts w:eastAsia="Palatino Linotype" w:cs="Palatino Linotype"/>
          <w:b/>
        </w:rPr>
        <w:t xml:space="preserve">y en el informe justificado </w:t>
      </w:r>
      <w:r w:rsidR="00EE1B1C" w:rsidRPr="004E0F1E">
        <w:rPr>
          <w:rFonts w:eastAsia="Palatino Linotype" w:cs="Palatino Linotype"/>
          <w:b/>
        </w:rPr>
        <w:t xml:space="preserve">por </w:t>
      </w:r>
      <w:r w:rsidR="002B3577" w:rsidRPr="004E0F1E">
        <w:rPr>
          <w:rFonts w:eastAsia="Palatino Linotype" w:cs="Palatino Linotype"/>
          <w:b/>
        </w:rPr>
        <w:t xml:space="preserve">EL SUJETO OBLIGADO </w:t>
      </w:r>
      <w:r w:rsidR="00EE1B1C" w:rsidRPr="004E0F1E">
        <w:rPr>
          <w:rFonts w:eastAsia="Palatino Linotype" w:cs="Palatino Linotype"/>
          <w:b/>
        </w:rPr>
        <w:t xml:space="preserve">es adecuada y suficiente para satisfacer el derecho de acceso a la información pública </w:t>
      </w:r>
      <w:r w:rsidR="00EE1B1C" w:rsidRPr="004E0F1E">
        <w:rPr>
          <w:rFonts w:eastAsia="Palatino Linotype" w:cs="Palatino Linotype"/>
        </w:rPr>
        <w:t xml:space="preserve">de </w:t>
      </w:r>
      <w:r w:rsidR="002B3577" w:rsidRPr="004E0F1E">
        <w:rPr>
          <w:rFonts w:eastAsia="Palatino Linotype" w:cs="Palatino Linotype"/>
          <w:b/>
        </w:rPr>
        <w:t>LA PARTE RECURRENTE</w:t>
      </w:r>
      <w:r w:rsidRPr="004E0F1E">
        <w:rPr>
          <w:rFonts w:eastAsia="Palatino Linotype" w:cs="Palatino Linotype"/>
          <w:szCs w:val="22"/>
        </w:rPr>
        <w:t>.</w:t>
      </w:r>
    </w:p>
    <w:p w14:paraId="2B9C19AB" w14:textId="77777777" w:rsidR="00EE1B1C" w:rsidRPr="004E0F1E" w:rsidRDefault="00EE1B1C" w:rsidP="004E0F1E">
      <w:pPr>
        <w:ind w:right="-312"/>
        <w:rPr>
          <w:rFonts w:eastAsia="Palatino Linotype" w:cs="Palatino Linotype"/>
          <w:szCs w:val="22"/>
        </w:rPr>
      </w:pPr>
    </w:p>
    <w:p w14:paraId="414FD2D5" w14:textId="4408E416" w:rsidR="00664420" w:rsidRPr="004E0F1E" w:rsidRDefault="00A21A20" w:rsidP="004E0F1E">
      <w:pPr>
        <w:pStyle w:val="Ttulo3"/>
        <w:ind w:right="-312"/>
        <w:rPr>
          <w:szCs w:val="22"/>
        </w:rPr>
      </w:pPr>
      <w:bookmarkStart w:id="26" w:name="_Toc172748422"/>
      <w:r w:rsidRPr="004E0F1E">
        <w:rPr>
          <w:szCs w:val="22"/>
        </w:rPr>
        <w:t>c)</w:t>
      </w:r>
      <w:r w:rsidR="00664420" w:rsidRPr="004E0F1E">
        <w:rPr>
          <w:szCs w:val="22"/>
        </w:rPr>
        <w:t xml:space="preserve"> </w:t>
      </w:r>
      <w:r w:rsidRPr="004E0F1E">
        <w:rPr>
          <w:szCs w:val="22"/>
        </w:rPr>
        <w:t>Estudio de la controversia</w:t>
      </w:r>
      <w:bookmarkEnd w:id="26"/>
    </w:p>
    <w:p w14:paraId="0FFF3110" w14:textId="471B9352" w:rsidR="0039267F" w:rsidRPr="004E0F1E" w:rsidRDefault="0039267F" w:rsidP="004E0F1E">
      <w:pPr>
        <w:spacing w:before="240" w:after="240"/>
        <w:ind w:right="-312"/>
        <w:rPr>
          <w:rFonts w:eastAsia="Palatino Linotype" w:cs="Palatino Linotype"/>
          <w:szCs w:val="22"/>
          <w:lang w:val="es-ES"/>
        </w:rPr>
      </w:pPr>
      <w:r w:rsidRPr="004E0F1E">
        <w:rPr>
          <w:rFonts w:cs="Arial"/>
          <w:szCs w:val="22"/>
        </w:rPr>
        <w:t xml:space="preserve">Es necesario señalar que este Instituto analizó a literalidad el contenido de la solicitud de acceso a la información planteada por </w:t>
      </w:r>
      <w:r w:rsidRPr="004E0F1E">
        <w:rPr>
          <w:rFonts w:cs="Arial"/>
          <w:b/>
          <w:bCs/>
          <w:szCs w:val="22"/>
        </w:rPr>
        <w:t xml:space="preserve">LA PERSONA RECURRENTE, </w:t>
      </w:r>
      <w:r w:rsidRPr="004E0F1E">
        <w:rPr>
          <w:rFonts w:cs="Arial"/>
          <w:szCs w:val="22"/>
        </w:rPr>
        <w:t xml:space="preserve">encontrando como hallazgo que en la forma en como la realiza es expresando diversas manifestaciones de carácter subjetivo a fin de conocer el </w:t>
      </w:r>
      <w:r w:rsidR="00174BAE" w:rsidRPr="004E0F1E">
        <w:rPr>
          <w:rFonts w:cs="Arial"/>
          <w:szCs w:val="22"/>
        </w:rPr>
        <w:t>documento normativo que faculte a la directora escolar de la institución referida para disponer de las láminas retiradas y en su caso a proporcionarlas a la maestra señalada</w:t>
      </w:r>
      <w:r w:rsidRPr="004E0F1E">
        <w:rPr>
          <w:rFonts w:cs="Arial"/>
          <w:szCs w:val="22"/>
        </w:rPr>
        <w:t xml:space="preserve">, </w:t>
      </w:r>
      <w:r w:rsidRPr="004E0F1E">
        <w:rPr>
          <w:rFonts w:eastAsia="Palatino Linotype" w:cs="Palatino Linotype"/>
          <w:szCs w:val="22"/>
          <w:lang w:val="es-ES"/>
        </w:rPr>
        <w:t>razón por la cual este Órgano Garante considera pertinente, en primer lugar, establecer las diferencias entre el derecho de petición y el derecho de acceso a la información, basado en lo siguiente:</w:t>
      </w:r>
    </w:p>
    <w:p w14:paraId="4C09FB6B" w14:textId="77777777" w:rsidR="0039267F" w:rsidRPr="004E0F1E" w:rsidRDefault="0039267F" w:rsidP="004E0F1E">
      <w:pPr>
        <w:spacing w:before="240" w:after="360"/>
        <w:ind w:right="-312"/>
        <w:rPr>
          <w:rFonts w:eastAsia="Palatino Linotype" w:cs="Palatino Linotype"/>
          <w:i/>
          <w:szCs w:val="22"/>
          <w:lang w:val="es-ES"/>
        </w:rPr>
      </w:pPr>
      <w:r w:rsidRPr="004E0F1E">
        <w:rPr>
          <w:rFonts w:eastAsia="Palatino Linotype" w:cs="Palatino Linotype"/>
          <w:szCs w:val="22"/>
          <w:lang w:val="es-ES"/>
        </w:rPr>
        <w:t>El Maestro Ignacio Burgoa Orihuela refiere que el derecho de petición “…</w:t>
      </w:r>
      <w:r w:rsidRPr="004E0F1E">
        <w:rPr>
          <w:rFonts w:eastAsia="Palatino Linotype" w:cs="Palatino Linotype"/>
          <w:i/>
          <w:szCs w:val="22"/>
          <w:lang w:val="es-ES"/>
        </w:rPr>
        <w:t xml:space="preserve">es un Derecho Público subjetivo individual de la Garantía Respectiva Consagrada en el Artículo 8 de la Ley Fundamental. En tal virtud, la persona tiene la facultad de acudir a cualquier autoridad, formulando </w:t>
      </w:r>
      <w:r w:rsidRPr="004E0F1E">
        <w:rPr>
          <w:rFonts w:eastAsia="Palatino Linotype" w:cs="Palatino Linotype"/>
          <w:i/>
          <w:szCs w:val="22"/>
          <w:lang w:val="es-ES"/>
        </w:rPr>
        <w:lastRenderedPageBreak/>
        <w:t>una solicitud o instancia escrito de cualquier índole, la cual adopta, específicamente, el carácter de simple petición administrativa, acción o recurso, etc.</w:t>
      </w:r>
      <w:r w:rsidRPr="004E0F1E">
        <w:rPr>
          <w:rFonts w:eastAsia="Palatino Linotype" w:cs="Palatino Linotype"/>
          <w:i/>
          <w:szCs w:val="22"/>
          <w:vertAlign w:val="superscript"/>
          <w:lang w:val="es-ES"/>
        </w:rPr>
        <w:t xml:space="preserve"> </w:t>
      </w:r>
      <w:r w:rsidRPr="004E0F1E">
        <w:rPr>
          <w:rFonts w:eastAsia="Palatino Linotype" w:cs="Palatino Linotype"/>
          <w:i/>
          <w:szCs w:val="22"/>
          <w:vertAlign w:val="superscript"/>
          <w:lang w:val="es-ES"/>
        </w:rPr>
        <w:footnoteReference w:id="2"/>
      </w:r>
      <w:r w:rsidRPr="004E0F1E">
        <w:rPr>
          <w:rFonts w:eastAsia="Palatino Linotype" w:cs="Palatino Linotype"/>
          <w:i/>
          <w:szCs w:val="22"/>
          <w:lang w:val="es-ES"/>
        </w:rPr>
        <w:t xml:space="preserve">“, </w:t>
      </w:r>
      <w:r w:rsidRPr="004E0F1E">
        <w:rPr>
          <w:rFonts w:eastAsia="Palatino Linotype" w:cs="Palatino Linotype"/>
          <w:szCs w:val="22"/>
          <w:lang w:val="es-ES"/>
        </w:rPr>
        <w:t>mientras que</w:t>
      </w:r>
      <w:r w:rsidRPr="004E0F1E">
        <w:rPr>
          <w:rFonts w:eastAsia="Palatino Linotype" w:cs="Palatino Linotype"/>
          <w:i/>
          <w:szCs w:val="22"/>
          <w:lang w:val="es-ES"/>
        </w:rPr>
        <w:t xml:space="preserve"> </w:t>
      </w:r>
      <w:r w:rsidRPr="004E0F1E">
        <w:rPr>
          <w:rFonts w:eastAsia="Palatino Linotype" w:cs="Palatino Linotype"/>
          <w:szCs w:val="22"/>
          <w:lang w:val="es-ES"/>
        </w:rPr>
        <w:t xml:space="preserve">David Cienfuegos Salgado, lo concibe como </w:t>
      </w:r>
      <w:r w:rsidRPr="004E0F1E">
        <w:rPr>
          <w:rFonts w:eastAsia="Palatino Linotype" w:cs="Palatino Linotype"/>
          <w:i/>
          <w:szCs w:val="22"/>
          <w:lang w:val="es-ES"/>
        </w:rPr>
        <w:t>“el derecho de toda persona a ser escuchado por quienes ejercen el poder público</w:t>
      </w:r>
      <w:proofErr w:type="gramStart"/>
      <w:r w:rsidRPr="004E0F1E">
        <w:rPr>
          <w:rFonts w:eastAsia="Palatino Linotype" w:cs="Palatino Linotype"/>
          <w:i/>
          <w:szCs w:val="22"/>
          <w:lang w:val="es-ES"/>
        </w:rPr>
        <w:t>.</w:t>
      </w:r>
      <w:r w:rsidRPr="004E0F1E">
        <w:rPr>
          <w:rFonts w:eastAsia="Palatino Linotype" w:cs="Palatino Linotype"/>
          <w:i/>
          <w:szCs w:val="22"/>
          <w:vertAlign w:val="superscript"/>
          <w:lang w:val="es-ES"/>
        </w:rPr>
        <w:t xml:space="preserve"> </w:t>
      </w:r>
      <w:proofErr w:type="gramEnd"/>
      <w:r w:rsidRPr="004E0F1E">
        <w:rPr>
          <w:rFonts w:eastAsia="Palatino Linotype" w:cs="Palatino Linotype"/>
          <w:i/>
          <w:szCs w:val="22"/>
          <w:vertAlign w:val="superscript"/>
          <w:lang w:val="es-ES"/>
        </w:rPr>
        <w:footnoteReference w:id="3"/>
      </w:r>
      <w:r w:rsidRPr="004E0F1E">
        <w:rPr>
          <w:rFonts w:eastAsia="Palatino Linotype" w:cs="Palatino Linotype"/>
          <w:i/>
          <w:szCs w:val="22"/>
          <w:lang w:val="es-ES"/>
        </w:rPr>
        <w:t xml:space="preserve">” </w:t>
      </w:r>
    </w:p>
    <w:p w14:paraId="35FF1216" w14:textId="77777777" w:rsidR="0039267F" w:rsidRPr="004E0F1E" w:rsidRDefault="0039267F" w:rsidP="004E0F1E">
      <w:pPr>
        <w:spacing w:before="240" w:after="360"/>
        <w:ind w:right="-312"/>
        <w:rPr>
          <w:rFonts w:eastAsia="Palatino Linotype" w:cs="Palatino Linotype"/>
          <w:i/>
          <w:szCs w:val="22"/>
          <w:lang w:val="es-ES"/>
        </w:rPr>
      </w:pPr>
      <w:r w:rsidRPr="004E0F1E">
        <w:rPr>
          <w:rFonts w:eastAsia="Palatino Linotype" w:cs="Palatino Linotype"/>
          <w:szCs w:val="22"/>
          <w:lang w:val="es-ES"/>
        </w:rPr>
        <w:t xml:space="preserve">Para diferenciar el derecho de petición al derecho de acceso a la información, resulta conducente señalar que José Guadalupe Robles, conceptualiza el derecho a la información como </w:t>
      </w:r>
      <w:r w:rsidRPr="004E0F1E">
        <w:rPr>
          <w:rFonts w:eastAsia="Palatino Linotype" w:cs="Palatino Linotype"/>
          <w:i/>
          <w:szCs w:val="22"/>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4E0F1E">
        <w:rPr>
          <w:rFonts w:eastAsia="Palatino Linotype" w:cs="Palatino Linotype"/>
          <w:i/>
          <w:szCs w:val="22"/>
          <w:vertAlign w:val="superscript"/>
          <w:lang w:val="es-ES"/>
        </w:rPr>
        <w:t xml:space="preserve"> </w:t>
      </w:r>
      <w:r w:rsidRPr="004E0F1E">
        <w:rPr>
          <w:rFonts w:eastAsia="Palatino Linotype" w:cs="Palatino Linotype"/>
          <w:i/>
          <w:szCs w:val="22"/>
          <w:vertAlign w:val="superscript"/>
          <w:lang w:val="es-ES"/>
        </w:rPr>
        <w:footnoteReference w:id="4"/>
      </w:r>
      <w:r w:rsidRPr="004E0F1E">
        <w:rPr>
          <w:rFonts w:eastAsia="Palatino Linotype" w:cs="Palatino Linotype"/>
          <w:i/>
          <w:szCs w:val="22"/>
          <w:lang w:val="es-ES"/>
        </w:rPr>
        <w:t>“</w:t>
      </w:r>
    </w:p>
    <w:p w14:paraId="1565A425" w14:textId="77777777" w:rsidR="0039267F" w:rsidRPr="004E0F1E" w:rsidRDefault="0039267F" w:rsidP="004E0F1E">
      <w:pPr>
        <w:spacing w:before="240" w:after="360"/>
        <w:ind w:right="-312"/>
        <w:rPr>
          <w:rFonts w:eastAsia="Palatino Linotype" w:cs="Palatino Linotype"/>
          <w:i/>
          <w:szCs w:val="22"/>
          <w:lang w:val="es-ES"/>
        </w:rPr>
      </w:pPr>
      <w:r w:rsidRPr="004E0F1E">
        <w:rPr>
          <w:rFonts w:eastAsia="Palatino Linotype" w:cs="Palatino Linotype"/>
          <w:szCs w:val="22"/>
          <w:lang w:val="es-ES"/>
        </w:rPr>
        <w:t xml:space="preserve">Además, el derecho a la información constituye una prerrogativa de acceder a documentación en poder de los </w:t>
      </w:r>
      <w:r w:rsidRPr="004E0F1E">
        <w:rPr>
          <w:rFonts w:eastAsia="Palatino Linotype" w:cs="Palatino Linotype"/>
          <w:szCs w:val="22"/>
          <w:u w:val="single"/>
          <w:lang w:val="es-ES"/>
        </w:rPr>
        <w:t>Sujetos Obligados</w:t>
      </w:r>
      <w:r w:rsidRPr="004E0F1E">
        <w:rPr>
          <w:rFonts w:eastAsia="Palatino Linotype" w:cs="Palatino Linotype"/>
          <w:szCs w:val="22"/>
          <w:lang w:val="es-ES"/>
        </w:rPr>
        <w:t xml:space="preserve">, no así a realizar cuestionamientos, o manifestaciones subjetivas. </w:t>
      </w:r>
    </w:p>
    <w:p w14:paraId="7756E439" w14:textId="77777777" w:rsidR="0039267F" w:rsidRPr="004E0F1E" w:rsidRDefault="0039267F" w:rsidP="004E0F1E">
      <w:pPr>
        <w:spacing w:before="240" w:after="360"/>
        <w:ind w:right="-312"/>
        <w:rPr>
          <w:rFonts w:eastAsia="Palatino Linotype" w:cs="Palatino Linotype"/>
          <w:i/>
          <w:szCs w:val="22"/>
          <w:lang w:val="es-ES"/>
        </w:rPr>
      </w:pPr>
      <w:r w:rsidRPr="004E0F1E">
        <w:rPr>
          <w:rFonts w:eastAsia="Palatino Linotype" w:cs="Palatino Linotype"/>
          <w:szCs w:val="22"/>
          <w:lang w:val="es-ES"/>
        </w:rPr>
        <w:t xml:space="preserve">Sirve de apoyo a lo anterior la definición de derecho a la información de Ernesto Villanueva </w:t>
      </w:r>
      <w:proofErr w:type="spellStart"/>
      <w:r w:rsidRPr="004E0F1E">
        <w:rPr>
          <w:rFonts w:eastAsia="Palatino Linotype" w:cs="Palatino Linotype"/>
          <w:szCs w:val="22"/>
          <w:lang w:val="es-ES"/>
        </w:rPr>
        <w:t>Villanueva</w:t>
      </w:r>
      <w:proofErr w:type="spellEnd"/>
      <w:r w:rsidRPr="004E0F1E">
        <w:rPr>
          <w:rFonts w:eastAsia="Palatino Linotype" w:cs="Palatino Linotype"/>
          <w:szCs w:val="22"/>
          <w:lang w:val="es-ES"/>
        </w:rPr>
        <w:t xml:space="preserve"> que dice: “</w:t>
      </w:r>
      <w:r w:rsidRPr="004E0F1E">
        <w:rPr>
          <w:rFonts w:eastAsia="Palatino Linotype" w:cs="Palatino Linotype"/>
          <w:i/>
          <w:szCs w:val="22"/>
          <w:lang w:val="es-ES"/>
        </w:rPr>
        <w:t xml:space="preserve">la prerrogativa de la persona para acceder a datos, registros y todo tipo de informaciones en poder de entidades públicas y empresas privadas que ejercen gasto público o </w:t>
      </w:r>
      <w:r w:rsidRPr="004E0F1E">
        <w:rPr>
          <w:rFonts w:eastAsia="Palatino Linotype" w:cs="Palatino Linotype"/>
          <w:i/>
          <w:szCs w:val="22"/>
          <w:lang w:val="es-ES"/>
        </w:rPr>
        <w:lastRenderedPageBreak/>
        <w:t>cumplen funciones de autoridad, con las excepciones taxativas que establezca la ley en una sociedad democrática.”</w:t>
      </w:r>
      <w:r w:rsidRPr="004E0F1E">
        <w:rPr>
          <w:rStyle w:val="Refdenotaalpie"/>
          <w:rFonts w:eastAsia="Palatino Linotype" w:cs="Palatino Linotype"/>
          <w:i/>
          <w:szCs w:val="22"/>
          <w:lang w:val="es-ES"/>
        </w:rPr>
        <w:footnoteReference w:id="5"/>
      </w:r>
      <w:r w:rsidRPr="004E0F1E">
        <w:rPr>
          <w:rFonts w:eastAsia="Palatino Linotype" w:cs="Palatino Linotype"/>
          <w:i/>
          <w:szCs w:val="22"/>
          <w:lang w:val="es-ES"/>
        </w:rPr>
        <w:t xml:space="preserve"> </w:t>
      </w:r>
    </w:p>
    <w:p w14:paraId="5B7E552B"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 xml:space="preserve">Por lo que, </w:t>
      </w:r>
      <w:r w:rsidRPr="004E0F1E">
        <w:rPr>
          <w:rFonts w:eastAsia="Palatino Linotype" w:cs="Palatino Linotype"/>
          <w:b/>
          <w:szCs w:val="22"/>
          <w:lang w:val="es-ES"/>
        </w:rPr>
        <w:t>la entrega de una razón o un razonamiento por parte del Sujeto Obligado no es algo que la ley establezca como atribución, derecho, o facultad</w:t>
      </w:r>
      <w:r w:rsidRPr="004E0F1E">
        <w:rPr>
          <w:rFonts w:eastAsia="Palatino Linotype" w:cs="Palatino Linotype"/>
          <w:szCs w:val="22"/>
          <w:lang w:val="es-ES"/>
        </w:rPr>
        <w:t xml:space="preserve">; </w:t>
      </w:r>
      <w:r w:rsidRPr="004E0F1E">
        <w:rPr>
          <w:rFonts w:eastAsia="Palatino Linotype" w:cs="Palatino Linotype"/>
          <w:b/>
          <w:szCs w:val="22"/>
          <w:lang w:val="es-ES"/>
        </w:rPr>
        <w:t>pues ello implicaría un juicio de valor referente a un cuestionamiento realizado</w:t>
      </w:r>
      <w:r w:rsidRPr="004E0F1E">
        <w:rPr>
          <w:rFonts w:eastAsia="Palatino Linotype" w:cs="Palatino Linotype"/>
          <w:szCs w:val="22"/>
          <w:lang w:val="es-ES"/>
        </w:rPr>
        <w:t>, los cuales, al constituir interrogantes, inquietudes y manifestaciones se satisfacen vía derecho de petición.</w:t>
      </w:r>
    </w:p>
    <w:p w14:paraId="18963335"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553730E6"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415BCDAF"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w:t>
      </w:r>
      <w:r w:rsidRPr="004E0F1E">
        <w:rPr>
          <w:rFonts w:eastAsia="Palatino Linotype" w:cs="Palatino Linotype"/>
          <w:szCs w:val="22"/>
          <w:lang w:val="es-ES"/>
        </w:rPr>
        <w:lastRenderedPageBreak/>
        <w:t xml:space="preserve">de los que el Estado mexicano sea parte, en la Ley de Transparencia y Acceso a la Información Pública del Estado de México y Municipios y demás disposiciones de la materia, privilegiando el principio de máxima publicidad de la información. </w:t>
      </w:r>
    </w:p>
    <w:p w14:paraId="79EE7C27"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D1DCC3E"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0B314BE8" w14:textId="77777777" w:rsidR="0039267F" w:rsidRPr="004E0F1E" w:rsidRDefault="0039267F" w:rsidP="004E0F1E">
      <w:pPr>
        <w:spacing w:before="240" w:after="240"/>
        <w:ind w:right="-312"/>
        <w:rPr>
          <w:rFonts w:eastAsia="Palatino Linotype" w:cs="Palatino Linotype"/>
          <w:i/>
          <w:szCs w:val="22"/>
          <w:lang w:val="es-ES"/>
        </w:rPr>
      </w:pPr>
      <w:r w:rsidRPr="004E0F1E">
        <w:rPr>
          <w:rFonts w:eastAsia="Palatino Linotype" w:cs="Palatino Linotype"/>
          <w:szCs w:val="22"/>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4E0F1E">
        <w:rPr>
          <w:rFonts w:eastAsia="Palatino Linotype" w:cs="Palatino Linotype"/>
          <w:i/>
          <w:szCs w:val="22"/>
          <w:lang w:val="es-ES"/>
        </w:rPr>
        <w:t>obligar a la autoridad responsable a que actúe en el sentido de contestar lo solicitado</w:t>
      </w:r>
      <w:r w:rsidRPr="004E0F1E">
        <w:rPr>
          <w:rFonts w:eastAsia="Palatino Linotype" w:cs="Palatino Linotype"/>
          <w:szCs w:val="22"/>
          <w:lang w:val="es-ES"/>
        </w:rPr>
        <w:t xml:space="preserve">, mientras que en el segundo supuesto la solicitud de acceso a la información pública </w:t>
      </w:r>
      <w:r w:rsidRPr="004E0F1E">
        <w:rPr>
          <w:rFonts w:eastAsia="Palatino Linotype" w:cs="Palatino Linotype"/>
          <w:i/>
          <w:szCs w:val="22"/>
          <w:lang w:val="es-ES"/>
        </w:rPr>
        <w:t>se encamina primordialmente a permitir el acceso a datos, registros y todo tipo de información pública que conste en documentos, sea generada o se encuentre en posesión de la autoridad.</w:t>
      </w:r>
    </w:p>
    <w:p w14:paraId="7D39AD8A" w14:textId="77777777" w:rsidR="0039267F" w:rsidRPr="004E0F1E" w:rsidRDefault="0039267F" w:rsidP="004E0F1E">
      <w:pPr>
        <w:spacing w:before="240" w:after="240"/>
        <w:ind w:right="-312"/>
        <w:rPr>
          <w:rFonts w:eastAsia="Palatino Linotype" w:cs="Palatino Linotype"/>
          <w:i/>
          <w:szCs w:val="22"/>
          <w:lang w:val="es-ES"/>
        </w:rPr>
      </w:pPr>
      <w:r w:rsidRPr="004E0F1E">
        <w:rPr>
          <w:rFonts w:eastAsia="Palatino Linotype" w:cs="Palatino Linotype"/>
          <w:szCs w:val="22"/>
          <w:lang w:val="es-ES"/>
        </w:rPr>
        <w:lastRenderedPageBreak/>
        <w:t xml:space="preserve">Asimismo, es importante enfatizar que el Derecho de Acceso a la Información Pública consiste en que la </w:t>
      </w:r>
      <w:r w:rsidRPr="004E0F1E">
        <w:rPr>
          <w:rFonts w:eastAsia="Palatino Linotype" w:cs="Palatino Linotype"/>
          <w:b/>
          <w:szCs w:val="22"/>
          <w:u w:val="single"/>
          <w:lang w:val="es-ES"/>
        </w:rPr>
        <w:t>información solicitada conste en un soporte documental</w:t>
      </w:r>
      <w:r w:rsidRPr="004E0F1E">
        <w:rPr>
          <w:rFonts w:eastAsia="Palatino Linotype" w:cs="Palatino Linotype"/>
          <w:szCs w:val="22"/>
          <w:lang w:val="es-ES"/>
        </w:rPr>
        <w:t xml:space="preserve"> en cualquiera de sus formas, a saber: expedientes, reportes, estudios, actas</w:t>
      </w:r>
      <w:r w:rsidRPr="004E0F1E">
        <w:rPr>
          <w:rFonts w:eastAsia="Palatino Linotype" w:cs="Palatino Linotype"/>
          <w:b/>
          <w:szCs w:val="22"/>
          <w:lang w:val="es-ES"/>
        </w:rPr>
        <w:t>,</w:t>
      </w:r>
      <w:r w:rsidRPr="004E0F1E">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8C3720F" w14:textId="77777777" w:rsidR="0039267F" w:rsidRPr="004E0F1E" w:rsidRDefault="0039267F" w:rsidP="004E0F1E">
      <w:pPr>
        <w:pStyle w:val="Puesto"/>
      </w:pPr>
      <w:r w:rsidRPr="004E0F1E">
        <w:t>“Artículo 3. Para los efectos de la presente Ley se entenderá por:</w:t>
      </w:r>
    </w:p>
    <w:p w14:paraId="6CFB64B7" w14:textId="77777777" w:rsidR="0039267F" w:rsidRPr="004E0F1E" w:rsidRDefault="0039267F" w:rsidP="004E0F1E">
      <w:pPr>
        <w:pStyle w:val="Puesto"/>
      </w:pPr>
      <w:r w:rsidRPr="004E0F1E">
        <w:t>…</w:t>
      </w:r>
    </w:p>
    <w:p w14:paraId="0353B453" w14:textId="77777777" w:rsidR="0039267F" w:rsidRPr="004E0F1E" w:rsidRDefault="0039267F" w:rsidP="004E0F1E">
      <w:pPr>
        <w:pStyle w:val="Puesto"/>
      </w:pPr>
      <w:r w:rsidRPr="004E0F1E">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D3980BC" w14:textId="77777777" w:rsidR="0039267F" w:rsidRPr="004E0F1E" w:rsidRDefault="0039267F" w:rsidP="004E0F1E">
      <w:pPr>
        <w:ind w:left="1134" w:right="-312"/>
        <w:rPr>
          <w:rFonts w:eastAsia="Palatino Linotype" w:cs="Palatino Linotype"/>
          <w:szCs w:val="22"/>
          <w:lang w:val="es-ES"/>
        </w:rPr>
      </w:pPr>
    </w:p>
    <w:p w14:paraId="620C890F" w14:textId="77777777" w:rsidR="0039267F" w:rsidRPr="004E0F1E" w:rsidRDefault="0039267F" w:rsidP="004E0F1E">
      <w:pPr>
        <w:ind w:right="-312"/>
        <w:rPr>
          <w:rFonts w:eastAsia="Palatino Linotype" w:cs="Palatino Linotype"/>
          <w:szCs w:val="22"/>
          <w:lang w:val="es-ES"/>
        </w:rPr>
      </w:pPr>
      <w:r w:rsidRPr="004E0F1E">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5F2F059" w14:textId="77777777" w:rsidR="0039267F" w:rsidRPr="004E0F1E" w:rsidRDefault="0039267F" w:rsidP="004E0F1E">
      <w:pPr>
        <w:ind w:left="851" w:right="-312"/>
        <w:rPr>
          <w:rFonts w:eastAsia="Palatino Linotype" w:cs="Palatino Linotype"/>
          <w:szCs w:val="22"/>
          <w:lang w:val="es-ES"/>
        </w:rPr>
      </w:pPr>
    </w:p>
    <w:p w14:paraId="23FB4F64" w14:textId="77777777" w:rsidR="0039267F" w:rsidRPr="004E0F1E" w:rsidRDefault="0039267F" w:rsidP="004E0F1E">
      <w:pPr>
        <w:pStyle w:val="Puesto"/>
      </w:pPr>
      <w:r w:rsidRPr="004E0F1E">
        <w:t>“CRITERIO 0002-11</w:t>
      </w:r>
    </w:p>
    <w:p w14:paraId="7B21669F" w14:textId="77777777" w:rsidR="0039267F" w:rsidRPr="004E0F1E" w:rsidRDefault="0039267F" w:rsidP="004E0F1E">
      <w:pPr>
        <w:pStyle w:val="Puesto"/>
      </w:pPr>
      <w:r w:rsidRPr="004E0F1E">
        <w:t xml:space="preserve">INFORMACIÓN PÚBLICA, CONCEPTO DE, EN MATERIA DE TRANSPARENCIA. INTERPRETACIÓN SISTEMÁTICA DE LOS ARTÍCULOS 2°, FRACCIÓN V, XV, Y XVI, 3°, 4°, 11 Y 41. De conformidad con </w:t>
      </w:r>
      <w:r w:rsidRPr="004E0F1E">
        <w:lastRenderedPageBreak/>
        <w:t>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B6AE3E9" w14:textId="77777777" w:rsidR="0039267F" w:rsidRPr="004E0F1E" w:rsidRDefault="0039267F" w:rsidP="004E0F1E">
      <w:pPr>
        <w:pStyle w:val="Puesto"/>
      </w:pPr>
      <w:r w:rsidRPr="004E0F1E">
        <w:t>En consecuencia el acceso a la información se refiere a que se cumplan cualquiera de los siguientes tres supuestos:</w:t>
      </w:r>
    </w:p>
    <w:p w14:paraId="5EB64F1D" w14:textId="77777777" w:rsidR="0039267F" w:rsidRPr="004E0F1E" w:rsidRDefault="0039267F" w:rsidP="004E0F1E">
      <w:pPr>
        <w:pStyle w:val="Puesto"/>
      </w:pPr>
      <w:r w:rsidRPr="004E0F1E">
        <w:t>1) Que se trate de información registrada en cualquier soporte documental, que en ejercicio de las atribuciones conferidas, sea generada por los Sujetos Obligados;</w:t>
      </w:r>
    </w:p>
    <w:p w14:paraId="1305F3D7" w14:textId="77777777" w:rsidR="0039267F" w:rsidRPr="004E0F1E" w:rsidRDefault="0039267F" w:rsidP="004E0F1E">
      <w:pPr>
        <w:pStyle w:val="Puesto"/>
      </w:pPr>
      <w:r w:rsidRPr="004E0F1E">
        <w:t>2) Que se trate de información registrada en cualquier soporte documental, que en ejercicio de las atribuciones conferidas, sea administrada por los Sujetos Obligados, y</w:t>
      </w:r>
    </w:p>
    <w:p w14:paraId="66682C96" w14:textId="77777777" w:rsidR="0039267F" w:rsidRPr="004E0F1E" w:rsidRDefault="0039267F" w:rsidP="004E0F1E">
      <w:pPr>
        <w:pStyle w:val="Puesto"/>
      </w:pPr>
      <w:r w:rsidRPr="004E0F1E">
        <w:t>3) Que se trate de información registrada en cualquier soporte documental, que en ejercicio de las atribuciones conferidas, se encuentre en posesión de los Sujetos Obligados.” (Sic)</w:t>
      </w:r>
    </w:p>
    <w:p w14:paraId="45835A26"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4E0F1E">
        <w:rPr>
          <w:rFonts w:eastAsia="Palatino Linotype" w:cs="Palatino Linotype"/>
          <w:b/>
          <w:szCs w:val="22"/>
          <w:lang w:val="es-ES"/>
        </w:rPr>
        <w:t>EL SUJETO OBLIGADO</w:t>
      </w:r>
      <w:r w:rsidRPr="004E0F1E">
        <w:rPr>
          <w:rFonts w:eastAsia="Palatino Linotype" w:cs="Palatino Linotype"/>
          <w:szCs w:val="22"/>
          <w:lang w:val="es-ES"/>
        </w:rPr>
        <w:t xml:space="preserve"> la generó o porque como parte del ejercicio de sus funciones la recibió y por consiguiente, la administra y posee. </w:t>
      </w:r>
    </w:p>
    <w:p w14:paraId="2A9C3FD3" w14:textId="77777777" w:rsidR="0039267F" w:rsidRPr="004E0F1E" w:rsidRDefault="0039267F" w:rsidP="004E0F1E">
      <w:pPr>
        <w:ind w:right="-312"/>
        <w:rPr>
          <w:rFonts w:eastAsia="Palatino Linotype" w:cs="Palatino Linotype"/>
          <w:bCs/>
          <w:szCs w:val="22"/>
        </w:rPr>
      </w:pPr>
      <w:r w:rsidRPr="004E0F1E">
        <w:rPr>
          <w:szCs w:val="22"/>
        </w:rPr>
        <w:t xml:space="preserve">De tal modo que dichos planteamientos realizados por </w:t>
      </w:r>
      <w:r w:rsidRPr="004E0F1E">
        <w:rPr>
          <w:b/>
          <w:bCs/>
          <w:szCs w:val="22"/>
        </w:rPr>
        <w:t>LA PARTE RECURRENTE</w:t>
      </w:r>
      <w:r w:rsidRPr="004E0F1E">
        <w:rPr>
          <w:szCs w:val="22"/>
        </w:rPr>
        <w:t xml:space="preserve"> no se constituye como materia del derecho de acceso a la información, </w:t>
      </w:r>
      <w:r w:rsidRPr="004E0F1E">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47494C6E" w14:textId="77777777" w:rsidR="0039267F" w:rsidRPr="004E0F1E" w:rsidRDefault="0039267F" w:rsidP="004E0F1E">
      <w:pPr>
        <w:ind w:right="-312"/>
        <w:rPr>
          <w:rFonts w:eastAsia="Palatino Linotype" w:cs="Palatino Linotype"/>
          <w:szCs w:val="22"/>
        </w:rPr>
      </w:pPr>
    </w:p>
    <w:p w14:paraId="6205FC70" w14:textId="77777777" w:rsidR="0039267F" w:rsidRPr="004E0F1E" w:rsidRDefault="0039267F" w:rsidP="004E0F1E">
      <w:pPr>
        <w:ind w:right="-312"/>
        <w:rPr>
          <w:rFonts w:eastAsia="Palatino Linotype" w:cs="Palatino Linotype"/>
          <w:szCs w:val="22"/>
        </w:rPr>
      </w:pPr>
      <w:r w:rsidRPr="004E0F1E">
        <w:rPr>
          <w:rFonts w:eastAsia="Palatino Linotype" w:cs="Palatino Linotype"/>
          <w:szCs w:val="22"/>
        </w:rPr>
        <w:lastRenderedPageBreak/>
        <w:t xml:space="preserve">Robustece lo anterior, el Criterio 03/17 emitido por el Instituto Nacional de Transparencia, Acceso a la Información y Protección de Datos Personales, el cual establece lo siguiente: </w:t>
      </w:r>
    </w:p>
    <w:p w14:paraId="1AB244C8" w14:textId="77777777" w:rsidR="0039267F" w:rsidRPr="004E0F1E" w:rsidRDefault="0039267F" w:rsidP="004E0F1E">
      <w:pPr>
        <w:ind w:right="-312"/>
        <w:rPr>
          <w:rFonts w:eastAsia="Palatino Linotype" w:cs="Palatino Linotype"/>
          <w:szCs w:val="22"/>
        </w:rPr>
      </w:pPr>
    </w:p>
    <w:p w14:paraId="44057C4E" w14:textId="77777777" w:rsidR="0039267F" w:rsidRPr="004E0F1E" w:rsidRDefault="0039267F" w:rsidP="004E0F1E">
      <w:pPr>
        <w:pStyle w:val="Puesto"/>
      </w:pPr>
      <w:r w:rsidRPr="004E0F1E">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217E9966" w14:textId="77777777" w:rsidR="0039267F" w:rsidRPr="004E0F1E" w:rsidRDefault="0039267F" w:rsidP="004E0F1E">
      <w:pPr>
        <w:ind w:right="-312"/>
        <w:rPr>
          <w:bCs/>
          <w:iCs/>
          <w:szCs w:val="22"/>
        </w:rPr>
      </w:pPr>
    </w:p>
    <w:p w14:paraId="10CFA876" w14:textId="77777777" w:rsidR="0039267F" w:rsidRPr="004E0F1E" w:rsidRDefault="0039267F" w:rsidP="004E0F1E">
      <w:pPr>
        <w:ind w:right="-312"/>
        <w:rPr>
          <w:rFonts w:cs="Arial"/>
          <w:b/>
          <w:szCs w:val="22"/>
        </w:rPr>
      </w:pPr>
      <w:r w:rsidRPr="004E0F1E">
        <w:rPr>
          <w:rFonts w:cs="Arial"/>
          <w:szCs w:val="22"/>
        </w:rPr>
        <w:t xml:space="preserve">Por lo que bajo tal modo </w:t>
      </w:r>
      <w:r w:rsidRPr="004E0F1E">
        <w:rPr>
          <w:rFonts w:cs="Arial"/>
          <w:b/>
          <w:szCs w:val="22"/>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p>
    <w:p w14:paraId="097E7882" w14:textId="77777777" w:rsidR="0039267F" w:rsidRPr="004E0F1E" w:rsidRDefault="0039267F" w:rsidP="004E0F1E">
      <w:pPr>
        <w:ind w:right="-312"/>
        <w:rPr>
          <w:rFonts w:cs="Arial"/>
          <w:szCs w:val="22"/>
        </w:rPr>
      </w:pPr>
    </w:p>
    <w:p w14:paraId="53E1CB32" w14:textId="77777777" w:rsidR="0039267F" w:rsidRPr="004E0F1E" w:rsidRDefault="0039267F" w:rsidP="004E0F1E">
      <w:pPr>
        <w:ind w:right="-312"/>
        <w:rPr>
          <w:szCs w:val="22"/>
        </w:rPr>
      </w:pPr>
      <w:r w:rsidRPr="004E0F1E">
        <w:rPr>
          <w:szCs w:val="22"/>
        </w:rPr>
        <w:t xml:space="preserve">Por lo anterior, al no constituirse dichas manifestaciones, se considera que </w:t>
      </w:r>
      <w:r w:rsidRPr="004E0F1E">
        <w:rPr>
          <w:b/>
          <w:szCs w:val="22"/>
        </w:rPr>
        <w:t>EL SUJETO OBLIGADO</w:t>
      </w:r>
      <w:r w:rsidRPr="004E0F1E">
        <w:rPr>
          <w:szCs w:val="22"/>
        </w:rPr>
        <w:t xml:space="preserve"> no se encuentra constreñido a emitir una respuesta al mismo, así como manifestaciones al respecto.</w:t>
      </w:r>
    </w:p>
    <w:p w14:paraId="183D314E" w14:textId="77777777" w:rsidR="0039267F" w:rsidRPr="004E0F1E" w:rsidRDefault="0039267F" w:rsidP="004E0F1E">
      <w:pPr>
        <w:pStyle w:val="Sinespaciado"/>
        <w:spacing w:line="360" w:lineRule="auto"/>
        <w:ind w:right="-312"/>
        <w:rPr>
          <w:szCs w:val="22"/>
        </w:rPr>
      </w:pPr>
    </w:p>
    <w:p w14:paraId="10CC6DCB" w14:textId="77777777" w:rsidR="0039267F" w:rsidRPr="004E0F1E" w:rsidRDefault="0039267F" w:rsidP="004E0F1E">
      <w:pPr>
        <w:pStyle w:val="Prrafodelista"/>
        <w:autoSpaceDE w:val="0"/>
        <w:autoSpaceDN w:val="0"/>
        <w:adjustRightInd w:val="0"/>
        <w:ind w:left="0" w:right="-312"/>
        <w:rPr>
          <w:rFonts w:cs="Arial"/>
          <w:szCs w:val="22"/>
        </w:rPr>
      </w:pPr>
      <w:r w:rsidRPr="004E0F1E">
        <w:rPr>
          <w:szCs w:val="22"/>
        </w:rPr>
        <w:t xml:space="preserve">Bajo éste tenor, cabe aclarar que cuando los planteamientos que formulen los particulares se pueda colmar con la entrega de </w:t>
      </w:r>
      <w:r w:rsidRPr="004E0F1E">
        <w:rPr>
          <w:rFonts w:cs="Arial"/>
          <w:szCs w:val="22"/>
        </w:rPr>
        <w:t xml:space="preserve">documentos que los </w:t>
      </w:r>
      <w:r w:rsidRPr="004E0F1E">
        <w:rPr>
          <w:rFonts w:cs="Arial"/>
          <w:b/>
          <w:bCs/>
          <w:szCs w:val="22"/>
        </w:rPr>
        <w:t>Sujetos Obligados</w:t>
      </w:r>
      <w:r w:rsidRPr="004E0F1E">
        <w:rPr>
          <w:rFonts w:cs="Arial"/>
          <w:szCs w:val="22"/>
        </w:rPr>
        <w:t xml:space="preserve"> generen, posean o administren en ejercicio de sus atribuciones, se está en presencia del derecho fundamental de acceso a la información, previsto en el artículo 6, Apartado </w:t>
      </w:r>
      <w:r w:rsidRPr="004E0F1E">
        <w:rPr>
          <w:szCs w:val="22"/>
        </w:rPr>
        <w:t xml:space="preserve">A, fracción IV de la Constitución Política de los Estados Unidos Mexicanos, el cual deberá garantizarse </w:t>
      </w:r>
      <w:r w:rsidRPr="004E0F1E">
        <w:rPr>
          <w:szCs w:val="22"/>
        </w:rPr>
        <w:lastRenderedPageBreak/>
        <w:t>ordenando la entrega de tales documentales, siempre y cuando éstas sean de acceso público.</w:t>
      </w:r>
    </w:p>
    <w:p w14:paraId="0D9CC809" w14:textId="77777777" w:rsidR="0039267F" w:rsidRPr="004E0F1E" w:rsidRDefault="0039267F" w:rsidP="004E0F1E">
      <w:pPr>
        <w:pStyle w:val="Prrafodelista"/>
        <w:autoSpaceDE w:val="0"/>
        <w:autoSpaceDN w:val="0"/>
        <w:adjustRightInd w:val="0"/>
        <w:ind w:left="0" w:right="-312"/>
        <w:rPr>
          <w:rFonts w:cs="Arial"/>
          <w:szCs w:val="22"/>
        </w:rPr>
      </w:pPr>
    </w:p>
    <w:p w14:paraId="52B2B917" w14:textId="77777777" w:rsidR="0039267F" w:rsidRPr="004E0F1E" w:rsidRDefault="0039267F" w:rsidP="004E0F1E">
      <w:pPr>
        <w:pStyle w:val="Prrafodelista"/>
        <w:autoSpaceDE w:val="0"/>
        <w:autoSpaceDN w:val="0"/>
        <w:adjustRightInd w:val="0"/>
        <w:ind w:left="0" w:right="-312"/>
        <w:rPr>
          <w:rFonts w:cs="Arial"/>
          <w:szCs w:val="22"/>
        </w:rPr>
      </w:pPr>
      <w:r w:rsidRPr="004E0F1E">
        <w:rPr>
          <w:rFonts w:cs="Arial"/>
          <w:szCs w:val="22"/>
        </w:rPr>
        <w:t>Sirve de sustento a lo anterior, el</w:t>
      </w:r>
      <w:r w:rsidRPr="004E0F1E">
        <w:rPr>
          <w:rStyle w:val="apple-converted-space"/>
          <w:rFonts w:eastAsiaTheme="majorEastAsia" w:cs="Arial"/>
          <w:szCs w:val="22"/>
        </w:rPr>
        <w:t xml:space="preserve"> </w:t>
      </w:r>
      <w:r w:rsidRPr="004E0F1E">
        <w:rPr>
          <w:rStyle w:val="il"/>
          <w:rFonts w:eastAsiaTheme="majorEastAsia" w:cs="Arial"/>
          <w:szCs w:val="22"/>
        </w:rPr>
        <w:t>Criterio</w:t>
      </w:r>
      <w:r w:rsidRPr="004E0F1E">
        <w:rPr>
          <w:rStyle w:val="apple-converted-space"/>
          <w:rFonts w:eastAsiaTheme="majorEastAsia" w:cs="Arial"/>
          <w:szCs w:val="22"/>
        </w:rPr>
        <w:t xml:space="preserve"> </w:t>
      </w:r>
      <w:r w:rsidRPr="004E0F1E">
        <w:rPr>
          <w:rStyle w:val="il"/>
          <w:rFonts w:eastAsiaTheme="majorEastAsia" w:cs="Arial"/>
          <w:b/>
          <w:bCs/>
          <w:szCs w:val="22"/>
        </w:rPr>
        <w:t>028</w:t>
      </w:r>
      <w:r w:rsidRPr="004E0F1E">
        <w:rPr>
          <w:rFonts w:cs="Arial"/>
          <w:b/>
          <w:bCs/>
          <w:szCs w:val="22"/>
        </w:rPr>
        <w:t>-</w:t>
      </w:r>
      <w:r w:rsidRPr="004E0F1E">
        <w:rPr>
          <w:rStyle w:val="il"/>
          <w:rFonts w:eastAsiaTheme="majorEastAsia" w:cs="Arial"/>
          <w:b/>
          <w:bCs/>
          <w:szCs w:val="22"/>
        </w:rPr>
        <w:t>10</w:t>
      </w:r>
      <w:r w:rsidRPr="004E0F1E">
        <w:rPr>
          <w:rStyle w:val="apple-converted-space"/>
          <w:rFonts w:eastAsiaTheme="majorEastAsia" w:cs="Arial"/>
          <w:szCs w:val="22"/>
        </w:rPr>
        <w:t xml:space="preserve"> </w:t>
      </w:r>
      <w:r w:rsidRPr="004E0F1E">
        <w:rPr>
          <w:rFonts w:cs="Arial"/>
          <w:szCs w:val="22"/>
        </w:rPr>
        <w:t>emitido por el Pleno del entonces llamado</w:t>
      </w:r>
      <w:r w:rsidRPr="004E0F1E">
        <w:rPr>
          <w:rStyle w:val="apple-converted-space"/>
          <w:rFonts w:eastAsiaTheme="majorEastAsia" w:cs="Arial"/>
          <w:szCs w:val="22"/>
        </w:rPr>
        <w:t xml:space="preserve"> </w:t>
      </w:r>
      <w:r w:rsidRPr="004E0F1E">
        <w:rPr>
          <w:rFonts w:cs="Arial"/>
          <w:szCs w:val="22"/>
        </w:rPr>
        <w:t>Instituto Federal de Acceso a la Información y Protección de Datos, ahora Instituto Nacional de Transparencia, Acceso a la Información y Protección de Datos Personales que establece que se deberá garantizar</w:t>
      </w:r>
      <w:r w:rsidRPr="004E0F1E">
        <w:rPr>
          <w:rStyle w:val="apple-converted-space"/>
          <w:rFonts w:eastAsiaTheme="majorEastAsia" w:cs="Arial"/>
          <w:szCs w:val="22"/>
        </w:rPr>
        <w:t xml:space="preserve"> </w:t>
      </w:r>
      <w:r w:rsidRPr="004E0F1E">
        <w:rPr>
          <w:rFonts w:cs="Arial"/>
          <w:szCs w:val="22"/>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4E0F1E">
        <w:rPr>
          <w:rStyle w:val="apple-converted-space"/>
          <w:rFonts w:eastAsiaTheme="majorEastAsia" w:cs="Arial"/>
          <w:iCs/>
          <w:szCs w:val="22"/>
        </w:rPr>
        <w:t xml:space="preserve"> </w:t>
      </w:r>
      <w:r w:rsidRPr="004E0F1E">
        <w:rPr>
          <w:rFonts w:cs="Arial"/>
          <w:szCs w:val="22"/>
        </w:rPr>
        <w:t xml:space="preserve">aunque el particular lleve a cabo una solicitud de información sin identificar de forma precisa la documentación, </w:t>
      </w:r>
      <w:r w:rsidRPr="004E0F1E">
        <w:rPr>
          <w:rFonts w:cs="Arial"/>
          <w:b/>
          <w:szCs w:val="22"/>
        </w:rPr>
        <w:t>EL SUJETO OBLIGADO</w:t>
      </w:r>
      <w:r w:rsidRPr="004E0F1E">
        <w:rPr>
          <w:rStyle w:val="apple-converted-space"/>
          <w:rFonts w:eastAsiaTheme="majorEastAsia" w:cs="Arial"/>
          <w:b/>
          <w:szCs w:val="22"/>
        </w:rPr>
        <w:t xml:space="preserve"> </w:t>
      </w:r>
      <w:r w:rsidRPr="004E0F1E">
        <w:rPr>
          <w:rFonts w:cs="Arial"/>
          <w:szCs w:val="22"/>
        </w:rPr>
        <w:t>deberá hacer entrega del mismo al solicitante</w:t>
      </w:r>
      <w:r w:rsidRPr="004E0F1E">
        <w:rPr>
          <w:rStyle w:val="apple-converted-space"/>
          <w:rFonts w:eastAsiaTheme="majorEastAsia" w:cs="Arial"/>
          <w:szCs w:val="22"/>
        </w:rPr>
        <w:t xml:space="preserve"> </w:t>
      </w:r>
      <w:r w:rsidRPr="004E0F1E">
        <w:rPr>
          <w:rFonts w:cs="Arial"/>
          <w:szCs w:val="22"/>
        </w:rPr>
        <w:t>mismo que a continuación se cita:</w:t>
      </w:r>
    </w:p>
    <w:p w14:paraId="2D738D8F" w14:textId="77777777" w:rsidR="0039267F" w:rsidRPr="004E0F1E" w:rsidRDefault="0039267F" w:rsidP="004E0F1E">
      <w:pPr>
        <w:pStyle w:val="Prrafodelista"/>
        <w:autoSpaceDE w:val="0"/>
        <w:autoSpaceDN w:val="0"/>
        <w:adjustRightInd w:val="0"/>
        <w:ind w:left="0" w:right="-312"/>
        <w:rPr>
          <w:rFonts w:cs="Arial"/>
          <w:szCs w:val="22"/>
        </w:rPr>
      </w:pPr>
    </w:p>
    <w:p w14:paraId="450A777F" w14:textId="77777777" w:rsidR="0039267F" w:rsidRPr="004E0F1E" w:rsidRDefault="0039267F" w:rsidP="004E0F1E">
      <w:pPr>
        <w:pStyle w:val="Puesto"/>
        <w:rPr>
          <w:rStyle w:val="apple-converted-space"/>
        </w:rPr>
      </w:pPr>
      <w:r w:rsidRPr="004E0F1E">
        <w:t>“CUANDO EN UNA SOLICITUD DE INFORMACIÓN NO SE IDENTIFIQUE UN DOCUMENTO EN ESPECÍFICO, SI ÉSTA TIENE UNA EXPRESIÓN DOCUMENTAL, EL SUJETO OBLIGADO DEBERÁ ENTREGAR AL PARTICULAR EL DOCUMENTO EN ESPECÍFICO.</w:t>
      </w:r>
      <w:r w:rsidRPr="004E0F1E">
        <w:rPr>
          <w:rStyle w:val="apple-converted-space"/>
        </w:rPr>
        <w:t xml:space="preserve"> </w:t>
      </w:r>
    </w:p>
    <w:p w14:paraId="3D972717" w14:textId="77777777" w:rsidR="0039267F" w:rsidRPr="004E0F1E" w:rsidRDefault="0039267F" w:rsidP="004E0F1E">
      <w:pPr>
        <w:pStyle w:val="Puesto"/>
      </w:pPr>
      <w:r w:rsidRPr="004E0F1E">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w:t>
      </w:r>
      <w:r w:rsidRPr="004E0F1E">
        <w:lastRenderedPageBreak/>
        <w:t>hace referencia específica a tal documento, se deberá hacer entrega del mismo al solicitante.</w:t>
      </w:r>
    </w:p>
    <w:p w14:paraId="6AC38308" w14:textId="77777777" w:rsidR="0039267F" w:rsidRPr="004E0F1E" w:rsidRDefault="0039267F" w:rsidP="004E0F1E">
      <w:pPr>
        <w:spacing w:before="240" w:after="240"/>
        <w:ind w:right="-312"/>
        <w:rPr>
          <w:rFonts w:eastAsia="Palatino Linotype" w:cs="Palatino Linotype"/>
          <w:szCs w:val="22"/>
          <w:lang w:val="es-ES"/>
        </w:rPr>
      </w:pPr>
      <w:r w:rsidRPr="004E0F1E">
        <w:rPr>
          <w:rFonts w:eastAsia="Palatino Linotype" w:cs="Palatino Linotype"/>
          <w:szCs w:val="22"/>
          <w:lang w:val="es-ES"/>
        </w:rPr>
        <w:t>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6986B666" w14:textId="77777777" w:rsidR="0039267F" w:rsidRPr="004E0F1E" w:rsidRDefault="0039267F" w:rsidP="004E0F1E">
      <w:pPr>
        <w:pBdr>
          <w:top w:val="nil"/>
          <w:left w:val="nil"/>
          <w:bottom w:val="nil"/>
          <w:right w:val="nil"/>
          <w:between w:val="nil"/>
        </w:pBdr>
        <w:spacing w:before="240" w:after="240"/>
        <w:ind w:right="-312"/>
        <w:rPr>
          <w:rFonts w:eastAsia="Palatino Linotype" w:cs="Palatino Linotype"/>
          <w:szCs w:val="22"/>
          <w:lang w:val="es-ES"/>
        </w:rPr>
      </w:pPr>
      <w:r w:rsidRPr="004E0F1E">
        <w:rPr>
          <w:rFonts w:eastAsia="Palatino Linotype" w:cs="Palatino Linotype"/>
          <w:szCs w:val="22"/>
          <w:lang w:val="es-ES"/>
        </w:rPr>
        <w:t xml:space="preserve">Como sustento a lo anterior resulta aplicable el Criterio 16/17, emitido por el Instituto Nacional de Transparencia, Acceso a la Información y Protección de Datos Personales, INAI, establece lo siguiente: </w:t>
      </w:r>
    </w:p>
    <w:p w14:paraId="701067DB" w14:textId="77777777" w:rsidR="0039267F" w:rsidRPr="004E0F1E" w:rsidRDefault="0039267F" w:rsidP="004E0F1E">
      <w:pPr>
        <w:pStyle w:val="Puesto"/>
        <w:ind w:right="-312"/>
        <w:rPr>
          <w:rFonts w:eastAsia="Palatino Linotype"/>
          <w:szCs w:val="22"/>
          <w:lang w:val="es-ES"/>
        </w:rPr>
      </w:pPr>
      <w:r w:rsidRPr="004E0F1E">
        <w:rPr>
          <w:szCs w:val="22"/>
          <w:lang w:val="es-ES"/>
        </w:rPr>
        <w:t xml:space="preserve"> “</w:t>
      </w:r>
      <w:r w:rsidRPr="004E0F1E">
        <w:rPr>
          <w:rFonts w:eastAsia="Palatino Linotype"/>
          <w:b/>
          <w:szCs w:val="22"/>
          <w:lang w:val="es-ES"/>
        </w:rPr>
        <w:t xml:space="preserve">Expresión documental. </w:t>
      </w:r>
      <w:r w:rsidRPr="004E0F1E">
        <w:rPr>
          <w:rFonts w:eastAsia="Palatino Linotype"/>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406D1F9D" w14:textId="77777777" w:rsidR="0039267F" w:rsidRPr="004E0F1E" w:rsidRDefault="0039267F" w:rsidP="004E0F1E">
      <w:pPr>
        <w:ind w:right="-312"/>
        <w:rPr>
          <w:b/>
          <w:szCs w:val="22"/>
        </w:rPr>
      </w:pPr>
    </w:p>
    <w:p w14:paraId="3562A8F8" w14:textId="77777777" w:rsidR="0039267F" w:rsidRPr="004E0F1E" w:rsidRDefault="0039267F" w:rsidP="004E0F1E">
      <w:pPr>
        <w:autoSpaceDE w:val="0"/>
        <w:autoSpaceDN w:val="0"/>
        <w:adjustRightInd w:val="0"/>
        <w:ind w:right="-312"/>
        <w:rPr>
          <w:rFonts w:cs="Arial"/>
          <w:szCs w:val="22"/>
        </w:rPr>
      </w:pPr>
      <w:r w:rsidRPr="004E0F1E">
        <w:rPr>
          <w:rFonts w:cs="Arial"/>
          <w:szCs w:val="22"/>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24F91141" w14:textId="77777777" w:rsidR="0039267F" w:rsidRPr="004E0F1E" w:rsidRDefault="0039267F" w:rsidP="004E0F1E">
      <w:pPr>
        <w:autoSpaceDE w:val="0"/>
        <w:autoSpaceDN w:val="0"/>
        <w:adjustRightInd w:val="0"/>
        <w:ind w:right="-312"/>
        <w:rPr>
          <w:szCs w:val="22"/>
        </w:rPr>
      </w:pPr>
    </w:p>
    <w:p w14:paraId="0217B851" w14:textId="77777777" w:rsidR="0039267F" w:rsidRPr="004E0F1E" w:rsidRDefault="0039267F" w:rsidP="004E0F1E">
      <w:pPr>
        <w:ind w:right="-312"/>
        <w:rPr>
          <w:rFonts w:cs="Arial"/>
          <w:szCs w:val="22"/>
        </w:rPr>
      </w:pPr>
      <w:r w:rsidRPr="004E0F1E">
        <w:rPr>
          <w:szCs w:val="22"/>
        </w:rPr>
        <w:t xml:space="preserve">En ese tenor, este Órgano Garante considera importante realizar el análisis de dichos requerimientos, bajo el amparo del principio de máxima publicidad y pro persona con el objeto de verificar si existe expresión documental con la cual se puede colmar la pretensión del solicitante, sirviendo de sustento lo establecido en </w:t>
      </w:r>
      <w:r w:rsidRPr="004E0F1E">
        <w:rPr>
          <w:rFonts w:cs="Arial"/>
          <w:szCs w:val="22"/>
        </w:rPr>
        <w:t>el criterio jurisprudencial, emitido la Primera Sala de la Suprema Corte de Justicia de la Nación, encontrado en el Libro 11, Tomo I página 613, de octubre de 2014,</w:t>
      </w:r>
      <w:r w:rsidRPr="004E0F1E">
        <w:rPr>
          <w:szCs w:val="22"/>
        </w:rPr>
        <w:t xml:space="preserve"> </w:t>
      </w:r>
      <w:r w:rsidRPr="004E0F1E">
        <w:rPr>
          <w:rFonts w:cs="Arial"/>
          <w:szCs w:val="22"/>
        </w:rPr>
        <w:t>del Semanario Judicial de la Federación y su Gaceta, Décima Época, que su texto nos refiere:</w:t>
      </w:r>
    </w:p>
    <w:p w14:paraId="6306BCC3" w14:textId="77777777" w:rsidR="0039267F" w:rsidRPr="004E0F1E" w:rsidRDefault="0039267F" w:rsidP="004E0F1E">
      <w:pPr>
        <w:ind w:right="-312"/>
        <w:rPr>
          <w:rFonts w:cs="Arial"/>
          <w:szCs w:val="22"/>
        </w:rPr>
      </w:pPr>
    </w:p>
    <w:p w14:paraId="14846DAB" w14:textId="77777777" w:rsidR="0039267F" w:rsidRPr="004E0F1E" w:rsidRDefault="0039267F" w:rsidP="004E0F1E">
      <w:pPr>
        <w:pStyle w:val="Puesto"/>
      </w:pPr>
      <w:r w:rsidRPr="004E0F1E">
        <w:t xml:space="preserve">PRINCIPIO PRO PERSONA. REQUISITOS MÍNIMOS PARA QUE SE ATIENDA EL FONDO DE LA SOLICITUD DE SU APLICACIÓN, O LA IMPUGNACIÓN DE SU OMISIÓN POR LA AUTORIDAD RESPONSABLE.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w:t>
      </w:r>
      <w:r w:rsidRPr="004E0F1E">
        <w:lastRenderedPageBreak/>
        <w:t xml:space="preserve">o incertidumbre sobre lo que se pretende del tribunal; el segundo obedece al objeto del principio </w:t>
      </w:r>
      <w:proofErr w:type="spellStart"/>
      <w:r w:rsidRPr="004E0F1E">
        <w:t>pro</w:t>
      </w:r>
      <w:proofErr w:type="spellEnd"/>
      <w:r w:rsidRPr="004E0F1E">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37700805" w14:textId="77777777" w:rsidR="0039267F" w:rsidRPr="004E0F1E" w:rsidRDefault="0039267F" w:rsidP="004E0F1E">
      <w:pPr>
        <w:ind w:right="-312"/>
        <w:rPr>
          <w:szCs w:val="22"/>
        </w:rPr>
      </w:pPr>
    </w:p>
    <w:p w14:paraId="7E1B4C18" w14:textId="77777777" w:rsidR="005F6453" w:rsidRPr="004E0F1E" w:rsidRDefault="0039267F" w:rsidP="004E0F1E">
      <w:pPr>
        <w:ind w:right="-312"/>
      </w:pPr>
      <w:r w:rsidRPr="004E0F1E">
        <w:rPr>
          <w:szCs w:val="22"/>
        </w:rPr>
        <w:t xml:space="preserve">Puntualizado lo anterior, </w:t>
      </w:r>
      <w:r w:rsidR="005F6453" w:rsidRPr="004E0F1E">
        <w:rPr>
          <w:rFonts w:eastAsia="Palatino Linotype"/>
        </w:rPr>
        <w:t xml:space="preserve">es necesario iniciar señalando que </w:t>
      </w:r>
      <w:r w:rsidR="005F6453" w:rsidRPr="004E0F1E">
        <w:t>de una revisión al expediente que nos ocupa dentro del Sistema de Acceso a la Información Mexiquense, no se advierte el apartado de requerimientos; de lo que se infiere que el Titular de la Unidad de Transparencia no turnó la solicitud al área competente.</w:t>
      </w:r>
    </w:p>
    <w:p w14:paraId="78433FDC" w14:textId="77777777" w:rsidR="005F6453" w:rsidRPr="004E0F1E" w:rsidRDefault="005F6453" w:rsidP="004E0F1E">
      <w:pPr>
        <w:ind w:right="-312"/>
      </w:pPr>
    </w:p>
    <w:p w14:paraId="46F5C099" w14:textId="77777777" w:rsidR="005F6453" w:rsidRPr="004E0F1E" w:rsidRDefault="005F6453" w:rsidP="004E0F1E">
      <w:pPr>
        <w:pBdr>
          <w:top w:val="nil"/>
          <w:left w:val="nil"/>
          <w:bottom w:val="nil"/>
          <w:right w:val="nil"/>
          <w:between w:val="nil"/>
        </w:pBdr>
        <w:spacing w:after="240"/>
        <w:ind w:right="-312"/>
        <w:contextualSpacing/>
        <w:rPr>
          <w:b/>
        </w:rPr>
      </w:pPr>
      <w:r w:rsidRPr="004E0F1E">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4E0F1E">
        <w:rPr>
          <w:b/>
        </w:rPr>
        <w:t xml:space="preserve"> </w:t>
      </w:r>
    </w:p>
    <w:p w14:paraId="5CEA9A27" w14:textId="77777777" w:rsidR="005F6453" w:rsidRPr="004E0F1E" w:rsidRDefault="005F6453" w:rsidP="004E0F1E">
      <w:pPr>
        <w:pStyle w:val="Puesto"/>
      </w:pPr>
      <w:r w:rsidRPr="004E0F1E">
        <w:t>“Ley de Transparencia y Acceso a la Información Pública del Estado de México y Municipios</w:t>
      </w:r>
    </w:p>
    <w:p w14:paraId="2F28AB93" w14:textId="77777777" w:rsidR="005F6453" w:rsidRPr="004E0F1E" w:rsidRDefault="005F6453" w:rsidP="004E0F1E">
      <w:pPr>
        <w:pStyle w:val="Puesto"/>
      </w:pPr>
      <w:r w:rsidRPr="004E0F1E">
        <w:t xml:space="preserve">“Artículo 50. Los sujetos obligados contarán con un área responsable para la atención de las solicitudes de información, a la que se le denominará Unidad de Transparencia. </w:t>
      </w:r>
    </w:p>
    <w:p w14:paraId="464B0556" w14:textId="77777777" w:rsidR="005F6453" w:rsidRPr="004E0F1E" w:rsidRDefault="005F6453" w:rsidP="004E0F1E">
      <w:pPr>
        <w:pStyle w:val="Puesto"/>
      </w:pPr>
      <w:r w:rsidRPr="004E0F1E">
        <w:lastRenderedPageBreak/>
        <w:t>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7189367" w14:textId="77777777" w:rsidR="005F6453" w:rsidRPr="004E0F1E" w:rsidRDefault="005F6453" w:rsidP="004E0F1E">
      <w:pPr>
        <w:pStyle w:val="Puesto"/>
      </w:pPr>
      <w:r w:rsidRPr="004E0F1E">
        <w:t>…</w:t>
      </w:r>
    </w:p>
    <w:p w14:paraId="14DBA41F" w14:textId="77777777" w:rsidR="005F6453" w:rsidRPr="004E0F1E" w:rsidRDefault="005F6453" w:rsidP="004E0F1E">
      <w:pPr>
        <w:pStyle w:val="Puesto"/>
      </w:pPr>
      <w:r w:rsidRPr="004E0F1E">
        <w:t>Artículo 53. Las Unidades de Transparencia tendrán las siguientes funciones:</w:t>
      </w:r>
    </w:p>
    <w:p w14:paraId="4933FA99" w14:textId="77777777" w:rsidR="005F6453" w:rsidRPr="004E0F1E" w:rsidRDefault="005F6453" w:rsidP="004E0F1E">
      <w:pPr>
        <w:pStyle w:val="Puesto"/>
      </w:pPr>
      <w:r w:rsidRPr="004E0F1E">
        <w:t>…</w:t>
      </w:r>
    </w:p>
    <w:p w14:paraId="6A21A868" w14:textId="77777777" w:rsidR="005F6453" w:rsidRPr="004E0F1E" w:rsidRDefault="005F6453" w:rsidP="004E0F1E">
      <w:pPr>
        <w:pStyle w:val="Puesto"/>
      </w:pPr>
      <w:r w:rsidRPr="004E0F1E">
        <w:t xml:space="preserve">II. Recibir, tramitar y dar respuesta a las solicitudes de acceso a la información; </w:t>
      </w:r>
    </w:p>
    <w:p w14:paraId="28467C0B" w14:textId="77777777" w:rsidR="005F6453" w:rsidRPr="004E0F1E" w:rsidRDefault="005F6453" w:rsidP="004E0F1E">
      <w:pPr>
        <w:pStyle w:val="Puesto"/>
      </w:pPr>
      <w:r w:rsidRPr="004E0F1E">
        <w:t>…</w:t>
      </w:r>
    </w:p>
    <w:p w14:paraId="331178CE" w14:textId="77777777" w:rsidR="005F6453" w:rsidRPr="004E0F1E" w:rsidRDefault="005F6453" w:rsidP="004E0F1E">
      <w:pPr>
        <w:pStyle w:val="Puesto"/>
      </w:pPr>
      <w:r w:rsidRPr="004E0F1E">
        <w:t xml:space="preserve">IV. Realizar, con efectividad, los trámites internos necesarios para la atención de las solicitudes de acceso a la información; </w:t>
      </w:r>
    </w:p>
    <w:p w14:paraId="40544343" w14:textId="77777777" w:rsidR="005F6453" w:rsidRPr="004E0F1E" w:rsidRDefault="005F6453" w:rsidP="004E0F1E">
      <w:pPr>
        <w:pStyle w:val="Puesto"/>
      </w:pPr>
      <w:r w:rsidRPr="004E0F1E">
        <w:t xml:space="preserve">V. Entregar, en su caso, a los particulares la información solicitada; </w:t>
      </w:r>
    </w:p>
    <w:p w14:paraId="7BA545AA" w14:textId="77777777" w:rsidR="005F6453" w:rsidRPr="004E0F1E" w:rsidRDefault="005F6453" w:rsidP="004E0F1E">
      <w:pPr>
        <w:pStyle w:val="Puesto"/>
      </w:pPr>
      <w:r w:rsidRPr="004E0F1E">
        <w:t>VI. Efectuar las notificaciones a los solicitantes;” (Sic)</w:t>
      </w:r>
    </w:p>
    <w:p w14:paraId="0E6E9348" w14:textId="77777777" w:rsidR="005F6453" w:rsidRPr="004E0F1E" w:rsidRDefault="005F6453" w:rsidP="004E0F1E">
      <w:pPr>
        <w:tabs>
          <w:tab w:val="left" w:pos="709"/>
        </w:tabs>
        <w:ind w:left="851" w:right="-312"/>
      </w:pPr>
    </w:p>
    <w:p w14:paraId="4314E2D5" w14:textId="77777777" w:rsidR="005F6453" w:rsidRPr="004E0F1E" w:rsidRDefault="005F6453" w:rsidP="004E0F1E">
      <w:pPr>
        <w:ind w:right="-312"/>
      </w:pPr>
      <w:r w:rsidRPr="004E0F1E">
        <w:t xml:space="preserve">Aunado a lo anterior, se debe señalar que aunque la solicitud de información y la respuesta estén dirigidas y atendidas por un </w:t>
      </w:r>
      <w:r w:rsidRPr="004E0F1E">
        <w:rPr>
          <w:b/>
        </w:rPr>
        <w:t>SUJETO OBLIGADO</w:t>
      </w:r>
      <w:r w:rsidRPr="004E0F1E">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34EEFA1" w14:textId="77777777" w:rsidR="005F6453" w:rsidRPr="004E0F1E" w:rsidRDefault="005F6453" w:rsidP="004E0F1E">
      <w:pPr>
        <w:spacing w:line="276" w:lineRule="auto"/>
        <w:ind w:right="-312"/>
      </w:pPr>
    </w:p>
    <w:p w14:paraId="564BBCB1" w14:textId="77777777" w:rsidR="005F6453" w:rsidRPr="004E0F1E" w:rsidRDefault="005F6453" w:rsidP="004E0F1E">
      <w:pPr>
        <w:pStyle w:val="Puesto"/>
      </w:pPr>
      <w:r w:rsidRPr="004E0F1E">
        <w:t>“Artículo 3. Para los efectos de la presente Ley se entenderá por:</w:t>
      </w:r>
    </w:p>
    <w:p w14:paraId="3292BDE6" w14:textId="77777777" w:rsidR="005F6453" w:rsidRPr="004E0F1E" w:rsidRDefault="005F6453" w:rsidP="004E0F1E">
      <w:pPr>
        <w:pStyle w:val="Puesto"/>
      </w:pPr>
      <w:r w:rsidRPr="004E0F1E">
        <w:t>…</w:t>
      </w:r>
    </w:p>
    <w:p w14:paraId="428BF41A" w14:textId="77777777" w:rsidR="005F6453" w:rsidRPr="004E0F1E" w:rsidRDefault="005F6453" w:rsidP="004E0F1E">
      <w:pPr>
        <w:pStyle w:val="Puesto"/>
      </w:pPr>
      <w:r w:rsidRPr="004E0F1E">
        <w:t xml:space="preserve">XXXIX. Servidor público habilitado: Persona encargada dentro de las diversas unidades administrativas o áreas del sujeto obligado, de apoyar, gestionar y entregar la información o datos personales que se ubiquen en la misma, a sus respectivas </w:t>
      </w:r>
      <w:r w:rsidRPr="004E0F1E">
        <w:lastRenderedPageBreak/>
        <w:t>unidades de transparencia; respecto de las solicitudes presentadas y aportar en primera instancia el fundamento y motivación de la clasificación de la información;</w:t>
      </w:r>
    </w:p>
    <w:p w14:paraId="0E20513B" w14:textId="77777777" w:rsidR="005F6453" w:rsidRPr="004E0F1E" w:rsidRDefault="005F6453" w:rsidP="004E0F1E">
      <w:pPr>
        <w:pStyle w:val="Puesto"/>
      </w:pPr>
      <w:r w:rsidRPr="004E0F1E">
        <w:t>…</w:t>
      </w:r>
    </w:p>
    <w:p w14:paraId="08D8F85D" w14:textId="77777777" w:rsidR="005F6453" w:rsidRPr="004E0F1E" w:rsidRDefault="005F6453" w:rsidP="004E0F1E">
      <w:pPr>
        <w:pStyle w:val="Puesto"/>
      </w:pPr>
      <w:r w:rsidRPr="004E0F1E">
        <w:t>Artículo 58. Los servidores públicos habilitados serán designados por el titular del sujeto obligado a propuesta del responsable de la Unidad de Transparencia.</w:t>
      </w:r>
    </w:p>
    <w:p w14:paraId="06BCB68B" w14:textId="77777777" w:rsidR="005F6453" w:rsidRPr="004E0F1E" w:rsidRDefault="005F6453" w:rsidP="004E0F1E">
      <w:pPr>
        <w:pStyle w:val="Puesto"/>
      </w:pPr>
      <w:r w:rsidRPr="004E0F1E">
        <w:t>Artículo 59. Los servidores públicos habilitados tendrán las funciones siguientes:</w:t>
      </w:r>
    </w:p>
    <w:p w14:paraId="10B3B32A" w14:textId="77777777" w:rsidR="005F6453" w:rsidRPr="004E0F1E" w:rsidRDefault="005F6453" w:rsidP="004E0F1E">
      <w:pPr>
        <w:pStyle w:val="Puesto"/>
      </w:pPr>
      <w:r w:rsidRPr="004E0F1E">
        <w:t>I. Localizar la información que le solicite la Unidad de Transparencia;</w:t>
      </w:r>
    </w:p>
    <w:p w14:paraId="58ECFC5E" w14:textId="77777777" w:rsidR="005F6453" w:rsidRPr="004E0F1E" w:rsidRDefault="005F6453" w:rsidP="004E0F1E">
      <w:pPr>
        <w:pStyle w:val="Puesto"/>
      </w:pPr>
      <w:r w:rsidRPr="004E0F1E">
        <w:t>II. Proporcionar la información que obre en los archivos y que le sea solicitada por la Unidad de Transparencia;</w:t>
      </w:r>
    </w:p>
    <w:p w14:paraId="169A7F23" w14:textId="77777777" w:rsidR="005F6453" w:rsidRPr="004E0F1E" w:rsidRDefault="005F6453" w:rsidP="004E0F1E">
      <w:pPr>
        <w:pStyle w:val="Puesto"/>
      </w:pPr>
      <w:r w:rsidRPr="004E0F1E">
        <w:t>III. Apoyar a la Unidad de Transparencia en lo que esta le solicite para el cumplimiento de sus funciones;</w:t>
      </w:r>
    </w:p>
    <w:p w14:paraId="400C2527" w14:textId="77777777" w:rsidR="005F6453" w:rsidRPr="004E0F1E" w:rsidRDefault="005F6453" w:rsidP="004E0F1E">
      <w:pPr>
        <w:pStyle w:val="Puesto"/>
      </w:pPr>
      <w:r w:rsidRPr="004E0F1E">
        <w:t>IV. Proporcionar a la Unidad de Transparencia, las modificaciones a la información pública de oficio que obre en su poder;</w:t>
      </w:r>
    </w:p>
    <w:p w14:paraId="2CFA0EED" w14:textId="77777777" w:rsidR="005F6453" w:rsidRPr="004E0F1E" w:rsidRDefault="005F6453" w:rsidP="004E0F1E">
      <w:pPr>
        <w:pStyle w:val="Puesto"/>
      </w:pPr>
      <w:r w:rsidRPr="004E0F1E">
        <w:t>V. Integrar y presentar al responsable de la Unidad de Transparencia la propuesta de clasificación de información, la cual tendrá los fundamentos y argumentos en que se basa dicha propuesta;</w:t>
      </w:r>
    </w:p>
    <w:p w14:paraId="101B7810" w14:textId="77777777" w:rsidR="005F6453" w:rsidRPr="004E0F1E" w:rsidRDefault="005F6453" w:rsidP="004E0F1E">
      <w:pPr>
        <w:pStyle w:val="Puesto"/>
      </w:pPr>
      <w:r w:rsidRPr="004E0F1E">
        <w:t>VI. Verificar, una vez analizado el contenido de la información, que no se encuentre en los supuestos de información clasificada; y</w:t>
      </w:r>
    </w:p>
    <w:p w14:paraId="08D9A8C0" w14:textId="77777777" w:rsidR="005F6453" w:rsidRPr="004E0F1E" w:rsidRDefault="005F6453" w:rsidP="004E0F1E">
      <w:pPr>
        <w:pStyle w:val="Puesto"/>
      </w:pPr>
      <w:r w:rsidRPr="004E0F1E">
        <w:t>VII. Dar cuenta a la Unidad de Transparencia del vencimiento de los plazos de reserva.” (Sic)</w:t>
      </w:r>
    </w:p>
    <w:p w14:paraId="212B844D" w14:textId="77777777" w:rsidR="005F6453" w:rsidRPr="004E0F1E" w:rsidRDefault="005F6453" w:rsidP="004E0F1E">
      <w:pPr>
        <w:spacing w:before="240" w:line="276" w:lineRule="auto"/>
        <w:ind w:left="567" w:right="-312"/>
        <w:contextualSpacing/>
        <w:rPr>
          <w:i/>
        </w:rPr>
      </w:pPr>
    </w:p>
    <w:p w14:paraId="1D7F3A71" w14:textId="77777777" w:rsidR="005F6453" w:rsidRPr="004E0F1E" w:rsidRDefault="005F6453" w:rsidP="004E0F1E">
      <w:pPr>
        <w:ind w:right="-312"/>
      </w:pPr>
      <w:r w:rsidRPr="004E0F1E">
        <w:t>En otras palabras, no se cumplió con lo que, para tal efecto, dispone el artículo 162 de la Ley de Transparencia y Acceso a la Información Pública del Estado de México y Municipios, que índica:</w:t>
      </w:r>
    </w:p>
    <w:p w14:paraId="34F1CAEE" w14:textId="77777777" w:rsidR="005F6453" w:rsidRPr="004E0F1E" w:rsidRDefault="005F6453" w:rsidP="004E0F1E">
      <w:pPr>
        <w:ind w:right="-312"/>
      </w:pPr>
    </w:p>
    <w:p w14:paraId="3B02EA0C" w14:textId="77777777" w:rsidR="005F6453" w:rsidRPr="004E0F1E" w:rsidRDefault="005F6453" w:rsidP="004E0F1E">
      <w:pPr>
        <w:pStyle w:val="Puesto"/>
      </w:pPr>
      <w:r w:rsidRPr="004E0F1E">
        <w:t xml:space="preserve">“Artículo </w:t>
      </w:r>
      <w:r w:rsidRPr="004E0F1E">
        <w:rPr>
          <w:rStyle w:val="PuestoCar"/>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E0F1E">
        <w:rPr>
          <w:rStyle w:val="PuestoCar"/>
        </w:rPr>
        <w:t>.” (Sic</w:t>
      </w:r>
      <w:r w:rsidRPr="004E0F1E">
        <w:t>)</w:t>
      </w:r>
    </w:p>
    <w:p w14:paraId="79D9A32D" w14:textId="77777777" w:rsidR="005F6453" w:rsidRPr="004E0F1E" w:rsidRDefault="005F6453" w:rsidP="004E0F1E">
      <w:pPr>
        <w:spacing w:after="240"/>
        <w:ind w:left="567" w:right="-312"/>
        <w:contextualSpacing/>
      </w:pPr>
    </w:p>
    <w:p w14:paraId="2D55E6DE" w14:textId="77777777" w:rsidR="005F6453" w:rsidRPr="004E0F1E" w:rsidRDefault="005F6453" w:rsidP="004E0F1E">
      <w:pPr>
        <w:spacing w:before="240"/>
        <w:ind w:right="-312"/>
        <w:contextualSpacing/>
      </w:pPr>
      <w:r w:rsidRPr="004E0F1E">
        <w:t xml:space="preserve">Correlativo al párrafo que antecede también le asiste la facultad al servidor público habilitado de localizar y proporcionar la información que se le requiera y que obre en sus </w:t>
      </w:r>
      <w:r w:rsidRPr="004E0F1E">
        <w:lastRenderedPageBreak/>
        <w:t>archivos de conformidad con el artículo 59, fracciones I y II de la multicitada Ley de Transparencia.</w:t>
      </w:r>
    </w:p>
    <w:p w14:paraId="53868D51" w14:textId="77777777" w:rsidR="005F6453" w:rsidRPr="004E0F1E" w:rsidRDefault="005F6453" w:rsidP="004E0F1E">
      <w:pPr>
        <w:ind w:right="-312"/>
        <w:contextualSpacing/>
      </w:pPr>
    </w:p>
    <w:p w14:paraId="6BE83EE1" w14:textId="77777777" w:rsidR="005F6453" w:rsidRPr="004E0F1E" w:rsidRDefault="005F6453" w:rsidP="004E0F1E">
      <w:pPr>
        <w:ind w:right="-312"/>
        <w:contextualSpacing/>
      </w:pPr>
      <w:r w:rsidRPr="004E0F1E">
        <w:t xml:space="preserve">De lo que se concluye, que no basta con que </w:t>
      </w:r>
      <w:r w:rsidRPr="004E0F1E">
        <w:rPr>
          <w:b/>
        </w:rPr>
        <w:t>EL SUJETO OBLIGADO</w:t>
      </w:r>
      <w:r w:rsidRPr="004E0F1E">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47C13181" w14:textId="77777777" w:rsidR="005F6453" w:rsidRPr="004E0F1E" w:rsidRDefault="005F6453" w:rsidP="004E0F1E">
      <w:pPr>
        <w:ind w:right="-312"/>
      </w:pPr>
    </w:p>
    <w:p w14:paraId="5994EDC4" w14:textId="62F3B103" w:rsidR="005F6453" w:rsidRPr="004E0F1E" w:rsidRDefault="005F6453" w:rsidP="004E0F1E">
      <w:pPr>
        <w:ind w:right="-312"/>
        <w:rPr>
          <w:rFonts w:eastAsia="Palatino Linotype"/>
        </w:rPr>
      </w:pPr>
      <w:r w:rsidRPr="004E0F1E">
        <w:rPr>
          <w:rFonts w:eastAsia="Palatino Linotype"/>
        </w:rPr>
        <w:t xml:space="preserve">Teniendo así, que, quien se pronunció en el presente asunto fue </w:t>
      </w:r>
      <w:r w:rsidR="00511F28" w:rsidRPr="004E0F1E">
        <w:rPr>
          <w:rFonts w:eastAsia="Palatino Linotype"/>
        </w:rPr>
        <w:t>el Servidor Público Habilitado de la Secretaría Técnica y Titular de la</w:t>
      </w:r>
      <w:r w:rsidRPr="004E0F1E">
        <w:rPr>
          <w:rFonts w:eastAsia="Palatino Linotype"/>
        </w:rPr>
        <w:t xml:space="preserve"> Unidad de Transparencia, misma que de conformidad con el Reglamento Interior del </w:t>
      </w:r>
      <w:r w:rsidRPr="004E0F1E">
        <w:rPr>
          <w:rFonts w:eastAsia="Palatino Linotype"/>
          <w:b/>
        </w:rPr>
        <w:t>SUJETO OBLIGADO</w:t>
      </w:r>
      <w:r w:rsidRPr="004E0F1E">
        <w:rPr>
          <w:rFonts w:eastAsia="Palatino Linotype"/>
        </w:rPr>
        <w:t>, cuenta con las atribuciones siguientes:</w:t>
      </w:r>
    </w:p>
    <w:p w14:paraId="4172521E" w14:textId="77777777" w:rsidR="005F6453" w:rsidRPr="004E0F1E" w:rsidRDefault="005F6453" w:rsidP="004E0F1E">
      <w:pPr>
        <w:ind w:left="567" w:right="539"/>
        <w:rPr>
          <w:rFonts w:eastAsia="Palatino Linotype"/>
          <w:i/>
        </w:rPr>
      </w:pPr>
    </w:p>
    <w:p w14:paraId="10314D6A" w14:textId="77777777" w:rsidR="00511F28" w:rsidRPr="004E0F1E" w:rsidRDefault="00511F28" w:rsidP="004E0F1E">
      <w:pPr>
        <w:pStyle w:val="Puesto"/>
        <w:ind w:left="1287"/>
      </w:pPr>
      <w:r w:rsidRPr="004E0F1E">
        <w:t>Artículo 38. Corresponden a la Secretaría Técnica las atribuciones siguientes:</w:t>
      </w:r>
    </w:p>
    <w:p w14:paraId="4E73A084" w14:textId="77777777" w:rsidR="00511F28" w:rsidRPr="004E0F1E" w:rsidRDefault="00511F28" w:rsidP="004E0F1E">
      <w:pPr>
        <w:pStyle w:val="Puesto"/>
      </w:pPr>
    </w:p>
    <w:p w14:paraId="44E1CCF5" w14:textId="77777777" w:rsidR="00511F28" w:rsidRPr="004E0F1E" w:rsidRDefault="00511F28" w:rsidP="004E0F1E">
      <w:pPr>
        <w:pStyle w:val="Puesto"/>
        <w:numPr>
          <w:ilvl w:val="0"/>
          <w:numId w:val="3"/>
        </w:numPr>
      </w:pPr>
      <w:r w:rsidRPr="004E0F1E">
        <w:t>Planear, programar y coordinar las actividades relativas al análisis, seguimiento y evaluación de acuerdos, programas y acciones que se establezcan para el cumplimiento de los objetivos del Plan de Desarrollo del Estado de México en materia educativa;</w:t>
      </w:r>
    </w:p>
    <w:p w14:paraId="2580A726" w14:textId="77777777" w:rsidR="00511F28" w:rsidRPr="004E0F1E" w:rsidRDefault="00511F28" w:rsidP="004E0F1E">
      <w:pPr>
        <w:pStyle w:val="Puesto"/>
        <w:numPr>
          <w:ilvl w:val="0"/>
          <w:numId w:val="3"/>
        </w:numPr>
      </w:pPr>
      <w:r w:rsidRPr="004E0F1E">
        <w:t>Proponer, coordinar y evaluar los planes, programas de trabajo y proyectos de sector educativo;</w:t>
      </w:r>
    </w:p>
    <w:p w14:paraId="539935F8" w14:textId="77777777" w:rsidR="00511F28" w:rsidRPr="004E0F1E" w:rsidRDefault="00511F28" w:rsidP="004E0F1E">
      <w:pPr>
        <w:pStyle w:val="Puesto"/>
        <w:numPr>
          <w:ilvl w:val="0"/>
          <w:numId w:val="3"/>
        </w:numPr>
      </w:pPr>
      <w:r w:rsidRPr="004E0F1E">
        <w:t>Revisar la organización de las unidades administrativas de la Secretaría y, en su caso, realizar los estudios para mejorar su funcionamiento organizacional; así como proponer a la persona titular de la Secretaría modificaciones a su estructura orgánica, con base en la normativa aplicable, para su posterior análisis y autorización por la Oficialía Mayor del Gobierno del Estado;</w:t>
      </w:r>
    </w:p>
    <w:p w14:paraId="37B84AC7" w14:textId="77777777" w:rsidR="00511F28" w:rsidRPr="004E0F1E" w:rsidRDefault="00511F28" w:rsidP="004E0F1E">
      <w:pPr>
        <w:pStyle w:val="Puesto"/>
        <w:numPr>
          <w:ilvl w:val="0"/>
          <w:numId w:val="3"/>
        </w:numPr>
      </w:pPr>
      <w:r w:rsidRPr="004E0F1E">
        <w:lastRenderedPageBreak/>
        <w:t>Coordinar la implementación de Sistemas de Gestión de Calidad y la Certificación en las unidades administrativas de la Secretaría;</w:t>
      </w:r>
    </w:p>
    <w:p w14:paraId="34198C69" w14:textId="77777777" w:rsidR="00511F28" w:rsidRPr="004E0F1E" w:rsidRDefault="00511F28" w:rsidP="004E0F1E">
      <w:pPr>
        <w:pStyle w:val="Puesto"/>
        <w:numPr>
          <w:ilvl w:val="0"/>
          <w:numId w:val="3"/>
        </w:numPr>
      </w:pPr>
      <w:r w:rsidRPr="004E0F1E">
        <w:t>Atender y dar seguimiento a las quejas y denuncias relacionadas con los servicios educativos que preste la Secretaría;</w:t>
      </w:r>
    </w:p>
    <w:p w14:paraId="532C62FF" w14:textId="77777777" w:rsidR="00511F28" w:rsidRPr="004E0F1E" w:rsidRDefault="00511F28" w:rsidP="004E0F1E">
      <w:pPr>
        <w:pStyle w:val="Puesto"/>
        <w:numPr>
          <w:ilvl w:val="0"/>
          <w:numId w:val="3"/>
        </w:numPr>
      </w:pPr>
      <w:r w:rsidRPr="004E0F1E">
        <w:t>Coordinar, al interior de la Secretaría, el cumplimiento a lo establecido en la Ley de Gobierno Digital del Estado de México y Municipios y su Reglamento;</w:t>
      </w:r>
    </w:p>
    <w:p w14:paraId="68DEBC15" w14:textId="77777777" w:rsidR="00511F28" w:rsidRPr="004E0F1E" w:rsidRDefault="00511F28" w:rsidP="004E0F1E">
      <w:pPr>
        <w:pStyle w:val="Puesto"/>
        <w:numPr>
          <w:ilvl w:val="0"/>
          <w:numId w:val="3"/>
        </w:numPr>
      </w:pPr>
      <w:r w:rsidRPr="004E0F1E">
        <w:t>Coordinar la operación de los programas sociales, así como del otorgamiento de becas educativas y deportivas para el alumnado en los diversos tipos educativos de la Entidad, en términos de las disposiciones jurídicas aplicables;</w:t>
      </w:r>
    </w:p>
    <w:p w14:paraId="43E25D9A" w14:textId="77777777" w:rsidR="00511F28" w:rsidRPr="004E0F1E" w:rsidRDefault="00511F28" w:rsidP="004E0F1E">
      <w:pPr>
        <w:pStyle w:val="Puesto"/>
        <w:numPr>
          <w:ilvl w:val="0"/>
          <w:numId w:val="3"/>
        </w:numPr>
      </w:pPr>
      <w:r w:rsidRPr="004E0F1E">
        <w:t>Integrar, con la participación de las unidades administrativas de la Secretaría, los proyectos de manuales de organización, de procedimientos y de servicios al público de la Secretaría, así como sus modificaciones y promover su actualización;</w:t>
      </w:r>
    </w:p>
    <w:p w14:paraId="5E2DACF8" w14:textId="77777777" w:rsidR="00511F28" w:rsidRPr="004E0F1E" w:rsidRDefault="00511F28" w:rsidP="004E0F1E">
      <w:pPr>
        <w:pStyle w:val="Puesto"/>
        <w:numPr>
          <w:ilvl w:val="0"/>
          <w:numId w:val="3"/>
        </w:numPr>
      </w:pPr>
      <w:r w:rsidRPr="004E0F1E">
        <w:t>Coordinar al interior de la Secretaría el cumplimiento de las disposiciones en materia archivística y de administración de documentos establecidas en la Ley de Archivos y Administración de Documentos del Estado de México y Municipios, y en otras disposiciones jurídicas aplicables, y</w:t>
      </w:r>
    </w:p>
    <w:p w14:paraId="19517FA3" w14:textId="77777777" w:rsidR="00511F28" w:rsidRPr="004E0F1E" w:rsidRDefault="00511F28" w:rsidP="004E0F1E">
      <w:pPr>
        <w:pStyle w:val="Puesto"/>
        <w:numPr>
          <w:ilvl w:val="0"/>
          <w:numId w:val="3"/>
        </w:numPr>
      </w:pPr>
      <w:r w:rsidRPr="004E0F1E">
        <w:t>Las demás que le confieran otras disposiciones jurídicas y aquéllas que le encomiende la persona titular de la Secretaría.</w:t>
      </w:r>
    </w:p>
    <w:p w14:paraId="6E377B82" w14:textId="77777777" w:rsidR="005F6453" w:rsidRPr="004E0F1E" w:rsidRDefault="005F6453" w:rsidP="004E0F1E">
      <w:pPr>
        <w:ind w:right="-312"/>
        <w:rPr>
          <w:rFonts w:eastAsia="Palatino Linotype"/>
        </w:rPr>
      </w:pPr>
    </w:p>
    <w:p w14:paraId="618A0E41" w14:textId="42184056" w:rsidR="005F6453" w:rsidRPr="004E0F1E" w:rsidRDefault="005F6453" w:rsidP="004E0F1E">
      <w:pPr>
        <w:ind w:right="-312"/>
      </w:pPr>
      <w:r w:rsidRPr="004E0F1E">
        <w:t xml:space="preserve">Así, este Órgano Garante reitera que </w:t>
      </w:r>
      <w:r w:rsidRPr="004E0F1E">
        <w:rPr>
          <w:b/>
          <w:bCs/>
        </w:rPr>
        <w:t>EL SUJETO OBLIGADO</w:t>
      </w:r>
      <w:r w:rsidRPr="004E0F1E">
        <w:t xml:space="preserve"> no cumplió con el procedimiento de búsqueda exhaustiva y razonable, pues no gestionó la solicitud de información en las diversas unidades en donde pudiera obrar la citada información, la cual de manera enunciativa mas no limitativa, conforme al Reglamento Interior del </w:t>
      </w:r>
      <w:r w:rsidRPr="004E0F1E">
        <w:rPr>
          <w:b/>
        </w:rPr>
        <w:t xml:space="preserve">SUJETO OBLIGADO, </w:t>
      </w:r>
      <w:r w:rsidRPr="004E0F1E">
        <w:t xml:space="preserve">puede ser la </w:t>
      </w:r>
      <w:r w:rsidR="00413B6C" w:rsidRPr="004E0F1E">
        <w:rPr>
          <w:b/>
          <w:i/>
        </w:rPr>
        <w:t>Dirección General de Administración</w:t>
      </w:r>
      <w:r w:rsidRPr="004E0F1E">
        <w:t>; o cualquier área donde de acuerdo a sus facultades se cuente con la información solicitada, tal como puede advertirse en las facultades de las áreas citadas, mismas que se insertan a continuación:</w:t>
      </w:r>
    </w:p>
    <w:p w14:paraId="724D8A6B" w14:textId="77777777" w:rsidR="00174BAE" w:rsidRPr="004E0F1E" w:rsidRDefault="00174BAE" w:rsidP="004E0F1E">
      <w:pPr>
        <w:tabs>
          <w:tab w:val="left" w:pos="7938"/>
        </w:tabs>
        <w:ind w:right="-312"/>
        <w:contextualSpacing/>
        <w:rPr>
          <w:szCs w:val="22"/>
        </w:rPr>
      </w:pPr>
    </w:p>
    <w:p w14:paraId="38A0E9DF" w14:textId="77777777" w:rsidR="00413B6C" w:rsidRPr="004E0F1E" w:rsidRDefault="00413B6C" w:rsidP="004E0F1E">
      <w:pPr>
        <w:pStyle w:val="Puesto"/>
        <w:ind w:right="539"/>
      </w:pPr>
      <w:r w:rsidRPr="004E0F1E">
        <w:rPr>
          <w:b/>
        </w:rPr>
        <w:t>Artículo 28.</w:t>
      </w:r>
      <w:r w:rsidRPr="004E0F1E">
        <w:t xml:space="preserve"> Corresponden a la Dirección General de Administración las atribuciones siguientes: </w:t>
      </w:r>
    </w:p>
    <w:p w14:paraId="0851C057" w14:textId="6EF8ABF8" w:rsidR="005F6453" w:rsidRPr="004E0F1E" w:rsidRDefault="00413B6C" w:rsidP="004E0F1E">
      <w:pPr>
        <w:pStyle w:val="Puesto"/>
        <w:numPr>
          <w:ilvl w:val="0"/>
          <w:numId w:val="2"/>
        </w:numPr>
        <w:ind w:right="539"/>
      </w:pPr>
      <w:r w:rsidRPr="004E0F1E">
        <w:rPr>
          <w:b/>
        </w:rPr>
        <w:lastRenderedPageBreak/>
        <w:t>Programar, organizar y controlar el suministro, administración y aplicación de los recursos humanos, materiales, técnicos y tecnológicos, así como los servicios generales necesarios para el funcionamiento de las unidades administrativas de la Secretaría</w:t>
      </w:r>
      <w:r w:rsidRPr="004E0F1E">
        <w:t>;</w:t>
      </w:r>
    </w:p>
    <w:p w14:paraId="3E121BAA" w14:textId="77777777" w:rsidR="00413B6C" w:rsidRPr="004E0F1E" w:rsidRDefault="00413B6C" w:rsidP="004E0F1E">
      <w:pPr>
        <w:pStyle w:val="Puesto"/>
        <w:numPr>
          <w:ilvl w:val="0"/>
          <w:numId w:val="2"/>
        </w:numPr>
        <w:ind w:right="539"/>
      </w:pPr>
      <w:r w:rsidRPr="004E0F1E">
        <w:t>Establecer, de conformidad con las disposiciones jurídicas aplicables, las normas, procedimientos y sistemas de administración interna en materia de recursos humanos y materiales, así como de servicios generales de la Secretaría;</w:t>
      </w:r>
    </w:p>
    <w:p w14:paraId="57BC1F00" w14:textId="77777777" w:rsidR="00413B6C" w:rsidRPr="004E0F1E" w:rsidRDefault="00413B6C" w:rsidP="004E0F1E">
      <w:pPr>
        <w:pStyle w:val="Puesto"/>
        <w:numPr>
          <w:ilvl w:val="0"/>
          <w:numId w:val="2"/>
        </w:numPr>
        <w:ind w:right="539"/>
      </w:pPr>
      <w:r w:rsidRPr="004E0F1E">
        <w:t>Cumplir y hacer cumplir las políticas, normas, lineamientos, procedimientos y demás disposiciones en materia de administración de recursos humanos y materiales;</w:t>
      </w:r>
    </w:p>
    <w:p w14:paraId="66FE1F76" w14:textId="77777777" w:rsidR="00413B6C" w:rsidRPr="004E0F1E" w:rsidRDefault="00413B6C" w:rsidP="004E0F1E">
      <w:pPr>
        <w:pStyle w:val="Puesto"/>
        <w:numPr>
          <w:ilvl w:val="0"/>
          <w:numId w:val="2"/>
        </w:numPr>
        <w:ind w:right="539"/>
      </w:pPr>
      <w:r w:rsidRPr="004E0F1E">
        <w:t>Instrumentar acciones de capacitación, adiestramiento y desarrollo del personal administrativo de la Secretaría, en términos de las disposiciones jurídicas aplicables;</w:t>
      </w:r>
    </w:p>
    <w:p w14:paraId="3E09D140" w14:textId="77777777" w:rsidR="00413B6C" w:rsidRPr="004E0F1E" w:rsidRDefault="00413B6C" w:rsidP="004E0F1E">
      <w:pPr>
        <w:pStyle w:val="Puesto"/>
        <w:numPr>
          <w:ilvl w:val="0"/>
          <w:numId w:val="2"/>
        </w:numPr>
        <w:ind w:right="539"/>
      </w:pPr>
      <w:r w:rsidRPr="004E0F1E">
        <w:t>Programar, organizar y coordinar las acciones de actualización y capacitación general y técnica especializada del personal de la Secretaría; así como la evaluación de su desempeño y proponer los perfiles profesionales conforme a las necesidades institucionales en coordinación con las diversas unidades administrativas de la Secretaría, en términos de las disposiciones jurídicas aplicables;</w:t>
      </w:r>
    </w:p>
    <w:p w14:paraId="19AD66DC" w14:textId="77777777" w:rsidR="00413B6C" w:rsidRPr="004E0F1E" w:rsidRDefault="00413B6C" w:rsidP="004E0F1E">
      <w:pPr>
        <w:pStyle w:val="Puesto"/>
        <w:numPr>
          <w:ilvl w:val="0"/>
          <w:numId w:val="2"/>
        </w:numPr>
        <w:ind w:right="539"/>
      </w:pPr>
      <w:r w:rsidRPr="004E0F1E">
        <w:t>Coadyuvar en la vigilancia para que las relaciones laborales de la Secretaría se den de conformidad con las leyes aplicables, las Condiciones Generales de Trabajo y los lineamientos y políticas laborales que emitan las instancias competentes del Gobierno del Estado de México y de la propia Secretaría;</w:t>
      </w:r>
    </w:p>
    <w:p w14:paraId="2C4FBAE6" w14:textId="77777777" w:rsidR="00413B6C" w:rsidRPr="004E0F1E" w:rsidRDefault="00413B6C" w:rsidP="004E0F1E">
      <w:pPr>
        <w:pStyle w:val="Puesto"/>
        <w:numPr>
          <w:ilvl w:val="0"/>
          <w:numId w:val="2"/>
        </w:numPr>
        <w:ind w:right="539"/>
      </w:pPr>
      <w:r w:rsidRPr="004E0F1E">
        <w:t>Participar en el desarrollo de mecanismos y estrategias de eficiencia en los procesos y sistemas administrativos de trabajo de la Secretaría;</w:t>
      </w:r>
    </w:p>
    <w:p w14:paraId="09C1CD25" w14:textId="77777777" w:rsidR="00413B6C" w:rsidRPr="004E0F1E" w:rsidRDefault="00413B6C" w:rsidP="004E0F1E">
      <w:pPr>
        <w:pStyle w:val="Puesto"/>
        <w:numPr>
          <w:ilvl w:val="0"/>
          <w:numId w:val="2"/>
        </w:numPr>
        <w:ind w:right="539"/>
      </w:pPr>
      <w:r w:rsidRPr="004E0F1E">
        <w:t>Integrar el Programa Anual de Adquisiciones, Arrendamientos y Servicios de la Secretaría, así como los requerimientos de operaciones consolidadas, en coordinación con las demás unidades administrativas;</w:t>
      </w:r>
    </w:p>
    <w:p w14:paraId="6AE7B1C5" w14:textId="77777777" w:rsidR="00413B6C" w:rsidRPr="004E0F1E" w:rsidRDefault="00413B6C" w:rsidP="004E0F1E">
      <w:pPr>
        <w:pStyle w:val="Puesto"/>
        <w:numPr>
          <w:ilvl w:val="0"/>
          <w:numId w:val="2"/>
        </w:numPr>
        <w:ind w:right="539"/>
      </w:pPr>
      <w:r w:rsidRPr="004E0F1E">
        <w:t>Tramitar los procedimientos de adquisición de bienes y de contratación de servicios, ante la Oficialía Mayor del Gobierno del Estado, en términos de la legislación aplicable;</w:t>
      </w:r>
    </w:p>
    <w:p w14:paraId="559BCEA6" w14:textId="77777777" w:rsidR="00413B6C" w:rsidRPr="004E0F1E" w:rsidRDefault="00413B6C" w:rsidP="004E0F1E">
      <w:pPr>
        <w:pStyle w:val="Puesto"/>
        <w:numPr>
          <w:ilvl w:val="0"/>
          <w:numId w:val="2"/>
        </w:numPr>
        <w:ind w:right="539"/>
      </w:pPr>
      <w:r w:rsidRPr="004E0F1E">
        <w:t>Colaborar en la supervisión de los procedimientos de adquisiciones y de contratación de servicios de la Secretaría;</w:t>
      </w:r>
    </w:p>
    <w:p w14:paraId="5553885A" w14:textId="77777777" w:rsidR="00413B6C" w:rsidRPr="004E0F1E" w:rsidRDefault="00413B6C" w:rsidP="004E0F1E">
      <w:pPr>
        <w:pStyle w:val="Puesto"/>
        <w:numPr>
          <w:ilvl w:val="0"/>
          <w:numId w:val="2"/>
        </w:numPr>
        <w:ind w:right="539"/>
        <w:rPr>
          <w:b/>
        </w:rPr>
      </w:pPr>
      <w:r w:rsidRPr="004E0F1E">
        <w:rPr>
          <w:b/>
        </w:rPr>
        <w:t>Llevar el registro y control de los bienes muebles e inmuebles adscritos a la Secretaría;</w:t>
      </w:r>
    </w:p>
    <w:p w14:paraId="00A2BA91" w14:textId="77777777" w:rsidR="00413B6C" w:rsidRPr="004E0F1E" w:rsidRDefault="00413B6C" w:rsidP="004E0F1E">
      <w:pPr>
        <w:pStyle w:val="Puesto"/>
        <w:numPr>
          <w:ilvl w:val="0"/>
          <w:numId w:val="2"/>
        </w:numPr>
        <w:ind w:right="539"/>
        <w:rPr>
          <w:b/>
        </w:rPr>
      </w:pPr>
      <w:r w:rsidRPr="004E0F1E">
        <w:rPr>
          <w:b/>
        </w:rPr>
        <w:t>Supervisar el mantenimiento y conservación de los bienes muebles e inmuebles de la Secretaría;</w:t>
      </w:r>
    </w:p>
    <w:p w14:paraId="7DDC064B" w14:textId="77777777" w:rsidR="00413B6C" w:rsidRPr="004E0F1E" w:rsidRDefault="00413B6C" w:rsidP="004E0F1E">
      <w:pPr>
        <w:pStyle w:val="Puesto"/>
        <w:numPr>
          <w:ilvl w:val="0"/>
          <w:numId w:val="2"/>
        </w:numPr>
        <w:ind w:right="539"/>
        <w:rPr>
          <w:b/>
        </w:rPr>
      </w:pPr>
      <w:r w:rsidRPr="004E0F1E">
        <w:rPr>
          <w:b/>
        </w:rPr>
        <w:lastRenderedPageBreak/>
        <w:t>Controlar y mantener actualizado el inventario de bienes muebles de la Secretaría, con la participación de las unidades administrativas que los tengan asignados, de conformidad con las disposiciones jurídicas aplicables;</w:t>
      </w:r>
    </w:p>
    <w:p w14:paraId="7CEA5F3C" w14:textId="77777777" w:rsidR="00413B6C" w:rsidRPr="004E0F1E" w:rsidRDefault="00413B6C" w:rsidP="004E0F1E">
      <w:pPr>
        <w:pStyle w:val="Puesto"/>
        <w:numPr>
          <w:ilvl w:val="0"/>
          <w:numId w:val="2"/>
        </w:numPr>
        <w:ind w:right="539"/>
      </w:pPr>
      <w:r w:rsidRPr="004E0F1E">
        <w:t>Programar, organizar, dirigir y supervisar la distribución de los libros de texto gratuitos, libros de apoyo al maestro, bibliotecas de aula y demás materiales educativos para alumnas, alumnos y personas servidoras públicas docentes de educación básica, asignados por la Comisión Nacional de Libros de Texto Gratuitos al Estado, así como los servicios logísticos de transporte y de almacenamiento vinculados con la ejecución del programa;</w:t>
      </w:r>
    </w:p>
    <w:p w14:paraId="46546D11" w14:textId="77777777" w:rsidR="00413B6C" w:rsidRPr="004E0F1E" w:rsidRDefault="00413B6C" w:rsidP="004E0F1E">
      <w:pPr>
        <w:pStyle w:val="Puesto"/>
        <w:numPr>
          <w:ilvl w:val="0"/>
          <w:numId w:val="2"/>
        </w:numPr>
        <w:ind w:right="539"/>
      </w:pPr>
      <w:r w:rsidRPr="004E0F1E">
        <w:t>Programar, organizar, dirigir y supervisar la distribución de útiles escolares para alumnas y alumnos de educación básica;</w:t>
      </w:r>
    </w:p>
    <w:p w14:paraId="2FE91126" w14:textId="77777777" w:rsidR="00413B6C" w:rsidRPr="004E0F1E" w:rsidRDefault="00413B6C" w:rsidP="004E0F1E">
      <w:pPr>
        <w:pStyle w:val="Puesto"/>
        <w:numPr>
          <w:ilvl w:val="0"/>
          <w:numId w:val="2"/>
        </w:numPr>
        <w:ind w:right="539"/>
      </w:pPr>
      <w:r w:rsidRPr="004E0F1E">
        <w:t>Gestionar los servicios de apoyo administrativo que requieran las unidades de la Secretaría en materia de servicios generales, conservación y mantenimiento de bienes muebles e inmuebles, adquisiciones y suministros, seguridad y vigilancia y aseguramiento de bienes patrimoniales;</w:t>
      </w:r>
    </w:p>
    <w:p w14:paraId="1B43AED5" w14:textId="77777777" w:rsidR="00413B6C" w:rsidRPr="004E0F1E" w:rsidRDefault="00413B6C" w:rsidP="004E0F1E">
      <w:pPr>
        <w:pStyle w:val="Puesto"/>
        <w:numPr>
          <w:ilvl w:val="0"/>
          <w:numId w:val="2"/>
        </w:numPr>
        <w:ind w:right="539"/>
      </w:pPr>
      <w:r w:rsidRPr="004E0F1E">
        <w:t xml:space="preserve">Administrar los almacenes y distribuir los bienes e insumos entre las unidades administrativas de la Secretaría que los requieran para su operación, conforme a las disposiciones de la Oficialía Mayor del Gobierno del Estado; </w:t>
      </w:r>
    </w:p>
    <w:p w14:paraId="0E96D48F" w14:textId="77777777" w:rsidR="00413B6C" w:rsidRPr="004E0F1E" w:rsidRDefault="00413B6C" w:rsidP="004E0F1E">
      <w:pPr>
        <w:pStyle w:val="Puesto"/>
        <w:numPr>
          <w:ilvl w:val="0"/>
          <w:numId w:val="2"/>
        </w:numPr>
        <w:ind w:right="539"/>
      </w:pPr>
      <w:r w:rsidRPr="004E0F1E">
        <w:t>Cumplir y hacer cumplir las normas y políticas que en materia de protección civil emita la Secretaría General de Gobierno, y</w:t>
      </w:r>
    </w:p>
    <w:p w14:paraId="4B6527BF" w14:textId="77777777" w:rsidR="00413B6C" w:rsidRPr="004E0F1E" w:rsidRDefault="00413B6C" w:rsidP="004E0F1E">
      <w:pPr>
        <w:pStyle w:val="Puesto"/>
        <w:numPr>
          <w:ilvl w:val="0"/>
          <w:numId w:val="2"/>
        </w:numPr>
        <w:ind w:right="539"/>
      </w:pPr>
      <w:r w:rsidRPr="004E0F1E">
        <w:t>Las demás que le confieran otras disposiciones jurídicas y aquéllas que le encomiende la persona titular de la Subsecretaría.</w:t>
      </w:r>
    </w:p>
    <w:p w14:paraId="6BF8AD02" w14:textId="77777777" w:rsidR="00413B6C" w:rsidRPr="004E0F1E" w:rsidRDefault="00413B6C" w:rsidP="004E0F1E">
      <w:pPr>
        <w:tabs>
          <w:tab w:val="left" w:pos="7938"/>
        </w:tabs>
        <w:ind w:right="-312"/>
        <w:contextualSpacing/>
        <w:rPr>
          <w:szCs w:val="22"/>
        </w:rPr>
      </w:pPr>
    </w:p>
    <w:p w14:paraId="416A0CCD" w14:textId="7B23F0D9" w:rsidR="0039267F" w:rsidRPr="004E0F1E" w:rsidRDefault="00413B6C" w:rsidP="004E0F1E">
      <w:pPr>
        <w:ind w:right="-312"/>
        <w:rPr>
          <w:szCs w:val="22"/>
        </w:rPr>
      </w:pPr>
      <w:r w:rsidRPr="004E0F1E">
        <w:t xml:space="preserve">Establecido lo anterior, </w:t>
      </w:r>
      <w:r w:rsidR="00597D3F" w:rsidRPr="004E0F1E">
        <w:t>e</w:t>
      </w:r>
      <w:r w:rsidR="0039267F" w:rsidRPr="004E0F1E">
        <w:rPr>
          <w:szCs w:val="22"/>
        </w:rPr>
        <w:t xml:space="preserve">n el presente asunto, se insiste y se advierte que es del interés de </w:t>
      </w:r>
      <w:r w:rsidR="0039267F" w:rsidRPr="004E0F1E">
        <w:rPr>
          <w:b/>
          <w:bCs/>
          <w:szCs w:val="22"/>
        </w:rPr>
        <w:t xml:space="preserve">LA PERSONA RECURRENTE </w:t>
      </w:r>
      <w:r w:rsidR="0039267F" w:rsidRPr="004E0F1E">
        <w:rPr>
          <w:szCs w:val="22"/>
        </w:rPr>
        <w:t xml:space="preserve">conocer el </w:t>
      </w:r>
      <w:r w:rsidR="00597D3F" w:rsidRPr="004E0F1E">
        <w:rPr>
          <w:szCs w:val="22"/>
        </w:rPr>
        <w:t>documento normativo que faculta a la directora referida en la solicitud de disponer de las láminas que fueron retiradas de la institución.</w:t>
      </w:r>
    </w:p>
    <w:p w14:paraId="1C79EFAA" w14:textId="77777777" w:rsidR="0039267F" w:rsidRPr="004E0F1E" w:rsidRDefault="0039267F" w:rsidP="004E0F1E">
      <w:pPr>
        <w:tabs>
          <w:tab w:val="left" w:pos="7938"/>
        </w:tabs>
        <w:ind w:right="-312"/>
        <w:contextualSpacing/>
        <w:rPr>
          <w:szCs w:val="22"/>
        </w:rPr>
      </w:pPr>
    </w:p>
    <w:p w14:paraId="748F6B32" w14:textId="0B2DDF03" w:rsidR="00B00D01" w:rsidRPr="004E0F1E" w:rsidRDefault="0039267F" w:rsidP="004E0F1E">
      <w:pPr>
        <w:tabs>
          <w:tab w:val="left" w:pos="7938"/>
        </w:tabs>
        <w:ind w:right="-312"/>
        <w:contextualSpacing/>
        <w:rPr>
          <w:szCs w:val="22"/>
        </w:rPr>
      </w:pPr>
      <w:r w:rsidRPr="004E0F1E">
        <w:rPr>
          <w:szCs w:val="22"/>
        </w:rPr>
        <w:t>En ese tenor, se trae a contexto el contenido de</w:t>
      </w:r>
      <w:r w:rsidR="00B00D01" w:rsidRPr="004E0F1E">
        <w:rPr>
          <w:szCs w:val="22"/>
        </w:rPr>
        <w:t xml:space="preserve">l </w:t>
      </w:r>
      <w:r w:rsidR="00B00D01" w:rsidRPr="004E0F1E">
        <w:t xml:space="preserve">Acuerdo por el que se Establecen las Políticas, Bases y Lineamientos, en Materia de Adquisiciones, Enajenaciones, Arrendamientos y Servicios de las Dependencias, Organismos Auxiliares y Tribunales Administrativos del Poder Ejecutivo del Estado de México; POBALIN-001, POBALIN-004, </w:t>
      </w:r>
      <w:r w:rsidR="00B00D01" w:rsidRPr="004E0F1E">
        <w:lastRenderedPageBreak/>
        <w:t xml:space="preserve">POBALIN -007 y POBALIN-008. Periódico Oficial “Gaceta del Gobierno”, 09 de diciembre de 2013, sus reformas y adiciones., </w:t>
      </w:r>
      <w:r w:rsidR="00B00D01" w:rsidRPr="004E0F1E">
        <w:rPr>
          <w:szCs w:val="22"/>
        </w:rPr>
        <w:t xml:space="preserve"> que en la parte aplicable al presente asunto disponen:</w:t>
      </w:r>
    </w:p>
    <w:p w14:paraId="79D134CD" w14:textId="77777777" w:rsidR="00B00D01" w:rsidRPr="004E0F1E" w:rsidRDefault="00B00D01" w:rsidP="004E0F1E">
      <w:pPr>
        <w:tabs>
          <w:tab w:val="left" w:pos="7938"/>
        </w:tabs>
        <w:ind w:right="-312"/>
        <w:contextualSpacing/>
        <w:rPr>
          <w:szCs w:val="22"/>
        </w:rPr>
      </w:pPr>
    </w:p>
    <w:p w14:paraId="69E39DF2" w14:textId="4E7FE64A" w:rsidR="00B00D01" w:rsidRPr="004E0F1E" w:rsidRDefault="00B00D01" w:rsidP="004E0F1E">
      <w:pPr>
        <w:tabs>
          <w:tab w:val="left" w:pos="7938"/>
        </w:tabs>
        <w:ind w:left="567" w:right="539"/>
        <w:contextualSpacing/>
        <w:rPr>
          <w:i/>
        </w:rPr>
      </w:pPr>
      <w:r w:rsidRPr="004E0F1E">
        <w:rPr>
          <w:b/>
          <w:i/>
        </w:rPr>
        <w:t>PRIMERO.-</w:t>
      </w:r>
      <w:r w:rsidRPr="004E0F1E">
        <w:rPr>
          <w:i/>
        </w:rPr>
        <w:t xml:space="preserve"> El presente acuerdo tiene como propósito establecer las políticas, bases y lineamientos que deberán observar de manera Obligatoria </w:t>
      </w:r>
      <w:r w:rsidRPr="004E0F1E">
        <w:rPr>
          <w:b/>
          <w:i/>
        </w:rPr>
        <w:t>las dependencias</w:t>
      </w:r>
      <w:r w:rsidRPr="004E0F1E">
        <w:rPr>
          <w:i/>
        </w:rPr>
        <w:t>, organismos auxiliares y tribunales administrativos del Poder Ejecutivo Estatal.</w:t>
      </w:r>
    </w:p>
    <w:p w14:paraId="1BB287CA" w14:textId="77777777" w:rsidR="00B00D01" w:rsidRPr="004E0F1E" w:rsidRDefault="00B00D01" w:rsidP="004E0F1E">
      <w:pPr>
        <w:tabs>
          <w:tab w:val="left" w:pos="7938"/>
        </w:tabs>
        <w:ind w:left="567" w:right="539"/>
        <w:contextualSpacing/>
        <w:rPr>
          <w:i/>
        </w:rPr>
      </w:pPr>
    </w:p>
    <w:p w14:paraId="48B6A18E" w14:textId="7668581D" w:rsidR="00B00D01" w:rsidRPr="004E0F1E" w:rsidRDefault="00B00D01" w:rsidP="004E0F1E">
      <w:pPr>
        <w:tabs>
          <w:tab w:val="left" w:pos="7938"/>
        </w:tabs>
        <w:ind w:left="567" w:right="539"/>
        <w:contextualSpacing/>
        <w:rPr>
          <w:i/>
        </w:rPr>
      </w:pPr>
      <w:r w:rsidRPr="004E0F1E">
        <w:rPr>
          <w:b/>
          <w:i/>
        </w:rPr>
        <w:t>TERCERO.-</w:t>
      </w:r>
      <w:r w:rsidRPr="004E0F1E">
        <w:rPr>
          <w:i/>
        </w:rPr>
        <w:t xml:space="preserve"> Las políticas, bases y lineamientos que deberán observar las dependencias, organismos auxiliares y tribunales administrativos, son las siguientes: </w:t>
      </w:r>
    </w:p>
    <w:p w14:paraId="1C09485A" w14:textId="77777777" w:rsidR="00B00D01" w:rsidRPr="004E0F1E" w:rsidRDefault="00B00D01" w:rsidP="004E0F1E">
      <w:pPr>
        <w:tabs>
          <w:tab w:val="left" w:pos="7938"/>
        </w:tabs>
        <w:ind w:left="567" w:right="539"/>
        <w:contextualSpacing/>
        <w:rPr>
          <w:b/>
          <w:i/>
        </w:rPr>
      </w:pPr>
      <w:r w:rsidRPr="004E0F1E">
        <w:rPr>
          <w:b/>
          <w:i/>
        </w:rPr>
        <w:t xml:space="preserve">I. CONTROL PATRIMONIAL </w:t>
      </w:r>
    </w:p>
    <w:p w14:paraId="6C679ECF" w14:textId="77777777" w:rsidR="00B00D01" w:rsidRPr="004E0F1E" w:rsidRDefault="00B00D01" w:rsidP="004E0F1E">
      <w:pPr>
        <w:tabs>
          <w:tab w:val="left" w:pos="7938"/>
        </w:tabs>
        <w:ind w:left="567" w:right="539"/>
        <w:contextualSpacing/>
        <w:rPr>
          <w:b/>
          <w:i/>
        </w:rPr>
      </w:pPr>
      <w:r w:rsidRPr="004E0F1E">
        <w:rPr>
          <w:b/>
          <w:i/>
        </w:rPr>
        <w:t xml:space="preserve">POBALIN -001 </w:t>
      </w:r>
    </w:p>
    <w:p w14:paraId="2B10213B" w14:textId="57BCBAC7" w:rsidR="00B00D01" w:rsidRPr="004E0F1E" w:rsidRDefault="00B00D01" w:rsidP="004E0F1E">
      <w:pPr>
        <w:tabs>
          <w:tab w:val="left" w:pos="7938"/>
        </w:tabs>
        <w:ind w:left="567" w:right="539"/>
        <w:contextualSpacing/>
        <w:rPr>
          <w:i/>
        </w:rPr>
      </w:pPr>
      <w:r w:rsidRPr="004E0F1E">
        <w:rPr>
          <w:i/>
        </w:rPr>
        <w:t>Los bienes muebles que forman parte del patrimonio mobiliario del Poder Ejecutivo Estatal, deberán registrarse exclusivamente en el Sistema Automatizado que determine la Dirección General, para el control y administración del patrimonio mobiliario, generan o en éste los movimientos de inventarios respectivos y observando para tal efecto las políticas de registro emitidas por la Contaduría General Gubernamental y la Secretaría de Finanzas.</w:t>
      </w:r>
    </w:p>
    <w:p w14:paraId="7E563729" w14:textId="77777777" w:rsidR="00B00D01" w:rsidRPr="004E0F1E" w:rsidRDefault="00B00D01" w:rsidP="004E0F1E">
      <w:pPr>
        <w:tabs>
          <w:tab w:val="left" w:pos="7938"/>
        </w:tabs>
        <w:ind w:left="567" w:right="-312"/>
        <w:contextualSpacing/>
        <w:rPr>
          <w:i/>
        </w:rPr>
      </w:pPr>
    </w:p>
    <w:p w14:paraId="6CBC3C6B" w14:textId="77777777" w:rsidR="00B00D01" w:rsidRPr="004E0F1E" w:rsidRDefault="00B00D01" w:rsidP="004E0F1E">
      <w:pPr>
        <w:tabs>
          <w:tab w:val="left" w:pos="7938"/>
        </w:tabs>
        <w:ind w:left="567" w:right="539"/>
        <w:contextualSpacing/>
        <w:rPr>
          <w:b/>
          <w:i/>
        </w:rPr>
      </w:pPr>
      <w:r w:rsidRPr="004E0F1E">
        <w:rPr>
          <w:b/>
          <w:i/>
        </w:rPr>
        <w:t xml:space="preserve">POBALIN -012 </w:t>
      </w:r>
    </w:p>
    <w:p w14:paraId="5E909398" w14:textId="77777777" w:rsidR="00B00D01" w:rsidRPr="004E0F1E" w:rsidRDefault="00B00D01" w:rsidP="004E0F1E">
      <w:pPr>
        <w:tabs>
          <w:tab w:val="left" w:pos="7938"/>
        </w:tabs>
        <w:ind w:left="567" w:right="539"/>
        <w:contextualSpacing/>
        <w:rPr>
          <w:b/>
          <w:i/>
        </w:rPr>
      </w:pPr>
      <w:r w:rsidRPr="004E0F1E">
        <w:rPr>
          <w:b/>
          <w:i/>
        </w:rPr>
        <w:t xml:space="preserve">Las áreas de administración de las dependencias y tribunales administrativos solicitarán a la Dirección General la baja de bienes muebles obsoletos, en desuso y/o inservibles, debiendo anexar los formatos respectivos y el soporte documental. </w:t>
      </w:r>
    </w:p>
    <w:p w14:paraId="4C8F1C0D" w14:textId="6B7B0848" w:rsidR="00B00D01" w:rsidRPr="004E0F1E" w:rsidRDefault="00B00D01" w:rsidP="004E0F1E">
      <w:pPr>
        <w:tabs>
          <w:tab w:val="left" w:pos="7938"/>
        </w:tabs>
        <w:ind w:left="567" w:right="539"/>
        <w:contextualSpacing/>
        <w:rPr>
          <w:i/>
        </w:rPr>
      </w:pPr>
      <w:r w:rsidRPr="004E0F1E">
        <w:rPr>
          <w:i/>
        </w:rPr>
        <w:lastRenderedPageBreak/>
        <w:t>Los bienes deberán concentrarse en su forma original, salvo el deterioro causado por el uso normal, en el lugar que determine la Dirección General; en caso contrario, la baja será autorizada cuando se remita copia del acuse de recibo del oficio por el que se da vista de esta situación a su Contraloría Interna.</w:t>
      </w:r>
    </w:p>
    <w:p w14:paraId="69F998BB" w14:textId="3D0FF96A" w:rsidR="00B00D01" w:rsidRPr="004E0F1E" w:rsidRDefault="00B00D01" w:rsidP="004E0F1E">
      <w:pPr>
        <w:tabs>
          <w:tab w:val="left" w:pos="7938"/>
        </w:tabs>
        <w:ind w:left="567" w:right="539"/>
        <w:contextualSpacing/>
        <w:rPr>
          <w:i/>
        </w:rPr>
      </w:pPr>
      <w:r w:rsidRPr="004E0F1E">
        <w:rPr>
          <w:i/>
        </w:rPr>
        <w:t>…</w:t>
      </w:r>
    </w:p>
    <w:p w14:paraId="15FDD459" w14:textId="77777777" w:rsidR="00B00D01" w:rsidRPr="004E0F1E" w:rsidRDefault="00B00D01" w:rsidP="004E0F1E">
      <w:pPr>
        <w:tabs>
          <w:tab w:val="left" w:pos="7938"/>
        </w:tabs>
        <w:ind w:left="567" w:right="539"/>
        <w:contextualSpacing/>
        <w:rPr>
          <w:i/>
        </w:rPr>
      </w:pPr>
      <w:r w:rsidRPr="004E0F1E">
        <w:rPr>
          <w:i/>
        </w:rPr>
        <w:t xml:space="preserve">Para la baja de los bienes muebles en desuso que por su origen no fueron registrados en el inventario del sistema integral de control patrimonial y que se encuentran en posesión de las unidades administrativas, se requerirá: </w:t>
      </w:r>
    </w:p>
    <w:p w14:paraId="4CCD5417" w14:textId="77777777" w:rsidR="00B00D01" w:rsidRPr="004E0F1E" w:rsidRDefault="00B00D01" w:rsidP="004E0F1E">
      <w:pPr>
        <w:tabs>
          <w:tab w:val="left" w:pos="7938"/>
        </w:tabs>
        <w:ind w:left="567" w:right="539"/>
        <w:contextualSpacing/>
        <w:rPr>
          <w:i/>
        </w:rPr>
      </w:pPr>
      <w:r w:rsidRPr="004E0F1E">
        <w:rPr>
          <w:i/>
        </w:rPr>
        <w:t xml:space="preserve">a) Copia certificada del acta administrativa, suscrita por el titular del área de administración y un representante de su Contraloría Interna; </w:t>
      </w:r>
    </w:p>
    <w:p w14:paraId="6559B005" w14:textId="77777777" w:rsidR="00B00D01" w:rsidRPr="004E0F1E" w:rsidRDefault="00B00D01" w:rsidP="004E0F1E">
      <w:pPr>
        <w:tabs>
          <w:tab w:val="left" w:pos="7938"/>
        </w:tabs>
        <w:ind w:left="567" w:right="539"/>
        <w:contextualSpacing/>
        <w:rPr>
          <w:i/>
        </w:rPr>
      </w:pPr>
      <w:r w:rsidRPr="004E0F1E">
        <w:rPr>
          <w:i/>
        </w:rPr>
        <w:t xml:space="preserve">b) Relación de los bienes a darse de baja. </w:t>
      </w:r>
    </w:p>
    <w:p w14:paraId="100AADFB" w14:textId="77777777" w:rsidR="00B00D01" w:rsidRPr="004E0F1E" w:rsidRDefault="00B00D01" w:rsidP="004E0F1E">
      <w:pPr>
        <w:tabs>
          <w:tab w:val="left" w:pos="7938"/>
        </w:tabs>
        <w:ind w:left="567" w:right="539"/>
        <w:contextualSpacing/>
        <w:rPr>
          <w:i/>
        </w:rPr>
      </w:pPr>
      <w:r w:rsidRPr="004E0F1E">
        <w:rPr>
          <w:i/>
        </w:rPr>
        <w:t xml:space="preserve">Para la baja y destrucción de los documentos en desuso, los titulares de las áreas de administración, deberán entregar el dictamen de la Comisión Dictaminadora de Depuración de Documentos. </w:t>
      </w:r>
    </w:p>
    <w:p w14:paraId="28E02B34" w14:textId="04C1276A" w:rsidR="00B00D01" w:rsidRPr="004E0F1E" w:rsidRDefault="00B00D01" w:rsidP="004E0F1E">
      <w:pPr>
        <w:tabs>
          <w:tab w:val="left" w:pos="7938"/>
        </w:tabs>
        <w:ind w:left="567" w:right="539"/>
        <w:contextualSpacing/>
        <w:rPr>
          <w:i/>
        </w:rPr>
      </w:pPr>
      <w:r w:rsidRPr="004E0F1E">
        <w:rPr>
          <w:i/>
        </w:rPr>
        <w:t>Tratándose de organismos auxiliares se deberá obtener la autorización de baja de bienes muebles de su respectiva área de administración y aplicarán, en lo conducente, lo dispuesto por esta norma.</w:t>
      </w:r>
    </w:p>
    <w:p w14:paraId="0111CDF3" w14:textId="77777777" w:rsidR="00B00D01" w:rsidRPr="004E0F1E" w:rsidRDefault="00B00D01" w:rsidP="004E0F1E">
      <w:pPr>
        <w:tabs>
          <w:tab w:val="left" w:pos="7938"/>
        </w:tabs>
        <w:ind w:right="-312"/>
        <w:contextualSpacing/>
      </w:pPr>
    </w:p>
    <w:p w14:paraId="3795B400" w14:textId="3045468D" w:rsidR="00B00D01" w:rsidRPr="004E0F1E" w:rsidRDefault="00B00D01" w:rsidP="004E0F1E">
      <w:pPr>
        <w:tabs>
          <w:tab w:val="left" w:pos="7938"/>
        </w:tabs>
        <w:ind w:right="-312"/>
        <w:contextualSpacing/>
        <w:rPr>
          <w:szCs w:val="22"/>
        </w:rPr>
      </w:pPr>
      <w:r w:rsidRPr="004E0F1E">
        <w:t>De lo transcrito, se resalta que, las áreas de administración de las dependencias y tribunales administrativos solicitarán a la Dirección General la baja de bienes muebles obsoletos, en desuso y/o inservibles, debiendo anexar los formatos respectivos y el soporte documental, que los bienes deberán concentrarse en su forma original, salvo el deterioro causado por el uso normal, en el lugar que determine la Dirección General; en caso contrario, la baja será autorizada cuando se remita copia del acuse de recibo del oficio por el que se da vista de esta situación a su Contraloría Interna.</w:t>
      </w:r>
      <w:r w:rsidR="00CD0C68" w:rsidRPr="004E0F1E">
        <w:t xml:space="preserve"> P</w:t>
      </w:r>
      <w:r w:rsidRPr="004E0F1E">
        <w:t xml:space="preserve">ara la baja de los bienes muebles en desuso que </w:t>
      </w:r>
      <w:r w:rsidRPr="004E0F1E">
        <w:lastRenderedPageBreak/>
        <w:t xml:space="preserve">por su origen no fueron registrados en el inventario del sistema integral de control patrimonial y que se encuentran en posesión de las unidades administrativas, se requerirá: a) Copia certificada del acta administrativa, suscrita por el titular del área de administración y un representante de su Contraloría Interna; b) Relación de los bienes a darse de baja. </w:t>
      </w:r>
    </w:p>
    <w:p w14:paraId="38690639" w14:textId="77777777" w:rsidR="0039267F" w:rsidRPr="004E0F1E" w:rsidRDefault="0039267F" w:rsidP="004E0F1E">
      <w:pPr>
        <w:ind w:right="-312"/>
        <w:rPr>
          <w:rFonts w:cs="Tahoma"/>
          <w:bCs/>
          <w:iCs/>
        </w:rPr>
      </w:pPr>
    </w:p>
    <w:p w14:paraId="190C2A56" w14:textId="46603462" w:rsidR="0039267F" w:rsidRPr="004E0F1E" w:rsidRDefault="0039267F" w:rsidP="004E0F1E">
      <w:pPr>
        <w:tabs>
          <w:tab w:val="left" w:pos="7938"/>
        </w:tabs>
        <w:ind w:right="-312"/>
        <w:contextualSpacing/>
        <w:rPr>
          <w:rFonts w:eastAsia="Palatino Linotype"/>
          <w:bCs/>
        </w:rPr>
      </w:pPr>
      <w:r w:rsidRPr="004E0F1E">
        <w:rPr>
          <w:szCs w:val="22"/>
        </w:rPr>
        <w:t>Con base en lo anterior, se observa que</w:t>
      </w:r>
      <w:r w:rsidR="00CD0C68" w:rsidRPr="004E0F1E">
        <w:rPr>
          <w:szCs w:val="22"/>
        </w:rPr>
        <w:t xml:space="preserve"> para la baja de</w:t>
      </w:r>
      <w:r w:rsidRPr="004E0F1E">
        <w:rPr>
          <w:szCs w:val="22"/>
        </w:rPr>
        <w:t xml:space="preserve"> </w:t>
      </w:r>
      <w:r w:rsidR="00CD0C68" w:rsidRPr="004E0F1E">
        <w:rPr>
          <w:szCs w:val="22"/>
        </w:rPr>
        <w:t xml:space="preserve">los bienes muebles que son propiedad del </w:t>
      </w:r>
      <w:r w:rsidR="00CD0C68" w:rsidRPr="004E0F1E">
        <w:rPr>
          <w:b/>
          <w:szCs w:val="22"/>
        </w:rPr>
        <w:t xml:space="preserve">SUJETO OBLIGADO </w:t>
      </w:r>
      <w:r w:rsidR="00CD0C68" w:rsidRPr="004E0F1E">
        <w:rPr>
          <w:szCs w:val="22"/>
        </w:rPr>
        <w:t xml:space="preserve">se debe de seguir un procedimiento determinado, </w:t>
      </w:r>
      <w:r w:rsidR="00A81179" w:rsidRPr="004E0F1E">
        <w:rPr>
          <w:szCs w:val="22"/>
        </w:rPr>
        <w:t>y que no basta la simple disposición de los mismos.</w:t>
      </w:r>
    </w:p>
    <w:p w14:paraId="02C0ED8D" w14:textId="77777777" w:rsidR="0039267F" w:rsidRPr="004E0F1E" w:rsidRDefault="0039267F" w:rsidP="004E0F1E">
      <w:pPr>
        <w:ind w:right="-312"/>
        <w:rPr>
          <w:rFonts w:eastAsia="Palatino Linotype"/>
          <w:b/>
          <w:bCs/>
        </w:rPr>
      </w:pPr>
    </w:p>
    <w:p w14:paraId="61C86690" w14:textId="745B9C19" w:rsidR="0039267F" w:rsidRPr="004E0F1E" w:rsidRDefault="0039267F" w:rsidP="004E0F1E">
      <w:pPr>
        <w:ind w:right="-312"/>
        <w:rPr>
          <w:rFonts w:eastAsia="Palatino Linotype"/>
        </w:rPr>
      </w:pPr>
      <w:r w:rsidRPr="004E0F1E">
        <w:rPr>
          <w:rFonts w:eastAsia="Palatino Linotype"/>
        </w:rPr>
        <w:t>Por lo que, se concluye que la información que es del interés de</w:t>
      </w:r>
      <w:r w:rsidRPr="004E0F1E">
        <w:rPr>
          <w:rFonts w:eastAsia="Palatino Linotype"/>
          <w:b/>
          <w:bCs/>
        </w:rPr>
        <w:t xml:space="preserve"> LA PERSONA RECURRENTE</w:t>
      </w:r>
      <w:r w:rsidRPr="004E0F1E">
        <w:rPr>
          <w:rFonts w:eastAsia="Palatino Linotype"/>
        </w:rPr>
        <w:t xml:space="preserve"> corresponde con al ámbito de competencia del </w:t>
      </w:r>
      <w:r w:rsidRPr="004E0F1E">
        <w:rPr>
          <w:rFonts w:eastAsia="Palatino Linotype"/>
          <w:b/>
          <w:bCs/>
        </w:rPr>
        <w:t xml:space="preserve">SUJETO OBLIGADO, </w:t>
      </w:r>
      <w:r w:rsidRPr="004E0F1E">
        <w:rPr>
          <w:rFonts w:eastAsia="Palatino Linotype"/>
        </w:rPr>
        <w:t xml:space="preserve">misma que lo constriñe a </w:t>
      </w:r>
      <w:r w:rsidR="00A81179" w:rsidRPr="004E0F1E">
        <w:rPr>
          <w:rFonts w:eastAsia="Palatino Linotype"/>
        </w:rPr>
        <w:t xml:space="preserve">realizar el procedimiento de bajas de los bienes muebles de su propiedad, por lo que se </w:t>
      </w:r>
      <w:r w:rsidRPr="004E0F1E">
        <w:rPr>
          <w:rFonts w:eastAsia="Palatino Linotype"/>
        </w:rPr>
        <w:t xml:space="preserve">considera que la información peticionada por </w:t>
      </w:r>
      <w:r w:rsidRPr="004E0F1E">
        <w:rPr>
          <w:rFonts w:eastAsia="Palatino Linotype"/>
          <w:b/>
          <w:bCs/>
        </w:rPr>
        <w:t xml:space="preserve">LA PERSONA RECURRENTE </w:t>
      </w:r>
      <w:r w:rsidRPr="004E0F1E">
        <w:rPr>
          <w:rFonts w:eastAsia="Palatino Linotype"/>
        </w:rPr>
        <w:t xml:space="preserve">debe de obrar en los archivos del </w:t>
      </w:r>
      <w:r w:rsidRPr="004E0F1E">
        <w:rPr>
          <w:rFonts w:eastAsia="Palatino Linotype"/>
          <w:b/>
          <w:bCs/>
        </w:rPr>
        <w:t xml:space="preserve">SUJETO OBLIGADO, </w:t>
      </w:r>
      <w:r w:rsidRPr="004E0F1E">
        <w:rPr>
          <w:rFonts w:eastAsia="Palatino Linotype"/>
        </w:rPr>
        <w:t>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60139DCB" w14:textId="77777777" w:rsidR="0039267F" w:rsidRPr="004E0F1E" w:rsidRDefault="0039267F" w:rsidP="004E0F1E">
      <w:pPr>
        <w:ind w:right="-312"/>
        <w:rPr>
          <w:rFonts w:eastAsia="Palatino Linotype"/>
        </w:rPr>
      </w:pPr>
    </w:p>
    <w:p w14:paraId="6B995BC5" w14:textId="77777777" w:rsidR="0039267F" w:rsidRPr="004E0F1E" w:rsidRDefault="0039267F" w:rsidP="004E0F1E">
      <w:pPr>
        <w:pStyle w:val="Puesto"/>
        <w:ind w:right="539"/>
        <w:rPr>
          <w:rFonts w:eastAsia="Palatino Linotype"/>
        </w:rPr>
      </w:pPr>
      <w:r w:rsidRPr="004E0F1E">
        <w:rPr>
          <w:rFonts w:eastAsia="Palatino Linotype"/>
        </w:rPr>
        <w:t>“</w:t>
      </w:r>
      <w:r w:rsidRPr="004E0F1E">
        <w:rPr>
          <w:rFonts w:eastAsia="Palatino Linotype"/>
          <w:b/>
        </w:rPr>
        <w:t>Artículo 18.</w:t>
      </w:r>
      <w:r w:rsidRPr="004E0F1E">
        <w:rPr>
          <w:rFonts w:eastAsia="Palatino Linotype"/>
        </w:rPr>
        <w:t xml:space="preserve"> Los sujetos obligados </w:t>
      </w:r>
      <w:r w:rsidRPr="004E0F1E">
        <w:rPr>
          <w:rFonts w:eastAsia="Palatino Linotype"/>
          <w:b/>
        </w:rPr>
        <w:t>deberán documentar todo acto</w:t>
      </w:r>
      <w:r w:rsidRPr="004E0F1E">
        <w:rPr>
          <w:rFonts w:eastAsia="Palatino Linotype"/>
        </w:rPr>
        <w:t xml:space="preserve"> </w:t>
      </w:r>
      <w:r w:rsidRPr="004E0F1E">
        <w:rPr>
          <w:rFonts w:eastAsia="Palatino Linotype"/>
          <w:b/>
        </w:rPr>
        <w:t>que derive del ejercicio de sus facultades, competencias o funciones</w:t>
      </w:r>
      <w:r w:rsidRPr="004E0F1E">
        <w:rPr>
          <w:rFonts w:eastAsia="Palatino Linotype"/>
        </w:rPr>
        <w:t>, considerando desde su origen la eventual publicidad y reutilización de la información que generen.</w:t>
      </w:r>
    </w:p>
    <w:p w14:paraId="75628B66" w14:textId="77777777" w:rsidR="0039267F" w:rsidRPr="004E0F1E" w:rsidRDefault="0039267F" w:rsidP="004E0F1E">
      <w:pPr>
        <w:pStyle w:val="Puesto"/>
        <w:ind w:right="539"/>
        <w:rPr>
          <w:rFonts w:eastAsia="Palatino Linotype"/>
        </w:rPr>
      </w:pPr>
      <w:r w:rsidRPr="004E0F1E">
        <w:rPr>
          <w:rFonts w:eastAsia="Palatino Linotype"/>
        </w:rPr>
        <w:t>(…)</w:t>
      </w:r>
    </w:p>
    <w:p w14:paraId="608ACB8D" w14:textId="77777777" w:rsidR="0039267F" w:rsidRPr="004E0F1E" w:rsidRDefault="0039267F" w:rsidP="004E0F1E">
      <w:pPr>
        <w:pStyle w:val="Puesto"/>
        <w:ind w:right="539"/>
        <w:rPr>
          <w:rFonts w:eastAsia="Palatino Linotype"/>
        </w:rPr>
      </w:pPr>
      <w:r w:rsidRPr="004E0F1E">
        <w:rPr>
          <w:rFonts w:eastAsia="Palatino Linotype"/>
          <w:b/>
        </w:rPr>
        <w:t>Artículo 24.</w:t>
      </w:r>
      <w:r w:rsidRPr="004E0F1E">
        <w:rPr>
          <w:rFonts w:eastAsia="Palatino Linotype"/>
        </w:rPr>
        <w:t xml:space="preserve"> Para el cumplimiento de los objetivos de esta Ley</w:t>
      </w:r>
      <w:r w:rsidRPr="004E0F1E">
        <w:rPr>
          <w:rFonts w:eastAsia="Palatino Linotype"/>
          <w:b/>
        </w:rPr>
        <w:t>, los sujetos obligados deberán cumplir con las siguientes obligaciones</w:t>
      </w:r>
      <w:r w:rsidRPr="004E0F1E">
        <w:rPr>
          <w:rFonts w:eastAsia="Palatino Linotype"/>
        </w:rPr>
        <w:t>, según corresponda, de acuerdo a su naturaleza:</w:t>
      </w:r>
    </w:p>
    <w:p w14:paraId="47AFD808" w14:textId="77777777" w:rsidR="0039267F" w:rsidRPr="004E0F1E" w:rsidRDefault="0039267F" w:rsidP="004E0F1E">
      <w:pPr>
        <w:pStyle w:val="Puesto"/>
        <w:ind w:right="539"/>
        <w:rPr>
          <w:rFonts w:eastAsia="Palatino Linotype"/>
        </w:rPr>
      </w:pPr>
      <w:r w:rsidRPr="004E0F1E">
        <w:rPr>
          <w:rFonts w:eastAsia="Palatino Linotype"/>
        </w:rPr>
        <w:t>(…)</w:t>
      </w:r>
    </w:p>
    <w:p w14:paraId="3FFF95C1" w14:textId="77777777" w:rsidR="0039267F" w:rsidRPr="004E0F1E" w:rsidRDefault="0039267F" w:rsidP="004E0F1E">
      <w:pPr>
        <w:pStyle w:val="Puesto"/>
        <w:ind w:right="539"/>
        <w:rPr>
          <w:rFonts w:eastAsia="Palatino Linotype"/>
        </w:rPr>
      </w:pPr>
      <w:r w:rsidRPr="004E0F1E">
        <w:rPr>
          <w:rFonts w:eastAsia="Palatino Linotype"/>
          <w:b/>
        </w:rPr>
        <w:lastRenderedPageBreak/>
        <w:t>XXII.</w:t>
      </w:r>
      <w:r w:rsidRPr="004E0F1E">
        <w:rPr>
          <w:rFonts w:eastAsia="Palatino Linotype"/>
        </w:rPr>
        <w:t xml:space="preserve"> </w:t>
      </w:r>
      <w:r w:rsidRPr="004E0F1E">
        <w:rPr>
          <w:rFonts w:eastAsia="Palatino Linotype"/>
          <w:b/>
        </w:rPr>
        <w:t>Documentar todo acto que derive del ejercicio de sus facultades, competencias o funciones</w:t>
      </w:r>
      <w:r w:rsidRPr="004E0F1E">
        <w:rPr>
          <w:rFonts w:eastAsia="Palatino Linotype"/>
        </w:rPr>
        <w:t xml:space="preserve"> y abstenerse de destruirlos u ocultarlos, dentro de los que destacan los procesos deliberativos y de decisión definitiva;”</w:t>
      </w:r>
    </w:p>
    <w:p w14:paraId="2A42AD15" w14:textId="77777777" w:rsidR="00CE72DC" w:rsidRPr="004E0F1E" w:rsidRDefault="00CE72DC" w:rsidP="004E0F1E">
      <w:pPr>
        <w:ind w:right="-312"/>
        <w:rPr>
          <w:rFonts w:eastAsia="Palatino Linotype"/>
        </w:rPr>
      </w:pPr>
    </w:p>
    <w:p w14:paraId="222EA3DD" w14:textId="77777777" w:rsidR="00CE72DC" w:rsidRPr="004E0F1E" w:rsidRDefault="00CE72DC" w:rsidP="004E0F1E">
      <w:pPr>
        <w:pStyle w:val="Ttulo3"/>
        <w:spacing w:line="360" w:lineRule="auto"/>
        <w:ind w:right="-312"/>
      </w:pPr>
      <w:r w:rsidRPr="004E0F1E">
        <w:t>d) Versión pública</w:t>
      </w:r>
    </w:p>
    <w:p w14:paraId="72510BE8" w14:textId="77777777" w:rsidR="00CE72DC" w:rsidRPr="004E0F1E" w:rsidRDefault="00CE72DC" w:rsidP="004E0F1E">
      <w:pPr>
        <w:ind w:right="-312"/>
        <w:contextualSpacing/>
        <w:rPr>
          <w:rFonts w:eastAsia="Calibri" w:cs="Tahoma"/>
          <w:bCs/>
          <w:szCs w:val="22"/>
        </w:rPr>
      </w:pPr>
      <w:r w:rsidRPr="004E0F1E">
        <w:rPr>
          <w:rFonts w:eastAsia="Calibri" w:cs="Tahoma"/>
          <w:bCs/>
          <w:szCs w:val="22"/>
        </w:rPr>
        <w:t>De lo que se ordena se aprecia que por su propia y especial naturaleza no contiene datos susceptibles de clasificarse, por lo que se deberá hacer entrega de la información de manera íntegra por lo que no es necesaria la elaboración de una versión pública.</w:t>
      </w:r>
    </w:p>
    <w:p w14:paraId="4B20E7B4" w14:textId="77777777" w:rsidR="0039267F" w:rsidRPr="004E0F1E" w:rsidRDefault="0039267F" w:rsidP="004E0F1E">
      <w:pPr>
        <w:ind w:right="-312"/>
        <w:rPr>
          <w:rFonts w:eastAsia="Palatino Linotype" w:cs="Palatino Linotype"/>
          <w:b/>
          <w:i/>
          <w:szCs w:val="22"/>
        </w:rPr>
      </w:pPr>
    </w:p>
    <w:p w14:paraId="4865AF05" w14:textId="47D8E7ED" w:rsidR="0039267F" w:rsidRPr="004E0F1E" w:rsidRDefault="00CE72DC" w:rsidP="004E0F1E">
      <w:pPr>
        <w:pStyle w:val="Ttulo3"/>
        <w:spacing w:line="360" w:lineRule="auto"/>
        <w:ind w:right="-312"/>
        <w:rPr>
          <w:szCs w:val="22"/>
        </w:rPr>
      </w:pPr>
      <w:bookmarkStart w:id="27" w:name="_Toc173835659"/>
      <w:bookmarkStart w:id="28" w:name="_Toc175213882"/>
      <w:r w:rsidRPr="004E0F1E">
        <w:t>e</w:t>
      </w:r>
      <w:r w:rsidR="0039267F" w:rsidRPr="004E0F1E">
        <w:t xml:space="preserve">) </w:t>
      </w:r>
      <w:bookmarkStart w:id="29" w:name="_Toc172203621"/>
      <w:bookmarkStart w:id="30" w:name="_Toc174614254"/>
      <w:bookmarkStart w:id="31" w:name="_Toc175213883"/>
      <w:bookmarkEnd w:id="27"/>
      <w:bookmarkEnd w:id="28"/>
      <w:r w:rsidR="0039267F" w:rsidRPr="004E0F1E">
        <w:rPr>
          <w:szCs w:val="22"/>
        </w:rPr>
        <w:t>Conclusión</w:t>
      </w:r>
      <w:bookmarkEnd w:id="29"/>
      <w:bookmarkEnd w:id="30"/>
      <w:bookmarkEnd w:id="31"/>
    </w:p>
    <w:p w14:paraId="7FF8295B" w14:textId="1A86F970" w:rsidR="0039267F" w:rsidRPr="004E0F1E" w:rsidRDefault="0039267F" w:rsidP="004E0F1E">
      <w:pPr>
        <w:ind w:right="-312"/>
        <w:rPr>
          <w:rFonts w:cs="Arial"/>
          <w:szCs w:val="22"/>
        </w:rPr>
      </w:pPr>
      <w:r w:rsidRPr="004E0F1E">
        <w:rPr>
          <w:rFonts w:cs="Arial"/>
          <w:szCs w:val="22"/>
        </w:rPr>
        <w:t xml:space="preserve">Por lo </w:t>
      </w:r>
      <w:r w:rsidRPr="004E0F1E">
        <w:rPr>
          <w:rFonts w:cs="Arial"/>
          <w:szCs w:val="22"/>
          <w:lang w:eastAsia="es-CO"/>
        </w:rPr>
        <w:t>anteriormente</w:t>
      </w:r>
      <w:r w:rsidRPr="004E0F1E">
        <w:rPr>
          <w:rFonts w:cs="Arial"/>
          <w:szCs w:val="22"/>
        </w:rPr>
        <w:t xml:space="preserve"> expuesto, este Instituto estima que las razones o motivos de inconformidad hechos valer por </w:t>
      </w:r>
      <w:r w:rsidRPr="004E0F1E">
        <w:rPr>
          <w:rFonts w:cs="Arial"/>
          <w:b/>
          <w:szCs w:val="22"/>
        </w:rPr>
        <w:t>LA PARTE RECURRENTE</w:t>
      </w:r>
      <w:r w:rsidRPr="004E0F1E">
        <w:rPr>
          <w:rFonts w:cs="Arial"/>
          <w:szCs w:val="22"/>
        </w:rPr>
        <w:t xml:space="preserve"> devienen </w:t>
      </w:r>
      <w:r w:rsidRPr="004E0F1E">
        <w:rPr>
          <w:rFonts w:cs="Arial"/>
          <w:b/>
          <w:szCs w:val="22"/>
        </w:rPr>
        <w:t>fundadas</w:t>
      </w:r>
      <w:r w:rsidRPr="004E0F1E">
        <w:rPr>
          <w:rFonts w:cs="Arial"/>
          <w:szCs w:val="22"/>
        </w:rPr>
        <w:t xml:space="preserve"> y suficientes para </w:t>
      </w:r>
      <w:r w:rsidRPr="004E0F1E">
        <w:rPr>
          <w:rFonts w:cs="Arial"/>
          <w:b/>
          <w:szCs w:val="22"/>
        </w:rPr>
        <w:t>REVOCAR</w:t>
      </w:r>
      <w:r w:rsidRPr="004E0F1E">
        <w:rPr>
          <w:rFonts w:cs="Arial"/>
          <w:szCs w:val="22"/>
        </w:rPr>
        <w:t xml:space="preserve"> la respuesta del </w:t>
      </w:r>
      <w:r w:rsidRPr="004E0F1E">
        <w:rPr>
          <w:rFonts w:cs="Arial"/>
          <w:b/>
          <w:szCs w:val="22"/>
        </w:rPr>
        <w:t>SUJETO OBLIGADO</w:t>
      </w:r>
      <w:r w:rsidRPr="004E0F1E">
        <w:rPr>
          <w:rFonts w:cs="Arial"/>
          <w:szCs w:val="22"/>
        </w:rPr>
        <w:t xml:space="preserve"> y ordenarle haga entrega de la información descrita en el presente Considerando, relativa a</w:t>
      </w:r>
      <w:r w:rsidR="00F37432" w:rsidRPr="004E0F1E">
        <w:rPr>
          <w:rFonts w:cs="Arial"/>
          <w:szCs w:val="22"/>
        </w:rPr>
        <w:t xml:space="preserve"> las facultades y atribuciones de la Directora referida en la solicitud, para disponer de las láminas de policarbonato retiradas de la escuela primaria anexa a la normal de Atlacomulco, así como el monto económico obtenido de la enajenación.</w:t>
      </w:r>
    </w:p>
    <w:p w14:paraId="471BF9B4" w14:textId="77777777" w:rsidR="00F37432" w:rsidRPr="004E0F1E" w:rsidRDefault="00F37432" w:rsidP="004E0F1E">
      <w:pPr>
        <w:ind w:right="-312"/>
        <w:rPr>
          <w:rFonts w:cs="Arial"/>
          <w:szCs w:val="22"/>
        </w:rPr>
      </w:pPr>
    </w:p>
    <w:p w14:paraId="172186E8" w14:textId="77777777" w:rsidR="004B2FC4" w:rsidRPr="004E0F1E" w:rsidRDefault="004B2FC4" w:rsidP="004E0F1E">
      <w:pPr>
        <w:tabs>
          <w:tab w:val="left" w:pos="7938"/>
        </w:tabs>
        <w:ind w:right="-312"/>
        <w:contextualSpacing/>
      </w:pPr>
      <w:r w:rsidRPr="004E0F1E">
        <w:rPr>
          <w:szCs w:val="22"/>
          <w:lang w:eastAsia="es-MX"/>
        </w:rPr>
        <w:t xml:space="preserve">Resaltando, que para el caso de que después de realizar la búsqueda de la información y no se localizará bastará que </w:t>
      </w:r>
      <w:r w:rsidRPr="004E0F1E">
        <w:rPr>
          <w:b/>
          <w:szCs w:val="22"/>
          <w:lang w:eastAsia="es-MX"/>
        </w:rPr>
        <w:t xml:space="preserve">EL SUJETO OBLIGADO </w:t>
      </w:r>
      <w:r w:rsidRPr="004E0F1E">
        <w:rPr>
          <w:szCs w:val="22"/>
          <w:lang w:eastAsia="es-MX"/>
        </w:rPr>
        <w:t>lo haga del conocimiento del particular, para tener por colmado dichos requerimientos</w:t>
      </w:r>
      <w:r w:rsidRPr="004E0F1E">
        <w:t>, atendiendo de manera supletoria a las formalidades que establece el artículo 19, párrafo segundo de la Ley de Transparencia y Acceso a la Información Pública del Estado de México y Municipios, que es del tenor literal siguiente:</w:t>
      </w:r>
    </w:p>
    <w:p w14:paraId="7C411D5D" w14:textId="77777777" w:rsidR="004B2FC4" w:rsidRPr="004E0F1E" w:rsidRDefault="004B2FC4" w:rsidP="004E0F1E">
      <w:pPr>
        <w:tabs>
          <w:tab w:val="left" w:pos="7938"/>
        </w:tabs>
        <w:ind w:right="-312"/>
        <w:contextualSpacing/>
      </w:pPr>
    </w:p>
    <w:p w14:paraId="691063A1" w14:textId="77777777" w:rsidR="004B2FC4" w:rsidRPr="004E0F1E" w:rsidRDefault="004B2FC4" w:rsidP="004E0F1E">
      <w:pPr>
        <w:tabs>
          <w:tab w:val="left" w:pos="7938"/>
        </w:tabs>
        <w:ind w:left="567" w:right="539"/>
        <w:contextualSpacing/>
        <w:rPr>
          <w:i/>
        </w:rPr>
      </w:pPr>
      <w:r w:rsidRPr="004E0F1E">
        <w:rPr>
          <w:i/>
        </w:rPr>
        <w:t>“</w:t>
      </w:r>
      <w:r w:rsidRPr="004E0F1E">
        <w:rPr>
          <w:b/>
          <w:i/>
        </w:rPr>
        <w:t>Artículo 19…</w:t>
      </w:r>
    </w:p>
    <w:p w14:paraId="34CB1897" w14:textId="77777777" w:rsidR="004B2FC4" w:rsidRPr="004E0F1E" w:rsidRDefault="004B2FC4" w:rsidP="004E0F1E">
      <w:pPr>
        <w:tabs>
          <w:tab w:val="left" w:pos="7938"/>
        </w:tabs>
        <w:ind w:left="567" w:right="539"/>
        <w:contextualSpacing/>
        <w:rPr>
          <w:i/>
        </w:rPr>
      </w:pPr>
      <w:r w:rsidRPr="004E0F1E">
        <w:rPr>
          <w:i/>
        </w:rPr>
        <w:lastRenderedPageBreak/>
        <w:t>En los casos en que ciertas facultades, competencias o funciones no se hayan ejercido, se debe motivar la respuesta en función de las causas que motiven tal circunstancia.”</w:t>
      </w:r>
    </w:p>
    <w:p w14:paraId="6E578064" w14:textId="77777777" w:rsidR="0039267F" w:rsidRPr="004E0F1E" w:rsidRDefault="0039267F" w:rsidP="004E0F1E">
      <w:pPr>
        <w:ind w:right="-312"/>
        <w:rPr>
          <w:rFonts w:cs="Arial"/>
          <w:szCs w:val="22"/>
        </w:rPr>
      </w:pPr>
    </w:p>
    <w:p w14:paraId="2DE571BE" w14:textId="77777777" w:rsidR="0039267F" w:rsidRDefault="0039267F" w:rsidP="004E0F1E">
      <w:pPr>
        <w:ind w:right="-312"/>
        <w:rPr>
          <w:rFonts w:cs="Tahoma"/>
          <w:bCs/>
          <w:szCs w:val="22"/>
        </w:rPr>
      </w:pPr>
      <w:bookmarkStart w:id="32" w:name="_Hlk165381027"/>
      <w:r w:rsidRPr="004E0F1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B1F6410" w14:textId="77777777" w:rsidR="004E0F1E" w:rsidRPr="004E0F1E" w:rsidRDefault="004E0F1E" w:rsidP="004E0F1E">
      <w:pPr>
        <w:ind w:right="-312"/>
        <w:rPr>
          <w:rFonts w:cs="Tahoma"/>
          <w:bCs/>
          <w:szCs w:val="22"/>
        </w:rPr>
      </w:pPr>
    </w:p>
    <w:p w14:paraId="564951C6" w14:textId="77777777" w:rsidR="0039267F" w:rsidRPr="004E0F1E" w:rsidRDefault="0039267F" w:rsidP="004E0F1E">
      <w:pPr>
        <w:pStyle w:val="Ttulo1"/>
        <w:ind w:right="-312"/>
        <w:rPr>
          <w:szCs w:val="22"/>
        </w:rPr>
      </w:pPr>
      <w:bookmarkStart w:id="33" w:name="_Toc172203622"/>
      <w:bookmarkStart w:id="34" w:name="_Toc174614255"/>
      <w:bookmarkStart w:id="35" w:name="_Toc175213884"/>
      <w:bookmarkEnd w:id="32"/>
      <w:r w:rsidRPr="004E0F1E">
        <w:rPr>
          <w:szCs w:val="22"/>
        </w:rPr>
        <w:t>RESUELVE</w:t>
      </w:r>
      <w:bookmarkEnd w:id="33"/>
      <w:bookmarkEnd w:id="34"/>
      <w:bookmarkEnd w:id="35"/>
    </w:p>
    <w:p w14:paraId="55D30B45" w14:textId="77777777" w:rsidR="0039267F" w:rsidRPr="004E0F1E" w:rsidRDefault="0039267F" w:rsidP="004E0F1E">
      <w:pPr>
        <w:ind w:right="-312"/>
        <w:rPr>
          <w:rFonts w:cs="Arial"/>
          <w:b/>
          <w:szCs w:val="22"/>
        </w:rPr>
      </w:pPr>
    </w:p>
    <w:p w14:paraId="1C6436F4" w14:textId="37273CF8" w:rsidR="0039267F" w:rsidRPr="004E0F1E" w:rsidRDefault="0039267F" w:rsidP="004E0F1E">
      <w:pPr>
        <w:widowControl w:val="0"/>
        <w:ind w:right="-312"/>
        <w:rPr>
          <w:rFonts w:eastAsia="Calibri" w:cs="Tahoma"/>
          <w:bCs/>
          <w:szCs w:val="22"/>
          <w:lang w:eastAsia="en-US"/>
        </w:rPr>
      </w:pPr>
      <w:r w:rsidRPr="004E0F1E">
        <w:rPr>
          <w:b/>
          <w:bCs/>
          <w:szCs w:val="22"/>
        </w:rPr>
        <w:t>PRIMERO.</w:t>
      </w:r>
      <w:r w:rsidRPr="004E0F1E">
        <w:rPr>
          <w:szCs w:val="22"/>
        </w:rPr>
        <w:t xml:space="preserve"> </w:t>
      </w:r>
      <w:r w:rsidRPr="004E0F1E">
        <w:rPr>
          <w:rFonts w:cs="Tahoma"/>
          <w:szCs w:val="22"/>
        </w:rPr>
        <w:t xml:space="preserve">Se </w:t>
      </w:r>
      <w:r w:rsidRPr="004E0F1E">
        <w:rPr>
          <w:rFonts w:cs="Tahoma"/>
          <w:b/>
          <w:bCs/>
          <w:szCs w:val="22"/>
        </w:rPr>
        <w:t>REVOCA</w:t>
      </w:r>
      <w:r w:rsidRPr="004E0F1E">
        <w:rPr>
          <w:rFonts w:cs="Tahoma"/>
          <w:szCs w:val="22"/>
        </w:rPr>
        <w:t xml:space="preserve"> la respuesta entregada por el </w:t>
      </w:r>
      <w:r w:rsidRPr="004E0F1E">
        <w:rPr>
          <w:rFonts w:cs="Tahoma"/>
          <w:b/>
          <w:bCs/>
          <w:szCs w:val="22"/>
        </w:rPr>
        <w:t>SUJETO OBLIGADO</w:t>
      </w:r>
      <w:r w:rsidRPr="004E0F1E">
        <w:rPr>
          <w:rFonts w:cs="Tahoma"/>
          <w:szCs w:val="22"/>
        </w:rPr>
        <w:t xml:space="preserve"> en la solicitud de información </w:t>
      </w:r>
      <w:r w:rsidR="00403199" w:rsidRPr="004E0F1E">
        <w:rPr>
          <w:rFonts w:cs="Tahoma"/>
          <w:b/>
          <w:bCs/>
          <w:szCs w:val="22"/>
        </w:rPr>
        <w:t>00402/SECTI/IP/2024</w:t>
      </w:r>
      <w:r w:rsidRPr="004E0F1E">
        <w:rPr>
          <w:rFonts w:cs="Tahoma"/>
          <w:bCs/>
          <w:szCs w:val="22"/>
        </w:rPr>
        <w:t xml:space="preserve">, </w:t>
      </w:r>
      <w:r w:rsidRPr="004E0F1E">
        <w:rPr>
          <w:rFonts w:eastAsia="Calibri" w:cs="Tahoma"/>
          <w:bCs/>
          <w:szCs w:val="22"/>
          <w:lang w:eastAsia="en-US"/>
        </w:rPr>
        <w:t xml:space="preserve">por resultar </w:t>
      </w:r>
      <w:r w:rsidRPr="004E0F1E">
        <w:rPr>
          <w:rFonts w:eastAsia="Calibri" w:cs="Tahoma"/>
          <w:b/>
          <w:bCs/>
          <w:szCs w:val="22"/>
          <w:lang w:eastAsia="en-US"/>
        </w:rPr>
        <w:t>FUNDADAS</w:t>
      </w:r>
      <w:r w:rsidRPr="004E0F1E">
        <w:rPr>
          <w:rFonts w:eastAsia="Calibri" w:cs="Tahoma"/>
          <w:bCs/>
          <w:szCs w:val="22"/>
          <w:lang w:eastAsia="en-US"/>
        </w:rPr>
        <w:t xml:space="preserve"> las razones o motivos de inconformidad hechos valer por </w:t>
      </w:r>
      <w:r w:rsidRPr="004E0F1E">
        <w:rPr>
          <w:rFonts w:eastAsia="Calibri" w:cs="Tahoma"/>
          <w:b/>
          <w:szCs w:val="22"/>
          <w:lang w:eastAsia="en-US"/>
        </w:rPr>
        <w:t>LA PARTE RECURRENTE</w:t>
      </w:r>
      <w:r w:rsidRPr="004E0F1E">
        <w:rPr>
          <w:rFonts w:eastAsia="Calibri" w:cs="Tahoma"/>
          <w:bCs/>
          <w:szCs w:val="22"/>
          <w:lang w:eastAsia="en-US"/>
        </w:rPr>
        <w:t xml:space="preserve"> en el Recurso de Revisión </w:t>
      </w:r>
      <w:r w:rsidRPr="004E0F1E">
        <w:rPr>
          <w:rFonts w:eastAsiaTheme="minorHAnsi" w:cstheme="minorBidi"/>
          <w:b/>
          <w:bCs/>
          <w:szCs w:val="22"/>
          <w:lang w:eastAsia="en-US"/>
        </w:rPr>
        <w:t>0</w:t>
      </w:r>
      <w:r w:rsidR="00403199" w:rsidRPr="004E0F1E">
        <w:rPr>
          <w:rFonts w:eastAsiaTheme="minorHAnsi" w:cstheme="minorBidi"/>
          <w:b/>
          <w:bCs/>
          <w:szCs w:val="22"/>
          <w:lang w:eastAsia="en-US"/>
        </w:rPr>
        <w:t>46</w:t>
      </w:r>
      <w:r w:rsidRPr="004E0F1E">
        <w:rPr>
          <w:rFonts w:eastAsiaTheme="minorHAnsi" w:cstheme="minorBidi"/>
          <w:b/>
          <w:bCs/>
          <w:szCs w:val="22"/>
          <w:lang w:eastAsia="en-US"/>
        </w:rPr>
        <w:t>92/INFOEM/IP/RR/2024</w:t>
      </w:r>
      <w:r w:rsidRPr="004E0F1E">
        <w:rPr>
          <w:rFonts w:eastAsiaTheme="minorHAnsi" w:cstheme="minorBidi"/>
          <w:szCs w:val="22"/>
          <w:lang w:eastAsia="en-US"/>
        </w:rPr>
        <w:t>,</w:t>
      </w:r>
      <w:r w:rsidRPr="004E0F1E">
        <w:rPr>
          <w:rFonts w:cs="Tahoma"/>
          <w:b/>
          <w:szCs w:val="22"/>
        </w:rPr>
        <w:t xml:space="preserve"> </w:t>
      </w:r>
      <w:r w:rsidRPr="004E0F1E">
        <w:rPr>
          <w:rFonts w:eastAsia="Calibri" w:cs="Tahoma"/>
          <w:bCs/>
          <w:szCs w:val="22"/>
          <w:lang w:eastAsia="en-US"/>
        </w:rPr>
        <w:t xml:space="preserve">en términos del considerando </w:t>
      </w:r>
      <w:r w:rsidRPr="004E0F1E">
        <w:rPr>
          <w:rFonts w:eastAsia="Calibri" w:cs="Tahoma"/>
          <w:b/>
          <w:szCs w:val="22"/>
          <w:lang w:eastAsia="en-US"/>
        </w:rPr>
        <w:t>SEGUNDO</w:t>
      </w:r>
      <w:r w:rsidRPr="004E0F1E">
        <w:rPr>
          <w:rFonts w:eastAsia="Calibri" w:cs="Tahoma"/>
          <w:bCs/>
          <w:szCs w:val="22"/>
          <w:lang w:eastAsia="en-US"/>
        </w:rPr>
        <w:t xml:space="preserve"> de la presente Resolución.</w:t>
      </w:r>
    </w:p>
    <w:p w14:paraId="4B9CDCCC" w14:textId="77777777" w:rsidR="0039267F" w:rsidRPr="004E0F1E" w:rsidRDefault="0039267F" w:rsidP="004E0F1E">
      <w:pPr>
        <w:widowControl w:val="0"/>
        <w:ind w:right="-312"/>
        <w:rPr>
          <w:rFonts w:eastAsia="Calibri" w:cs="Tahoma"/>
          <w:bCs/>
          <w:szCs w:val="22"/>
          <w:lang w:eastAsia="en-US"/>
        </w:rPr>
      </w:pPr>
    </w:p>
    <w:p w14:paraId="5BCF53C0" w14:textId="77777777" w:rsidR="0039267F" w:rsidRPr="004E0F1E" w:rsidRDefault="0039267F" w:rsidP="004E0F1E">
      <w:pPr>
        <w:ind w:right="-312"/>
        <w:rPr>
          <w:rFonts w:eastAsia="Calibri" w:cs="Tahoma"/>
          <w:bCs/>
          <w:szCs w:val="22"/>
          <w:lang w:eastAsia="en-US"/>
        </w:rPr>
      </w:pPr>
      <w:r w:rsidRPr="004E0F1E">
        <w:rPr>
          <w:rFonts w:eastAsia="Calibri" w:cs="Tahoma"/>
          <w:b/>
          <w:bCs/>
          <w:szCs w:val="22"/>
          <w:lang w:eastAsia="en-US"/>
        </w:rPr>
        <w:t>SEGUNDO.</w:t>
      </w:r>
      <w:r w:rsidRPr="004E0F1E">
        <w:rPr>
          <w:rFonts w:eastAsia="Calibri" w:cs="Tahoma"/>
          <w:szCs w:val="22"/>
        </w:rPr>
        <w:t xml:space="preserve"> Se </w:t>
      </w:r>
      <w:r w:rsidRPr="004E0F1E">
        <w:rPr>
          <w:rFonts w:eastAsia="Calibri" w:cs="Tahoma"/>
          <w:b/>
          <w:szCs w:val="22"/>
        </w:rPr>
        <w:t xml:space="preserve">ORDENA </w:t>
      </w:r>
      <w:r w:rsidRPr="004E0F1E">
        <w:rPr>
          <w:rFonts w:eastAsia="Calibri" w:cs="Tahoma"/>
          <w:szCs w:val="22"/>
        </w:rPr>
        <w:t xml:space="preserve">al </w:t>
      </w:r>
      <w:r w:rsidRPr="004E0F1E">
        <w:rPr>
          <w:rFonts w:eastAsia="Calibri" w:cs="Tahoma"/>
          <w:b/>
          <w:bCs/>
          <w:szCs w:val="22"/>
        </w:rPr>
        <w:t>SUJETO OBLIGADO</w:t>
      </w:r>
      <w:r w:rsidRPr="004E0F1E">
        <w:rPr>
          <w:rFonts w:eastAsia="Calibri" w:cs="Tahoma"/>
          <w:szCs w:val="22"/>
        </w:rPr>
        <w:t xml:space="preserve">, previa búsqueda exhaustiva y razonable </w:t>
      </w:r>
      <w:r w:rsidRPr="004E0F1E">
        <w:rPr>
          <w:rFonts w:eastAsia="Calibri" w:cs="Tahoma"/>
          <w:bCs/>
          <w:szCs w:val="22"/>
          <w:lang w:eastAsia="en-US"/>
        </w:rPr>
        <w:t xml:space="preserve">a efecto de que entregue a través del </w:t>
      </w:r>
      <w:r w:rsidRPr="004E0F1E">
        <w:rPr>
          <w:rFonts w:eastAsia="Calibri" w:cs="Tahoma"/>
          <w:b/>
          <w:bCs/>
          <w:szCs w:val="22"/>
          <w:lang w:eastAsia="en-US"/>
        </w:rPr>
        <w:t>SAIMEX</w:t>
      </w:r>
      <w:r w:rsidRPr="004E0F1E">
        <w:rPr>
          <w:rFonts w:eastAsia="Calibri" w:cs="Tahoma"/>
          <w:bCs/>
          <w:szCs w:val="22"/>
          <w:lang w:eastAsia="en-US"/>
        </w:rPr>
        <w:t>, el soporte documental que dé cuenta de lo siguiente:</w:t>
      </w:r>
    </w:p>
    <w:p w14:paraId="3BCCDE31" w14:textId="77777777" w:rsidR="0039267F" w:rsidRPr="004E0F1E" w:rsidRDefault="0039267F" w:rsidP="004E0F1E">
      <w:pPr>
        <w:widowControl w:val="0"/>
        <w:spacing w:line="276" w:lineRule="auto"/>
        <w:ind w:right="-312"/>
        <w:rPr>
          <w:b/>
          <w:bCs/>
          <w:szCs w:val="22"/>
        </w:rPr>
      </w:pPr>
    </w:p>
    <w:p w14:paraId="6A35CBC2" w14:textId="2795EA44" w:rsidR="0002344E" w:rsidRPr="004E0F1E" w:rsidRDefault="005D0A98" w:rsidP="004E0F1E">
      <w:pPr>
        <w:pStyle w:val="Puesto"/>
        <w:ind w:right="680"/>
      </w:pPr>
      <w:r w:rsidRPr="004E0F1E">
        <w:t xml:space="preserve">Las facultades y atribuciones de la Directora referida en la solicitud, </w:t>
      </w:r>
      <w:r w:rsidR="000C3C03" w:rsidRPr="004E0F1E">
        <w:t xml:space="preserve">para disponer de </w:t>
      </w:r>
      <w:r w:rsidR="00403199" w:rsidRPr="004E0F1E">
        <w:rPr>
          <w:szCs w:val="22"/>
        </w:rPr>
        <w:t xml:space="preserve">las láminas de policarbonato retiradas de la escuela </w:t>
      </w:r>
      <w:r w:rsidRPr="004E0F1E">
        <w:t>primaria anexa a la normal de Atlacomulco</w:t>
      </w:r>
      <w:r w:rsidR="003E7B15" w:rsidRPr="004E0F1E">
        <w:t>, así como el monto económico obtenido de la enajenación</w:t>
      </w:r>
      <w:r w:rsidR="00516B72" w:rsidRPr="004E0F1E">
        <w:t xml:space="preserve"> al 08 de julio de 2024</w:t>
      </w:r>
      <w:r w:rsidR="003E7B15" w:rsidRPr="004E0F1E">
        <w:t>.</w:t>
      </w:r>
    </w:p>
    <w:p w14:paraId="0723CA8A" w14:textId="77777777" w:rsidR="004B2FC4" w:rsidRPr="004E0F1E" w:rsidRDefault="004B2FC4" w:rsidP="004E0F1E">
      <w:pPr>
        <w:ind w:right="680"/>
      </w:pPr>
    </w:p>
    <w:p w14:paraId="26D7D581" w14:textId="77777777" w:rsidR="004B2FC4" w:rsidRPr="004E0F1E" w:rsidRDefault="004B2FC4" w:rsidP="004E0F1E">
      <w:pPr>
        <w:tabs>
          <w:tab w:val="left" w:pos="8505"/>
        </w:tabs>
        <w:spacing w:line="240" w:lineRule="auto"/>
        <w:ind w:left="567" w:right="680"/>
        <w:rPr>
          <w:rFonts w:eastAsia="Palatino Linotype" w:cs="Palatino Linotype"/>
          <w:b/>
          <w:i/>
        </w:rPr>
      </w:pPr>
      <w:r w:rsidRPr="004E0F1E">
        <w:rPr>
          <w:rFonts w:eastAsia="Palatino Linotype" w:cs="Palatino Linotype"/>
          <w:i/>
        </w:rPr>
        <w:lastRenderedPageBreak/>
        <w:t xml:space="preserve">En el supuesto que la información ordenada no obre en los archivos del </w:t>
      </w:r>
      <w:r w:rsidRPr="004E0F1E">
        <w:rPr>
          <w:rFonts w:eastAsia="Palatino Linotype" w:cs="Palatino Linotype"/>
          <w:b/>
          <w:i/>
        </w:rPr>
        <w:t xml:space="preserve">SUJETO OBLIGADO, </w:t>
      </w:r>
      <w:r w:rsidRPr="004E0F1E">
        <w:rPr>
          <w:rFonts w:eastAsia="Palatino Linotype" w:cs="Palatino Linotype"/>
          <w:i/>
        </w:rPr>
        <w:t xml:space="preserve">por no haberse generado, bastará con que así se haga del conocimiento de </w:t>
      </w:r>
      <w:r w:rsidRPr="004E0F1E">
        <w:rPr>
          <w:rFonts w:eastAsia="Palatino Linotype" w:cs="Palatino Linotype"/>
          <w:b/>
          <w:i/>
        </w:rPr>
        <w:t>LA PARTE</w:t>
      </w:r>
      <w:r w:rsidRPr="004E0F1E">
        <w:rPr>
          <w:rFonts w:eastAsia="Palatino Linotype" w:cs="Palatino Linotype"/>
          <w:i/>
        </w:rPr>
        <w:t xml:space="preserve"> </w:t>
      </w:r>
      <w:r w:rsidRPr="004E0F1E">
        <w:rPr>
          <w:rFonts w:eastAsia="Palatino Linotype" w:cs="Palatino Linotype"/>
          <w:b/>
          <w:i/>
        </w:rPr>
        <w:t>RECURRENTE</w:t>
      </w:r>
      <w:r w:rsidRPr="004E0F1E">
        <w:rPr>
          <w:rFonts w:eastAsia="Palatino Linotype" w:cs="Palatino Linotype"/>
          <w:i/>
        </w:rPr>
        <w:t>.</w:t>
      </w:r>
    </w:p>
    <w:p w14:paraId="1552E456" w14:textId="77777777" w:rsidR="004E0F1E" w:rsidRDefault="004E0F1E" w:rsidP="004E0F1E">
      <w:pPr>
        <w:ind w:right="-312"/>
        <w:rPr>
          <w:b/>
          <w:bCs/>
          <w:szCs w:val="22"/>
        </w:rPr>
      </w:pPr>
    </w:p>
    <w:p w14:paraId="4DAEC46C" w14:textId="77777777" w:rsidR="0039267F" w:rsidRPr="004E0F1E" w:rsidRDefault="0039267F" w:rsidP="004E0F1E">
      <w:pPr>
        <w:ind w:right="-312"/>
        <w:rPr>
          <w:szCs w:val="22"/>
        </w:rPr>
      </w:pPr>
      <w:r w:rsidRPr="004E0F1E">
        <w:rPr>
          <w:b/>
          <w:bCs/>
          <w:szCs w:val="22"/>
        </w:rPr>
        <w:t>TERCERO.</w:t>
      </w:r>
      <w:r w:rsidRPr="004E0F1E">
        <w:rPr>
          <w:szCs w:val="22"/>
        </w:rPr>
        <w:t xml:space="preserve"> Notifíquese vía Sistema de Acceso a la Información Mexiquense (</w:t>
      </w:r>
      <w:r w:rsidRPr="004E0F1E">
        <w:rPr>
          <w:b/>
          <w:szCs w:val="22"/>
        </w:rPr>
        <w:t>SAIMEX</w:t>
      </w:r>
      <w:r w:rsidRPr="004E0F1E">
        <w:rPr>
          <w:szCs w:val="22"/>
        </w:rPr>
        <w:t xml:space="preserve">) la presente resolución al Titular de la Unidad de Transparencia del </w:t>
      </w:r>
      <w:r w:rsidRPr="004E0F1E">
        <w:rPr>
          <w:b/>
          <w:bCs/>
          <w:szCs w:val="22"/>
        </w:rPr>
        <w:t>SUJETO OBLIGADO</w:t>
      </w:r>
      <w:r w:rsidRPr="004E0F1E">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4E0F1E">
        <w:rPr>
          <w:b/>
          <w:bCs/>
          <w:szCs w:val="22"/>
        </w:rPr>
        <w:t>diez días hábiles</w:t>
      </w:r>
      <w:r w:rsidRPr="004E0F1E">
        <w:rPr>
          <w:szCs w:val="22"/>
        </w:rPr>
        <w:t xml:space="preserve">, e informe a este Instituto en un plazo de </w:t>
      </w:r>
      <w:r w:rsidRPr="004E0F1E">
        <w:rPr>
          <w:b/>
          <w:bCs/>
          <w:szCs w:val="22"/>
        </w:rPr>
        <w:t>tres días hábiles</w:t>
      </w:r>
      <w:r w:rsidRPr="004E0F1E">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B23235" w14:textId="77777777" w:rsidR="0039267F" w:rsidRPr="004E0F1E" w:rsidRDefault="0039267F" w:rsidP="004E0F1E">
      <w:pPr>
        <w:ind w:right="-312"/>
        <w:rPr>
          <w:szCs w:val="22"/>
        </w:rPr>
      </w:pPr>
    </w:p>
    <w:p w14:paraId="033D0655" w14:textId="77777777" w:rsidR="0039267F" w:rsidRPr="004E0F1E" w:rsidRDefault="0039267F" w:rsidP="004E0F1E">
      <w:pPr>
        <w:ind w:right="-312"/>
        <w:rPr>
          <w:szCs w:val="22"/>
        </w:rPr>
      </w:pPr>
      <w:r w:rsidRPr="004E0F1E">
        <w:rPr>
          <w:b/>
          <w:bCs/>
          <w:szCs w:val="22"/>
        </w:rPr>
        <w:t>CUARTO.</w:t>
      </w:r>
      <w:r w:rsidRPr="004E0F1E">
        <w:rPr>
          <w:szCs w:val="22"/>
        </w:rPr>
        <w:t xml:space="preserve"> Notifíquese a </w:t>
      </w:r>
      <w:r w:rsidRPr="004E0F1E">
        <w:rPr>
          <w:b/>
          <w:bCs/>
          <w:szCs w:val="22"/>
        </w:rPr>
        <w:t>LA PARTE RECURRENTE</w:t>
      </w:r>
      <w:r w:rsidRPr="004E0F1E">
        <w:rPr>
          <w:szCs w:val="22"/>
        </w:rPr>
        <w:t xml:space="preserve"> la presente resolución vía Sistema de Acceso a la Información Mexiquense (</w:t>
      </w:r>
      <w:r w:rsidRPr="004E0F1E">
        <w:rPr>
          <w:b/>
          <w:szCs w:val="22"/>
        </w:rPr>
        <w:t>SAIMEX</w:t>
      </w:r>
      <w:r w:rsidRPr="004E0F1E">
        <w:rPr>
          <w:szCs w:val="22"/>
        </w:rPr>
        <w:t>).</w:t>
      </w:r>
    </w:p>
    <w:p w14:paraId="57288DA5" w14:textId="77777777" w:rsidR="0039267F" w:rsidRPr="004E0F1E" w:rsidRDefault="0039267F" w:rsidP="004E0F1E">
      <w:pPr>
        <w:ind w:right="-312"/>
        <w:rPr>
          <w:szCs w:val="22"/>
        </w:rPr>
      </w:pPr>
    </w:p>
    <w:p w14:paraId="49CED792" w14:textId="77777777" w:rsidR="0039267F" w:rsidRDefault="0039267F" w:rsidP="004E0F1E">
      <w:pPr>
        <w:ind w:right="-312"/>
        <w:rPr>
          <w:szCs w:val="22"/>
        </w:rPr>
      </w:pPr>
      <w:r w:rsidRPr="004E0F1E">
        <w:rPr>
          <w:b/>
          <w:bCs/>
          <w:szCs w:val="22"/>
        </w:rPr>
        <w:t>QUINTO</w:t>
      </w:r>
      <w:r w:rsidRPr="004E0F1E">
        <w:rPr>
          <w:szCs w:val="22"/>
        </w:rPr>
        <w:t xml:space="preserve">. Hágase del conocimiento a </w:t>
      </w:r>
      <w:r w:rsidRPr="004E0F1E">
        <w:rPr>
          <w:b/>
          <w:bCs/>
          <w:szCs w:val="22"/>
        </w:rPr>
        <w:t>LA PARTE RECURRENTE</w:t>
      </w:r>
      <w:r w:rsidRPr="004E0F1E">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80E628D" w14:textId="77777777" w:rsidR="004E0F1E" w:rsidRDefault="004E0F1E" w:rsidP="004E0F1E">
      <w:pPr>
        <w:ind w:right="-312"/>
        <w:rPr>
          <w:szCs w:val="22"/>
        </w:rPr>
      </w:pPr>
    </w:p>
    <w:p w14:paraId="0FFEEB18" w14:textId="77777777" w:rsidR="004E0F1E" w:rsidRPr="004E0F1E" w:rsidRDefault="004E0F1E" w:rsidP="004E0F1E">
      <w:pPr>
        <w:ind w:right="-312"/>
        <w:rPr>
          <w:szCs w:val="22"/>
        </w:rPr>
      </w:pPr>
    </w:p>
    <w:p w14:paraId="1F30EAB6" w14:textId="77777777" w:rsidR="0039267F" w:rsidRPr="004E0F1E" w:rsidRDefault="0039267F" w:rsidP="004E0F1E">
      <w:pPr>
        <w:ind w:right="-312"/>
        <w:rPr>
          <w:szCs w:val="22"/>
        </w:rPr>
      </w:pPr>
    </w:p>
    <w:p w14:paraId="32A90675" w14:textId="77777777" w:rsidR="0039267F" w:rsidRPr="004E0F1E" w:rsidRDefault="0039267F" w:rsidP="004E0F1E">
      <w:pPr>
        <w:ind w:right="-312"/>
        <w:rPr>
          <w:szCs w:val="22"/>
        </w:rPr>
      </w:pPr>
      <w:r w:rsidRPr="004E0F1E">
        <w:rPr>
          <w:b/>
          <w:bCs/>
          <w:szCs w:val="22"/>
        </w:rPr>
        <w:lastRenderedPageBreak/>
        <w:t>SEXTO.</w:t>
      </w:r>
      <w:r w:rsidRPr="004E0F1E">
        <w:rPr>
          <w:szCs w:val="22"/>
        </w:rPr>
        <w:t xml:space="preserve"> De conformidad con el artículo 198 de la Ley de Transparencia y Acceso a la Información Pública del Estado de México y Municipios, el </w:t>
      </w:r>
      <w:r w:rsidRPr="004E0F1E">
        <w:rPr>
          <w:b/>
          <w:bCs/>
          <w:szCs w:val="22"/>
        </w:rPr>
        <w:t>SUJETO OBLIGADO</w:t>
      </w:r>
      <w:r w:rsidRPr="004E0F1E">
        <w:rPr>
          <w:szCs w:val="22"/>
        </w:rPr>
        <w:t xml:space="preserve"> podrá solicitar una ampliación de plazo de manera fundada y motivada, para el cumplimiento de la presente resolución.</w:t>
      </w:r>
    </w:p>
    <w:p w14:paraId="19699524" w14:textId="77777777" w:rsidR="0039267F" w:rsidRPr="004E0F1E" w:rsidRDefault="0039267F" w:rsidP="004E0F1E">
      <w:pPr>
        <w:ind w:right="-312"/>
        <w:rPr>
          <w:rFonts w:cs="Arial"/>
          <w:b/>
          <w:szCs w:val="22"/>
        </w:rPr>
      </w:pPr>
    </w:p>
    <w:p w14:paraId="028B495E" w14:textId="3132ADC2" w:rsidR="0039267F" w:rsidRPr="004E0F1E" w:rsidRDefault="0039267F" w:rsidP="004E0F1E">
      <w:pPr>
        <w:ind w:right="-312"/>
        <w:rPr>
          <w:rFonts w:eastAsia="Palatino Linotype" w:cs="Palatino Linotype"/>
          <w:szCs w:val="22"/>
        </w:rPr>
      </w:pPr>
      <w:r w:rsidRPr="004E0F1E">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w:t>
      </w:r>
      <w:r w:rsidR="00B420C5" w:rsidRPr="004E0F1E">
        <w:rPr>
          <w:rFonts w:eastAsia="Palatino Linotype" w:cs="Palatino Linotype"/>
          <w:szCs w:val="22"/>
        </w:rPr>
        <w:t xml:space="preserve"> PRIMERA</w:t>
      </w:r>
      <w:r w:rsidRPr="004E0F1E">
        <w:rPr>
          <w:rFonts w:eastAsia="Palatino Linotype" w:cs="Palatino Linotype"/>
          <w:szCs w:val="22"/>
        </w:rPr>
        <w:t xml:space="preserve"> SESIÓN ORDINARIA, CELEBRADA EL </w:t>
      </w:r>
      <w:r w:rsidR="00B420C5" w:rsidRPr="004E0F1E">
        <w:rPr>
          <w:rFonts w:eastAsia="Palatino Linotype" w:cs="Palatino Linotype"/>
          <w:szCs w:val="22"/>
        </w:rPr>
        <w:t>CUATRO DE SEPTIEMBRE</w:t>
      </w:r>
      <w:r w:rsidRPr="004E0F1E">
        <w:rPr>
          <w:rFonts w:eastAsia="Palatino Linotype" w:cs="Palatino Linotype"/>
          <w:szCs w:val="22"/>
        </w:rPr>
        <w:t xml:space="preserve"> DE DOS MIL VEINTICUATRO, ANTE EL SECRETARIO TÉCNICO DEL PLENO, ALEXIS TAPIA RAMÍREZ.</w:t>
      </w:r>
    </w:p>
    <w:p w14:paraId="348A52F9" w14:textId="77777777" w:rsidR="0039267F" w:rsidRPr="004E0F1E" w:rsidRDefault="0039267F" w:rsidP="004E0F1E">
      <w:pPr>
        <w:ind w:right="-312"/>
        <w:rPr>
          <w:szCs w:val="22"/>
        </w:rPr>
      </w:pPr>
      <w:r w:rsidRPr="004E0F1E">
        <w:rPr>
          <w:rFonts w:eastAsia="Palatino Linotype" w:cs="Palatino Linotype"/>
          <w:szCs w:val="22"/>
        </w:rPr>
        <w:t>SCMM/AGZ/DEMF/PAG</w:t>
      </w:r>
    </w:p>
    <w:p w14:paraId="49D72DA3" w14:textId="77777777" w:rsidR="00664420" w:rsidRPr="004E0F1E" w:rsidRDefault="00664420" w:rsidP="004E0F1E">
      <w:pPr>
        <w:ind w:right="-312"/>
        <w:rPr>
          <w:rFonts w:eastAsia="Calibri" w:cs="Tahoma"/>
          <w:bCs/>
          <w:szCs w:val="22"/>
          <w:lang w:eastAsia="en-US"/>
        </w:rPr>
      </w:pPr>
    </w:p>
    <w:p w14:paraId="5EFEA0CD" w14:textId="77777777" w:rsidR="00664420" w:rsidRPr="004E0F1E" w:rsidRDefault="00664420" w:rsidP="004E0F1E">
      <w:pPr>
        <w:ind w:right="-312"/>
        <w:rPr>
          <w:rFonts w:eastAsia="Calibri" w:cs="Tahoma"/>
          <w:szCs w:val="22"/>
          <w:lang w:val="es-ES"/>
        </w:rPr>
      </w:pPr>
    </w:p>
    <w:p w14:paraId="696BC976" w14:textId="77777777" w:rsidR="00664420" w:rsidRPr="004E0F1E" w:rsidRDefault="00664420" w:rsidP="004E0F1E">
      <w:pPr>
        <w:ind w:right="-312"/>
        <w:rPr>
          <w:rFonts w:eastAsia="Calibri" w:cs="Tahoma"/>
          <w:bCs/>
          <w:szCs w:val="22"/>
          <w:lang w:val="es-ES" w:eastAsia="en-US"/>
        </w:rPr>
      </w:pPr>
    </w:p>
    <w:p w14:paraId="671CB0C5" w14:textId="77777777" w:rsidR="00664420" w:rsidRPr="004E0F1E" w:rsidRDefault="00664420" w:rsidP="004E0F1E">
      <w:pPr>
        <w:ind w:right="-312"/>
        <w:rPr>
          <w:rFonts w:eastAsia="Calibri" w:cs="Tahoma"/>
          <w:bCs/>
          <w:szCs w:val="22"/>
          <w:lang w:val="es-ES_tradnl" w:eastAsia="en-US"/>
        </w:rPr>
      </w:pPr>
    </w:p>
    <w:p w14:paraId="52B66DE7" w14:textId="77777777" w:rsidR="00664420" w:rsidRPr="004E0F1E" w:rsidRDefault="00664420" w:rsidP="004E0F1E">
      <w:pPr>
        <w:ind w:right="-312"/>
        <w:rPr>
          <w:rFonts w:eastAsia="Calibri" w:cs="Tahoma"/>
          <w:bCs/>
          <w:szCs w:val="22"/>
          <w:lang w:val="es-ES_tradnl" w:eastAsia="en-US"/>
        </w:rPr>
      </w:pPr>
    </w:p>
    <w:p w14:paraId="3BA305D1" w14:textId="77777777" w:rsidR="00664420" w:rsidRPr="004E0F1E" w:rsidRDefault="00664420" w:rsidP="004E0F1E">
      <w:pPr>
        <w:ind w:right="-312"/>
        <w:rPr>
          <w:rFonts w:eastAsia="Calibri" w:cs="Tahoma"/>
          <w:bCs/>
          <w:szCs w:val="22"/>
          <w:lang w:val="es-ES_tradnl" w:eastAsia="en-US"/>
        </w:rPr>
      </w:pPr>
    </w:p>
    <w:p w14:paraId="78230707" w14:textId="77777777" w:rsidR="00664420" w:rsidRPr="004E0F1E" w:rsidRDefault="00664420" w:rsidP="004E0F1E">
      <w:pPr>
        <w:ind w:right="-312"/>
        <w:rPr>
          <w:rFonts w:eastAsia="Calibri" w:cs="Tahoma"/>
          <w:bCs/>
          <w:szCs w:val="22"/>
          <w:lang w:val="es-ES_tradnl" w:eastAsia="en-US"/>
        </w:rPr>
      </w:pPr>
    </w:p>
    <w:p w14:paraId="72D18B28" w14:textId="77777777" w:rsidR="00664420" w:rsidRPr="004E0F1E" w:rsidRDefault="00664420" w:rsidP="004E0F1E">
      <w:pPr>
        <w:ind w:right="-312"/>
        <w:rPr>
          <w:rFonts w:eastAsia="Calibri" w:cs="Tahoma"/>
          <w:bCs/>
          <w:szCs w:val="22"/>
          <w:lang w:val="es-ES_tradnl" w:eastAsia="en-US"/>
        </w:rPr>
      </w:pPr>
    </w:p>
    <w:p w14:paraId="6BD461DC" w14:textId="77777777" w:rsidR="00664420" w:rsidRPr="004E0F1E" w:rsidRDefault="00664420" w:rsidP="004E0F1E">
      <w:pPr>
        <w:tabs>
          <w:tab w:val="center" w:pos="4568"/>
        </w:tabs>
        <w:ind w:right="-312"/>
        <w:rPr>
          <w:rFonts w:eastAsia="Calibri" w:cs="Tahoma"/>
          <w:bCs/>
          <w:szCs w:val="22"/>
          <w:lang w:eastAsia="en-US"/>
        </w:rPr>
      </w:pPr>
    </w:p>
    <w:p w14:paraId="4DBB1727" w14:textId="77777777" w:rsidR="00664420" w:rsidRPr="004E0F1E" w:rsidRDefault="00664420" w:rsidP="004E0F1E">
      <w:pPr>
        <w:tabs>
          <w:tab w:val="center" w:pos="4568"/>
        </w:tabs>
        <w:ind w:right="-312"/>
        <w:rPr>
          <w:rFonts w:eastAsia="Calibri" w:cs="Tahoma"/>
          <w:bCs/>
          <w:szCs w:val="22"/>
          <w:lang w:eastAsia="en-US"/>
        </w:rPr>
      </w:pPr>
    </w:p>
    <w:p w14:paraId="1D74121B" w14:textId="77777777" w:rsidR="00664420" w:rsidRPr="004E0F1E" w:rsidRDefault="00664420" w:rsidP="004E0F1E">
      <w:pPr>
        <w:tabs>
          <w:tab w:val="center" w:pos="4568"/>
        </w:tabs>
        <w:ind w:right="-312"/>
        <w:rPr>
          <w:rFonts w:eastAsia="Calibri" w:cs="Tahoma"/>
          <w:bCs/>
          <w:szCs w:val="22"/>
          <w:lang w:eastAsia="en-US"/>
        </w:rPr>
      </w:pPr>
    </w:p>
    <w:p w14:paraId="08E74E9C" w14:textId="77777777" w:rsidR="00664420" w:rsidRPr="004E0F1E" w:rsidRDefault="00664420" w:rsidP="004E0F1E">
      <w:pPr>
        <w:tabs>
          <w:tab w:val="center" w:pos="4568"/>
        </w:tabs>
        <w:ind w:right="-312"/>
        <w:rPr>
          <w:rFonts w:eastAsia="Calibri" w:cs="Tahoma"/>
          <w:bCs/>
          <w:szCs w:val="22"/>
          <w:lang w:eastAsia="en-US"/>
        </w:rPr>
      </w:pPr>
    </w:p>
    <w:p w14:paraId="2CBF5E03" w14:textId="77777777" w:rsidR="00664420" w:rsidRPr="004E0F1E" w:rsidRDefault="00664420" w:rsidP="004E0F1E">
      <w:pPr>
        <w:tabs>
          <w:tab w:val="center" w:pos="4568"/>
        </w:tabs>
        <w:ind w:right="-312"/>
        <w:rPr>
          <w:rFonts w:eastAsia="Calibri" w:cs="Tahoma"/>
          <w:bCs/>
          <w:szCs w:val="22"/>
          <w:lang w:eastAsia="en-US"/>
        </w:rPr>
      </w:pPr>
    </w:p>
    <w:p w14:paraId="44865A6D" w14:textId="77777777" w:rsidR="00664420" w:rsidRPr="004E0F1E" w:rsidRDefault="00664420" w:rsidP="004E0F1E">
      <w:pPr>
        <w:tabs>
          <w:tab w:val="center" w:pos="4568"/>
        </w:tabs>
        <w:ind w:right="-312"/>
        <w:rPr>
          <w:rFonts w:eastAsia="Calibri" w:cs="Tahoma"/>
          <w:bCs/>
          <w:szCs w:val="22"/>
          <w:lang w:eastAsia="en-US"/>
        </w:rPr>
      </w:pPr>
    </w:p>
    <w:p w14:paraId="7147F06B" w14:textId="77777777" w:rsidR="00664420" w:rsidRPr="004E0F1E" w:rsidRDefault="00664420" w:rsidP="004E0F1E">
      <w:pPr>
        <w:tabs>
          <w:tab w:val="center" w:pos="4568"/>
        </w:tabs>
        <w:ind w:right="-312"/>
        <w:rPr>
          <w:rFonts w:eastAsia="Calibri" w:cs="Tahoma"/>
          <w:bCs/>
          <w:szCs w:val="22"/>
          <w:lang w:eastAsia="en-US"/>
        </w:rPr>
      </w:pPr>
    </w:p>
    <w:p w14:paraId="6FDF3D7E" w14:textId="77777777" w:rsidR="00664420" w:rsidRPr="004E0F1E" w:rsidRDefault="00664420" w:rsidP="004E0F1E">
      <w:pPr>
        <w:tabs>
          <w:tab w:val="center" w:pos="4568"/>
        </w:tabs>
        <w:ind w:right="-312"/>
        <w:rPr>
          <w:rFonts w:eastAsia="Calibri" w:cs="Tahoma"/>
          <w:bCs/>
          <w:szCs w:val="22"/>
          <w:lang w:eastAsia="en-US"/>
        </w:rPr>
      </w:pPr>
    </w:p>
    <w:p w14:paraId="6246F818" w14:textId="77777777" w:rsidR="00664420" w:rsidRPr="004E0F1E" w:rsidRDefault="00664420" w:rsidP="004E0F1E">
      <w:pPr>
        <w:tabs>
          <w:tab w:val="center" w:pos="4568"/>
        </w:tabs>
        <w:ind w:right="-312"/>
        <w:rPr>
          <w:rFonts w:eastAsia="Calibri" w:cs="Tahoma"/>
          <w:bCs/>
          <w:szCs w:val="22"/>
          <w:lang w:eastAsia="en-US"/>
        </w:rPr>
      </w:pPr>
    </w:p>
    <w:p w14:paraId="57A88B28" w14:textId="77777777" w:rsidR="00664420" w:rsidRPr="004E0F1E" w:rsidRDefault="00664420" w:rsidP="004E0F1E">
      <w:pPr>
        <w:tabs>
          <w:tab w:val="center" w:pos="4568"/>
        </w:tabs>
        <w:ind w:right="-312"/>
        <w:rPr>
          <w:rFonts w:eastAsia="Calibri" w:cs="Tahoma"/>
          <w:bCs/>
          <w:szCs w:val="22"/>
          <w:lang w:eastAsia="en-US"/>
        </w:rPr>
      </w:pPr>
    </w:p>
    <w:p w14:paraId="77EF6095" w14:textId="77777777" w:rsidR="00664420" w:rsidRPr="004E0F1E" w:rsidRDefault="00664420" w:rsidP="004E0F1E">
      <w:pPr>
        <w:tabs>
          <w:tab w:val="center" w:pos="4568"/>
        </w:tabs>
        <w:ind w:right="-312"/>
        <w:rPr>
          <w:rFonts w:eastAsia="Calibri" w:cs="Tahoma"/>
          <w:bCs/>
          <w:szCs w:val="22"/>
          <w:lang w:eastAsia="en-US"/>
        </w:rPr>
      </w:pPr>
    </w:p>
    <w:p w14:paraId="35593947" w14:textId="77777777" w:rsidR="00664420" w:rsidRPr="004E0F1E" w:rsidRDefault="00664420" w:rsidP="004E0F1E">
      <w:pPr>
        <w:tabs>
          <w:tab w:val="center" w:pos="4568"/>
        </w:tabs>
        <w:ind w:right="-312"/>
        <w:rPr>
          <w:rFonts w:eastAsia="Calibri" w:cs="Tahoma"/>
          <w:bCs/>
          <w:szCs w:val="22"/>
          <w:lang w:eastAsia="en-US"/>
        </w:rPr>
      </w:pPr>
    </w:p>
    <w:p w14:paraId="3AF72A17" w14:textId="77777777" w:rsidR="00664420" w:rsidRPr="004E0F1E" w:rsidRDefault="00664420" w:rsidP="004E0F1E">
      <w:pPr>
        <w:tabs>
          <w:tab w:val="center" w:pos="4568"/>
        </w:tabs>
        <w:ind w:right="-312"/>
        <w:rPr>
          <w:rFonts w:eastAsia="Calibri" w:cs="Tahoma"/>
          <w:bCs/>
          <w:szCs w:val="22"/>
          <w:lang w:eastAsia="en-US"/>
        </w:rPr>
      </w:pPr>
    </w:p>
    <w:p w14:paraId="37169144" w14:textId="77777777" w:rsidR="00664420" w:rsidRPr="004E0F1E" w:rsidRDefault="00664420" w:rsidP="004E0F1E">
      <w:pPr>
        <w:tabs>
          <w:tab w:val="center" w:pos="4568"/>
        </w:tabs>
        <w:ind w:right="-312"/>
        <w:rPr>
          <w:rFonts w:eastAsia="Calibri" w:cs="Tahoma"/>
          <w:bCs/>
          <w:szCs w:val="22"/>
          <w:lang w:eastAsia="en-US"/>
        </w:rPr>
      </w:pPr>
    </w:p>
    <w:p w14:paraId="77CFC088" w14:textId="77777777" w:rsidR="00664420" w:rsidRPr="004E0F1E" w:rsidRDefault="00664420" w:rsidP="004E0F1E">
      <w:pPr>
        <w:tabs>
          <w:tab w:val="center" w:pos="4568"/>
        </w:tabs>
        <w:ind w:right="-312"/>
        <w:rPr>
          <w:rFonts w:eastAsia="Calibri" w:cs="Tahoma"/>
          <w:bCs/>
          <w:szCs w:val="22"/>
          <w:lang w:eastAsia="en-US"/>
        </w:rPr>
      </w:pPr>
    </w:p>
    <w:p w14:paraId="781A11A5" w14:textId="77777777" w:rsidR="00664420" w:rsidRPr="004E0F1E" w:rsidRDefault="00664420" w:rsidP="004E0F1E">
      <w:pPr>
        <w:tabs>
          <w:tab w:val="center" w:pos="4568"/>
        </w:tabs>
        <w:ind w:right="-312"/>
        <w:rPr>
          <w:rFonts w:eastAsia="Calibri" w:cs="Tahoma"/>
          <w:bCs/>
          <w:szCs w:val="22"/>
          <w:lang w:eastAsia="en-US"/>
        </w:rPr>
      </w:pPr>
    </w:p>
    <w:p w14:paraId="5B4ADFF3" w14:textId="77777777" w:rsidR="00A131AC" w:rsidRPr="004E0F1E" w:rsidRDefault="00A131AC" w:rsidP="004E0F1E">
      <w:pPr>
        <w:ind w:right="-312"/>
      </w:pPr>
    </w:p>
    <w:sectPr w:rsidR="00A131AC" w:rsidRPr="004E0F1E" w:rsidSect="008C6865">
      <w:footerReference w:type="default" r:id="rId14"/>
      <w:pgSz w:w="12240" w:h="15840"/>
      <w:pgMar w:top="2552" w:right="2175"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E4AEB" w14:textId="77777777" w:rsidR="00432A63" w:rsidRDefault="00432A63" w:rsidP="00664420">
      <w:pPr>
        <w:spacing w:line="240" w:lineRule="auto"/>
      </w:pPr>
      <w:r>
        <w:separator/>
      </w:r>
    </w:p>
  </w:endnote>
  <w:endnote w:type="continuationSeparator" w:id="0">
    <w:p w14:paraId="1CB38B56" w14:textId="77777777" w:rsidR="00432A63" w:rsidRDefault="00432A6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82F11" w:rsidRDefault="00282F11">
    <w:pPr>
      <w:tabs>
        <w:tab w:val="center" w:pos="4550"/>
        <w:tab w:val="left" w:pos="5818"/>
      </w:tabs>
      <w:ind w:right="260"/>
      <w:jc w:val="right"/>
      <w:rPr>
        <w:color w:val="071320" w:themeColor="text2" w:themeShade="80"/>
        <w:sz w:val="24"/>
        <w:szCs w:val="24"/>
      </w:rPr>
    </w:pPr>
  </w:p>
  <w:p w14:paraId="1BCA7F23" w14:textId="77777777" w:rsidR="00282F11" w:rsidRDefault="00282F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82F11" w:rsidRDefault="00282F1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42BBE" w:rsidRPr="00E42BBE">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42BBE" w:rsidRPr="00E42BBE">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282F11" w:rsidRDefault="00282F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1E99" w14:textId="77777777" w:rsidR="00432A63" w:rsidRDefault="00432A63" w:rsidP="00664420">
      <w:pPr>
        <w:spacing w:line="240" w:lineRule="auto"/>
      </w:pPr>
      <w:r>
        <w:separator/>
      </w:r>
    </w:p>
  </w:footnote>
  <w:footnote w:type="continuationSeparator" w:id="0">
    <w:p w14:paraId="16057DB7" w14:textId="77777777" w:rsidR="00432A63" w:rsidRDefault="00432A63" w:rsidP="00664420">
      <w:pPr>
        <w:spacing w:line="240" w:lineRule="auto"/>
      </w:pPr>
      <w:r>
        <w:continuationSeparator/>
      </w:r>
    </w:p>
  </w:footnote>
  <w:footnote w:id="1">
    <w:p w14:paraId="590B09F8" w14:textId="7052EE86" w:rsidR="00282F11" w:rsidRDefault="00282F11" w:rsidP="003E7B15">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seis de julio de dos mil veinticuatro,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399DDA4D" w14:textId="77777777" w:rsidR="00282F11" w:rsidRDefault="00282F11" w:rsidP="0039267F">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3">
    <w:p w14:paraId="77CC7D28" w14:textId="77777777" w:rsidR="00282F11" w:rsidRDefault="00282F11" w:rsidP="0039267F">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4">
    <w:p w14:paraId="7AEA68C7" w14:textId="77777777" w:rsidR="00282F11" w:rsidRDefault="00282F11" w:rsidP="0039267F">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5">
    <w:p w14:paraId="0DC2A73D" w14:textId="77777777" w:rsidR="00282F11" w:rsidRDefault="00282F11" w:rsidP="0039267F">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82F11" w:rsidRPr="00330DA7" w14:paraId="070A4B18" w14:textId="77777777" w:rsidTr="003F35FD">
      <w:trPr>
        <w:trHeight w:val="144"/>
        <w:jc w:val="right"/>
      </w:trPr>
      <w:tc>
        <w:tcPr>
          <w:tcW w:w="2727" w:type="dxa"/>
        </w:tcPr>
        <w:p w14:paraId="62B7493A" w14:textId="0B6256A5" w:rsidR="00282F11" w:rsidRPr="00330DA7" w:rsidRDefault="00282F1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6DF4C14" w:rsidR="00282F11" w:rsidRPr="00A90C72" w:rsidRDefault="00282F11" w:rsidP="000748DF">
          <w:pPr>
            <w:tabs>
              <w:tab w:val="right" w:pos="8838"/>
            </w:tabs>
            <w:ind w:left="-74" w:right="-105"/>
            <w:rPr>
              <w:rFonts w:eastAsia="Calibri" w:cs="Tahoma"/>
              <w:szCs w:val="22"/>
              <w:lang w:eastAsia="en-US"/>
            </w:rPr>
          </w:pPr>
          <w:r w:rsidRPr="0004680B">
            <w:rPr>
              <w:rFonts w:eastAsia="Calibri" w:cs="Tahoma"/>
              <w:szCs w:val="22"/>
              <w:lang w:eastAsia="en-US"/>
            </w:rPr>
            <w:t>04692/INFOEM/IP/RR/2024</w:t>
          </w:r>
        </w:p>
      </w:tc>
    </w:tr>
    <w:tr w:rsidR="00282F11" w:rsidRPr="00330DA7" w14:paraId="4521E058" w14:textId="77777777" w:rsidTr="003F35FD">
      <w:trPr>
        <w:trHeight w:val="283"/>
        <w:jc w:val="right"/>
      </w:trPr>
      <w:tc>
        <w:tcPr>
          <w:tcW w:w="2727" w:type="dxa"/>
        </w:tcPr>
        <w:p w14:paraId="0B68C086" w14:textId="77777777" w:rsidR="00282F11" w:rsidRPr="00330DA7" w:rsidRDefault="00282F1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F204A84" w:rsidR="00282F11" w:rsidRPr="00952DD0" w:rsidRDefault="00282F11" w:rsidP="003F35FD">
          <w:pPr>
            <w:tabs>
              <w:tab w:val="left" w:pos="2834"/>
              <w:tab w:val="right" w:pos="8838"/>
            </w:tabs>
            <w:ind w:left="-108" w:right="-105"/>
            <w:rPr>
              <w:rFonts w:eastAsia="Calibri" w:cs="Tahoma"/>
              <w:szCs w:val="22"/>
              <w:lang w:eastAsia="en-US"/>
            </w:rPr>
          </w:pPr>
          <w:r w:rsidRPr="00016F48">
            <w:rPr>
              <w:rFonts w:eastAsia="Calibri" w:cs="Tahoma"/>
              <w:szCs w:val="22"/>
              <w:lang w:eastAsia="en-US"/>
            </w:rPr>
            <w:t>Secretaría de Educación, Ciencia, Tecnología e Innovación</w:t>
          </w:r>
        </w:p>
      </w:tc>
    </w:tr>
    <w:tr w:rsidR="00282F11" w:rsidRPr="00330DA7" w14:paraId="6331D9B6" w14:textId="77777777" w:rsidTr="003F35FD">
      <w:trPr>
        <w:trHeight w:val="283"/>
        <w:jc w:val="right"/>
      </w:trPr>
      <w:tc>
        <w:tcPr>
          <w:tcW w:w="2727" w:type="dxa"/>
        </w:tcPr>
        <w:p w14:paraId="3FA86BAE" w14:textId="53D732B3" w:rsidR="00282F11" w:rsidRPr="00330DA7" w:rsidRDefault="00282F1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82F11" w:rsidRPr="00EA66FC" w:rsidRDefault="00282F1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82F11" w:rsidRPr="00443C6B" w:rsidRDefault="00282F1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82F11" w:rsidRPr="00330DA7" w14:paraId="29CFF901" w14:textId="77777777" w:rsidTr="004B56B4">
      <w:trPr>
        <w:trHeight w:val="1435"/>
      </w:trPr>
      <w:tc>
        <w:tcPr>
          <w:tcW w:w="283" w:type="dxa"/>
          <w:shd w:val="clear" w:color="auto" w:fill="auto"/>
        </w:tcPr>
        <w:p w14:paraId="046B9F8F" w14:textId="56D2D896" w:rsidR="00282F11" w:rsidRPr="00330DA7" w:rsidRDefault="00282F11"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82F11" w:rsidRPr="00330DA7" w14:paraId="04F272D2" w14:textId="77777777" w:rsidTr="004B56B4">
            <w:trPr>
              <w:trHeight w:val="144"/>
            </w:trPr>
            <w:tc>
              <w:tcPr>
                <w:tcW w:w="2727" w:type="dxa"/>
              </w:tcPr>
              <w:p w14:paraId="2FD4DBF6" w14:textId="77777777" w:rsidR="00282F11" w:rsidRPr="00330DA7" w:rsidRDefault="00282F11" w:rsidP="004B56B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71BF89B" w:rsidR="00282F11" w:rsidRPr="00A90C72" w:rsidRDefault="00282F11" w:rsidP="000748DF">
                <w:pPr>
                  <w:tabs>
                    <w:tab w:val="right" w:pos="8838"/>
                  </w:tabs>
                  <w:ind w:left="-74" w:right="-105"/>
                  <w:rPr>
                    <w:rFonts w:eastAsia="Calibri" w:cs="Tahoma"/>
                    <w:szCs w:val="22"/>
                    <w:lang w:eastAsia="en-US"/>
                  </w:rPr>
                </w:pPr>
                <w:r w:rsidRPr="0004680B">
                  <w:rPr>
                    <w:rFonts w:eastAsia="Calibri" w:cs="Tahoma"/>
                    <w:szCs w:val="22"/>
                    <w:lang w:eastAsia="en-US"/>
                  </w:rPr>
                  <w:t>04692/INFOEM/IP/RR/2024</w:t>
                </w:r>
              </w:p>
            </w:tc>
            <w:tc>
              <w:tcPr>
                <w:tcW w:w="3402" w:type="dxa"/>
              </w:tcPr>
              <w:p w14:paraId="71DEA1CF" w14:textId="77777777" w:rsidR="00282F11" w:rsidRDefault="00282F11" w:rsidP="004B56B4">
                <w:pPr>
                  <w:tabs>
                    <w:tab w:val="right" w:pos="8838"/>
                  </w:tabs>
                  <w:ind w:left="-74" w:right="-105"/>
                  <w:rPr>
                    <w:rFonts w:eastAsia="Calibri" w:cs="Tahoma"/>
                    <w:szCs w:val="22"/>
                    <w:lang w:eastAsia="en-US"/>
                  </w:rPr>
                </w:pPr>
              </w:p>
            </w:tc>
          </w:tr>
          <w:tr w:rsidR="00282F11" w:rsidRPr="00330DA7" w14:paraId="05C58951" w14:textId="77777777" w:rsidTr="004B56B4">
            <w:trPr>
              <w:trHeight w:val="144"/>
            </w:trPr>
            <w:tc>
              <w:tcPr>
                <w:tcW w:w="2727" w:type="dxa"/>
              </w:tcPr>
              <w:p w14:paraId="642B9610" w14:textId="77777777" w:rsidR="00282F11" w:rsidRPr="00330DA7" w:rsidRDefault="00282F11" w:rsidP="004B56B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6DCDCB4" w:rsidR="00282F11" w:rsidRPr="005F19B1" w:rsidRDefault="00282F11" w:rsidP="004B56B4">
                <w:pPr>
                  <w:tabs>
                    <w:tab w:val="left" w:pos="3122"/>
                    <w:tab w:val="right" w:pos="8838"/>
                  </w:tabs>
                  <w:ind w:left="-105" w:right="-105"/>
                  <w:rPr>
                    <w:rFonts w:eastAsia="Calibri" w:cs="Tahoma"/>
                    <w:szCs w:val="22"/>
                    <w:lang w:eastAsia="en-US"/>
                  </w:rPr>
                </w:pPr>
              </w:p>
            </w:tc>
            <w:tc>
              <w:tcPr>
                <w:tcW w:w="3402" w:type="dxa"/>
              </w:tcPr>
              <w:p w14:paraId="73F47F53" w14:textId="77777777" w:rsidR="00282F11" w:rsidRPr="005F19B1" w:rsidRDefault="00282F11" w:rsidP="004B56B4">
                <w:pPr>
                  <w:tabs>
                    <w:tab w:val="left" w:pos="3122"/>
                    <w:tab w:val="right" w:pos="8838"/>
                  </w:tabs>
                  <w:ind w:left="-105" w:right="-105"/>
                  <w:rPr>
                    <w:rFonts w:eastAsia="Calibri" w:cs="Tahoma"/>
                    <w:szCs w:val="22"/>
                    <w:lang w:eastAsia="en-US"/>
                  </w:rPr>
                </w:pPr>
              </w:p>
            </w:tc>
          </w:tr>
          <w:bookmarkEnd w:id="2"/>
          <w:tr w:rsidR="00282F11" w:rsidRPr="00330DA7" w14:paraId="00E6CDC1" w14:textId="77777777" w:rsidTr="004B56B4">
            <w:trPr>
              <w:trHeight w:val="283"/>
            </w:trPr>
            <w:tc>
              <w:tcPr>
                <w:tcW w:w="2727" w:type="dxa"/>
              </w:tcPr>
              <w:p w14:paraId="0631AD24" w14:textId="77777777" w:rsidR="00282F11" w:rsidRPr="00330DA7" w:rsidRDefault="00282F11"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2337DF4" w:rsidR="00282F11" w:rsidRPr="00952DD0" w:rsidRDefault="00282F11" w:rsidP="004B56B4">
                <w:pPr>
                  <w:tabs>
                    <w:tab w:val="left" w:pos="2834"/>
                    <w:tab w:val="right" w:pos="8838"/>
                  </w:tabs>
                  <w:ind w:left="-108" w:right="-105"/>
                  <w:rPr>
                    <w:rFonts w:eastAsia="Calibri" w:cs="Tahoma"/>
                    <w:szCs w:val="22"/>
                    <w:lang w:eastAsia="en-US"/>
                  </w:rPr>
                </w:pPr>
                <w:r w:rsidRPr="00016F48">
                  <w:rPr>
                    <w:rFonts w:eastAsia="Calibri" w:cs="Tahoma"/>
                    <w:szCs w:val="22"/>
                    <w:lang w:eastAsia="en-US"/>
                  </w:rPr>
                  <w:t>Secretaría de Educación, Ciencia, Tecnología e Innovación</w:t>
                </w:r>
              </w:p>
            </w:tc>
            <w:tc>
              <w:tcPr>
                <w:tcW w:w="3402" w:type="dxa"/>
              </w:tcPr>
              <w:p w14:paraId="3A7DA319" w14:textId="77777777" w:rsidR="00282F11" w:rsidRPr="00A90C72" w:rsidRDefault="00282F11" w:rsidP="004B56B4">
                <w:pPr>
                  <w:tabs>
                    <w:tab w:val="left" w:pos="2834"/>
                    <w:tab w:val="right" w:pos="8838"/>
                  </w:tabs>
                  <w:ind w:left="-108" w:right="-105"/>
                  <w:rPr>
                    <w:rFonts w:eastAsia="Calibri" w:cs="Tahoma"/>
                    <w:szCs w:val="22"/>
                    <w:lang w:eastAsia="en-US"/>
                  </w:rPr>
                </w:pPr>
              </w:p>
            </w:tc>
          </w:tr>
          <w:tr w:rsidR="00282F11" w:rsidRPr="00330DA7" w14:paraId="0F6CD8D2" w14:textId="77777777" w:rsidTr="004B56B4">
            <w:trPr>
              <w:trHeight w:val="283"/>
            </w:trPr>
            <w:tc>
              <w:tcPr>
                <w:tcW w:w="2727" w:type="dxa"/>
              </w:tcPr>
              <w:p w14:paraId="31700628" w14:textId="5D374F86" w:rsidR="00282F11" w:rsidRPr="00330DA7" w:rsidRDefault="00282F11"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82F11" w:rsidRPr="00EA66FC" w:rsidRDefault="00282F11"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82F11" w:rsidRPr="00330DA7" w:rsidRDefault="00282F11" w:rsidP="004B56B4">
                <w:pPr>
                  <w:tabs>
                    <w:tab w:val="right" w:pos="8838"/>
                  </w:tabs>
                  <w:ind w:left="-108" w:right="-105"/>
                  <w:rPr>
                    <w:rFonts w:eastAsia="Calibri" w:cs="Tahoma"/>
                    <w:szCs w:val="22"/>
                    <w:lang w:eastAsia="en-US"/>
                  </w:rPr>
                </w:pPr>
              </w:p>
            </w:tc>
          </w:tr>
        </w:tbl>
        <w:p w14:paraId="5DC6AC61" w14:textId="77777777" w:rsidR="00282F11" w:rsidRPr="00330DA7" w:rsidRDefault="00282F11" w:rsidP="004B56B4">
          <w:pPr>
            <w:tabs>
              <w:tab w:val="right" w:pos="8838"/>
            </w:tabs>
            <w:ind w:left="-28"/>
            <w:rPr>
              <w:rFonts w:ascii="Arial" w:eastAsia="Calibri" w:hAnsi="Arial" w:cs="Arial"/>
              <w:b/>
              <w:szCs w:val="22"/>
              <w:lang w:eastAsia="en-US"/>
            </w:rPr>
          </w:pPr>
        </w:p>
      </w:tc>
    </w:tr>
  </w:tbl>
  <w:p w14:paraId="2A906731" w14:textId="77777777" w:rsidR="00282F11" w:rsidRPr="00765661" w:rsidRDefault="00432A63"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12D12"/>
    <w:multiLevelType w:val="hybridMultilevel"/>
    <w:tmpl w:val="7D1C41B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612D3A0D"/>
    <w:multiLevelType w:val="hybridMultilevel"/>
    <w:tmpl w:val="9612C7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69DA2FAD"/>
    <w:multiLevelType w:val="hybridMultilevel"/>
    <w:tmpl w:val="9DA665A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6F48"/>
    <w:rsid w:val="0002344E"/>
    <w:rsid w:val="000318BC"/>
    <w:rsid w:val="00036589"/>
    <w:rsid w:val="00040608"/>
    <w:rsid w:val="000410A8"/>
    <w:rsid w:val="000424A9"/>
    <w:rsid w:val="0004680B"/>
    <w:rsid w:val="00057B2D"/>
    <w:rsid w:val="000748DF"/>
    <w:rsid w:val="00080071"/>
    <w:rsid w:val="000820ED"/>
    <w:rsid w:val="00082A7D"/>
    <w:rsid w:val="00086B1B"/>
    <w:rsid w:val="00087E47"/>
    <w:rsid w:val="000925BE"/>
    <w:rsid w:val="000931F8"/>
    <w:rsid w:val="0009597C"/>
    <w:rsid w:val="0009706B"/>
    <w:rsid w:val="000A57F7"/>
    <w:rsid w:val="000C3C03"/>
    <w:rsid w:val="000C5109"/>
    <w:rsid w:val="000D0D67"/>
    <w:rsid w:val="000E09C4"/>
    <w:rsid w:val="000E5D1F"/>
    <w:rsid w:val="00103867"/>
    <w:rsid w:val="001133EC"/>
    <w:rsid w:val="0011350D"/>
    <w:rsid w:val="00113CFA"/>
    <w:rsid w:val="00116778"/>
    <w:rsid w:val="00122332"/>
    <w:rsid w:val="00124714"/>
    <w:rsid w:val="001259D3"/>
    <w:rsid w:val="00126BAB"/>
    <w:rsid w:val="0013398A"/>
    <w:rsid w:val="00134ED3"/>
    <w:rsid w:val="00141876"/>
    <w:rsid w:val="0014207B"/>
    <w:rsid w:val="00150C49"/>
    <w:rsid w:val="00174BAE"/>
    <w:rsid w:val="00174FBE"/>
    <w:rsid w:val="00177AE7"/>
    <w:rsid w:val="001A58B3"/>
    <w:rsid w:val="001B56C0"/>
    <w:rsid w:val="001C1234"/>
    <w:rsid w:val="001C1AE4"/>
    <w:rsid w:val="001C7688"/>
    <w:rsid w:val="001C7E98"/>
    <w:rsid w:val="001D0C50"/>
    <w:rsid w:val="001F3515"/>
    <w:rsid w:val="00207DEA"/>
    <w:rsid w:val="00224352"/>
    <w:rsid w:val="002268D4"/>
    <w:rsid w:val="00227FB3"/>
    <w:rsid w:val="002301CA"/>
    <w:rsid w:val="00233005"/>
    <w:rsid w:val="00233F17"/>
    <w:rsid w:val="00241ACF"/>
    <w:rsid w:val="00242B28"/>
    <w:rsid w:val="0024404B"/>
    <w:rsid w:val="002460B8"/>
    <w:rsid w:val="0024744C"/>
    <w:rsid w:val="0027446D"/>
    <w:rsid w:val="002807DD"/>
    <w:rsid w:val="00282F11"/>
    <w:rsid w:val="002A3601"/>
    <w:rsid w:val="002B1314"/>
    <w:rsid w:val="002B3577"/>
    <w:rsid w:val="002B7C6F"/>
    <w:rsid w:val="002D111C"/>
    <w:rsid w:val="002D2900"/>
    <w:rsid w:val="002D3509"/>
    <w:rsid w:val="002E30AC"/>
    <w:rsid w:val="002E6DBB"/>
    <w:rsid w:val="002F3F8F"/>
    <w:rsid w:val="00302476"/>
    <w:rsid w:val="00306316"/>
    <w:rsid w:val="00331F35"/>
    <w:rsid w:val="0033442A"/>
    <w:rsid w:val="00335CDF"/>
    <w:rsid w:val="00336B4B"/>
    <w:rsid w:val="00337570"/>
    <w:rsid w:val="00362A11"/>
    <w:rsid w:val="00367D79"/>
    <w:rsid w:val="00375C6B"/>
    <w:rsid w:val="00391EDF"/>
    <w:rsid w:val="0039267F"/>
    <w:rsid w:val="003A36BE"/>
    <w:rsid w:val="003A38DC"/>
    <w:rsid w:val="003A40C1"/>
    <w:rsid w:val="003A7ED3"/>
    <w:rsid w:val="003B5D3E"/>
    <w:rsid w:val="003B62E6"/>
    <w:rsid w:val="003B6EB5"/>
    <w:rsid w:val="003C1E36"/>
    <w:rsid w:val="003D37E4"/>
    <w:rsid w:val="003E6101"/>
    <w:rsid w:val="003E7B15"/>
    <w:rsid w:val="003F0772"/>
    <w:rsid w:val="003F35FD"/>
    <w:rsid w:val="003F5E69"/>
    <w:rsid w:val="00403199"/>
    <w:rsid w:val="00406F5A"/>
    <w:rsid w:val="00407FE2"/>
    <w:rsid w:val="0041385B"/>
    <w:rsid w:val="00413B6C"/>
    <w:rsid w:val="0041709A"/>
    <w:rsid w:val="004252F1"/>
    <w:rsid w:val="004326C1"/>
    <w:rsid w:val="00432A63"/>
    <w:rsid w:val="00435F18"/>
    <w:rsid w:val="00441BFA"/>
    <w:rsid w:val="004427CC"/>
    <w:rsid w:val="00453B6D"/>
    <w:rsid w:val="00454FBD"/>
    <w:rsid w:val="00456D52"/>
    <w:rsid w:val="00464F6A"/>
    <w:rsid w:val="00475583"/>
    <w:rsid w:val="00497BFA"/>
    <w:rsid w:val="004A5E28"/>
    <w:rsid w:val="004A7CF3"/>
    <w:rsid w:val="004B2FC4"/>
    <w:rsid w:val="004B56B4"/>
    <w:rsid w:val="004B70E5"/>
    <w:rsid w:val="004C1BD1"/>
    <w:rsid w:val="004C2719"/>
    <w:rsid w:val="004C629E"/>
    <w:rsid w:val="004D2AFF"/>
    <w:rsid w:val="004D7988"/>
    <w:rsid w:val="004D7CD8"/>
    <w:rsid w:val="004E0F1E"/>
    <w:rsid w:val="004E10F6"/>
    <w:rsid w:val="004E3D6D"/>
    <w:rsid w:val="004E5068"/>
    <w:rsid w:val="004F05CE"/>
    <w:rsid w:val="004F6E7A"/>
    <w:rsid w:val="004F7A00"/>
    <w:rsid w:val="0050792D"/>
    <w:rsid w:val="00511F28"/>
    <w:rsid w:val="00513801"/>
    <w:rsid w:val="00516B72"/>
    <w:rsid w:val="00523F48"/>
    <w:rsid w:val="005365FA"/>
    <w:rsid w:val="00546D39"/>
    <w:rsid w:val="0055234E"/>
    <w:rsid w:val="00562CFB"/>
    <w:rsid w:val="00565088"/>
    <w:rsid w:val="005666D8"/>
    <w:rsid w:val="005723CB"/>
    <w:rsid w:val="00575400"/>
    <w:rsid w:val="0057766A"/>
    <w:rsid w:val="005776E3"/>
    <w:rsid w:val="005856CA"/>
    <w:rsid w:val="00590892"/>
    <w:rsid w:val="00590BE7"/>
    <w:rsid w:val="00597D3F"/>
    <w:rsid w:val="005B18AF"/>
    <w:rsid w:val="005D0A98"/>
    <w:rsid w:val="005D3570"/>
    <w:rsid w:val="005D5A50"/>
    <w:rsid w:val="005E29C1"/>
    <w:rsid w:val="005F5301"/>
    <w:rsid w:val="005F5C51"/>
    <w:rsid w:val="005F6453"/>
    <w:rsid w:val="005F65B7"/>
    <w:rsid w:val="006067C7"/>
    <w:rsid w:val="006153F0"/>
    <w:rsid w:val="006159AD"/>
    <w:rsid w:val="00646436"/>
    <w:rsid w:val="0065172E"/>
    <w:rsid w:val="00664420"/>
    <w:rsid w:val="006700AE"/>
    <w:rsid w:val="006844C7"/>
    <w:rsid w:val="006A61F1"/>
    <w:rsid w:val="006A646A"/>
    <w:rsid w:val="006B10B0"/>
    <w:rsid w:val="006B1537"/>
    <w:rsid w:val="006D42B5"/>
    <w:rsid w:val="006E23FF"/>
    <w:rsid w:val="006E25BC"/>
    <w:rsid w:val="006E6BBC"/>
    <w:rsid w:val="006F23E3"/>
    <w:rsid w:val="006F64E7"/>
    <w:rsid w:val="006F7768"/>
    <w:rsid w:val="00702F96"/>
    <w:rsid w:val="00713B7F"/>
    <w:rsid w:val="00717E59"/>
    <w:rsid w:val="0074654D"/>
    <w:rsid w:val="0075086A"/>
    <w:rsid w:val="00760756"/>
    <w:rsid w:val="0077382A"/>
    <w:rsid w:val="00773E03"/>
    <w:rsid w:val="00775BFC"/>
    <w:rsid w:val="00780D69"/>
    <w:rsid w:val="007857F0"/>
    <w:rsid w:val="007900FC"/>
    <w:rsid w:val="0079432A"/>
    <w:rsid w:val="007A2AD8"/>
    <w:rsid w:val="007A3459"/>
    <w:rsid w:val="007A3C1A"/>
    <w:rsid w:val="007A6E94"/>
    <w:rsid w:val="007A7485"/>
    <w:rsid w:val="007B034E"/>
    <w:rsid w:val="007B6074"/>
    <w:rsid w:val="007C17CC"/>
    <w:rsid w:val="007C6519"/>
    <w:rsid w:val="007D103E"/>
    <w:rsid w:val="007D1C55"/>
    <w:rsid w:val="007D317F"/>
    <w:rsid w:val="007E7192"/>
    <w:rsid w:val="007F107E"/>
    <w:rsid w:val="007F2531"/>
    <w:rsid w:val="007F47DE"/>
    <w:rsid w:val="007F5D06"/>
    <w:rsid w:val="00802F6F"/>
    <w:rsid w:val="00803A08"/>
    <w:rsid w:val="00805A6E"/>
    <w:rsid w:val="00807778"/>
    <w:rsid w:val="0082247D"/>
    <w:rsid w:val="008242B6"/>
    <w:rsid w:val="00826371"/>
    <w:rsid w:val="00826A93"/>
    <w:rsid w:val="008363CB"/>
    <w:rsid w:val="00837517"/>
    <w:rsid w:val="008436D6"/>
    <w:rsid w:val="0085190E"/>
    <w:rsid w:val="008629A5"/>
    <w:rsid w:val="00865CF4"/>
    <w:rsid w:val="008669DA"/>
    <w:rsid w:val="0087567C"/>
    <w:rsid w:val="00876DBC"/>
    <w:rsid w:val="00877435"/>
    <w:rsid w:val="00887AE5"/>
    <w:rsid w:val="00890548"/>
    <w:rsid w:val="00893BA2"/>
    <w:rsid w:val="00896AF7"/>
    <w:rsid w:val="008A09B9"/>
    <w:rsid w:val="008A6003"/>
    <w:rsid w:val="008A6AB7"/>
    <w:rsid w:val="008A6F88"/>
    <w:rsid w:val="008B1E16"/>
    <w:rsid w:val="008B3B6D"/>
    <w:rsid w:val="008B62FA"/>
    <w:rsid w:val="008C014C"/>
    <w:rsid w:val="008C1421"/>
    <w:rsid w:val="008C6865"/>
    <w:rsid w:val="008E1316"/>
    <w:rsid w:val="008E19A7"/>
    <w:rsid w:val="008E3EAD"/>
    <w:rsid w:val="008F6A6B"/>
    <w:rsid w:val="00910FD2"/>
    <w:rsid w:val="0091733B"/>
    <w:rsid w:val="00923307"/>
    <w:rsid w:val="00931437"/>
    <w:rsid w:val="009341B5"/>
    <w:rsid w:val="009358D9"/>
    <w:rsid w:val="0094710D"/>
    <w:rsid w:val="00953430"/>
    <w:rsid w:val="00955DCC"/>
    <w:rsid w:val="00960996"/>
    <w:rsid w:val="00964368"/>
    <w:rsid w:val="0096663A"/>
    <w:rsid w:val="00966663"/>
    <w:rsid w:val="00970EB3"/>
    <w:rsid w:val="0097209B"/>
    <w:rsid w:val="00975CA6"/>
    <w:rsid w:val="00977BCC"/>
    <w:rsid w:val="00983EEF"/>
    <w:rsid w:val="009A2D78"/>
    <w:rsid w:val="009A7C10"/>
    <w:rsid w:val="009B095F"/>
    <w:rsid w:val="009B2945"/>
    <w:rsid w:val="009B38F6"/>
    <w:rsid w:val="009D5B1F"/>
    <w:rsid w:val="009D69F6"/>
    <w:rsid w:val="009E2DEE"/>
    <w:rsid w:val="009E7B1B"/>
    <w:rsid w:val="009F797C"/>
    <w:rsid w:val="00A0449B"/>
    <w:rsid w:val="00A131AC"/>
    <w:rsid w:val="00A16D85"/>
    <w:rsid w:val="00A21A20"/>
    <w:rsid w:val="00A23938"/>
    <w:rsid w:val="00A24D6A"/>
    <w:rsid w:val="00A32CA5"/>
    <w:rsid w:val="00A33BDB"/>
    <w:rsid w:val="00A36A99"/>
    <w:rsid w:val="00A45D1C"/>
    <w:rsid w:val="00A51AE2"/>
    <w:rsid w:val="00A52974"/>
    <w:rsid w:val="00A53315"/>
    <w:rsid w:val="00A56723"/>
    <w:rsid w:val="00A570D7"/>
    <w:rsid w:val="00A60E92"/>
    <w:rsid w:val="00A64191"/>
    <w:rsid w:val="00A70EF0"/>
    <w:rsid w:val="00A71845"/>
    <w:rsid w:val="00A81179"/>
    <w:rsid w:val="00A81896"/>
    <w:rsid w:val="00A81DC8"/>
    <w:rsid w:val="00A9208D"/>
    <w:rsid w:val="00AA364B"/>
    <w:rsid w:val="00AA4FA7"/>
    <w:rsid w:val="00AA6EA9"/>
    <w:rsid w:val="00AB1BE1"/>
    <w:rsid w:val="00AB497D"/>
    <w:rsid w:val="00AC2DB8"/>
    <w:rsid w:val="00AC3CA0"/>
    <w:rsid w:val="00AE0232"/>
    <w:rsid w:val="00AE3DA7"/>
    <w:rsid w:val="00AE6FFC"/>
    <w:rsid w:val="00AF03C4"/>
    <w:rsid w:val="00B00D01"/>
    <w:rsid w:val="00B03AB8"/>
    <w:rsid w:val="00B0531D"/>
    <w:rsid w:val="00B05F2B"/>
    <w:rsid w:val="00B20AFF"/>
    <w:rsid w:val="00B22A80"/>
    <w:rsid w:val="00B23C0A"/>
    <w:rsid w:val="00B416E8"/>
    <w:rsid w:val="00B420C5"/>
    <w:rsid w:val="00B50E12"/>
    <w:rsid w:val="00B540DC"/>
    <w:rsid w:val="00B55F8F"/>
    <w:rsid w:val="00B562C2"/>
    <w:rsid w:val="00B60BFC"/>
    <w:rsid w:val="00B751A1"/>
    <w:rsid w:val="00B82086"/>
    <w:rsid w:val="00B83675"/>
    <w:rsid w:val="00BA55A8"/>
    <w:rsid w:val="00BB2ABF"/>
    <w:rsid w:val="00BB64F4"/>
    <w:rsid w:val="00BB7B48"/>
    <w:rsid w:val="00BC01BA"/>
    <w:rsid w:val="00BC1D12"/>
    <w:rsid w:val="00BC2617"/>
    <w:rsid w:val="00BC67B0"/>
    <w:rsid w:val="00BC7CDB"/>
    <w:rsid w:val="00BD0200"/>
    <w:rsid w:val="00BD07ED"/>
    <w:rsid w:val="00BD3F4F"/>
    <w:rsid w:val="00BD5A7C"/>
    <w:rsid w:val="00BE413E"/>
    <w:rsid w:val="00BE5FAE"/>
    <w:rsid w:val="00BE7A1B"/>
    <w:rsid w:val="00BF0221"/>
    <w:rsid w:val="00BF091A"/>
    <w:rsid w:val="00BF4236"/>
    <w:rsid w:val="00BF4EAD"/>
    <w:rsid w:val="00C049E2"/>
    <w:rsid w:val="00C05AB7"/>
    <w:rsid w:val="00C219BE"/>
    <w:rsid w:val="00C36795"/>
    <w:rsid w:val="00C461EC"/>
    <w:rsid w:val="00C507D4"/>
    <w:rsid w:val="00C61BE3"/>
    <w:rsid w:val="00C67A70"/>
    <w:rsid w:val="00C70B3F"/>
    <w:rsid w:val="00C71CEF"/>
    <w:rsid w:val="00C72DAA"/>
    <w:rsid w:val="00C75036"/>
    <w:rsid w:val="00C80B14"/>
    <w:rsid w:val="00CA0426"/>
    <w:rsid w:val="00CB7E9A"/>
    <w:rsid w:val="00CC29E8"/>
    <w:rsid w:val="00CD0B92"/>
    <w:rsid w:val="00CD0C68"/>
    <w:rsid w:val="00CD22FC"/>
    <w:rsid w:val="00CD3D41"/>
    <w:rsid w:val="00CD633E"/>
    <w:rsid w:val="00CE29D3"/>
    <w:rsid w:val="00CE3C62"/>
    <w:rsid w:val="00CE72DC"/>
    <w:rsid w:val="00CF2D8B"/>
    <w:rsid w:val="00CF3C01"/>
    <w:rsid w:val="00CF4DA6"/>
    <w:rsid w:val="00CF63D9"/>
    <w:rsid w:val="00CF7586"/>
    <w:rsid w:val="00D036D3"/>
    <w:rsid w:val="00D0696F"/>
    <w:rsid w:val="00D13782"/>
    <w:rsid w:val="00D1509A"/>
    <w:rsid w:val="00D201B7"/>
    <w:rsid w:val="00D27906"/>
    <w:rsid w:val="00D2790D"/>
    <w:rsid w:val="00D359BF"/>
    <w:rsid w:val="00D35BCA"/>
    <w:rsid w:val="00D51ECD"/>
    <w:rsid w:val="00D568DC"/>
    <w:rsid w:val="00D571D4"/>
    <w:rsid w:val="00D6170E"/>
    <w:rsid w:val="00D64B5C"/>
    <w:rsid w:val="00D713EE"/>
    <w:rsid w:val="00D75EE6"/>
    <w:rsid w:val="00D867B3"/>
    <w:rsid w:val="00D91CB4"/>
    <w:rsid w:val="00D937AE"/>
    <w:rsid w:val="00D9769C"/>
    <w:rsid w:val="00DA4324"/>
    <w:rsid w:val="00DB024D"/>
    <w:rsid w:val="00DB1C09"/>
    <w:rsid w:val="00DB28CE"/>
    <w:rsid w:val="00DB63C0"/>
    <w:rsid w:val="00DC47E6"/>
    <w:rsid w:val="00DD1A53"/>
    <w:rsid w:val="00DD43D8"/>
    <w:rsid w:val="00DE1133"/>
    <w:rsid w:val="00DE285A"/>
    <w:rsid w:val="00DE656C"/>
    <w:rsid w:val="00DF039B"/>
    <w:rsid w:val="00E00DF5"/>
    <w:rsid w:val="00E0279E"/>
    <w:rsid w:val="00E16BF5"/>
    <w:rsid w:val="00E222B9"/>
    <w:rsid w:val="00E33714"/>
    <w:rsid w:val="00E37A3F"/>
    <w:rsid w:val="00E37D3C"/>
    <w:rsid w:val="00E415FE"/>
    <w:rsid w:val="00E42BBE"/>
    <w:rsid w:val="00E62E6A"/>
    <w:rsid w:val="00E727BA"/>
    <w:rsid w:val="00E810F7"/>
    <w:rsid w:val="00E83EF5"/>
    <w:rsid w:val="00E9137B"/>
    <w:rsid w:val="00E9335C"/>
    <w:rsid w:val="00EA27F7"/>
    <w:rsid w:val="00EC7E8F"/>
    <w:rsid w:val="00EC7F09"/>
    <w:rsid w:val="00ED1788"/>
    <w:rsid w:val="00ED1C1E"/>
    <w:rsid w:val="00ED7170"/>
    <w:rsid w:val="00EE1B1C"/>
    <w:rsid w:val="00EE2AF2"/>
    <w:rsid w:val="00EE44F7"/>
    <w:rsid w:val="00EE69EA"/>
    <w:rsid w:val="00EE78BF"/>
    <w:rsid w:val="00EF1CA6"/>
    <w:rsid w:val="00F0679F"/>
    <w:rsid w:val="00F07EE6"/>
    <w:rsid w:val="00F33CC8"/>
    <w:rsid w:val="00F37432"/>
    <w:rsid w:val="00F4124A"/>
    <w:rsid w:val="00F4481C"/>
    <w:rsid w:val="00F51674"/>
    <w:rsid w:val="00F529B2"/>
    <w:rsid w:val="00F53E56"/>
    <w:rsid w:val="00F57C01"/>
    <w:rsid w:val="00F616E2"/>
    <w:rsid w:val="00F75A01"/>
    <w:rsid w:val="00F75D23"/>
    <w:rsid w:val="00FA3C3D"/>
    <w:rsid w:val="00FA5957"/>
    <w:rsid w:val="00FB1AF5"/>
    <w:rsid w:val="00FB5587"/>
    <w:rsid w:val="00FC1EAB"/>
    <w:rsid w:val="00FC3CE0"/>
    <w:rsid w:val="00FC406D"/>
    <w:rsid w:val="00FD06A8"/>
    <w:rsid w:val="00FD4F13"/>
    <w:rsid w:val="00FE23C1"/>
    <w:rsid w:val="00FF1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UnresolvedMention">
    <w:name w:val="Unresolved Mention"/>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9606019">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97769494">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283514">
      <w:bodyDiv w:val="1"/>
      <w:marLeft w:val="0"/>
      <w:marRight w:val="0"/>
      <w:marTop w:val="0"/>
      <w:marBottom w:val="0"/>
      <w:divBdr>
        <w:top w:val="none" w:sz="0" w:space="0" w:color="auto"/>
        <w:left w:val="none" w:sz="0" w:space="0" w:color="auto"/>
        <w:bottom w:val="none" w:sz="0" w:space="0" w:color="auto"/>
        <w:right w:val="none" w:sz="0" w:space="0" w:color="auto"/>
      </w:divBdr>
      <w:divsChild>
        <w:div w:id="105197410">
          <w:marLeft w:val="0"/>
          <w:marRight w:val="0"/>
          <w:marTop w:val="0"/>
          <w:marBottom w:val="0"/>
          <w:divBdr>
            <w:top w:val="none" w:sz="0" w:space="0" w:color="auto"/>
            <w:left w:val="none" w:sz="0" w:space="0" w:color="auto"/>
            <w:bottom w:val="none" w:sz="0" w:space="0" w:color="auto"/>
            <w:right w:val="none" w:sz="0" w:space="0" w:color="auto"/>
          </w:divBdr>
        </w:div>
      </w:divsChild>
    </w:div>
    <w:div w:id="866523211">
      <w:bodyDiv w:val="1"/>
      <w:marLeft w:val="0"/>
      <w:marRight w:val="0"/>
      <w:marTop w:val="0"/>
      <w:marBottom w:val="0"/>
      <w:divBdr>
        <w:top w:val="none" w:sz="0" w:space="0" w:color="auto"/>
        <w:left w:val="none" w:sz="0" w:space="0" w:color="auto"/>
        <w:bottom w:val="none" w:sz="0" w:space="0" w:color="auto"/>
        <w:right w:val="none" w:sz="0" w:space="0" w:color="auto"/>
      </w:divBdr>
      <w:divsChild>
        <w:div w:id="368652824">
          <w:marLeft w:val="0"/>
          <w:marRight w:val="0"/>
          <w:marTop w:val="0"/>
          <w:marBottom w:val="0"/>
          <w:divBdr>
            <w:top w:val="none" w:sz="0" w:space="0" w:color="auto"/>
            <w:left w:val="none" w:sz="0" w:space="0" w:color="auto"/>
            <w:bottom w:val="none" w:sz="0" w:space="0" w:color="auto"/>
            <w:right w:val="none" w:sz="0" w:space="0" w:color="auto"/>
          </w:divBdr>
        </w:div>
      </w:divsChild>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97933186">
      <w:bodyDiv w:val="1"/>
      <w:marLeft w:val="0"/>
      <w:marRight w:val="0"/>
      <w:marTop w:val="0"/>
      <w:marBottom w:val="0"/>
      <w:divBdr>
        <w:top w:val="none" w:sz="0" w:space="0" w:color="auto"/>
        <w:left w:val="none" w:sz="0" w:space="0" w:color="auto"/>
        <w:bottom w:val="none" w:sz="0" w:space="0" w:color="auto"/>
        <w:right w:val="none" w:sz="0" w:space="0" w:color="auto"/>
      </w:divBdr>
    </w:div>
    <w:div w:id="1222525417">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67158772">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0812886">
      <w:bodyDiv w:val="1"/>
      <w:marLeft w:val="0"/>
      <w:marRight w:val="0"/>
      <w:marTop w:val="0"/>
      <w:marBottom w:val="0"/>
      <w:divBdr>
        <w:top w:val="none" w:sz="0" w:space="0" w:color="auto"/>
        <w:left w:val="none" w:sz="0" w:space="0" w:color="auto"/>
        <w:bottom w:val="none" w:sz="0" w:space="0" w:color="auto"/>
        <w:right w:val="none" w:sz="0" w:space="0" w:color="auto"/>
      </w:divBdr>
    </w:div>
    <w:div w:id="1797675643">
      <w:bodyDiv w:val="1"/>
      <w:marLeft w:val="0"/>
      <w:marRight w:val="0"/>
      <w:marTop w:val="0"/>
      <w:marBottom w:val="0"/>
      <w:divBdr>
        <w:top w:val="none" w:sz="0" w:space="0" w:color="auto"/>
        <w:left w:val="none" w:sz="0" w:space="0" w:color="auto"/>
        <w:bottom w:val="none" w:sz="0" w:space="0" w:color="auto"/>
        <w:right w:val="none" w:sz="0" w:space="0" w:color="auto"/>
      </w:divBdr>
    </w:div>
    <w:div w:id="1834486962">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588B43B1-6DFC-4540-9D77-DB5B86B8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9478</Words>
  <Characters>52129</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2024-09-05T19:21:00Z</cp:lastPrinted>
  <dcterms:created xsi:type="dcterms:W3CDTF">2024-08-29T19:47:00Z</dcterms:created>
  <dcterms:modified xsi:type="dcterms:W3CDTF">2024-09-05T19:21:00Z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