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bookmarkStart w:colFirst="0" w:colLast="0" w:name="_heading=h.1fob9te"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sz w:val="22"/>
          <w:szCs w:val="22"/>
          <w:rtl w:val="0"/>
        </w:rPr>
        <w:t xml:space="preserve">seis de noviembre de dos mil veinticuatro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05984/INFOEM/IP/RR/2024</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sz w:val="22"/>
          <w:szCs w:val="22"/>
          <w:rtl w:val="0"/>
        </w:rPr>
        <w:t xml:space="preserve"> un particular que no proporcionó nombre o seudónimo,</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 la</w:t>
      </w:r>
      <w:r w:rsidDel="00000000" w:rsidR="00000000" w:rsidRPr="00000000">
        <w:rPr>
          <w:rFonts w:ascii="Palatino Linotype" w:cs="Palatino Linotype" w:eastAsia="Palatino Linotype" w:hAnsi="Palatino Linotype"/>
          <w:b w:val="1"/>
          <w:sz w:val="22"/>
          <w:szCs w:val="22"/>
          <w:rtl w:val="0"/>
        </w:rPr>
        <w:t xml:space="preserve"> Secretaría de Movilidad,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diecinueve de agosto de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sz w:val="22"/>
          <w:szCs w:val="22"/>
          <w:rtl w:val="0"/>
        </w:rPr>
        <w:t xml:space="preserve"> 00567/SMOV/IP/2024, </w:t>
      </w:r>
      <w:r w:rsidDel="00000000" w:rsidR="00000000" w:rsidRPr="00000000">
        <w:rPr>
          <w:rFonts w:ascii="Palatino Linotype" w:cs="Palatino Linotype" w:eastAsia="Palatino Linotype" w:hAnsi="Palatino Linotype"/>
          <w:sz w:val="22"/>
          <w:szCs w:val="22"/>
          <w:rtl w:val="0"/>
        </w:rPr>
        <w:t xml:space="preserve">mediante la cual requirió la información siguiente: </w:t>
      </w:r>
      <w:r w:rsidDel="00000000" w:rsidR="00000000" w:rsidRPr="00000000">
        <w:rPr>
          <w:rtl w:val="0"/>
        </w:rPr>
      </w:r>
    </w:p>
    <w:p w:rsidR="00000000" w:rsidDel="00000000" w:rsidP="00000000" w:rsidRDefault="00000000" w:rsidRPr="00000000" w14:paraId="00000005">
      <w:pPr>
        <w:tabs>
          <w:tab w:val="left" w:leader="none" w:pos="7655"/>
        </w:tabs>
        <w:spacing w:after="240" w:before="240" w:lineRule="auto"/>
        <w:ind w:left="851" w:right="616" w:firstLine="0"/>
        <w:jc w:val="both"/>
        <w:rPr>
          <w:rFonts w:ascii="Palatino Linotype" w:cs="Palatino Linotype" w:eastAsia="Palatino Linotype" w:hAnsi="Palatino Linotype"/>
          <w:b w:val="1"/>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“SEGUN SU PLAN COLIBRI QUE CONTIENE 100 ACCIONES SE SOLICITA EL AVANCE DE CADA UNA DE LAS ACCIONES Y LA FECHA DE IMPLEMENTACIÓN CON LAS EVIDENCIA QUE SE CUMPLIO A LA FECHA.”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sz w:val="22"/>
          <w:szCs w:val="22"/>
        </w:rPr>
      </w:pPr>
      <w:bookmarkStart w:colFirst="0" w:colLast="0" w:name="_heading=h.3dy6vkm" w:id="2"/>
      <w:bookmarkEnd w:id="2"/>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nueve de septiembre de dos mil veinticuatro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   </w:t>
      </w:r>
    </w:p>
    <w:p w:rsidR="00000000" w:rsidDel="00000000" w:rsidP="00000000" w:rsidRDefault="00000000" w:rsidRPr="00000000" w14:paraId="0000000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LICENCIADO ALEJANDRO HERNANDEZ AGUILAR COORDINADOR DE CONTROL TÉCNICO Y TITULAR DE LA UNIDAD DE TRANSPARENCIA DE LA SECRETARÍA DE MOVILIDAD DEL GOBIERNO DEL ESTADO DE MÉXICO PRESENTE Por medio de la presente comunicación me permito adjuntar el oficio 2200001000000S/139/2024 de fecha 09 de septiembre del 2024 y el archivo anexo (ANEXO 1. REPORTE SEMESTRAL ENERO-JULIO 2024.pdf); como respuesta a la solicitud de Información Pública que fue turnada a la Coordinación a mi cargo, presentada el 20 de agosto del 2024 a través del Sistema de Acceso a la Información Mexiquense (SAIMEX) con número 00567/SMOV/IP/2024. Sin más por el momento aprovecho la ocasión para enviarle un cordial saludo. ATENTAMENTE LICENCIADO CANEK PAVEL FLORES CHAVESTE COORDINADOR DE CONCERTACIÓN SECTORIAL SERVIDOR PÚBLICO HABILITADO.</w:t>
      </w:r>
    </w:p>
    <w:p w:rsidR="00000000" w:rsidDel="00000000" w:rsidP="00000000" w:rsidRDefault="00000000" w:rsidRPr="00000000" w14:paraId="0000000A">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B">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Alejandro Hernández Aguilar” </w:t>
      </w:r>
    </w:p>
    <w:p w:rsidR="00000000" w:rsidDel="00000000" w:rsidP="00000000" w:rsidRDefault="00000000" w:rsidRPr="00000000" w14:paraId="0000000C">
      <w:pPr>
        <w:spacing w:after="240" w:before="24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 </w:t>
      </w:r>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before="240" w:line="360" w:lineRule="auto"/>
        <w:ind w:left="1287" w:right="902"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“Respuesta a Solicitud 00567_SMOV_IP_2024.pdf”: </w:t>
      </w:r>
      <w:r w:rsidDel="00000000" w:rsidR="00000000" w:rsidRPr="00000000">
        <w:rPr>
          <w:rFonts w:ascii="Palatino Linotype" w:cs="Palatino Linotype" w:eastAsia="Palatino Linotype" w:hAnsi="Palatino Linotype"/>
          <w:sz w:val="22"/>
          <w:szCs w:val="22"/>
          <w:rtl w:val="0"/>
        </w:rPr>
        <w:t xml:space="preserve">Oficio número 22000010000000S/139/2024 de fecha nueve de septiembre de dos mil veinticuatro, signado por el Coordinador de Concertación Sectorial, mediante el cual informó: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360" w:lineRule="auto"/>
        <w:ind w:left="128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el “Plan Colibrí, 100 Compromisos por la Movilidad Sostenible” cuenta con un Avance al Primer Semestre (Enero-Julio) del presente año del 46%, de conformidad con la información obtenida de la evaluación y el seguimiento a las acciones del citado plan que realiza esta Coordinación con las áreas responsables que forman parte de la Secretaría de Movilidad del Estado de México. </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360" w:lineRule="auto"/>
        <w:ind w:left="128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ese mismo orden de ideas, se informa que el “Plan Colibrí, 100 Compromisos por la Movilidad Sostenible” está conformado por 10 Ejes Transversales para los cuales se tiene el siguiente avance de cada uno, al Primer Trimestre (Enero-Marzo) del presente año: </w:t>
      </w:r>
      <w:r w:rsidDel="00000000" w:rsidR="00000000" w:rsidRPr="00000000">
        <w:rPr>
          <w:rFonts w:ascii="Palatino Linotype" w:cs="Palatino Linotype" w:eastAsia="Palatino Linotype" w:hAnsi="Palatino Linotype"/>
          <w:b w:val="1"/>
          <w:i w:val="1"/>
          <w:sz w:val="22"/>
          <w:szCs w:val="22"/>
          <w:rtl w:val="0"/>
        </w:rPr>
        <w:t xml:space="preserve">Eje 1</w:t>
      </w:r>
      <w:r w:rsidDel="00000000" w:rsidR="00000000" w:rsidRPr="00000000">
        <w:rPr>
          <w:rFonts w:ascii="Palatino Linotype" w:cs="Palatino Linotype" w:eastAsia="Palatino Linotype" w:hAnsi="Palatino Linotype"/>
          <w:i w:val="1"/>
          <w:sz w:val="22"/>
          <w:szCs w:val="22"/>
          <w:rtl w:val="0"/>
        </w:rPr>
        <w:t xml:space="preserve">. Línea Anticorrupción y Participación Ciudadana 67%; </w:t>
      </w:r>
      <w:r w:rsidDel="00000000" w:rsidR="00000000" w:rsidRPr="00000000">
        <w:rPr>
          <w:rFonts w:ascii="Palatino Linotype" w:cs="Palatino Linotype" w:eastAsia="Palatino Linotype" w:hAnsi="Palatino Linotype"/>
          <w:b w:val="1"/>
          <w:i w:val="1"/>
          <w:sz w:val="22"/>
          <w:szCs w:val="22"/>
          <w:rtl w:val="0"/>
        </w:rPr>
        <w:t xml:space="preserve">Eje 2. </w:t>
      </w:r>
      <w:r w:rsidDel="00000000" w:rsidR="00000000" w:rsidRPr="00000000">
        <w:rPr>
          <w:rFonts w:ascii="Palatino Linotype" w:cs="Palatino Linotype" w:eastAsia="Palatino Linotype" w:hAnsi="Palatino Linotype"/>
          <w:i w:val="1"/>
          <w:sz w:val="22"/>
          <w:szCs w:val="22"/>
          <w:rtl w:val="0"/>
        </w:rPr>
        <w:t xml:space="preserve">Programa de Movilidad Segura del Estado de México 37%; </w:t>
      </w:r>
      <w:r w:rsidDel="00000000" w:rsidR="00000000" w:rsidRPr="00000000">
        <w:rPr>
          <w:rFonts w:ascii="Palatino Linotype" w:cs="Palatino Linotype" w:eastAsia="Palatino Linotype" w:hAnsi="Palatino Linotype"/>
          <w:b w:val="1"/>
          <w:i w:val="1"/>
          <w:sz w:val="22"/>
          <w:szCs w:val="22"/>
          <w:rtl w:val="0"/>
        </w:rPr>
        <w:t xml:space="preserve">Eje 3.</w:t>
      </w:r>
      <w:r w:rsidDel="00000000" w:rsidR="00000000" w:rsidRPr="00000000">
        <w:rPr>
          <w:rFonts w:ascii="Palatino Linotype" w:cs="Palatino Linotype" w:eastAsia="Palatino Linotype" w:hAnsi="Palatino Linotype"/>
          <w:i w:val="1"/>
          <w:sz w:val="22"/>
          <w:szCs w:val="22"/>
          <w:rtl w:val="0"/>
        </w:rPr>
        <w:t xml:space="preserve"> Caracterización y atención de las Problemáticas del Transporte Público 47%; </w:t>
      </w:r>
      <w:r w:rsidDel="00000000" w:rsidR="00000000" w:rsidRPr="00000000">
        <w:rPr>
          <w:rFonts w:ascii="Palatino Linotype" w:cs="Palatino Linotype" w:eastAsia="Palatino Linotype" w:hAnsi="Palatino Linotype"/>
          <w:b w:val="1"/>
          <w:i w:val="1"/>
          <w:sz w:val="22"/>
          <w:szCs w:val="22"/>
          <w:rtl w:val="0"/>
        </w:rPr>
        <w:t xml:space="preserve">Eje 4.</w:t>
      </w:r>
      <w:r w:rsidDel="00000000" w:rsidR="00000000" w:rsidRPr="00000000">
        <w:rPr>
          <w:rFonts w:ascii="Palatino Linotype" w:cs="Palatino Linotype" w:eastAsia="Palatino Linotype" w:hAnsi="Palatino Linotype"/>
          <w:i w:val="1"/>
          <w:sz w:val="22"/>
          <w:szCs w:val="22"/>
          <w:rtl w:val="0"/>
        </w:rPr>
        <w:t xml:space="preserve"> Unificación de la Red de Movilidad Integrada en la ZMVM 35%; </w:t>
      </w:r>
      <w:r w:rsidDel="00000000" w:rsidR="00000000" w:rsidRPr="00000000">
        <w:rPr>
          <w:rFonts w:ascii="Palatino Linotype" w:cs="Palatino Linotype" w:eastAsia="Palatino Linotype" w:hAnsi="Palatino Linotype"/>
          <w:b w:val="1"/>
          <w:i w:val="1"/>
          <w:sz w:val="22"/>
          <w:szCs w:val="22"/>
          <w:rtl w:val="0"/>
        </w:rPr>
        <w:t xml:space="preserve">Eje 5.</w:t>
      </w:r>
      <w:r w:rsidDel="00000000" w:rsidR="00000000" w:rsidRPr="00000000">
        <w:rPr>
          <w:rFonts w:ascii="Palatino Linotype" w:cs="Palatino Linotype" w:eastAsia="Palatino Linotype" w:hAnsi="Palatino Linotype"/>
          <w:i w:val="1"/>
          <w:sz w:val="22"/>
          <w:szCs w:val="22"/>
          <w:rtl w:val="0"/>
        </w:rPr>
        <w:t xml:space="preserve"> Reactivación del Plan Ritmo: Red Integrada de Transporte Masivo Ordenado 30%; </w:t>
      </w:r>
      <w:r w:rsidDel="00000000" w:rsidR="00000000" w:rsidRPr="00000000">
        <w:rPr>
          <w:rFonts w:ascii="Palatino Linotype" w:cs="Palatino Linotype" w:eastAsia="Palatino Linotype" w:hAnsi="Palatino Linotype"/>
          <w:b w:val="1"/>
          <w:i w:val="1"/>
          <w:sz w:val="22"/>
          <w:szCs w:val="22"/>
          <w:rtl w:val="0"/>
        </w:rPr>
        <w:t xml:space="preserve">Eje 6</w:t>
      </w:r>
      <w:r w:rsidDel="00000000" w:rsidR="00000000" w:rsidRPr="00000000">
        <w:rPr>
          <w:rFonts w:ascii="Palatino Linotype" w:cs="Palatino Linotype" w:eastAsia="Palatino Linotype" w:hAnsi="Palatino Linotype"/>
          <w:i w:val="1"/>
          <w:sz w:val="22"/>
          <w:szCs w:val="22"/>
          <w:rtl w:val="0"/>
        </w:rPr>
        <w:t xml:space="preserve">. Impulso a la Movilidad Activa 19%; </w:t>
      </w:r>
      <w:r w:rsidDel="00000000" w:rsidR="00000000" w:rsidRPr="00000000">
        <w:rPr>
          <w:rFonts w:ascii="Palatino Linotype" w:cs="Palatino Linotype" w:eastAsia="Palatino Linotype" w:hAnsi="Palatino Linotype"/>
          <w:b w:val="1"/>
          <w:i w:val="1"/>
          <w:sz w:val="22"/>
          <w:szCs w:val="22"/>
          <w:rtl w:val="0"/>
        </w:rPr>
        <w:t xml:space="preserve">Eje 7</w:t>
      </w:r>
      <w:r w:rsidDel="00000000" w:rsidR="00000000" w:rsidRPr="00000000">
        <w:rPr>
          <w:rFonts w:ascii="Palatino Linotype" w:cs="Palatino Linotype" w:eastAsia="Palatino Linotype" w:hAnsi="Palatino Linotype"/>
          <w:i w:val="1"/>
          <w:sz w:val="22"/>
          <w:szCs w:val="22"/>
          <w:rtl w:val="0"/>
        </w:rPr>
        <w:t xml:space="preserve">. Vialidades y Movilidad Motorizada 33%; </w:t>
      </w:r>
      <w:r w:rsidDel="00000000" w:rsidR="00000000" w:rsidRPr="00000000">
        <w:rPr>
          <w:rFonts w:ascii="Palatino Linotype" w:cs="Palatino Linotype" w:eastAsia="Palatino Linotype" w:hAnsi="Palatino Linotype"/>
          <w:b w:val="1"/>
          <w:i w:val="1"/>
          <w:sz w:val="22"/>
          <w:szCs w:val="22"/>
          <w:rtl w:val="0"/>
        </w:rPr>
        <w:t xml:space="preserve">Eje 8.</w:t>
      </w:r>
      <w:r w:rsidDel="00000000" w:rsidR="00000000" w:rsidRPr="00000000">
        <w:rPr>
          <w:rFonts w:ascii="Palatino Linotype" w:cs="Palatino Linotype" w:eastAsia="Palatino Linotype" w:hAnsi="Palatino Linotype"/>
          <w:i w:val="1"/>
          <w:sz w:val="22"/>
          <w:szCs w:val="22"/>
          <w:rtl w:val="0"/>
        </w:rPr>
        <w:t xml:space="preserve"> Alinear el Marco Institucional y Jurídico de la Movilidad 56%; </w:t>
      </w:r>
      <w:r w:rsidDel="00000000" w:rsidR="00000000" w:rsidRPr="00000000">
        <w:rPr>
          <w:rFonts w:ascii="Palatino Linotype" w:cs="Palatino Linotype" w:eastAsia="Palatino Linotype" w:hAnsi="Palatino Linotype"/>
          <w:b w:val="1"/>
          <w:i w:val="1"/>
          <w:sz w:val="22"/>
          <w:szCs w:val="22"/>
          <w:rtl w:val="0"/>
        </w:rPr>
        <w:t xml:space="preserve">Eje 9.</w:t>
      </w:r>
      <w:r w:rsidDel="00000000" w:rsidR="00000000" w:rsidRPr="00000000">
        <w:rPr>
          <w:rFonts w:ascii="Palatino Linotype" w:cs="Palatino Linotype" w:eastAsia="Palatino Linotype" w:hAnsi="Palatino Linotype"/>
          <w:i w:val="1"/>
          <w:sz w:val="22"/>
          <w:szCs w:val="22"/>
          <w:rtl w:val="0"/>
        </w:rPr>
        <w:t xml:space="preserve"> Perspectiva de Género e Interseccionalidad de las Personas 69% y </w:t>
      </w:r>
      <w:r w:rsidDel="00000000" w:rsidR="00000000" w:rsidRPr="00000000">
        <w:rPr>
          <w:rFonts w:ascii="Palatino Linotype" w:cs="Palatino Linotype" w:eastAsia="Palatino Linotype" w:hAnsi="Palatino Linotype"/>
          <w:b w:val="1"/>
          <w:i w:val="1"/>
          <w:sz w:val="22"/>
          <w:szCs w:val="22"/>
          <w:rtl w:val="0"/>
        </w:rPr>
        <w:t xml:space="preserve">Eje 10.</w:t>
      </w:r>
      <w:r w:rsidDel="00000000" w:rsidR="00000000" w:rsidRPr="00000000">
        <w:rPr>
          <w:rFonts w:ascii="Palatino Linotype" w:cs="Palatino Linotype" w:eastAsia="Palatino Linotype" w:hAnsi="Palatino Linotype"/>
          <w:i w:val="1"/>
          <w:sz w:val="22"/>
          <w:szCs w:val="22"/>
          <w:rtl w:val="0"/>
        </w:rPr>
        <w:t xml:space="preserve"> Desarrollo Sostenible, Eficiencia Energética y Medio Ambiente 68%. </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360" w:lineRule="auto"/>
        <w:ind w:left="128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relación a la solicitud de evidencias sobre el cumplimiento, esta Coordinación conforme a las atribuciones conferidas en Ley, únicamente genera el documento de “Reporte Semestral Enero-Julio 2024”. </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ind w:left="128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mayor referencia sobre la información vertida en párrafos anteriores, sírvase encontrar anexo al presente el archivo electrónico, en formato PDF, denominado “ANEXO 1. REPORTE SEMESTRAL ENERO-JULIO 2024. PDF”, donde se detalla el porcentaje de avance de cada una de las 100 Acciones que conforman el referido Plan Colibrí. </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360" w:lineRule="auto"/>
        <w:ind w:left="128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Es de mencionar que el “Plan Colibrí, 100 compromisos por la movilidad sostenible” se encuentra publicado en la página oficial de la Secretaría de Movilidad del Estado de México, a través del siguiente link, donde encontrara el contenido del mismo, la referencia y nombre de cada una de las 100 acciones que conforman dicho Plan: </w:t>
      </w:r>
      <w:hyperlink r:id="rId8">
        <w:r w:rsidDel="00000000" w:rsidR="00000000" w:rsidRPr="00000000">
          <w:rPr>
            <w:rFonts w:ascii="Palatino Linotype" w:cs="Palatino Linotype" w:eastAsia="Palatino Linotype" w:hAnsi="Palatino Linotype"/>
            <w:i w:val="1"/>
            <w:sz w:val="22"/>
            <w:szCs w:val="22"/>
            <w:u w:val="single"/>
            <w:rtl w:val="0"/>
          </w:rPr>
          <w:t xml:space="preserve">https://smovilidad.edomex.gob.mx/sites/smovilidad.edomex.gob.mx/files/files/pdf/Colibri/100%20COMPROMISOS%20PARA%20LA%20MOVILIDAD%20SOSTENIBLE%20PLAN%COLIBRI%CC%81_TCARTA%20(2).pdf</w:t>
        </w:r>
      </w:hyperlink>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pacing w:after="240" w:line="360" w:lineRule="auto"/>
        <w:ind w:left="1287" w:right="902"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ANEXO 1. REPORTE SEMESTRAL ENERO-JULIO 2024.pdf</w:t>
      </w:r>
      <w:r w:rsidDel="00000000" w:rsidR="00000000" w:rsidRPr="00000000">
        <w:rPr>
          <w:rFonts w:ascii="Palatino Linotype" w:cs="Palatino Linotype" w:eastAsia="Palatino Linotype" w:hAnsi="Palatino Linotype"/>
          <w:sz w:val="22"/>
          <w:szCs w:val="22"/>
          <w:rtl w:val="0"/>
        </w:rPr>
        <w:t xml:space="preserve">: Contiene el reporte semestral Enero –Julio 2024 del Plan Colibrí, “100 compromisos por la movilidad sostenible” por ejes (1-10). </w:t>
      </w:r>
    </w:p>
    <w:p w:rsidR="00000000" w:rsidDel="00000000" w:rsidP="00000000" w:rsidRDefault="00000000" w:rsidRPr="00000000" w14:paraId="00000014">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dos de octubre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r w:rsidDel="00000000" w:rsidR="00000000" w:rsidRPr="00000000">
        <w:rPr>
          <w:rtl w:val="0"/>
        </w:rPr>
      </w:r>
    </w:p>
    <w:p w:rsidR="00000000" w:rsidDel="00000000" w:rsidP="00000000" w:rsidRDefault="00000000" w:rsidRPr="00000000" w14:paraId="00000015">
      <w:pPr>
        <w:tabs>
          <w:tab w:val="left" w:leader="none" w:pos="2745"/>
        </w:tabs>
        <w:spacing w:after="240" w:before="240" w:line="276"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Acto impugnado: </w:t>
      </w:r>
    </w:p>
    <w:p w:rsidR="00000000" w:rsidDel="00000000" w:rsidP="00000000" w:rsidRDefault="00000000" w:rsidRPr="00000000" w14:paraId="00000016">
      <w:pPr>
        <w:tabs>
          <w:tab w:val="left" w:leader="none" w:pos="2745"/>
        </w:tabs>
        <w:spacing w:after="240" w:before="240" w:line="276"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i w:val="1"/>
          <w:sz w:val="22"/>
          <w:szCs w:val="22"/>
          <w:rtl w:val="0"/>
        </w:rPr>
        <w:t xml:space="preserve">“no entrego la información completa.” (Sic)</w:t>
      </w:r>
      <w:r w:rsidDel="00000000" w:rsidR="00000000" w:rsidRPr="00000000">
        <w:rPr>
          <w:rtl w:val="0"/>
        </w:rPr>
      </w:r>
    </w:p>
    <w:p w:rsidR="00000000" w:rsidDel="00000000" w:rsidP="00000000" w:rsidRDefault="00000000" w:rsidRPr="00000000" w14:paraId="00000017">
      <w:pPr>
        <w:spacing w:line="276" w:lineRule="auto"/>
        <w:ind w:left="851" w:right="616" w:firstLine="0"/>
        <w:jc w:val="both"/>
        <w:rPr>
          <w:rFonts w:ascii="Palatino Linotype" w:cs="Palatino Linotype" w:eastAsia="Palatino Linotype" w:hAnsi="Palatino Linotype"/>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1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negativa de la información solicitada.” (Sic)</w:t>
      </w:r>
    </w:p>
    <w:p w:rsidR="00000000" w:rsidDel="00000000" w:rsidP="00000000" w:rsidRDefault="00000000" w:rsidRPr="00000000" w14:paraId="00000019">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A">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ocho de octubre de dos mil veinticuatro,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bookmarkStart w:colFirst="0" w:colLast="0" w:name="_heading=h.2s8eyo1" w:id="4"/>
      <w:bookmarkEnd w:id="4"/>
      <w:r w:rsidDel="00000000" w:rsidR="00000000" w:rsidRPr="00000000">
        <w:rPr>
          <w:rFonts w:ascii="Palatino Linotype" w:cs="Palatino Linotype" w:eastAsia="Palatino Linotype" w:hAnsi="Palatino Linotype"/>
          <w:b w:val="1"/>
          <w:sz w:val="22"/>
          <w:szCs w:val="22"/>
          <w:rtl w:val="0"/>
        </w:rPr>
        <w:t xml:space="preserve">6. Manifestaciones e Informe Justificado</w:t>
      </w:r>
      <w:r w:rsidDel="00000000" w:rsidR="00000000" w:rsidRPr="00000000">
        <w:rPr>
          <w:rFonts w:ascii="Palatino Linotype" w:cs="Palatino Linotype" w:eastAsia="Palatino Linotype" w:hAnsi="Palatino Linotype"/>
          <w:sz w:val="22"/>
          <w:szCs w:val="22"/>
          <w:rtl w:val="0"/>
        </w:rPr>
        <w:t xml:space="preserve">. De las constancias que integran el expediente en que se actúa se advierte que el </w:t>
      </w:r>
      <w:r w:rsidDel="00000000" w:rsidR="00000000" w:rsidRPr="00000000">
        <w:rPr>
          <w:rFonts w:ascii="Palatino Linotype" w:cs="Palatino Linotype" w:eastAsia="Palatino Linotype" w:hAnsi="Palatino Linotype"/>
          <w:b w:val="1"/>
          <w:sz w:val="22"/>
          <w:szCs w:val="22"/>
          <w:rtl w:val="0"/>
        </w:rPr>
        <w:t xml:space="preserve">dieciséis de octubre de dos mil veinticuatro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emitió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su informe justificado, mismo que fue hecho del conocimiento de la parte Recurrente, en fecha veintiuno de octubre de dos mil veinticuatro, mismo que contiene: </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1287"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informe justificado 5984.pdf</w:t>
      </w:r>
      <w:r w:rsidDel="00000000" w:rsidR="00000000" w:rsidRPr="00000000">
        <w:rPr>
          <w:rFonts w:ascii="Palatino Linotype" w:cs="Palatino Linotype" w:eastAsia="Palatino Linotype" w:hAnsi="Palatino Linotype"/>
          <w:sz w:val="22"/>
          <w:szCs w:val="22"/>
          <w:rtl w:val="0"/>
        </w:rPr>
        <w:t xml:space="preserve">: Oficio número CCT/UT/01272/2024 de fecha dieciséis de octubre de dos mil veinticuatro, signado por el Titular de la Unidad de Transparencia, mediante el cual informó que el Servidor Público Habilitado de la Coordinación de Concertación Sectorial, como área competente para responder el requerimiento de información, mediante oficio 22000010000000S/167/2024, ratificó la respuesta otorgada en solicitud de inicio.</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284"/>
        </w:tabs>
        <w:spacing w:line="360" w:lineRule="auto"/>
        <w:ind w:left="1287"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es de resaltar que este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entregó de conformidad con lo que obra dentro de sus archivos,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1287"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OFICIO CS.pdf</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Oficio número 22000010000000S/167/2024 de fecha siete de septiembre de 2024, signado por el Coordinador de concertación sectorial, mediante el cual ratificó su respuesta inicial. </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fue omisa en presentar alegatos o manifestación alguna en el plazo establecido para tal efecto. </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sz w:val="22"/>
          <w:szCs w:val="22"/>
          <w:rtl w:val="0"/>
        </w:rPr>
        <w:t xml:space="preserve">veintiocho de octubre de dos mil veinticuatro,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6">
      <w:pPr>
        <w:widowControl w:val="0"/>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sz w:val="22"/>
          <w:szCs w:val="22"/>
        </w:rPr>
      </w:pPr>
      <w:bookmarkStart w:colFirst="0" w:colLast="0" w:name="_heading=h.tyjcwt" w:id="5"/>
      <w:bookmarkEnd w:id="5"/>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nueve de septiembre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veinticuatro,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se tuvo por presentado el día </w:t>
      </w:r>
      <w:r w:rsidDel="00000000" w:rsidR="00000000" w:rsidRPr="00000000">
        <w:rPr>
          <w:rFonts w:ascii="Palatino Linotype" w:cs="Palatino Linotype" w:eastAsia="Palatino Linotype" w:hAnsi="Palatino Linotype"/>
          <w:b w:val="1"/>
          <w:sz w:val="22"/>
          <w:szCs w:val="22"/>
          <w:rtl w:val="0"/>
        </w:rPr>
        <w:t xml:space="preserve">dos de octubre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veinticuatro, </w:t>
      </w:r>
      <w:r w:rsidDel="00000000" w:rsidR="00000000" w:rsidRPr="00000000">
        <w:rPr>
          <w:rFonts w:ascii="Palatino Linotype" w:cs="Palatino Linotype" w:eastAsia="Palatino Linotype" w:hAnsi="Palatino Linotype"/>
          <w:sz w:val="22"/>
          <w:szCs w:val="22"/>
          <w:rtl w:val="0"/>
        </w:rPr>
        <w:t xml:space="preserve">esto es, al décimo quinto día hábil siguiente al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2A">
      <w:pPr>
        <w:tabs>
          <w:tab w:val="left" w:leader="none" w:pos="7938"/>
        </w:tabs>
        <w:spacing w:after="240" w:before="240" w:line="360" w:lineRule="auto"/>
        <w:jc w:val="both"/>
        <w:rPr>
          <w:rFonts w:ascii="Palatino Linotype" w:cs="Palatino Linotype" w:eastAsia="Palatino Linotype" w:hAnsi="Palatino Linotype"/>
          <w:sz w:val="22"/>
          <w:szCs w:val="22"/>
        </w:rPr>
      </w:pPr>
      <w:bookmarkStart w:colFirst="0" w:colLast="0" w:name="_heading=h.3znysh7" w:id="6"/>
      <w:bookmarkEnd w:id="6"/>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I del ordenamiento legal citado, que a la letra dice: </w:t>
      </w:r>
    </w:p>
    <w:p w:rsidR="00000000" w:rsidDel="00000000" w:rsidP="00000000" w:rsidRDefault="00000000" w:rsidRPr="00000000" w14:paraId="0000002C">
      <w:pPr>
        <w:tabs>
          <w:tab w:val="left" w:leader="none" w:pos="7936"/>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2D">
      <w:pPr>
        <w:tabs>
          <w:tab w:val="left" w:leader="none" w:pos="7936"/>
        </w:tabs>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I. La negativa a la información solicitada;</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2E">
      <w:pPr>
        <w:tabs>
          <w:tab w:val="left" w:leader="none" w:pos="7936"/>
        </w:tabs>
        <w:spacing w:after="120" w:before="120" w:lineRule="auto"/>
        <w:ind w:left="851"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2"/>
          <w:szCs w:val="22"/>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sz w:val="22"/>
          <w:szCs w:val="22"/>
        </w:rPr>
      </w:pPr>
      <w:bookmarkStart w:colFirst="0" w:colLast="0" w:name="_heading=h.2et92p0" w:id="7"/>
      <w:bookmarkEnd w:id="7"/>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31">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2">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3">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4">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36">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37">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38">
      <w:pPr>
        <w:spacing w:after="240" w:before="240"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emitido por el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3A">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3B">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C">
      <w:pPr>
        <w:spacing w:after="12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3D">
      <w:pPr>
        <w:spacing w:after="12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3E">
      <w:pPr>
        <w:tabs>
          <w:tab w:val="left" w:leader="none" w:pos="8222"/>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3F">
      <w:pPr>
        <w:tabs>
          <w:tab w:val="left" w:leader="none" w:pos="8222"/>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0">
      <w:pPr>
        <w:tabs>
          <w:tab w:val="left" w:leader="none" w:pos="8222"/>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42">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43">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44">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45">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46">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47">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le proporcione, información consistente en lo siguiente:</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pacing w:before="240" w:line="360" w:lineRule="auto"/>
        <w:ind w:left="720" w:right="90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Plan Colibrí que contiene 100 acciones: </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pacing w:line="360" w:lineRule="auto"/>
        <w:ind w:left="1440" w:right="90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El avance de cada una de las acciones </w:t>
      </w:r>
    </w:p>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spacing w:after="240" w:line="360" w:lineRule="auto"/>
        <w:ind w:left="1440" w:right="90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La fecha de implementación con las evidencias que se cumplió a la fecha. </w:t>
      </w:r>
    </w:p>
    <w:p w:rsidR="00000000" w:rsidDel="00000000" w:rsidP="00000000" w:rsidRDefault="00000000" w:rsidRPr="00000000" w14:paraId="0000004D">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pronunció por conducto del </w:t>
      </w:r>
      <w:r w:rsidDel="00000000" w:rsidR="00000000" w:rsidRPr="00000000">
        <w:rPr>
          <w:rFonts w:ascii="Palatino Linotype" w:cs="Palatino Linotype" w:eastAsia="Palatino Linotype" w:hAnsi="Palatino Linotype"/>
          <w:b w:val="1"/>
          <w:sz w:val="22"/>
          <w:szCs w:val="22"/>
          <w:rtl w:val="0"/>
        </w:rPr>
        <w:t xml:space="preserve">Coordinador de Concertación Sectorial</w:t>
      </w:r>
      <w:r w:rsidDel="00000000" w:rsidR="00000000" w:rsidRPr="00000000">
        <w:rPr>
          <w:rFonts w:ascii="Palatino Linotype" w:cs="Palatino Linotype" w:eastAsia="Palatino Linotype" w:hAnsi="Palatino Linotype"/>
          <w:sz w:val="22"/>
          <w:szCs w:val="22"/>
          <w:rtl w:val="0"/>
        </w:rPr>
        <w:t xml:space="preserve">, quien informó que el “Plan Colibrí, 100 Compromisos por la Movilidad Sostenible” cuenta con un Avance al Primer Semestre (Enero-Julio) del presente año, del 46%, de conformidad con la información obtenida de la evaluación y el seguimiento a las acciones del citado plan que realiza esta Coordinación con las áreas responsables que forman parte de la Secretaría de Movilidad del Estado de México. </w:t>
      </w:r>
    </w:p>
    <w:p w:rsidR="00000000" w:rsidDel="00000000" w:rsidP="00000000" w:rsidRDefault="00000000" w:rsidRPr="00000000" w14:paraId="0000004E">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mismo orden de ideas, informó que el “Plan Colibrí, 100 Compromisos por la Movilidad Sostenible” está conformado por 10 Ejes Transversales para los cuales se tiene el siguiente avance de cada uno, al Primer Trimestre (Enero-Marzo) del presente año: </w:t>
      </w:r>
    </w:p>
    <w:p w:rsidR="00000000" w:rsidDel="00000000" w:rsidP="00000000" w:rsidRDefault="00000000" w:rsidRPr="00000000" w14:paraId="0000004F">
      <w:pPr>
        <w:numPr>
          <w:ilvl w:val="0"/>
          <w:numId w:val="4"/>
        </w:numPr>
        <w:pBdr>
          <w:top w:space="0" w:sz="0" w:val="nil"/>
          <w:left w:space="0" w:sz="0" w:val="nil"/>
          <w:bottom w:space="0" w:sz="0" w:val="nil"/>
          <w:right w:space="0" w:sz="0" w:val="nil"/>
          <w:between w:space="0" w:sz="0" w:val="nil"/>
        </w:pBdr>
        <w:spacing w:before="240"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1.</w:t>
      </w:r>
      <w:r w:rsidDel="00000000" w:rsidR="00000000" w:rsidRPr="00000000">
        <w:rPr>
          <w:rFonts w:ascii="Palatino Linotype" w:cs="Palatino Linotype" w:eastAsia="Palatino Linotype" w:hAnsi="Palatino Linotype"/>
          <w:sz w:val="22"/>
          <w:szCs w:val="22"/>
          <w:rtl w:val="0"/>
        </w:rPr>
        <w:t xml:space="preserve"> Línea Anticorrupción y Participación Ciudadana 67%; </w:t>
      </w:r>
    </w:p>
    <w:p w:rsidR="00000000" w:rsidDel="00000000" w:rsidP="00000000" w:rsidRDefault="00000000" w:rsidRPr="00000000" w14:paraId="00000050">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2.</w:t>
      </w:r>
      <w:r w:rsidDel="00000000" w:rsidR="00000000" w:rsidRPr="00000000">
        <w:rPr>
          <w:rFonts w:ascii="Palatino Linotype" w:cs="Palatino Linotype" w:eastAsia="Palatino Linotype" w:hAnsi="Palatino Linotype"/>
          <w:sz w:val="22"/>
          <w:szCs w:val="22"/>
          <w:rtl w:val="0"/>
        </w:rPr>
        <w:t xml:space="preserve"> Programa de Movilidad Segura del Estado de México 37%; </w:t>
      </w:r>
    </w:p>
    <w:p w:rsidR="00000000" w:rsidDel="00000000" w:rsidP="00000000" w:rsidRDefault="00000000" w:rsidRPr="00000000" w14:paraId="00000051">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3.</w:t>
      </w:r>
      <w:r w:rsidDel="00000000" w:rsidR="00000000" w:rsidRPr="00000000">
        <w:rPr>
          <w:rFonts w:ascii="Palatino Linotype" w:cs="Palatino Linotype" w:eastAsia="Palatino Linotype" w:hAnsi="Palatino Linotype"/>
          <w:sz w:val="22"/>
          <w:szCs w:val="22"/>
          <w:rtl w:val="0"/>
        </w:rPr>
        <w:t xml:space="preserve"> Caracterización y atención de las Problemáticas del Transporte Público 47%; </w:t>
      </w:r>
    </w:p>
    <w:p w:rsidR="00000000" w:rsidDel="00000000" w:rsidP="00000000" w:rsidRDefault="00000000" w:rsidRPr="00000000" w14:paraId="00000052">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4.</w:t>
      </w:r>
      <w:r w:rsidDel="00000000" w:rsidR="00000000" w:rsidRPr="00000000">
        <w:rPr>
          <w:rFonts w:ascii="Palatino Linotype" w:cs="Palatino Linotype" w:eastAsia="Palatino Linotype" w:hAnsi="Palatino Linotype"/>
          <w:sz w:val="22"/>
          <w:szCs w:val="22"/>
          <w:rtl w:val="0"/>
        </w:rPr>
        <w:t xml:space="preserve"> Unificación de la Red de Movilidad Integrada en la ZMVM 35%; </w:t>
      </w:r>
    </w:p>
    <w:p w:rsidR="00000000" w:rsidDel="00000000" w:rsidP="00000000" w:rsidRDefault="00000000" w:rsidRPr="00000000" w14:paraId="00000053">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5</w:t>
      </w:r>
      <w:r w:rsidDel="00000000" w:rsidR="00000000" w:rsidRPr="00000000">
        <w:rPr>
          <w:rFonts w:ascii="Palatino Linotype" w:cs="Palatino Linotype" w:eastAsia="Palatino Linotype" w:hAnsi="Palatino Linotype"/>
          <w:sz w:val="22"/>
          <w:szCs w:val="22"/>
          <w:rtl w:val="0"/>
        </w:rPr>
        <w:t xml:space="preserve">. Reactivación del Plan Ritmo: Red Integrada de Transporte Masivo Ordenado 30%; </w:t>
      </w:r>
    </w:p>
    <w:p w:rsidR="00000000" w:rsidDel="00000000" w:rsidP="00000000" w:rsidRDefault="00000000" w:rsidRPr="00000000" w14:paraId="00000054">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6.</w:t>
      </w:r>
      <w:r w:rsidDel="00000000" w:rsidR="00000000" w:rsidRPr="00000000">
        <w:rPr>
          <w:rFonts w:ascii="Palatino Linotype" w:cs="Palatino Linotype" w:eastAsia="Palatino Linotype" w:hAnsi="Palatino Linotype"/>
          <w:sz w:val="22"/>
          <w:szCs w:val="22"/>
          <w:rtl w:val="0"/>
        </w:rPr>
        <w:t xml:space="preserve"> Impulso a la Movilidad Activa 19%; </w:t>
      </w:r>
    </w:p>
    <w:p w:rsidR="00000000" w:rsidDel="00000000" w:rsidP="00000000" w:rsidRDefault="00000000" w:rsidRPr="00000000" w14:paraId="00000055">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7.</w:t>
      </w:r>
      <w:r w:rsidDel="00000000" w:rsidR="00000000" w:rsidRPr="00000000">
        <w:rPr>
          <w:rFonts w:ascii="Palatino Linotype" w:cs="Palatino Linotype" w:eastAsia="Palatino Linotype" w:hAnsi="Palatino Linotype"/>
          <w:sz w:val="22"/>
          <w:szCs w:val="22"/>
          <w:rtl w:val="0"/>
        </w:rPr>
        <w:t xml:space="preserve"> Vialidades y Movilidad Motorizada 33%; </w:t>
      </w:r>
    </w:p>
    <w:p w:rsidR="00000000" w:rsidDel="00000000" w:rsidP="00000000" w:rsidRDefault="00000000" w:rsidRPr="00000000" w14:paraId="00000056">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8.</w:t>
      </w:r>
      <w:r w:rsidDel="00000000" w:rsidR="00000000" w:rsidRPr="00000000">
        <w:rPr>
          <w:rFonts w:ascii="Palatino Linotype" w:cs="Palatino Linotype" w:eastAsia="Palatino Linotype" w:hAnsi="Palatino Linotype"/>
          <w:sz w:val="22"/>
          <w:szCs w:val="22"/>
          <w:rtl w:val="0"/>
        </w:rPr>
        <w:t xml:space="preserve"> Alinear el Marco Institucional y Jurídico de la Movilidad 56%; </w:t>
      </w:r>
    </w:p>
    <w:p w:rsidR="00000000" w:rsidDel="00000000" w:rsidP="00000000" w:rsidRDefault="00000000" w:rsidRPr="00000000" w14:paraId="00000057">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9.</w:t>
      </w:r>
      <w:r w:rsidDel="00000000" w:rsidR="00000000" w:rsidRPr="00000000">
        <w:rPr>
          <w:rFonts w:ascii="Palatino Linotype" w:cs="Palatino Linotype" w:eastAsia="Palatino Linotype" w:hAnsi="Palatino Linotype"/>
          <w:sz w:val="22"/>
          <w:szCs w:val="22"/>
          <w:rtl w:val="0"/>
        </w:rPr>
        <w:t xml:space="preserve"> Perspectiva de Género e Interseccionalidad de las Personas 69%; y, </w:t>
      </w:r>
    </w:p>
    <w:p w:rsidR="00000000" w:rsidDel="00000000" w:rsidP="00000000" w:rsidRDefault="00000000" w:rsidRPr="00000000" w14:paraId="00000058">
      <w:pPr>
        <w:numPr>
          <w:ilvl w:val="0"/>
          <w:numId w:val="4"/>
        </w:numPr>
        <w:pBdr>
          <w:top w:space="0" w:sz="0" w:val="nil"/>
          <w:left w:space="0" w:sz="0" w:val="nil"/>
          <w:bottom w:space="0" w:sz="0" w:val="nil"/>
          <w:right w:space="0" w:sz="0" w:val="nil"/>
          <w:between w:space="0" w:sz="0" w:val="nil"/>
        </w:pBdr>
        <w:spacing w:after="240"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10.</w:t>
      </w:r>
      <w:r w:rsidDel="00000000" w:rsidR="00000000" w:rsidRPr="00000000">
        <w:rPr>
          <w:rFonts w:ascii="Palatino Linotype" w:cs="Palatino Linotype" w:eastAsia="Palatino Linotype" w:hAnsi="Palatino Linotype"/>
          <w:sz w:val="22"/>
          <w:szCs w:val="22"/>
          <w:rtl w:val="0"/>
        </w:rPr>
        <w:t xml:space="preserve"> Desarrollo Sostenible, Eficiencia Energética y Medio Ambiente 68%. </w:t>
      </w:r>
    </w:p>
    <w:p w:rsidR="00000000" w:rsidDel="00000000" w:rsidP="00000000" w:rsidRDefault="00000000" w:rsidRPr="00000000" w14:paraId="00000059">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relación a la solicitud de evidencias sobre el cumplimiento, señaló que dicha Coordinación conforme a las atribuciones conferidas en Ley, únicamente genera el documento de </w:t>
      </w:r>
      <w:r w:rsidDel="00000000" w:rsidR="00000000" w:rsidRPr="00000000">
        <w:rPr>
          <w:rFonts w:ascii="Palatino Linotype" w:cs="Palatino Linotype" w:eastAsia="Palatino Linotype" w:hAnsi="Palatino Linotype"/>
          <w:i w:val="1"/>
          <w:sz w:val="22"/>
          <w:szCs w:val="22"/>
          <w:rtl w:val="0"/>
        </w:rPr>
        <w:t xml:space="preserve">“Reporte Semestral Enero-Julio 2024”, </w:t>
      </w:r>
      <w:r w:rsidDel="00000000" w:rsidR="00000000" w:rsidRPr="00000000">
        <w:rPr>
          <w:rFonts w:ascii="Palatino Linotype" w:cs="Palatino Linotype" w:eastAsia="Palatino Linotype" w:hAnsi="Palatino Linotype"/>
          <w:sz w:val="22"/>
          <w:szCs w:val="22"/>
          <w:rtl w:val="0"/>
        </w:rPr>
        <w:t xml:space="preserve">mismo que adjunta a su respuesta, precisando que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él se detalla el porcentaje de avance de cada una de las 100 Acciones que conforman el referido Plan Colibrí. </w:t>
      </w:r>
    </w:p>
    <w:p w:rsidR="00000000" w:rsidDel="00000000" w:rsidP="00000000" w:rsidRDefault="00000000" w:rsidRPr="00000000" w14:paraId="0000005A">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mencionar que el “Plan Colibrí, 100 compromisos por la movilidad sostenible” se encuentra publicado en la página oficial de la Secretaría de Movilidad del Estado de México, a través del siguiente link, donde encontrara el contenido del mismo, la referencia y nombre de cada una de las 100 acciones que conforman dicho Plan: </w:t>
      </w:r>
      <w:hyperlink r:id="rId9">
        <w:r w:rsidDel="00000000" w:rsidR="00000000" w:rsidRPr="00000000">
          <w:rPr>
            <w:rFonts w:ascii="Palatino Linotype" w:cs="Palatino Linotype" w:eastAsia="Palatino Linotype" w:hAnsi="Palatino Linotype"/>
            <w:sz w:val="22"/>
            <w:szCs w:val="22"/>
            <w:u w:val="single"/>
            <w:rtl w:val="0"/>
          </w:rPr>
          <w:t xml:space="preserve">https://smovilidad.edomex.gob.mx/sites/smovilidad.edomex.gob.mx/files/files/pdf/Colibri/100%20COMPROMISOS%20PARA%20LA%20MOVILIDAD%20SOSTENIBLE%20PLAN%COLIBRI%CC%81_TCARTA%20(2).pdf</w:t>
        </w:r>
      </w:hyperlink>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5B">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Conocida la respuesta por la persona solicitante, al no estar conforme con los términos de la misma, interpuso el recurso de revisión que nos ocupa, mediante el cual se inconformó medularmente por la negativa de la información solicitada. </w:t>
      </w:r>
    </w:p>
    <w:p w:rsidR="00000000" w:rsidDel="00000000" w:rsidP="00000000" w:rsidRDefault="00000000" w:rsidRPr="00000000" w14:paraId="0000005C">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fue omisa en realizar alguna manifestación, mientras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rindió su informe justificado, en el que ratificó su respuesta inicial. </w:t>
      </w:r>
    </w:p>
    <w:p w:rsidR="00000000" w:rsidDel="00000000" w:rsidP="00000000" w:rsidRDefault="00000000" w:rsidRPr="00000000" w14:paraId="0000005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Expuesto lo anterior, este Organismo Garante considera importante precisar que la Secretaría de Movilidad es la dependencia encargada de planear, formular, dirigir, coordinar, gestionar, evaluar, ejecutar y supervisar las políticas, programas, proyectos y estudios para el desarrollo del sistema integral de movilidad, incluyendo el servicio público de transporte de jurisdicción estatal, sus servicios conexos y los sistemas de transporte masivo o de alta capacidad, así como el desarrollo y administración de la infraestructura vial primaria y de la regulación de las comunicaciones de jurisdicción local. </w:t>
      </w:r>
    </w:p>
    <w:p w:rsidR="00000000" w:rsidDel="00000000" w:rsidP="00000000" w:rsidRDefault="00000000" w:rsidRPr="00000000" w14:paraId="0000005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entrando al estudio de la naturaleza, resulta conveniente señalar que la Secretaría de Movilidad presentó el Plan Colibrí que contiene 100 compromisos para cambiar los paradigmas de la movilidad del Estado de México con la participación de los sectores públicos, social y privado, bajo los principios de solidaridad, libertad, equidad, dignidad y justicia social. </w:t>
      </w:r>
    </w:p>
    <w:p w:rsidR="00000000" w:rsidDel="00000000" w:rsidP="00000000" w:rsidRDefault="00000000" w:rsidRPr="00000000" w14:paraId="0000006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ello, se advierte que dicho Plan contiene acciones prioritarias que buscan transformar la movilidad en el Estado de México, cuya visión es alinear las acciones de los gobiernos para lograr una movilidad sostenible, con un sistema de transporte eficiente y seguro, así como con infraestructura e instalaciones en que se dan los desplazamientos con seguridad y accesibilidad universal para mejorar la calidad de vida del pueblo mexiquense, traduciéndose en la dignificación de la vida y su felicidad.</w:t>
      </w:r>
    </w:p>
    <w:p w:rsidR="00000000" w:rsidDel="00000000" w:rsidP="00000000" w:rsidRDefault="00000000" w:rsidRPr="00000000" w14:paraId="0000006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el referido Plan Colibrí propone una serie de acciones estratégicas, que parten de la actualización del Programa de Movilidad del Estado de México; cuyo objetivo general será la integración de los Planes de Movilidad Municipales y/o Metropolitanos, a fin de garantizar el derecho humano a la movilidad; mediante la promoción, diseño, ejecución, eficiencia, fortalecimiento y efectividad, de los modos de transporte público así como la peatonalización y el ciclismo como alternativas sostenibles y seguras de movilidad. Con la creación de un entorno de espacios urbanos y rurales inclusivos y seguros. En ese sentido, estas series de acciones se encuentran contempladas en 10 ejes, los cuales contemplan los siguientes compromisos: </w:t>
      </w:r>
    </w:p>
    <w:p w:rsidR="00000000" w:rsidDel="00000000" w:rsidP="00000000" w:rsidRDefault="00000000" w:rsidRPr="00000000" w14:paraId="0000006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Eje 1. Línea Anticorrupción y Participación Ciudadana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6">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Establecer un canal de comunicación, “El Colibrí línea anticorrupción” mediante el Chatbot, para atender de forma eficaz las quejas, solicitudes y sugerencias ciudadanas que se presenten en el Sistema Integral de Movilidad y unidades de transporte público que puedan constituir un delito (de conformidad con lo establecido en el artículo 45 de la Ley de Movilidad del Estado de México). </w:t>
      </w:r>
    </w:p>
    <w:p w:rsidR="00000000" w:rsidDel="00000000" w:rsidP="00000000" w:rsidRDefault="00000000" w:rsidRPr="00000000" w14:paraId="00000067">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Crear páginas webs oficiales en redes sociales y una línea de atención telefónica exclusiva para recibir peticiones en materia de movilidad.</w:t>
      </w:r>
    </w:p>
    <w:p w:rsidR="00000000" w:rsidDel="00000000" w:rsidP="00000000" w:rsidRDefault="00000000" w:rsidRPr="00000000" w14:paraId="00000068">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Realizar audiencias ciudadanas, con el objetivo de escuchar a la ciudadanía de forma directa y atender sus demandas.</w:t>
      </w:r>
    </w:p>
    <w:p w:rsidR="00000000" w:rsidDel="00000000" w:rsidP="00000000" w:rsidRDefault="00000000" w:rsidRPr="00000000" w14:paraId="00000069">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Eje 2. Programa de Movilidad Segura del Estado de México </w:t>
      </w:r>
    </w:p>
    <w:p w:rsidR="00000000" w:rsidDel="00000000" w:rsidP="00000000" w:rsidRDefault="00000000" w:rsidRPr="00000000" w14:paraId="0000006A">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Reducir los índices de accidentes viales.</w:t>
      </w:r>
    </w:p>
    <w:p w:rsidR="00000000" w:rsidDel="00000000" w:rsidP="00000000" w:rsidRDefault="00000000" w:rsidRPr="00000000" w14:paraId="0000006B">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Generar un diagnóstico de los recursos técnicos, humanos y financieros disponibles al interior de la Secretaría, que permita consolidar proyectos y acciones en materia de Movilidad.</w:t>
      </w:r>
    </w:p>
    <w:p w:rsidR="00000000" w:rsidDel="00000000" w:rsidP="00000000" w:rsidRDefault="00000000" w:rsidRPr="00000000" w14:paraId="0000006C">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Elaborar un diagnóstico que permita elaborar un mapa de riesgo, de las zonas en donde se concentra la mayor incidencia delictiva en la vía pública y transporte; para que en colaboración con la Secretaría de Seguridad del Estado de México, se establezcan acciones inmediatas que permitan inhibir los hechos delictivos.</w:t>
      </w:r>
    </w:p>
    <w:p w:rsidR="00000000" w:rsidDel="00000000" w:rsidP="00000000" w:rsidRDefault="00000000" w:rsidRPr="00000000" w14:paraId="0000006D">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Proponer y coordinar soluciones para atender la incidencia delictiva en el transporte público, e involucrar a las dependencias para su atención de manera transversal. </w:t>
      </w:r>
    </w:p>
    <w:p w:rsidR="00000000" w:rsidDel="00000000" w:rsidP="00000000" w:rsidRDefault="00000000" w:rsidRPr="00000000" w14:paraId="0000006E">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Definir las acciones del trabajo interinstitucional con autoridades federales, estatales y municipales, así como retomar los convenios de coordinación metropolitanos (COMETRAVI).</w:t>
      </w:r>
    </w:p>
    <w:p w:rsidR="00000000" w:rsidDel="00000000" w:rsidP="00000000" w:rsidRDefault="00000000" w:rsidRPr="00000000" w14:paraId="0000006F">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Gestionar con la Secretaría de Seguridad y coadyuvar con la Fiscalía General de Justicia del Estado de México para realizar los operativos “traslado seguro”, mediante el patrullaje en los principales focos rojos y puntos aleatorios para la protección de usuarios y operadores.</w:t>
      </w:r>
    </w:p>
    <w:p w:rsidR="00000000" w:rsidDel="00000000" w:rsidP="00000000" w:rsidRDefault="00000000" w:rsidRPr="00000000" w14:paraId="00000070">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Gestionar con la Secretaría de Seguridad del Estado de México los operativos de supervisión para la operación del transporte público concesionado.</w:t>
      </w:r>
    </w:p>
    <w:p w:rsidR="00000000" w:rsidDel="00000000" w:rsidP="00000000" w:rsidRDefault="00000000" w:rsidRPr="00000000" w14:paraId="00000071">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Fortalecer los sistemas de videovigilancia existentes dentro de las unidades de transporte público y centros de transferencia modal y la coordinación con el C5 del Estado de México. De igual manera ampliar los sistemas de videovigilancia.</w:t>
      </w:r>
    </w:p>
    <w:p w:rsidR="00000000" w:rsidDel="00000000" w:rsidP="00000000" w:rsidRDefault="00000000" w:rsidRPr="00000000" w14:paraId="00000072">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Crear los senderos "Camina libre, camina segura", con la mejora y ampliación de la infraestructura peatonal, iluminación, limpieza y equipamiento urbano.</w:t>
      </w:r>
    </w:p>
    <w:p w:rsidR="00000000" w:rsidDel="00000000" w:rsidP="00000000" w:rsidRDefault="00000000" w:rsidRPr="00000000" w14:paraId="00000073">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Integrar el Gabinete para la Seguridad Vial, a través de la firma de un convenio interinstitucional entre la Secretaría General de Gobierno, la Secretaría de Seguridad, la Fiscalía General de Justicia del Estado de México, la Secretaría de Ecología y la Secretaría de las Mujeres, que tenga por objeto generar mecanismos de coordinación para la mejora y aplicación de medidas de seguridad en el transporte público.</w:t>
      </w:r>
    </w:p>
    <w:p w:rsidR="00000000" w:rsidDel="00000000" w:rsidP="00000000" w:rsidRDefault="00000000" w:rsidRPr="00000000" w14:paraId="00000074">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Participar de manera periódica en la “Mesa de Coordinación para la Construcción de la Paz”, para informar el estado que guarda el sistema de movilidad mexiquense.</w:t>
      </w:r>
    </w:p>
    <w:p w:rsidR="00000000" w:rsidDel="00000000" w:rsidP="00000000" w:rsidRDefault="00000000" w:rsidRPr="00000000" w14:paraId="00000075">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Dar seguimiento y fortalecimiento al Observatorio Ciudadano de Movilidad del Estado de México como un órgano colegiado de opinión y consulta para coadyuvar con la Secretaría de Movilidad para la planeación de las políticas públicas encaminadas a construir una movilidad sostenible que brinde calidad a la ciudadanía.</w:t>
      </w:r>
    </w:p>
    <w:p w:rsidR="00000000" w:rsidDel="00000000" w:rsidP="00000000" w:rsidRDefault="00000000" w:rsidRPr="00000000" w14:paraId="00000076">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Eje 3. Caracterización y atención de las Problemáticas del Transporte Público </w:t>
      </w:r>
    </w:p>
    <w:p w:rsidR="00000000" w:rsidDel="00000000" w:rsidP="00000000" w:rsidRDefault="00000000" w:rsidRPr="00000000" w14:paraId="00000077">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Efectuar Encuestas de Movilidad y Transporte Urbano de conformidad con la Estrategía Nacional de Movilidad y Seguridad Vial 2023-2042 a los usuarios del transporte público para identificar las problemáticas que viven a diario y dar soluciones de forma local.</w:t>
      </w:r>
    </w:p>
    <w:p w:rsidR="00000000" w:rsidDel="00000000" w:rsidP="00000000" w:rsidRDefault="00000000" w:rsidRPr="00000000" w14:paraId="00000078">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Aplicar una encuesta para las personas operadoras del transporte público y concesionarios, identificando las problemáticas a las que se enfrentan.</w:t>
      </w:r>
    </w:p>
    <w:p w:rsidR="00000000" w:rsidDel="00000000" w:rsidP="00000000" w:rsidRDefault="00000000" w:rsidRPr="00000000" w14:paraId="00000079">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Actualizar la base de datos de todas las rutas y concesiones del Estado de México (el número de operadores y los elementos de identificación, cromática, cortinas, cornetas de sus unidades).</w:t>
      </w:r>
    </w:p>
    <w:p w:rsidR="00000000" w:rsidDel="00000000" w:rsidP="00000000" w:rsidRDefault="00000000" w:rsidRPr="00000000" w14:paraId="0000007A">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Mapear las rutas de transporte concesionado con la base de datos actualizada del Estado de México.</w:t>
      </w:r>
    </w:p>
    <w:p w:rsidR="00000000" w:rsidDel="00000000" w:rsidP="00000000" w:rsidRDefault="00000000" w:rsidRPr="00000000" w14:paraId="0000007B">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Establecer mesas de trabajo regionales con concesionarios para el diálogo y participación de las y los operadores en el Programa de Movilidad del Estado de México.</w:t>
      </w:r>
    </w:p>
    <w:p w:rsidR="00000000" w:rsidDel="00000000" w:rsidP="00000000" w:rsidRDefault="00000000" w:rsidRPr="00000000" w14:paraId="0000007C">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Reestructurar las rutas de transporte a través de las verificaciones de las autorizaciones de los derroteros para la prestación del servicio.</w:t>
      </w:r>
    </w:p>
    <w:p w:rsidR="00000000" w:rsidDel="00000000" w:rsidP="00000000" w:rsidRDefault="00000000" w:rsidRPr="00000000" w14:paraId="0000007D">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Modernizar las unidades en las rutas con mayor demanda, con mayor capacidad, de piso bajo y amigables con el medio ambiente; permitiendo el pago con efectivo y billeteras electrónicas, así como las tarjetas del Mexipase.</w:t>
      </w:r>
    </w:p>
    <w:p w:rsidR="00000000" w:rsidDel="00000000" w:rsidP="00000000" w:rsidRDefault="00000000" w:rsidRPr="00000000" w14:paraId="0000007E">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Implementar un programa de profesionalización y actualización de operadoras y administrativos de los sistemas de transporte público para su certificación.</w:t>
      </w:r>
    </w:p>
    <w:p w:rsidR="00000000" w:rsidDel="00000000" w:rsidP="00000000" w:rsidRDefault="00000000" w:rsidRPr="00000000" w14:paraId="0000007F">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Implementar un programa para el acompañamiento y profesionalización organizacional de concesionarios y el impulso a campañas de autocuidado a los usuarios de transporte público. </w:t>
      </w:r>
    </w:p>
    <w:p w:rsidR="00000000" w:rsidDel="00000000" w:rsidP="00000000" w:rsidRDefault="00000000" w:rsidRPr="00000000" w14:paraId="00000080">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Elaborar una base de datos de operadores y administrativos certificados.</w:t>
      </w:r>
    </w:p>
    <w:p w:rsidR="00000000" w:rsidDel="00000000" w:rsidP="00000000" w:rsidRDefault="00000000" w:rsidRPr="00000000" w14:paraId="00000081">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Eje 4. Unificación de la Red de Movilidad Integrada en la Zona Metropolitana del Valle de México (ZMVM).  </w:t>
      </w:r>
    </w:p>
    <w:p w:rsidR="00000000" w:rsidDel="00000000" w:rsidP="00000000" w:rsidRDefault="00000000" w:rsidRPr="00000000" w14:paraId="00000082">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Firmar el convenio para unificar el método de pago, imagen y operación de la red de Movilidad Integrada en la ZMVM.</w:t>
      </w:r>
    </w:p>
    <w:p w:rsidR="00000000" w:rsidDel="00000000" w:rsidP="00000000" w:rsidRDefault="00000000" w:rsidRPr="00000000" w14:paraId="00000083">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Coordinar los sistemas Mexibús y Metrobús, Mexicable con Cablebús y Mexipuertos con los CETRAM.</w:t>
      </w:r>
    </w:p>
    <w:p w:rsidR="00000000" w:rsidDel="00000000" w:rsidP="00000000" w:rsidRDefault="00000000" w:rsidRPr="00000000" w14:paraId="00000084">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Integrar a Trenes Suburbanos y Metromex para formar parte de la Movilidad Integrada.</w:t>
      </w:r>
    </w:p>
    <w:p w:rsidR="00000000" w:rsidDel="00000000" w:rsidP="00000000" w:rsidRDefault="00000000" w:rsidRPr="00000000" w14:paraId="00000085">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Gestionar nuevos corredores metropolitanos permanentes para conectar las líneas del Mexibús del Estado de México y Metrobús de la CDMX: Ecatepec - Río de los Remedios, Tecámac, - La Raza y Velódromo - Chimalhuacán</w:t>
      </w:r>
    </w:p>
    <w:p w:rsidR="00000000" w:rsidDel="00000000" w:rsidP="00000000" w:rsidRDefault="00000000" w:rsidRPr="00000000" w14:paraId="00000086">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Modernizar las líneas del Mexibús con la mejora integral del servicio en instalaciones y su entorno: iluminación, infraestructura, señalética, limpieza, así como en el sistema de recaudo y en la mejora de la flota vehicular.</w:t>
      </w:r>
    </w:p>
    <w:p w:rsidR="00000000" w:rsidDel="00000000" w:rsidP="00000000" w:rsidRDefault="00000000" w:rsidRPr="00000000" w14:paraId="00000087">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Gestionar la posibilidad de la gratuidad para los adultos mayores, personas en situación de discapacidad y niños menores de 3 años.</w:t>
      </w:r>
    </w:p>
    <w:p w:rsidR="00000000" w:rsidDel="00000000" w:rsidP="00000000" w:rsidRDefault="00000000" w:rsidRPr="00000000" w14:paraId="00000088">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Brindar cobertura WIFI en terminales y estaciones de mayor demanda, así como en autobuses de Mexibús para mejorar el alcance al derecho a la información de forma gratuita.</w:t>
      </w:r>
    </w:p>
    <w:p w:rsidR="00000000" w:rsidDel="00000000" w:rsidP="00000000" w:rsidRDefault="00000000" w:rsidRPr="00000000" w14:paraId="00000089">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Eje 5. Reactivación del Plan Ritmo: Red Integrada de Transporte Masivo Ordenado </w:t>
      </w:r>
    </w:p>
    <w:p w:rsidR="00000000" w:rsidDel="00000000" w:rsidP="00000000" w:rsidRDefault="00000000" w:rsidRPr="00000000" w14:paraId="0000008A">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Expedir el acuerdo por el que se señalan los elementos de identificación de los vehículos destinados al servicio público del transporte en sus diversas modalidades “Los Colibríes”. </w:t>
      </w:r>
    </w:p>
    <w:p w:rsidR="00000000" w:rsidDel="00000000" w:rsidP="00000000" w:rsidRDefault="00000000" w:rsidRPr="00000000" w14:paraId="0000008B">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Realizar un estudio y evaluar el proyecto para la implementación de corredores naturales Colibrís para su ordenamiento con paradas definidas. </w:t>
      </w:r>
    </w:p>
    <w:p w:rsidR="00000000" w:rsidDel="00000000" w:rsidP="00000000" w:rsidRDefault="00000000" w:rsidRPr="00000000" w14:paraId="0000008C">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Finalizar las obras del Trolebús Chalco - Santa Martha, a través del diálogo de las empresas concesionarias afectadas por la ruta y con los corredores involucrados para el alcance de su operatividad a cargo del Gobierno de la CDMX.</w:t>
      </w:r>
    </w:p>
    <w:p w:rsidR="00000000" w:rsidDel="00000000" w:rsidP="00000000" w:rsidRDefault="00000000" w:rsidRPr="00000000" w14:paraId="0000008D">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Analizar la implementación de rutas alimentadoras a las terminales y estaciones de la línea 11 del Trolebús Chalco - Santa Martha en coordinación con el Gobierno de la CDMX.</w:t>
      </w:r>
    </w:p>
    <w:p w:rsidR="00000000" w:rsidDel="00000000" w:rsidP="00000000" w:rsidRDefault="00000000" w:rsidRPr="00000000" w14:paraId="0000008E">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Arrancar el proyecto ejecutivo para la segunda etapa de modernización del CETRAM Cuatro Caminos.</w:t>
      </w:r>
    </w:p>
    <w:p w:rsidR="00000000" w:rsidDel="00000000" w:rsidP="00000000" w:rsidRDefault="00000000" w:rsidRPr="00000000" w14:paraId="0000008F">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Iniciar la conectividad del Parque Ecológico Lago de Texcoco, con la creación de 3 rutas Colibríes (Rutas de Autobuses Concesionados) que partirán de Ciudad Azteca, Pantitlán y Tezoyuca - Texcoco.</w:t>
      </w:r>
    </w:p>
    <w:p w:rsidR="00000000" w:rsidDel="00000000" w:rsidP="00000000" w:rsidRDefault="00000000" w:rsidRPr="00000000" w14:paraId="00000090">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Planear ocho corredores colibrí, alimentadores al Tren “El Insurgente” México - Toluca, que se constituyen de 2 rutas alimentadoras por cada estación: Zinacantepec, Toluca Centro, Metepec y Lerma. Además de planear 10 corredores colibrí adicionales para la ZMVM.</w:t>
      </w:r>
    </w:p>
    <w:p w:rsidR="00000000" w:rsidDel="00000000" w:rsidP="00000000" w:rsidRDefault="00000000" w:rsidRPr="00000000" w14:paraId="00000091">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Realizar los estudios de prefactibilidad y análisis costo beneficio para la primera red de Metro en la capital de Toluca, el Metroluca (Metromex).</w:t>
      </w:r>
    </w:p>
    <w:p w:rsidR="00000000" w:rsidDel="00000000" w:rsidP="00000000" w:rsidRDefault="00000000" w:rsidRPr="00000000" w14:paraId="00000092">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Crear la Línea 3 del Sistema Mexicable en Naucalpan de Juárez que conectará el centro de Transferencia Modal de Cuatro Caminos a Minas de San Martín. </w:t>
      </w:r>
    </w:p>
    <w:p w:rsidR="00000000" w:rsidDel="00000000" w:rsidP="00000000" w:rsidRDefault="00000000" w:rsidRPr="00000000" w14:paraId="00000093">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Iniciar el proyecto para la primera línea DRT (Digital Rail Transit) en el Valle de México, de Múzquiz al Parqué Ecológico Lago de Texcoco, bajo la imágen de la Movilidad Integrada como una nueva línea de Tren Ligero.</w:t>
      </w:r>
    </w:p>
    <w:p w:rsidR="00000000" w:rsidDel="00000000" w:rsidP="00000000" w:rsidRDefault="00000000" w:rsidRPr="00000000" w14:paraId="00000094">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Finalizar la obra del Tren Suburbano Lechería - AIFA y planificar rutas colibrís alimentadoras a las estaciones del tren. </w:t>
      </w:r>
    </w:p>
    <w:p w:rsidR="00000000" w:rsidDel="00000000" w:rsidP="00000000" w:rsidRDefault="00000000" w:rsidRPr="00000000" w14:paraId="00000095">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Instalar 10 cicloestaciones dentro del Parque Ecológico Lago de Texcoco como parte de una red de ciclovías dentro del mismo. </w:t>
      </w:r>
    </w:p>
    <w:p w:rsidR="00000000" w:rsidDel="00000000" w:rsidP="00000000" w:rsidRDefault="00000000" w:rsidRPr="00000000" w14:paraId="00000096">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Diseñar nuevos corredores naturales para en la ZMVM, Toluca y centros regionales como Amecameca, Valle de Bravo, Atlacomulco.</w:t>
      </w:r>
    </w:p>
    <w:p w:rsidR="00000000" w:rsidDel="00000000" w:rsidP="00000000" w:rsidRDefault="00000000" w:rsidRPr="00000000" w14:paraId="00000097">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Construir una línea basada en DRT en la ZMVM.  </w:t>
      </w:r>
    </w:p>
    <w:p w:rsidR="00000000" w:rsidDel="00000000" w:rsidP="00000000" w:rsidRDefault="00000000" w:rsidRPr="00000000" w14:paraId="00000098">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Realizar una encuesta para la posibilidad de construir una línea basada en DRT con ruta Politécnico – Tlalnepantla – Atizapán.</w:t>
      </w:r>
    </w:p>
    <w:p w:rsidR="00000000" w:rsidDel="00000000" w:rsidP="00000000" w:rsidRDefault="00000000" w:rsidRPr="00000000" w14:paraId="00000099">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Retomar los análisis costo beneficio del proyecto de Trolebús a Chalco para analizar la puesta en marcha de la línea de Chalco - Tláhuac en coordinación con el gobierno de la Ciudad de México.</w:t>
      </w:r>
    </w:p>
    <w:p w:rsidR="00000000" w:rsidDel="00000000" w:rsidP="00000000" w:rsidRDefault="00000000" w:rsidRPr="00000000" w14:paraId="0000009A">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Eje 6. Impulso a la Movilidad Activa </w:t>
      </w:r>
    </w:p>
    <w:p w:rsidR="00000000" w:rsidDel="00000000" w:rsidP="00000000" w:rsidRDefault="00000000" w:rsidRPr="00000000" w14:paraId="0000009B">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Reactivar las rodadas dominicales semanales y en días festivos o especiales, en las ciclovías de ZMVT y ZMVM.</w:t>
      </w:r>
    </w:p>
    <w:p w:rsidR="00000000" w:rsidDel="00000000" w:rsidP="00000000" w:rsidRDefault="00000000" w:rsidRPr="00000000" w14:paraId="0000009C">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Mejorar la red ciclista existente y ampliación de la red en los principales municipios de mayor uso conectando con estaciones de transporte público.</w:t>
      </w:r>
    </w:p>
    <w:p w:rsidR="00000000" w:rsidDel="00000000" w:rsidP="00000000" w:rsidRDefault="00000000" w:rsidRPr="00000000" w14:paraId="0000009D">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Dar mantenimiento y mejorar la ciclovía de Avenida Central, mejorar la conectividad con las estaciones de Metro aledañas, los accesos, servicios y seguridad.</w:t>
      </w:r>
    </w:p>
    <w:p w:rsidR="00000000" w:rsidDel="00000000" w:rsidP="00000000" w:rsidRDefault="00000000" w:rsidRPr="00000000" w14:paraId="0000009E">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Construir una calzada peatonal que corra de la estación metro Múzquiz hasta el Parque Ecológico Lago de Texcoco, adecuada con un andador peatonal y ciclovía.</w:t>
      </w:r>
    </w:p>
    <w:p w:rsidR="00000000" w:rsidDel="00000000" w:rsidP="00000000" w:rsidRDefault="00000000" w:rsidRPr="00000000" w14:paraId="0000009F">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Limpiar e iluminar los principales paraderos con mayor incidencia de riesgo dentro del territorio mexiquense, permitiendo una movilidad peatonal intermodal más segura.</w:t>
      </w:r>
    </w:p>
    <w:p w:rsidR="00000000" w:rsidDel="00000000" w:rsidP="00000000" w:rsidRDefault="00000000" w:rsidRPr="00000000" w14:paraId="000000A0">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Crear los corredores “Camina libre, camina segura” en los principales puntos rojos con mayor riesgo a la movilidad peatonal de la entidad.</w:t>
      </w:r>
    </w:p>
    <w:p w:rsidR="00000000" w:rsidDel="00000000" w:rsidP="00000000" w:rsidRDefault="00000000" w:rsidRPr="00000000" w14:paraId="000000A1">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Instalar los nuevos bici estacionamientos en estaciones del Metromex, Mexibús o Mexicable en el territorio del Estado de México.</w:t>
      </w:r>
    </w:p>
    <w:p w:rsidR="00000000" w:rsidDel="00000000" w:rsidP="00000000" w:rsidRDefault="00000000" w:rsidRPr="00000000" w14:paraId="000000A2">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Planificar los nuevos biciestacionamientos en estaciones del Metroluca y el Tren “El Insurgente”.</w:t>
      </w:r>
    </w:p>
    <w:p w:rsidR="00000000" w:rsidDel="00000000" w:rsidP="00000000" w:rsidRDefault="00000000" w:rsidRPr="00000000" w14:paraId="000000A3">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Mejorar los accesos a las estaciones del Mexibús y Mexicable en el Estado de México permitiendo una accesibilidad universal y máxima interconexión con cruces peatonales seguros a nivel y ampliación de banquetas.</w:t>
      </w:r>
    </w:p>
    <w:p w:rsidR="00000000" w:rsidDel="00000000" w:rsidP="00000000" w:rsidRDefault="00000000" w:rsidRPr="00000000" w14:paraId="000000A4">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Elaborar el Plan Maestro de Ciclovías “Colibrí sobre ruedas” para la ZMVM y ZMVT que se implementará principalmente en los municipios de Toluca, Cuautitlán Izcalli, Ecatepec de Morelos, Chimalhuacán, Nezahualcóyotl, Lerma y San Mateo Atenco.</w:t>
      </w:r>
    </w:p>
    <w:p w:rsidR="00000000" w:rsidDel="00000000" w:rsidP="00000000" w:rsidRDefault="00000000" w:rsidRPr="00000000" w14:paraId="000000A5">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Incorporar al Plan Maestro de Ciclovías “Colibrí sobre ruedas” infraestructura para vehículos no motorizados: carriles confinados y compartidos (unidireccionales-bidireccionales), señalamiento horizontal, vertical, iluminación, semaforización y mejoramiento urbano seguros.</w:t>
      </w:r>
    </w:p>
    <w:p w:rsidR="00000000" w:rsidDel="00000000" w:rsidP="00000000" w:rsidRDefault="00000000" w:rsidRPr="00000000" w14:paraId="000000A6">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Rehabilitar, mejorar, limpiar e iluminar los bajo puentes, túneles y puentes peatonales.</w:t>
      </w:r>
    </w:p>
    <w:p w:rsidR="00000000" w:rsidDel="00000000" w:rsidP="00000000" w:rsidRDefault="00000000" w:rsidRPr="00000000" w14:paraId="000000A7">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Ampliar las banquetas, camellones y dar paso a la reforestación con especies nativas.</w:t>
      </w:r>
    </w:p>
    <w:p w:rsidR="00000000" w:rsidDel="00000000" w:rsidP="00000000" w:rsidRDefault="00000000" w:rsidRPr="00000000" w14:paraId="000000A8">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Considerar la eliminación o atenuación de barreras físicas parala sustitución de puentes peatonales por pasos seguros, conforme a la pirámide de la movilidad.</w:t>
      </w:r>
    </w:p>
    <w:p w:rsidR="00000000" w:rsidDel="00000000" w:rsidP="00000000" w:rsidRDefault="00000000" w:rsidRPr="00000000" w14:paraId="000000A9">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Impulsar obra pública asegurando que las vialidades afectadas gocen de las características básicas para una movilidad peatonal segura, con aceras amplias y cruces peatonales a nivel con semáforos visual y auditivo.</w:t>
      </w:r>
    </w:p>
    <w:p w:rsidR="00000000" w:rsidDel="00000000" w:rsidP="00000000" w:rsidRDefault="00000000" w:rsidRPr="00000000" w14:paraId="000000AA">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Eje 7. Vialidades y Movilidad Motorizada </w:t>
      </w:r>
    </w:p>
    <w:p w:rsidR="00000000" w:rsidDel="00000000" w:rsidP="00000000" w:rsidRDefault="00000000" w:rsidRPr="00000000" w14:paraId="000000AB">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Crear el Manual de Estandarización para la Red Vial, Intersecciones y Andadores (MERVIA) para que se aplique a nivel estatal, priorizando al peatón y a las y los ciclistas a través de infraestructura segura, urbanística, rotondas e intersecciones seguras, así como reforestación en banquetas o camellones, para un mayor ordenamiento vehicular y mejora en la seguridad en todos los tipos de movilidad.</w:t>
      </w:r>
    </w:p>
    <w:p w:rsidR="00000000" w:rsidDel="00000000" w:rsidP="00000000" w:rsidRDefault="00000000" w:rsidRPr="00000000" w14:paraId="000000AC">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Impulsar la iniciativa del Plan Maestro de Ejes Viales Metropolitanos en la ZMVM, para aprovechar la infraestructura existente y con acciones de mejora de comunicación entre las arterias viales, para la ampliación y/o conversión a ejes viales, para la accesibilidad universal peatonal, seguridad ciclista y seguridad vehicular.</w:t>
      </w:r>
    </w:p>
    <w:p w:rsidR="00000000" w:rsidDel="00000000" w:rsidP="00000000" w:rsidRDefault="00000000" w:rsidRPr="00000000" w14:paraId="000000AD">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Realizar operativos permanentes ante la invasión del carril confinado del Mexibús en el Estado de México, con adecuaciones físicas, mantenimiento y campañas de difusión sobre los riesgos de su invasión y establecer sanciones económicas.</w:t>
      </w:r>
    </w:p>
    <w:p w:rsidR="00000000" w:rsidDel="00000000" w:rsidP="00000000" w:rsidRDefault="00000000" w:rsidRPr="00000000" w14:paraId="000000AE">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Buscar la aplicación de sanciones vinculadas a trámites vehiculares, mediante mecanismos manuales o automatizados (fotomultas), por la invasión del carril confinado del Mexibús en el EDOMEX, buscando la prevención de accidentes.</w:t>
      </w:r>
    </w:p>
    <w:p w:rsidR="00000000" w:rsidDel="00000000" w:rsidP="00000000" w:rsidRDefault="00000000" w:rsidRPr="00000000" w14:paraId="000000AF">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Implementar la iniciativa para un nuevo Plan Maestro de Ejes y Arterias Viales para la ZMVT en coordinación con los Gobiernos Municipales.</w:t>
      </w:r>
    </w:p>
    <w:p w:rsidR="00000000" w:rsidDel="00000000" w:rsidP="00000000" w:rsidRDefault="00000000" w:rsidRPr="00000000" w14:paraId="000000B0">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Crear los nuevos módulos para la emisión de licencias en Tlalnepantla, Tecámac y otros puntos.</w:t>
      </w:r>
    </w:p>
    <w:p w:rsidR="00000000" w:rsidDel="00000000" w:rsidP="00000000" w:rsidRDefault="00000000" w:rsidRPr="00000000" w14:paraId="000000B1">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Reubicar los módulos para la emisión de licencias de conducir en Ecatepec.</w:t>
      </w:r>
    </w:p>
    <w:p w:rsidR="00000000" w:rsidDel="00000000" w:rsidP="00000000" w:rsidRDefault="00000000" w:rsidRPr="00000000" w14:paraId="000000B2">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Implementar un módulo self service de emisión de licencias de servicio particular en Atizapán.</w:t>
      </w:r>
    </w:p>
    <w:p w:rsidR="00000000" w:rsidDel="00000000" w:rsidP="00000000" w:rsidRDefault="00000000" w:rsidRPr="00000000" w14:paraId="000000B3">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Introducir una nueva unidad móvil de emisión de licencias de servicio particular.</w:t>
      </w:r>
    </w:p>
    <w:p w:rsidR="00000000" w:rsidDel="00000000" w:rsidP="00000000" w:rsidRDefault="00000000" w:rsidRPr="00000000" w14:paraId="000000B4">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Analizar 250 km de calles y avenidas principales de la ZMVM para su modernización siguiendo los lineamientos del MERVIA, priorizando aquellas con mayor grado de inseguridad, marginación, densidad de población y de terracería.</w:t>
      </w:r>
    </w:p>
    <w:p w:rsidR="00000000" w:rsidDel="00000000" w:rsidP="00000000" w:rsidRDefault="00000000" w:rsidRPr="00000000" w14:paraId="000000B5">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Definir el programa “Bachetón”, de la mano con la denuncia ciudadana mediante redes sociales y el chatbot para su atención.</w:t>
      </w:r>
    </w:p>
    <w:p w:rsidR="00000000" w:rsidDel="00000000" w:rsidP="00000000" w:rsidRDefault="00000000" w:rsidRPr="00000000" w14:paraId="000000B6">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Establecer la política pública “Caminos del Bienestar”, para la pavimentación y mejora de caminos rurales mexiquenses al priorizar la participación de las comunidades marginadas y con menor grado de accesibilidad.</w:t>
      </w:r>
    </w:p>
    <w:p w:rsidR="00000000" w:rsidDel="00000000" w:rsidP="00000000" w:rsidRDefault="00000000" w:rsidRPr="00000000" w14:paraId="000000B7">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Eje 8. Alinear el Marco Institucional y Jurídico de la Movilidad </w:t>
      </w:r>
    </w:p>
    <w:p w:rsidR="00000000" w:rsidDel="00000000" w:rsidP="00000000" w:rsidRDefault="00000000" w:rsidRPr="00000000" w14:paraId="000000B8">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Armonizar la ley de Movilidad del Estado de México con la Ley General de Movilidad y Seguridad Vial, así como con la Estrategía de Movilidad y Seguridad Vial.</w:t>
      </w:r>
    </w:p>
    <w:p w:rsidR="00000000" w:rsidDel="00000000" w:rsidP="00000000" w:rsidRDefault="00000000" w:rsidRPr="00000000" w14:paraId="000000B9">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Supervisar la aplicación de la Norma Técnica Aplicable para Vehículos Adaptados para prestar los Servicios Auxiliares de Arrastre, Salvamento, Guarda, Custodia y Depósito de Vehículos en el Estado de México.</w:t>
      </w:r>
    </w:p>
    <w:p w:rsidR="00000000" w:rsidDel="00000000" w:rsidP="00000000" w:rsidRDefault="00000000" w:rsidRPr="00000000" w14:paraId="000000BA">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Elaborar el Manual de procedimientos “Programa de reducción física de vehículos (chatarrización)” y renovación del parque vehícular.</w:t>
      </w:r>
    </w:p>
    <w:p w:rsidR="00000000" w:rsidDel="00000000" w:rsidP="00000000" w:rsidRDefault="00000000" w:rsidRPr="00000000" w14:paraId="000000BB">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Establecer con la Secretaría de Seguridad los lineamientos para la seguridad vial, centrada en el mantenimiento y conservación oportuna de las infraestructuras de transporte y vehículos.</w:t>
      </w:r>
    </w:p>
    <w:p w:rsidR="00000000" w:rsidDel="00000000" w:rsidP="00000000" w:rsidRDefault="00000000" w:rsidRPr="00000000" w14:paraId="000000BC">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Crear el Fideicomiso de Infraestructura para el Bienestar.</w:t>
      </w:r>
    </w:p>
    <w:p w:rsidR="00000000" w:rsidDel="00000000" w:rsidP="00000000" w:rsidRDefault="00000000" w:rsidRPr="00000000" w14:paraId="000000BD">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Emitir el acuerdo mediante el cual se reformará el Reglamento Interior de la Secretaría de Movilidad.</w:t>
      </w:r>
    </w:p>
    <w:p w:rsidR="00000000" w:rsidDel="00000000" w:rsidP="00000000" w:rsidRDefault="00000000" w:rsidRPr="00000000" w14:paraId="000000BE">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Estandarizar los límites de velocidad: establecer zonas de tránsito controlado a través de la Ley General de Movilidad y Seguridad Vial.</w:t>
      </w:r>
    </w:p>
    <w:p w:rsidR="00000000" w:rsidDel="00000000" w:rsidP="00000000" w:rsidRDefault="00000000" w:rsidRPr="00000000" w14:paraId="000000BF">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Modificar el Reglamento de Tránsito del Estado de México para que se requiera licencia expedida desde los 18 años.</w:t>
      </w:r>
    </w:p>
    <w:p w:rsidR="00000000" w:rsidDel="00000000" w:rsidP="00000000" w:rsidRDefault="00000000" w:rsidRPr="00000000" w14:paraId="000000C0">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Establecer los lineamientos para el seguimiento, y en su caso, sanción de las quejas presentadas en el transporte público. </w:t>
      </w:r>
    </w:p>
    <w:p w:rsidR="00000000" w:rsidDel="00000000" w:rsidP="00000000" w:rsidRDefault="00000000" w:rsidRPr="00000000" w14:paraId="000000C1">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Establecer las medidas de control y seguridad para la operación del Registro Estatal de Transporte Público.</w:t>
      </w:r>
    </w:p>
    <w:p w:rsidR="00000000" w:rsidDel="00000000" w:rsidP="00000000" w:rsidRDefault="00000000" w:rsidRPr="00000000" w14:paraId="000000C2">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Llevar a cabo mesas de trabajo para elaborar el Reglamento del Registro Estatal de Movilidad, Seguridad Vial y Transporte.</w:t>
      </w:r>
    </w:p>
    <w:p w:rsidR="00000000" w:rsidDel="00000000" w:rsidP="00000000" w:rsidRDefault="00000000" w:rsidRPr="00000000" w14:paraId="000000C3">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Integrar las bases de datos del Registro Estatal de Movilidad, Seguridad Vial y Transporte.</w:t>
      </w:r>
    </w:p>
    <w:p w:rsidR="00000000" w:rsidDel="00000000" w:rsidP="00000000" w:rsidRDefault="00000000" w:rsidRPr="00000000" w14:paraId="000000C4">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Revisar integralmente los títulos de concesión otorgados para dar seguimiento y viabilidad y apego a responsabilidades y obligaciones de acuerdo con lo que establece la Ley. </w:t>
      </w:r>
    </w:p>
    <w:p w:rsidR="00000000" w:rsidDel="00000000" w:rsidP="00000000" w:rsidRDefault="00000000" w:rsidRPr="00000000" w14:paraId="000000C5">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Integrar los registros, indicadores y bases de datos de movilidad y seguridad vial y transporte que compondrán el Sistema de Información Territorial y Urbano (SITU).</w:t>
      </w:r>
    </w:p>
    <w:p w:rsidR="00000000" w:rsidDel="00000000" w:rsidP="00000000" w:rsidRDefault="00000000" w:rsidRPr="00000000" w14:paraId="000000C6">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Eje 9. Perspectiva de Género e Interseccionalidad de las Personas </w:t>
      </w:r>
    </w:p>
    <w:p w:rsidR="00000000" w:rsidDel="00000000" w:rsidP="00000000" w:rsidRDefault="00000000" w:rsidRPr="00000000" w14:paraId="000000C7">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Elaborar diagnóstico y atender el grado de incidencia de delitos de violencia de género en la infraestructura vial y en el transporte público.</w:t>
      </w:r>
    </w:p>
    <w:p w:rsidR="00000000" w:rsidDel="00000000" w:rsidP="00000000" w:rsidRDefault="00000000" w:rsidRPr="00000000" w14:paraId="000000C8">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Armonizar e implementar políticas integrales para prevenir y responder eficazmente al acoso sexual y otras formas de violencia contra mujeres, niñas y niños en la red de movilidad.</w:t>
      </w:r>
    </w:p>
    <w:p w:rsidR="00000000" w:rsidDel="00000000" w:rsidP="00000000" w:rsidRDefault="00000000" w:rsidRPr="00000000" w14:paraId="000000C9">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Promover el diseño de campañas de comunicación con enfoque de género interseccional en medios impresos y digitales para la difusión de información respecto al derecho de las mujeres a una vida libre de violencia.</w:t>
      </w:r>
    </w:p>
    <w:p w:rsidR="00000000" w:rsidDel="00000000" w:rsidP="00000000" w:rsidRDefault="00000000" w:rsidRPr="00000000" w14:paraId="000000CA">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Capacitar a las personas operadoras para facilitar que las víctimas de violencia de género sean canalizadas para su atención. Incrementar el número de operadoras en la flota del transporte público en el Estado de México.</w:t>
      </w:r>
    </w:p>
    <w:p w:rsidR="00000000" w:rsidDel="00000000" w:rsidP="00000000" w:rsidRDefault="00000000" w:rsidRPr="00000000" w14:paraId="000000CB">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Promover la utilización de guías y/o lineamientos con enfoque de género desde la instrumentación de Términos de Referencia para los concursos de construcción y/o mejoramiento de infraestructura pública de movilidad que garantice la accesibilidad, movilidad del cuidado y seguridad de las mujeres.</w:t>
      </w:r>
    </w:p>
    <w:p w:rsidR="00000000" w:rsidDel="00000000" w:rsidP="00000000" w:rsidRDefault="00000000" w:rsidRPr="00000000" w14:paraId="000000CC">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Incluir en la flota de las líneas del Mexibús del Estado de México, espacios exclusivos para personas con discapacidad, personas adultas mayores, mujeres embarazadas y orientadas a las labores de cuidado, niñas y niños.</w:t>
      </w:r>
    </w:p>
    <w:p w:rsidR="00000000" w:rsidDel="00000000" w:rsidP="00000000" w:rsidRDefault="00000000" w:rsidRPr="00000000" w14:paraId="000000CD">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Integrar unidades vehiculares que cuenten con tecnología de apoyo para la mejora de los servicios de vigilancia para prevenir el acoso, la violencia verbal y física, y el hostigamiento.</w:t>
      </w:r>
    </w:p>
    <w:p w:rsidR="00000000" w:rsidDel="00000000" w:rsidP="00000000" w:rsidRDefault="00000000" w:rsidRPr="00000000" w14:paraId="000000CE">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Crear mecanismos de participación ciudadana para gestionar proyectos con infraestructura segura: servicios como senderos y cruceros amigables, iluminación, cámaras de seguridad, botón de pánico, código QR y conectividad para su coordinación con el C5 del Estado de México en lugares con mayor afluencia.</w:t>
      </w:r>
    </w:p>
    <w:p w:rsidR="00000000" w:rsidDel="00000000" w:rsidP="00000000" w:rsidRDefault="00000000" w:rsidRPr="00000000" w14:paraId="000000CF">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Eje 10. Desarrollo Sostenible, Eficiencia Energética y Medio Ambiente </w:t>
      </w:r>
    </w:p>
    <w:p w:rsidR="00000000" w:rsidDel="00000000" w:rsidP="00000000" w:rsidRDefault="00000000" w:rsidRPr="00000000" w14:paraId="000000D0">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Desarrollar un estudio y monitoreo de la actual capacidad de los distintos modos de transporte para crecer la conectividad de las cadenas productivas y eficiencia en el tránsito de materias primas para poder fortalecer los corredores logísticos estratégicos para aprovechar la relocalización de las empresas (nearshoring).</w:t>
      </w:r>
    </w:p>
    <w:p w:rsidR="00000000" w:rsidDel="00000000" w:rsidP="00000000" w:rsidRDefault="00000000" w:rsidRPr="00000000" w14:paraId="000000D1">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Diseñar un sistema de monitoreo de las condiciones de la infraestructura y la calidad del servicio público de transporte con inteligencia artificial y mantenimiento preventivo. Aprovechando datos masivos para la mejor toma de decisiones en la optimización de los sistemas de movilidad y logística.</w:t>
      </w:r>
    </w:p>
    <w:p w:rsidR="00000000" w:rsidDel="00000000" w:rsidP="00000000" w:rsidRDefault="00000000" w:rsidRPr="00000000" w14:paraId="000000D2">
      <w:pPr>
        <w:numPr>
          <w:ilvl w:val="0"/>
          <w:numId w:val="5"/>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Promover e integrar una movilidad y transporte de bajas emisiones que garantice un medio ambiente sano y la atención y participación de la población con mayor vulnerabilidad en los territorios urbanos, rurales, con respeto a la diversidad territorial y ecológica, para reducir las brechas existentes en las condiciones de riesgo de las diferentes zonas de la ciudad para hacerlas incluyentes, sostenibles y seguras</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D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Aclarado lo anterior, se procede al análisis de la respuesta proporcionada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efecto de determinar si es suficiente o no para tener por colmado el derecho de acceso a la información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ordenar la entrega. </w:t>
      </w:r>
    </w:p>
    <w:p w:rsidR="00000000" w:rsidDel="00000000" w:rsidP="00000000" w:rsidRDefault="00000000" w:rsidRPr="00000000" w14:paraId="000000D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6">
      <w:pPr>
        <w:numPr>
          <w:ilvl w:val="0"/>
          <w:numId w:val="8"/>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El avance de cada una de las acciones. </w:t>
      </w:r>
    </w:p>
    <w:p w:rsidR="00000000" w:rsidDel="00000000" w:rsidP="00000000" w:rsidRDefault="00000000" w:rsidRPr="00000000" w14:paraId="000000D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este punto, el Coordinador de Concertación Sectorial informó que el </w:t>
      </w:r>
      <w:r w:rsidDel="00000000" w:rsidR="00000000" w:rsidRPr="00000000">
        <w:rPr>
          <w:rFonts w:ascii="Palatino Linotype" w:cs="Palatino Linotype" w:eastAsia="Palatino Linotype" w:hAnsi="Palatino Linotype"/>
          <w:i w:val="1"/>
          <w:sz w:val="22"/>
          <w:szCs w:val="22"/>
          <w:rtl w:val="0"/>
        </w:rPr>
        <w:t xml:space="preserve">“Plan Colibrí, 100 Compromisos por la Movilidad Sostenible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cuenta con un Avance al Primer Semestre (Enero-Julio) del presente año del 46%</w:t>
      </w:r>
      <w:r w:rsidDel="00000000" w:rsidR="00000000" w:rsidRPr="00000000">
        <w:rPr>
          <w:rFonts w:ascii="Palatino Linotype" w:cs="Palatino Linotype" w:eastAsia="Palatino Linotype" w:hAnsi="Palatino Linotype"/>
          <w:sz w:val="22"/>
          <w:szCs w:val="22"/>
          <w:rtl w:val="0"/>
        </w:rPr>
        <w:t xml:space="preserve">, de conformidad con la información obtenida de la evaluación y el seguimiento a las acciones del citado plan que realiza esta Coordinación con las áreas responsables que forman parte de la Secretaría de Movilidad del Estado de México.</w:t>
      </w:r>
    </w:p>
    <w:p w:rsidR="00000000" w:rsidDel="00000000" w:rsidP="00000000" w:rsidRDefault="00000000" w:rsidRPr="00000000" w14:paraId="000000D8">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informó que el Plan Colibrí, está conformado por 10 Ejes Transversales para los cuales se tiene el siguiente avance de cada uno, al Primer Trimestre (Enero-Marzo) del presente año: </w:t>
      </w:r>
    </w:p>
    <w:p w:rsidR="00000000" w:rsidDel="00000000" w:rsidP="00000000" w:rsidRDefault="00000000" w:rsidRPr="00000000" w14:paraId="000000D9">
      <w:pPr>
        <w:numPr>
          <w:ilvl w:val="0"/>
          <w:numId w:val="4"/>
        </w:numPr>
        <w:pBdr>
          <w:top w:space="0" w:sz="0" w:val="nil"/>
          <w:left w:space="0" w:sz="0" w:val="nil"/>
          <w:bottom w:space="0" w:sz="0" w:val="nil"/>
          <w:right w:space="0" w:sz="0" w:val="nil"/>
          <w:between w:space="0" w:sz="0" w:val="nil"/>
        </w:pBdr>
        <w:spacing w:before="240"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1.</w:t>
      </w:r>
      <w:r w:rsidDel="00000000" w:rsidR="00000000" w:rsidRPr="00000000">
        <w:rPr>
          <w:rFonts w:ascii="Palatino Linotype" w:cs="Palatino Linotype" w:eastAsia="Palatino Linotype" w:hAnsi="Palatino Linotype"/>
          <w:sz w:val="22"/>
          <w:szCs w:val="22"/>
          <w:rtl w:val="0"/>
        </w:rPr>
        <w:t xml:space="preserve"> Línea Anticorrupción y Participación Ciudadana: 67%; </w:t>
      </w:r>
    </w:p>
    <w:p w:rsidR="00000000" w:rsidDel="00000000" w:rsidP="00000000" w:rsidRDefault="00000000" w:rsidRPr="00000000" w14:paraId="000000DA">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2.</w:t>
      </w:r>
      <w:r w:rsidDel="00000000" w:rsidR="00000000" w:rsidRPr="00000000">
        <w:rPr>
          <w:rFonts w:ascii="Palatino Linotype" w:cs="Palatino Linotype" w:eastAsia="Palatino Linotype" w:hAnsi="Palatino Linotype"/>
          <w:sz w:val="22"/>
          <w:szCs w:val="22"/>
          <w:rtl w:val="0"/>
        </w:rPr>
        <w:t xml:space="preserve"> Programa de Movilidad Segura del Estado de México: 37%; </w:t>
      </w:r>
    </w:p>
    <w:p w:rsidR="00000000" w:rsidDel="00000000" w:rsidP="00000000" w:rsidRDefault="00000000" w:rsidRPr="00000000" w14:paraId="000000DB">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3.</w:t>
      </w:r>
      <w:r w:rsidDel="00000000" w:rsidR="00000000" w:rsidRPr="00000000">
        <w:rPr>
          <w:rFonts w:ascii="Palatino Linotype" w:cs="Palatino Linotype" w:eastAsia="Palatino Linotype" w:hAnsi="Palatino Linotype"/>
          <w:sz w:val="22"/>
          <w:szCs w:val="22"/>
          <w:rtl w:val="0"/>
        </w:rPr>
        <w:t xml:space="preserve"> Caracterización y atención de las Problemáticas del Transporte Público: 47%; </w:t>
      </w:r>
    </w:p>
    <w:p w:rsidR="00000000" w:rsidDel="00000000" w:rsidP="00000000" w:rsidRDefault="00000000" w:rsidRPr="00000000" w14:paraId="000000DC">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4.</w:t>
      </w:r>
      <w:r w:rsidDel="00000000" w:rsidR="00000000" w:rsidRPr="00000000">
        <w:rPr>
          <w:rFonts w:ascii="Palatino Linotype" w:cs="Palatino Linotype" w:eastAsia="Palatino Linotype" w:hAnsi="Palatino Linotype"/>
          <w:sz w:val="22"/>
          <w:szCs w:val="22"/>
          <w:rtl w:val="0"/>
        </w:rPr>
        <w:t xml:space="preserve"> Unificación de la Red de Movilidad Integrada en la ZMVM: 35%; </w:t>
      </w:r>
    </w:p>
    <w:p w:rsidR="00000000" w:rsidDel="00000000" w:rsidP="00000000" w:rsidRDefault="00000000" w:rsidRPr="00000000" w14:paraId="000000DD">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5</w:t>
      </w:r>
      <w:r w:rsidDel="00000000" w:rsidR="00000000" w:rsidRPr="00000000">
        <w:rPr>
          <w:rFonts w:ascii="Palatino Linotype" w:cs="Palatino Linotype" w:eastAsia="Palatino Linotype" w:hAnsi="Palatino Linotype"/>
          <w:sz w:val="22"/>
          <w:szCs w:val="22"/>
          <w:rtl w:val="0"/>
        </w:rPr>
        <w:t xml:space="preserve">. Reactivación del Plan Ritmo: Red Integrada de Transporte Masivo Ordenado: 30%; </w:t>
      </w:r>
    </w:p>
    <w:p w:rsidR="00000000" w:rsidDel="00000000" w:rsidP="00000000" w:rsidRDefault="00000000" w:rsidRPr="00000000" w14:paraId="000000DE">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6.</w:t>
      </w:r>
      <w:r w:rsidDel="00000000" w:rsidR="00000000" w:rsidRPr="00000000">
        <w:rPr>
          <w:rFonts w:ascii="Palatino Linotype" w:cs="Palatino Linotype" w:eastAsia="Palatino Linotype" w:hAnsi="Palatino Linotype"/>
          <w:sz w:val="22"/>
          <w:szCs w:val="22"/>
          <w:rtl w:val="0"/>
        </w:rPr>
        <w:t xml:space="preserve"> Impulso a la Movilidad Activa: 19%; </w:t>
      </w:r>
    </w:p>
    <w:p w:rsidR="00000000" w:rsidDel="00000000" w:rsidP="00000000" w:rsidRDefault="00000000" w:rsidRPr="00000000" w14:paraId="000000DF">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7.</w:t>
      </w:r>
      <w:r w:rsidDel="00000000" w:rsidR="00000000" w:rsidRPr="00000000">
        <w:rPr>
          <w:rFonts w:ascii="Palatino Linotype" w:cs="Palatino Linotype" w:eastAsia="Palatino Linotype" w:hAnsi="Palatino Linotype"/>
          <w:sz w:val="22"/>
          <w:szCs w:val="22"/>
          <w:rtl w:val="0"/>
        </w:rPr>
        <w:t xml:space="preserve"> Vialidades y Movilidad Motorizada: 33%; </w:t>
      </w:r>
    </w:p>
    <w:p w:rsidR="00000000" w:rsidDel="00000000" w:rsidP="00000000" w:rsidRDefault="00000000" w:rsidRPr="00000000" w14:paraId="000000E0">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8.</w:t>
      </w:r>
      <w:r w:rsidDel="00000000" w:rsidR="00000000" w:rsidRPr="00000000">
        <w:rPr>
          <w:rFonts w:ascii="Palatino Linotype" w:cs="Palatino Linotype" w:eastAsia="Palatino Linotype" w:hAnsi="Palatino Linotype"/>
          <w:sz w:val="22"/>
          <w:szCs w:val="22"/>
          <w:rtl w:val="0"/>
        </w:rPr>
        <w:t xml:space="preserve"> Alinear el Marco Institucional y Jurídico de la Movilidad: 56%; </w:t>
      </w:r>
    </w:p>
    <w:p w:rsidR="00000000" w:rsidDel="00000000" w:rsidP="00000000" w:rsidRDefault="00000000" w:rsidRPr="00000000" w14:paraId="000000E1">
      <w:pPr>
        <w:numPr>
          <w:ilvl w:val="0"/>
          <w:numId w:val="4"/>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9.</w:t>
      </w:r>
      <w:r w:rsidDel="00000000" w:rsidR="00000000" w:rsidRPr="00000000">
        <w:rPr>
          <w:rFonts w:ascii="Palatino Linotype" w:cs="Palatino Linotype" w:eastAsia="Palatino Linotype" w:hAnsi="Palatino Linotype"/>
          <w:sz w:val="22"/>
          <w:szCs w:val="22"/>
          <w:rtl w:val="0"/>
        </w:rPr>
        <w:t xml:space="preserve"> Perspectiva de Género e Interseccionalidad de las Personas: 69%; y, </w:t>
      </w:r>
    </w:p>
    <w:p w:rsidR="00000000" w:rsidDel="00000000" w:rsidP="00000000" w:rsidRDefault="00000000" w:rsidRPr="00000000" w14:paraId="000000E2">
      <w:pPr>
        <w:numPr>
          <w:ilvl w:val="0"/>
          <w:numId w:val="4"/>
        </w:numPr>
        <w:pBdr>
          <w:top w:space="0" w:sz="0" w:val="nil"/>
          <w:left w:space="0" w:sz="0" w:val="nil"/>
          <w:bottom w:space="0" w:sz="0" w:val="nil"/>
          <w:right w:space="0" w:sz="0" w:val="nil"/>
          <w:between w:space="0" w:sz="0" w:val="nil"/>
        </w:pBdr>
        <w:spacing w:after="240"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Eje 10.</w:t>
      </w:r>
      <w:r w:rsidDel="00000000" w:rsidR="00000000" w:rsidRPr="00000000">
        <w:rPr>
          <w:rFonts w:ascii="Palatino Linotype" w:cs="Palatino Linotype" w:eastAsia="Palatino Linotype" w:hAnsi="Palatino Linotype"/>
          <w:sz w:val="22"/>
          <w:szCs w:val="22"/>
          <w:rtl w:val="0"/>
        </w:rPr>
        <w:t xml:space="preserve"> Desarrollo Sostenible, Eficiencia Energética y Medio Ambiente: 68%. </w:t>
      </w:r>
    </w:p>
    <w:p w:rsidR="00000000" w:rsidDel="00000000" w:rsidP="00000000" w:rsidRDefault="00000000" w:rsidRPr="00000000" w14:paraId="000000E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consiguiente, es claro que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colmó el requerimiento de información del particular, pues señaló el avance de cada una de las acciones; ello tomando en cuenta que la respuesta fue proporcionada por la Unidad Administrativa Competente, toda vez que la Coordinación de Concertación Sectorial se encarga de coadyuvar con las unidades administrativas de la Secretaría de Movilidad para atender los diversos compromisos y acciones derivados de la cooperación interinstitucional y en la atención de compromisos con los actores relevantes del sector, por ello es dable afirmar que se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rsidR="00000000" w:rsidDel="00000000" w:rsidP="00000000" w:rsidRDefault="00000000" w:rsidRPr="00000000" w14:paraId="000000E4">
      <w:pPr>
        <w:pBdr>
          <w:top w:space="0" w:sz="0" w:val="nil"/>
          <w:left w:space="0" w:sz="0" w:val="nil"/>
          <w:bottom w:space="0" w:sz="0" w:val="nil"/>
          <w:right w:space="0" w:sz="0" w:val="nil"/>
          <w:between w:space="0" w:sz="0" w:val="nil"/>
        </w:pBdr>
        <w:ind w:left="864"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XXXIX. Servidor público habilitado</w:t>
      </w:r>
      <w:r w:rsidDel="00000000" w:rsidR="00000000" w:rsidRPr="00000000">
        <w:rPr>
          <w:rFonts w:ascii="Palatino Linotype" w:cs="Palatino Linotype" w:eastAsia="Palatino Linotype" w:hAnsi="Palatino Linotype"/>
          <w:i w:val="1"/>
          <w:sz w:val="22"/>
          <w:szCs w:val="22"/>
          <w:rtl w:val="0"/>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ffffff" w:val="clea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Robusteciendo lo anterior, el Manual General de Organización del Sujeto Obligado, señala que la Secretaría de Movilidad se auxiliara de una Coordinación de Concertación Sectorial, misma que contara con una Dirección de Gestión cuyo objetivo es recopilar información, documentación y dar seguimiento a los acuerdos de las unidades administrativas con la o el titular de la dependencia y de los compromisos con otras instituciones gubernamentales federales, estatales y municipales, así como con los actores relevantes del sector, contando con ello, con las siguientes funciones: </w:t>
      </w:r>
    </w:p>
    <w:p w:rsidR="00000000" w:rsidDel="00000000" w:rsidP="00000000" w:rsidRDefault="00000000" w:rsidRPr="00000000" w14:paraId="000000E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22000010000000S COORDINACIÓN DE CONCERTACIÓN SECTORIAL</w:t>
      </w:r>
      <w:r w:rsidDel="00000000" w:rsidR="00000000" w:rsidRPr="00000000">
        <w:rPr>
          <w:rtl w:val="0"/>
        </w:rPr>
      </w:r>
    </w:p>
    <w:p w:rsidR="00000000" w:rsidDel="00000000" w:rsidP="00000000" w:rsidRDefault="00000000" w:rsidRPr="00000000" w14:paraId="000000E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FUNCIONES:</w:t>
      </w:r>
    </w:p>
    <w:p w:rsidR="00000000" w:rsidDel="00000000" w:rsidP="00000000" w:rsidRDefault="00000000" w:rsidRPr="00000000" w14:paraId="000000EA">
      <w:pPr>
        <w:numPr>
          <w:ilvl w:val="0"/>
          <w:numId w:val="6"/>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Coordinar el sistema de atención </w:t>
      </w:r>
      <w:r w:rsidDel="00000000" w:rsidR="00000000" w:rsidRPr="00000000">
        <w:rPr>
          <w:rFonts w:ascii="Palatino Linotype" w:cs="Palatino Linotype" w:eastAsia="Palatino Linotype" w:hAnsi="Palatino Linotype"/>
          <w:b w:val="1"/>
          <w:i w:val="1"/>
          <w:sz w:val="22"/>
          <w:szCs w:val="22"/>
          <w:u w:val="single"/>
          <w:rtl w:val="0"/>
        </w:rPr>
        <w:t xml:space="preserve">y seguimiento de los acuerdos y compromisos</w:t>
      </w:r>
      <w:r w:rsidDel="00000000" w:rsidR="00000000" w:rsidRPr="00000000">
        <w:rPr>
          <w:rFonts w:ascii="Palatino Linotype" w:cs="Palatino Linotype" w:eastAsia="Palatino Linotype" w:hAnsi="Palatino Linotype"/>
          <w:b w:val="1"/>
          <w:i w:val="1"/>
          <w:sz w:val="22"/>
          <w:szCs w:val="22"/>
          <w:rtl w:val="0"/>
        </w:rPr>
        <w:t xml:space="preserve"> de las unidades administrativas de la Secretaría</w:t>
      </w:r>
      <w:r w:rsidDel="00000000" w:rsidR="00000000" w:rsidRPr="00000000">
        <w:rPr>
          <w:rFonts w:ascii="Palatino Linotype" w:cs="Palatino Linotype" w:eastAsia="Palatino Linotype" w:hAnsi="Palatino Linotype"/>
          <w:i w:val="1"/>
          <w:sz w:val="22"/>
          <w:szCs w:val="22"/>
          <w:rtl w:val="0"/>
        </w:rPr>
        <w:t xml:space="preserve"> con la o el titular y con las personas físicas y morales relevantes del sector de movilidad.</w:t>
      </w:r>
    </w:p>
    <w:p w:rsidR="00000000" w:rsidDel="00000000" w:rsidP="00000000" w:rsidRDefault="00000000" w:rsidRPr="00000000" w14:paraId="000000EB">
      <w:pPr>
        <w:numPr>
          <w:ilvl w:val="0"/>
          <w:numId w:val="6"/>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Auxiliar a las unidades administrativas de la Secretaría, en la coordinación con las dependencias públicas, a fin de canalizar los asuntos de su competencia.</w:t>
      </w:r>
    </w:p>
    <w:p w:rsidR="00000000" w:rsidDel="00000000" w:rsidP="00000000" w:rsidRDefault="00000000" w:rsidRPr="00000000" w14:paraId="000000EC">
      <w:pPr>
        <w:numPr>
          <w:ilvl w:val="0"/>
          <w:numId w:val="6"/>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Convenir, con la participación de las unidades administrativas competentes, las alternativas de solución a los planteamientos de las organizaciones y sujetos relevantes del sector y, en su caso, establecer los compromisos que resulten de la concertación.</w:t>
      </w:r>
    </w:p>
    <w:p w:rsidR="00000000" w:rsidDel="00000000" w:rsidP="00000000" w:rsidRDefault="00000000" w:rsidRPr="00000000" w14:paraId="000000ED">
      <w:pPr>
        <w:numPr>
          <w:ilvl w:val="0"/>
          <w:numId w:val="6"/>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Promover que, en la ejecución de políticas y programas de la Secretaría, se privilegie la solución de las demandas ciudadanas que sean identificadas.</w:t>
      </w:r>
    </w:p>
    <w:p w:rsidR="00000000" w:rsidDel="00000000" w:rsidP="00000000" w:rsidRDefault="00000000" w:rsidRPr="00000000" w14:paraId="000000EE">
      <w:pPr>
        <w:numPr>
          <w:ilvl w:val="0"/>
          <w:numId w:val="6"/>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Auxiliar, a petición de parte, en el cumplimiento de convenios y programas de coordinación sectorial celebrados con la Federación.</w:t>
      </w:r>
    </w:p>
    <w:p w:rsidR="00000000" w:rsidDel="00000000" w:rsidP="00000000" w:rsidRDefault="00000000" w:rsidRPr="00000000" w14:paraId="000000EF">
      <w:pPr>
        <w:numPr>
          <w:ilvl w:val="0"/>
          <w:numId w:val="6"/>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Facilitar la coordinación entre las diversas unidades administrativas de la Secretaría para el cumplimiento de los compromisos sectoriales, tanto con la Federación como con otros gobiernos estatales y municipales.</w:t>
      </w:r>
    </w:p>
    <w:p w:rsidR="00000000" w:rsidDel="00000000" w:rsidP="00000000" w:rsidRDefault="00000000" w:rsidRPr="00000000" w14:paraId="000000F0">
      <w:pPr>
        <w:numPr>
          <w:ilvl w:val="0"/>
          <w:numId w:val="6"/>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Elaborar líneas discursivas para los mensajes del o la titular de la dependencia en eventos de carácter público.</w:t>
      </w:r>
    </w:p>
    <w:p w:rsidR="00000000" w:rsidDel="00000000" w:rsidP="00000000" w:rsidRDefault="00000000" w:rsidRPr="00000000" w14:paraId="000000F1">
      <w:pPr>
        <w:numPr>
          <w:ilvl w:val="0"/>
          <w:numId w:val="6"/>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Coordinar los trabajos preparativos para la presentación de información ante el Congreso del Estado con motivo de la Glosa de los Informes de Gobierno.</w:t>
      </w:r>
    </w:p>
    <w:p w:rsidR="00000000" w:rsidDel="00000000" w:rsidP="00000000" w:rsidRDefault="00000000" w:rsidRPr="00000000" w14:paraId="000000F2">
      <w:pPr>
        <w:numPr>
          <w:ilvl w:val="0"/>
          <w:numId w:val="6"/>
        </w:numPr>
        <w:pBdr>
          <w:top w:space="0" w:sz="0" w:val="nil"/>
          <w:left w:space="0" w:sz="0" w:val="nil"/>
          <w:bottom w:space="0" w:sz="0" w:val="nil"/>
          <w:right w:space="0" w:sz="0" w:val="nil"/>
          <w:between w:space="0" w:sz="0" w:val="nil"/>
        </w:pBdr>
        <w:spacing w:line="276" w:lineRule="auto"/>
        <w:ind w:left="851"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Desarrollar las demás funciones inherentes al área de su competencia. </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line="276" w:lineRule="auto"/>
        <w:ind w:left="851" w:right="4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line="276" w:lineRule="auto"/>
        <w:ind w:left="851"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22000010010000S DIRECCIÓN DE GESTIÓN</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line="276" w:lineRule="auto"/>
        <w:ind w:left="851"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FUNCIONES:</w:t>
      </w:r>
    </w:p>
    <w:p w:rsidR="00000000" w:rsidDel="00000000" w:rsidP="00000000" w:rsidRDefault="00000000" w:rsidRPr="00000000" w14:paraId="000000F6">
      <w:pPr>
        <w:numPr>
          <w:ilvl w:val="0"/>
          <w:numId w:val="7"/>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Dar seguimiento a los diversos acuerdos, compromisos, que celebre la o el titular de la dependencia con los diversos sectores en materia de su competencia.</w:t>
      </w:r>
    </w:p>
    <w:p w:rsidR="00000000" w:rsidDel="00000000" w:rsidP="00000000" w:rsidRDefault="00000000" w:rsidRPr="00000000" w14:paraId="000000F7">
      <w:pPr>
        <w:numPr>
          <w:ilvl w:val="0"/>
          <w:numId w:val="7"/>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Llevar a cabo la compilación de información y documentación necesaria para constatar el cumplimiento de los diversos acuerdos interinstitucionales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 cargo de la Dependencia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8">
      <w:pPr>
        <w:numPr>
          <w:ilvl w:val="0"/>
          <w:numId w:val="7"/>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Elaborar los informes y documentos necesarios para generar las instrucciones para el cumplimiento de las obligaciones y acuerdos adoptados por la o el titular de la institución con los diferentes órdenes de gobierno municipal, estatal y federal, en cumplimiento de sus atribuciones.</w:t>
      </w:r>
    </w:p>
    <w:p w:rsidR="00000000" w:rsidDel="00000000" w:rsidP="00000000" w:rsidRDefault="00000000" w:rsidRPr="00000000" w14:paraId="000000F9">
      <w:pPr>
        <w:numPr>
          <w:ilvl w:val="0"/>
          <w:numId w:val="7"/>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Gestionar antes las diversas unidades administrativas de la Secretaría, el seguimiento de las instrucciones giradas por la o el titular de la dependencia para el cumplimiento de los compromisos asumidos con grupos sociales, empresariales, o con ciudadanos.</w:t>
      </w:r>
    </w:p>
    <w:p w:rsidR="00000000" w:rsidDel="00000000" w:rsidP="00000000" w:rsidRDefault="00000000" w:rsidRPr="00000000" w14:paraId="000000FA">
      <w:pPr>
        <w:numPr>
          <w:ilvl w:val="0"/>
          <w:numId w:val="7"/>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Mantener actualizado el sistema de seguimiento de acuerdos y compromisos institucionales tanto en materia de movilidad, como de transporte e infraestructura de caminos.</w:t>
      </w:r>
    </w:p>
    <w:p w:rsidR="00000000" w:rsidDel="00000000" w:rsidP="00000000" w:rsidRDefault="00000000" w:rsidRPr="00000000" w14:paraId="000000FB">
      <w:pPr>
        <w:numPr>
          <w:ilvl w:val="0"/>
          <w:numId w:val="7"/>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Fungir como secretaría técnica en las reuniones de trabajo de la o el titular de la dependencia con el cuerpo directivo y con los actores relevantes del sector.</w:t>
      </w:r>
    </w:p>
    <w:p w:rsidR="00000000" w:rsidDel="00000000" w:rsidP="00000000" w:rsidRDefault="00000000" w:rsidRPr="00000000" w14:paraId="000000FC">
      <w:pPr>
        <w:numPr>
          <w:ilvl w:val="0"/>
          <w:numId w:val="7"/>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Apoyar en los trabajos preparativos para la presentación de información ante el Congreso del Estado, con motivo de la Glosa de los Informes de Gobierno.</w:t>
      </w:r>
    </w:p>
    <w:p w:rsidR="00000000" w:rsidDel="00000000" w:rsidP="00000000" w:rsidRDefault="00000000" w:rsidRPr="00000000" w14:paraId="000000FD">
      <w:pPr>
        <w:numPr>
          <w:ilvl w:val="0"/>
          <w:numId w:val="7"/>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Desarrollar las demás funciones inherentes al área de su competencia. “</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F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ffffff" w:val="clea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advierte que efectivamente la Unidad de Transparencia cumplió con lo expresado en el artículo 162 de la Ley de Transparencia y Acceso a la Información Pública del Estado de México y Municipios, el cual menciona lo siguiente:</w:t>
      </w:r>
    </w:p>
    <w:p w:rsidR="00000000" w:rsidDel="00000000" w:rsidP="00000000" w:rsidRDefault="00000000" w:rsidRPr="00000000" w14:paraId="00000101">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162.</w:t>
      </w:r>
      <w:r w:rsidDel="00000000" w:rsidR="00000000" w:rsidRPr="00000000">
        <w:rPr>
          <w:rFonts w:ascii="Palatino Linotype" w:cs="Palatino Linotype" w:eastAsia="Palatino Linotype" w:hAnsi="Palatino Linotype"/>
          <w:i w:val="1"/>
          <w:sz w:val="22"/>
          <w:szCs w:val="22"/>
          <w:rtl w:val="0"/>
        </w:rPr>
        <w:t xml:space="preserve"> Las unidades de transparencia deberán garantizar que las solicitudes </w:t>
      </w:r>
      <w:r w:rsidDel="00000000" w:rsidR="00000000" w:rsidRPr="00000000">
        <w:rPr>
          <w:rFonts w:ascii="Palatino Linotype" w:cs="Palatino Linotype" w:eastAsia="Palatino Linotype" w:hAnsi="Palatino Linotype"/>
          <w:b w:val="1"/>
          <w:i w:val="1"/>
          <w:sz w:val="22"/>
          <w:szCs w:val="22"/>
          <w:rtl w:val="0"/>
        </w:rPr>
        <w:t xml:space="preserve">se turnen a todas las Áreas competentes </w:t>
      </w:r>
      <w:r w:rsidDel="00000000" w:rsidR="00000000" w:rsidRPr="00000000">
        <w:rPr>
          <w:rFonts w:ascii="Palatino Linotype" w:cs="Palatino Linotype" w:eastAsia="Palatino Linotype" w:hAnsi="Palatino Linotype"/>
          <w:i w:val="1"/>
          <w:sz w:val="22"/>
          <w:szCs w:val="22"/>
          <w:rtl w:val="0"/>
        </w:rPr>
        <w:t xml:space="preserve">que cuenten con la información o deban tenerla de acuerdo a sus facultades, competencias y funciones, con el objeto de que realicen una búsqueda exhaustiva y razonable de la información solicitada.”</w:t>
      </w:r>
      <w:r w:rsidDel="00000000" w:rsidR="00000000" w:rsidRPr="00000000">
        <w:rPr>
          <w:rtl w:val="0"/>
        </w:rPr>
      </w:r>
    </w:p>
    <w:p w:rsidR="00000000" w:rsidDel="00000000" w:rsidP="00000000" w:rsidRDefault="00000000" w:rsidRPr="00000000" w14:paraId="0000010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4">
      <w:pPr>
        <w:numPr>
          <w:ilvl w:val="0"/>
          <w:numId w:val="9"/>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Fecha de implementación y evidencias de que se cumplió.</w:t>
      </w:r>
    </w:p>
    <w:p w:rsidR="00000000" w:rsidDel="00000000" w:rsidP="00000000" w:rsidRDefault="00000000" w:rsidRPr="00000000" w14:paraId="0000010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informó que conforme a sus atribuciones conferidas, únicamente genera el documento de </w:t>
      </w:r>
      <w:r w:rsidDel="00000000" w:rsidR="00000000" w:rsidRPr="00000000">
        <w:rPr>
          <w:rFonts w:ascii="Palatino Linotype" w:cs="Palatino Linotype" w:eastAsia="Palatino Linotype" w:hAnsi="Palatino Linotype"/>
          <w:b w:val="1"/>
          <w:i w:val="1"/>
          <w:sz w:val="22"/>
          <w:szCs w:val="22"/>
          <w:rtl w:val="0"/>
        </w:rPr>
        <w:t xml:space="preserve">“Reporte Semestral Enero-Julio 2024”</w:t>
      </w:r>
      <w:r w:rsidDel="00000000" w:rsidR="00000000" w:rsidRPr="00000000">
        <w:rPr>
          <w:rFonts w:ascii="Palatino Linotype" w:cs="Palatino Linotype" w:eastAsia="Palatino Linotype" w:hAnsi="Palatino Linotype"/>
          <w:sz w:val="22"/>
          <w:szCs w:val="22"/>
          <w:rtl w:val="0"/>
        </w:rPr>
        <w:t xml:space="preserve">, mismo que adjuntó a su respuesta, el cual muestra el avance en porcentaje de cada uno de los ejes del referido Plan Colibrí, tal y como se muestra en las imágenes que se insertan a continuación a manera de ejemplo: </w:t>
      </w:r>
    </w:p>
    <w:p w:rsidR="00000000" w:rsidDel="00000000" w:rsidP="00000000" w:rsidRDefault="00000000" w:rsidRPr="00000000" w14:paraId="0000010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8">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1875339" cy="2573053"/>
            <wp:effectExtent b="0" l="0" r="0" t="0"/>
            <wp:docPr id="21294499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875339" cy="2573053"/>
                    </a:xfrm>
                    <a:prstGeom prst="rect"/>
                    <a:ln/>
                  </pic:spPr>
                </pic:pic>
              </a:graphicData>
            </a:graphic>
          </wp:inline>
        </w:drawing>
      </w:r>
      <w:r w:rsidDel="00000000" w:rsidR="00000000" w:rsidRPr="00000000">
        <w:rPr>
          <w:rFonts w:ascii="Palatino Linotype" w:cs="Palatino Linotype" w:eastAsia="Palatino Linotype" w:hAnsi="Palatino Linotype"/>
          <w:sz w:val="22"/>
          <w:szCs w:val="22"/>
        </w:rPr>
        <w:drawing>
          <wp:inline distB="0" distT="0" distL="0" distR="0">
            <wp:extent cx="1947026" cy="2476731"/>
            <wp:effectExtent b="0" l="0" r="0" t="0"/>
            <wp:docPr id="212944999"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947026" cy="2476731"/>
                    </a:xfrm>
                    <a:prstGeom prst="rect"/>
                    <a:ln/>
                  </pic:spPr>
                </pic:pic>
              </a:graphicData>
            </a:graphic>
          </wp:inline>
        </w:drawing>
      </w:r>
      <w:r w:rsidDel="00000000" w:rsidR="00000000" w:rsidRPr="00000000">
        <w:rPr>
          <w:rFonts w:ascii="Palatino Linotype" w:cs="Palatino Linotype" w:eastAsia="Palatino Linotype" w:hAnsi="Palatino Linotype"/>
          <w:sz w:val="22"/>
          <w:szCs w:val="22"/>
        </w:rPr>
        <w:drawing>
          <wp:inline distB="0" distT="0" distL="0" distR="0">
            <wp:extent cx="1993168" cy="1258849"/>
            <wp:effectExtent b="0" l="0" r="0" t="0"/>
            <wp:docPr id="212944998" name="image3.png"/>
            <a:graphic>
              <a:graphicData uri="http://schemas.openxmlformats.org/drawingml/2006/picture">
                <pic:pic>
                  <pic:nvPicPr>
                    <pic:cNvPr id="0" name="image3.png"/>
                    <pic:cNvPicPr preferRelativeResize="0"/>
                  </pic:nvPicPr>
                  <pic:blipFill>
                    <a:blip r:embed="rId12"/>
                    <a:srcRect b="0" l="0" r="0" t="45644"/>
                    <a:stretch>
                      <a:fillRect/>
                    </a:stretch>
                  </pic:blipFill>
                  <pic:spPr>
                    <a:xfrm>
                      <a:off x="0" y="0"/>
                      <a:ext cx="1993168" cy="1258849"/>
                    </a:xfrm>
                    <a:prstGeom prst="rect"/>
                    <a:ln/>
                  </pic:spPr>
                </pic:pic>
              </a:graphicData>
            </a:graphic>
          </wp:inline>
        </w:drawing>
      </w:r>
      <w:r w:rsidDel="00000000" w:rsidR="00000000" w:rsidRPr="00000000">
        <w:rPr>
          <w:rFonts w:ascii="Palatino Linotype" w:cs="Palatino Linotype" w:eastAsia="Palatino Linotype" w:hAnsi="Palatino Linotype"/>
          <w:sz w:val="22"/>
          <w:szCs w:val="22"/>
        </w:rPr>
        <w:drawing>
          <wp:inline distB="0" distT="0" distL="0" distR="0">
            <wp:extent cx="1702444" cy="2061815"/>
            <wp:effectExtent b="0" l="0" r="0" t="0"/>
            <wp:docPr id="21294500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702444" cy="2061815"/>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A">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1846114" cy="2603061"/>
            <wp:effectExtent b="0" l="0" r="0" t="0"/>
            <wp:docPr id="212945000"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846114" cy="2603061"/>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este Instituto advierte que si bien el documento entregado en respuesta atiende el avance que lleva cada una de las cien acciones que conforman el Plan Colibrí, lo cierto es que, el particular solicitó puntualmente la fecha de implementación y las evidencias de los avances, por lo que conviene recordar que la Coordinación de Concertación Sectorial se auxiliar de una Dirección de Gestión, misma que tiene como funciones dar seguimiento a los diversos acuerdos y compromisos que celebre la o el titular de la dependencia con los diversos sectores en materia de su competencia; así como, </w:t>
      </w:r>
      <w:r w:rsidDel="00000000" w:rsidR="00000000" w:rsidRPr="00000000">
        <w:rPr>
          <w:rFonts w:ascii="Palatino Linotype" w:cs="Palatino Linotype" w:eastAsia="Palatino Linotype" w:hAnsi="Palatino Linotype"/>
          <w:b w:val="1"/>
          <w:sz w:val="22"/>
          <w:szCs w:val="22"/>
          <w:u w:val="single"/>
          <w:rtl w:val="0"/>
        </w:rPr>
        <w:t xml:space="preserve">llevar a cabo la compilación de información y documentación necesaria para constatar el cumplimiento de los diversos acuerdos interinstitucionales</w:t>
      </w:r>
      <w:r w:rsidDel="00000000" w:rsidR="00000000" w:rsidRPr="00000000">
        <w:rPr>
          <w:rFonts w:ascii="Palatino Linotype" w:cs="Palatino Linotype" w:eastAsia="Palatino Linotype" w:hAnsi="Palatino Linotype"/>
          <w:sz w:val="22"/>
          <w:szCs w:val="22"/>
          <w:rtl w:val="0"/>
        </w:rPr>
        <w:t xml:space="preserve">, a cargo de la Dependencia, por lo tanto, su respuesta careció de los principios de congruencia y exhaustividad, de conformidad con el Criterio 02/17 emitido por el Peno del Instituto Nacional de Transparencia y Acceso a la Información y Protección de Datos Personales, de título y texto siguientes:</w:t>
      </w:r>
    </w:p>
    <w:p w:rsidR="00000000" w:rsidDel="00000000" w:rsidP="00000000" w:rsidRDefault="00000000" w:rsidRPr="00000000" w14:paraId="0000010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“Congruencia y exhaustividad. Sus alcances para garantizar el derecho de acceso a la información. </w:t>
      </w:r>
      <w:r w:rsidDel="00000000" w:rsidR="00000000" w:rsidRPr="00000000">
        <w:rPr>
          <w:rFonts w:ascii="Palatino Linotype" w:cs="Palatino Linotype" w:eastAsia="Palatino Linotype" w:hAnsi="Palatino Linotype"/>
          <w:i w:val="1"/>
          <w:sz w:val="22"/>
          <w:szCs w:val="22"/>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Del="00000000" w:rsidR="00000000" w:rsidRPr="00000000">
        <w:rPr>
          <w:rFonts w:ascii="Palatino Linotype" w:cs="Palatino Linotype" w:eastAsia="Palatino Linotype" w:hAnsi="Palatino Linotype"/>
          <w:b w:val="1"/>
          <w:i w:val="1"/>
          <w:sz w:val="22"/>
          <w:szCs w:val="22"/>
          <w:rtl w:val="0"/>
        </w:rPr>
        <w:t xml:space="preserve">la congruencia 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i w:val="1"/>
          <w:sz w:val="22"/>
          <w:szCs w:val="22"/>
          <w:rtl w:val="0"/>
        </w:rPr>
        <w:t xml:space="preserve">; mientras que </w:t>
      </w:r>
      <w:r w:rsidDel="00000000" w:rsidR="00000000" w:rsidRPr="00000000">
        <w:rPr>
          <w:rFonts w:ascii="Palatino Linotype" w:cs="Palatino Linotype" w:eastAsia="Palatino Linotype" w:hAnsi="Palatino Linotype"/>
          <w:b w:val="1"/>
          <w:i w:val="1"/>
          <w:sz w:val="22"/>
          <w:szCs w:val="22"/>
          <w:rtl w:val="0"/>
        </w:rPr>
        <w:t xml:space="preserve">la exhaustividad significa que dicha respuesta se refiera expresamente a cada uno de los puntos solicitados</w:t>
      </w:r>
      <w:r w:rsidDel="00000000" w:rsidR="00000000" w:rsidRPr="00000000">
        <w:rPr>
          <w:rFonts w:ascii="Palatino Linotype" w:cs="Palatino Linotype" w:eastAsia="Palatino Linotype" w:hAnsi="Palatino Linotype"/>
          <w:i w:val="1"/>
          <w:sz w:val="22"/>
          <w:szCs w:val="22"/>
          <w:rtl w:val="0"/>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10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F">
      <w:pP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los sujetos obligados para garantizar el derecho de acceso a la Información, deberán cumplir con los principios de exhaustividad y congruencia, esto es, que la congruencia </w:t>
      </w:r>
      <w:r w:rsidDel="00000000" w:rsidR="00000000" w:rsidRPr="00000000">
        <w:rPr>
          <w:rFonts w:ascii="Palatino Linotype" w:cs="Palatino Linotype" w:eastAsia="Palatino Linotype" w:hAnsi="Palatino Linotype"/>
          <w:b w:val="1"/>
          <w:sz w:val="22"/>
          <w:szCs w:val="22"/>
          <w:rtl w:val="0"/>
        </w:rPr>
        <w:t xml:space="preserve">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sz w:val="22"/>
          <w:szCs w:val="22"/>
          <w:rtl w:val="0"/>
        </w:rPr>
        <w:t xml:space="preserve">, mientras que la exhaustividad establece que el sujeto obligado </w:t>
      </w:r>
      <w:r w:rsidDel="00000000" w:rsidR="00000000" w:rsidRPr="00000000">
        <w:rPr>
          <w:rFonts w:ascii="Palatino Linotype" w:cs="Palatino Linotype" w:eastAsia="Palatino Linotype" w:hAnsi="Palatino Linotype"/>
          <w:b w:val="1"/>
          <w:sz w:val="22"/>
          <w:szCs w:val="22"/>
          <w:rtl w:val="0"/>
        </w:rPr>
        <w:t xml:space="preserve">deberá atender de manera expresa cada uno de los puntos solicitados</w:t>
      </w:r>
      <w:r w:rsidDel="00000000" w:rsidR="00000000" w:rsidRPr="00000000">
        <w:rPr>
          <w:rFonts w:ascii="Palatino Linotype" w:cs="Palatino Linotype" w:eastAsia="Palatino Linotype" w:hAnsi="Palatino Linotype"/>
          <w:sz w:val="22"/>
          <w:szCs w:val="22"/>
          <w:rtl w:val="0"/>
        </w:rPr>
        <w:t xml:space="preserve">, situación que en el presente caso </w:t>
      </w:r>
      <w:r w:rsidDel="00000000" w:rsidR="00000000" w:rsidRPr="00000000">
        <w:rPr>
          <w:rFonts w:ascii="Palatino Linotype" w:cs="Palatino Linotype" w:eastAsia="Palatino Linotype" w:hAnsi="Palatino Linotype"/>
          <w:b w:val="1"/>
          <w:sz w:val="22"/>
          <w:szCs w:val="22"/>
          <w:u w:val="single"/>
          <w:rtl w:val="0"/>
        </w:rPr>
        <w:t xml:space="preserve">no aconteció</w:t>
      </w:r>
      <w:r w:rsidDel="00000000" w:rsidR="00000000" w:rsidRPr="00000000">
        <w:rPr>
          <w:rFonts w:ascii="Palatino Linotype" w:cs="Palatino Linotype" w:eastAsia="Palatino Linotype" w:hAnsi="Palatino Linotype"/>
          <w:sz w:val="22"/>
          <w:szCs w:val="22"/>
          <w:rtl w:val="0"/>
        </w:rPr>
        <w:t xml:space="preserve">, pues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limitó a señalar que genera únicamente el Reporte Semestral Enero – Julio 2024, sin embargo,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desea conocer el o los documentos que comprueben el avance del referido plan, mismos de los que también se pueda advertir la fecha de implementación; por lo que, la unidad administrativa competente que dio atención a la solicitud de información debe realizar una nueva búsqueda exhaustiva y razonable, con la finalidad de proporcionar cabalmente la información solicitada, toda vez que de su misma respuesta se advierte que el avance, se genera de la información obtenida de la evaluación y el seguimiento a las acciones del citado plan que realiza dicha Coordinación con las áreas responsables que forman parte de la Secretaría de Movilidad del Estado de México.</w:t>
      </w:r>
    </w:p>
    <w:p w:rsidR="00000000" w:rsidDel="00000000" w:rsidP="00000000" w:rsidRDefault="00000000" w:rsidRPr="00000000" w14:paraId="00000110">
      <w:pP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1">
      <w:pP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que, todos los actos de autoridad que realicen los Sujetos Obligados deben estar documentados y, bajo el más alto estándar de transparencia deberán poner toda la información que se encuentre en su posesión, a disposición de los particulares que la soliciten, 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rsidR="00000000" w:rsidDel="00000000" w:rsidP="00000000" w:rsidRDefault="00000000" w:rsidRPr="00000000" w14:paraId="0000011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señalado,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 </w:t>
      </w:r>
    </w:p>
    <w:p w:rsidR="00000000" w:rsidDel="00000000" w:rsidP="00000000" w:rsidRDefault="00000000" w:rsidRPr="00000000" w14:paraId="00000114">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5">
      <w:pPr>
        <w:spacing w:line="360" w:lineRule="auto"/>
        <w:ind w:right="-7"/>
        <w:jc w:val="both"/>
        <w:rPr>
          <w:rFonts w:ascii="Palatino Linotype" w:cs="Palatino Linotype" w:eastAsia="Palatino Linotype" w:hAnsi="Palatino Linotype"/>
          <w:sz w:val="22"/>
          <w:szCs w:val="22"/>
        </w:rPr>
      </w:pPr>
      <w:bookmarkStart w:colFirst="0" w:colLast="0" w:name="_heading=h.35nkun2" w:id="8"/>
      <w:bookmarkEnd w:id="8"/>
      <w:r w:rsidDel="00000000" w:rsidR="00000000" w:rsidRPr="00000000">
        <w:rPr>
          <w:rFonts w:ascii="Palatino Linotype" w:cs="Palatino Linotype" w:eastAsia="Palatino Linotype" w:hAnsi="Palatino Linotype"/>
          <w:sz w:val="22"/>
          <w:szCs w:val="22"/>
          <w:rtl w:val="0"/>
        </w:rPr>
        <w:t xml:space="preserve">Por tanto, a consideración de este Órgano Garante los motivos de inconformidad de la parte</w:t>
      </w:r>
      <w:r w:rsidDel="00000000" w:rsidR="00000000" w:rsidRPr="00000000">
        <w:rPr>
          <w:rFonts w:ascii="Palatino Linotype" w:cs="Palatino Linotype" w:eastAsia="Palatino Linotype" w:hAnsi="Palatino Linotype"/>
          <w:b w:val="1"/>
          <w:sz w:val="22"/>
          <w:szCs w:val="22"/>
          <w:rtl w:val="0"/>
        </w:rPr>
        <w:t xml:space="preserve"> Recurrente </w:t>
      </w:r>
      <w:r w:rsidDel="00000000" w:rsidR="00000000" w:rsidRPr="00000000">
        <w:rPr>
          <w:rFonts w:ascii="Palatino Linotype" w:cs="Palatino Linotype" w:eastAsia="Palatino Linotype" w:hAnsi="Palatino Linotype"/>
          <w:sz w:val="22"/>
          <w:szCs w:val="22"/>
          <w:rtl w:val="0"/>
        </w:rPr>
        <w:t xml:space="preserve">esgrimidos en su recurso de revisión devienen </w:t>
      </w:r>
      <w:r w:rsidDel="00000000" w:rsidR="00000000" w:rsidRPr="00000000">
        <w:rPr>
          <w:rFonts w:ascii="Palatino Linotype" w:cs="Palatino Linotype" w:eastAsia="Palatino Linotype" w:hAnsi="Palatino Linotype"/>
          <w:b w:val="1"/>
          <w:sz w:val="22"/>
          <w:szCs w:val="22"/>
          <w:rtl w:val="0"/>
        </w:rPr>
        <w:t xml:space="preserve">parcialmente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siendo procedente ordenar, previa búsqueda exhaustiva y razonable la entrega, del “Plan Colibrí, 100 compromisos por la Movilidad Sostenible”, el documento o documentos en donde consten las evidencias del avance de las acciones referidas en el reporte de semestral entregado en respuesta; así como su fecha de implementación, de ser procedente en versión pública. </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sin menoscabar el derecho a la protección de los datos personales de terceros.</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a lo que señalan los artículos 3, fracciones IX, XX, XXXII, XLV; 6, 137 y 143 fracción I, de la Ley de Transparencia y Acceso a la Información Pública del Estado de México y Municipios vigente, que se leen como sigue:</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76" w:lineRule="auto"/>
        <w:ind w:left="993" w:right="104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3. Para los efectos de la presente Ley se entenderá por:</w:t>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276" w:lineRule="auto"/>
        <w:ind w:left="993" w:right="104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sz w:val="22"/>
          <w:szCs w:val="22"/>
          <w:rtl w:val="0"/>
        </w:rPr>
        <w:t xml:space="preserve"> según lo dispuesto por la Ley de Protección de Datos Personales del Estado de México;</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276" w:lineRule="auto"/>
        <w:ind w:left="993" w:right="104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76" w:lineRule="auto"/>
        <w:ind w:left="993" w:right="104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276" w:lineRule="auto"/>
        <w:ind w:left="993" w:right="104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r w:rsidDel="00000000" w:rsidR="00000000" w:rsidRPr="00000000">
        <w:rPr>
          <w:rtl w:val="0"/>
        </w:rPr>
      </w:r>
    </w:p>
    <w:p w:rsidR="00000000" w:rsidDel="00000000" w:rsidP="00000000" w:rsidRDefault="00000000" w:rsidRPr="00000000" w14:paraId="0000011D">
      <w:pPr>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line="276" w:lineRule="auto"/>
        <w:ind w:left="993" w:right="104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r w:rsidDel="00000000" w:rsidR="00000000" w:rsidRPr="00000000">
        <w:rPr>
          <w:rtl w:val="0"/>
        </w:rPr>
      </w:r>
    </w:p>
    <w:p w:rsidR="00000000" w:rsidDel="00000000" w:rsidP="00000000" w:rsidRDefault="00000000" w:rsidRPr="00000000" w14:paraId="0000011F">
      <w:pPr>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76" w:lineRule="auto"/>
        <w:ind w:left="993" w:right="104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21">
      <w:pPr>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276" w:lineRule="auto"/>
        <w:ind w:left="993" w:right="104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276" w:lineRule="auto"/>
        <w:ind w:left="993" w:right="104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jurídica colectiva identificada o identificable;</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276" w:lineRule="auto"/>
        <w:ind w:left="993" w:right="104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276" w:lineRule="auto"/>
        <w:ind w:left="993" w:right="104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 </w:t>
      </w:r>
      <w:r w:rsidDel="00000000" w:rsidR="00000000" w:rsidRPr="00000000">
        <w:rPr>
          <w:rtl w:val="0"/>
        </w:rPr>
      </w:r>
    </w:p>
    <w:p w:rsidR="00000000" w:rsidDel="00000000" w:rsidP="00000000" w:rsidRDefault="00000000" w:rsidRPr="00000000" w14:paraId="0000012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encuentren contenidos en los documentos a entregar para satisfacer el derecho de acceso a la información pública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12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2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276" w:lineRule="auto"/>
        <w:ind w:left="992" w:right="104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276" w:lineRule="auto"/>
        <w:ind w:left="992" w:right="104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76" w:lineRule="auto"/>
        <w:ind w:left="992" w:right="104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276" w:lineRule="auto"/>
        <w:ind w:left="992" w:right="104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276" w:lineRule="auto"/>
        <w:ind w:left="992" w:right="104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line="276" w:lineRule="auto"/>
        <w:ind w:left="992" w:right="1043"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 </w:t>
      </w:r>
      <w:r w:rsidDel="00000000" w:rsidR="00000000" w:rsidRPr="00000000">
        <w:rPr>
          <w:rtl w:val="0"/>
        </w:rPr>
      </w:r>
    </w:p>
    <w:p w:rsidR="00000000" w:rsidDel="00000000" w:rsidP="00000000" w:rsidRDefault="00000000" w:rsidRPr="00000000" w14:paraId="0000013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3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37">
      <w:pPr>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240" w:line="276" w:lineRule="auto"/>
        <w:ind w:left="993" w:right="104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w:t>
      </w: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se destaca que la versión pública que elabore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sz w:val="22"/>
          <w:szCs w:val="22"/>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13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u w:val="single"/>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del Comité de Transparencia, el órgano garante </w:t>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Del="00000000" w:rsidR="00000000" w:rsidRPr="00000000">
        <w:rPr>
          <w:rtl w:val="0"/>
        </w:rPr>
      </w:r>
    </w:p>
    <w:p w:rsidR="00000000" w:rsidDel="00000000" w:rsidP="00000000" w:rsidRDefault="00000000" w:rsidRPr="00000000" w14:paraId="00000151">
      <w:pPr>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w:t>
      </w: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w:t>
      </w: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w:t>
      </w: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w:t>
      </w: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w:t>
      </w: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w:t>
      </w: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w:t>
      </w: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w:t>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r w:rsidDel="00000000" w:rsidR="00000000" w:rsidRPr="00000000">
        <w:rPr>
          <w:rtl w:val="0"/>
        </w:rPr>
      </w:r>
    </w:p>
    <w:p w:rsidR="00000000" w:rsidDel="00000000" w:rsidP="00000000" w:rsidRDefault="00000000" w:rsidRPr="00000000" w14:paraId="0000016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16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5g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sz w:val="22"/>
          <w:szCs w:val="22"/>
        </w:rPr>
      </w:pPr>
      <w:bookmarkStart w:colFirst="0" w:colLast="0" w:name="_heading=h.ijv98pntcd5s" w:id="9"/>
      <w:bookmarkEnd w:id="9"/>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171">
      <w:pPr>
        <w:spacing w:after="240" w:before="240" w:line="360" w:lineRule="auto"/>
        <w:jc w:val="both"/>
        <w:rPr>
          <w:rFonts w:ascii="Palatino Linotype" w:cs="Palatino Linotype" w:eastAsia="Palatino Linotype" w:hAnsi="Palatino Linotype"/>
          <w:sz w:val="22"/>
          <w:szCs w:val="22"/>
        </w:rPr>
      </w:pPr>
      <w:bookmarkStart w:colFirst="0" w:colLast="0" w:name="_heading=h.26in1rg" w:id="10"/>
      <w:bookmarkEnd w:id="10"/>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parcialmente 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05984/INFOEM/IP/RR/2024</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tl w:val="0"/>
        </w:rPr>
      </w:r>
    </w:p>
    <w:p w:rsidR="00000000" w:rsidDel="00000000" w:rsidP="00000000" w:rsidRDefault="00000000" w:rsidRPr="00000000" w14:paraId="00000172">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haga entrega, de ser procedente en versión pública a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vía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términos de los </w:t>
      </w:r>
      <w:r w:rsidDel="00000000" w:rsidR="00000000" w:rsidRPr="00000000">
        <w:rPr>
          <w:rFonts w:ascii="Palatino Linotype" w:cs="Palatino Linotype" w:eastAsia="Palatino Linotype" w:hAnsi="Palatino Linotype"/>
          <w:b w:val="1"/>
          <w:sz w:val="22"/>
          <w:szCs w:val="22"/>
          <w:rtl w:val="0"/>
        </w:rPr>
        <w:t xml:space="preserve">Considerandos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y Quinto, </w:t>
      </w:r>
      <w:r w:rsidDel="00000000" w:rsidR="00000000" w:rsidRPr="00000000">
        <w:rPr>
          <w:rFonts w:ascii="Palatino Linotype" w:cs="Palatino Linotype" w:eastAsia="Palatino Linotype" w:hAnsi="Palatino Linotype"/>
          <w:sz w:val="22"/>
          <w:szCs w:val="22"/>
          <w:rtl w:val="0"/>
        </w:rPr>
        <w:t xml:space="preserve">del Plan Colibrí, 100 compromisos por la Movilidad Sostenible, lo siguiente:</w:t>
      </w:r>
    </w:p>
    <w:p w:rsidR="00000000" w:rsidDel="00000000" w:rsidP="00000000" w:rsidRDefault="00000000" w:rsidRPr="00000000" w14:paraId="00000173">
      <w:pPr>
        <w:numPr>
          <w:ilvl w:val="0"/>
          <w:numId w:val="10"/>
        </w:numPr>
        <w:pBdr>
          <w:top w:space="0" w:sz="0" w:val="nil"/>
          <w:left w:space="0" w:sz="0" w:val="nil"/>
          <w:bottom w:space="0" w:sz="0" w:val="nil"/>
          <w:right w:space="0" w:sz="0" w:val="nil"/>
          <w:between w:space="0" w:sz="0" w:val="nil"/>
        </w:pBdr>
        <w:spacing w:after="120" w:before="240" w:line="276" w:lineRule="auto"/>
        <w:ind w:left="851" w:right="616" w:firstLine="0"/>
        <w:jc w:val="both"/>
        <w:rPr>
          <w:rFonts w:ascii="Palatino Linotype" w:cs="Palatino Linotype" w:eastAsia="Palatino Linotype" w:hAnsi="Palatino Linotype"/>
          <w:sz w:val="22"/>
          <w:szCs w:val="22"/>
        </w:rPr>
      </w:pPr>
      <w:bookmarkStart w:colFirst="0" w:colLast="0" w:name="_heading=h.1ksv4uv" w:id="11"/>
      <w:bookmarkEnd w:id="11"/>
      <w:r w:rsidDel="00000000" w:rsidR="00000000" w:rsidRPr="00000000">
        <w:rPr>
          <w:rFonts w:ascii="Palatino Linotype" w:cs="Palatino Linotype" w:eastAsia="Palatino Linotype" w:hAnsi="Palatino Linotype"/>
          <w:sz w:val="22"/>
          <w:szCs w:val="22"/>
          <w:rtl w:val="0"/>
        </w:rPr>
        <w:t xml:space="preserve">El documento o documentos en donde consten las evidencias del avance de las acciones referidas en el reporte semestral entregado en respuesta; así como su fecha de implementación, de ser procedente en versión pública.</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12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7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76">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77">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rsidR="00000000" w:rsidDel="00000000" w:rsidP="00000000" w:rsidRDefault="00000000" w:rsidRPr="00000000" w14:paraId="00000178">
      <w:pPr>
        <w:spacing w:line="360" w:lineRule="auto"/>
        <w:jc w:val="both"/>
        <w:rPr>
          <w:rFonts w:ascii="Palatino Linotype" w:cs="Palatino Linotype" w:eastAsia="Palatino Linotype" w:hAnsi="Palatino Linotype"/>
          <w:sz w:val="22"/>
          <w:szCs w:val="22"/>
        </w:rPr>
        <w:sectPr>
          <w:headerReference r:id="rId15" w:type="default"/>
          <w:headerReference r:id="rId16" w:type="first"/>
          <w:footerReference r:id="rId17" w:type="default"/>
          <w:footerReference r:id="rId18" w:type="first"/>
          <w:pgSz w:h="15840" w:w="12240" w:orient="portrait"/>
          <w:pgMar w:bottom="1701" w:top="1985" w:left="1701" w:right="1701" w:header="709" w:footer="709"/>
          <w:pgNumType w:start="1"/>
          <w:titlePg w:val="1"/>
        </w:sectPr>
      </w:pPr>
      <w:bookmarkStart w:colFirst="0" w:colLast="0" w:name="_heading=h.1t3h5sf" w:id="12"/>
      <w:bookmarkEnd w:id="12"/>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SEIS DE NOVIEMBRE DE DOS MIL VEINTICUATRO, ANTE EL SECRETARIO TÉCNICO DEL PLENO ALEXIS TAPIA RAMÍREZ. </w:t>
      </w:r>
    </w:p>
    <w:p w:rsidR="00000000" w:rsidDel="00000000" w:rsidP="00000000" w:rsidRDefault="00000000" w:rsidRPr="00000000" w14:paraId="00000179">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9" w:type="first"/>
      <w:footerReference r:id="rId20" w:type="first"/>
      <w:type w:val="nextPage"/>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2">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4">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6">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43</w:t>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7A">
      <w:pPr>
        <w:pBdr>
          <w:top w:space="0" w:sz="0" w:val="nil"/>
          <w:left w:space="0" w:sz="0" w:val="nil"/>
          <w:bottom w:space="0" w:sz="0" w:val="nil"/>
          <w:right w:space="0" w:sz="0" w:val="nil"/>
          <w:between w:space="0" w:sz="0" w:val="nil"/>
        </w:pBd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17B">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rPr>
        <w:rFonts w:ascii="Cambria" w:cs="Cambria" w:eastAsia="Cambria" w:hAnsi="Cambria"/>
        <w:color w:val="000000"/>
      </w:rPr>
    </w:pPr>
    <w:r w:rsidDel="00000000" w:rsidR="00000000" w:rsidRPr="00000000">
      <w:rPr>
        <w:rtl w:val="0"/>
      </w:rPr>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7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7E">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05984/INFOEM/IP/RR/2024</w:t>
          </w:r>
        </w:p>
      </w:tc>
    </w:tr>
    <w:tr>
      <w:trPr>
        <w:cantSplit w:val="0"/>
        <w:trHeight w:val="228" w:hRule="atLeast"/>
        <w:tblHeader w:val="0"/>
      </w:trPr>
      <w:tc>
        <w:tcPr>
          <w:shd w:fill="auto" w:val="clear"/>
          <w:vAlign w:val="center"/>
        </w:tcPr>
        <w:p w:rsidR="00000000" w:rsidDel="00000000" w:rsidP="00000000" w:rsidRDefault="00000000" w:rsidRPr="00000000" w14:paraId="0000017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80">
          <w:pPr>
            <w:ind w:right="-54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Movilidad</w:t>
          </w:r>
        </w:p>
      </w:tc>
    </w:tr>
    <w:tr>
      <w:trPr>
        <w:cantSplit w:val="0"/>
        <w:tblHeader w:val="0"/>
      </w:trPr>
      <w:tc>
        <w:tcPr>
          <w:shd w:fill="auto" w:val="clear"/>
          <w:vAlign w:val="center"/>
        </w:tcPr>
        <w:p w:rsidR="00000000" w:rsidDel="00000000" w:rsidP="00000000" w:rsidRDefault="00000000" w:rsidRPr="00000000" w14:paraId="00000181">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82">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83">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-1080132</wp:posOffset>
          </wp:positionH>
          <wp:positionV relativeFrom="paragraph">
            <wp:posOffset>-414557</wp:posOffset>
          </wp:positionV>
          <wp:extent cx="7809865" cy="10165715"/>
          <wp:effectExtent b="0" l="0" r="0" t="0"/>
          <wp:wrapNone/>
          <wp:docPr id="21294499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378.0" w:type="dxa"/>
      <w:jc w:val="left"/>
      <w:tblInd w:w="3261.0" w:type="dxa"/>
      <w:tblLayout w:type="fixed"/>
      <w:tblLook w:val="0400"/>
    </w:tblPr>
    <w:tblGrid>
      <w:gridCol w:w="2551"/>
      <w:gridCol w:w="3827"/>
      <w:tblGridChange w:id="0">
        <w:tblGrid>
          <w:gridCol w:w="2551"/>
          <w:gridCol w:w="3827"/>
        </w:tblGrid>
      </w:tblGridChange>
    </w:tblGrid>
    <w:tr>
      <w:trPr>
        <w:cantSplit w:val="0"/>
        <w:tblHeader w:val="0"/>
      </w:trPr>
      <w:tc>
        <w:tcPr>
          <w:shd w:fill="auto" w:val="clear"/>
          <w:vAlign w:val="center"/>
        </w:tcPr>
        <w:p w:rsidR="00000000" w:rsidDel="00000000" w:rsidP="00000000" w:rsidRDefault="00000000" w:rsidRPr="00000000" w14:paraId="0000018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86">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05984/INFOEM/IP/RR/2024</w:t>
          </w:r>
        </w:p>
      </w:tc>
    </w:tr>
    <w:tr>
      <w:trPr>
        <w:cantSplit w:val="0"/>
        <w:trHeight w:val="130" w:hRule="atLeast"/>
        <w:tblHeader w:val="0"/>
      </w:trPr>
      <w:tc>
        <w:tcPr>
          <w:shd w:fill="auto" w:val="clear"/>
          <w:vAlign w:val="center"/>
        </w:tcPr>
        <w:p w:rsidR="00000000" w:rsidDel="00000000" w:rsidP="00000000" w:rsidRDefault="00000000" w:rsidRPr="00000000" w14:paraId="0000018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88">
          <w:pPr>
            <w:ind w:left="-45" w:right="593"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18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8A">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Movilidad</w:t>
          </w:r>
        </w:p>
      </w:tc>
    </w:tr>
    <w:tr>
      <w:trPr>
        <w:cantSplit w:val="0"/>
        <w:tblHeader w:val="0"/>
      </w:trPr>
      <w:tc>
        <w:tcPr>
          <w:shd w:fill="auto" w:val="clear"/>
          <w:vAlign w:val="center"/>
        </w:tcPr>
        <w:p w:rsidR="00000000" w:rsidDel="00000000" w:rsidP="00000000" w:rsidRDefault="00000000" w:rsidRPr="00000000" w14:paraId="0000018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8C">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A750A"/>
  </w:style>
  <w:style w:type="paragraph" w:styleId="Ttulo1">
    <w:name w:val="heading 1"/>
    <w:basedOn w:val="Normal"/>
    <w:next w:val="Normal"/>
    <w:uiPriority w:val="9"/>
    <w:qFormat w:val="1"/>
    <w:pPr>
      <w:keepNext w:val="1"/>
      <w:keepLines w:val="1"/>
      <w:spacing w:before="240"/>
      <w:outlineLvl w:val="0"/>
    </w:pPr>
    <w:rPr>
      <w:rFonts w:ascii="Calibri" w:cs="Calibri" w:eastAsia="Calibri" w:hAnsi="Calibri"/>
      <w:color w:val="366091"/>
      <w:sz w:val="32"/>
      <w:szCs w:val="32"/>
    </w:rPr>
  </w:style>
  <w:style w:type="paragraph" w:styleId="Ttulo2">
    <w:name w:val="heading 2"/>
    <w:basedOn w:val="Normal"/>
    <w:next w:val="Normal"/>
    <w:uiPriority w:val="9"/>
    <w:semiHidden w:val="1"/>
    <w:unhideWhenUsed w:val="1"/>
    <w:qFormat w:val="1"/>
    <w:pPr>
      <w:keepNext w:val="1"/>
      <w:keepLines w:val="1"/>
      <w:spacing w:before="40"/>
      <w:outlineLvl w:val="1"/>
    </w:pPr>
    <w:rPr>
      <w:rFonts w:ascii="Calibri" w:cs="Calibri" w:eastAsia="Calibri" w:hAnsi="Calibri"/>
      <w:color w:val="366091"/>
      <w:sz w:val="26"/>
      <w:szCs w:val="26"/>
    </w:rPr>
  </w:style>
  <w:style w:type="paragraph" w:styleId="Ttulo3">
    <w:name w:val="heading 3"/>
    <w:basedOn w:val="Normal"/>
    <w:next w:val="Normal"/>
    <w:uiPriority w:val="9"/>
    <w:semiHidden w:val="1"/>
    <w:unhideWhenUsed w:val="1"/>
    <w:qFormat w:val="1"/>
    <w:pPr>
      <w:keepNext w:val="1"/>
      <w:spacing w:after="60" w:before="240"/>
      <w:ind w:left="2160" w:hanging="720"/>
      <w:outlineLvl w:val="2"/>
    </w:pPr>
    <w:rPr>
      <w:rFonts w:ascii="Calibri" w:cs="Calibri" w:eastAsia="Calibri" w:hAnsi="Calibri"/>
      <w:b w:val="1"/>
      <w:sz w:val="26"/>
      <w:szCs w:val="26"/>
    </w:rPr>
  </w:style>
  <w:style w:type="paragraph" w:styleId="Ttulo4">
    <w:name w:val="heading 4"/>
    <w:basedOn w:val="Normal"/>
    <w:next w:val="Normal"/>
    <w:uiPriority w:val="9"/>
    <w:semiHidden w:val="1"/>
    <w:unhideWhenUsed w:val="1"/>
    <w:qFormat w:val="1"/>
    <w:pPr>
      <w:keepNext w:val="1"/>
      <w:spacing w:after="60" w:before="240"/>
      <w:ind w:left="2880" w:hanging="720"/>
      <w:outlineLvl w:val="3"/>
    </w:pPr>
    <w:rPr>
      <w:rFonts w:ascii="Cambria" w:cs="Cambria" w:eastAsia="Cambria" w:hAnsi="Cambria"/>
      <w:b w:val="1"/>
      <w:sz w:val="28"/>
      <w:szCs w:val="28"/>
    </w:rPr>
  </w:style>
  <w:style w:type="paragraph" w:styleId="Ttulo5">
    <w:name w:val="heading 5"/>
    <w:basedOn w:val="Normal"/>
    <w:next w:val="Normal"/>
    <w:uiPriority w:val="9"/>
    <w:semiHidden w:val="1"/>
    <w:unhideWhenUsed w:val="1"/>
    <w:qFormat w:val="1"/>
    <w:pPr>
      <w:spacing w:after="60" w:before="240"/>
      <w:ind w:left="3600" w:hanging="720"/>
      <w:outlineLvl w:val="4"/>
    </w:pPr>
    <w:rPr>
      <w:rFonts w:ascii="Cambria" w:cs="Cambria" w:eastAsia="Cambria" w:hAnsi="Cambria"/>
      <w:b w:val="1"/>
      <w:i w:val="1"/>
      <w:sz w:val="26"/>
      <w:szCs w:val="26"/>
    </w:rPr>
  </w:style>
  <w:style w:type="paragraph" w:styleId="Ttulo6">
    <w:name w:val="heading 6"/>
    <w:basedOn w:val="Normal"/>
    <w:next w:val="Normal"/>
    <w:uiPriority w:val="9"/>
    <w:semiHidden w:val="1"/>
    <w:unhideWhenUsed w:val="1"/>
    <w:qFormat w:val="1"/>
    <w:pPr>
      <w:spacing w:after="60" w:before="240"/>
      <w:ind w:left="4320" w:hanging="720"/>
      <w:outlineLvl w:val="5"/>
    </w:pPr>
    <w:rPr>
      <w:b w:val="1"/>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left w:w="115.0" w:type="dxa"/>
        <w:right w:w="115.0" w:type="dxa"/>
      </w:tblCellMar>
    </w:tblPr>
  </w:style>
  <w:style w:type="table" w:styleId="a0" w:customStyle="1">
    <w:basedOn w:val="TableNormal6"/>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B215CF"/>
    <w:pPr>
      <w:tabs>
        <w:tab w:val="center" w:pos="4419"/>
        <w:tab w:val="right" w:pos="8838"/>
      </w:tabs>
    </w:pPr>
  </w:style>
  <w:style w:type="character" w:styleId="EncabezadoCar" w:customStyle="1">
    <w:name w:val="Encabezado Car"/>
    <w:basedOn w:val="Fuentedeprrafopredeter"/>
    <w:link w:val="Encabezado"/>
    <w:uiPriority w:val="99"/>
    <w:rsid w:val="00B215CF"/>
  </w:style>
  <w:style w:type="paragraph" w:styleId="Piedepgina">
    <w:name w:val="footer"/>
    <w:basedOn w:val="Normal"/>
    <w:link w:val="PiedepginaCar"/>
    <w:uiPriority w:val="99"/>
    <w:unhideWhenUsed w:val="1"/>
    <w:rsid w:val="00B215CF"/>
    <w:pPr>
      <w:tabs>
        <w:tab w:val="center" w:pos="4419"/>
        <w:tab w:val="right" w:pos="8838"/>
      </w:tabs>
    </w:pPr>
  </w:style>
  <w:style w:type="character" w:styleId="PiedepginaCar" w:customStyle="1">
    <w:name w:val="Pie de página Car"/>
    <w:basedOn w:val="Fuentedeprrafopredeter"/>
    <w:link w:val="Piedepgina"/>
    <w:uiPriority w:val="99"/>
    <w:rsid w:val="00B215CF"/>
  </w:style>
  <w:style w:type="paragraph" w:styleId="NormalWeb">
    <w:name w:val="Normal (Web)"/>
    <w:basedOn w:val="Normal"/>
    <w:uiPriority w:val="99"/>
    <w:unhideWhenUsed w:val="1"/>
    <w:rsid w:val="00DA0443"/>
    <w:pPr>
      <w:spacing w:after="100" w:afterAutospacing="1" w:before="100" w:beforeAutospacing="1"/>
    </w:pPr>
  </w:style>
  <w:style w:type="paragraph" w:styleId="Prrafodelista">
    <w:name w:val="List Paragraph"/>
    <w:basedOn w:val="Normal"/>
    <w:uiPriority w:val="34"/>
    <w:qFormat w:val="1"/>
    <w:rsid w:val="000038B1"/>
    <w:pPr>
      <w:ind w:left="720"/>
      <w:contextualSpacing w:val="1"/>
    </w:pPr>
  </w:style>
  <w:style w:type="table" w:styleId="a1" w:customStyle="1">
    <w:basedOn w:val="TableNormal6"/>
    <w:tblPr>
      <w:tblStyleRowBandSize w:val="1"/>
      <w:tblStyleColBandSize w:val="1"/>
      <w:tblCellMar>
        <w:left w:w="115.0" w:type="dxa"/>
        <w:right w:w="115.0" w:type="dxa"/>
      </w:tblCellMar>
    </w:tblPr>
  </w:style>
  <w:style w:type="table" w:styleId="a2" w:customStyle="1">
    <w:basedOn w:val="TableNormal6"/>
    <w:tblPr>
      <w:tblStyleRowBandSize w:val="1"/>
      <w:tblStyleColBandSize w:val="1"/>
      <w:tblCellMar>
        <w:left w:w="115.0" w:type="dxa"/>
        <w:right w:w="115.0" w:type="dxa"/>
      </w:tblCellMar>
    </w:tblPr>
  </w:style>
  <w:style w:type="table" w:styleId="a3" w:customStyle="1">
    <w:basedOn w:val="TableNormal5"/>
    <w:tblPr>
      <w:tblStyleRowBandSize w:val="1"/>
      <w:tblStyleColBandSize w:val="1"/>
      <w:tblCellMar>
        <w:left w:w="115.0" w:type="dxa"/>
        <w:right w:w="115.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4"/>
    <w:tblPr>
      <w:tblStyleRowBandSize w:val="1"/>
      <w:tblStyleColBandSize w:val="1"/>
      <w:tblCellMar>
        <w:left w:w="115.0" w:type="dxa"/>
        <w:right w:w="115.0" w:type="dxa"/>
      </w:tblCellMar>
    </w:tblPr>
  </w:style>
  <w:style w:type="table" w:styleId="a6" w:customStyle="1">
    <w:basedOn w:val="TableNormal4"/>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455091"/>
    <w:rPr>
      <w:color w:val="0000ff" w:themeColor="hyperlink"/>
      <w:u w:val="single"/>
    </w:rPr>
  </w:style>
  <w:style w:type="paragraph" w:styleId="Listaconvietas3">
    <w:name w:val="List Bullet 3"/>
    <w:basedOn w:val="Normal"/>
    <w:uiPriority w:val="99"/>
    <w:unhideWhenUsed w:val="1"/>
    <w:rsid w:val="00210E50"/>
    <w:pPr>
      <w:numPr>
        <w:numId w:val="4"/>
      </w:numPr>
      <w:contextualSpacing w:val="1"/>
    </w:pPr>
    <w:rPr>
      <w:lang w:val="es-ES"/>
    </w:rPr>
  </w:style>
  <w:style w:type="table" w:styleId="a7" w:customStyle="1">
    <w:basedOn w:val="TableNormal3"/>
    <w:tblPr>
      <w:tblStyleRowBandSize w:val="1"/>
      <w:tblStyleColBandSize w:val="1"/>
      <w:tblCellMar>
        <w:left w:w="115.0" w:type="dxa"/>
        <w:right w:w="115.0" w:type="dxa"/>
      </w:tblCellMar>
    </w:tblPr>
  </w:style>
  <w:style w:type="table" w:styleId="a8" w:customStyle="1">
    <w:basedOn w:val="TableNormal3"/>
    <w:tblPr>
      <w:tblStyleRowBandSize w:val="1"/>
      <w:tblStyleColBandSize w:val="1"/>
      <w:tblCellMar>
        <w:left w:w="115.0" w:type="dxa"/>
        <w:right w:w="115.0" w:type="dxa"/>
      </w:tblCellMar>
    </w:tblPr>
  </w:style>
  <w:style w:type="table" w:styleId="a9" w:customStyle="1">
    <w:basedOn w:val="TableNormal2"/>
    <w:tblPr>
      <w:tblStyleRowBandSize w:val="1"/>
      <w:tblStyleColBandSize w:val="1"/>
      <w:tblCellMar>
        <w:left w:w="115.0" w:type="dxa"/>
        <w:right w:w="115.0" w:type="dxa"/>
      </w:tblCellMar>
    </w:tblPr>
  </w:style>
  <w:style w:type="table" w:styleId="aa" w:customStyle="1">
    <w:basedOn w:val="TableNormal2"/>
    <w:tblPr>
      <w:tblStyleRowBandSize w:val="1"/>
      <w:tblStyleColBandSize w:val="1"/>
      <w:tblCellMar>
        <w:left w:w="115.0" w:type="dxa"/>
        <w:right w:w="115.0" w:type="dxa"/>
      </w:tblCellMar>
    </w:tblPr>
  </w:style>
  <w:style w:type="table" w:styleId="ab" w:customStyle="1">
    <w:basedOn w:val="TableNormal1"/>
    <w:tblPr>
      <w:tblStyleRowBandSize w:val="1"/>
      <w:tblStyleColBandSize w:val="1"/>
      <w:tblCellMar>
        <w:left w:w="115.0" w:type="dxa"/>
        <w:right w:w="115.0" w:type="dxa"/>
      </w:tblCellMar>
    </w:tblPr>
  </w:style>
  <w:style w:type="table" w:styleId="ac" w:customStyle="1">
    <w:basedOn w:val="TableNormal1"/>
    <w:tblPr>
      <w:tblStyleRowBandSize w:val="1"/>
      <w:tblStyleColBandSize w:val="1"/>
      <w:tblCellMar>
        <w:left w:w="115.0" w:type="dxa"/>
        <w:right w:w="115.0" w:type="dxa"/>
      </w:tblCellMar>
    </w:tblPr>
  </w:style>
  <w:style w:type="table" w:styleId="Tablaconcuadrcula">
    <w:name w:val="Table Grid"/>
    <w:basedOn w:val="Tablanormal"/>
    <w:uiPriority w:val="39"/>
    <w:rsid w:val="00FA3EB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visitado">
    <w:name w:val="FollowedHyperlink"/>
    <w:basedOn w:val="Fuentedeprrafopredeter"/>
    <w:uiPriority w:val="99"/>
    <w:semiHidden w:val="1"/>
    <w:unhideWhenUsed w:val="1"/>
    <w:rsid w:val="00FA3EBA"/>
    <w:rPr>
      <w:color w:val="800080" w:themeColor="followedHyperlink"/>
      <w:u w:val="single"/>
    </w:rPr>
  </w:style>
  <w:style w:type="table" w:styleId="ad" w:customStyle="1">
    <w:basedOn w:val="TableNormal0"/>
    <w:tblPr>
      <w:tblStyleRowBandSize w:val="1"/>
      <w:tblStyleColBandSize w:val="1"/>
      <w:tblCellMar>
        <w:left w:w="115.0" w:type="dxa"/>
        <w:right w:w="115.0" w:type="dxa"/>
      </w:tblCellMar>
    </w:tblPr>
  </w:style>
  <w:style w:type="table" w:styleId="ae"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smovilidad.edomex.gob.mx/sites/smovilidad.edomex.gob.mx/files/files/pdf/Colibri/100%20COMPROMISOS%20PARA%20LA%20MOVILIDAD%20SOSTENIBLE%20PLAN%25COLIBRI%CC%81_TCARTA%20(2).pdf" TargetMode="External"/><Relationship Id="rId15" Type="http://schemas.openxmlformats.org/officeDocument/2006/relationships/header" Target="header1.xml"/><Relationship Id="rId14" Type="http://schemas.openxmlformats.org/officeDocument/2006/relationships/image" Target="media/image1.pn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header" Target="header3.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hyperlink" Target="https://smovilidad.edomex.gob.mx/sites/smovilidad.edomex.gob.mx/files/files/pdf/Colibri/100%20COMPROMISOS%20PARA%20LA%20MOVILIDAD%20SOSTENIBLE%20PLAN%25COLIBRI%CC%81_TCARTA%20(2).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Qr1o6jNPVsyOAD5GfX7b7sX1dw==">CgMxLjAyCWguMWZvYjl0ZTIIaC5namRneHMyCWguM2R5NnZrbTIJaC4zMGowemxsMgloLjJzOGV5bzEyCGgudHlqY3d0MgloLjN6bnlzaDcyCWguMmV0OTJwMDIJaC4zNW5rdW4yMg5oLmlqdjk4cG50Y2Q1czIJaC4yNmluMXJnMgloLjFrc3Y0dXYyCWguMXQzaDVzZjgAciExY3hMN3p0NTlTd2p4VFdhZW5hdHRzVHFCSnprZ0U1RkY=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2024-12-03T19:26:00Z</dcterms:created>
  <dc:creator>USUARIO</dc:creator>
</cp:coreProperties>
</file>